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color w:val="auto"/>
          <w:sz w:val="32"/>
          <w:szCs w:val="32"/>
          <w:highlight w:val="none"/>
        </w:rPr>
      </w:pPr>
      <w:r>
        <w:rPr>
          <w:b/>
          <w:color w:val="auto"/>
          <w:sz w:val="32"/>
          <w:szCs w:val="32"/>
          <w:highlight w:val="none"/>
        </w:rPr>
      </w:r>
      <w:r/>
    </w:p>
    <w:p>
      <w:pPr>
        <w:pStyle w:val="1054"/>
        <w:rPr>
          <w:color w:val="auto"/>
          <w:highlight w:val="none"/>
        </w:rPr>
      </w:pPr>
      <w:r>
        <w:rPr>
          <w:color w:val="auto"/>
          <w:highlight w:val="none"/>
        </w:rPr>
      </w:r>
      <w:r/>
    </w:p>
    <w:p>
      <w:pPr>
        <w:rPr>
          <w:b/>
          <w:color w:val="auto"/>
          <w:sz w:val="32"/>
          <w:szCs w:val="32"/>
          <w:highlight w:val="none"/>
        </w:rPr>
      </w:pPr>
      <w:r>
        <w:rPr>
          <w:b/>
          <w:color w:val="auto"/>
          <w:sz w:val="32"/>
          <w:szCs w:val="32"/>
          <w:highlight w:val="none"/>
        </w:rPr>
      </w:r>
      <w:r/>
    </w:p>
    <w:p>
      <w:pPr>
        <w:jc w:val="center"/>
        <w:rPr>
          <w:b/>
          <w:color w:val="auto"/>
          <w:sz w:val="28"/>
          <w:szCs w:val="28"/>
          <w:highlight w:val="none"/>
        </w:rPr>
        <w:outlineLvl w:val="0"/>
      </w:pPr>
      <w:r>
        <w:rPr>
          <w:b/>
          <w:color w:val="auto"/>
          <w:sz w:val="112"/>
          <w:szCs w:val="112"/>
          <w:highlight w:val="none"/>
        </w:rPr>
        <w:t xml:space="preserve">锡山区政府采购</w:t>
      </w:r>
      <w:r/>
    </w:p>
    <w:p>
      <w:pPr>
        <w:pStyle w:val="1022"/>
        <w:jc w:val="center"/>
        <w:spacing w:before="0" w:after="0" w:line="360" w:lineRule="auto"/>
        <w:rPr>
          <w:b w:val="0"/>
          <w:color w:val="auto"/>
          <w:sz w:val="28"/>
          <w:szCs w:val="28"/>
          <w:highlight w:val="none"/>
        </w:rPr>
      </w:pPr>
      <w:r>
        <w:rPr>
          <w:b w:val="0"/>
          <w:color w:val="auto"/>
          <w:sz w:val="72"/>
          <w:szCs w:val="72"/>
          <w:highlight w:val="none"/>
        </w:rPr>
        <w:t xml:space="preserve">公开招标文件</w:t>
      </w:r>
      <w:r/>
    </w:p>
    <w:p>
      <w:pPr>
        <w:pStyle w:val="1022"/>
        <w:jc w:val="center"/>
        <w:spacing w:before="0" w:after="0" w:line="360" w:lineRule="auto"/>
        <w:rPr>
          <w:b w:val="0"/>
          <w:color w:val="auto"/>
          <w:sz w:val="28"/>
          <w:szCs w:val="28"/>
          <w:highlight w:val="none"/>
        </w:rPr>
      </w:pPr>
      <w:r>
        <w:rPr>
          <w:rFonts w:hint="eastAsia"/>
          <w:b w:val="0"/>
          <w:color w:val="auto"/>
          <w:sz w:val="28"/>
          <w:szCs w:val="28"/>
          <w:highlight w:val="none"/>
        </w:rPr>
        <w:t xml:space="preserve">（全流程电子化）</w:t>
      </w:r>
      <w:r/>
    </w:p>
    <w:p>
      <w:pPr>
        <w:rPr>
          <w:b/>
          <w:color w:val="auto"/>
          <w:sz w:val="28"/>
          <w:szCs w:val="28"/>
          <w:highlight w:val="none"/>
        </w:rPr>
      </w:pPr>
      <w:r>
        <w:rPr>
          <w:b/>
          <w:color w:val="auto"/>
          <w:sz w:val="28"/>
          <w:szCs w:val="28"/>
          <w:highlight w:val="none"/>
        </w:rPr>
      </w:r>
      <w:r/>
    </w:p>
    <w:p>
      <w:pPr>
        <w:pStyle w:val="1121"/>
        <w:ind w:firstLine="562"/>
        <w:rPr>
          <w:b/>
          <w:color w:val="auto"/>
          <w:sz w:val="28"/>
          <w:szCs w:val="28"/>
          <w:highlight w:val="none"/>
        </w:rPr>
      </w:pPr>
      <w:r>
        <w:rPr>
          <w:b/>
          <w:color w:val="auto"/>
          <w:sz w:val="28"/>
          <w:szCs w:val="28"/>
          <w:highlight w:val="none"/>
        </w:rPr>
      </w:r>
      <w:r/>
    </w:p>
    <w:p>
      <w:pPr>
        <w:pStyle w:val="1121"/>
        <w:ind w:firstLine="562"/>
        <w:rPr>
          <w:b/>
          <w:color w:val="auto"/>
          <w:sz w:val="28"/>
          <w:szCs w:val="28"/>
          <w:highlight w:val="none"/>
        </w:rPr>
      </w:pPr>
      <w:r>
        <w:rPr>
          <w:b/>
          <w:color w:val="auto"/>
          <w:sz w:val="28"/>
          <w:szCs w:val="28"/>
          <w:highlight w:val="none"/>
        </w:rPr>
      </w:r>
      <w:r/>
    </w:p>
    <w:p>
      <w:pPr>
        <w:rPr>
          <w:rFonts w:hint="eastAsia" w:eastAsia="宋体"/>
          <w:color w:val="auto"/>
          <w:sz w:val="32"/>
          <w:szCs w:val="32"/>
          <w:highlight w:val="none"/>
          <w:lang w:eastAsia="zh-CN"/>
        </w:rPr>
        <w:outlineLvl w:val="0"/>
      </w:pPr>
      <w:r>
        <w:rPr>
          <w:b/>
          <w:color w:val="auto"/>
          <w:spacing w:val="108"/>
          <w:sz w:val="32"/>
          <w:szCs w:val="32"/>
          <w:highlight w:val="none"/>
        </w:rPr>
        <w:t xml:space="preserve">项目名</w:t>
      </w:r>
      <w:r>
        <w:rPr>
          <w:b/>
          <w:color w:val="auto"/>
          <w:sz w:val="32"/>
          <w:szCs w:val="32"/>
          <w:highlight w:val="none"/>
        </w:rPr>
        <w:t xml:space="preserve">称：</w:t>
      </w:r>
      <w:r>
        <w:rPr>
          <w:rFonts w:hint="eastAsia"/>
          <w:b/>
          <w:color w:val="auto"/>
          <w:sz w:val="32"/>
          <w:szCs w:val="32"/>
          <w:highlight w:val="none"/>
          <w:lang w:eastAsia="zh-CN"/>
        </w:rPr>
        <w:t xml:space="preserve">江苏省锡东高级中学大成分校实验室采购项目</w:t>
      </w:r>
      <w:r/>
    </w:p>
    <w:p>
      <w:pPr>
        <w:jc w:val="left"/>
        <w:rPr>
          <w:rFonts w:hint="eastAsia" w:eastAsia="宋体"/>
          <w:b/>
          <w:color w:val="auto"/>
          <w:sz w:val="32"/>
          <w:szCs w:val="32"/>
          <w:highlight w:val="none"/>
          <w:lang w:eastAsia="zh-CN"/>
        </w:rPr>
        <w:outlineLvl w:val="0"/>
      </w:pPr>
      <w:r>
        <w:rPr>
          <w:b/>
          <w:color w:val="auto"/>
          <w:spacing w:val="108"/>
          <w:sz w:val="32"/>
          <w:szCs w:val="32"/>
          <w:highlight w:val="none"/>
        </w:rPr>
        <w:t xml:space="preserve">项目编</w:t>
      </w:r>
      <w:r>
        <w:rPr>
          <w:b/>
          <w:color w:val="auto"/>
          <w:sz w:val="32"/>
          <w:szCs w:val="32"/>
          <w:highlight w:val="none"/>
        </w:rPr>
        <w:t xml:space="preserve">号：</w:t>
      </w:r>
      <w:r>
        <w:rPr>
          <w:rFonts w:hint="eastAsia" w:cs="Times New Roman"/>
          <w:b/>
          <w:i w:val="0"/>
          <w:iCs w:val="0"/>
          <w:caps w:val="0"/>
          <w:color w:val="auto"/>
          <w:spacing w:val="0"/>
          <w:sz w:val="32"/>
          <w:szCs w:val="32"/>
          <w:highlight w:val="none"/>
          <w:shd w:val="clear" w:color="auto"/>
          <w:lang w:eastAsia="zh-CN"/>
        </w:rPr>
        <w:t xml:space="preserve">JSZC-320205-WXXG-G2026-0010</w:t>
      </w:r>
      <w:r/>
    </w:p>
    <w:p>
      <w:pPr>
        <w:jc w:val="left"/>
        <w:rPr>
          <w:rFonts w:hint="eastAsia" w:eastAsia="宋体"/>
          <w:b/>
          <w:color w:val="auto"/>
          <w:sz w:val="32"/>
          <w:szCs w:val="32"/>
          <w:highlight w:val="none"/>
          <w:lang w:eastAsia="zh-CN"/>
        </w:rPr>
        <w:outlineLvl w:val="0"/>
      </w:pPr>
      <w:r>
        <w:rPr>
          <w:rFonts w:hint="eastAsia"/>
          <w:b/>
          <w:color w:val="auto"/>
          <w:spacing w:val="108"/>
          <w:sz w:val="32"/>
          <w:szCs w:val="32"/>
          <w:highlight w:val="none"/>
        </w:rPr>
        <w:t xml:space="preserve">采购人</w:t>
      </w:r>
      <w:r>
        <w:rPr>
          <w:b/>
          <w:color w:val="auto"/>
          <w:sz w:val="32"/>
          <w:szCs w:val="32"/>
          <w:highlight w:val="none"/>
        </w:rPr>
        <w:t xml:space="preserve">：</w:t>
      </w:r>
      <w:r>
        <w:rPr>
          <w:rFonts w:hint="eastAsia"/>
          <w:b/>
          <w:color w:val="auto"/>
          <w:sz w:val="32"/>
          <w:szCs w:val="32"/>
          <w:highlight w:val="none"/>
          <w:lang w:eastAsia="zh-CN"/>
        </w:rPr>
        <w:t xml:space="preserve">江苏省锡东高级中学大成分校</w:t>
      </w:r>
      <w:r/>
    </w:p>
    <w:p>
      <w:pPr>
        <w:jc w:val="left"/>
        <w:rPr>
          <w:rFonts w:hint="eastAsia" w:eastAsia="宋体"/>
          <w:b/>
          <w:color w:val="auto"/>
          <w:sz w:val="32"/>
          <w:szCs w:val="32"/>
          <w:highlight w:val="none"/>
          <w:lang w:eastAsia="zh-CN"/>
        </w:rPr>
        <w:outlineLvl w:val="0"/>
      </w:pPr>
      <w:r>
        <w:rPr>
          <w:b/>
          <w:color w:val="auto"/>
          <w:sz w:val="32"/>
          <w:szCs w:val="32"/>
          <w:highlight w:val="none"/>
        </w:rPr>
        <w:t xml:space="preserve">采购</w:t>
      </w:r>
      <w:r>
        <w:rPr>
          <w:rFonts w:hint="eastAsia"/>
          <w:b/>
          <w:color w:val="auto"/>
          <w:sz w:val="32"/>
          <w:szCs w:val="32"/>
          <w:highlight w:val="none"/>
        </w:rPr>
        <w:t xml:space="preserve">代理</w:t>
      </w:r>
      <w:r>
        <w:rPr>
          <w:b/>
          <w:color w:val="auto"/>
          <w:sz w:val="32"/>
          <w:szCs w:val="32"/>
          <w:highlight w:val="none"/>
        </w:rPr>
        <w:t xml:space="preserve">机构：</w:t>
      </w:r>
      <w:r>
        <w:rPr>
          <w:rFonts w:hint="eastAsia"/>
          <w:b/>
          <w:color w:val="auto"/>
          <w:sz w:val="32"/>
          <w:szCs w:val="32"/>
          <w:highlight w:val="none"/>
          <w:lang w:eastAsia="zh-CN"/>
        </w:rPr>
        <w:t xml:space="preserve">江苏新桂工程咨询有限公司</w:t>
      </w:r>
      <w:r/>
    </w:p>
    <w:p>
      <w:pPr>
        <w:pStyle w:val="1054"/>
        <w:rPr>
          <w:color w:val="auto"/>
          <w:highlight w:val="none"/>
        </w:rPr>
      </w:pPr>
      <w:r>
        <w:rPr>
          <w:rFonts w:hint="eastAsia"/>
          <w:b/>
          <w:color w:val="auto"/>
          <w:sz w:val="32"/>
          <w:szCs w:val="32"/>
          <w:highlight w:val="none"/>
        </w:rPr>
        <w:t xml:space="preserve">    </w:t>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jc w:val="center"/>
        <w:rPr>
          <w:b/>
          <w:color w:val="auto"/>
          <w:sz w:val="32"/>
          <w:szCs w:val="32"/>
          <w:highlight w:val="none"/>
        </w:rPr>
      </w:pPr>
      <w:r>
        <w:rPr>
          <w:b/>
          <w:color w:val="auto"/>
          <w:sz w:val="32"/>
          <w:szCs w:val="32"/>
          <w:highlight w:val="none"/>
        </w:rPr>
        <w:t xml:space="preserve">二</w:t>
      </w:r>
      <w:r>
        <w:rPr>
          <w:rFonts w:hint="eastAsia"/>
          <w:b/>
          <w:color w:val="auto"/>
          <w:sz w:val="32"/>
          <w:szCs w:val="32"/>
          <w:highlight w:val="none"/>
        </w:rPr>
        <w:t xml:space="preserve">〇</w:t>
      </w:r>
      <w:r>
        <w:rPr>
          <w:b/>
          <w:color w:val="auto"/>
          <w:sz w:val="32"/>
          <w:szCs w:val="32"/>
          <w:highlight w:val="none"/>
        </w:rPr>
        <w:t xml:space="preserve">二</w:t>
      </w:r>
      <w:r>
        <w:rPr>
          <w:rFonts w:hint="eastAsia"/>
          <w:b/>
          <w:color w:val="auto"/>
          <w:sz w:val="32"/>
          <w:szCs w:val="32"/>
          <w:highlight w:val="none"/>
        </w:rPr>
        <w:t xml:space="preserve">六</w:t>
      </w:r>
      <w:r>
        <w:rPr>
          <w:b/>
          <w:color w:val="auto"/>
          <w:sz w:val="32"/>
          <w:szCs w:val="32"/>
          <w:highlight w:val="none"/>
        </w:rPr>
        <w:t xml:space="preserve">年</w:t>
      </w:r>
      <w:r>
        <w:rPr>
          <w:rFonts w:hint="eastAsia"/>
          <w:b/>
          <w:color w:val="auto"/>
          <w:sz w:val="32"/>
          <w:szCs w:val="32"/>
          <w:highlight w:val="none"/>
          <w:lang w:val="en-US" w:eastAsia="zh-CN"/>
        </w:rPr>
        <w:t xml:space="preserve">五</w:t>
      </w:r>
      <w:r>
        <w:rPr>
          <w:rFonts w:hint="eastAsia"/>
          <w:b/>
          <w:color w:val="auto"/>
          <w:sz w:val="32"/>
          <w:szCs w:val="32"/>
          <w:highlight w:val="none"/>
        </w:rPr>
        <w:t xml:space="preserve">月</w:t>
      </w:r>
      <w:r/>
    </w:p>
    <w:p>
      <w:pPr>
        <w:pStyle w:val="1068"/>
        <w:jc w:val="center"/>
        <w:rPr>
          <w:b/>
          <w:bCs/>
          <w:color w:val="auto"/>
          <w:sz w:val="52"/>
          <w:szCs w:val="52"/>
          <w:highlight w:val="none"/>
        </w:rPr>
        <w:outlineLvl w:val="0"/>
      </w:pPr>
      <w:r>
        <w:rPr>
          <w:b/>
          <w:bCs/>
          <w:color w:val="auto"/>
          <w:sz w:val="52"/>
          <w:szCs w:val="52"/>
          <w:highlight w:val="none"/>
        </w:rPr>
        <w:br w:type="page" w:clear="all"/>
      </w:r>
      <w:r>
        <w:rPr>
          <w:b/>
          <w:bCs/>
          <w:color w:val="auto"/>
          <w:sz w:val="52"/>
          <w:szCs w:val="52"/>
          <w:highlight w:val="none"/>
        </w:rPr>
        <w:t xml:space="preserve">目    录</w:t>
      </w:r>
      <w:r/>
    </w:p>
    <w:p>
      <w:pPr>
        <w:pStyle w:val="1080"/>
        <w:spacing w:before="0" w:after="0"/>
        <w:rPr>
          <w:color w:val="auto"/>
          <w:highlight w:val="none"/>
        </w:rPr>
      </w:pPr>
      <w:r>
        <w:rPr>
          <w:color w:val="auto"/>
          <w:highlight w:val="none"/>
        </w:rPr>
      </w:r>
      <w:r/>
    </w:p>
    <w:p>
      <w:pPr>
        <w:pStyle w:val="1095"/>
        <w:ind w:left="0" w:firstLine="0"/>
        <w:rPr>
          <w:rStyle w:val="1109"/>
          <w:rFonts w:ascii="宋体" w:hAnsi="宋体"/>
          <w:color w:val="auto"/>
          <w:sz w:val="24"/>
          <w:highlight w:val="none"/>
        </w:rPr>
      </w:pPr>
      <w:r>
        <w:rPr>
          <w:rStyle w:val="1109"/>
          <w:rFonts w:ascii="宋体" w:hAnsi="宋体"/>
          <w:color w:val="auto"/>
          <w:sz w:val="24"/>
          <w:highlight w:val="none"/>
        </w:rPr>
        <w:t xml:space="preserve">一、投标邀请函</w:t>
      </w:r>
      <w:r>
        <w:rPr>
          <w:rStyle w:val="1109"/>
          <w:rFonts w:hint="eastAsia" w:ascii="宋体" w:hAnsi="宋体"/>
          <w:color w:val="auto"/>
          <w:sz w:val="24"/>
          <w:highlight w:val="none"/>
        </w:rPr>
        <w:t xml:space="preserve"> </w:t>
      </w:r>
      <w:r>
        <w:rPr>
          <w:rStyle w:val="1109"/>
          <w:rFonts w:ascii="宋体" w:hAnsi="宋体"/>
          <w:color w:val="auto"/>
          <w:sz w:val="24"/>
          <w:highlight w:val="none"/>
        </w:rPr>
        <w:t xml:space="preserve">………………………………………………………………………… </w:t>
      </w:r>
      <w:r>
        <w:rPr>
          <w:rStyle w:val="1109"/>
          <w:rFonts w:hint="eastAsia" w:ascii="宋体" w:hAnsi="宋体"/>
          <w:color w:val="auto"/>
          <w:sz w:val="24"/>
          <w:highlight w:val="none"/>
        </w:rPr>
        <w:t xml:space="preserve">3</w:t>
      </w:r>
      <w:r/>
    </w:p>
    <w:p>
      <w:pPr>
        <w:rPr>
          <w:rStyle w:val="1109"/>
          <w:rFonts w:ascii="宋体" w:hAnsi="宋体"/>
          <w:smallCaps/>
          <w:color w:val="auto"/>
          <w:sz w:val="24"/>
          <w:highlight w:val="none"/>
        </w:rPr>
      </w:pPr>
      <w:r>
        <w:rPr>
          <w:rFonts w:ascii="宋体" w:hAnsi="宋体"/>
          <w:smallCaps/>
          <w:color w:val="auto"/>
          <w:sz w:val="24"/>
          <w:highlight w:val="none"/>
        </w:rPr>
      </w:r>
      <w:r/>
    </w:p>
    <w:p>
      <w:pPr>
        <w:pStyle w:val="1095"/>
        <w:ind w:left="0" w:firstLine="0"/>
        <w:rPr>
          <w:rStyle w:val="1109"/>
          <w:rFonts w:hint="eastAsia" w:ascii="宋体" w:hAnsi="宋体" w:eastAsia="宋体"/>
          <w:color w:val="auto"/>
          <w:sz w:val="24"/>
          <w:highlight w:val="none"/>
          <w:lang w:eastAsia="zh-CN"/>
        </w:rPr>
      </w:pPr>
      <w:r>
        <w:rPr>
          <w:rStyle w:val="1109"/>
          <w:rFonts w:ascii="宋体" w:hAnsi="宋体"/>
          <w:color w:val="auto"/>
          <w:sz w:val="24"/>
          <w:highlight w:val="none"/>
        </w:rPr>
        <w:t xml:space="preserve">二、</w:t>
      </w:r>
      <w:r>
        <w:rPr>
          <w:rStyle w:val="1109"/>
          <w:rFonts w:hint="eastAsia" w:ascii="宋体" w:hAnsi="宋体"/>
          <w:color w:val="auto"/>
          <w:sz w:val="24"/>
          <w:highlight w:val="none"/>
        </w:rPr>
        <w:t xml:space="preserve">投标供应商</w:t>
      </w:r>
      <w:r>
        <w:rPr>
          <w:rStyle w:val="1109"/>
          <w:rFonts w:ascii="宋体" w:hAnsi="宋体"/>
          <w:color w:val="auto"/>
          <w:sz w:val="24"/>
          <w:highlight w:val="none"/>
        </w:rPr>
        <w:t xml:space="preserve">须知</w:t>
      </w:r>
      <w:r>
        <w:rPr>
          <w:rStyle w:val="1109"/>
          <w:rFonts w:hint="eastAsia" w:ascii="宋体" w:hAnsi="宋体"/>
          <w:color w:val="auto"/>
          <w:sz w:val="24"/>
          <w:highlight w:val="none"/>
        </w:rPr>
        <w:t xml:space="preserve"> </w:t>
      </w:r>
      <w:r>
        <w:rPr>
          <w:rStyle w:val="1109"/>
          <w:rFonts w:ascii="宋体" w:hAnsi="宋体"/>
          <w:color w:val="auto"/>
          <w:sz w:val="24"/>
          <w:highlight w:val="none"/>
        </w:rPr>
        <w:t xml:space="preserve">……………………………………………………………………</w:t>
      </w:r>
      <w:r>
        <w:rPr>
          <w:rStyle w:val="1109"/>
          <w:rFonts w:hint="eastAsia" w:ascii="宋体" w:hAnsi="宋体"/>
          <w:color w:val="auto"/>
          <w:sz w:val="24"/>
          <w:highlight w:val="none"/>
        </w:rPr>
        <w:t xml:space="preserve"> </w:t>
      </w:r>
      <w:r>
        <w:rPr>
          <w:rStyle w:val="1109"/>
          <w:rFonts w:hint="eastAsia" w:ascii="宋体" w:hAnsi="宋体"/>
          <w:color w:val="auto"/>
          <w:sz w:val="24"/>
          <w:highlight w:val="none"/>
          <w:lang w:val="en-US" w:eastAsia="zh-CN"/>
        </w:rPr>
        <w:t xml:space="preserve">6</w:t>
      </w:r>
      <w:r/>
    </w:p>
    <w:p>
      <w:pPr>
        <w:pStyle w:val="1095"/>
        <w:ind w:left="0" w:firstLine="0"/>
        <w:rPr>
          <w:rStyle w:val="1109"/>
          <w:rFonts w:ascii="宋体" w:hAnsi="宋体"/>
          <w:color w:val="auto"/>
          <w:sz w:val="24"/>
          <w:highlight w:val="none"/>
        </w:rPr>
      </w:pPr>
      <w:r>
        <w:rPr>
          <w:rFonts w:ascii="宋体" w:hAnsi="宋体"/>
          <w:color w:val="auto"/>
          <w:sz w:val="24"/>
          <w:highlight w:val="none"/>
        </w:rPr>
      </w:r>
      <w:r/>
    </w:p>
    <w:p>
      <w:pPr>
        <w:pStyle w:val="1095"/>
        <w:ind w:left="0" w:firstLine="0"/>
        <w:rPr>
          <w:rStyle w:val="1109"/>
          <w:rFonts w:hint="eastAsia" w:ascii="宋体" w:hAnsi="宋体" w:eastAsia="宋体"/>
          <w:color w:val="auto"/>
          <w:sz w:val="24"/>
          <w:highlight w:val="none"/>
          <w:lang w:eastAsia="zh-CN"/>
        </w:rPr>
      </w:pPr>
      <w:r>
        <w:rPr>
          <w:rStyle w:val="1109"/>
          <w:rFonts w:ascii="宋体" w:hAnsi="宋体"/>
          <w:color w:val="auto"/>
          <w:sz w:val="24"/>
          <w:highlight w:val="none"/>
        </w:rPr>
        <w:t xml:space="preserve">三、项目</w:t>
      </w:r>
      <w:r>
        <w:rPr>
          <w:rStyle w:val="1109"/>
          <w:rFonts w:hint="eastAsia" w:ascii="宋体" w:hAnsi="宋体"/>
          <w:color w:val="auto"/>
          <w:sz w:val="24"/>
          <w:highlight w:val="none"/>
        </w:rPr>
        <w:t xml:space="preserve">技术</w:t>
      </w:r>
      <w:r>
        <w:rPr>
          <w:rStyle w:val="1109"/>
          <w:rFonts w:ascii="宋体" w:hAnsi="宋体"/>
          <w:color w:val="auto"/>
          <w:sz w:val="24"/>
          <w:highlight w:val="none"/>
        </w:rPr>
        <w:t xml:space="preserve">要求和有关说明…………………………………………………………</w:t>
      </w:r>
      <w:r>
        <w:rPr>
          <w:rStyle w:val="1109"/>
          <w:rFonts w:hint="eastAsia" w:ascii="宋体" w:hAnsi="宋体"/>
          <w:color w:val="auto"/>
          <w:sz w:val="24"/>
          <w:highlight w:val="none"/>
        </w:rPr>
        <w:t xml:space="preserve"> 2</w:t>
      </w:r>
      <w:r>
        <w:rPr>
          <w:rStyle w:val="1109"/>
          <w:rFonts w:hint="eastAsia" w:ascii="宋体" w:hAnsi="宋体"/>
          <w:color w:val="auto"/>
          <w:sz w:val="24"/>
          <w:highlight w:val="none"/>
          <w:lang w:val="en-US" w:eastAsia="zh-CN"/>
        </w:rPr>
        <w:t xml:space="preserve">0</w:t>
      </w:r>
      <w:r/>
    </w:p>
    <w:p>
      <w:pPr>
        <w:rPr>
          <w:rStyle w:val="1109"/>
          <w:rFonts w:ascii="宋体" w:hAnsi="宋体"/>
          <w:smallCaps/>
          <w:color w:val="auto"/>
          <w:sz w:val="24"/>
          <w:highlight w:val="none"/>
        </w:rPr>
      </w:pPr>
      <w:r>
        <w:rPr>
          <w:rFonts w:ascii="宋体" w:hAnsi="宋体"/>
          <w:smallCaps/>
          <w:color w:val="auto"/>
          <w:sz w:val="24"/>
          <w:highlight w:val="none"/>
        </w:rPr>
      </w:r>
      <w:r/>
    </w:p>
    <w:p>
      <w:pPr>
        <w:pStyle w:val="1095"/>
        <w:ind w:left="0" w:firstLine="0"/>
        <w:rPr>
          <w:rStyle w:val="1109"/>
          <w:rFonts w:hint="default" w:ascii="宋体" w:hAnsi="宋体" w:eastAsia="宋体"/>
          <w:color w:val="auto"/>
          <w:sz w:val="24"/>
          <w:highlight w:val="none"/>
          <w:lang w:val="en-US" w:eastAsia="zh-CN"/>
        </w:rPr>
      </w:pPr>
      <w:r>
        <w:rPr>
          <w:rStyle w:val="1109"/>
          <w:rFonts w:hint="eastAsia" w:ascii="宋体" w:hAnsi="宋体"/>
          <w:color w:val="auto"/>
          <w:sz w:val="24"/>
          <w:highlight w:val="none"/>
        </w:rPr>
        <w:t xml:space="preserve">四</w:t>
      </w:r>
      <w:r>
        <w:rPr>
          <w:rStyle w:val="1109"/>
          <w:rFonts w:ascii="宋体" w:hAnsi="宋体"/>
          <w:color w:val="auto"/>
          <w:sz w:val="24"/>
          <w:highlight w:val="none"/>
        </w:rPr>
        <w:t xml:space="preserve">、合同</w:t>
      </w:r>
      <w:r>
        <w:rPr>
          <w:rStyle w:val="1109"/>
          <w:rFonts w:hint="eastAsia" w:ascii="宋体" w:hAnsi="宋体"/>
          <w:color w:val="auto"/>
          <w:sz w:val="24"/>
          <w:highlight w:val="none"/>
        </w:rPr>
        <w:t xml:space="preserve">书（格式文本）</w:t>
      </w:r>
      <w:r>
        <w:rPr>
          <w:rStyle w:val="1109"/>
          <w:rFonts w:ascii="宋体" w:hAnsi="宋体"/>
          <w:color w:val="auto"/>
          <w:sz w:val="24"/>
          <w:highlight w:val="none"/>
        </w:rPr>
        <w:t xml:space="preserve">………………………………………………………………</w:t>
      </w:r>
      <w:r>
        <w:rPr>
          <w:rStyle w:val="1109"/>
          <w:rFonts w:hint="eastAsia" w:ascii="宋体" w:hAnsi="宋体"/>
          <w:color w:val="auto"/>
          <w:sz w:val="24"/>
          <w:highlight w:val="none"/>
        </w:rPr>
        <w:t xml:space="preserve"> </w:t>
      </w:r>
      <w:r>
        <w:rPr>
          <w:rStyle w:val="1109"/>
          <w:rFonts w:hint="eastAsia" w:ascii="宋体" w:hAnsi="宋体"/>
          <w:color w:val="auto"/>
          <w:sz w:val="24"/>
          <w:highlight w:val="none"/>
          <w:lang w:val="en-US" w:eastAsia="zh-CN"/>
        </w:rPr>
        <w:t xml:space="preserve">176</w:t>
      </w:r>
      <w:r/>
    </w:p>
    <w:p>
      <w:pPr>
        <w:pStyle w:val="1095"/>
        <w:ind w:left="0" w:firstLine="0"/>
        <w:rPr>
          <w:rStyle w:val="1109"/>
          <w:rFonts w:ascii="宋体" w:hAnsi="宋体"/>
          <w:color w:val="auto"/>
          <w:sz w:val="24"/>
          <w:highlight w:val="none"/>
        </w:rPr>
      </w:pPr>
      <w:r>
        <w:rPr>
          <w:rFonts w:ascii="宋体" w:hAnsi="宋体"/>
          <w:color w:val="auto"/>
          <w:sz w:val="24"/>
          <w:highlight w:val="none"/>
        </w:rPr>
      </w:r>
      <w:r/>
    </w:p>
    <w:p>
      <w:pPr>
        <w:pStyle w:val="1095"/>
        <w:ind w:left="0" w:firstLine="0"/>
        <w:rPr>
          <w:rStyle w:val="1109"/>
          <w:rFonts w:hint="default" w:ascii="宋体" w:hAnsi="宋体" w:eastAsia="宋体"/>
          <w:color w:val="auto"/>
          <w:sz w:val="24"/>
          <w:highlight w:val="none"/>
          <w:lang w:val="en-US" w:eastAsia="zh-CN"/>
        </w:rPr>
      </w:pPr>
      <w:r>
        <w:rPr>
          <w:rStyle w:val="1109"/>
          <w:rFonts w:hint="eastAsia" w:ascii="宋体" w:hAnsi="宋体"/>
          <w:color w:val="auto"/>
          <w:sz w:val="24"/>
          <w:highlight w:val="none"/>
        </w:rPr>
        <w:t xml:space="preserve">五、</w:t>
      </w:r>
      <w:r>
        <w:rPr>
          <w:rStyle w:val="1109"/>
          <w:rFonts w:ascii="宋体" w:hAnsi="宋体"/>
          <w:color w:val="auto"/>
          <w:sz w:val="24"/>
          <w:highlight w:val="none"/>
        </w:rPr>
        <w:t xml:space="preserve">附件…………………………………………………………………………………</w:t>
      </w:r>
      <w:r>
        <w:rPr>
          <w:rStyle w:val="1109"/>
          <w:rFonts w:hint="eastAsia" w:ascii="宋体" w:hAnsi="宋体"/>
          <w:color w:val="auto"/>
          <w:sz w:val="24"/>
          <w:highlight w:val="none"/>
        </w:rPr>
        <w:t xml:space="preserve"> </w:t>
      </w:r>
      <w:r>
        <w:rPr>
          <w:rStyle w:val="1109"/>
          <w:rFonts w:hint="eastAsia" w:ascii="宋体" w:hAnsi="宋体"/>
          <w:color w:val="auto"/>
          <w:sz w:val="24"/>
          <w:highlight w:val="none"/>
          <w:lang w:val="en-US" w:eastAsia="zh-CN"/>
        </w:rPr>
        <w:t xml:space="preserve">193</w:t>
      </w:r>
      <w:r/>
    </w:p>
    <w:p>
      <w:pPr>
        <w:rPr>
          <w:color w:val="auto"/>
          <w:highlight w:val="none"/>
        </w:rPr>
      </w:pPr>
      <w:r>
        <w:rPr>
          <w:color w:val="auto"/>
          <w:highlight w:val="none"/>
        </w:rPr>
      </w:r>
      <w:r/>
    </w:p>
    <w:p>
      <w:pPr>
        <w:jc w:val="center"/>
        <w:rPr>
          <w:rFonts w:eastAsia="黑体"/>
          <w:bCs/>
          <w:color w:val="auto"/>
          <w:sz w:val="24"/>
          <w:szCs w:val="24"/>
          <w:highlight w:val="none"/>
        </w:rPr>
      </w:pPr>
      <w:r>
        <w:rPr>
          <w:rFonts w:eastAsia="黑体"/>
          <w:bCs/>
          <w:color w:val="auto"/>
          <w:sz w:val="24"/>
          <w:szCs w:val="24"/>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rPr>
          <w:rFonts w:eastAsia="黑体"/>
          <w:bCs/>
          <w:color w:val="auto"/>
          <w:sz w:val="28"/>
          <w:szCs w:val="28"/>
          <w:highlight w:val="none"/>
        </w:rPr>
      </w:pPr>
      <w:r>
        <w:rPr>
          <w:rFonts w:eastAsia="黑体"/>
          <w:bCs/>
          <w:color w:val="auto"/>
          <w:sz w:val="28"/>
          <w:szCs w:val="28"/>
          <w:highlight w:val="none"/>
        </w:rPr>
      </w:r>
      <w:r/>
    </w:p>
    <w:p>
      <w:pPr>
        <w:pStyle w:val="1382"/>
        <w:rPr>
          <w:color w:val="auto"/>
          <w:highlight w:val="none"/>
        </w:rPr>
      </w:pPr>
      <w:r>
        <w:rPr>
          <w:color w:val="auto"/>
          <w:highlight w:val="none"/>
        </w:rPr>
      </w:r>
      <w:r/>
    </w:p>
    <w:p>
      <w:pPr>
        <w:pStyle w:val="1021"/>
        <w:rPr>
          <w:color w:val="auto"/>
          <w:sz w:val="36"/>
          <w:szCs w:val="28"/>
          <w:highlight w:val="none"/>
        </w:rPr>
      </w:pPr>
      <w:r>
        <w:rPr>
          <w:color w:val="auto"/>
          <w:sz w:val="36"/>
          <w:szCs w:val="28"/>
          <w:highlight w:val="none"/>
        </w:rPr>
        <w:br w:type="page" w:clear="all"/>
      </w:r>
      <w:r>
        <w:rPr>
          <w:color w:val="auto"/>
          <w:sz w:val="36"/>
          <w:szCs w:val="28"/>
          <w:highlight w:val="none"/>
        </w:rPr>
        <w:t xml:space="preserve">一、投标邀请函</w:t>
      </w:r>
      <w:r/>
    </w:p>
    <w:p>
      <w:pPr>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江苏新桂工程咨询有限公司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江苏省锡东高级中学大成分校</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江苏省锡东高级中学大成分校实验室采购项目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left="-59" w:firstLine="480"/>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（一）招标项目信息</w:t>
      </w:r>
      <w:r/>
    </w:p>
    <w:p>
      <w:pPr>
        <w:ind w:firstLine="420"/>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bCs/>
          <w:color w:val="auto"/>
          <w:sz w:val="24"/>
          <w:szCs w:val="24"/>
          <w:highlight w:val="none"/>
          <w:lang w:eastAsia="zh-CN"/>
        </w:rPr>
        <w:t xml:space="preserve">江苏省锡东高级中学大成分校实验室采购项目</w:t>
      </w:r>
      <w:r/>
    </w:p>
    <w:p>
      <w:pPr>
        <w:ind w:firstLine="420"/>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JSZC-320205-WXXG-G2026-0010</w:t>
      </w:r>
      <w:r/>
    </w:p>
    <w:p>
      <w:pPr>
        <w:ind w:firstLine="42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3.采购方式：公开招标</w:t>
      </w:r>
      <w:r/>
    </w:p>
    <w:p>
      <w:pPr>
        <w:ind w:firstLine="42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rPr>
        <w:t xml:space="preserve">.项目预算金额：</w:t>
      </w:r>
      <w:r>
        <w:rPr>
          <w:rFonts w:hint="eastAsia" w:ascii="宋体" w:hAnsi="宋体" w:cs="宋体"/>
          <w:color w:val="auto"/>
          <w:sz w:val="24"/>
          <w:szCs w:val="24"/>
          <w:highlight w:val="none"/>
          <w:lang w:val="en-US" w:eastAsia="zh-CN"/>
        </w:rPr>
        <w:t xml:space="preserve">374.32</w:t>
      </w:r>
      <w:r>
        <w:rPr>
          <w:rFonts w:hint="eastAsia" w:ascii="宋体" w:hAnsi="宋体" w:cs="宋体"/>
          <w:color w:val="auto"/>
          <w:sz w:val="24"/>
          <w:szCs w:val="24"/>
          <w:highlight w:val="none"/>
        </w:rPr>
        <w:t xml:space="preserve">万元。投标最高限价：</w:t>
      </w:r>
      <w:r>
        <w:rPr>
          <w:rFonts w:hint="eastAsia" w:ascii="宋体" w:hAnsi="宋体" w:cs="宋体"/>
          <w:color w:val="auto"/>
          <w:sz w:val="24"/>
          <w:szCs w:val="24"/>
          <w:highlight w:val="none"/>
          <w:lang w:val="en-US" w:eastAsia="zh-CN"/>
        </w:rPr>
        <w:t xml:space="preserve">374.32</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rPr>
        <w:t xml:space="preserve">供应商的投标总价在最高限价以内的为有效报价，</w:t>
      </w:r>
      <w:r>
        <w:rPr>
          <w:rFonts w:hint="eastAsia" w:ascii="宋体" w:hAnsi="宋体"/>
          <w:bCs/>
          <w:color w:val="auto"/>
          <w:sz w:val="24"/>
          <w:highlight w:val="none"/>
          <w:lang w:val="zh-CN"/>
        </w:rPr>
        <w:t xml:space="preserve">超过</w:t>
      </w:r>
      <w:r>
        <w:rPr>
          <w:rFonts w:hint="eastAsia" w:ascii="宋体" w:hAnsi="宋体" w:cs="宋体"/>
          <w:color w:val="auto"/>
          <w:sz w:val="24"/>
          <w:szCs w:val="24"/>
          <w:highlight w:val="none"/>
          <w:lang w:val="zh-CN"/>
        </w:rPr>
        <w:t xml:space="preserve">最高限价的</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文件无效</w:t>
      </w:r>
      <w:r>
        <w:rPr>
          <w:rFonts w:hint="eastAsia" w:ascii="宋体" w:hAnsi="宋体" w:cs="宋体"/>
          <w:color w:val="auto"/>
          <w:sz w:val="24"/>
          <w:szCs w:val="24"/>
          <w:highlight w:val="none"/>
        </w:rPr>
        <w:t xml:space="preserve">；</w:t>
      </w:r>
      <w:r/>
    </w:p>
    <w:p>
      <w:pPr>
        <w:pStyle w:val="873"/>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5.供货期：合同签订后30日历天内到货并安装完毕交付使用。</w:t>
      </w:r>
      <w:r/>
    </w:p>
    <w:p>
      <w:pPr>
        <w:pStyle w:val="873"/>
        <w:rPr>
          <w:rFonts w:ascii="宋体" w:hAnsi="宋体" w:cs="宋体"/>
          <w:color w:val="auto"/>
          <w:sz w:val="24"/>
          <w:szCs w:val="24"/>
          <w:highlight w:val="none"/>
        </w:rPr>
      </w:pPr>
      <w:r>
        <w:rPr>
          <w:rFonts w:hint="eastAsia" w:ascii="宋体" w:hAnsi="宋体" w:cs="宋体"/>
          <w:color w:val="auto"/>
          <w:sz w:val="24"/>
          <w:szCs w:val="24"/>
          <w:highlight w:val="none"/>
        </w:rPr>
        <w:t xml:space="preserve">4.项目整体免费质保期：自验收合格之日起3年</w:t>
      </w:r>
      <w:r>
        <w:rPr>
          <w:rFonts w:hint="eastAsia" w:hAnsi="宋体"/>
          <w:color w:val="auto"/>
          <w:sz w:val="24"/>
          <w:szCs w:val="24"/>
          <w:highlight w:val="none"/>
        </w:rPr>
        <w:t xml:space="preserve">。</w:t>
      </w:r>
      <w:r/>
    </w:p>
    <w:p>
      <w:pPr>
        <w:ind w:firstLine="42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工业（制造业）。根据《关于印发中小企业划型标准规定的通知》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9.本项目是否专门面向中小企业：</w:t>
      </w:r>
      <w:r>
        <w:rPr>
          <w:rFonts w:hint="eastAsia" w:ascii="宋体" w:hAnsi="宋体" w:cs="宋体"/>
          <w:b/>
          <w:bCs/>
          <w:color w:val="auto"/>
          <w:sz w:val="24"/>
          <w:szCs w:val="24"/>
          <w:highlight w:val="none"/>
          <w:u w:val="single"/>
          <w:lang w:val="en-US" w:eastAsia="zh-CN"/>
        </w:rPr>
        <w:t xml:space="preserve">是</w:t>
      </w:r>
      <w:r>
        <w:rPr>
          <w:rFonts w:hint="eastAsia" w:ascii="宋体" w:hAnsi="宋体" w:cs="宋体"/>
          <w:color w:val="auto"/>
          <w:sz w:val="24"/>
          <w:szCs w:val="24"/>
          <w:highlight w:val="none"/>
        </w:rPr>
        <w:t xml:space="preserve">。</w:t>
      </w:r>
      <w:r/>
    </w:p>
    <w:p>
      <w:pPr>
        <w:ind w:firstLine="420"/>
        <w:widowControl/>
        <w:rPr>
          <w:rFonts w:hint="eastAsia" w:ascii="宋体" w:hAnsi="宋体" w:eastAsia="宋体" w:cs="宋体"/>
          <w:bCs/>
          <w:color w:val="auto"/>
          <w:sz w:val="24"/>
          <w:szCs w:val="24"/>
          <w:highlight w:val="none"/>
          <w:lang w:eastAsia="zh-CN"/>
        </w:rPr>
      </w:pPr>
      <w:r>
        <w:rPr>
          <w:rFonts w:hint="eastAsia" w:ascii="宋体" w:hAnsi="宋体" w:cs="宋体"/>
          <w:color w:val="auto"/>
          <w:sz w:val="24"/>
          <w:szCs w:val="24"/>
          <w:highlight w:val="none"/>
        </w:rPr>
        <w:t xml:space="preserve">10.</w:t>
      </w:r>
      <w:r>
        <w:rPr>
          <w:rFonts w:hint="eastAsia" w:ascii="宋体" w:hAnsi="宋体" w:cs="宋体"/>
          <w:bCs/>
          <w:color w:val="auto"/>
          <w:sz w:val="24"/>
          <w:szCs w:val="24"/>
          <w:highlight w:val="none"/>
        </w:rPr>
        <w:t xml:space="preserve">本项目</w:t>
      </w:r>
      <w:r>
        <w:rPr>
          <w:rFonts w:hint="eastAsia" w:ascii="宋体" w:hAnsi="宋体" w:cs="宋体"/>
          <w:b/>
          <w:color w:val="auto"/>
          <w:sz w:val="24"/>
          <w:szCs w:val="24"/>
          <w:highlight w:val="none"/>
          <w:u w:val="single"/>
          <w:lang w:val="en-US" w:eastAsia="zh-CN"/>
        </w:rPr>
        <w:t xml:space="preserve">不</w:t>
      </w:r>
      <w:r>
        <w:rPr>
          <w:rFonts w:hint="eastAsia" w:ascii="宋体" w:hAnsi="宋体" w:cs="宋体"/>
          <w:b/>
          <w:color w:val="auto"/>
          <w:sz w:val="24"/>
          <w:szCs w:val="24"/>
          <w:highlight w:val="none"/>
          <w:u w:val="single"/>
        </w:rPr>
        <w:t xml:space="preserve">接受</w:t>
      </w:r>
      <w:r>
        <w:rPr>
          <w:rFonts w:hint="eastAsia" w:ascii="宋体" w:hAnsi="宋体" w:cs="宋体"/>
          <w:bCs/>
          <w:color w:val="auto"/>
          <w:sz w:val="24"/>
          <w:szCs w:val="24"/>
          <w:highlight w:val="none"/>
        </w:rPr>
        <w:t xml:space="preserve">联合体投标</w:t>
      </w:r>
      <w:r>
        <w:rPr>
          <w:rFonts w:hint="eastAsia" w:ascii="宋体" w:hAnsi="宋体" w:cs="宋体"/>
          <w:bCs/>
          <w:color w:val="auto"/>
          <w:sz w:val="24"/>
          <w:szCs w:val="24"/>
          <w:highlight w:val="none"/>
          <w:lang w:eastAsia="zh-CN"/>
        </w:rPr>
        <w:t xml:space="preserve">。</w:t>
      </w:r>
      <w:r/>
    </w:p>
    <w:p>
      <w:pPr>
        <w:ind w:left="-59" w:firstLine="480"/>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（二）投标供应商资格要求</w:t>
      </w:r>
      <w:r/>
    </w:p>
    <w:p>
      <w:pPr>
        <w:ind w:firstLine="480"/>
        <w:widowControl/>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widowControl/>
        <w:rPr>
          <w:rFonts w:ascii="宋体" w:hAnsi="宋体"/>
          <w:color w:val="auto"/>
          <w:sz w:val="24"/>
          <w:szCs w:val="24"/>
          <w:highlight w:val="none"/>
        </w:rPr>
      </w:pPr>
      <w:r>
        <w:rPr>
          <w:rFonts w:hint="eastAsia" w:ascii="宋体" w:hAnsi="宋体"/>
          <w:color w:val="auto"/>
          <w:sz w:val="24"/>
          <w:szCs w:val="24"/>
          <w:highlight w:val="none"/>
        </w:rPr>
        <w:t xml:space="preserve">2.未被“信用中国”网站（</w:t>
      </w:r>
      <w:r>
        <w:rPr>
          <w:rFonts w:ascii="宋体" w:hAnsi="宋体"/>
          <w:color w:val="auto"/>
          <w:sz w:val="24"/>
          <w:szCs w:val="24"/>
          <w:highlight w:val="none"/>
        </w:rPr>
        <w:t xml:space="preserve">www.creditchina.gov.cn</w:t>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w:t>
      </w:r>
      <w:r/>
    </w:p>
    <w:p>
      <w:pPr>
        <w:ind w:firstLine="480"/>
        <w:widowControl/>
        <w:rPr>
          <w:rFonts w:hint="eastAsia" w:ascii="宋体" w:hAnsi="宋体"/>
          <w:color w:val="auto"/>
          <w:sz w:val="24"/>
          <w:szCs w:val="24"/>
          <w:highlight w:val="none"/>
        </w:rPr>
      </w:pPr>
      <w:r>
        <w:rPr>
          <w:rFonts w:hint="eastAsia" w:ascii="宋体" w:hAnsi="宋体"/>
          <w:color w:val="auto"/>
          <w:sz w:val="24"/>
          <w:szCs w:val="24"/>
          <w:highlight w:val="none"/>
        </w:rPr>
        <w:t xml:space="preserve">3、落实政府采购政策需满足的资格要求：本项目专门面向中小微企业，货物制造商应为中/小/微企业或监狱企业或残疾人福利性单位；</w:t>
      </w:r>
      <w:r/>
    </w:p>
    <w:p>
      <w:pPr>
        <w:ind w:firstLine="480"/>
        <w:widowControl/>
        <w:rPr>
          <w:rFonts w:hint="eastAsia" w:ascii="宋体" w:hAnsi="宋体"/>
          <w:color w:val="auto"/>
          <w:sz w:val="24"/>
          <w:szCs w:val="24"/>
          <w:highlight w:val="none"/>
        </w:rPr>
      </w:pPr>
      <w:r>
        <w:rPr>
          <w:rFonts w:hint="eastAsia" w:ascii="宋体" w:hAnsi="宋体"/>
          <w:color w:val="auto"/>
          <w:sz w:val="24"/>
          <w:szCs w:val="24"/>
          <w:highlight w:val="none"/>
        </w:rPr>
        <w:t xml:space="preserve">4、本项目的特定资格要求：/；</w:t>
      </w:r>
      <w:r/>
    </w:p>
    <w:p>
      <w:pPr>
        <w:ind w:firstLine="480"/>
        <w:widowControl/>
        <w:rPr>
          <w:rFonts w:hint="eastAsia" w:ascii="宋体" w:hAnsi="宋体"/>
          <w:color w:val="auto"/>
          <w:sz w:val="24"/>
          <w:szCs w:val="24"/>
          <w:highlight w:val="none"/>
        </w:rPr>
      </w:pPr>
      <w:r>
        <w:rPr>
          <w:rFonts w:hint="eastAsia" w:ascii="宋体" w:hAnsi="宋体"/>
          <w:color w:val="auto"/>
          <w:sz w:val="24"/>
          <w:szCs w:val="24"/>
          <w:highlight w:val="none"/>
        </w:rPr>
        <w:t xml:space="preserve">5、本项目不接受联合体投标。</w:t>
      </w:r>
      <w:r/>
    </w:p>
    <w:p>
      <w:pPr>
        <w:ind w:left="-59" w:firstLine="480"/>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left="-59" w:firstLine="480"/>
        <w:rPr>
          <w:rFonts w:ascii="宋体" w:hAnsi="宋体"/>
          <w:color w:val="auto"/>
          <w:sz w:val="24"/>
          <w:szCs w:val="24"/>
          <w:highlight w:val="none"/>
        </w:rPr>
      </w:pPr>
      <w:r>
        <w:rPr>
          <w:rFonts w:hint="eastAsia" w:ascii="宋体" w:hAnsi="宋体"/>
          <w:color w:val="auto"/>
          <w:sz w:val="24"/>
          <w:szCs w:val="24"/>
          <w:highlight w:val="none"/>
        </w:rPr>
        <w:t xml:space="preserve">（1）访问“江苏省政府采购（苏采云）平台”（以下简称“苏采云”）进行账号注册，注册完成后需在系统中填写资质信息并提交审核。也可以直接通过http://jszfcg.jsczt.cn/进入注册界面。</w:t>
      </w:r>
      <w:r/>
    </w:p>
    <w:p>
      <w:pPr>
        <w:ind w:left="-59" w:firstLine="480"/>
        <w:rPr>
          <w:rFonts w:ascii="宋体" w:hAnsi="宋体"/>
          <w:color w:val="auto"/>
          <w:sz w:val="24"/>
          <w:szCs w:val="24"/>
          <w:highlight w:val="none"/>
        </w:rPr>
      </w:pPr>
      <w:r>
        <w:rPr>
          <w:rFonts w:hint="eastAsia" w:ascii="宋体" w:hAnsi="宋体"/>
          <w:color w:val="auto"/>
          <w:sz w:val="24"/>
          <w:szCs w:val="24"/>
          <w:highlight w:val="none"/>
        </w:rPr>
        <w:t xml:space="preserve">（2）办理“意源”CA数字证书和“方正”电子签章（办理地址：无锡市滨湖区观山路199号12号楼二楼9号、10号窗口），办理指南链接：http://jsxcmm.com/help/help.html。</w:t>
      </w:r>
      <w:r/>
    </w:p>
    <w:p>
      <w:pPr>
        <w:ind w:left="-59" w:firstLine="480"/>
        <w:rPr>
          <w:rFonts w:ascii="宋体" w:hAnsi="宋体"/>
          <w:color w:val="auto"/>
          <w:sz w:val="24"/>
          <w:szCs w:val="24"/>
          <w:highlight w:val="none"/>
        </w:rPr>
      </w:pPr>
      <w:r>
        <w:rPr>
          <w:rFonts w:hint="eastAsia" w:ascii="宋体" w:hAnsi="宋体"/>
          <w:color w:val="auto"/>
          <w:sz w:val="24"/>
          <w:szCs w:val="24"/>
          <w:highlight w:val="none"/>
        </w:rPr>
        <w:t xml:space="preserve">（3）CA驱动下载：</w:t>
      </w:r>
      <w:r/>
    </w:p>
    <w:p>
      <w:pPr>
        <w:ind w:left="-59" w:firstLine="480"/>
        <w:rPr>
          <w:rFonts w:ascii="宋体" w:hAnsi="宋体"/>
          <w:color w:val="auto"/>
          <w:sz w:val="24"/>
          <w:szCs w:val="24"/>
          <w:highlight w:val="none"/>
        </w:rPr>
      </w:pPr>
      <w:r>
        <w:rPr>
          <w:rFonts w:hint="eastAsia" w:ascii="宋体" w:hAnsi="宋体"/>
          <w:color w:val="auto"/>
          <w:sz w:val="24"/>
          <w:szCs w:val="24"/>
          <w:highlight w:val="none"/>
        </w:rPr>
        <w:t xml:space="preserve">在“江苏省政府采购（苏采云）平台”账号登录页面，点击“驱动下载”链接中的“政务CA、方正签章控件驱动安装包及安装说明”可以直接下载驱动安装包，安装包中附有驱动安装手册。</w:t>
      </w:r>
      <w:r/>
    </w:p>
    <w:p>
      <w:pPr>
        <w:ind w:left="-59" w:firstLine="480"/>
        <w:rPr>
          <w:rFonts w:ascii="宋体" w:hAnsi="宋体"/>
          <w:color w:val="auto"/>
          <w:sz w:val="24"/>
          <w:szCs w:val="24"/>
          <w:highlight w:val="none"/>
        </w:rPr>
      </w:pPr>
      <w:r>
        <w:rPr>
          <w:rFonts w:hint="eastAsia" w:ascii="宋体" w:hAnsi="宋体"/>
          <w:color w:val="auto"/>
          <w:sz w:val="24"/>
          <w:szCs w:val="24"/>
          <w:highlight w:val="none"/>
        </w:rPr>
        <w:t xml:space="preserve">技术服务电话：0510-81827781（服务时间：工作日 9:00-11:30，13:00-17:00）</w:t>
      </w:r>
      <w:r/>
    </w:p>
    <w:p>
      <w:pPr>
        <w:ind w:left="-59" w:firstLine="480"/>
        <w:rPr>
          <w:rFonts w:ascii="宋体" w:hAnsi="宋体"/>
          <w:color w:val="auto"/>
          <w:sz w:val="24"/>
          <w:szCs w:val="24"/>
          <w:highlight w:val="none"/>
        </w:rPr>
      </w:pPr>
      <w:r>
        <w:rPr>
          <w:rFonts w:hint="eastAsia" w:ascii="宋体" w:hAnsi="宋体"/>
          <w:color w:val="auto"/>
          <w:sz w:val="24"/>
          <w:szCs w:val="24"/>
          <w:highlight w:val="none"/>
        </w:rPr>
        <w:t xml:space="preserve">2.完成苏采云注册的供应商方可在苏采云中进行CA绑定。登录“江苏省政府采购（苏采云）平台”，插入CA后，点击【账号设置】——【绑定CA】。</w:t>
      </w:r>
      <w:r/>
    </w:p>
    <w:p>
      <w:pPr>
        <w:ind w:left="-59" w:firstLine="480"/>
        <w:rPr>
          <w:rFonts w:ascii="宋体" w:hAnsi="宋体"/>
          <w:color w:val="auto"/>
          <w:sz w:val="24"/>
          <w:szCs w:val="24"/>
          <w:highlight w:val="none"/>
        </w:rPr>
      </w:pPr>
      <w:r>
        <w:rPr>
          <w:rFonts w:hint="eastAsia" w:ascii="宋体" w:hAnsi="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left="-59" w:firstLine="480"/>
        <w:rPr>
          <w:rFonts w:ascii="宋体" w:hAnsi="宋体"/>
          <w:color w:val="auto"/>
          <w:sz w:val="24"/>
          <w:szCs w:val="24"/>
          <w:highlight w:val="none"/>
        </w:rPr>
      </w:pPr>
      <w:r>
        <w:rPr>
          <w:rFonts w:hint="eastAsia" w:ascii="宋体" w:hAnsi="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jc w:val="left"/>
        <w:widowControl/>
        <w:rPr>
          <w:rFonts w:ascii="宋体" w:hAnsi="宋体"/>
          <w:color w:val="auto"/>
          <w:sz w:val="24"/>
          <w:szCs w:val="24"/>
          <w:highlight w:val="none"/>
        </w:rPr>
      </w:pPr>
      <w:r>
        <w:rPr>
          <w:rFonts w:hint="eastAsia" w:ascii="宋体" w:hAnsi="宋体"/>
          <w:color w:val="auto"/>
          <w:sz w:val="24"/>
          <w:szCs w:val="24"/>
          <w:highlight w:val="none"/>
        </w:rPr>
        <w:t xml:space="preserve">技术支持QQ：田女士：3071474382；王先生：897651173。</w:t>
      </w:r>
      <w:r/>
    </w:p>
    <w:p>
      <w:pPr>
        <w:ind w:left="-59" w:firstLine="480"/>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（四）获取招标文件</w:t>
      </w:r>
      <w:r/>
    </w:p>
    <w:p>
      <w:pPr>
        <w:ind w:firstLine="480"/>
        <w:jc w:val="left"/>
        <w:widowControl/>
        <w:rPr>
          <w:rFonts w:ascii="宋体" w:hAnsi="宋体" w:cs="宋体"/>
          <w:color w:val="auto"/>
          <w:sz w:val="24"/>
          <w:szCs w:val="24"/>
          <w:highlight w:val="none"/>
        </w:rPr>
      </w:pPr>
      <w:r>
        <w:rPr>
          <w:rFonts w:hint="eastAsia" w:ascii="宋体" w:hAnsi="宋体"/>
          <w:color w:val="auto"/>
          <w:sz w:val="24"/>
          <w:szCs w:val="24"/>
          <w:highlight w:val="none"/>
        </w:rPr>
        <w:t xml:space="preserve">潜在投标供应商如确定投标，必须在苏采云平台（http://jszfcg.jsczt.cn/jszc/login）中免费下载公开招标文件[在江苏省政府采购（苏采云）平台或“政府采购客户端（苏采云）”中免费下载文件（“项目参与”——找到需要获取招标文件的项目，点击“我要参与”——“参与投标”——“下载文件”）]，完成项目报名，方可按要求制作、上传投标文件。供应商须对招标文件各项内容做出实质性响应，否则其投标文件无效。</w:t>
      </w:r>
      <w:r/>
    </w:p>
    <w:p>
      <w:pPr>
        <w:ind w:left="-59" w:firstLine="480"/>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（五）公开答疑时间、地点</w:t>
      </w:r>
      <w:r/>
    </w:p>
    <w:p>
      <w:pPr>
        <w:ind w:firstLine="480"/>
        <w:jc w:val="left"/>
        <w:widowControl/>
        <w:rPr>
          <w:rFonts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lang w:eastAsia="zh-CN"/>
        </w:rPr>
        <w:t xml:space="preserve">江苏新桂工程咨询有限公司</w:t>
      </w:r>
      <w:r>
        <w:rPr>
          <w:rFonts w:hint="eastAsia" w:ascii="宋体" w:hAnsi="宋体"/>
          <w:bCs/>
          <w:color w:val="auto"/>
          <w:sz w:val="24"/>
          <w:szCs w:val="24"/>
          <w:highlight w:val="none"/>
        </w:rPr>
        <w:t xml:space="preserve">将以电话咨询、电子邮箱等方式开展线上不见面答疑服务。截至</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rPr>
        <w:t xml:space="preserve">2日10:00</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投标供应商如有需要对招标文件要求澄清的问题，请以电子邮箱形式</w:t>
      </w:r>
      <w:r>
        <w:rPr>
          <w:rFonts w:hint="eastAsia" w:ascii="宋体" w:hAnsi="宋体"/>
          <w:b/>
          <w:bCs/>
          <w:color w:val="auto"/>
          <w:sz w:val="24"/>
          <w:szCs w:val="24"/>
          <w:highlight w:val="none"/>
        </w:rPr>
        <w:t xml:space="preserve">（必须加盖投标供应商公章，也请务必留下联系方式，以便回复</w:t>
      </w:r>
      <w:r>
        <w:rPr>
          <w:rFonts w:hint="eastAsia" w:ascii="宋体" w:hAnsi="宋体"/>
          <w:b/>
          <w:bCs/>
          <w:color w:val="auto"/>
          <w:sz w:val="24"/>
          <w:szCs w:val="24"/>
          <w:highlight w:val="none"/>
        </w:rPr>
        <w:t xml:space="preserve">）</w:t>
      </w:r>
      <w:r>
        <w:rPr>
          <w:rFonts w:hint="eastAsia" w:ascii="宋体" w:hAnsi="宋体"/>
          <w:color w:val="auto"/>
          <w:sz w:val="24"/>
          <w:szCs w:val="24"/>
          <w:highlight w:val="none"/>
        </w:rPr>
        <w:t xml:space="preserve">提出“</w:t>
      </w:r>
      <w:r>
        <w:rPr>
          <w:rFonts w:hint="eastAsia" w:ascii="宋体" w:hAnsi="宋体"/>
          <w:color w:val="auto"/>
          <w:sz w:val="24"/>
          <w:szCs w:val="24"/>
          <w:highlight w:val="none"/>
          <w:lang w:eastAsia="zh-CN"/>
        </w:rPr>
        <w:t xml:space="preserve">JSZC-320205-WXXG-G2026-0010</w:t>
      </w:r>
      <w:r>
        <w:rPr>
          <w:rFonts w:hint="eastAsia" w:ascii="宋体" w:hAnsi="宋体"/>
          <w:color w:val="auto"/>
          <w:sz w:val="24"/>
          <w:szCs w:val="24"/>
          <w:highlight w:val="none"/>
        </w:rPr>
        <w:t xml:space="preserve">项目需澄清问题”</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并于答疑</w:t>
      </w:r>
      <w:r>
        <w:rPr>
          <w:rFonts w:hint="eastAsia" w:ascii="宋体" w:hAnsi="宋体"/>
          <w:bCs/>
          <w:color w:val="auto"/>
          <w:sz w:val="24"/>
          <w:szCs w:val="24"/>
          <w:highlight w:val="none"/>
        </w:rPr>
        <w:t xml:space="preserve">截止时间前发送至邮箱</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487572551@qq.com</w:t>
      </w:r>
      <w:r>
        <w:rPr>
          <w:rFonts w:hint="eastAsia" w:ascii="宋体" w:hAnsi="宋体"/>
          <w:color w:val="auto"/>
          <w:sz w:val="24"/>
          <w:szCs w:val="24"/>
          <w:highlight w:val="none"/>
        </w:rPr>
        <w:t xml:space="preserve">）给项目联系人</w:t>
      </w:r>
      <w:r>
        <w:rPr>
          <w:rFonts w:hint="eastAsia" w:ascii="宋体" w:hAnsi="宋体"/>
          <w:bCs/>
          <w:color w:val="auto"/>
          <w:sz w:val="24"/>
          <w:szCs w:val="24"/>
          <w:highlight w:val="none"/>
        </w:rPr>
        <w:t xml:space="preserve">。若未在法定时间内提出澄清，由此造成的损失及风险由投标供应商自行承担。</w:t>
      </w:r>
      <w:r/>
    </w:p>
    <w:p>
      <w:pPr>
        <w:ind w:firstLine="480"/>
        <w:jc w:val="left"/>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（六）投标及开标、定标时间、地点</w:t>
      </w:r>
      <w:r/>
    </w:p>
    <w:p>
      <w:pPr>
        <w:ind w:firstLine="480"/>
        <w:jc w:val="left"/>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本项目进行线上采购活动，供应商准备好制作标书的笔记本电脑、CA锁（国信CA），在投标截止时间前半小时，登录苏采云网上开标大厅签到，在我代理机构人员开启标书解密后，方可解密，</w:t>
      </w:r>
      <w:r>
        <w:rPr>
          <w:rFonts w:hint="eastAsia" w:ascii="宋体" w:hAnsi="宋体" w:eastAsia="黑体" w:cs="宋体"/>
          <w:color w:val="auto"/>
          <w:sz w:val="24"/>
          <w:szCs w:val="24"/>
          <w:highlight w:val="none"/>
        </w:rPr>
        <w:t xml:space="preserve">请在规定时间内登录网上开标大厅参与采购活动。  </w:t>
      </w:r>
      <w:r/>
    </w:p>
    <w:p>
      <w:pPr>
        <w:ind w:firstLine="480"/>
        <w:jc w:val="left"/>
        <w:widowControl/>
        <w:rPr>
          <w:rFonts w:ascii="宋体" w:hAnsi="宋体"/>
          <w:color w:val="auto"/>
          <w:sz w:val="24"/>
          <w:szCs w:val="24"/>
          <w:highlight w:val="none"/>
        </w:rPr>
      </w:pPr>
      <w:r>
        <w:rPr>
          <w:rFonts w:hint="eastAsia" w:ascii="宋体" w:hAnsi="宋体"/>
          <w:color w:val="auto"/>
          <w:sz w:val="24"/>
          <w:szCs w:val="24"/>
          <w:highlight w:val="none"/>
        </w:rPr>
        <w:t xml:space="preserve">投标截止时间（苏采云投标客户端投标）：</w:t>
      </w:r>
      <w:r>
        <w:rPr>
          <w:rFonts w:hint="eastAsia" w:ascii="宋体" w:hAnsi="宋体" w:cs="宋体"/>
          <w:color w:val="auto"/>
          <w:sz w:val="24"/>
          <w:szCs w:val="24"/>
          <w:highlight w:val="none"/>
        </w:rPr>
        <w:t xml:space="preserve">2026年6月18日</w:t>
      </w:r>
      <w:r>
        <w:rPr>
          <w:rFonts w:hint="eastAsia" w:ascii="宋体" w:hAnsi="宋体"/>
          <w:bCs/>
          <w:color w:val="auto"/>
          <w:sz w:val="24"/>
          <w:szCs w:val="24"/>
          <w:highlight w:val="none"/>
        </w:rPr>
        <w:t xml:space="preserve">9:30</w:t>
      </w:r>
      <w:r>
        <w:rPr>
          <w:rFonts w:hint="eastAsia" w:ascii="宋体" w:hAnsi="宋体"/>
          <w:color w:val="auto"/>
          <w:sz w:val="24"/>
          <w:szCs w:val="24"/>
          <w:highlight w:val="none"/>
        </w:rPr>
        <w:t xml:space="preserve">，投标截止时间后的投标文件恕不接受</w:t>
      </w:r>
      <w:r/>
    </w:p>
    <w:p>
      <w:pPr>
        <w:ind w:firstLine="480"/>
        <w:jc w:val="left"/>
        <w:widowControl/>
        <w:rPr>
          <w:rFonts w:ascii="宋体" w:hAnsi="宋体"/>
          <w:color w:val="auto"/>
          <w:sz w:val="24"/>
          <w:szCs w:val="24"/>
          <w:highlight w:val="none"/>
        </w:rPr>
      </w:pPr>
      <w:r>
        <w:rPr>
          <w:rFonts w:hint="eastAsia" w:ascii="宋体" w:hAnsi="宋体"/>
          <w:color w:val="auto"/>
          <w:sz w:val="24"/>
          <w:szCs w:val="24"/>
          <w:highlight w:val="none"/>
        </w:rPr>
        <w:t xml:space="preserve">开标时间（网上投标解密时间）：</w:t>
      </w:r>
      <w:r>
        <w:rPr>
          <w:rFonts w:hint="eastAsia" w:ascii="宋体" w:hAnsi="宋体" w:cs="宋体"/>
          <w:color w:val="auto"/>
          <w:sz w:val="24"/>
          <w:szCs w:val="24"/>
          <w:highlight w:val="none"/>
        </w:rPr>
        <w:t xml:space="preserve">2026年6月18日</w:t>
      </w:r>
      <w:r>
        <w:rPr>
          <w:rFonts w:hint="eastAsia" w:ascii="宋体" w:hAnsi="宋体"/>
          <w:color w:val="auto"/>
          <w:sz w:val="24"/>
          <w:szCs w:val="24"/>
          <w:highlight w:val="none"/>
        </w:rPr>
        <w:t xml:space="preserve">开启解密后半小时。</w:t>
      </w:r>
      <w:r/>
    </w:p>
    <w:p>
      <w:pPr>
        <w:ind w:firstLine="480"/>
        <w:jc w:val="left"/>
        <w:widowControl/>
        <w:rPr>
          <w:rFonts w:ascii="宋体" w:hAnsi="宋体"/>
          <w:color w:val="auto"/>
          <w:sz w:val="24"/>
          <w:szCs w:val="24"/>
          <w:highlight w:val="none"/>
        </w:rPr>
      </w:pPr>
      <w:r>
        <w:rPr>
          <w:rFonts w:hint="eastAsia" w:ascii="宋体" w:hAnsi="宋体"/>
          <w:color w:val="auto"/>
          <w:sz w:val="24"/>
          <w:szCs w:val="24"/>
          <w:highlight w:val="none"/>
        </w:rPr>
        <w:t xml:space="preserve">投标及开标地点：</w:t>
      </w:r>
      <w:r>
        <w:rPr>
          <w:rFonts w:hint="eastAsia" w:ascii="宋体" w:hAnsi="宋体" w:cs="宋体"/>
          <w:color w:val="auto"/>
          <w:sz w:val="24"/>
          <w:szCs w:val="24"/>
          <w:highlight w:val="none"/>
        </w:rPr>
        <w:t xml:space="preserve">江苏省政府采购（苏采云）平台。</w:t>
      </w:r>
      <w:r/>
    </w:p>
    <w:p>
      <w:pPr>
        <w:ind w:firstLine="480"/>
        <w:jc w:val="left"/>
        <w:widowControl/>
        <w:rPr>
          <w:rFonts w:ascii="宋体" w:hAnsi="宋体"/>
          <w:color w:val="auto"/>
          <w:sz w:val="24"/>
          <w:szCs w:val="24"/>
          <w:highlight w:val="none"/>
        </w:rPr>
      </w:pPr>
      <w:r>
        <w:rPr>
          <w:rFonts w:hint="eastAsia" w:ascii="宋体" w:hAnsi="宋体"/>
          <w:color w:val="auto"/>
          <w:sz w:val="24"/>
          <w:szCs w:val="24"/>
          <w:highlight w:val="none"/>
        </w:rPr>
        <w:t xml:space="preserve">定标时间：评标结束。</w:t>
      </w:r>
      <w:r/>
    </w:p>
    <w:p>
      <w:pPr>
        <w:ind w:firstLine="480"/>
        <w:jc w:val="left"/>
        <w:widowControl/>
        <w:rPr>
          <w:rFonts w:ascii="宋体" w:hAnsi="宋体"/>
          <w:color w:val="auto"/>
          <w:sz w:val="24"/>
          <w:szCs w:val="24"/>
          <w:highlight w:val="none"/>
        </w:rPr>
      </w:pPr>
      <w:r>
        <w:rPr>
          <w:rFonts w:hint="eastAsia" w:ascii="宋体" w:hAnsi="宋体"/>
          <w:color w:val="auto"/>
          <w:sz w:val="24"/>
          <w:szCs w:val="24"/>
          <w:highlight w:val="none"/>
        </w:rPr>
        <w:t xml:space="preserve">定标地点：</w:t>
      </w:r>
      <w:r>
        <w:rPr>
          <w:rFonts w:hint="eastAsia" w:ascii="宋体" w:hAnsi="宋体" w:cs="宋体"/>
          <w:color w:val="auto"/>
          <w:sz w:val="24"/>
          <w:szCs w:val="24"/>
          <w:highlight w:val="none"/>
        </w:rPr>
        <w:t xml:space="preserve">江苏省政府采购（苏采云）平台</w:t>
      </w:r>
      <w:r>
        <w:rPr>
          <w:rFonts w:hint="eastAsia" w:ascii="宋体" w:hAnsi="宋体" w:cs="宋体"/>
          <w:bCs/>
          <w:color w:val="auto"/>
          <w:sz w:val="24"/>
          <w:szCs w:val="24"/>
          <w:highlight w:val="none"/>
        </w:rPr>
        <w:t xml:space="preserve">。</w:t>
      </w:r>
      <w:r/>
    </w:p>
    <w:p>
      <w:pPr>
        <w:ind w:firstLine="480"/>
        <w:rPr>
          <w:rFonts w:ascii="宋体" w:hAnsi="宋体"/>
          <w:bCs/>
          <w:color w:val="auto"/>
          <w:sz w:val="24"/>
          <w:szCs w:val="24"/>
          <w:highlight w:val="none"/>
        </w:rPr>
      </w:pPr>
      <w:r>
        <w:rPr>
          <w:rFonts w:hint="eastAsia" w:ascii="黑体" w:hAnsi="黑体" w:eastAsia="黑体"/>
          <w:bCs/>
          <w:color w:val="auto"/>
          <w:sz w:val="24"/>
          <w:szCs w:val="24"/>
          <w:highlight w:val="none"/>
        </w:rPr>
        <w:t xml:space="preserve">（七）投标文件份数：</w:t>
      </w:r>
      <w:r>
        <w:rPr>
          <w:rFonts w:hint="eastAsia" w:ascii="宋体" w:hAnsi="宋体"/>
          <w:bCs/>
          <w:color w:val="auto"/>
          <w:sz w:val="24"/>
          <w:szCs w:val="24"/>
          <w:highlight w:val="none"/>
        </w:rPr>
        <w:t xml:space="preserve">请按规定上传电子投标文件，不接收纸质投标文件。</w:t>
      </w:r>
      <w:r/>
    </w:p>
    <w:p>
      <w:pPr>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（八）投标有效期：</w:t>
      </w:r>
      <w:r>
        <w:rPr>
          <w:rFonts w:hint="eastAsia" w:ascii="宋体" w:hAnsi="宋体"/>
          <w:bCs/>
          <w:color w:val="auto"/>
          <w:sz w:val="24"/>
          <w:szCs w:val="24"/>
          <w:highlight w:val="none"/>
        </w:rPr>
        <w:t xml:space="preserve">投标文件递交截止之日起90天</w:t>
      </w:r>
      <w:r/>
    </w:p>
    <w:p>
      <w:pPr>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（九）采购方法：</w:t>
      </w:r>
      <w:r/>
    </w:p>
    <w:p>
      <w:pPr>
        <w:ind w:firstLine="480"/>
        <w:jc w:val="left"/>
        <w:widowControl/>
        <w:rPr>
          <w:rFonts w:ascii="宋体" w:hAnsi="宋体"/>
          <w:color w:val="auto"/>
          <w:sz w:val="24"/>
          <w:szCs w:val="24"/>
          <w:highlight w:val="none"/>
        </w:rPr>
      </w:pPr>
      <w:r>
        <w:rPr>
          <w:rFonts w:hint="eastAsia" w:ascii="宋体" w:hAnsi="宋体"/>
          <w:color w:val="auto"/>
          <w:sz w:val="24"/>
          <w:szCs w:val="24"/>
          <w:highlight w:val="none"/>
        </w:rPr>
        <w:t xml:space="preserve">本次采购采用《无锡市政府采购交易管理一体化系统》进行招标投标活动，招标、投标、评标和中标结果发布全程电子化。</w:t>
      </w:r>
      <w:r/>
    </w:p>
    <w:p>
      <w:pPr>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（十）其他</w:t>
      </w:r>
      <w:r/>
    </w:p>
    <w:p>
      <w:pPr>
        <w:ind w:firstLine="480"/>
        <w:rPr>
          <w:rFonts w:hint="eastAsia" w:hAnsi="宋体" w:eastAsia="宋体"/>
          <w:color w:val="auto"/>
          <w:sz w:val="24"/>
          <w:highlight w:val="none"/>
          <w:lang w:eastAsia="zh-CN"/>
        </w:rPr>
      </w:pPr>
      <w:r>
        <w:rPr>
          <w:rFonts w:hint="eastAsia" w:ascii="宋体" w:hAnsi="宋体"/>
          <w:bCs/>
          <w:color w:val="auto"/>
          <w:sz w:val="24"/>
          <w:szCs w:val="24"/>
          <w:highlight w:val="none"/>
        </w:rPr>
        <w:t xml:space="preserve">采购人：</w:t>
      </w:r>
      <w:r>
        <w:rPr>
          <w:rFonts w:hint="eastAsia" w:hAnsi="宋体"/>
          <w:color w:val="auto"/>
          <w:sz w:val="24"/>
          <w:highlight w:val="none"/>
          <w:lang w:eastAsia="zh-CN"/>
        </w:rPr>
        <w:t xml:space="preserve">江苏省锡东高级中学大成分校</w:t>
      </w:r>
      <w:r/>
    </w:p>
    <w:p>
      <w:pPr>
        <w:ind w:firstLine="480"/>
        <w:widowControl/>
        <w:rPr>
          <w:rFonts w:hint="eastAsia" w:ascii="宋体" w:hAnsi="宋体"/>
          <w:bCs/>
          <w:color w:val="auto"/>
          <w:sz w:val="24"/>
          <w:szCs w:val="24"/>
          <w:highlight w:val="none"/>
        </w:rPr>
      </w:pPr>
      <w:r>
        <w:rPr>
          <w:rFonts w:hint="eastAsia" w:ascii="宋体" w:hAnsi="宋体"/>
          <w:color w:val="auto"/>
          <w:sz w:val="24"/>
          <w:highlight w:val="none"/>
        </w:rPr>
        <w:t xml:space="preserve">采购人地址：</w:t>
      </w:r>
      <w:r>
        <w:rPr>
          <w:rFonts w:hint="eastAsia" w:ascii="宋体" w:hAnsi="宋体"/>
          <w:bCs/>
          <w:color w:val="auto"/>
          <w:sz w:val="24"/>
          <w:szCs w:val="24"/>
          <w:highlight w:val="none"/>
        </w:rPr>
        <w:t xml:space="preserve">无锡市锡山区厚桥街道东盛路1068号</w:t>
      </w:r>
      <w:r/>
    </w:p>
    <w:p>
      <w:pPr>
        <w:ind w:firstLine="480"/>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联 系 人：汪政</w:t>
      </w:r>
      <w:r/>
    </w:p>
    <w:p>
      <w:pPr>
        <w:ind w:firstLine="480"/>
        <w:widowControl/>
        <w:rPr>
          <w:color w:val="auto"/>
          <w:highlight w:val="none"/>
        </w:rPr>
      </w:pPr>
      <w:r>
        <w:rPr>
          <w:rFonts w:hint="eastAsia" w:ascii="宋体" w:hAnsi="宋体"/>
          <w:bCs/>
          <w:color w:val="auto"/>
          <w:sz w:val="24"/>
          <w:szCs w:val="24"/>
          <w:highlight w:val="none"/>
        </w:rPr>
        <w:t xml:space="preserve">联系方式：0510-88714393</w:t>
      </w:r>
      <w:r/>
    </w:p>
    <w:p>
      <w:pPr>
        <w:ind w:firstLine="48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采购代理机构：</w:t>
      </w:r>
      <w:r>
        <w:rPr>
          <w:rFonts w:hint="eastAsia" w:ascii="宋体" w:hAnsi="宋体"/>
          <w:bCs/>
          <w:color w:val="auto"/>
          <w:sz w:val="24"/>
          <w:szCs w:val="24"/>
          <w:highlight w:val="none"/>
          <w:lang w:eastAsia="zh-CN"/>
        </w:rPr>
        <w:t xml:space="preserve">江苏新桂工程咨询有限公司</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代理机构地址：无锡市滨湖区太湖西大道2188号9楼904室</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代理机构联系人：宗玲</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代理机构电话：18021186726</w:t>
      </w:r>
      <w:r/>
    </w:p>
    <w:p>
      <w:pPr>
        <w:ind w:firstLine="480"/>
        <w:widowControl/>
        <w:rPr>
          <w:rFonts w:ascii="宋体" w:hAnsi="宋体" w:cs="宋体"/>
          <w:color w:val="auto"/>
          <w:sz w:val="24"/>
          <w:szCs w:val="24"/>
          <w:highlight w:val="none"/>
        </w:rPr>
      </w:pPr>
      <w:r>
        <w:rPr>
          <w:rFonts w:hint="eastAsia" w:ascii="宋体" w:hAnsi="宋体"/>
          <w:bCs/>
          <w:color w:val="auto"/>
          <w:sz w:val="24"/>
          <w:szCs w:val="24"/>
          <w:highlight w:val="none"/>
        </w:rPr>
        <w:t xml:space="preserve">代理机构邮编：214000</w:t>
      </w:r>
      <w:r/>
    </w:p>
    <w:p>
      <w:pPr>
        <w:pStyle w:val="1021"/>
        <w:ind w:left="0" w:firstLine="0"/>
        <w:rPr>
          <w:color w:val="auto"/>
          <w:sz w:val="36"/>
          <w:szCs w:val="28"/>
          <w:highlight w:val="none"/>
        </w:rPr>
      </w:pPr>
      <w:r>
        <w:rPr>
          <w:color w:val="auto"/>
          <w:sz w:val="36"/>
          <w:szCs w:val="28"/>
          <w:highlight w:val="none"/>
        </w:rPr>
        <w:br w:type="page" w:clear="all"/>
      </w:r>
      <w:r>
        <w:rPr>
          <w:color w:val="auto"/>
          <w:sz w:val="36"/>
          <w:szCs w:val="28"/>
          <w:highlight w:val="none"/>
        </w:rPr>
        <w:t xml:space="preserve">二、</w:t>
      </w:r>
      <w:r>
        <w:rPr>
          <w:rFonts w:hint="eastAsia"/>
          <w:color w:val="auto"/>
          <w:sz w:val="36"/>
          <w:szCs w:val="28"/>
          <w:highlight w:val="none"/>
        </w:rPr>
        <w:t xml:space="preserve">投标供应商</w:t>
      </w:r>
      <w:r>
        <w:rPr>
          <w:color w:val="auto"/>
          <w:sz w:val="36"/>
          <w:szCs w:val="28"/>
          <w:highlight w:val="none"/>
        </w:rPr>
        <w:t xml:space="preserve">须知</w:t>
      </w:r>
      <w:r/>
    </w:p>
    <w:p>
      <w:pPr>
        <w:ind w:firstLine="480"/>
        <w:tabs>
          <w:tab w:val="left" w:pos="735" w:leader="none"/>
        </w:tabs>
        <w:rPr>
          <w:rFonts w:eastAsia="黑体"/>
          <w:bCs/>
          <w:color w:val="auto"/>
          <w:sz w:val="24"/>
          <w:szCs w:val="24"/>
          <w:highlight w:val="none"/>
        </w:rPr>
      </w:pPr>
      <w:r>
        <w:rPr>
          <w:rFonts w:hint="eastAsia" w:eastAsia="黑体"/>
          <w:bCs/>
          <w:color w:val="auto"/>
          <w:sz w:val="24"/>
          <w:szCs w:val="24"/>
          <w:highlight w:val="none"/>
        </w:rPr>
        <w:t xml:space="preserve">（</w:t>
      </w:r>
      <w:r>
        <w:rPr>
          <w:rFonts w:eastAsia="黑体"/>
          <w:bCs/>
          <w:color w:val="auto"/>
          <w:sz w:val="24"/>
          <w:szCs w:val="24"/>
          <w:highlight w:val="none"/>
        </w:rPr>
        <w:t xml:space="preserve">一</w:t>
      </w:r>
      <w:r>
        <w:rPr>
          <w:rFonts w:hint="eastAsia" w:eastAsia="黑体"/>
          <w:bCs/>
          <w:color w:val="auto"/>
          <w:sz w:val="24"/>
          <w:szCs w:val="24"/>
          <w:highlight w:val="none"/>
        </w:rPr>
        <w:t xml:space="preserve">）</w:t>
      </w:r>
      <w:r>
        <w:rPr>
          <w:rFonts w:eastAsia="黑体"/>
          <w:bCs/>
          <w:color w:val="auto"/>
          <w:sz w:val="24"/>
          <w:szCs w:val="24"/>
          <w:highlight w:val="none"/>
        </w:rPr>
        <w:t xml:space="preserve">遵循原则：</w:t>
      </w:r>
      <w:r/>
    </w:p>
    <w:p>
      <w:pPr>
        <w:ind w:firstLine="480"/>
        <w:rPr>
          <w:rFonts w:eastAsia="黑体"/>
          <w:bCs/>
          <w:color w:val="auto"/>
          <w:sz w:val="24"/>
          <w:szCs w:val="24"/>
          <w:highlight w:val="none"/>
        </w:rPr>
      </w:pPr>
      <w:r>
        <w:rPr>
          <w:bCs/>
          <w:color w:val="auto"/>
          <w:sz w:val="24"/>
          <w:szCs w:val="24"/>
          <w:highlight w:val="none"/>
        </w:rPr>
        <w:t xml:space="preserve">公开透明原则、公平竞争原则、公正原则和诚实信用原则。</w:t>
      </w:r>
      <w:r/>
    </w:p>
    <w:p>
      <w:pPr>
        <w:ind w:firstLine="480"/>
        <w:tabs>
          <w:tab w:val="left" w:pos="735" w:leader="none"/>
        </w:tabs>
        <w:rPr>
          <w:rFonts w:eastAsia="黑体"/>
          <w:bCs/>
          <w:color w:val="auto"/>
          <w:sz w:val="24"/>
          <w:szCs w:val="24"/>
          <w:highlight w:val="none"/>
        </w:rPr>
      </w:pPr>
      <w:r>
        <w:rPr>
          <w:rFonts w:hint="eastAsia" w:eastAsia="黑体"/>
          <w:bCs/>
          <w:color w:val="auto"/>
          <w:sz w:val="24"/>
          <w:szCs w:val="24"/>
          <w:highlight w:val="none"/>
        </w:rPr>
        <w:t xml:space="preserve">（</w:t>
      </w:r>
      <w:r>
        <w:rPr>
          <w:rFonts w:eastAsia="黑体"/>
          <w:bCs/>
          <w:color w:val="auto"/>
          <w:sz w:val="24"/>
          <w:szCs w:val="24"/>
          <w:highlight w:val="none"/>
        </w:rPr>
        <w:t xml:space="preserve">二</w:t>
      </w:r>
      <w:r>
        <w:rPr>
          <w:rFonts w:hint="eastAsia" w:eastAsia="黑体"/>
          <w:bCs/>
          <w:color w:val="auto"/>
          <w:sz w:val="24"/>
          <w:szCs w:val="24"/>
          <w:highlight w:val="none"/>
        </w:rPr>
        <w:t xml:space="preserve">）</w:t>
      </w:r>
      <w:r>
        <w:rPr>
          <w:rFonts w:eastAsia="黑体"/>
          <w:bCs/>
          <w:color w:val="auto"/>
          <w:sz w:val="24"/>
          <w:szCs w:val="24"/>
          <w:highlight w:val="none"/>
        </w:rPr>
        <w:t xml:space="preserve">招标文件：</w:t>
      </w:r>
      <w:r/>
    </w:p>
    <w:p>
      <w:pPr>
        <w:ind w:firstLine="480"/>
        <w:rPr>
          <w:rFonts w:ascii="宋体" w:hAnsi="宋体"/>
          <w:bCs/>
          <w:color w:val="auto"/>
          <w:sz w:val="24"/>
          <w:szCs w:val="24"/>
          <w:highlight w:val="none"/>
        </w:rPr>
      </w:pPr>
      <w:r>
        <w:rPr>
          <w:rFonts w:ascii="宋体" w:hAnsi="宋体"/>
          <w:bCs/>
          <w:color w:val="auto"/>
          <w:sz w:val="24"/>
          <w:szCs w:val="24"/>
          <w:highlight w:val="none"/>
        </w:rPr>
        <w:t xml:space="preserve">1．招标文件包括本文件目录所列全部内容，</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应仔细阅读，并在投标文件中充分响应招标文件的所有要求。</w:t>
      </w:r>
      <w:r/>
    </w:p>
    <w:p>
      <w:pPr>
        <w:ind w:firstLine="480"/>
        <w:jc w:val="left"/>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潜在投标供应商可在项目招标公告附件中查看公开招标文件，如确定投标，必须在苏采云平台（http://jszfcg.jsczt.cn/jszc/login）中免费下载公开招标文件[江苏省政府采购（苏采云）平台或“政府采购客户端（苏采云）”中免费下载文件（“项目参与”——找到需要获取招标文件的项目，点击“我要参与”——“参与投标”——“下载文件”）]，完成项目报名，方可按要求制作、上传投标文件。供应商须对招标文件各项内容做出实质性响应，否则其投标文件无效。</w:t>
      </w:r>
      <w:r/>
    </w:p>
    <w:p>
      <w:pPr>
        <w:ind w:firstLine="480"/>
        <w:rPr>
          <w:rFonts w:ascii="宋体" w:hAnsi="宋体"/>
          <w:bCs/>
          <w:color w:val="auto"/>
          <w:sz w:val="24"/>
          <w:szCs w:val="24"/>
          <w:highlight w:val="none"/>
        </w:rPr>
      </w:pP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一旦参加本项目投标，即表明承诺接受了本招标文件中的所有条件和规定。</w:t>
      </w:r>
      <w:r/>
    </w:p>
    <w:p>
      <w:pPr>
        <w:ind w:firstLine="480"/>
        <w:rPr>
          <w:rFonts w:ascii="宋体" w:hAnsi="宋体"/>
          <w:bCs/>
          <w:color w:val="auto"/>
          <w:sz w:val="24"/>
          <w:szCs w:val="24"/>
          <w:highlight w:val="none"/>
        </w:rPr>
      </w:pPr>
      <w:r>
        <w:rPr>
          <w:rFonts w:ascii="宋体" w:hAnsi="宋体"/>
          <w:bCs/>
          <w:color w:val="auto"/>
          <w:sz w:val="24"/>
          <w:szCs w:val="24"/>
          <w:highlight w:val="none"/>
        </w:rPr>
        <w:t xml:space="preserve">4．招标文件仅作为本次招投标使用。</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本项目</w:t>
      </w:r>
      <w:r>
        <w:rPr>
          <w:rFonts w:hint="eastAsia" w:ascii="宋体" w:hAnsi="宋体"/>
          <w:b/>
          <w:color w:val="auto"/>
          <w:sz w:val="24"/>
          <w:szCs w:val="24"/>
          <w:highlight w:val="none"/>
          <w:u w:val="single"/>
          <w:lang w:val="en-US" w:eastAsia="zh-CN"/>
        </w:rPr>
        <w:t xml:space="preserve">不</w:t>
      </w:r>
      <w:r>
        <w:rPr>
          <w:rFonts w:hint="eastAsia" w:ascii="宋体" w:hAnsi="宋体"/>
          <w:b/>
          <w:color w:val="auto"/>
          <w:sz w:val="24"/>
          <w:szCs w:val="24"/>
          <w:highlight w:val="none"/>
          <w:u w:val="single"/>
        </w:rPr>
        <w:t xml:space="preserve">接受</w:t>
      </w:r>
      <w:r>
        <w:rPr>
          <w:rFonts w:hint="eastAsia" w:ascii="宋体" w:hAnsi="宋体"/>
          <w:bCs/>
          <w:color w:val="auto"/>
          <w:sz w:val="24"/>
          <w:szCs w:val="24"/>
          <w:highlight w:val="none"/>
        </w:rPr>
        <w:t xml:space="preserve">联合体投标。</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6. 招标文件中的“法定代表人”是指投标供应商的营业执照或相关部门的登记证明文件中的“法定代表人”或“负责人”。</w:t>
      </w:r>
      <w:r/>
    </w:p>
    <w:p>
      <w:pPr>
        <w:ind w:firstLine="360"/>
        <w:tabs>
          <w:tab w:val="left" w:pos="735" w:leader="none"/>
        </w:tabs>
        <w:rPr>
          <w:rFonts w:eastAsia="黑体"/>
          <w:bCs/>
          <w:color w:val="auto"/>
          <w:sz w:val="24"/>
          <w:szCs w:val="24"/>
          <w:highlight w:val="none"/>
        </w:rPr>
      </w:pPr>
      <w:r>
        <w:rPr>
          <w:rFonts w:eastAsia="黑体"/>
          <w:bCs/>
          <w:color w:val="auto"/>
          <w:sz w:val="24"/>
          <w:szCs w:val="24"/>
          <w:highlight w:val="none"/>
        </w:rPr>
        <w:t xml:space="preserve"> </w:t>
      </w:r>
      <w:r>
        <w:rPr>
          <w:rFonts w:hint="eastAsia" w:eastAsia="黑体"/>
          <w:bCs/>
          <w:color w:val="auto"/>
          <w:sz w:val="24"/>
          <w:szCs w:val="24"/>
          <w:highlight w:val="none"/>
        </w:rPr>
        <w:t xml:space="preserve">（</w:t>
      </w:r>
      <w:r>
        <w:rPr>
          <w:rFonts w:eastAsia="黑体"/>
          <w:bCs/>
          <w:color w:val="auto"/>
          <w:sz w:val="24"/>
          <w:szCs w:val="24"/>
          <w:highlight w:val="none"/>
        </w:rPr>
        <w:t xml:space="preserve">三</w:t>
      </w:r>
      <w:r>
        <w:rPr>
          <w:rFonts w:hint="eastAsia" w:eastAsia="黑体"/>
          <w:bCs/>
          <w:color w:val="auto"/>
          <w:sz w:val="24"/>
          <w:szCs w:val="24"/>
          <w:highlight w:val="none"/>
        </w:rPr>
        <w:t xml:space="preserve">）</w:t>
      </w:r>
      <w:r>
        <w:rPr>
          <w:rFonts w:eastAsia="黑体"/>
          <w:bCs/>
          <w:color w:val="auto"/>
          <w:sz w:val="24"/>
          <w:szCs w:val="24"/>
          <w:highlight w:val="none"/>
        </w:rPr>
        <w:t xml:space="preserve">招标文件的解释：</w:t>
      </w:r>
      <w:r/>
    </w:p>
    <w:p>
      <w:pPr>
        <w:ind w:firstLine="480"/>
        <w:tabs>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本文件的最终解释权归</w:t>
      </w:r>
      <w:r>
        <w:rPr>
          <w:rFonts w:hint="eastAsia" w:ascii="宋体" w:hAnsi="宋体"/>
          <w:bCs/>
          <w:color w:val="auto"/>
          <w:sz w:val="24"/>
          <w:szCs w:val="24"/>
          <w:highlight w:val="none"/>
        </w:rPr>
        <w:t xml:space="preserve">采购人及</w:t>
      </w:r>
      <w:r>
        <w:rPr>
          <w:rFonts w:hint="eastAsia" w:ascii="宋体" w:hAnsi="宋体"/>
          <w:bCs/>
          <w:color w:val="auto"/>
          <w:sz w:val="24"/>
          <w:szCs w:val="24"/>
          <w:highlight w:val="none"/>
          <w:lang w:eastAsia="zh-CN"/>
        </w:rPr>
        <w:t xml:space="preserve">江苏新桂工程咨询有限公司</w:t>
      </w:r>
      <w:r>
        <w:rPr>
          <w:rFonts w:ascii="宋体" w:hAnsi="宋体"/>
          <w:bCs/>
          <w:color w:val="auto"/>
          <w:sz w:val="24"/>
          <w:szCs w:val="24"/>
          <w:highlight w:val="none"/>
        </w:rPr>
        <w:t xml:space="preserve">。</w:t>
      </w:r>
      <w:r/>
    </w:p>
    <w:p>
      <w:pPr>
        <w:ind w:firstLine="480"/>
        <w:rPr>
          <w:rFonts w:eastAsia="黑体"/>
          <w:bCs/>
          <w:color w:val="auto"/>
          <w:sz w:val="24"/>
          <w:szCs w:val="24"/>
          <w:highlight w:val="none"/>
        </w:rPr>
      </w:pPr>
      <w:r>
        <w:rPr>
          <w:rFonts w:hint="eastAsia" w:eastAsia="黑体"/>
          <w:bCs/>
          <w:color w:val="auto"/>
          <w:sz w:val="24"/>
          <w:szCs w:val="24"/>
          <w:highlight w:val="none"/>
        </w:rPr>
        <w:t xml:space="preserve">（</w:t>
      </w:r>
      <w:r>
        <w:rPr>
          <w:rFonts w:eastAsia="黑体"/>
          <w:bCs/>
          <w:color w:val="auto"/>
          <w:sz w:val="24"/>
          <w:szCs w:val="24"/>
          <w:highlight w:val="none"/>
        </w:rPr>
        <w:t xml:space="preserve">四</w:t>
      </w:r>
      <w:r>
        <w:rPr>
          <w:rFonts w:hint="eastAsia" w:eastAsia="黑体"/>
          <w:bCs/>
          <w:color w:val="auto"/>
          <w:sz w:val="24"/>
          <w:szCs w:val="24"/>
          <w:highlight w:val="none"/>
        </w:rPr>
        <w:t xml:space="preserve">）</w:t>
      </w:r>
      <w:r>
        <w:rPr>
          <w:rFonts w:eastAsia="黑体"/>
          <w:bCs/>
          <w:color w:val="auto"/>
          <w:sz w:val="24"/>
          <w:szCs w:val="24"/>
          <w:highlight w:val="none"/>
        </w:rPr>
        <w:t xml:space="preserve">招标文件的补充或修正： </w:t>
      </w:r>
      <w:r/>
    </w:p>
    <w:p>
      <w:pPr>
        <w:ind w:firstLine="480"/>
        <w:rPr>
          <w:rFonts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江苏新桂工程咨询有限公司</w:t>
      </w:r>
      <w:r>
        <w:rPr>
          <w:rFonts w:hint="eastAsia" w:ascii="宋体" w:hAnsi="宋体"/>
          <w:bCs/>
          <w:color w:val="auto"/>
          <w:sz w:val="24"/>
          <w:szCs w:val="24"/>
          <w:highlight w:val="none"/>
        </w:rPr>
        <w:t xml:space="preserve">可在投标截止时间15日前对招标文件进行必要的澄清或者修改，不足15日的，将顺延提交投标文件的截止时间。</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2．如需对招标文件进行澄清或修正，</w:t>
      </w:r>
      <w:r>
        <w:rPr>
          <w:rFonts w:hint="eastAsia" w:ascii="宋体" w:hAnsi="宋体"/>
          <w:bCs/>
          <w:color w:val="auto"/>
          <w:sz w:val="24"/>
          <w:szCs w:val="24"/>
          <w:highlight w:val="none"/>
          <w:lang w:eastAsia="zh-CN"/>
        </w:rPr>
        <w:t xml:space="preserve">江苏新桂工程咨询有限公司</w:t>
      </w:r>
      <w:r>
        <w:rPr>
          <w:rFonts w:hint="eastAsia" w:ascii="宋体" w:hAnsi="宋体"/>
          <w:bCs/>
          <w:color w:val="auto"/>
          <w:sz w:val="24"/>
          <w:szCs w:val="24"/>
          <w:highlight w:val="none"/>
        </w:rPr>
        <w:t xml:space="preserve">将在江苏政府采购网发布更正公告，该澄清或修正的内容为招标文件的组成部分。投标供应商应在投标截止时间前关注原招标公告媒体上发布的相关更正公告。因投标供应商未尽注意义务，未及时全面地关注更正公告导致其提交的投标材料不符合本项目招标文件要求，而造成的损失及风险（包括但不限于未中标）由投标供应商自行承担。</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bCs/>
          <w:color w:val="auto"/>
          <w:sz w:val="24"/>
          <w:szCs w:val="24"/>
          <w:highlight w:val="none"/>
          <w:lang w:eastAsia="zh-CN"/>
        </w:rPr>
        <w:t xml:space="preserve">江苏新桂工程咨询有限公司</w:t>
      </w:r>
      <w:r>
        <w:rPr>
          <w:rFonts w:hint="eastAsia" w:ascii="宋体" w:hAnsi="宋体"/>
          <w:bCs/>
          <w:color w:val="auto"/>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bCs/>
          <w:color w:val="auto"/>
          <w:sz w:val="24"/>
          <w:szCs w:val="24"/>
          <w:highlight w:val="none"/>
          <w:lang w:eastAsia="zh-CN"/>
        </w:rPr>
        <w:t xml:space="preserve">江苏新桂工程咨询有限公司</w:t>
      </w:r>
      <w:r>
        <w:rPr>
          <w:rFonts w:hint="eastAsia" w:ascii="宋体" w:hAnsi="宋体"/>
          <w:bCs/>
          <w:color w:val="auto"/>
          <w:sz w:val="24"/>
          <w:szCs w:val="24"/>
          <w:highlight w:val="none"/>
        </w:rPr>
        <w:t xml:space="preserve">将在收到符合上述要求的书面质疑后七个工作日内，对质疑内容作出答复。投标供应商在法定质疑期限外送达的质疑函或法定质疑期限内送达的质疑函不符合上述要求的均为无效质疑，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江苏新桂工程咨询有限公司</w:t>
      </w:r>
      <w:r>
        <w:rPr>
          <w:rFonts w:hint="eastAsia" w:ascii="宋体" w:hAnsi="宋体"/>
          <w:bCs/>
          <w:color w:val="auto"/>
          <w:sz w:val="24"/>
          <w:szCs w:val="24"/>
          <w:highlight w:val="none"/>
        </w:rPr>
        <w:t xml:space="preserve">对无效质疑不予受理。</w:t>
      </w:r>
      <w:r/>
    </w:p>
    <w:p>
      <w:pPr>
        <w:ind w:firstLine="480"/>
        <w:tabs>
          <w:tab w:val="left" w:pos="1050" w:leader="none"/>
        </w:tabs>
        <w:rPr>
          <w:rFonts w:eastAsia="黑体"/>
          <w:bCs/>
          <w:color w:val="auto"/>
          <w:sz w:val="24"/>
          <w:szCs w:val="24"/>
          <w:highlight w:val="none"/>
        </w:rPr>
      </w:pPr>
      <w:r>
        <w:rPr>
          <w:rFonts w:eastAsia="黑体"/>
          <w:bCs/>
          <w:color w:val="auto"/>
          <w:sz w:val="24"/>
          <w:szCs w:val="24"/>
          <w:highlight w:val="none"/>
        </w:rPr>
        <w:t xml:space="preserve"> </w:t>
      </w:r>
      <w:r>
        <w:rPr>
          <w:rFonts w:hint="eastAsia" w:eastAsia="黑体"/>
          <w:bCs/>
          <w:color w:val="auto"/>
          <w:sz w:val="24"/>
          <w:szCs w:val="24"/>
          <w:highlight w:val="none"/>
        </w:rPr>
        <w:t xml:space="preserve">（</w:t>
      </w:r>
      <w:r>
        <w:rPr>
          <w:rFonts w:eastAsia="黑体"/>
          <w:bCs/>
          <w:color w:val="auto"/>
          <w:sz w:val="24"/>
          <w:szCs w:val="24"/>
          <w:highlight w:val="none"/>
        </w:rPr>
        <w:t xml:space="preserve">五</w:t>
      </w:r>
      <w:r>
        <w:rPr>
          <w:rFonts w:hint="eastAsia" w:eastAsia="黑体"/>
          <w:bCs/>
          <w:color w:val="auto"/>
          <w:sz w:val="24"/>
          <w:szCs w:val="24"/>
          <w:highlight w:val="none"/>
        </w:rPr>
        <w:t xml:space="preserve">）</w:t>
      </w:r>
      <w:r>
        <w:rPr>
          <w:rFonts w:eastAsia="黑体"/>
          <w:bCs/>
          <w:color w:val="auto"/>
          <w:sz w:val="24"/>
          <w:szCs w:val="24"/>
          <w:highlight w:val="none"/>
        </w:rPr>
        <w:t xml:space="preserve">投标文件的组成：</w:t>
      </w:r>
      <w:r/>
    </w:p>
    <w:p>
      <w:pPr>
        <w:ind w:firstLine="480"/>
        <w:tabs>
          <w:tab w:val="left" w:pos="1050" w:leader="none"/>
        </w:tabs>
        <w:rPr>
          <w:rFonts w:ascii="宋体" w:hAnsi="宋体"/>
          <w:b/>
          <w:color w:val="auto"/>
          <w:sz w:val="24"/>
          <w:highlight w:val="none"/>
        </w:rPr>
      </w:pPr>
      <w:r/>
      <w:bookmarkStart w:id="0" w:name="_Hlk6917373"/>
      <w:r>
        <w:rPr>
          <w:rFonts w:hint="eastAsia" w:ascii="宋体" w:hAnsi="宋体"/>
          <w:b/>
          <w:color w:val="auto"/>
          <w:sz w:val="24"/>
          <w:highlight w:val="none"/>
        </w:rPr>
        <w:t xml:space="preserve">投标文件包括明标部分及暗标部分</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相应内容上传至投标客户端。</w:t>
      </w:r>
      <w:bookmarkEnd w:id="0"/>
      <w:r/>
    </w:p>
    <w:p>
      <w:pPr>
        <w:ind w:left="0" w:firstLine="480"/>
        <w:jc w:val="both"/>
        <w:keepLines w:val="0"/>
        <w:keepNext w:val="0"/>
        <w:pageBreakBefore w:val="0"/>
        <w:spacing w:line="360" w:lineRule="auto"/>
        <w:widowControl w:val="off"/>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明标部分：</w:t>
      </w:r>
      <w:r/>
    </w:p>
    <w:p>
      <w:pPr>
        <w:ind w:left="0" w:firstLine="480"/>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1.投标函</w:t>
      </w:r>
      <w:r>
        <w:rPr>
          <w:rFonts w:hint="eastAsia" w:ascii="宋体" w:hAnsi="宋体" w:eastAsia="宋体" w:cs="宋体"/>
          <w:b/>
          <w:bCs w:val="0"/>
          <w:color w:val="auto"/>
          <w:sz w:val="24"/>
          <w:szCs w:val="24"/>
          <w:highlight w:val="none"/>
        </w:rPr>
        <w:t xml:space="preserve">（格式见附件）</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2.资格、资信证明文件</w:t>
      </w:r>
      <w:r>
        <w:rPr>
          <w:rFonts w:hint="eastAsia" w:ascii="宋体" w:hAnsi="宋体" w:eastAsia="宋体" w:cs="宋体"/>
          <w:b/>
          <w:bCs w:val="0"/>
          <w:color w:val="auto"/>
          <w:sz w:val="24"/>
          <w:szCs w:val="24"/>
          <w:highlight w:val="none"/>
        </w:rPr>
        <w:t xml:space="preserve">（扫描后上传</w:t>
      </w:r>
      <w:r>
        <w:rPr>
          <w:rFonts w:hint="eastAsia" w:ascii="宋体" w:hAnsi="宋体" w:cs="宋体"/>
          <w:b/>
          <w:bCs w:val="0"/>
          <w:color w:val="auto"/>
          <w:sz w:val="24"/>
          <w:szCs w:val="24"/>
          <w:highlight w:val="none"/>
          <w:lang w:val="en-US" w:eastAsia="zh-CN"/>
        </w:rPr>
        <w:t xml:space="preserve">至投标文件</w:t>
      </w:r>
      <w:r>
        <w:rPr>
          <w:rFonts w:hint="eastAsia" w:ascii="宋体" w:hAnsi="宋体" w:eastAsia="宋体" w:cs="宋体"/>
          <w:b/>
          <w:bCs w:val="0"/>
          <w:color w:val="auto"/>
          <w:sz w:val="24"/>
          <w:szCs w:val="24"/>
          <w:highlight w:val="none"/>
        </w:rPr>
        <w:t xml:space="preserve">，身份证应为正、反面）</w:t>
      </w:r>
      <w:r>
        <w:rPr>
          <w:rFonts w:hint="eastAsia" w:ascii="宋体" w:hAnsi="宋体" w:eastAsia="宋体" w:cs="宋体"/>
          <w:bCs/>
          <w:color w:val="auto"/>
          <w:sz w:val="24"/>
          <w:szCs w:val="24"/>
          <w:highlight w:val="none"/>
        </w:rPr>
        <w:t xml:space="preserve">：</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val="0"/>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具有独立承担民事责任能力的供应商营业执照或相关部门的登记证明文件扫描件加盖公章（投标人如是允许以分支机构身份参加投标的，提供投标人分支机构的营业执照扫描件；投标人如是自然人情形的，提供有效身份证扫描件</w:t>
      </w:r>
      <w:r>
        <w:rPr>
          <w:rFonts w:hint="eastAsia" w:ascii="宋体" w:hAnsi="宋体" w:cs="宋体"/>
          <w:bCs/>
          <w:color w:val="auto"/>
          <w:sz w:val="24"/>
          <w:szCs w:val="24"/>
          <w:highlight w:val="none"/>
          <w:lang w:eastAsia="zh-CN"/>
        </w:rPr>
        <w:t xml:space="preserve">）；</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（3）投标供应商法定代表人授权委托书加盖公章</w:t>
      </w:r>
      <w:r>
        <w:rPr>
          <w:rFonts w:hint="eastAsia" w:ascii="宋体" w:hAnsi="宋体" w:eastAsia="宋体" w:cs="宋体"/>
          <w:b/>
          <w:bCs w:val="0"/>
          <w:color w:val="auto"/>
          <w:sz w:val="24"/>
          <w:szCs w:val="24"/>
          <w:highlight w:val="none"/>
        </w:rPr>
        <w:t xml:space="preserve">（格式见附件，法定代表人亲自参加投标的除外）</w:t>
      </w:r>
      <w:r>
        <w:rPr>
          <w:rFonts w:hint="eastAsia" w:ascii="宋体" w:hAnsi="宋体" w:cs="宋体"/>
          <w:b/>
          <w:bCs w:val="0"/>
          <w:color w:val="auto"/>
          <w:sz w:val="24"/>
          <w:szCs w:val="24"/>
          <w:highlight w:val="none"/>
          <w:lang w:eastAsia="zh-CN"/>
        </w:rPr>
        <w:t xml:space="preserve">；</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（4）投标供应商法定代表人身份证</w:t>
      </w:r>
      <w:r>
        <w:rPr>
          <w:rFonts w:hint="eastAsia" w:ascii="宋体" w:hAnsi="宋体" w:cs="宋体"/>
          <w:bCs/>
          <w:color w:val="auto"/>
          <w:sz w:val="24"/>
          <w:szCs w:val="24"/>
          <w:highlight w:val="none"/>
          <w:lang w:val="en-US" w:eastAsia="zh-CN"/>
        </w:rPr>
        <w:t xml:space="preserve">扫描件加盖公章</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正、反面</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（5）投标供应商法定代表人授权代表身份证扫描件加盖公章（</w:t>
      </w:r>
      <w:r>
        <w:rPr>
          <w:rFonts w:hint="eastAsia" w:ascii="宋体" w:hAnsi="宋体" w:eastAsia="宋体" w:cs="宋体"/>
          <w:bCs/>
          <w:color w:val="auto"/>
          <w:sz w:val="24"/>
          <w:szCs w:val="24"/>
          <w:highlight w:val="none"/>
          <w:lang w:val="en-US" w:eastAsia="zh-CN"/>
        </w:rPr>
        <w:t xml:space="preserve">正、反面</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法定代表人亲自参加投标的除外）；</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）投标供应商近三个月中任意一个月份（不含</w:t>
      </w:r>
      <w:r>
        <w:rPr>
          <w:rFonts w:hint="eastAsia" w:ascii="宋体" w:hAnsi="宋体" w:cs="宋体"/>
          <w:bCs/>
          <w:color w:val="auto"/>
          <w:sz w:val="24"/>
          <w:szCs w:val="24"/>
          <w:highlight w:val="none"/>
          <w:lang w:val="en-US" w:eastAsia="zh-CN"/>
        </w:rPr>
        <w:t xml:space="preserve">开</w:t>
      </w:r>
      <w:r>
        <w:rPr>
          <w:rFonts w:hint="eastAsia" w:ascii="宋体" w:hAnsi="宋体" w:eastAsia="宋体" w:cs="宋体"/>
          <w:bCs/>
          <w:color w:val="auto"/>
          <w:sz w:val="24"/>
          <w:szCs w:val="24"/>
          <w:highlight w:val="none"/>
        </w:rPr>
        <w:t xml:space="preserve">标当月）的财务状况报告（资产负债表和利润表）或由会计师事务所出具的近两年中任意一个年度的审计报告和所附已审财务报告扫描件，新成立的公司（成立不满三个自然月的公司、企业）除外；</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）投标供应商近三个月中任意一个月份（不含</w:t>
      </w:r>
      <w:r>
        <w:rPr>
          <w:rFonts w:hint="eastAsia" w:ascii="宋体" w:hAnsi="宋体" w:cs="宋体"/>
          <w:bCs/>
          <w:color w:val="auto"/>
          <w:sz w:val="24"/>
          <w:szCs w:val="24"/>
          <w:highlight w:val="none"/>
          <w:lang w:val="en-US" w:eastAsia="zh-CN"/>
        </w:rPr>
        <w:t xml:space="preserve">开</w:t>
      </w:r>
      <w:r>
        <w:rPr>
          <w:rFonts w:hint="eastAsia" w:ascii="宋体" w:hAnsi="宋体" w:eastAsia="宋体" w:cs="宋体"/>
          <w:bCs/>
          <w:color w:val="auto"/>
          <w:sz w:val="24"/>
          <w:szCs w:val="24"/>
          <w:highlight w:val="none"/>
        </w:rPr>
        <w:t xml:space="preserve">标当月）的依法缴纳税收的相关材料（提供相关主管部门证明或银行代扣证明）扫描件，若供应商无需依法缴纳税收，请提供纳税申报表；</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）投标供应商近三个月中任意一个月份（不含</w:t>
      </w:r>
      <w:r>
        <w:rPr>
          <w:rFonts w:hint="eastAsia" w:ascii="宋体" w:hAnsi="宋体" w:cs="宋体"/>
          <w:bCs/>
          <w:color w:val="auto"/>
          <w:sz w:val="24"/>
          <w:szCs w:val="24"/>
          <w:highlight w:val="none"/>
          <w:lang w:val="en-US" w:eastAsia="zh-CN"/>
        </w:rPr>
        <w:t xml:space="preserve">开</w:t>
      </w:r>
      <w:r>
        <w:rPr>
          <w:rFonts w:hint="eastAsia" w:ascii="宋体" w:hAnsi="宋体" w:eastAsia="宋体" w:cs="宋体"/>
          <w:bCs/>
          <w:color w:val="auto"/>
          <w:sz w:val="24"/>
          <w:szCs w:val="24"/>
          <w:highlight w:val="none"/>
        </w:rPr>
        <w:t xml:space="preserve">标当月）的依法缴纳社会保障资金的相关材料（提供相关主管部门证明或银行代扣证明）扫描件，新成立的公司（成立不满三个自然月的公司、企业）除外；</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）中小企业声明函</w:t>
      </w:r>
      <w:r>
        <w:rPr>
          <w:rFonts w:hint="eastAsia" w:ascii="宋体" w:hAnsi="宋体" w:eastAsia="宋体" w:cs="宋体"/>
          <w:b/>
          <w:bCs w:val="0"/>
          <w:color w:val="auto"/>
          <w:sz w:val="24"/>
          <w:szCs w:val="24"/>
          <w:highlight w:val="none"/>
        </w:rPr>
        <w:t xml:space="preserve">（格式见附件）</w:t>
      </w:r>
      <w:r>
        <w:rPr>
          <w:rFonts w:hint="eastAsia" w:ascii="宋体" w:hAnsi="宋体" w:eastAsia="宋体" w:cs="宋体"/>
          <w:bCs/>
          <w:color w:val="auto"/>
          <w:sz w:val="24"/>
          <w:szCs w:val="24"/>
          <w:highlight w:val="none"/>
        </w:rPr>
        <w:t xml:space="preserve">或残疾人福利性单位声明函</w:t>
      </w:r>
      <w:r>
        <w:rPr>
          <w:rFonts w:hint="eastAsia" w:ascii="宋体" w:hAnsi="宋体" w:eastAsia="宋体" w:cs="宋体"/>
          <w:b/>
          <w:bCs w:val="0"/>
          <w:color w:val="auto"/>
          <w:sz w:val="24"/>
          <w:szCs w:val="24"/>
          <w:highlight w:val="none"/>
        </w:rPr>
        <w:t xml:space="preserve">（格式见附件）</w:t>
      </w:r>
      <w:r>
        <w:rPr>
          <w:rFonts w:hint="eastAsia" w:ascii="宋体" w:hAnsi="宋体" w:eastAsia="宋体" w:cs="宋体"/>
          <w:bCs/>
          <w:color w:val="auto"/>
          <w:sz w:val="24"/>
          <w:szCs w:val="24"/>
          <w:highlight w:val="none"/>
        </w:rPr>
        <w:t xml:space="preserve">或由省级以上监狱管理局、戒毒管理局(含新疆生产建设兵团)出具的属于监狱企业的证明文件扫描件加盖公章</w:t>
      </w:r>
      <w:r>
        <w:rPr>
          <w:rFonts w:hint="eastAsia" w:ascii="宋体" w:hAnsi="宋体" w:cs="宋体"/>
          <w:bCs/>
          <w:color w:val="auto"/>
          <w:sz w:val="24"/>
          <w:szCs w:val="24"/>
          <w:highlight w:val="none"/>
          <w:lang w:eastAsia="zh-CN"/>
        </w:rPr>
        <w:t xml:space="preserve">。</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3.开标一览表</w:t>
      </w:r>
      <w:r>
        <w:rPr>
          <w:rFonts w:hint="eastAsia" w:ascii="宋体" w:hAnsi="宋体" w:eastAsia="宋体" w:cs="宋体"/>
          <w:b/>
          <w:bCs w:val="0"/>
          <w:color w:val="auto"/>
          <w:sz w:val="24"/>
          <w:szCs w:val="24"/>
          <w:highlight w:val="none"/>
        </w:rPr>
        <w:t xml:space="preserve">（格式见附件）</w:t>
      </w:r>
      <w:r/>
    </w:p>
    <w:p>
      <w:pPr>
        <w:ind w:left="0" w:firstLine="480"/>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cs="宋体"/>
          <w:bCs/>
          <w:color w:val="auto"/>
          <w:sz w:val="24"/>
          <w:szCs w:val="24"/>
          <w:highlight w:val="none"/>
          <w:lang w:val="en-US" w:eastAsia="zh-CN"/>
        </w:rPr>
        <w:t xml:space="preserve">明细报价</w:t>
      </w:r>
      <w:r>
        <w:rPr>
          <w:rFonts w:hint="eastAsia" w:ascii="宋体" w:hAnsi="宋体" w:eastAsia="宋体" w:cs="宋体"/>
          <w:bCs/>
          <w:color w:val="auto"/>
          <w:sz w:val="24"/>
          <w:szCs w:val="24"/>
          <w:highlight w:val="none"/>
        </w:rPr>
        <w:t xml:space="preserve">表</w:t>
      </w:r>
      <w:r>
        <w:rPr>
          <w:rFonts w:hint="eastAsia" w:ascii="宋体" w:hAnsi="宋体" w:eastAsia="宋体" w:cs="宋体"/>
          <w:b/>
          <w:bCs w:val="0"/>
          <w:color w:val="auto"/>
          <w:sz w:val="24"/>
          <w:szCs w:val="24"/>
          <w:highlight w:val="none"/>
        </w:rPr>
        <w:t xml:space="preserve">（格式见附件）</w:t>
      </w:r>
      <w:r/>
    </w:p>
    <w:p>
      <w:pPr>
        <w:ind w:left="0" w:firstLine="480"/>
        <w:jc w:val="both"/>
        <w:keepLines w:val="0"/>
        <w:keepNext w:val="0"/>
        <w:pageBreakBefore w:val="0"/>
        <w:spacing w:line="360" w:lineRule="auto"/>
        <w:widowControl w:val="off"/>
        <w:rPr>
          <w:rFonts w:hint="default" w:ascii="宋体" w:hAnsi="宋体" w:eastAsia="宋体" w:cs="宋体"/>
          <w:b/>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cs="宋体"/>
          <w:b w:val="0"/>
          <w:bCs/>
          <w:color w:val="auto"/>
          <w:sz w:val="24"/>
          <w:szCs w:val="24"/>
          <w:highlight w:val="none"/>
          <w:lang w:val="en-US" w:eastAsia="zh-CN"/>
        </w:rPr>
        <w:t xml:space="preserve">投标</w:t>
      </w:r>
      <w:r>
        <w:rPr>
          <w:rFonts w:hint="eastAsia" w:ascii="宋体" w:hAnsi="宋体" w:eastAsia="宋体" w:cs="宋体"/>
          <w:b w:val="0"/>
          <w:bCs/>
          <w:color w:val="auto"/>
          <w:sz w:val="24"/>
          <w:szCs w:val="24"/>
          <w:highlight w:val="none"/>
          <w:lang w:val="en-US" w:eastAsia="zh-CN"/>
        </w:rPr>
        <w:t xml:space="preserve">偏离表（</w:t>
      </w:r>
      <w:r>
        <w:rPr>
          <w:rFonts w:hint="eastAsia" w:ascii="宋体" w:hAnsi="宋体" w:eastAsia="宋体" w:cs="宋体"/>
          <w:b/>
          <w:bCs w:val="0"/>
          <w:color w:val="auto"/>
          <w:sz w:val="24"/>
          <w:szCs w:val="24"/>
          <w:highlight w:val="none"/>
          <w:lang w:val="en-US" w:eastAsia="zh-CN"/>
        </w:rPr>
        <w:t xml:space="preserve">格式见附件）</w:t>
      </w:r>
      <w:r/>
    </w:p>
    <w:p>
      <w:pPr>
        <w:ind w:left="0" w:firstLine="480"/>
        <w:jc w:val="both"/>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服务保障承诺书</w:t>
      </w:r>
      <w:r>
        <w:rPr>
          <w:rFonts w:hint="eastAsia" w:ascii="宋体" w:hAnsi="宋体" w:eastAsia="宋体" w:cs="宋体"/>
          <w:b/>
          <w:bCs w:val="0"/>
          <w:color w:val="auto"/>
          <w:sz w:val="24"/>
          <w:szCs w:val="24"/>
          <w:highlight w:val="none"/>
        </w:rPr>
        <w:t xml:space="preserve">（格式见附件）</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w:t>
      </w:r>
      <w:r>
        <w:rPr>
          <w:rFonts w:hint="eastAsia" w:ascii="宋体" w:hAnsi="宋体" w:cs="宋体"/>
          <w:bCs/>
          <w:color w:val="auto"/>
          <w:sz w:val="24"/>
          <w:szCs w:val="24"/>
          <w:highlight w:val="none"/>
          <w:lang w:val="en-US" w:eastAsia="zh-CN"/>
        </w:rPr>
        <w:t xml:space="preserve">基本</w:t>
      </w:r>
      <w:r>
        <w:rPr>
          <w:rFonts w:hint="eastAsia" w:ascii="宋体" w:hAnsi="宋体" w:eastAsia="宋体" w:cs="宋体"/>
          <w:bCs/>
          <w:color w:val="auto"/>
          <w:sz w:val="24"/>
          <w:szCs w:val="24"/>
          <w:highlight w:val="none"/>
        </w:rPr>
        <w:t xml:space="preserve">情况表（格式见附件）</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.提供第三章项目技术要求和有关说明中需提供的相关证明材料（如有）</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.评分标准中对应的其他所需证明材料（详见评分标准）</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.要求采购人提供的配合（如有格式自拟并自行添加）</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.其他（投标供应商认为有必要提供的声明和文件，如有格式自拟并自行添加）</w:t>
      </w:r>
      <w:r/>
    </w:p>
    <w:p>
      <w:pPr>
        <w:ind w:left="0" w:right="0" w:firstLine="602"/>
        <w:keepLines w:val="0"/>
        <w:keepNext w:val="0"/>
        <w:pageBreakBefore w:val="0"/>
        <w:spacing w:line="360" w:lineRule="auto"/>
        <w:rPr>
          <w:rFonts w:hint="eastAsia" w:ascii="宋体" w:hAnsi="宋体"/>
          <w:bCs/>
          <w:color w:val="auto"/>
          <w:sz w:val="24"/>
          <w:highlight w:val="none"/>
        </w:rPr>
      </w:pPr>
      <w:r>
        <w:rPr>
          <w:rFonts w:hint="eastAsia" w:ascii="宋体" w:hAnsi="宋体"/>
          <w:b/>
          <w:color w:val="auto"/>
          <w:sz w:val="30"/>
          <w:szCs w:val="30"/>
          <w:highlight w:val="none"/>
        </w:rPr>
        <w:t xml:space="preserve">暗标部分：</w:t>
      </w:r>
      <w:r/>
    </w:p>
    <w:p>
      <w:p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技术文件</w:t>
      </w:r>
      <w:r/>
    </w:p>
    <w:p>
      <w:pPr>
        <w:ind w:left="0" w:firstLine="480"/>
        <w:jc w:val="both"/>
        <w:keepLines w:val="0"/>
        <w:keepNext w:val="0"/>
        <w:pageBreakBefore w:val="0"/>
        <w:spacing w:line="360" w:lineRule="auto"/>
        <w:widowControl w:val="off"/>
        <w:rPr>
          <w:bCs/>
          <w:color w:val="auto"/>
          <w:sz w:val="24"/>
          <w:szCs w:val="24"/>
          <w:highlight w:val="none"/>
        </w:rPr>
      </w:pPr>
      <w:r>
        <w:rPr>
          <w:rFonts w:hint="eastAsia" w:ascii="宋体" w:hAnsi="宋体" w:eastAsia="宋体" w:cs="宋体"/>
          <w:bCs/>
          <w:color w:val="auto"/>
          <w:sz w:val="24"/>
          <w:szCs w:val="24"/>
          <w:highlight w:val="none"/>
        </w:rPr>
        <w:t xml:space="preserve">上述</w:t>
      </w:r>
      <w:r>
        <w:rPr>
          <w:rFonts w:hint="eastAsia" w:ascii="宋体" w:hAnsi="宋体" w:eastAsia="宋体" w:cs="宋体"/>
          <w:bCs/>
          <w:color w:val="auto"/>
          <w:sz w:val="24"/>
          <w:szCs w:val="24"/>
          <w:highlight w:val="none"/>
          <w:lang w:val="en-US" w:eastAsia="zh-CN"/>
        </w:rPr>
        <w:t xml:space="preserve">明标部分</w:t>
      </w: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暗标部分，</w:t>
      </w:r>
      <w:r>
        <w:rPr>
          <w:rFonts w:hint="eastAsia" w:ascii="宋体" w:hAnsi="宋体" w:eastAsia="宋体" w:cs="宋体"/>
          <w:bCs/>
          <w:color w:val="auto"/>
          <w:sz w:val="24"/>
          <w:szCs w:val="24"/>
          <w:highlight w:val="none"/>
        </w:rPr>
        <w:t xml:space="preserve">投标供应商必须按要求全部提供，否则投标文件无效。如上述资格证明文件遇年检、换证，则必须提供法定年检、换证单位出具的有效证明扫描件。如上述资格证明文件第（</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）（7）（8）</w:t>
      </w:r>
      <w:r>
        <w:rPr>
          <w:rFonts w:hint="eastAsia" w:ascii="宋体" w:hAnsi="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项遇有国家相关政策规定可不具备的，必须提供相关政策规定或相关单位出具的有效证明扫描件。投标供应商法定代表人或法定代表人授权代表为外籍、港、澳、台地区人士的，其身份证明须提供有效的护照或港澳同胞来往内地通行证、台湾同胞来往大陆通行证，</w:t>
      </w:r>
      <w:r>
        <w:rPr>
          <w:rFonts w:hint="eastAsia" w:ascii="宋体" w:hAnsi="宋体" w:cs="宋体"/>
          <w:bCs/>
          <w:color w:val="auto"/>
          <w:sz w:val="24"/>
          <w:szCs w:val="24"/>
          <w:highlight w:val="none"/>
          <w:lang w:eastAsia="zh-CN"/>
        </w:rPr>
        <w:t xml:space="preserve">或其他</w:t>
      </w:r>
      <w:r>
        <w:rPr>
          <w:rFonts w:hint="eastAsia" w:ascii="宋体" w:hAnsi="宋体" w:eastAsia="宋体" w:cs="宋体"/>
          <w:bCs/>
          <w:color w:val="auto"/>
          <w:sz w:val="24"/>
          <w:szCs w:val="24"/>
          <w:highlight w:val="none"/>
        </w:rPr>
        <w:t xml:space="preserve">可在中国大陆有效居留的许可证明。</w:t>
      </w:r>
      <w:r/>
    </w:p>
    <w:p>
      <w:pPr>
        <w:numPr>
          <w:ilvl w:val="0"/>
          <w:numId w:val="5"/>
        </w:numPr>
        <w:tabs>
          <w:tab w:val="left" w:pos="525"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投标文件的要求：</w:t>
      </w:r>
      <w:r/>
    </w:p>
    <w:p>
      <w:pPr>
        <w:numPr>
          <w:ilvl w:val="1"/>
          <w:numId w:val="6"/>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所有文件、往来函件均应使用简体中文（规格、型号辅助符号除外）。</w:t>
      </w:r>
      <w:r/>
    </w:p>
    <w:p>
      <w:pPr>
        <w:numPr>
          <w:ilvl w:val="1"/>
          <w:numId w:val="6"/>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投标文件由投标供应商按给定格式如实填写（编写），须有法人（签章）、法定代表人或被授权代表签字或签章，方为有效，未尽事宜可自行补充。</w:t>
      </w:r>
      <w:r/>
    </w:p>
    <w:p>
      <w:pPr>
        <w:numPr>
          <w:ilvl w:val="1"/>
          <w:numId w:val="6"/>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投标供应商报价一律以人民币为报价结算货币，结算单位为“元”。</w:t>
      </w:r>
      <w:r/>
    </w:p>
    <w:p>
      <w:pPr>
        <w:numPr>
          <w:ilvl w:val="1"/>
          <w:numId w:val="6"/>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投标费用自理。</w:t>
      </w:r>
      <w:r/>
    </w:p>
    <w:p>
      <w:pPr>
        <w:numPr>
          <w:ilvl w:val="1"/>
          <w:numId w:val="6"/>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投标供应商应由其法定代表人或法定代表人授权代表在规定的网上投标时间内，凭CA数字证书登录系统获取招标文件，按要求制作投标文件（电子数据），并在投标截止时间之前上传投标文件。</w:t>
      </w:r>
      <w:r/>
    </w:p>
    <w:p>
      <w:pPr>
        <w:numPr>
          <w:ilvl w:val="1"/>
          <w:numId w:val="6"/>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投标供应商应对CA数字证书妥善保管，如被他人盗用投标，后果自负。</w:t>
      </w:r>
      <w:r/>
    </w:p>
    <w:p>
      <w:pPr>
        <w:numPr>
          <w:ilvl w:val="1"/>
          <w:numId w:val="6"/>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投标供应商按招标文件规定的网上解密时间进行解密，如未按时解密后果自负。</w:t>
      </w:r>
      <w:r/>
    </w:p>
    <w:p>
      <w:pPr>
        <w:numPr>
          <w:ilvl w:val="1"/>
          <w:numId w:val="6"/>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投标供应商应当对招标文件提出的要求和条件作出实质性响应，并在电子投标系统逐条应答。</w:t>
      </w:r>
      <w:r/>
    </w:p>
    <w:p>
      <w:pPr>
        <w:numPr>
          <w:ilvl w:val="1"/>
          <w:numId w:val="6"/>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投标供应商应对要求提供的资格证明文件（如资质证书、资格证书）、技术资料（如白皮书、彩页、手册、业绩、报告等）扫描上传至投标系统。</w:t>
      </w:r>
      <w:r/>
    </w:p>
    <w:p>
      <w:pPr>
        <w:ind w:firstLine="482"/>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10、</w:t>
      </w:r>
      <w:r>
        <w:rPr>
          <w:rFonts w:hint="eastAsia" w:ascii="宋体" w:hAnsi="宋体"/>
          <w:b/>
          <w:bCs/>
          <w:color w:val="auto"/>
          <w:sz w:val="24"/>
          <w:highlight w:val="none"/>
        </w:rPr>
        <w:t xml:space="preserve">特别注意：评分标准中除投标报价以外，还须包含明标和暗标两大部分，其暗标编制要求如下：</w:t>
      </w:r>
      <w:r/>
    </w:p>
    <w:p>
      <w:pPr>
        <w:ind w:firstLine="482"/>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b/>
          <w:bCs/>
          <w:color w:val="auto"/>
          <w:sz w:val="24"/>
          <w:highlight w:val="none"/>
        </w:rPr>
      </w:pPr>
      <w:r>
        <w:rPr>
          <w:rFonts w:hint="eastAsia" w:ascii="宋体" w:hAnsi="宋体"/>
          <w:b/>
          <w:bCs/>
          <w:color w:val="auto"/>
          <w:sz w:val="24"/>
          <w:highlight w:val="none"/>
        </w:rPr>
        <w:t xml:space="preserve">(1)暗标编制应按采购文件规定的格式制作，要求版面整洁、字迹清楚、不得涂改、不得标注。</w:t>
      </w:r>
      <w:r/>
    </w:p>
    <w:p>
      <w:pPr>
        <w:ind w:firstLine="482"/>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b/>
          <w:bCs/>
          <w:color w:val="auto"/>
          <w:sz w:val="24"/>
          <w:highlight w:val="none"/>
          <w:lang w:eastAsia="zh-CN"/>
        </w:rPr>
      </w:pPr>
      <w:r>
        <w:rPr>
          <w:rFonts w:hint="eastAsia" w:ascii="宋体" w:hAnsi="宋体"/>
          <w:b/>
          <w:bCs/>
          <w:color w:val="auto"/>
          <w:sz w:val="24"/>
          <w:highlight w:val="none"/>
        </w:rPr>
        <w:t xml:space="preserve">(2)暗标所有正文中不得出现可识别供应商身份的任何字符、徽标，包括文字、符号、图案、标识、标志、人员姓名、企业名称、以往项目名称、投标人独有的标准名称或编号等，不得出现其他具有标识性作用的符号、图案等，也不得采用任何不符合常规、有别于其他供应商的特殊做法</w:t>
      </w:r>
      <w:r>
        <w:rPr>
          <w:rFonts w:hint="eastAsia" w:ascii="宋体" w:hAnsi="宋体"/>
          <w:b/>
          <w:bCs/>
          <w:color w:val="auto"/>
          <w:sz w:val="24"/>
          <w:highlight w:val="none"/>
          <w:lang w:eastAsia="zh-CN"/>
        </w:rPr>
        <w:t xml:space="preserve">。</w:t>
      </w:r>
      <w:r/>
    </w:p>
    <w:p>
      <w:pPr>
        <w:ind w:firstLine="480"/>
        <w:tabs>
          <w:tab w:val="left" w:pos="525" w:leader="none"/>
        </w:tabs>
        <w:rPr>
          <w:rFonts w:eastAsia="黑体"/>
          <w:bCs/>
          <w:color w:val="auto"/>
          <w:sz w:val="24"/>
          <w:szCs w:val="24"/>
          <w:highlight w:val="none"/>
        </w:rPr>
      </w:pPr>
      <w:r>
        <w:rPr>
          <w:rFonts w:hint="eastAsia" w:eastAsia="黑体"/>
          <w:bCs/>
          <w:color w:val="auto"/>
          <w:sz w:val="24"/>
          <w:szCs w:val="24"/>
          <w:highlight w:val="none"/>
        </w:rPr>
        <w:t xml:space="preserve">（七）网上投标</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供应商应由其法定代表人或法定代表人授权代表在规定的网上投标时间内，凭CA数字证书登录政府采购交易管理一体化系统获取招标文件，在苏采云投标客户端制作投标文件（电子数据），并在投标截止时间之前上传投标文件。</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2.投标供应商应对CA数字证书妥善保管，如被他人盗用投标，后果自负。</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3.投标供应商按招标文件规定的网上解密时间进行解密，如未按时解密后果自负。</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4.投标供应商应当对招标文件提出的要求和条件作出实质性响应，并在电子投标系统逐条应答。</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5.投标供应商应对要求提供的资格证明文件（如资质证书、资格证书）、技术资料（如白皮书、彩页、手册、检测报告等）扫描上传至投标系统。</w:t>
      </w:r>
      <w:r/>
    </w:p>
    <w:p>
      <w:pPr>
        <w:pStyle w:val="1076"/>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6.投标供应商进行网上投标请参照《政府采购项目电子交易管理操作指南－供应商》。</w:t>
      </w:r>
      <w:r/>
    </w:p>
    <w:p>
      <w:pPr>
        <w:pStyle w:val="1076"/>
        <w:ind w:firstLine="480"/>
        <w:rPr>
          <w:color w:val="auto"/>
          <w:highlight w:val="none"/>
        </w:rPr>
      </w:pPr>
      <w:r>
        <w:rPr>
          <w:rFonts w:hint="eastAsia" w:ascii="宋体" w:hAnsi="宋体" w:eastAsia="宋体" w:cs="宋体"/>
          <w:b/>
          <w:bCs/>
          <w:color w:val="auto"/>
          <w:sz w:val="24"/>
          <w:szCs w:val="24"/>
          <w:highlight w:val="none"/>
        </w:rPr>
        <w:t xml:space="preserve">特别提醒 ：开标后，</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如未按要求应答，由此所产生的损失及风险由</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自行承担</w:t>
      </w:r>
      <w:r>
        <w:rPr>
          <w:rFonts w:hint="eastAsia" w:ascii="宋体" w:hAnsi="宋体" w:eastAsia="宋体" w:cs="宋体"/>
          <w:b/>
          <w:bCs/>
          <w:color w:val="auto"/>
          <w:sz w:val="24"/>
          <w:szCs w:val="24"/>
          <w:highlight w:val="none"/>
          <w:lang w:eastAsia="zh-CN"/>
        </w:rPr>
        <w:t xml:space="preserve">。</w:t>
      </w:r>
      <w:r/>
    </w:p>
    <w:p>
      <w:pPr>
        <w:ind w:firstLine="480"/>
        <w:rPr>
          <w:rFonts w:eastAsia="黑体"/>
          <w:bCs/>
          <w:color w:val="auto"/>
          <w:sz w:val="24"/>
          <w:szCs w:val="24"/>
          <w:highlight w:val="none"/>
        </w:rPr>
      </w:pPr>
      <w:r>
        <w:rPr>
          <w:rFonts w:eastAsia="黑体"/>
          <w:bCs/>
          <w:color w:val="auto"/>
          <w:sz w:val="24"/>
          <w:szCs w:val="24"/>
          <w:highlight w:val="none"/>
        </w:rPr>
        <w:t xml:space="preserve"> </w:t>
      </w:r>
      <w:r>
        <w:rPr>
          <w:rFonts w:hint="eastAsia" w:eastAsia="黑体"/>
          <w:bCs/>
          <w:color w:val="auto"/>
          <w:sz w:val="24"/>
          <w:szCs w:val="24"/>
          <w:highlight w:val="none"/>
        </w:rPr>
        <w:t xml:space="preserve">（八）</w:t>
      </w:r>
      <w:r>
        <w:rPr>
          <w:rFonts w:eastAsia="黑体"/>
          <w:bCs/>
          <w:color w:val="auto"/>
          <w:sz w:val="24"/>
          <w:szCs w:val="24"/>
          <w:highlight w:val="none"/>
        </w:rPr>
        <w:t xml:space="preserve">无效投标文件的确认：</w:t>
      </w:r>
      <w:r/>
    </w:p>
    <w:p>
      <w:pPr>
        <w:ind w:firstLine="480"/>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投标供应商有下列情况之一者，投标文件无效：</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电子投标文件未按规定时间上传的</w:t>
      </w:r>
      <w:r>
        <w:rPr>
          <w:rFonts w:hint="eastAsia" w:ascii="宋体" w:hAnsi="宋体"/>
          <w:color w:val="auto"/>
          <w:sz w:val="24"/>
          <w:highlight w:val="none"/>
        </w:rPr>
        <w:t xml:space="preserve">；</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rPr>
          <w:rFonts w:hint="eastAsia" w:ascii="宋体" w:hAnsi="宋体"/>
          <w:color w:val="auto"/>
          <w:sz w:val="24"/>
          <w:highlight w:val="none"/>
        </w:rPr>
        <w:t xml:space="preserve">；</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投标人未按招标文件要求解密的</w:t>
      </w:r>
      <w:r>
        <w:rPr>
          <w:rFonts w:hint="eastAsia" w:ascii="宋体" w:hAnsi="宋体"/>
          <w:color w:val="auto"/>
          <w:sz w:val="24"/>
          <w:highlight w:val="none"/>
        </w:rPr>
        <w:t xml:space="preserve">；</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的法定代表人授权代表无法定代表人授权委托书的；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rPr>
          <w:rFonts w:hint="eastAsia" w:ascii="宋体" w:hAnsi="宋体"/>
          <w:color w:val="auto"/>
          <w:sz w:val="24"/>
          <w:highlight w:val="none"/>
        </w:rPr>
        <w:t xml:space="preserve">；</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含有采购人不能接受的附加条件的；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未按</w:t>
      </w:r>
      <w:r>
        <w:rPr>
          <w:rFonts w:hint="eastAsia" w:ascii="宋体" w:hAnsi="宋体"/>
          <w:color w:val="auto"/>
          <w:sz w:val="24"/>
          <w:highlight w:val="none"/>
          <w:lang w:val="en-US" w:eastAsia="zh-CN"/>
        </w:rPr>
        <w:t xml:space="preserve">招标文件</w:t>
      </w:r>
      <w:r>
        <w:rPr>
          <w:rFonts w:hint="eastAsia" w:ascii="宋体" w:hAnsi="宋体"/>
          <w:color w:val="auto"/>
          <w:sz w:val="24"/>
          <w:highlight w:val="none"/>
        </w:rPr>
        <w:t xml:space="preserve">规定的内容和要求填写、制作的；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书写潦草、字迹模糊不清、无法辨认的；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中有</w:t>
      </w:r>
      <w:r>
        <w:rPr>
          <w:rFonts w:hint="eastAsia" w:ascii="宋体" w:hAnsi="宋体"/>
          <w:color w:val="auto"/>
          <w:sz w:val="24"/>
          <w:highlight w:val="none"/>
          <w:lang w:val="en-US" w:eastAsia="zh-CN"/>
        </w:rPr>
        <w:t xml:space="preserve">招标文件</w:t>
      </w:r>
      <w:r>
        <w:rPr>
          <w:rFonts w:hint="eastAsia" w:ascii="宋体" w:hAnsi="宋体"/>
          <w:color w:val="auto"/>
          <w:sz w:val="24"/>
          <w:highlight w:val="none"/>
        </w:rPr>
        <w:t xml:space="preserve">未允许提供的选择性内容的；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投标系统中不同投标人的MAC地址一致或标书制作工具客户端标识码一致的</w:t>
      </w:r>
      <w:r>
        <w:rPr>
          <w:rFonts w:hint="eastAsia" w:ascii="宋体" w:hAnsi="宋体"/>
          <w:color w:val="auto"/>
          <w:sz w:val="24"/>
          <w:highlight w:val="none"/>
          <w:lang w:eastAsia="zh-CN"/>
        </w:rPr>
        <w:t xml:space="preserve">；</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恶意串通其他</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，故意哄抬价格或压价的；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7"/>
        </w:numPr>
        <w:ind w:left="0" w:right="0" w:firstLine="480"/>
        <w:keepLines w:val="0"/>
        <w:keepNext w:val="0"/>
        <w:pageBreakBefore w:val="0"/>
        <w:spacing w:line="360" w:lineRule="auto"/>
        <w:rPr>
          <w:color w:val="auto"/>
          <w:sz w:val="24"/>
          <w:highlight w:val="none"/>
        </w:rPr>
      </w:pP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商务标（明标）未加盖</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公章及法定代表人或</w:t>
      </w:r>
      <w:r>
        <w:rPr>
          <w:rFonts w:hint="eastAsia" w:ascii="宋体" w:hAnsi="宋体"/>
          <w:color w:val="auto"/>
          <w:sz w:val="24"/>
          <w:highlight w:val="none"/>
          <w:lang w:eastAsia="zh-CN"/>
        </w:rPr>
        <w:t xml:space="preserve">被授权委托人</w:t>
      </w:r>
      <w:r>
        <w:rPr>
          <w:rFonts w:hint="eastAsia" w:ascii="宋体" w:hAnsi="宋体"/>
          <w:color w:val="auto"/>
          <w:sz w:val="24"/>
          <w:highlight w:val="none"/>
        </w:rPr>
        <w:t xml:space="preserve">签字和盖章的；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不同</w:t>
      </w:r>
      <w:r>
        <w:rPr>
          <w:rFonts w:hint="eastAsia" w:ascii="宋体" w:hAnsi="宋体"/>
          <w:color w:val="auto"/>
          <w:sz w:val="24"/>
          <w:highlight w:val="none"/>
          <w:lang w:eastAsia="zh-CN"/>
        </w:rPr>
        <w:t xml:space="preserve">投标人投标文件</w:t>
      </w:r>
      <w:r>
        <w:rPr>
          <w:rFonts w:hint="eastAsia" w:ascii="宋体" w:hAnsi="宋体"/>
          <w:color w:val="auto"/>
          <w:sz w:val="24"/>
          <w:highlight w:val="none"/>
        </w:rPr>
        <w:t xml:space="preserve">中的项目相关人员出现同一人的；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不同</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聘请同一人为其报价提供技术或经济咨询服务的；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不同</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的单位负责人为同一人或者存在直接控股、管理关系的；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为本项目提供整体设计、规范编制或者项目管理、监理、检测等服务的；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不同</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的</w:t>
      </w: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异常一致或者报价呈规律性差异；</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商务标（明标）中同一方案有选择性报价且未声明以哪一个为准的；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技术标（暗标）中出现</w:t>
      </w:r>
      <w:r>
        <w:rPr>
          <w:rFonts w:hint="eastAsia" w:ascii="宋体" w:hAnsi="宋体"/>
          <w:color w:val="auto"/>
          <w:sz w:val="24"/>
          <w:highlight w:val="none"/>
          <w:lang w:eastAsia="zh-CN"/>
        </w:rPr>
        <w:t xml:space="preserve">投标人名称</w:t>
      </w:r>
      <w:r>
        <w:rPr>
          <w:rFonts w:hint="eastAsia" w:ascii="宋体" w:hAnsi="宋体"/>
          <w:color w:val="auto"/>
          <w:sz w:val="24"/>
          <w:highlight w:val="none"/>
        </w:rPr>
        <w:t xml:space="preserve">、相关人员姓名等和其他可识别</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身份的字符、徽标、印章、商标、人员名称</w:t>
      </w:r>
      <w:r>
        <w:rPr>
          <w:rFonts w:hint="eastAsia" w:ascii="宋体" w:hAnsi="宋体"/>
          <w:color w:val="auto"/>
          <w:sz w:val="24"/>
          <w:highlight w:val="none"/>
          <w:lang w:eastAsia="zh-CN"/>
        </w:rPr>
        <w:t xml:space="preserve">或其他</w:t>
      </w:r>
      <w:r>
        <w:rPr>
          <w:rFonts w:hint="eastAsia" w:ascii="宋体" w:hAnsi="宋体"/>
          <w:color w:val="auto"/>
          <w:sz w:val="24"/>
          <w:highlight w:val="none"/>
        </w:rPr>
        <w:t xml:space="preserve">提示性的标记或标识等；</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改变</w:t>
      </w:r>
      <w:r>
        <w:rPr>
          <w:rFonts w:hint="eastAsia" w:ascii="宋体" w:hAnsi="宋体"/>
          <w:color w:val="auto"/>
          <w:sz w:val="24"/>
          <w:highlight w:val="none"/>
          <w:lang w:val="en-US" w:eastAsia="zh-CN"/>
        </w:rPr>
        <w:t xml:space="preserve">招标</w:t>
      </w:r>
      <w:r>
        <w:rPr>
          <w:rFonts w:hint="eastAsia" w:ascii="宋体" w:hAnsi="宋体"/>
          <w:color w:val="auto"/>
          <w:sz w:val="24"/>
          <w:highlight w:val="none"/>
        </w:rPr>
        <w:t xml:space="preserve">文件规定的误期违约金、质量标准及质量违约金的；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商务标（明标）和技术标（暗标），其中某一标被本项目</w:t>
      </w:r>
      <w:r>
        <w:rPr>
          <w:rFonts w:hint="eastAsia" w:ascii="宋体" w:hAnsi="宋体"/>
          <w:color w:val="auto"/>
          <w:sz w:val="24"/>
          <w:highlight w:val="none"/>
          <w:lang w:val="en-US" w:eastAsia="zh-CN"/>
        </w:rPr>
        <w:t xml:space="preserve">评审</w:t>
      </w:r>
      <w:r>
        <w:rPr>
          <w:rFonts w:hint="eastAsia" w:ascii="宋体" w:hAnsi="宋体"/>
          <w:color w:val="auto"/>
          <w:sz w:val="24"/>
          <w:highlight w:val="none"/>
        </w:rPr>
        <w:t xml:space="preserve">小组确认为无效</w:t>
      </w: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的；</w:t>
      </w:r>
      <w:r/>
    </w:p>
    <w:p>
      <w:pPr>
        <w:numPr>
          <w:ilvl w:val="0"/>
          <w:numId w:val="7"/>
        </w:numPr>
        <w:ind w:left="0" w:righ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报价出现前后不一致，</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拒不确认修正后的报价的；</w:t>
      </w:r>
      <w:r/>
    </w:p>
    <w:p>
      <w:pPr>
        <w:numPr>
          <w:ilvl w:val="0"/>
          <w:numId w:val="7"/>
        </w:numPr>
        <w:ind w:left="0" w:righ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报价超过招标文件中规定的预算金额或最高限价的；</w:t>
      </w:r>
      <w:r/>
    </w:p>
    <w:p>
      <w:pPr>
        <w:numPr>
          <w:ilvl w:val="0"/>
          <w:numId w:val="7"/>
        </w:numPr>
        <w:ind w:left="0" w:right="0" w:firstLine="480"/>
        <w:keepLines w:val="0"/>
        <w:keepNext w:val="0"/>
        <w:pageBreakBefore w:val="0"/>
        <w:spacing w:line="360" w:lineRule="auto"/>
        <w:rPr>
          <w:rFonts w:hint="eastAsia" w:ascii="宋体" w:hAnsi="宋体"/>
          <w:color w:val="auto"/>
          <w:sz w:val="24"/>
          <w:highlight w:val="none"/>
        </w:rPr>
      </w:pPr>
      <w:r>
        <w:rPr>
          <w:rFonts w:hint="eastAsia" w:ascii="宋体" w:hAnsi="宋体" w:eastAsia="宋体"/>
          <w:bCs/>
          <w:color w:val="auto"/>
          <w:sz w:val="24"/>
          <w:szCs w:val="24"/>
          <w:highlight w:val="none"/>
        </w:rPr>
        <w:t xml:space="preserve">评标委员会按照本招标文件规定对投标人进行异常低价投标（响应）审查后，认为投标人不能证明其报价合理性的</w:t>
      </w:r>
      <w:r>
        <w:rPr>
          <w:rFonts w:hint="eastAsia" w:ascii="宋体" w:hAnsi="宋体"/>
          <w:color w:val="auto"/>
          <w:sz w:val="24"/>
          <w:highlight w:val="none"/>
        </w:rPr>
        <w:t xml:space="preserve">；</w:t>
      </w:r>
      <w:r/>
    </w:p>
    <w:p>
      <w:pPr>
        <w:numPr>
          <w:ilvl w:val="0"/>
          <w:numId w:val="7"/>
        </w:numPr>
        <w:ind w:left="0" w:righ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未通过初步资格性审查、</w:t>
      </w: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资格性检查、</w:t>
      </w: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符合性检查的；</w:t>
      </w:r>
      <w:r/>
    </w:p>
    <w:p>
      <w:pPr>
        <w:numPr>
          <w:ilvl w:val="0"/>
          <w:numId w:val="7"/>
        </w:numPr>
        <w:ind w:left="0" w:righ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列入失信被执行人、</w:t>
      </w:r>
      <w:r>
        <w:rPr>
          <w:rFonts w:hint="eastAsia" w:ascii="宋体" w:hAnsi="宋体" w:cs="宋体"/>
          <w:color w:val="auto"/>
          <w:sz w:val="24"/>
          <w:highlight w:val="none"/>
        </w:rPr>
        <w:t xml:space="preserve">重大税收违法失信主体</w:t>
      </w:r>
      <w:r>
        <w:rPr>
          <w:rFonts w:hint="eastAsia" w:ascii="宋体" w:hAnsi="宋体"/>
          <w:color w:val="auto"/>
          <w:sz w:val="24"/>
          <w:highlight w:val="none"/>
        </w:rPr>
        <w:t xml:space="preserve">、政府采购严重违法失信行为记录名单及其他不符合《中华人民共和国政府采购法》第二十二条规定条件的；</w:t>
      </w:r>
      <w:r/>
    </w:p>
    <w:p>
      <w:pPr>
        <w:numPr>
          <w:ilvl w:val="0"/>
          <w:numId w:val="7"/>
        </w:numPr>
        <w:ind w:left="0" w:right="0" w:firstLine="482"/>
        <w:keepLines w:val="0"/>
        <w:keepNext w:val="0"/>
        <w:pageBreakBefore w:val="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未按要求提供技术文件</w:t>
      </w:r>
      <w:r>
        <w:rPr>
          <w:rFonts w:hint="eastAsia" w:ascii="宋体" w:hAnsi="宋体"/>
          <w:b/>
          <w:bCs/>
          <w:color w:val="auto"/>
          <w:sz w:val="24"/>
          <w:highlight w:val="none"/>
          <w:lang w:val="en-US" w:eastAsia="zh-CN"/>
        </w:rPr>
        <w:t xml:space="preserve">的；</w:t>
      </w:r>
      <w:r/>
    </w:p>
    <w:p>
      <w:pPr>
        <w:numPr>
          <w:ilvl w:val="0"/>
          <w:numId w:val="7"/>
        </w:numPr>
        <w:ind w:left="0" w:righ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的报价畸高或畸低，在询标时没有合理的解释或者不能提供计算依据和报价依据的；</w:t>
      </w:r>
      <w:r/>
    </w:p>
    <w:p>
      <w:pPr>
        <w:numPr>
          <w:ilvl w:val="0"/>
          <w:numId w:val="7"/>
        </w:numPr>
        <w:ind w:left="0" w:righ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不同</w:t>
      </w:r>
      <w:r>
        <w:rPr>
          <w:rFonts w:hint="eastAsia" w:ascii="宋体" w:hAnsi="宋体"/>
          <w:color w:val="auto"/>
          <w:sz w:val="24"/>
          <w:highlight w:val="none"/>
          <w:lang w:eastAsia="zh-CN"/>
        </w:rPr>
        <w:t xml:space="preserve">投标人投标文件</w:t>
      </w:r>
      <w:r>
        <w:rPr>
          <w:rFonts w:hint="eastAsia" w:ascii="宋体" w:hAnsi="宋体"/>
          <w:color w:val="auto"/>
          <w:sz w:val="24"/>
          <w:highlight w:val="none"/>
        </w:rPr>
        <w:t xml:space="preserve">内容存在非正常一致、项目组成员或者联系人员出现同一人、</w:t>
      </w: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中错误（或异常）一致或雷同、电子文档信息一致或雷同的；</w:t>
      </w:r>
      <w:r/>
    </w:p>
    <w:p>
      <w:pPr>
        <w:numPr>
          <w:ilvl w:val="0"/>
          <w:numId w:val="7"/>
        </w:numPr>
        <w:ind w:left="0" w:righ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不同</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的委托代理人、项目负责人以及其他相关人员有在同一个单位缴纳社会保险的；</w:t>
      </w:r>
      <w:r/>
    </w:p>
    <w:p>
      <w:pPr>
        <w:numPr>
          <w:ilvl w:val="0"/>
          <w:numId w:val="7"/>
        </w:numPr>
        <w:ind w:left="0" w:righ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同一</w:t>
      </w: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中单位名称落款与公章不是同一单位的；</w:t>
      </w:r>
      <w:r/>
    </w:p>
    <w:p>
      <w:pPr>
        <w:numPr>
          <w:ilvl w:val="0"/>
          <w:numId w:val="7"/>
        </w:numPr>
        <w:ind w:left="0" w:right="0" w:firstLine="480"/>
        <w:keepLines w:val="0"/>
        <w:keepNext w:val="0"/>
        <w:pageBreakBefore w:val="0"/>
        <w:spacing w:line="360" w:lineRule="auto"/>
        <w:rPr>
          <w:rFonts w:eastAsia="黑体"/>
          <w:bCs/>
          <w:color w:val="auto"/>
          <w:sz w:val="24"/>
          <w:szCs w:val="24"/>
          <w:highlight w:val="none"/>
        </w:rPr>
      </w:pPr>
      <w:r>
        <w:rPr>
          <w:rFonts w:hint="eastAsia" w:ascii="宋体" w:hAnsi="宋体"/>
          <w:b w:val="0"/>
          <w:bCs w:val="0"/>
          <w:color w:val="auto"/>
          <w:sz w:val="24"/>
          <w:highlight w:val="none"/>
        </w:rPr>
        <w:t xml:space="preserve">不同</w:t>
      </w:r>
      <w:r>
        <w:rPr>
          <w:rFonts w:hint="eastAsia" w:ascii="宋体" w:hAnsi="宋体"/>
          <w:b w:val="0"/>
          <w:bCs w:val="0"/>
          <w:color w:val="auto"/>
          <w:sz w:val="24"/>
          <w:highlight w:val="none"/>
          <w:lang w:eastAsia="zh-CN"/>
        </w:rPr>
        <w:t xml:space="preserve">投标人</w:t>
      </w:r>
      <w:r>
        <w:rPr>
          <w:rFonts w:hint="eastAsia" w:ascii="宋体" w:hAnsi="宋体"/>
          <w:b w:val="0"/>
          <w:bCs w:val="0"/>
          <w:color w:val="auto"/>
          <w:sz w:val="24"/>
          <w:highlight w:val="none"/>
        </w:rPr>
        <w:t xml:space="preserve">委托同一单位或者个人办理报价事宜的；</w:t>
      </w:r>
      <w:r/>
    </w:p>
    <w:p>
      <w:pPr>
        <w:numPr>
          <w:ilvl w:val="0"/>
          <w:numId w:val="7"/>
        </w:numPr>
        <w:ind w:left="0" w:right="0" w:firstLine="480"/>
        <w:keepLines w:val="0"/>
        <w:keepNext w:val="0"/>
        <w:pageBreakBefore w:val="0"/>
        <w:spacing w:line="360" w:lineRule="auto"/>
        <w:rPr>
          <w:rFonts w:eastAsia="黑体"/>
          <w:bCs/>
          <w:color w:val="auto"/>
          <w:sz w:val="24"/>
          <w:szCs w:val="24"/>
          <w:highlight w:val="none"/>
        </w:rPr>
      </w:pP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内容不全或不符合法律法规和</w:t>
      </w:r>
      <w:r>
        <w:rPr>
          <w:rFonts w:hint="eastAsia" w:ascii="宋体" w:hAnsi="宋体"/>
          <w:color w:val="auto"/>
          <w:sz w:val="24"/>
          <w:highlight w:val="none"/>
          <w:lang w:val="en-US" w:eastAsia="zh-CN"/>
        </w:rPr>
        <w:t xml:space="preserve">招标</w:t>
      </w:r>
      <w:r>
        <w:rPr>
          <w:rFonts w:hint="eastAsia" w:ascii="宋体" w:hAnsi="宋体"/>
          <w:color w:val="auto"/>
          <w:sz w:val="24"/>
          <w:highlight w:val="none"/>
        </w:rPr>
        <w:t xml:space="preserve">文件中规定的其他实质性要求的</w:t>
      </w:r>
      <w:r>
        <w:rPr>
          <w:rFonts w:hint="eastAsia" w:ascii="宋体" w:hAnsi="宋体" w:eastAsia="黑体"/>
          <w:color w:val="auto"/>
          <w:sz w:val="24"/>
          <w:highlight w:val="none"/>
        </w:rPr>
        <w:t xml:space="preserve">。</w:t>
      </w:r>
      <w:r>
        <w:rPr>
          <w:rFonts w:eastAsia="黑体"/>
          <w:bCs/>
          <w:color w:val="auto"/>
          <w:sz w:val="24"/>
          <w:szCs w:val="24"/>
          <w:highlight w:val="none"/>
        </w:rPr>
        <w:t xml:space="preserve"> </w:t>
      </w:r>
      <w:r>
        <w:rPr>
          <w:rFonts w:hint="eastAsia" w:eastAsia="黑体"/>
          <w:bCs/>
          <w:color w:val="auto"/>
          <w:sz w:val="24"/>
          <w:szCs w:val="24"/>
          <w:highlight w:val="none"/>
        </w:rPr>
        <w:t xml:space="preserve">（九）</w:t>
      </w:r>
      <w:r>
        <w:rPr>
          <w:rFonts w:eastAsia="黑体"/>
          <w:bCs/>
          <w:color w:val="auto"/>
          <w:sz w:val="24"/>
          <w:szCs w:val="24"/>
          <w:highlight w:val="none"/>
        </w:rPr>
        <w:t xml:space="preserve">开标、评标：</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1.所有投标单位在招标文件规定的时间内解密各自投标文件。</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投标截止时间后参加投标的供应商或解密投标文件的供应商不足三家的，不开标；开标后，所有投标人可在线上开标大厅中看到所有投标人的投标报价。</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3.投标文件的审查</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投标文件报价出现前后不一致的，按照下列规定修正： </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①投标文件中开标一览表（报价表）内容与投标文件中相应内容不一致的，以开标一览表（报价表）为准；</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②大写金额和小写金额不一致的，以大写金额为准；</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③单价金额小数点或者百分比有明显错位的，以开标一览表的总价为准，并修改单价；</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④总价金额与按单价汇总金额不一致的，以单价金额计算结果为准。</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（2）对不同文字文本投标文件的解释发生异议的，以中文文本为准。</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（3）投标人未参加开标的，视同认可开标结果。</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4.评标程序</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评标工作由代理公司负责组织，具体评标事务由依法组建的评标委员会负责。</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（1）投标文件初审。初审分为资格性检查和符合性检查。</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eastAsia="宋体" w:cs="宋体"/>
          <w:bCs/>
          <w:color w:val="auto"/>
          <w:sz w:val="24"/>
          <w:szCs w:val="24"/>
          <w:highlight w:val="none"/>
        </w:rPr>
        <w:t xml:space="preserve">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失信主体、政府采购严重违法失信行为记录名单，以确定投标人是否具备投标资格。信用查询结果以网页打印的形式留存并归档</w:t>
      </w:r>
      <w:r>
        <w:rPr>
          <w:rFonts w:ascii="宋体" w:hAnsi="宋体"/>
          <w:bCs/>
          <w:color w:val="auto"/>
          <w:sz w:val="24"/>
          <w:szCs w:val="24"/>
          <w:highlight w:val="none"/>
        </w:rPr>
        <w:t xml:space="preserve">。</w:t>
      </w:r>
      <w:r/>
    </w:p>
    <w:p>
      <w:pPr>
        <w:ind w:firstLine="480"/>
        <w:jc w:val="center"/>
        <w:tabs>
          <w:tab w:val="left" w:pos="525" w:leader="none"/>
          <w:tab w:val="left" w:pos="1050" w:leader="none"/>
        </w:tabs>
        <w:rPr>
          <w:rFonts w:ascii="宋体" w:hAnsi="宋体"/>
          <w:bCs/>
          <w:color w:val="auto"/>
          <w:sz w:val="24"/>
          <w:szCs w:val="24"/>
          <w:highlight w:val="none"/>
        </w:rPr>
      </w:pPr>
      <w:r>
        <w:rPr>
          <w:rFonts w:hint="eastAsia" w:ascii="宋体" w:hAnsi="宋体" w:eastAsia="宋体" w:cs="宋体"/>
          <w:b/>
          <w:color w:val="auto"/>
          <w:sz w:val="24"/>
          <w:szCs w:val="24"/>
          <w:highlight w:val="none"/>
        </w:rPr>
        <w:t xml:space="preserve">资格性审查表</w:t>
      </w:r>
      <w:r/>
    </w:p>
    <w:tbl>
      <w:tblPr>
        <w:tblStyle w:val="808"/>
        <w:tblW w:w="950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3059"/>
        <w:gridCol w:w="5544"/>
      </w:tblGrid>
      <w:tr>
        <w:trPr>
          <w:trHeight w:val="186"/>
        </w:trPr>
        <w:tc>
          <w:tcPr>
            <w:tcW w:w="906" w:type="dxa"/>
            <w:vAlign w:val="center"/>
            <w:textDirection w:val="lrTb"/>
            <w:noWrap w:val="false"/>
          </w:tcPr>
          <w:p>
            <w:pPr>
              <w:ind w:left="0" w:right="0"/>
              <w:jc w:val="center"/>
              <w:keepLines w:val="0"/>
              <w:keepNext w:val="0"/>
              <w:spacing w:before="0" w:beforeAutospacing="0" w:after="0" w:afterAutospacing="0"/>
              <w:rPr>
                <w:rFonts w:ascii="宋体" w:hAnsi="宋体" w:cs="宋体"/>
                <w:b/>
                <w:bCs/>
                <w:color w:val="auto"/>
                <w:sz w:val="24"/>
                <w:szCs w:val="32"/>
                <w:highlight w:val="none"/>
              </w:rPr>
              <w:suppressLineNumbers w:val="0"/>
            </w:pPr>
            <w:r>
              <w:rPr>
                <w:rFonts w:hint="eastAsia" w:ascii="宋体" w:hAnsi="宋体" w:cs="宋体"/>
                <w:b/>
                <w:bCs/>
                <w:color w:val="auto"/>
                <w:sz w:val="24"/>
                <w:szCs w:val="32"/>
                <w:highlight w:val="none"/>
              </w:rPr>
              <w:t xml:space="preserve">序号</w:t>
            </w:r>
            <w:r/>
          </w:p>
        </w:tc>
        <w:tc>
          <w:tcPr>
            <w:gridSpan w:val="2"/>
            <w:tcW w:w="8603" w:type="dxa"/>
            <w:vAlign w:val="center"/>
            <w:textDirection w:val="lrTb"/>
            <w:noWrap w:val="false"/>
          </w:tcPr>
          <w:p>
            <w:pPr>
              <w:ind w:left="0" w:right="0"/>
              <w:jc w:val="center"/>
              <w:keepLines w:val="0"/>
              <w:keepNext w:val="0"/>
              <w:spacing w:before="0" w:beforeAutospacing="0" w:after="0" w:afterAutospacing="0"/>
              <w:rPr>
                <w:rFonts w:ascii="宋体" w:hAnsi="宋体" w:cs="宋体"/>
                <w:b/>
                <w:bCs/>
                <w:color w:val="auto"/>
                <w:sz w:val="24"/>
                <w:szCs w:val="32"/>
                <w:highlight w:val="none"/>
              </w:rPr>
              <w:suppressLineNumbers w:val="0"/>
            </w:pPr>
            <w:r>
              <w:rPr>
                <w:rFonts w:hint="eastAsia" w:ascii="宋体" w:hAnsi="宋体" w:cs="宋体"/>
                <w:b/>
                <w:bCs/>
                <w:color w:val="auto"/>
                <w:sz w:val="24"/>
                <w:szCs w:val="32"/>
                <w:highlight w:val="none"/>
              </w:rPr>
              <w:t xml:space="preserve">资格审查内容</w:t>
            </w:r>
            <w:r/>
          </w:p>
        </w:tc>
      </w:tr>
      <w:tr>
        <w:trPr>
          <w:trHeight w:val="389"/>
        </w:trPr>
        <w:tc>
          <w:tcPr>
            <w:tcW w:w="906"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Cs w:val="24"/>
                <w:highlight w:val="none"/>
              </w:rPr>
              <w:suppressLineNumbers w:val="0"/>
            </w:pPr>
            <w:r>
              <w:rPr>
                <w:rFonts w:hint="eastAsia" w:ascii="宋体" w:hAnsi="宋体" w:cs="宋体"/>
                <w:color w:val="auto"/>
                <w:szCs w:val="24"/>
                <w:highlight w:val="none"/>
              </w:rPr>
              <w:t xml:space="preserve">1</w:t>
            </w:r>
            <w:r/>
          </w:p>
        </w:tc>
        <w:tc>
          <w:tcPr>
            <w:tcW w:w="305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color w:val="auto"/>
                <w:sz w:val="24"/>
                <w:szCs w:val="24"/>
                <w:highlight w:val="none"/>
                <w:lang w:val="en-US" w:eastAsia="zh-CN" w:bidi="ar-SA"/>
              </w:rPr>
              <w:t xml:space="preserve">关于资格的声明函</w:t>
            </w:r>
            <w:r/>
          </w:p>
        </w:tc>
        <w:tc>
          <w:tcPr>
            <w:tcW w:w="5544"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color w:val="auto"/>
                <w:sz w:val="24"/>
                <w:szCs w:val="24"/>
                <w:highlight w:val="none"/>
                <w:lang w:val="en-US" w:eastAsia="zh-CN" w:bidi="ar-SA"/>
              </w:rPr>
              <w:t xml:space="preserve">格式见附件</w:t>
            </w:r>
            <w:r/>
          </w:p>
        </w:tc>
      </w:tr>
      <w:tr>
        <w:trPr>
          <w:trHeight w:val="288"/>
        </w:trPr>
        <w:tc>
          <w:tcPr>
            <w:tcW w:w="906"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Cs w:val="24"/>
                <w:highlight w:val="none"/>
              </w:rPr>
              <w:suppressLineNumbers w:val="0"/>
            </w:pPr>
            <w:r>
              <w:rPr>
                <w:rFonts w:hint="eastAsia" w:ascii="宋体" w:hAnsi="宋体" w:cs="宋体"/>
                <w:color w:val="auto"/>
                <w:szCs w:val="24"/>
                <w:highlight w:val="none"/>
              </w:rPr>
              <w:t xml:space="preserve">2</w:t>
            </w:r>
            <w:r/>
          </w:p>
        </w:tc>
        <w:tc>
          <w:tcPr>
            <w:tcW w:w="305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color w:val="auto"/>
                <w:sz w:val="24"/>
                <w:szCs w:val="24"/>
                <w:highlight w:val="none"/>
                <w:lang w:val="en-US" w:eastAsia="zh-CN" w:bidi="ar-SA"/>
              </w:rPr>
              <w:t xml:space="preserve">具有独立承担民事责任的能力</w:t>
            </w:r>
            <w:r/>
          </w:p>
        </w:tc>
        <w:tc>
          <w:tcPr>
            <w:tcW w:w="5544"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tabs>
                <w:tab w:val="left" w:pos="1050" w:leader="none"/>
              </w:tabs>
              <w:rPr>
                <w:rFonts w:ascii="宋体" w:hAnsi="宋体" w:cs="宋体"/>
                <w:color w:val="auto"/>
                <w:szCs w:val="24"/>
                <w:highlight w:val="none"/>
              </w:rPr>
              <w:suppressLineNumbers w:val="0"/>
            </w:pPr>
            <w:r>
              <w:rPr>
                <w:rFonts w:hint="eastAsia" w:ascii="宋体" w:hAnsi="宋体" w:eastAsia="宋体" w:cs="宋体"/>
                <w:bCs/>
                <w:color w:val="auto"/>
                <w:sz w:val="24"/>
                <w:szCs w:val="24"/>
                <w:highlight w:val="none"/>
                <w:lang w:val="en-US" w:eastAsia="zh-CN" w:bidi="ar-SA"/>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30"/>
        </w:trPr>
        <w:tc>
          <w:tcPr>
            <w:tcW w:w="906"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Cs w:val="24"/>
                <w:highlight w:val="none"/>
              </w:rPr>
              <w:suppressLineNumbers w:val="0"/>
            </w:pPr>
            <w:r>
              <w:rPr>
                <w:rFonts w:hint="eastAsia" w:ascii="宋体" w:hAnsi="宋体" w:cs="宋体"/>
                <w:color w:val="auto"/>
                <w:szCs w:val="24"/>
                <w:highlight w:val="none"/>
              </w:rPr>
              <w:t xml:space="preserve">3</w:t>
            </w:r>
            <w:r/>
          </w:p>
        </w:tc>
        <w:tc>
          <w:tcPr>
            <w:tcW w:w="305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bCs/>
                <w:color w:val="auto"/>
                <w:sz w:val="24"/>
                <w:szCs w:val="24"/>
                <w:highlight w:val="none"/>
                <w:lang w:val="en-US" w:eastAsia="zh-CN" w:bidi="ar-SA"/>
              </w:rPr>
              <w:t xml:space="preserve">投标供应商法定代表人授权委托书</w:t>
            </w:r>
            <w:r/>
          </w:p>
        </w:tc>
        <w:tc>
          <w:tcPr>
            <w:tcW w:w="5544"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tabs>
                <w:tab w:val="left" w:pos="1050" w:leader="none"/>
              </w:tabs>
              <w:rPr>
                <w:rFonts w:ascii="宋体" w:hAnsi="宋体" w:cs="宋体"/>
                <w:color w:val="auto"/>
                <w:szCs w:val="24"/>
                <w:highlight w:val="none"/>
              </w:rPr>
              <w:suppressLineNumbers w:val="0"/>
            </w:pPr>
            <w:r>
              <w:rPr>
                <w:rFonts w:hint="eastAsia" w:ascii="宋体" w:hAnsi="宋体" w:eastAsia="宋体" w:cs="宋体"/>
                <w:b w:val="0"/>
                <w:bCs/>
                <w:color w:val="auto"/>
                <w:sz w:val="24"/>
                <w:szCs w:val="24"/>
                <w:highlight w:val="none"/>
                <w:lang w:val="en-US" w:eastAsia="zh-CN" w:bidi="ar-SA"/>
              </w:rPr>
              <w:t xml:space="preserve">法定代表人亲自参与投标的除外，格式见附件</w:t>
            </w:r>
            <w:r/>
          </w:p>
        </w:tc>
      </w:tr>
      <w:tr>
        <w:trPr>
          <w:trHeight w:val="213"/>
        </w:trPr>
        <w:tc>
          <w:tcPr>
            <w:tcW w:w="906"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Cs w:val="24"/>
                <w:highlight w:val="none"/>
              </w:rPr>
              <w:suppressLineNumbers w:val="0"/>
            </w:pPr>
            <w:r>
              <w:rPr>
                <w:rFonts w:hint="eastAsia" w:ascii="宋体" w:hAnsi="宋体" w:cs="宋体"/>
                <w:color w:val="auto"/>
                <w:szCs w:val="24"/>
                <w:highlight w:val="none"/>
              </w:rPr>
              <w:t xml:space="preserve">4</w:t>
            </w:r>
            <w:r/>
          </w:p>
        </w:tc>
        <w:tc>
          <w:tcPr>
            <w:tcW w:w="305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bCs/>
                <w:color w:val="auto"/>
                <w:sz w:val="24"/>
                <w:szCs w:val="24"/>
                <w:highlight w:val="none"/>
              </w:rPr>
              <w:t xml:space="preserve">投标供应商法定代表人身份证</w:t>
            </w:r>
            <w:r>
              <w:rPr>
                <w:rFonts w:hint="eastAsia" w:ascii="宋体" w:hAnsi="宋体" w:eastAsia="宋体" w:cs="宋体"/>
                <w:bCs/>
                <w:color w:val="auto"/>
                <w:sz w:val="24"/>
                <w:szCs w:val="24"/>
                <w:highlight w:val="none"/>
                <w:lang w:val="en-US" w:eastAsia="zh-CN" w:bidi="ar-SA"/>
              </w:rPr>
              <w:t xml:space="preserve">扫描件</w:t>
            </w:r>
            <w:r/>
          </w:p>
        </w:tc>
        <w:tc>
          <w:tcPr>
            <w:tcW w:w="5544"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bCs/>
                <w:color w:val="auto"/>
                <w:sz w:val="24"/>
                <w:szCs w:val="24"/>
                <w:highlight w:val="none"/>
                <w:lang w:val="en-US" w:eastAsia="zh-CN" w:bidi="ar-SA"/>
              </w:rPr>
              <w:t xml:space="preserve">身份证应为正、反面</w:t>
            </w:r>
            <w:r/>
          </w:p>
        </w:tc>
      </w:tr>
      <w:tr>
        <w:trPr>
          <w:trHeight w:val="213"/>
        </w:trPr>
        <w:tc>
          <w:tcPr>
            <w:tcW w:w="906"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Cs w:val="24"/>
                <w:highlight w:val="none"/>
              </w:rPr>
              <w:suppressLineNumbers w:val="0"/>
            </w:pPr>
            <w:r>
              <w:rPr>
                <w:rFonts w:hint="eastAsia" w:ascii="宋体" w:hAnsi="宋体" w:cs="宋体"/>
                <w:color w:val="auto"/>
                <w:szCs w:val="24"/>
                <w:highlight w:val="none"/>
              </w:rPr>
              <w:t xml:space="preserve">5</w:t>
            </w:r>
            <w:r/>
          </w:p>
        </w:tc>
        <w:tc>
          <w:tcPr>
            <w:tcW w:w="305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bCs/>
                <w:color w:val="auto"/>
                <w:sz w:val="24"/>
                <w:szCs w:val="24"/>
                <w:highlight w:val="none"/>
              </w:rPr>
              <w:t xml:space="preserve">投标供应商法定代表人授权代表身份证扫描件</w:t>
            </w:r>
            <w:r/>
          </w:p>
        </w:tc>
        <w:tc>
          <w:tcPr>
            <w:tcW w:w="5544"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bCs/>
                <w:color w:val="auto"/>
                <w:sz w:val="24"/>
                <w:szCs w:val="24"/>
                <w:highlight w:val="none"/>
                <w:lang w:val="en-US" w:eastAsia="zh-CN" w:bidi="ar-SA"/>
              </w:rPr>
              <w:t xml:space="preserve">身份证应为正、反面，</w:t>
            </w:r>
            <w:r>
              <w:rPr>
                <w:rFonts w:hint="eastAsia" w:ascii="宋体" w:hAnsi="宋体" w:eastAsia="宋体" w:cs="宋体"/>
                <w:bCs/>
                <w:color w:val="auto"/>
                <w:sz w:val="24"/>
                <w:szCs w:val="24"/>
                <w:highlight w:val="none"/>
                <w:lang w:val="en-US" w:eastAsia="zh-CN" w:bidi="ar-SA"/>
              </w:rPr>
              <w:t xml:space="preserve">法定代表人亲自参加投标的除外</w:t>
            </w:r>
            <w:r/>
          </w:p>
        </w:tc>
      </w:tr>
      <w:tr>
        <w:trPr>
          <w:trHeight w:val="423"/>
        </w:trPr>
        <w:tc>
          <w:tcPr>
            <w:tcW w:w="906"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Cs w:val="24"/>
                <w:highlight w:val="none"/>
              </w:rPr>
              <w:suppressLineNumbers w:val="0"/>
            </w:pPr>
            <w:r>
              <w:rPr>
                <w:rFonts w:hint="eastAsia" w:ascii="宋体" w:hAnsi="宋体" w:cs="宋体"/>
                <w:color w:val="auto"/>
                <w:szCs w:val="24"/>
                <w:highlight w:val="none"/>
              </w:rPr>
              <w:t xml:space="preserve">6</w:t>
            </w:r>
            <w:r/>
          </w:p>
        </w:tc>
        <w:tc>
          <w:tcPr>
            <w:tcW w:w="305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color w:val="auto"/>
                <w:sz w:val="24"/>
                <w:szCs w:val="24"/>
                <w:highlight w:val="none"/>
                <w:lang w:val="en-US" w:eastAsia="zh-CN" w:bidi="ar-SA"/>
              </w:rPr>
              <w:t xml:space="preserve">具有良好的商业信誉和健全的财务会计制度</w:t>
            </w:r>
            <w:r/>
          </w:p>
        </w:tc>
        <w:tc>
          <w:tcPr>
            <w:tcW w:w="5544"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tabs>
                <w:tab w:val="left" w:pos="1050" w:leader="none"/>
              </w:tabs>
              <w:rPr>
                <w:rFonts w:ascii="宋体" w:hAnsi="宋体" w:cs="宋体"/>
                <w:color w:val="auto"/>
                <w:szCs w:val="24"/>
                <w:highlight w:val="none"/>
              </w:rPr>
              <w:suppressLineNumbers w:val="0"/>
            </w:pPr>
            <w:r>
              <w:rPr>
                <w:rFonts w:hint="eastAsia" w:ascii="宋体" w:hAnsi="宋体" w:eastAsia="宋体" w:cs="宋体"/>
                <w:bCs/>
                <w:color w:val="auto"/>
                <w:sz w:val="24"/>
                <w:szCs w:val="24"/>
                <w:highlight w:val="none"/>
              </w:rPr>
              <w:t xml:space="preserve">投标供应商</w:t>
            </w:r>
            <w:r>
              <w:rPr>
                <w:rFonts w:hint="eastAsia" w:ascii="宋体" w:hAnsi="宋体" w:eastAsia="宋体" w:cs="宋体"/>
                <w:bCs/>
                <w:color w:val="auto"/>
                <w:sz w:val="24"/>
                <w:szCs w:val="24"/>
                <w:highlight w:val="none"/>
                <w:lang w:val="en-US" w:eastAsia="zh-CN" w:bidi="ar-SA"/>
              </w:rPr>
              <w:t xml:space="preserve">近三个月中任意一个月份（不含</w:t>
            </w:r>
            <w:r>
              <w:rPr>
                <w:rFonts w:hint="eastAsia" w:ascii="宋体" w:hAnsi="宋体" w:cs="宋体"/>
                <w:bCs/>
                <w:color w:val="auto"/>
                <w:sz w:val="24"/>
                <w:szCs w:val="24"/>
                <w:highlight w:val="none"/>
                <w:lang w:val="en-US" w:eastAsia="zh-CN" w:bidi="ar-SA"/>
              </w:rPr>
              <w:t xml:space="preserve">开</w:t>
            </w:r>
            <w:r>
              <w:rPr>
                <w:rFonts w:hint="eastAsia" w:ascii="宋体" w:hAnsi="宋体" w:eastAsia="宋体" w:cs="宋体"/>
                <w:bCs/>
                <w:color w:val="auto"/>
                <w:sz w:val="24"/>
                <w:szCs w:val="24"/>
                <w:highlight w:val="none"/>
                <w:lang w:val="en-US" w:eastAsia="zh-CN" w:bidi="ar-SA"/>
              </w:rPr>
              <w:t xml:space="preserve">标当月）的财务状况报告（资产负债表和利润表）或由会计师事务所出具的近两年中任意一个年度的审计报告和所附已审财务报告扫描件</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新成立公司（成立不满三个自然月）除外</w:t>
            </w:r>
            <w:r/>
          </w:p>
        </w:tc>
      </w:tr>
      <w:tr>
        <w:trPr>
          <w:trHeight w:val="201"/>
        </w:trPr>
        <w:tc>
          <w:tcPr>
            <w:shd w:val="clear" w:color="auto" w:fill="auto"/>
            <w:tcW w:w="906"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Cs w:val="24"/>
                <w:highlight w:val="none"/>
              </w:rPr>
              <w:suppressLineNumbers w:val="0"/>
            </w:pPr>
            <w:r>
              <w:rPr>
                <w:rFonts w:hint="eastAsia" w:ascii="宋体" w:hAnsi="宋体" w:cs="宋体"/>
                <w:color w:val="auto"/>
                <w:szCs w:val="24"/>
                <w:highlight w:val="none"/>
              </w:rPr>
              <w:t xml:space="preserve">7</w:t>
            </w:r>
            <w:r/>
          </w:p>
        </w:tc>
        <w:tc>
          <w:tcPr>
            <w:tcW w:w="305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color w:val="auto"/>
                <w:sz w:val="24"/>
                <w:szCs w:val="24"/>
                <w:highlight w:val="none"/>
                <w:lang w:val="en-US" w:eastAsia="zh-CN" w:bidi="ar-SA"/>
              </w:rPr>
              <w:t xml:space="preserve">具有依法缴纳税收的良好记录</w:t>
            </w:r>
            <w:r/>
          </w:p>
        </w:tc>
        <w:tc>
          <w:tcPr>
            <w:tcW w:w="5544" w:type="dxa"/>
            <w:vAlign w:val="top"/>
            <w:textDirection w:val="lrTb"/>
            <w:noWrap w:val="false"/>
          </w:tcPr>
          <w:p>
            <w:pPr>
              <w:ind w:left="0" w:right="0"/>
              <w:jc w:val="both"/>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bCs/>
                <w:color w:val="auto"/>
                <w:sz w:val="24"/>
                <w:szCs w:val="24"/>
                <w:highlight w:val="none"/>
              </w:rPr>
              <w:t xml:space="preserve">投标供应商</w:t>
            </w:r>
            <w:r>
              <w:rPr>
                <w:rFonts w:hint="eastAsia" w:ascii="宋体" w:hAnsi="宋体" w:eastAsia="宋体" w:cs="宋体"/>
                <w:bCs/>
                <w:color w:val="auto"/>
                <w:sz w:val="24"/>
                <w:szCs w:val="24"/>
                <w:highlight w:val="none"/>
                <w:lang w:val="en-US" w:eastAsia="zh-CN" w:bidi="ar-SA"/>
              </w:rPr>
              <w:t xml:space="preserve">近三个月中任意一个月份（不含</w:t>
            </w:r>
            <w:r>
              <w:rPr>
                <w:rFonts w:hint="eastAsia" w:ascii="宋体" w:hAnsi="宋体" w:cs="宋体"/>
                <w:bCs/>
                <w:color w:val="auto"/>
                <w:sz w:val="24"/>
                <w:szCs w:val="24"/>
                <w:highlight w:val="none"/>
                <w:lang w:val="en-US" w:eastAsia="zh-CN" w:bidi="ar-SA"/>
              </w:rPr>
              <w:t xml:space="preserve">开</w:t>
            </w:r>
            <w:r>
              <w:rPr>
                <w:rFonts w:hint="eastAsia" w:ascii="宋体" w:hAnsi="宋体" w:eastAsia="宋体" w:cs="宋体"/>
                <w:bCs/>
                <w:color w:val="auto"/>
                <w:sz w:val="24"/>
                <w:szCs w:val="24"/>
                <w:highlight w:val="none"/>
                <w:lang w:val="en-US" w:eastAsia="zh-CN" w:bidi="ar-SA"/>
              </w:rPr>
              <w:t xml:space="preserve">标当月）的依法缴纳税收的相关材料（提供相关主管部门证明或银行代扣证明）扫描件</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若供应商无需依法缴纳税收，请提供纳税申报表</w:t>
            </w:r>
            <w:r/>
          </w:p>
        </w:tc>
      </w:tr>
      <w:tr>
        <w:trPr>
          <w:trHeight w:val="201"/>
        </w:trPr>
        <w:tc>
          <w:tcPr>
            <w:shd w:val="clear" w:color="auto" w:fill="auto"/>
            <w:tcW w:w="906"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Cs w:val="24"/>
                <w:highlight w:val="none"/>
              </w:rPr>
              <w:suppressLineNumbers w:val="0"/>
            </w:pPr>
            <w:r>
              <w:rPr>
                <w:rFonts w:hint="eastAsia" w:ascii="宋体" w:hAnsi="宋体" w:cs="宋体"/>
                <w:color w:val="auto"/>
                <w:szCs w:val="24"/>
                <w:highlight w:val="none"/>
              </w:rPr>
              <w:t xml:space="preserve">8</w:t>
            </w:r>
            <w:r/>
          </w:p>
        </w:tc>
        <w:tc>
          <w:tcPr>
            <w:shd w:val="clear" w:color="auto" w:fill="auto"/>
            <w:tcW w:w="305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color w:val="auto"/>
                <w:sz w:val="24"/>
                <w:szCs w:val="24"/>
                <w:highlight w:val="none"/>
                <w:lang w:val="en-US" w:eastAsia="zh-CN" w:bidi="ar-SA"/>
              </w:rPr>
              <w:t xml:space="preserve">具有依法缴纳社会保障资金的良好记录</w:t>
            </w:r>
            <w:r/>
          </w:p>
        </w:tc>
        <w:tc>
          <w:tcPr>
            <w:tcW w:w="5544" w:type="dxa"/>
            <w:vAlign w:val="top"/>
            <w:textDirection w:val="lrTb"/>
            <w:noWrap w:val="false"/>
          </w:tcPr>
          <w:p>
            <w:pPr>
              <w:ind w:left="0" w:right="0"/>
              <w:jc w:val="both"/>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bCs/>
                <w:color w:val="auto"/>
                <w:sz w:val="24"/>
                <w:szCs w:val="24"/>
                <w:highlight w:val="none"/>
              </w:rPr>
              <w:t xml:space="preserve">投标供应商</w:t>
            </w:r>
            <w:r>
              <w:rPr>
                <w:rFonts w:hint="eastAsia" w:ascii="宋体" w:hAnsi="宋体" w:eastAsia="宋体" w:cs="宋体"/>
                <w:bCs/>
                <w:color w:val="auto"/>
                <w:sz w:val="24"/>
                <w:szCs w:val="24"/>
                <w:highlight w:val="none"/>
                <w:lang w:val="en-US" w:eastAsia="zh-CN" w:bidi="ar-SA"/>
              </w:rPr>
              <w:t xml:space="preserve">近三个月中任意一个月份（不含</w:t>
            </w:r>
            <w:r>
              <w:rPr>
                <w:rFonts w:hint="eastAsia" w:ascii="宋体" w:hAnsi="宋体" w:cs="宋体"/>
                <w:bCs/>
                <w:color w:val="auto"/>
                <w:sz w:val="24"/>
                <w:szCs w:val="24"/>
                <w:highlight w:val="none"/>
                <w:lang w:val="en-US" w:eastAsia="zh-CN" w:bidi="ar-SA"/>
              </w:rPr>
              <w:t xml:space="preserve">开</w:t>
            </w:r>
            <w:r>
              <w:rPr>
                <w:rFonts w:hint="eastAsia" w:ascii="宋体" w:hAnsi="宋体" w:eastAsia="宋体" w:cs="宋体"/>
                <w:bCs/>
                <w:color w:val="auto"/>
                <w:sz w:val="24"/>
                <w:szCs w:val="24"/>
                <w:highlight w:val="none"/>
                <w:lang w:val="en-US" w:eastAsia="zh-CN" w:bidi="ar-SA"/>
              </w:rPr>
              <w:t xml:space="preserve">标当月）的依法缴纳社会保障资金的相关材料（提供相关主管部门证明或银行代扣证明）扫描件</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新成立公司（成立不满三个自然月）除外</w:t>
            </w:r>
            <w:r/>
          </w:p>
        </w:tc>
      </w:tr>
      <w:tr>
        <w:trPr>
          <w:trHeight w:val="199"/>
        </w:trPr>
        <w:tc>
          <w:tcPr>
            <w:tcW w:w="9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4"/>
                <w:highlight w:val="none"/>
                <w:lang w:eastAsia="zh-CN"/>
              </w:rPr>
              <w:suppressLineNumbers w:val="0"/>
            </w:pPr>
            <w:r>
              <w:rPr>
                <w:rFonts w:hint="eastAsia" w:ascii="宋体" w:hAnsi="宋体" w:cs="宋体"/>
                <w:color w:val="auto"/>
                <w:szCs w:val="24"/>
                <w:highlight w:val="none"/>
                <w:lang w:val="en-US" w:eastAsia="zh-CN"/>
              </w:rPr>
              <w:t xml:space="preserve">9</w:t>
            </w:r>
            <w:r/>
          </w:p>
        </w:tc>
        <w:tc>
          <w:tcPr>
            <w:tcW w:w="305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bCs/>
                <w:color w:val="auto"/>
                <w:sz w:val="24"/>
                <w:szCs w:val="24"/>
                <w:highlight w:val="none"/>
                <w:lang w:val="en-US" w:eastAsia="zh-CN" w:bidi="ar-SA"/>
              </w:rPr>
              <w:t xml:space="preserve">落实政府采购政策需满足的资格要求</w:t>
            </w:r>
            <w:r/>
          </w:p>
        </w:tc>
        <w:tc>
          <w:tcPr>
            <w:tcW w:w="5544"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bCs/>
                <w:color w:val="auto"/>
                <w:sz w:val="24"/>
                <w:szCs w:val="24"/>
                <w:highlight w:val="none"/>
              </w:rPr>
              <w:t xml:space="preserve">中小企业声明函</w:t>
            </w:r>
            <w:r>
              <w:rPr>
                <w:rFonts w:hint="eastAsia" w:ascii="宋体" w:hAnsi="宋体" w:eastAsia="宋体" w:cs="宋体"/>
                <w:b/>
                <w:bCs w:val="0"/>
                <w:color w:val="auto"/>
                <w:sz w:val="24"/>
                <w:szCs w:val="24"/>
                <w:highlight w:val="none"/>
              </w:rPr>
              <w:t xml:space="preserve">（格式见附件）</w:t>
            </w:r>
            <w:r>
              <w:rPr>
                <w:rFonts w:hint="eastAsia" w:ascii="宋体" w:hAnsi="宋体" w:eastAsia="宋体" w:cs="宋体"/>
                <w:bCs/>
                <w:color w:val="auto"/>
                <w:sz w:val="24"/>
                <w:szCs w:val="24"/>
                <w:highlight w:val="none"/>
              </w:rPr>
              <w:t xml:space="preserve">或残疾人福利性单位声明函</w:t>
            </w:r>
            <w:r>
              <w:rPr>
                <w:rFonts w:hint="eastAsia" w:ascii="宋体" w:hAnsi="宋体" w:eastAsia="宋体" w:cs="宋体"/>
                <w:b/>
                <w:bCs w:val="0"/>
                <w:color w:val="auto"/>
                <w:sz w:val="24"/>
                <w:szCs w:val="24"/>
                <w:highlight w:val="none"/>
              </w:rPr>
              <w:t xml:space="preserve">（格式见附件）</w:t>
            </w:r>
            <w:r>
              <w:rPr>
                <w:rFonts w:hint="eastAsia" w:ascii="宋体" w:hAnsi="宋体" w:eastAsia="宋体" w:cs="宋体"/>
                <w:bCs/>
                <w:color w:val="auto"/>
                <w:sz w:val="24"/>
                <w:szCs w:val="24"/>
                <w:highlight w:val="none"/>
              </w:rPr>
              <w:t xml:space="preserve">或由省级以上监狱管理局、戒毒管理局(含新疆生产建设兵团)出具的属于监狱企业的证明文件扫描件</w:t>
            </w:r>
            <w:r/>
          </w:p>
        </w:tc>
      </w:tr>
      <w:tr>
        <w:trPr>
          <w:trHeight w:val="247"/>
        </w:trPr>
        <w:tc>
          <w:tcPr>
            <w:tcW w:w="90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4"/>
                <w:highlight w:val="none"/>
                <w:lang w:val="en-US" w:eastAsia="zh-CN"/>
              </w:rPr>
              <w:suppressLineNumbers w:val="0"/>
            </w:pPr>
            <w:r>
              <w:rPr>
                <w:rFonts w:hint="eastAsia" w:ascii="宋体" w:hAnsi="宋体" w:cs="宋体"/>
                <w:color w:val="auto"/>
                <w:szCs w:val="24"/>
                <w:highlight w:val="none"/>
                <w:lang w:val="en-US" w:eastAsia="zh-CN"/>
              </w:rPr>
              <w:t xml:space="preserve">10</w:t>
            </w:r>
            <w:r/>
          </w:p>
        </w:tc>
        <w:tc>
          <w:tcPr>
            <w:tcW w:w="305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bCs/>
                <w:color w:val="auto"/>
                <w:sz w:val="24"/>
                <w:szCs w:val="24"/>
                <w:highlight w:val="none"/>
                <w:lang w:val="en-US" w:eastAsia="zh-CN" w:bidi="ar-SA"/>
              </w:rPr>
              <w:t xml:space="preserve">特定资格要求</w:t>
            </w:r>
            <w:r/>
          </w:p>
        </w:tc>
        <w:tc>
          <w:tcPr>
            <w:tcW w:w="5544"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等线" w:cs="宋体"/>
                <w:color w:val="auto"/>
                <w:sz w:val="24"/>
                <w:szCs w:val="24"/>
                <w:highlight w:val="none"/>
                <w:lang w:val="en-US" w:eastAsia="zh-CN" w:bidi="ar-SA"/>
              </w:rPr>
              <w:t xml:space="preserve">/</w:t>
            </w:r>
            <w:r/>
          </w:p>
        </w:tc>
      </w:tr>
      <w:tr>
        <w:trPr>
          <w:trHeight w:val="199"/>
        </w:trPr>
        <w:tc>
          <w:tcPr>
            <w:tcW w:w="9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4"/>
                <w:highlight w:val="none"/>
                <w:lang w:eastAsia="zh-CN"/>
              </w:rPr>
              <w:suppressLineNumbers w:val="0"/>
            </w:pPr>
            <w:r>
              <w:rPr>
                <w:rFonts w:hint="eastAsia" w:ascii="宋体" w:hAnsi="宋体" w:cs="宋体"/>
                <w:color w:val="auto"/>
                <w:szCs w:val="24"/>
                <w:highlight w:val="none"/>
              </w:rPr>
              <w:t xml:space="preserve">1</w:t>
            </w:r>
            <w:r>
              <w:rPr>
                <w:rFonts w:hint="eastAsia" w:ascii="宋体" w:hAnsi="宋体" w:cs="宋体"/>
                <w:color w:val="auto"/>
                <w:szCs w:val="24"/>
                <w:highlight w:val="none"/>
                <w:lang w:val="en-US" w:eastAsia="zh-CN"/>
              </w:rPr>
              <w:t xml:space="preserve">1</w:t>
            </w:r>
            <w:r/>
          </w:p>
        </w:tc>
        <w:tc>
          <w:tcPr>
            <w:tcW w:w="305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bidi="ar-SA"/>
              </w:rPr>
              <w:t xml:space="preserve">信用记录</w:t>
            </w:r>
            <w:r/>
          </w:p>
          <w:p>
            <w:pPr>
              <w:pStyle w:val="818"/>
              <w:ind w:left="0" w:right="0"/>
              <w:jc w:val="both"/>
              <w:keepLines w:val="0"/>
              <w:keepNext w:val="0"/>
              <w:pageBreakBefore w:val="0"/>
              <w:spacing w:before="0" w:beforeAutospacing="0" w:after="0" w:afterAutospacing="0" w:line="240" w:lineRule="auto"/>
              <w:widowControl w:val="off"/>
              <w:tabs>
                <w:tab w:val="center" w:pos="4153" w:leader="none"/>
                <w:tab w:val="clear" w:pos="7143" w:leader="none"/>
                <w:tab w:val="right" w:pos="8306" w:leader="none"/>
                <w:tab w:val="clear" w:pos="14287" w:leader="none"/>
              </w:tabs>
              <w:rPr>
                <w:rFonts w:ascii="宋体" w:hAnsi="宋体" w:cs="宋体"/>
                <w:color w:val="auto"/>
                <w:szCs w:val="24"/>
                <w:highlight w:val="none"/>
              </w:rPr>
              <w:suppressLineNumbers w:val="0"/>
            </w:pPr>
            <w:r>
              <w:rPr>
                <w:rFonts w:hint="eastAsia" w:ascii="宋体" w:hAnsi="宋体" w:eastAsia="宋体" w:cs="宋体"/>
                <w:color w:val="auto"/>
                <w:sz w:val="24"/>
                <w:szCs w:val="24"/>
                <w:highlight w:val="none"/>
                <w:lang w:val="en-US" w:eastAsia="zh-CN" w:bidi="ar-SA"/>
              </w:rPr>
              <w:t xml:space="preserve">（ 由网上直接查询，供应商无需提供证明材料。）</w:t>
            </w:r>
            <w:r/>
          </w:p>
        </w:tc>
        <w:tc>
          <w:tcPr>
            <w:tcW w:w="5544" w:type="dxa"/>
            <w:vAlign w:val="top"/>
            <w:textDirection w:val="lrTb"/>
            <w:noWrap w:val="false"/>
          </w:tcPr>
          <w:p>
            <w:pPr>
              <w:ind w:left="0" w:right="0"/>
              <w:jc w:val="both"/>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color w:val="auto"/>
                <w:sz w:val="24"/>
                <w:szCs w:val="24"/>
                <w:highlight w:val="none"/>
                <w:lang w:val="en-US" w:eastAsia="zh-CN" w:bidi="ar-SA"/>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141"/>
        </w:trPr>
        <w:tc>
          <w:tcPr>
            <w:tcW w:w="9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4"/>
                <w:highlight w:val="none"/>
                <w:lang w:eastAsia="zh-CN"/>
              </w:rPr>
              <w:suppressLineNumbers w:val="0"/>
            </w:pPr>
            <w:r>
              <w:rPr>
                <w:rFonts w:hint="eastAsia" w:ascii="宋体" w:hAnsi="宋体" w:cs="宋体"/>
                <w:color w:val="auto"/>
                <w:szCs w:val="24"/>
                <w:highlight w:val="none"/>
              </w:rPr>
              <w:t xml:space="preserve">1</w:t>
            </w:r>
            <w:r>
              <w:rPr>
                <w:rFonts w:hint="eastAsia" w:ascii="宋体" w:hAnsi="宋体" w:cs="宋体"/>
                <w:color w:val="auto"/>
                <w:szCs w:val="24"/>
                <w:highlight w:val="none"/>
                <w:lang w:val="en-US" w:eastAsia="zh-CN"/>
              </w:rPr>
              <w:t xml:space="preserve">2</w:t>
            </w:r>
            <w:r/>
          </w:p>
        </w:tc>
        <w:tc>
          <w:tcPr>
            <w:tcW w:w="305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color w:val="auto"/>
                <w:sz w:val="24"/>
                <w:szCs w:val="24"/>
                <w:highlight w:val="none"/>
                <w:lang w:val="en-US" w:eastAsia="zh-CN" w:bidi="ar-SA"/>
              </w:rPr>
              <w:t xml:space="preserve">关于联合体投标</w:t>
            </w:r>
            <w:r/>
          </w:p>
        </w:tc>
        <w:tc>
          <w:tcPr>
            <w:tcW w:w="5544"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color w:val="auto"/>
                <w:sz w:val="24"/>
                <w:szCs w:val="24"/>
                <w:highlight w:val="none"/>
                <w:lang w:val="en-US" w:eastAsia="zh-CN" w:bidi="ar-SA"/>
              </w:rPr>
              <w:t xml:space="preserve">本项目不接受联合体投标；不允许分包、转包</w:t>
            </w:r>
            <w:r/>
          </w:p>
        </w:tc>
      </w:tr>
    </w:tbl>
    <w:p>
      <w:pPr>
        <w:pStyle w:val="873"/>
        <w:rPr>
          <w:rFonts w:hint="eastAsia" w:eastAsia="宋体"/>
          <w:color w:val="auto"/>
          <w:highlight w:val="none"/>
          <w:lang w:eastAsia="zh-CN"/>
        </w:rPr>
      </w:pPr>
      <w:r>
        <w:rPr>
          <w:rFonts w:hint="eastAsia" w:ascii="宋体" w:hAnsi="宋体" w:eastAsia="宋体" w:cs="宋体"/>
          <w:b/>
          <w:color w:val="auto"/>
          <w:sz w:val="24"/>
          <w:szCs w:val="24"/>
          <w:highlight w:val="none"/>
        </w:rPr>
        <w:t xml:space="preserve">特别提醒：资格审查不合格的投标供应商的投标文件不进入后续评审</w:t>
      </w:r>
      <w:r>
        <w:rPr>
          <w:rFonts w:hint="eastAsia" w:ascii="宋体" w:hAnsi="宋体" w:eastAsia="宋体" w:cs="宋体"/>
          <w:b/>
          <w:color w:val="auto"/>
          <w:sz w:val="24"/>
          <w:szCs w:val="24"/>
          <w:highlight w:val="none"/>
          <w:lang w:eastAsia="zh-CN"/>
        </w:rPr>
        <w:t xml:space="preserve">。</w:t>
      </w:r>
      <w:r/>
    </w:p>
    <w:p>
      <w:pPr>
        <w:numPr>
          <w:ilvl w:val="0"/>
          <w:numId w:val="8"/>
        </w:num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pStyle w:val="873"/>
        <w:ind w:firstLine="0"/>
        <w:jc w:val="center"/>
        <w:rPr>
          <w:color w:val="auto"/>
          <w:highlight w:val="none"/>
        </w:rPr>
      </w:pPr>
      <w:r/>
      <w:bookmarkStart w:id="1" w:name="_Toc116946315"/>
      <w:r>
        <w:rPr>
          <w:rFonts w:hint="eastAsia" w:ascii="宋体" w:hAnsi="宋体" w:eastAsia="宋体" w:cs="宋体"/>
          <w:b/>
          <w:bCs w:val="0"/>
          <w:color w:val="auto"/>
          <w:sz w:val="24"/>
          <w:szCs w:val="24"/>
          <w:highlight w:val="none"/>
        </w:rPr>
        <w:t xml:space="preserve">符合性审查表</w:t>
      </w:r>
      <w:bookmarkEnd w:id="1"/>
      <w:r/>
      <w:r/>
    </w:p>
    <w:tbl>
      <w:tblPr>
        <w:tblStyle w:val="808"/>
        <w:tblW w:w="94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3007"/>
        <w:gridCol w:w="5511"/>
      </w:tblGrid>
      <w:tr>
        <w:trPr>
          <w:jc w:val="center"/>
          <w:trHeight w:val="408"/>
        </w:trPr>
        <w:tc>
          <w:tcPr>
            <w:tcW w:w="915" w:type="dxa"/>
            <w:vAlign w:val="center"/>
            <w:textDirection w:val="lrTb"/>
            <w:noWrap w:val="false"/>
          </w:tcPr>
          <w:p>
            <w:pPr>
              <w:ind w:left="0" w:right="0"/>
              <w:jc w:val="center"/>
              <w:keepLines w:val="0"/>
              <w:keepNext w:val="0"/>
              <w:spacing w:before="0" w:beforeAutospacing="0" w:after="0" w:afterAutospacing="0"/>
              <w:rPr>
                <w:rFonts w:ascii="宋体" w:hAnsi="宋体" w:cs="宋体"/>
                <w:b/>
                <w:bCs/>
                <w:color w:val="auto"/>
                <w:sz w:val="24"/>
                <w:szCs w:val="32"/>
                <w:highlight w:val="none"/>
              </w:rPr>
              <w:suppressLineNumbers w:val="0"/>
            </w:pPr>
            <w:r>
              <w:rPr>
                <w:rFonts w:hint="eastAsia" w:ascii="宋体" w:hAnsi="宋体" w:cs="宋体"/>
                <w:b/>
                <w:bCs/>
                <w:color w:val="auto"/>
                <w:sz w:val="24"/>
                <w:szCs w:val="32"/>
                <w:highlight w:val="none"/>
              </w:rPr>
              <w:t xml:space="preserve">序号</w:t>
            </w:r>
            <w:r/>
          </w:p>
        </w:tc>
        <w:tc>
          <w:tcPr>
            <w:tcW w:w="3007" w:type="dxa"/>
            <w:vAlign w:val="center"/>
            <w:textDirection w:val="lrTb"/>
            <w:noWrap w:val="false"/>
          </w:tcPr>
          <w:p>
            <w:pPr>
              <w:ind w:left="0" w:right="0"/>
              <w:jc w:val="center"/>
              <w:keepLines w:val="0"/>
              <w:keepNext w:val="0"/>
              <w:spacing w:before="0" w:beforeAutospacing="0" w:after="0" w:afterAutospacing="0"/>
              <w:rPr>
                <w:rFonts w:ascii="宋体" w:hAnsi="宋体" w:cs="宋体"/>
                <w:b/>
                <w:color w:val="auto"/>
                <w:sz w:val="24"/>
                <w:szCs w:val="32"/>
                <w:highlight w:val="none"/>
              </w:rPr>
              <w:suppressLineNumbers w:val="0"/>
            </w:pPr>
            <w:r>
              <w:rPr>
                <w:rFonts w:hint="eastAsia" w:ascii="宋体" w:hAnsi="宋体" w:cs="宋体"/>
                <w:b/>
                <w:color w:val="auto"/>
                <w:sz w:val="24"/>
                <w:szCs w:val="32"/>
                <w:highlight w:val="none"/>
              </w:rPr>
              <w:t xml:space="preserve">评审点要求概况</w:t>
            </w:r>
            <w:r/>
          </w:p>
        </w:tc>
        <w:tc>
          <w:tcPr>
            <w:tcW w:w="5511" w:type="dxa"/>
            <w:vAlign w:val="center"/>
            <w:textDirection w:val="lrTb"/>
            <w:noWrap w:val="false"/>
          </w:tcPr>
          <w:p>
            <w:pPr>
              <w:ind w:left="0" w:right="0"/>
              <w:jc w:val="center"/>
              <w:keepLines w:val="0"/>
              <w:keepNext w:val="0"/>
              <w:spacing w:before="0" w:beforeAutospacing="0" w:after="0" w:afterAutospacing="0"/>
              <w:rPr>
                <w:rFonts w:ascii="宋体" w:hAnsi="宋体" w:cs="宋体"/>
                <w:b/>
                <w:color w:val="auto"/>
                <w:sz w:val="24"/>
                <w:szCs w:val="32"/>
                <w:highlight w:val="none"/>
              </w:rPr>
              <w:suppressLineNumbers w:val="0"/>
            </w:pPr>
            <w:r>
              <w:rPr>
                <w:rFonts w:hint="eastAsia" w:ascii="宋体" w:hAnsi="宋体" w:cs="宋体"/>
                <w:b/>
                <w:color w:val="auto"/>
                <w:sz w:val="24"/>
                <w:szCs w:val="32"/>
                <w:highlight w:val="none"/>
              </w:rPr>
              <w:t xml:space="preserve">评审点具体描述</w:t>
            </w:r>
            <w:r/>
          </w:p>
        </w:tc>
      </w:tr>
      <w:tr>
        <w:trPr>
          <w:jc w:val="center"/>
          <w:trHeight w:val="408"/>
        </w:trPr>
        <w:tc>
          <w:tcPr>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30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投标函</w:t>
            </w:r>
            <w:r/>
          </w:p>
        </w:tc>
        <w:tc>
          <w:tcPr>
            <w:tcW w:w="55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按招标文件填写 ，格式见附件</w:t>
            </w:r>
            <w:r/>
          </w:p>
        </w:tc>
      </w:tr>
      <w:tr>
        <w:trPr>
          <w:jc w:val="center"/>
          <w:trHeight w:val="408"/>
        </w:trPr>
        <w:tc>
          <w:tcPr>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30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开标一览表</w:t>
            </w:r>
            <w:r/>
          </w:p>
        </w:tc>
        <w:tc>
          <w:tcPr>
            <w:tcW w:w="55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按招标文件填写 ，格式见附件</w:t>
            </w:r>
            <w:r/>
          </w:p>
        </w:tc>
      </w:tr>
      <w:tr>
        <w:trPr>
          <w:jc w:val="center"/>
          <w:trHeight w:val="408"/>
        </w:trPr>
        <w:tc>
          <w:tcPr>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3</w:t>
            </w:r>
            <w:r/>
          </w:p>
        </w:tc>
        <w:tc>
          <w:tcPr>
            <w:tcW w:w="30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明细报价表</w:t>
            </w:r>
            <w:r/>
          </w:p>
        </w:tc>
        <w:tc>
          <w:tcPr>
            <w:tcW w:w="55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按招标文件填写 ，格式见附件</w:t>
            </w:r>
            <w:r/>
          </w:p>
        </w:tc>
      </w:tr>
      <w:tr>
        <w:trPr>
          <w:jc w:val="center"/>
          <w:trHeight w:val="408"/>
        </w:trPr>
        <w:tc>
          <w:tcPr>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4</w:t>
            </w:r>
            <w:r/>
          </w:p>
        </w:tc>
        <w:tc>
          <w:tcPr>
            <w:tcW w:w="30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偏离表</w:t>
            </w:r>
            <w:r/>
          </w:p>
        </w:tc>
        <w:tc>
          <w:tcPr>
            <w:tcW w:w="55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按招标文件填写 ，格式见附件</w:t>
            </w:r>
            <w:r/>
          </w:p>
        </w:tc>
      </w:tr>
      <w:tr>
        <w:trPr>
          <w:jc w:val="center"/>
          <w:trHeight w:val="408"/>
        </w:trPr>
        <w:tc>
          <w:tcPr>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5</w:t>
            </w:r>
            <w:r/>
          </w:p>
        </w:tc>
        <w:tc>
          <w:tcPr>
            <w:tcW w:w="30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服务保障承诺书</w:t>
            </w:r>
            <w:r/>
          </w:p>
        </w:tc>
        <w:tc>
          <w:tcPr>
            <w:tcW w:w="55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按招标文件填写 ，格式见附件</w:t>
            </w:r>
            <w:r/>
          </w:p>
        </w:tc>
      </w:tr>
      <w:tr>
        <w:trPr>
          <w:jc w:val="center"/>
          <w:trHeight w:val="609"/>
        </w:trPr>
        <w:tc>
          <w:tcPr>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6</w:t>
            </w:r>
            <w:r/>
          </w:p>
        </w:tc>
        <w:tc>
          <w:tcPr>
            <w:tcW w:w="30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情况表</w:t>
            </w:r>
            <w:r/>
          </w:p>
        </w:tc>
        <w:tc>
          <w:tcPr>
            <w:tcW w:w="55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按招标文件填写 ，格式见附件</w:t>
            </w:r>
            <w:r/>
          </w:p>
        </w:tc>
      </w:tr>
      <w:tr>
        <w:trPr>
          <w:jc w:val="center"/>
          <w:trHeight w:val="408"/>
        </w:trPr>
        <w:tc>
          <w:tcPr>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7</w:t>
            </w:r>
            <w:r/>
          </w:p>
        </w:tc>
        <w:tc>
          <w:tcPr>
            <w:shd w:val="clear" w:color="auto" w:fill="auto"/>
            <w:tcW w:w="3007" w:type="dxa"/>
            <w:vAlign w:val="center"/>
            <w:textDirection w:val="lrTb"/>
            <w:noWrap w:val="false"/>
          </w:tcPr>
          <w:p>
            <w:pPr>
              <w:ind w:left="0" w:right="0"/>
              <w:jc w:val="center"/>
              <w:keepLines w:val="0"/>
              <w:keepNext w:val="0"/>
              <w:spacing w:before="0" w:beforeAutospacing="0" w:after="0" w:afterAutospacing="0" w:line="440" w:lineRule="exact"/>
              <w:widowControl w:val="off"/>
              <w:tabs>
                <w:tab w:val="left" w:pos="480" w:leader="none"/>
              </w:tabs>
              <w:rPr>
                <w:rFonts w:hint="eastAsia" w:ascii="宋体" w:hAnsi="宋体" w:eastAsia="宋体" w:cs="宋体"/>
                <w:color w:val="auto"/>
                <w:sz w:val="24"/>
                <w:szCs w:val="24"/>
                <w:highlight w:val="none"/>
                <w:lang w:val="en-US" w:eastAsia="zh-CN" w:bidi="ar-SA"/>
              </w:rPr>
              <w:outlineLvl w:val="0"/>
              <w:suppressLineNumbers w:val="0"/>
            </w:pPr>
            <w:r>
              <w:rPr>
                <w:rFonts w:hint="eastAsia" w:ascii="宋体" w:hAnsi="宋体" w:eastAsia="宋体" w:cs="宋体"/>
                <w:bCs/>
                <w:color w:val="auto"/>
                <w:sz w:val="24"/>
                <w:szCs w:val="24"/>
                <w:highlight w:val="none"/>
                <w:lang w:val="en-US" w:eastAsia="zh-CN" w:bidi="ar-SA"/>
              </w:rPr>
              <w:t xml:space="preserve">满足采购需求</w:t>
            </w:r>
            <w:r/>
          </w:p>
        </w:tc>
        <w:tc>
          <w:tcPr>
            <w:shd w:val="clear" w:color="auto" w:fill="auto"/>
            <w:tcW w:w="5511" w:type="dxa"/>
            <w:vAlign w:val="center"/>
            <w:textDirection w:val="lrTb"/>
            <w:noWrap w:val="false"/>
          </w:tcPr>
          <w:p>
            <w:pPr>
              <w:ind w:left="0" w:right="0"/>
              <w:jc w:val="center"/>
              <w:keepLines w:val="0"/>
              <w:keepNext w:val="0"/>
              <w:spacing w:before="0" w:beforeAutospacing="0" w:after="0" w:afterAutospacing="0" w:line="440" w:lineRule="exact"/>
              <w:widowControl w:val="off"/>
              <w:tabs>
                <w:tab w:val="left" w:pos="480" w:leader="none"/>
              </w:tabs>
              <w:rPr>
                <w:rFonts w:hint="eastAsia" w:ascii="宋体" w:hAnsi="宋体" w:eastAsia="宋体" w:cs="宋体"/>
                <w:color w:val="auto"/>
                <w:sz w:val="24"/>
                <w:szCs w:val="24"/>
                <w:highlight w:val="none"/>
                <w:lang w:val="en-US" w:eastAsia="zh-CN" w:bidi="ar-SA"/>
              </w:rPr>
              <w:outlineLvl w:val="0"/>
              <w:suppressLineNumbers w:val="0"/>
            </w:pPr>
            <w:r>
              <w:rPr>
                <w:rFonts w:hint="eastAsia" w:ascii="宋体" w:hAnsi="宋体" w:eastAsia="宋体" w:cs="宋体"/>
                <w:bCs/>
                <w:color w:val="auto"/>
                <w:sz w:val="24"/>
                <w:szCs w:val="24"/>
                <w:highlight w:val="none"/>
                <w:lang w:val="en-US" w:eastAsia="zh-CN" w:bidi="ar-SA"/>
              </w:rPr>
              <w:t xml:space="preserve">满足采购文件第三章项目技术要求和有关说明，提供相关证明材料（如有）</w:t>
            </w:r>
            <w:r/>
          </w:p>
        </w:tc>
      </w:tr>
      <w:tr>
        <w:trPr>
          <w:jc w:val="center"/>
          <w:trHeight w:val="408"/>
        </w:trPr>
        <w:tc>
          <w:tcPr>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8</w:t>
            </w:r>
            <w:r/>
          </w:p>
        </w:tc>
        <w:tc>
          <w:tcPr>
            <w:shd w:val="clear" w:color="auto" w:fill="auto"/>
            <w:tcW w:w="30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投标文件内容</w:t>
            </w:r>
            <w:r/>
          </w:p>
        </w:tc>
        <w:tc>
          <w:tcPr>
            <w:shd w:val="clear" w:color="auto" w:fill="auto"/>
            <w:tcW w:w="55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不存在供应商须知第八条中的情形</w:t>
            </w:r>
            <w:r/>
          </w:p>
        </w:tc>
      </w:tr>
    </w:tbl>
    <w:p>
      <w:pPr>
        <w:pStyle w:val="873"/>
        <w:ind w:firstLine="0"/>
        <w:rPr>
          <w:color w:val="auto"/>
          <w:highlight w:val="none"/>
        </w:rPr>
      </w:pPr>
      <w:r>
        <w:rPr>
          <w:color w:val="auto"/>
          <w:highlight w:val="none"/>
        </w:rPr>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澄清有关问题。对投标文件中含义不明确、同类问题表述不一致或者有明显文字和计算错误的内容，</w:t>
      </w:r>
      <w:r>
        <w:rPr>
          <w:rFonts w:hint="eastAsia" w:ascii="宋体" w:hAnsi="宋体"/>
          <w:bCs/>
          <w:color w:val="auto"/>
          <w:sz w:val="24"/>
          <w:szCs w:val="24"/>
          <w:highlight w:val="none"/>
        </w:rPr>
        <w:t xml:space="preserve">评标委员会可以通过政府采购交易管理一体化系统发起询标，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r/>
    </w:p>
    <w:p>
      <w:pPr>
        <w:ind w:firstLine="482"/>
        <w:tabs>
          <w:tab w:val="left" w:pos="1365" w:leader="none"/>
        </w:tabs>
        <w:rPr>
          <w:rFonts w:ascii="宋体" w:hAnsi="宋体"/>
          <w:b/>
          <w:color w:val="auto"/>
          <w:sz w:val="24"/>
          <w:highlight w:val="none"/>
        </w:rPr>
      </w:pPr>
      <w:r>
        <w:rPr>
          <w:rFonts w:hint="eastAsia" w:ascii="宋体" w:hAnsi="宋体"/>
          <w:b/>
          <w:color w:val="auto"/>
          <w:sz w:val="24"/>
          <w:highlight w:val="none"/>
        </w:rPr>
        <w:t xml:space="preserve">（3）启动</w:t>
      </w:r>
      <w:r>
        <w:rPr>
          <w:rFonts w:ascii="宋体" w:hAnsi="宋体"/>
          <w:b/>
          <w:color w:val="auto"/>
          <w:sz w:val="24"/>
          <w:highlight w:val="none"/>
        </w:rPr>
        <w:t xml:space="preserve">异常低价投标（响应）审查的情形和具体要求：</w:t>
      </w:r>
      <w:r/>
    </w:p>
    <w:p>
      <w:pPr>
        <w:ind w:firstLine="482"/>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异常低价投标（响应）审查的情形和具体要求（财库〔2026〕2号），包括：</w:t>
      </w:r>
      <w:r/>
    </w:p>
    <w:p>
      <w:pPr>
        <w:ind w:firstLine="482"/>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1）采购人应当在招标文件中明确，在政府采购评审中出现下列情形之一的，评审委员会应当启动异常低价投标（响应）审查程序：</w:t>
      </w:r>
      <w:r/>
    </w:p>
    <w:p>
      <w:pPr>
        <w:ind w:firstLine="482"/>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①投标（响应）报价低于全部通过符合性审查供应商投标（响应）报价平均值50%的，即投标（响应）报价〈全部通过符合性审查供应商投标（响应）报价平均值×50%；</w:t>
      </w:r>
      <w:r/>
    </w:p>
    <w:p>
      <w:pPr>
        <w:ind w:firstLine="482"/>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②投标（响应）报价低于通过符合性审查的次低报价供应商投标（响应）报价50%的，即投标（响应）报价〈通过符合性审查的次低报价供应商投标（响应）报价×50%；</w:t>
      </w:r>
      <w:r/>
    </w:p>
    <w:p>
      <w:pPr>
        <w:ind w:firstLine="482"/>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③投标（响应）报价低于采购项目最高限价</w:t>
      </w:r>
      <w:r>
        <w:rPr>
          <w:rFonts w:hint="eastAsia" w:ascii="宋体" w:hAnsi="宋体" w:cs="宋体"/>
          <w:b/>
          <w:color w:val="auto"/>
          <w:sz w:val="24"/>
          <w:highlight w:val="none"/>
          <w:lang w:val="en-US" w:eastAsia="zh-CN"/>
        </w:rPr>
        <w:t xml:space="preserve">65</w:t>
      </w:r>
      <w:r>
        <w:rPr>
          <w:rFonts w:hint="eastAsia" w:ascii="宋体" w:hAnsi="宋体" w:cs="宋体"/>
          <w:b/>
          <w:color w:val="auto"/>
          <w:sz w:val="24"/>
          <w:highlight w:val="none"/>
        </w:rPr>
        <w:t xml:space="preserve">%的，即投标（响应）报价〈采购项目最高限价×</w:t>
      </w:r>
      <w:r>
        <w:rPr>
          <w:rFonts w:hint="eastAsia" w:ascii="宋体" w:hAnsi="宋体" w:cs="宋体"/>
          <w:b/>
          <w:color w:val="auto"/>
          <w:sz w:val="24"/>
          <w:highlight w:val="none"/>
          <w:lang w:val="en-US" w:eastAsia="zh-CN"/>
        </w:rPr>
        <w:t xml:space="preserve">65</w:t>
      </w:r>
      <w:r>
        <w:rPr>
          <w:rFonts w:hint="eastAsia" w:ascii="宋体" w:hAnsi="宋体" w:cs="宋体"/>
          <w:b/>
          <w:color w:val="auto"/>
          <w:sz w:val="24"/>
          <w:highlight w:val="none"/>
        </w:rPr>
        <w:t xml:space="preserve">%；</w:t>
      </w:r>
      <w:r/>
    </w:p>
    <w:p>
      <w:pPr>
        <w:ind w:firstLine="482"/>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④评审委员会基于专业判断，认为供应商报价过低，有可能影响产品质量或者不能诚信履约的其他情形。</w:t>
      </w:r>
      <w:r/>
    </w:p>
    <w:p>
      <w:pPr>
        <w:ind w:firstLine="482"/>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tabs>
          <w:tab w:val="left" w:pos="1365" w:leader="none"/>
        </w:tabs>
        <w:rPr>
          <w:color w:val="auto"/>
          <w:highlight w:val="none"/>
        </w:rPr>
      </w:pPr>
      <w:r>
        <w:rPr>
          <w:rFonts w:hint="eastAsia" w:ascii="宋体" w:hAnsi="宋体" w:cs="宋体"/>
          <w:b/>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比较与评价。评标委员会按招标文件中规定的评标方法和标准，对资格性检查和符合性检查合格的投标文件进行商务和技术评估，综合比较与评价。</w:t>
      </w:r>
      <w:r/>
    </w:p>
    <w:p>
      <w:pPr>
        <w:ind w:left="524"/>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5. 评标方法</w:t>
      </w:r>
      <w:r/>
    </w:p>
    <w:p>
      <w:pPr>
        <w:ind w:firstLine="480"/>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（1）供应商通过初审的，方可进入比较与评价程序，本项目采用综合评分法。</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（2）评标委员会遵循公平、公正、择优原则，独立按照评分标准分别评定供应商的分值；各供应商的评审后得分为</w:t>
      </w:r>
      <w:r>
        <w:rPr>
          <w:rFonts w:hint="eastAsia" w:ascii="宋体" w:hAnsi="宋体"/>
          <w:bCs/>
          <w:color w:val="auto"/>
          <w:sz w:val="24"/>
          <w:szCs w:val="24"/>
          <w:highlight w:val="none"/>
        </w:rPr>
        <w:t xml:space="preserve">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rPr>
          <w:rFonts w:hint="eastAsia" w:ascii="宋体" w:hAnsi="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采购本国产品的支持政策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eastAsia="宋体" w:cs="宋体"/>
          <w:bCs/>
          <w:color w:val="auto"/>
          <w:sz w:val="24"/>
          <w:szCs w:val="24"/>
          <w:highlight w:val="none"/>
        </w:rPr>
      </w:pPr>
      <w:r>
        <w:rPr>
          <w:rFonts w:hint="default" w:ascii="宋体" w:hAnsi="宋体" w:eastAsia="宋体" w:cs="宋体"/>
          <w:bCs/>
          <w:color w:val="auto"/>
          <w:sz w:val="24"/>
          <w:szCs w:val="24"/>
          <w:highlight w:val="none"/>
          <w:lang w:val="en-US" w:eastAsia="zh-CN"/>
        </w:rPr>
        <w:t xml:space="preserve">①</w:t>
      </w:r>
      <w:r>
        <w:rPr>
          <w:rFonts w:hint="eastAsia" w:ascii="宋体" w:hAnsi="宋体" w:eastAsia="宋体" w:cs="宋体"/>
          <w:bCs/>
          <w:color w:val="auto"/>
          <w:sz w:val="24"/>
          <w:szCs w:val="24"/>
          <w:highlight w:val="none"/>
        </w:rPr>
        <w:t xml:space="preserve">本国产品价格扣除政策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rPr>
          <w:rFonts w:hint="eastAsia" w:ascii="宋体" w:hAnsi="宋体" w:eastAsia="宋体" w:cs="宋体"/>
          <w:bCs/>
          <w:color w:val="auto"/>
          <w:sz w:val="24"/>
          <w:szCs w:val="24"/>
          <w:highlight w:val="none"/>
        </w:rPr>
      </w:pPr>
      <w:r>
        <w:rPr>
          <w:rFonts w:hint="default" w:ascii="宋体" w:hAnsi="宋体" w:eastAsia="宋体" w:cs="宋体"/>
          <w:bCs/>
          <w:color w:val="auto"/>
          <w:sz w:val="24"/>
          <w:szCs w:val="24"/>
          <w:highlight w:val="none"/>
          <w:lang w:val="en-US" w:eastAsia="zh-CN"/>
        </w:rPr>
        <w:t xml:space="preserve">②</w:t>
      </w:r>
      <w:r>
        <w:rPr>
          <w:rFonts w:hint="eastAsia" w:ascii="宋体" w:hAnsi="宋体" w:eastAsia="宋体" w:cs="宋体"/>
          <w:bCs/>
          <w:color w:val="auto"/>
          <w:sz w:val="24"/>
          <w:szCs w:val="24"/>
          <w:highlight w:val="none"/>
        </w:rPr>
        <w:t xml:space="preserve">注意事项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1）提供本国产品进行投标（报价）的供应商需在其投</w:t>
      </w:r>
      <w:r>
        <w:rPr>
          <w:rFonts w:hint="eastAsia" w:ascii="宋体" w:hAnsi="宋体" w:eastAsia="宋体" w:cs="宋体"/>
          <w:bCs/>
          <w:color w:val="auto"/>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2）当采购项目或者采购包中含有多种产品，除按上述要求提供《关于符合本国产品标准的声明函》外，供应商还应在《</w:t>
      </w:r>
      <w:r>
        <w:rPr>
          <w:rFonts w:hint="eastAsia" w:ascii="宋体" w:hAnsi="宋体" w:eastAsia="宋体" w:cs="宋体"/>
          <w:bCs/>
          <w:color w:val="auto"/>
          <w:sz w:val="24"/>
          <w:szCs w:val="24"/>
          <w:highlight w:val="none"/>
          <w:lang w:val="en-US" w:eastAsia="zh-CN"/>
        </w:rPr>
        <w:t xml:space="preserve">报价明细表</w:t>
      </w:r>
      <w:r>
        <w:rPr>
          <w:rFonts w:hint="eastAsia" w:ascii="宋体" w:hAnsi="宋体" w:eastAsia="宋体" w:cs="宋体"/>
          <w:bCs/>
          <w:color w:val="auto"/>
          <w:sz w:val="24"/>
          <w:szCs w:val="24"/>
          <w:highlight w:val="none"/>
        </w:rPr>
        <w:t xml:space="preserve">》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即，当小微型企业价格扣除政策和本国产品价格扣除政策同时享受时，按以下计算方式进行计算：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供应商参与评审的报价=供应商投标总报价×[1-（小微型企业价格扣除+本国产品价格扣除）]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1000000×[1-（10%+20%）]=700000元</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．评标标准：</w:t>
      </w:r>
      <w:r>
        <w:rPr>
          <w:rFonts w:hint="eastAsia" w:ascii="宋体" w:hAnsi="宋体"/>
          <w:bCs/>
          <w:color w:val="auto"/>
          <w:sz w:val="24"/>
          <w:szCs w:val="24"/>
          <w:highlight w:val="none"/>
        </w:rPr>
        <w:t xml:space="preserve">详见附件。</w:t>
      </w:r>
      <w:r/>
    </w:p>
    <w:p>
      <w:pPr>
        <w:ind w:firstLine="480"/>
        <w:rPr>
          <w:rFonts w:eastAsia="黑体"/>
          <w:bCs/>
          <w:color w:val="auto"/>
          <w:sz w:val="24"/>
          <w:szCs w:val="24"/>
          <w:highlight w:val="none"/>
        </w:rPr>
      </w:pPr>
      <w:r>
        <w:rPr>
          <w:rFonts w:hint="eastAsia" w:eastAsia="黑体"/>
          <w:bCs/>
          <w:color w:val="auto"/>
          <w:sz w:val="24"/>
          <w:szCs w:val="24"/>
          <w:highlight w:val="none"/>
        </w:rPr>
        <w:t xml:space="preserve">（十）</w:t>
      </w:r>
      <w:r>
        <w:rPr>
          <w:rFonts w:eastAsia="黑体"/>
          <w:bCs/>
          <w:color w:val="auto"/>
          <w:sz w:val="24"/>
          <w:szCs w:val="24"/>
          <w:highlight w:val="none"/>
        </w:rPr>
        <w:t xml:space="preserve">定标：</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1．评标委员会根据招标文件规定的评标方法和评标标准进行评审，按得分由高到低的原则确定中标供应商，得分且投标报价相同的，由采购人或采购人委托评标委员会采取随机抽取方式确定中标人。</w:t>
      </w:r>
      <w:r>
        <w:rPr>
          <w:rFonts w:hint="eastAsia" w:ascii="宋体" w:hAnsi="宋体"/>
          <w:bCs/>
          <w:color w:val="auto"/>
          <w:sz w:val="24"/>
          <w:szCs w:val="24"/>
          <w:highlight w:val="none"/>
          <w:lang w:eastAsia="zh-CN"/>
        </w:rPr>
        <w:t xml:space="preserve">江苏新桂工程咨询有限公司</w:t>
      </w:r>
      <w:r>
        <w:rPr>
          <w:rFonts w:hint="eastAsia" w:ascii="宋体" w:hAnsi="宋体"/>
          <w:bCs/>
          <w:color w:val="auto"/>
          <w:sz w:val="24"/>
          <w:szCs w:val="24"/>
          <w:highlight w:val="none"/>
        </w:rPr>
        <w:t xml:space="preserve">将在江苏政府采购网上发布中标公告。</w:t>
      </w:r>
      <w:r>
        <w:rPr>
          <w:rFonts w:hint="eastAsia" w:ascii="宋体" w:hAnsi="宋体"/>
          <w:bCs/>
          <w:color w:val="auto"/>
          <w:sz w:val="24"/>
          <w:szCs w:val="24"/>
          <w:highlight w:val="none"/>
          <w:lang w:eastAsia="zh-CN"/>
        </w:rPr>
        <w:t xml:space="preserve">江苏新桂工程咨询有限公司</w:t>
      </w:r>
      <w:r>
        <w:rPr>
          <w:rFonts w:hint="eastAsia" w:ascii="宋体" w:hAnsi="宋体"/>
          <w:bCs/>
          <w:color w:val="auto"/>
          <w:sz w:val="24"/>
          <w:szCs w:val="24"/>
          <w:highlight w:val="none"/>
        </w:rPr>
        <w:t xml:space="preserve">和评标委员会对未中标原因不作解释。如有质疑，应在法定质疑期限内，即中标公告期限届满之日起</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个工作日内，以书面形式（原件）送达</w:t>
      </w:r>
      <w:r>
        <w:rPr>
          <w:rFonts w:hint="eastAsia" w:ascii="宋体" w:hAnsi="宋体"/>
          <w:bCs/>
          <w:color w:val="auto"/>
          <w:sz w:val="24"/>
          <w:szCs w:val="24"/>
          <w:highlight w:val="none"/>
          <w:lang w:eastAsia="zh-CN"/>
        </w:rPr>
        <w:t xml:space="preserve">江苏新桂工程咨询有限公司</w:t>
      </w:r>
      <w:r>
        <w:rPr>
          <w:rFonts w:hint="eastAsia" w:ascii="宋体" w:hAnsi="宋体"/>
          <w:bCs/>
          <w:color w:val="auto"/>
          <w:sz w:val="24"/>
          <w:szCs w:val="24"/>
          <w:highlight w:val="none"/>
        </w:rPr>
        <w:t xml:space="preserve">，并且</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。质疑函应当列明具体的质疑事项及事实根据（格式详见中国政府采购网《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w:t>
      </w:r>
      <w:bookmarkStart w:id="2" w:name="_Hlt50664451"/>
      <w:r/>
      <w:bookmarkStart w:id="3" w:name="_Hlt50664450"/>
      <w:r>
        <w:rPr>
          <w:rFonts w:hint="eastAsia" w:ascii="宋体" w:hAnsi="宋体"/>
          <w:bCs/>
          <w:color w:val="auto"/>
          <w:sz w:val="24"/>
          <w:szCs w:val="24"/>
          <w:highlight w:val="none"/>
        </w:rPr>
        <w:t xml:space="preserve">函</w:t>
      </w:r>
      <w:bookmarkEnd w:id="2"/>
      <w:r/>
      <w:bookmarkEnd w:id="3"/>
      <w:r>
        <w:rPr>
          <w:rFonts w:hint="eastAsia" w:ascii="宋体" w:hAnsi="宋体"/>
          <w:bCs/>
          <w:color w:val="auto"/>
          <w:sz w:val="24"/>
          <w:szCs w:val="24"/>
          <w:highlight w:val="none"/>
        </w:rPr>
        <w:t xml:space="preserve">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》），认为自己合法权益</w:t>
      </w:r>
      <w:r>
        <w:rPr>
          <w:rFonts w:ascii="宋体" w:hAnsi="宋体"/>
          <w:bCs/>
          <w:color w:val="auto"/>
          <w:sz w:val="24"/>
          <w:szCs w:val="24"/>
          <w:highlight w:val="none"/>
        </w:rPr>
        <w:t xml:space="preserve">受到损害的</w:t>
      </w:r>
      <w:r>
        <w:rPr>
          <w:rFonts w:hint="eastAsia" w:ascii="宋体" w:hAnsi="宋体"/>
          <w:bCs/>
          <w:color w:val="auto"/>
          <w:sz w:val="24"/>
          <w:szCs w:val="24"/>
          <w:highlight w:val="none"/>
        </w:rPr>
        <w:t xml:space="preserve">相关证据材料以及质疑供应商的名称、地址、邮编、联系人、联系电话、日期，同时该质疑函应由投标供应商法定代表人签字并加盖单位公章（原件）。</w:t>
      </w:r>
      <w:r>
        <w:rPr>
          <w:rFonts w:hint="eastAsia" w:ascii="宋体" w:hAnsi="宋体"/>
          <w:bCs/>
          <w:color w:val="auto"/>
          <w:sz w:val="24"/>
          <w:szCs w:val="24"/>
          <w:highlight w:val="none"/>
          <w:lang w:eastAsia="zh-CN"/>
        </w:rPr>
        <w:t xml:space="preserve">江苏新桂工程咨询有限公司</w:t>
      </w:r>
      <w:r>
        <w:rPr>
          <w:rFonts w:hint="eastAsia" w:ascii="宋体" w:hAnsi="宋体"/>
          <w:bCs/>
          <w:color w:val="auto"/>
          <w:sz w:val="24"/>
          <w:szCs w:val="24"/>
          <w:highlight w:val="none"/>
        </w:rPr>
        <w:t xml:space="preserve">将在收到符合上述要求的书面质疑后七个工作日内，对质疑内容作出答复。投标供应商在法定质疑期限外送达的质疑函或法定质疑期限内送达的质疑函不符合上述要求的均为无效质疑，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江苏新桂工程咨询有限公司</w:t>
      </w:r>
      <w:r>
        <w:rPr>
          <w:rFonts w:hint="eastAsia" w:ascii="宋体" w:hAnsi="宋体"/>
          <w:bCs/>
          <w:color w:val="auto"/>
          <w:sz w:val="24"/>
          <w:szCs w:val="24"/>
          <w:highlight w:val="none"/>
        </w:rPr>
        <w:t xml:space="preserve">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2．在发布中标公告的同时，</w:t>
      </w:r>
      <w:r>
        <w:rPr>
          <w:rFonts w:hint="eastAsia" w:ascii="宋体" w:hAnsi="宋体"/>
          <w:bCs/>
          <w:color w:val="auto"/>
          <w:sz w:val="24"/>
          <w:szCs w:val="24"/>
          <w:highlight w:val="none"/>
          <w:lang w:eastAsia="zh-CN"/>
        </w:rPr>
        <w:t xml:space="preserve">江苏新桂工程咨询有限公司</w:t>
      </w:r>
      <w:r>
        <w:rPr>
          <w:rFonts w:hint="eastAsia" w:ascii="宋体" w:hAnsi="宋体"/>
          <w:bCs/>
          <w:color w:val="auto"/>
          <w:sz w:val="24"/>
          <w:szCs w:val="24"/>
          <w:highlight w:val="none"/>
        </w:rPr>
        <w:t xml:space="preserve">将向中标供应商发出中标通知书。</w:t>
      </w:r>
      <w:r/>
    </w:p>
    <w:p>
      <w:pPr>
        <w:ind w:firstLine="480"/>
        <w:tabs>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3．投标供应商电子投标文件将作为电子档案保存</w:t>
      </w:r>
      <w:r>
        <w:rPr>
          <w:bCs/>
          <w:color w:val="auto"/>
          <w:sz w:val="24"/>
          <w:szCs w:val="24"/>
          <w:highlight w:val="none"/>
        </w:rPr>
        <w:t xml:space="preserve">。</w:t>
      </w:r>
      <w:r/>
    </w:p>
    <w:p>
      <w:pPr>
        <w:ind w:firstLine="480"/>
        <w:rPr>
          <w:rFonts w:eastAsia="黑体"/>
          <w:bCs/>
          <w:color w:val="auto"/>
          <w:sz w:val="24"/>
          <w:szCs w:val="24"/>
          <w:highlight w:val="none"/>
        </w:rPr>
      </w:pPr>
      <w:r>
        <w:rPr>
          <w:rFonts w:hint="eastAsia" w:eastAsia="黑体"/>
          <w:bCs/>
          <w:color w:val="auto"/>
          <w:sz w:val="24"/>
          <w:szCs w:val="24"/>
          <w:highlight w:val="none"/>
        </w:rPr>
        <w:t xml:space="preserve">（</w:t>
      </w:r>
      <w:r>
        <w:rPr>
          <w:rFonts w:eastAsia="黑体"/>
          <w:bCs/>
          <w:color w:val="auto"/>
          <w:sz w:val="24"/>
          <w:szCs w:val="24"/>
          <w:highlight w:val="none"/>
        </w:rPr>
        <w:t xml:space="preserve">十</w:t>
      </w:r>
      <w:r>
        <w:rPr>
          <w:rFonts w:hint="eastAsia" w:eastAsia="黑体"/>
          <w:bCs/>
          <w:color w:val="auto"/>
          <w:sz w:val="24"/>
          <w:szCs w:val="24"/>
          <w:highlight w:val="none"/>
        </w:rPr>
        <w:t xml:space="preserve">一）废标的确认</w:t>
      </w:r>
      <w:r>
        <w:rPr>
          <w:rFonts w:eastAsia="黑体"/>
          <w:bCs/>
          <w:color w:val="auto"/>
          <w:sz w:val="24"/>
          <w:szCs w:val="24"/>
          <w:highlight w:val="none"/>
        </w:rPr>
        <w:t xml:space="preserve">：</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在招标采购中，出现下列情况之一的，应予废标：</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1．符合专业条件的投标供应商或者对招标文件作出实质性响应的投标供应商不足三家；</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2．出现影响采购公正的违法、违规行为；</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3．投标供应商的报价均超过采购预算，采购人不能支付的；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4．因重大变故，采购任务取消。</w:t>
      </w:r>
      <w:r/>
    </w:p>
    <w:p>
      <w:pPr>
        <w:ind w:firstLine="480"/>
        <w:rPr>
          <w:rFonts w:eastAsia="黑体"/>
          <w:bCs/>
          <w:color w:val="auto"/>
          <w:sz w:val="24"/>
          <w:szCs w:val="24"/>
          <w:highlight w:val="none"/>
        </w:rPr>
      </w:pPr>
      <w:r>
        <w:rPr>
          <w:rFonts w:hint="eastAsia" w:eastAsia="黑体"/>
          <w:bCs/>
          <w:color w:val="auto"/>
          <w:sz w:val="24"/>
          <w:szCs w:val="24"/>
          <w:highlight w:val="none"/>
        </w:rPr>
        <w:t xml:space="preserve">（十二）中标无效的确认：</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．提供虚假材料谋取中标的；</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．采取不正当手段诋毁、排挤其他投标供应商的；</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．与招标采购人、其他投标供应商恶意串通的；</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．向招标采购人行贿或者提供其他不正当利益的；</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．在招标过程中与招标采购人进行协商谈判、不按照招标文件和中标供应商的投标文件订立合同，或者与采购人另行订立背离合同实质性内容的协议的；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6．拒绝有关部门监督检查或者提供虚假情况的。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．至5．项情形之一的，中标无效。有上述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6．项情形之一的，处以政府采购项目中标金额千分之五以上千分之十以下的罚款，由财政部门将其列入不良行为记录名单，在一至三年内禁止参加政府采购活动，并予以公告，有违法所得的，并处没收违法所得，情节严重的，由工商行政管理机构吊销营业执照；构成犯罪的，依法追究刑事责任。</w:t>
      </w:r>
      <w:r/>
    </w:p>
    <w:p>
      <w:pPr>
        <w:ind w:firstLine="480"/>
        <w:rPr>
          <w:rFonts w:eastAsia="黑体"/>
          <w:bCs/>
          <w:color w:val="auto"/>
          <w:sz w:val="24"/>
          <w:szCs w:val="24"/>
          <w:highlight w:val="none"/>
        </w:rPr>
        <w:outlineLvl w:val="0"/>
      </w:pPr>
      <w:r>
        <w:rPr>
          <w:rFonts w:hint="eastAsia" w:eastAsia="黑体"/>
          <w:bCs/>
          <w:color w:val="auto"/>
          <w:sz w:val="24"/>
          <w:szCs w:val="24"/>
          <w:highlight w:val="none"/>
        </w:rPr>
        <w:t xml:space="preserve">（十三）</w:t>
      </w:r>
      <w:r>
        <w:rPr>
          <w:rFonts w:eastAsia="黑体"/>
          <w:bCs/>
          <w:color w:val="auto"/>
          <w:sz w:val="24"/>
          <w:szCs w:val="24"/>
          <w:highlight w:val="none"/>
        </w:rPr>
        <w:t xml:space="preserve">签订、履行合同：</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w:t>
      </w:r>
      <w:r>
        <w:rPr>
          <w:rFonts w:hint="eastAsia" w:ascii="宋体" w:hAnsi="宋体"/>
          <w:bCs/>
          <w:color w:val="auto"/>
          <w:sz w:val="24"/>
          <w:szCs w:val="24"/>
          <w:highlight w:val="none"/>
          <w:lang w:eastAsia="zh-CN"/>
        </w:rPr>
        <w:t xml:space="preserve">江苏新桂工程咨询有限公司</w:t>
      </w:r>
      <w:r>
        <w:rPr>
          <w:rFonts w:hint="eastAsia" w:ascii="宋体" w:hAnsi="宋体"/>
          <w:bCs/>
          <w:color w:val="auto"/>
          <w:sz w:val="24"/>
          <w:szCs w:val="24"/>
          <w:highlight w:val="none"/>
        </w:rPr>
        <w:t xml:space="preserve">备案。</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中标供应商非因不可抗力未履行招、投标文件和合同规定的义务，一经查实，</w:t>
      </w:r>
      <w:r>
        <w:rPr>
          <w:rFonts w:hint="eastAsia" w:ascii="宋体" w:hAnsi="宋体"/>
          <w:bCs/>
          <w:color w:val="auto"/>
          <w:sz w:val="24"/>
          <w:szCs w:val="24"/>
          <w:highlight w:val="none"/>
          <w:lang w:eastAsia="zh-CN"/>
        </w:rPr>
        <w:t xml:space="preserve">江苏新桂工程咨询有限公司</w:t>
      </w:r>
      <w:r>
        <w:rPr>
          <w:rFonts w:ascii="宋体" w:hAnsi="宋体"/>
          <w:bCs/>
          <w:color w:val="auto"/>
          <w:sz w:val="24"/>
          <w:szCs w:val="24"/>
          <w:highlight w:val="none"/>
        </w:rPr>
        <w:t xml:space="preserve">将根据具体情况提请政府采购管理部门作出相应处理。</w:t>
      </w:r>
      <w:r/>
    </w:p>
    <w:p>
      <w:pPr>
        <w:ind w:firstLine="480"/>
        <w:rPr>
          <w:rFonts w:eastAsia="黑体"/>
          <w:bCs/>
          <w:color w:val="auto"/>
          <w:sz w:val="24"/>
          <w:szCs w:val="24"/>
          <w:highlight w:val="none"/>
        </w:rPr>
        <w:outlineLvl w:val="0"/>
      </w:pPr>
      <w:r>
        <w:rPr>
          <w:rFonts w:hint="eastAsia" w:eastAsia="黑体"/>
          <w:bCs/>
          <w:color w:val="auto"/>
          <w:sz w:val="24"/>
          <w:szCs w:val="24"/>
          <w:highlight w:val="none"/>
        </w:rPr>
        <w:t xml:space="preserve"> （十四）注意事项：</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（1）中标后无正当理由不与采购人签订合同的；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（2）将中标项目转让给他人，或者在投标文件中未说明，且未经过采购人同意，将中标项目分包给他人的；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（3）拒绝履行合同义务的。</w:t>
      </w:r>
      <w:r/>
    </w:p>
    <w:p>
      <w:pPr>
        <w:ind w:firstLine="480"/>
        <w:rPr>
          <w:rFonts w:ascii="宋体" w:cs="宋体"/>
          <w:b/>
          <w:bCs/>
          <w:color w:val="auto"/>
          <w:sz w:val="24"/>
          <w:szCs w:val="28"/>
          <w:highlight w:val="none"/>
        </w:rPr>
        <w:outlineLvl w:val="0"/>
      </w:pPr>
      <w:r>
        <w:rPr>
          <w:rFonts w:hint="eastAsia" w:eastAsia="黑体"/>
          <w:bCs/>
          <w:color w:val="auto"/>
          <w:sz w:val="24"/>
          <w:szCs w:val="24"/>
          <w:highlight w:val="none"/>
        </w:rPr>
        <w:t xml:space="preserve">（</w:t>
      </w:r>
      <w:r>
        <w:rPr>
          <w:rFonts w:eastAsia="黑体"/>
          <w:bCs/>
          <w:color w:val="auto"/>
          <w:sz w:val="24"/>
          <w:szCs w:val="24"/>
          <w:highlight w:val="none"/>
        </w:rPr>
        <w:t xml:space="preserve">十</w:t>
      </w:r>
      <w:r>
        <w:rPr>
          <w:rFonts w:hint="eastAsia" w:eastAsia="黑体"/>
          <w:bCs/>
          <w:color w:val="auto"/>
          <w:sz w:val="24"/>
          <w:szCs w:val="24"/>
          <w:highlight w:val="none"/>
        </w:rPr>
        <w:t xml:space="preserve">五）</w:t>
      </w:r>
      <w:r>
        <w:rPr>
          <w:rFonts w:hint="eastAsia" w:ascii="宋体" w:hAnsi="宋体" w:cs="宋体"/>
          <w:b/>
          <w:bCs/>
          <w:color w:val="auto"/>
          <w:sz w:val="24"/>
          <w:szCs w:val="28"/>
          <w:highlight w:val="none"/>
          <w:lang w:val="en-US" w:eastAsia="zh-CN"/>
        </w:rPr>
        <w:t xml:space="preserve">代理</w:t>
      </w:r>
      <w:r>
        <w:rPr>
          <w:rFonts w:hint="eastAsia" w:ascii="宋体" w:hAnsi="宋体" w:cs="宋体"/>
          <w:b/>
          <w:bCs/>
          <w:color w:val="auto"/>
          <w:sz w:val="24"/>
          <w:szCs w:val="28"/>
          <w:highlight w:val="none"/>
        </w:rPr>
        <w:t xml:space="preserve">服务费：</w:t>
      </w:r>
      <w:r/>
    </w:p>
    <w:p>
      <w:pPr>
        <w:numPr>
          <w:ilvl w:val="-1"/>
          <w:numId w:val="0"/>
        </w:numPr>
        <w:ind w:left="0" w:firstLine="480"/>
        <w:spacing w:line="360" w:lineRule="auto"/>
        <w:tabs>
          <w:tab w:val="left" w:pos="525" w:leader="none"/>
          <w:tab w:val="left" w:pos="1050" w:leader="none"/>
        </w:tabs>
        <w:rPr>
          <w:rFonts w:hint="eastAsia" w:ascii="宋体" w:hAnsi="宋体" w:eastAsia="宋体" w:cs="Times New Roman"/>
          <w:b/>
          <w:bCs w:val="0"/>
          <w:color w:val="auto"/>
          <w:sz w:val="24"/>
          <w:szCs w:val="24"/>
          <w:highlight w:val="none"/>
          <w:u w:val="none"/>
        </w:rPr>
      </w:pPr>
      <w:r>
        <w:rPr>
          <w:rFonts w:hint="eastAsia" w:ascii="宋体" w:hAnsi="宋体" w:eastAsia="宋体" w:cs="Times New Roman"/>
          <w:b/>
          <w:bCs w:val="0"/>
          <w:color w:val="auto"/>
          <w:sz w:val="24"/>
          <w:szCs w:val="24"/>
          <w:highlight w:val="none"/>
          <w:shd w:val="clear" w:color="auto"/>
        </w:rPr>
        <w:t xml:space="preserve">本项目代理服务费由</w:t>
      </w:r>
      <w:r>
        <w:rPr>
          <w:rFonts w:hint="eastAsia" w:ascii="宋体" w:hAnsi="宋体" w:cs="Times New Roman"/>
          <w:b/>
          <w:bCs w:val="0"/>
          <w:color w:val="auto"/>
          <w:sz w:val="24"/>
          <w:szCs w:val="24"/>
          <w:highlight w:val="none"/>
          <w:shd w:val="clear" w:color="auto"/>
          <w:lang w:val="en-US" w:eastAsia="zh-CN"/>
        </w:rPr>
        <w:t xml:space="preserve">采购</w:t>
      </w:r>
      <w:r>
        <w:rPr>
          <w:rFonts w:hint="eastAsia" w:ascii="宋体" w:hAnsi="宋体" w:eastAsia="宋体" w:cs="Times New Roman"/>
          <w:b/>
          <w:bCs w:val="0"/>
          <w:color w:val="auto"/>
          <w:sz w:val="24"/>
          <w:szCs w:val="24"/>
          <w:highlight w:val="none"/>
          <w:shd w:val="clear" w:color="auto"/>
          <w:lang w:val="en-US" w:eastAsia="zh-CN"/>
        </w:rPr>
        <w:t xml:space="preserve">人</w:t>
      </w:r>
      <w:r>
        <w:rPr>
          <w:rFonts w:hint="eastAsia" w:ascii="宋体" w:hAnsi="宋体" w:eastAsia="宋体" w:cs="Times New Roman"/>
          <w:b/>
          <w:bCs w:val="0"/>
          <w:color w:val="auto"/>
          <w:sz w:val="24"/>
          <w:szCs w:val="24"/>
          <w:highlight w:val="none"/>
          <w:shd w:val="clear" w:color="auto"/>
        </w:rPr>
        <w:t xml:space="preserve">支付，</w:t>
      </w:r>
      <w:r>
        <w:rPr>
          <w:rFonts w:hint="eastAsia" w:ascii="宋体" w:hAnsi="宋体" w:eastAsia="宋体" w:cs="Times New Roman"/>
          <w:b/>
          <w:bCs w:val="0"/>
          <w:color w:val="auto"/>
          <w:sz w:val="24"/>
          <w:szCs w:val="24"/>
          <w:highlight w:val="none"/>
          <w:shd w:val="clear" w:color="auto"/>
          <w:lang w:val="en-US" w:eastAsia="zh-CN"/>
        </w:rPr>
        <w:t xml:space="preserve">招标代理服务费以中标金额为计算基数，采用差额定率累进计费方式，</w:t>
      </w:r>
      <w:r>
        <w:rPr>
          <w:rFonts w:hint="eastAsia" w:ascii="宋体" w:hAnsi="宋体" w:eastAsia="宋体" w:cs="Times New Roman"/>
          <w:b/>
          <w:bCs w:val="0"/>
          <w:color w:val="auto"/>
          <w:sz w:val="24"/>
          <w:szCs w:val="24"/>
          <w:highlight w:val="none"/>
          <w:shd w:val="clear" w:color="auto"/>
          <w:lang w:val="en-US" w:eastAsia="zh-CN"/>
        </w:rPr>
        <w:t xml:space="preserve">按下列费率的</w:t>
      </w:r>
      <w:r>
        <w:rPr>
          <w:rFonts w:hint="eastAsia" w:ascii="宋体" w:hAnsi="宋体" w:cs="Times New Roman"/>
          <w:b/>
          <w:bCs w:val="0"/>
          <w:color w:val="auto"/>
          <w:sz w:val="24"/>
          <w:szCs w:val="24"/>
          <w:highlight w:val="none"/>
          <w:shd w:val="clear" w:color="auto"/>
          <w:lang w:val="en-US" w:eastAsia="zh-CN"/>
        </w:rPr>
        <w:t xml:space="preserve">77.7</w:t>
      </w:r>
      <w:r>
        <w:rPr>
          <w:rFonts w:hint="eastAsia" w:ascii="宋体" w:hAnsi="宋体" w:eastAsia="宋体" w:cs="Times New Roman"/>
          <w:b/>
          <w:bCs w:val="0"/>
          <w:color w:val="auto"/>
          <w:sz w:val="24"/>
          <w:szCs w:val="24"/>
          <w:highlight w:val="none"/>
          <w:shd w:val="clear" w:color="auto"/>
          <w:lang w:val="en-US" w:eastAsia="zh-CN"/>
        </w:rPr>
        <w:t xml:space="preserve">%计取</w:t>
      </w:r>
      <w:r>
        <w:rPr>
          <w:rFonts w:hint="eastAsia" w:ascii="宋体" w:hAnsi="宋体" w:eastAsia="宋体" w:cs="Times New Roman"/>
          <w:b/>
          <w:bCs w:val="0"/>
          <w:color w:val="auto"/>
          <w:sz w:val="24"/>
          <w:szCs w:val="24"/>
          <w:highlight w:val="none"/>
          <w:shd w:val="clear" w:color="auto"/>
          <w:lang w:val="en-US" w:eastAsia="zh-CN"/>
        </w:rPr>
        <w:t xml:space="preserve">：100万以下费率为1.5%，100万-500万费率为</w:t>
      </w:r>
      <w:r>
        <w:rPr>
          <w:rFonts w:hint="eastAsia" w:ascii="宋体" w:hAnsi="宋体" w:cs="Times New Roman"/>
          <w:b/>
          <w:bCs w:val="0"/>
          <w:color w:val="auto"/>
          <w:sz w:val="24"/>
          <w:szCs w:val="24"/>
          <w:highlight w:val="none"/>
          <w:shd w:val="clear" w:color="auto"/>
          <w:lang w:val="en-US" w:eastAsia="zh-CN"/>
        </w:rPr>
        <w:t xml:space="preserve">1.1</w:t>
      </w:r>
      <w:r>
        <w:rPr>
          <w:rFonts w:hint="eastAsia" w:ascii="宋体" w:hAnsi="宋体" w:eastAsia="宋体" w:cs="Times New Roman"/>
          <w:b/>
          <w:bCs w:val="0"/>
          <w:color w:val="auto"/>
          <w:sz w:val="24"/>
          <w:szCs w:val="24"/>
          <w:highlight w:val="none"/>
          <w:shd w:val="clear" w:color="auto"/>
          <w:lang w:val="en-US" w:eastAsia="zh-CN"/>
        </w:rPr>
        <w:t xml:space="preserve">%</w:t>
      </w:r>
      <w:r>
        <w:rPr>
          <w:rFonts w:hint="eastAsia" w:ascii="宋体" w:hAnsi="宋体" w:eastAsia="宋体" w:cs="Times New Roman"/>
          <w:b/>
          <w:bCs w:val="0"/>
          <w:color w:val="auto"/>
          <w:sz w:val="24"/>
          <w:szCs w:val="24"/>
          <w:highlight w:val="none"/>
          <w:u w:val="none"/>
        </w:rPr>
        <w:t xml:space="preserve">。</w:t>
      </w:r>
      <w:r/>
    </w:p>
    <w:p>
      <w:pPr>
        <w:ind w:firstLine="480"/>
        <w:jc w:val="both"/>
        <w:spacing w:line="360" w:lineRule="auto"/>
        <w:rPr>
          <w:rFonts w:hint="eastAsia" w:ascii="黑体" w:hAnsi="宋体" w:eastAsia="黑体" w:cs="Times New Roman"/>
          <w:bCs/>
          <w:color w:val="auto"/>
          <w:spacing w:val="0"/>
          <w:sz w:val="24"/>
          <w:szCs w:val="24"/>
          <w:highlight w:val="none"/>
          <w:lang w:val="en-US" w:eastAsia="zh-CN"/>
        </w:rPr>
        <w:outlineLvl w:val="1"/>
      </w:pPr>
      <w:r>
        <w:rPr>
          <w:rFonts w:hint="eastAsia" w:ascii="黑体" w:hAnsi="宋体" w:eastAsia="黑体" w:cs="Times New Roman"/>
          <w:bCs/>
          <w:color w:val="auto"/>
          <w:spacing w:val="0"/>
          <w:sz w:val="24"/>
          <w:szCs w:val="24"/>
          <w:highlight w:val="none"/>
          <w:lang w:val="en-US" w:eastAsia="zh-CN"/>
        </w:rPr>
        <w:t xml:space="preserve">（十六）合同融资、履约担保</w:t>
      </w:r>
      <w:r/>
    </w:p>
    <w:p>
      <w:pPr>
        <w:pStyle w:val="1110"/>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1.根据国家扶持中小企业的有关政策，本次采购项目中标的供应商，如需要政府采购合同融资，请按锡财购【2020】17号文件执行。</w:t>
      </w:r>
      <w:r/>
    </w:p>
    <w:p>
      <w:pPr>
        <w:pStyle w:val="1110"/>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合同融资，是指参与政府采购</w:t>
      </w:r>
      <w:r>
        <w:rPr>
          <w:rFonts w:hint="eastAsia" w:ascii="宋体" w:hAnsi="宋体" w:eastAsia="宋体" w:cs="宋体"/>
          <w:color w:val="auto"/>
          <w:spacing w:val="0"/>
          <w:sz w:val="24"/>
          <w:szCs w:val="24"/>
          <w:highlight w:val="none"/>
        </w:rPr>
        <w:t xml:space="preserve">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pStyle w:val="1110"/>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中标、中标供应商可根据自身情况，自行决定是否选择采用合同融资形式，在无锡政府采购网——政采贷专栏提供的银行名录内自主选择合作银行。</w:t>
      </w:r>
      <w:r/>
    </w:p>
    <w:p>
      <w:pPr>
        <w:pStyle w:val="1110"/>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履约担保，是指由专业担保机构为中标、中标供应商支付履约保证金的义务向采购人提供的保函担保。专业担保机构根据中标、中标供应商的中标（成交）通知书为凭据，进行资信审查后出具保函,中标、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pStyle w:val="1110"/>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中标、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numPr>
          <w:ilvl w:val="0"/>
          <w:numId w:val="0"/>
        </w:numPr>
        <w:ind w:firstLine="482"/>
        <w:rPr>
          <w:rFonts w:hint="default" w:ascii="Times New Roman" w:hAnsi="Times New Roman" w:eastAsia="黑体" w:cs="Times New Roman"/>
          <w:b w:val="0"/>
          <w:bCs/>
          <w:color w:val="auto"/>
          <w:sz w:val="24"/>
          <w:szCs w:val="24"/>
          <w:highlight w:val="none"/>
        </w:rPr>
        <w:sectPr>
          <w:headerReference w:type="default" r:id="rId9"/>
          <w:footerReference w:type="default" r:id="rId11"/>
          <w:footnotePr/>
          <w:endnotePr/>
          <w:type w:val="nextPage"/>
          <w:pgSz w:w="11905" w:h="16838" w:orient="portrait"/>
          <w:pgMar w:top="1417" w:right="1134" w:bottom="1134" w:left="1134" w:header="850" w:footer="992" w:gutter="0"/>
          <w:cols w:num="1" w:sep="0" w:space="1701" w:equalWidth="1"/>
          <w:docGrid w:linePitch="360"/>
        </w:sectPr>
        <w:outlineLvl w:val="0"/>
      </w:pPr>
      <w:r>
        <w:rPr>
          <w:rFonts w:hint="default" w:ascii="Times New Roman" w:hAnsi="Times New Roman" w:eastAsia="黑体" w:cs="Times New Roman"/>
          <w:b w:val="0"/>
          <w:bCs/>
          <w:color w:val="auto"/>
          <w:sz w:val="24"/>
          <w:szCs w:val="24"/>
          <w:highlight w:val="none"/>
        </w:rPr>
      </w:r>
      <w:r/>
    </w:p>
    <w:p>
      <w:pPr>
        <w:pStyle w:val="1021"/>
        <w:ind w:left="0" w:firstLine="0"/>
        <w:rPr>
          <w:bCs/>
          <w:color w:val="auto"/>
          <w:sz w:val="30"/>
          <w:szCs w:val="30"/>
          <w:highlight w:val="none"/>
        </w:rPr>
      </w:pPr>
      <w:r>
        <w:rPr>
          <w:rFonts w:hint="eastAsia"/>
          <w:b/>
          <w:color w:val="auto"/>
          <w:sz w:val="30"/>
          <w:szCs w:val="30"/>
          <w:highlight w:val="none"/>
        </w:rPr>
        <w:t xml:space="preserve">第三章 项目技术要求和有关说明</w:t>
      </w:r>
      <w:r/>
    </w:p>
    <w:p>
      <w:pPr>
        <w:ind w:firstLine="480"/>
        <w:keepLines w:val="0"/>
        <w:keepNext w:val="0"/>
        <w:pageBreakBefore w:val="0"/>
        <w:spacing w:after="5" w:line="360" w:lineRule="auto"/>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为</w:t>
      </w:r>
      <w:r>
        <w:rPr>
          <w:rFonts w:hint="eastAsia" w:ascii="宋体" w:hAnsi="宋体" w:cs="宋体"/>
          <w:color w:val="auto"/>
          <w:sz w:val="24"/>
          <w:szCs w:val="24"/>
          <w:highlight w:val="none"/>
          <w:lang w:val="en-US" w:eastAsia="zh-CN"/>
        </w:rPr>
        <w:t xml:space="preserve">江苏省锡东高级中学大成分校实验室采购项目</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本项目核心产品为：</w:t>
      </w:r>
      <w:r>
        <w:rPr>
          <w:rFonts w:hint="eastAsia" w:ascii="宋体" w:hAnsi="宋体" w:cs="宋体"/>
          <w:b/>
          <w:bCs/>
          <w:color w:val="auto"/>
          <w:sz w:val="24"/>
          <w:szCs w:val="24"/>
          <w:highlight w:val="none"/>
          <w:lang w:val="en-US" w:eastAsia="zh-CN"/>
        </w:rPr>
        <w:t xml:space="preserve">学生实验桌</w:t>
      </w:r>
      <w:r>
        <w:rPr>
          <w:rFonts w:hint="eastAsia" w:ascii="宋体" w:hAnsi="宋体" w:eastAsia="宋体" w:cs="宋体"/>
          <w:color w:val="auto"/>
          <w:sz w:val="24"/>
          <w:szCs w:val="24"/>
          <w:highlight w:val="none"/>
        </w:rPr>
        <w:t xml:space="preserve">。投标人所投内容必须满足以下要求，不得有负偏离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若不满足视为无效投标文件</w:t>
      </w:r>
      <w:r>
        <w:rPr>
          <w:rFonts w:hint="eastAsia" w:ascii="宋体" w:hAnsi="宋体" w:eastAsia="宋体"/>
          <w:color w:val="auto"/>
          <w:sz w:val="24"/>
          <w:szCs w:val="24"/>
          <w:highlight w:val="none"/>
        </w:rPr>
        <w:t xml:space="preserve">。</w:t>
      </w:r>
      <w:r>
        <w:rPr>
          <w:rFonts w:hint="eastAsia" w:ascii="宋体" w:hAnsi="宋体" w:eastAsia="宋体" w:cs="宋体"/>
          <w:bCs/>
          <w:color w:val="auto"/>
          <w:sz w:val="24"/>
          <w:highlight w:val="none"/>
        </w:rPr>
        <w:t xml:space="preserve">项目需求如下：</w:t>
      </w:r>
      <w:r/>
    </w:p>
    <w:p>
      <w:pPr>
        <w:pStyle w:val="1467"/>
        <w:numPr>
          <w:ilvl w:val="1"/>
          <w:numId w:val="0"/>
        </w:numPr>
        <w:ind w:firstLine="482"/>
        <w:keepLines w:val="0"/>
        <w:keepNext w:val="0"/>
        <w:pageBreakBefore w:val="0"/>
        <w:rPr>
          <w:rFonts w:hint="eastAsia"/>
          <w:color w:val="auto"/>
          <w:highlight w:val="none"/>
        </w:rPr>
      </w:pPr>
      <w:r>
        <w:rPr>
          <w:rFonts w:hint="eastAsia" w:ascii="宋体" w:hAnsi="宋体" w:eastAsia="宋体" w:cs="宋体"/>
          <w:b/>
          <w:bCs/>
          <w:color w:val="auto"/>
          <w:sz w:val="24"/>
          <w:szCs w:val="24"/>
          <w:highlight w:val="none"/>
          <w:lang w:val="en-US" w:eastAsia="zh-CN"/>
        </w:rPr>
        <w:t xml:space="preserve">本项目属性：货物类</w:t>
      </w:r>
      <w:r>
        <w:rPr>
          <w:rFonts w:hint="eastAsia" w:ascii="宋体" w:eastAsia="宋体" w:cs="宋体"/>
          <w:b/>
          <w:bCs/>
          <w:color w:val="auto"/>
          <w:sz w:val="24"/>
          <w:szCs w:val="24"/>
          <w:highlight w:val="none"/>
          <w:lang w:val="en-US" w:eastAsia="zh-CN"/>
        </w:rPr>
        <w:t xml:space="preserve">。</w:t>
      </w:r>
      <w:r/>
    </w:p>
    <w:p>
      <w:pPr>
        <w:numPr>
          <w:ilvl w:val="0"/>
          <w:numId w:val="0"/>
        </w:numPr>
        <w:ind w:firstLine="482"/>
        <w:keepLines w:val="0"/>
        <w:keepNext w:val="0"/>
        <w:pageBreakBefore w:val="0"/>
        <w:spacing w:after="5"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rPr>
        <w:t xml:space="preserve">项目基本情况：</w:t>
      </w:r>
      <w:r/>
    </w:p>
    <w:p>
      <w:pPr>
        <w:pStyle w:val="1382"/>
        <w:ind w:firstLine="480"/>
        <w:jc w:val="left"/>
        <w:keepLines w:val="0"/>
        <w:keepNext w:val="0"/>
        <w:pageBreakBefore w:val="0"/>
        <w:spacing w:line="360" w:lineRule="auto"/>
        <w:tabs>
          <w:tab w:val="left" w:pos="1080" w:leader="none"/>
        </w:tabs>
        <w:rPr>
          <w:rFonts w:ascii="宋体" w:hAnsi="宋体" w:cs="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项目地址：</w:t>
      </w:r>
      <w:r>
        <w:rPr>
          <w:rFonts w:hint="eastAsia" w:ascii="宋体" w:hAnsi="宋体" w:cs="宋体"/>
          <w:color w:val="auto"/>
          <w:sz w:val="24"/>
          <w:szCs w:val="24"/>
          <w:highlight w:val="none"/>
          <w:lang w:val="en-US" w:eastAsia="zh-CN"/>
        </w:rPr>
        <w:t xml:space="preserve">江苏省锡东高级中学大成分校</w:t>
      </w:r>
      <w:r>
        <w:rPr>
          <w:rFonts w:hint="eastAsia" w:ascii="宋体" w:hAnsi="宋体" w:cs="宋体"/>
          <w:color w:val="auto"/>
          <w:sz w:val="24"/>
          <w:szCs w:val="24"/>
          <w:highlight w:val="none"/>
        </w:rPr>
        <w:t xml:space="preserve">。</w:t>
      </w:r>
      <w:r/>
    </w:p>
    <w:p>
      <w:pPr>
        <w:pStyle w:val="1382"/>
        <w:ind w:firstLine="480"/>
        <w:jc w:val="left"/>
        <w:keepLines w:val="0"/>
        <w:keepNext w:val="0"/>
        <w:pageBreakBefore w:val="0"/>
        <w:spacing w:line="360" w:lineRule="auto"/>
        <w:tabs>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采购范围：清单范围内的</w:t>
      </w:r>
      <w:r>
        <w:rPr>
          <w:rFonts w:hint="eastAsia" w:ascii="宋体" w:hAnsi="宋体" w:cs="宋体"/>
          <w:color w:val="auto"/>
          <w:sz w:val="24"/>
          <w:szCs w:val="24"/>
          <w:highlight w:val="none"/>
          <w:lang w:val="en-US" w:eastAsia="zh-CN"/>
        </w:rPr>
        <w:t xml:space="preserve">江苏省锡东高级中学大成分校</w:t>
      </w:r>
      <w:r>
        <w:rPr>
          <w:rFonts w:hint="eastAsia" w:ascii="宋体" w:hAnsi="宋体" w:cs="宋体"/>
          <w:bCs/>
          <w:color w:val="auto"/>
          <w:sz w:val="24"/>
          <w:szCs w:val="24"/>
          <w:highlight w:val="none"/>
          <w:lang w:val="en-US" w:eastAsia="zh-CN"/>
        </w:rPr>
        <w:t xml:space="preserve">实验室</w:t>
      </w:r>
      <w:r>
        <w:rPr>
          <w:rFonts w:hint="eastAsia" w:ascii="宋体" w:hAnsi="宋体" w:cs="宋体"/>
          <w:bCs/>
          <w:color w:val="auto"/>
          <w:sz w:val="24"/>
          <w:szCs w:val="24"/>
          <w:highlight w:val="none"/>
          <w:lang w:eastAsia="zh-CN"/>
        </w:rPr>
        <w:t xml:space="preserve">采购</w:t>
      </w:r>
      <w:r>
        <w:rPr>
          <w:rFonts w:hint="eastAsia" w:ascii="宋体" w:hAnsi="宋体" w:cs="宋体"/>
          <w:color w:val="auto"/>
          <w:sz w:val="24"/>
          <w:szCs w:val="24"/>
          <w:highlight w:val="none"/>
        </w:rPr>
        <w:t xml:space="preserve">。</w:t>
      </w:r>
      <w:r/>
    </w:p>
    <w:p>
      <w:pPr>
        <w:pStyle w:val="1382"/>
        <w:ind w:firstLine="480"/>
        <w:jc w:val="left"/>
        <w:keepLines w:val="0"/>
        <w:keepNext w:val="0"/>
        <w:pageBreakBefore w:val="0"/>
        <w:spacing w:line="360" w:lineRule="auto"/>
        <w:tabs>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质量标准：所供货物达到国家及行业标准，满足采购需求，并按照</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要求安装调试到位。</w:t>
      </w:r>
      <w:r/>
    </w:p>
    <w:p>
      <w:pPr>
        <w:pStyle w:val="1382"/>
        <w:ind w:firstLine="480"/>
        <w:jc w:val="left"/>
        <w:keepLines w:val="0"/>
        <w:keepNext w:val="0"/>
        <w:pageBreakBefore w:val="0"/>
        <w:spacing w:line="360" w:lineRule="auto"/>
        <w:tabs>
          <w:tab w:val="left" w:pos="1080" w:leader="none"/>
        </w:tabs>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4.完工期限</w:t>
      </w:r>
      <w:r>
        <w:rPr>
          <w:rFonts w:hint="eastAsia" w:ascii="宋体" w:hAnsi="宋体" w:cs="宋体"/>
          <w:color w:val="auto"/>
          <w:sz w:val="24"/>
          <w:szCs w:val="24"/>
          <w:highlight w:val="none"/>
          <w:lang w:val="zh-CN"/>
        </w:rPr>
        <w:t xml:space="preserve">：合同签订后30日历天内到货并安装完毕交付使用</w:t>
      </w:r>
      <w:r>
        <w:rPr>
          <w:rFonts w:hint="eastAsia" w:ascii="宋体" w:hAnsi="宋体" w:cs="宋体"/>
          <w:bCs/>
          <w:color w:val="auto"/>
          <w:sz w:val="24"/>
          <w:highlight w:val="none"/>
          <w:lang w:eastAsia="zh-CN"/>
        </w:rPr>
        <w:t xml:space="preserve">。</w:t>
      </w:r>
      <w:r/>
    </w:p>
    <w:p>
      <w:pPr>
        <w:pStyle w:val="1382"/>
        <w:ind w:firstLine="480"/>
        <w:jc w:val="left"/>
        <w:keepLines w:val="0"/>
        <w:keepNext w:val="0"/>
        <w:pageBreakBefore w:val="0"/>
        <w:spacing w:line="360" w:lineRule="auto"/>
        <w:tabs>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项目整体免费质保期：自验收合格之日起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w:t>
      </w:r>
      <w:r/>
    </w:p>
    <w:p>
      <w:pPr>
        <w:pStyle w:val="1382"/>
        <w:ind w:firstLine="480"/>
        <w:jc w:val="left"/>
        <w:keepLines w:val="0"/>
        <w:keepNext w:val="0"/>
        <w:pageBreakBefore w:val="0"/>
        <w:spacing w:line="360" w:lineRule="auto"/>
        <w:tabs>
          <w:tab w:val="left" w:pos="108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付款方式：</w:t>
      </w:r>
      <w:r>
        <w:rPr>
          <w:rFonts w:hint="eastAsia" w:ascii="宋体" w:hAnsi="宋体"/>
          <w:bCs/>
          <w:color w:val="auto"/>
          <w:sz w:val="24"/>
          <w:highlight w:val="none"/>
        </w:rPr>
        <w:t xml:space="preserve">供货完成，安装调试完成验收合格后，支付合同价的90%，验收合格满一年后付清</w:t>
      </w:r>
      <w:r>
        <w:rPr>
          <w:rFonts w:hint="eastAsia" w:ascii="宋体" w:hAnsi="宋体"/>
          <w:bCs/>
          <w:color w:val="auto"/>
          <w:sz w:val="24"/>
          <w:highlight w:val="none"/>
          <w:lang w:val="en-US" w:eastAsia="zh-CN"/>
        </w:rPr>
        <w:t xml:space="preserve">余款</w:t>
      </w:r>
      <w:r>
        <w:rPr>
          <w:rFonts w:hint="eastAsia" w:ascii="宋体" w:hAnsi="宋体"/>
          <w:bCs/>
          <w:color w:val="auto"/>
          <w:sz w:val="24"/>
          <w:highlight w:val="none"/>
        </w:rPr>
        <w:t xml:space="preserve">（不计息）。采购人原则上应当自收到发票后10个工作日内将资金支付到合同约定的供应商账户。若中标人未能按期开具发票，采购人可顺延付款</w:t>
      </w:r>
      <w:r>
        <w:rPr>
          <w:rFonts w:hint="eastAsia" w:ascii="宋体" w:hAnsi="宋体" w:cs="宋体"/>
          <w:color w:val="auto"/>
          <w:sz w:val="24"/>
          <w:szCs w:val="24"/>
          <w:highlight w:val="none"/>
          <w:lang w:val="en-US" w:eastAsia="zh-CN"/>
        </w:rPr>
        <w:t xml:space="preserve">。</w:t>
      </w:r>
      <w:r/>
    </w:p>
    <w:p>
      <w:pPr>
        <w:pStyle w:val="1382"/>
        <w:ind w:firstLine="480"/>
        <w:jc w:val="left"/>
        <w:keepLines w:val="0"/>
        <w:keepNext w:val="0"/>
        <w:pageBreakBefore w:val="0"/>
        <w:spacing w:line="360" w:lineRule="auto"/>
        <w:tabs>
          <w:tab w:val="left" w:pos="1080" w:leader="none"/>
        </w:tabs>
        <w:rPr>
          <w:rFonts w:hint="eastAsia" w:ascii="黑体" w:hAnsi="黑体" w:eastAsia="黑体" w:cs="黑体"/>
          <w:color w:val="auto"/>
          <w:sz w:val="24"/>
          <w:szCs w:val="24"/>
          <w:highlight w:val="none"/>
        </w:rPr>
      </w:pPr>
      <w:r>
        <w:rPr>
          <w:rFonts w:hint="eastAsia" w:ascii="宋体" w:hAnsi="宋体" w:cs="宋体"/>
          <w:color w:val="auto"/>
          <w:sz w:val="24"/>
          <w:szCs w:val="24"/>
          <w:highlight w:val="none"/>
          <w:lang w:val="en-US" w:eastAsia="zh-CN" w:bidi="ar"/>
        </w:rPr>
        <w:t xml:space="preserve">7.</w:t>
      </w:r>
      <w:r>
        <w:rPr>
          <w:rFonts w:hint="eastAsia" w:ascii="宋体" w:hAnsi="宋体" w:cs="宋体"/>
          <w:color w:val="auto"/>
          <w:sz w:val="24"/>
          <w:szCs w:val="24"/>
          <w:highlight w:val="none"/>
          <w:lang w:bidi="ar"/>
        </w:rPr>
        <w:t xml:space="preserve">标的</w:t>
      </w:r>
      <w:r>
        <w:rPr>
          <w:rFonts w:hint="eastAsia" w:ascii="宋体" w:hAnsi="宋体" w:cs="宋体"/>
          <w:color w:val="auto"/>
          <w:sz w:val="24"/>
          <w:szCs w:val="24"/>
          <w:highlight w:val="none"/>
          <w:lang w:val="en-US" w:eastAsia="zh-CN" w:bidi="ar"/>
        </w:rPr>
        <w:t xml:space="preserve">物</w:t>
      </w:r>
      <w:r>
        <w:rPr>
          <w:rFonts w:hint="eastAsia" w:ascii="宋体" w:hAnsi="宋体" w:cs="宋体"/>
          <w:color w:val="auto"/>
          <w:sz w:val="24"/>
          <w:szCs w:val="24"/>
          <w:highlight w:val="none"/>
          <w:lang w:bidi="ar"/>
        </w:rPr>
        <w:t xml:space="preserve">明细表</w:t>
      </w:r>
      <w:r>
        <w:rPr>
          <w:rFonts w:hint="eastAsia" w:ascii="宋体" w:hAnsi="宋体" w:cs="宋体"/>
          <w:color w:val="auto"/>
          <w:sz w:val="24"/>
          <w:szCs w:val="24"/>
          <w:highlight w:val="none"/>
        </w:rPr>
        <w:t xml:space="preserve">：本项目为货物采购，中小企业声明函所对应的采购标的名称及对应的中小企业划分标准所属行业如下表</w:t>
      </w:r>
      <w:r>
        <w:rPr>
          <w:rFonts w:hint="eastAsia" w:ascii="宋体" w:hAnsi="宋体" w:eastAsia="宋体" w:cs="宋体"/>
          <w:color w:val="auto"/>
          <w:sz w:val="24"/>
          <w:szCs w:val="24"/>
          <w:highlight w:val="none"/>
          <w:lang w:val="en-US" w:eastAsia="zh-CN" w:bidi="ar-SA"/>
        </w:rPr>
        <w:t xml:space="preserve">。</w:t>
      </w:r>
      <w:r/>
    </w:p>
    <w:tbl>
      <w:tblPr>
        <w:tblStyle w:val="808"/>
        <w:tblW w:w="498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43"/>
        <w:gridCol w:w="1959"/>
        <w:gridCol w:w="1851"/>
        <w:gridCol w:w="505"/>
        <w:gridCol w:w="2944"/>
        <w:gridCol w:w="1925"/>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所属行业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故障显示模块</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多功能劳技桌</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废水存储过滤系统</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终端模块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给水管路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辅助套件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排水管路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教师终端模块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电源供应线路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智能控制系统线路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劳技柜工具墙</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安装辅件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收纳柜（带收纳盒）</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实验室顶部造型</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岛式插座盒</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吸水纸</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物镜测微尺</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激光切割机耗材包</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罐装橡皮泥双色</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桌面智能真空成型机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（教育级）</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DNA双螺旋结构模型组件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智能真空成型机耗材包</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解剖器7件套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混色3D打印机</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生物玻片标本</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高速3D打印机</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圆底不锈钢盒</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桌面3D扫描打印仪</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塑料小球</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青少年3D打印创新教育平台（单节点）</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塑料小球</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3D打印耗材</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擦镜纸</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PBL综合创作套包（标准包）</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胶头滴管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PBL综合创作套包（进阶包）</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培养皿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木工工具箱</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单面刀片</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金工工具箱</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盖玻片</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电工工具箱</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载玻片</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实验室顶部造型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离心管架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滤纸</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绑带</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三联高低位龙头</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透明广口瓶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落地式紧急冲淋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调节仪</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标签纸</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万向抽风装置</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多功能防溅水槽柜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点火器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防爆酒精灯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封口膜</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教师终端模块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棉花球</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通风矢量控制模块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顶装智能控制平台</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远程控制模块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温湿度监视模块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铝合金万向罩</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卷尺</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万向吸风罩底座</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钓鱼线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活动式学生端抽风装置</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吊装式通风模块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室外行程通风模块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短颈漏斗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防腐风机</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点样毛细管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风机控制线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活性炭废气处理器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研杵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摇臂升降动力模块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离心管圆底</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自动控制模块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主体结构模块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短柄药勺</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多功能伸缩摇臂集成功能模块舱体</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智能摇臂升降模块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学生终端模块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陶土网</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供应端口</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故障显示模块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废水存储过滤模块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给水管路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双面刀片</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排水管路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卫生香</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电源供应线路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盖玻片</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智能控制系统线路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小狼毫毛笔</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安装辅件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测量仪</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实验室顶部造型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PH广泛试纸</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刻度试管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打孔夹板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塑料烧杯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打孔器刮刀</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培养皿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手摇钻孔器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涂布器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电动离心机</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记号笔</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磁力加热搅拌器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金属丝棒</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金属丝环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水浴锅</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铁铲</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保温漏斗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钢尺</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塑料洗瓶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棉签</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试剂瓶托盘</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血球计数板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试剂瓶托盘</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不锈钢拾取器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实验用品提篮</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橡皮塞</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碘升华凝华管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橡皮塞</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万能夹</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橡皮塞</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橡皮塞</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洗耳球</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漏斗架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滴定台</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铁架台</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滴定夹</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多用滴管架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移液管架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比色管架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高中教师输出模块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毛巾</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生物显微镜</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电子天平（100g，0.01g）</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二氧化碳灭火器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电子天平（200g，0.001g）</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电子天平（400g，0.1g）</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黄沙箱</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教学用测量仪</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防护手套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数字测量仪</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防护眼镜</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多用途表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酸碱手套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演示用仪表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防护面罩</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密度计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防毒面罩</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密度计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收纳箱</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酸度计（pH计）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微量移液器架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原电池实验器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微量移液器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贮气装置</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微量移液器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溶液导电演示器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微量移液器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微型溶液导电实验器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微量移液器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中和热测定仪</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微量移液器吸头</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化学实验废液处理装置</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恒温培养箱</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气体实验微型装置</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高压灭菌锅</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氢燃料电池演示器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超净工作台</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氢燃料电池实验器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干热灭菌箱</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电解槽演示器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微生物箱</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离子交换柱</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电冰箱</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电泳演示器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DNA电泳图谱观察仪</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丁达尔现象实验器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电泳仪</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二氧化氮球</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水平电泳槽</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放电反应实验仪</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光照培养架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光化学实验演示器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组织捣碎匀浆机</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炼铁高炉模型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果酒果醋发酵装置</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分子结构模型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分子结构模型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金刚石结构模型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石墨结构模型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碳-60结构模型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氯化钠晶体结构模型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PH计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氯化铯晶体结构模型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二氧化碳晶体结构模型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二氧化硅晶体结构模型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称量纸</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金属晶体结构模型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棉绳</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电子云杂化轨道模型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橡皮筋</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气体摩尔体积模型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金属矿物、金属及合金标本</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原油常见馏分标本</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电磁炉</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合成有机高分子材料标本</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泡菜坛</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新型无机非金属材料标本</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冰盒</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分子立体结构模型绘制软件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井穴板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恒温水浴锅</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精密PH试纸</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气球</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彩色玻璃纸</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DNA结构模型</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彩色卡纸加厚硬纸板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减数分裂中染色体变化模型组件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检查图</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实验方格纸</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枝剪</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弯头镊子</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G6玻璃砂漏斗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滴定管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细胞结构模型</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滴定管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一次性乳胶手套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滴定管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解剖盘蜡盘</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滴定管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解剖针</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移液管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比色管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长颈漏斗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喷水瓶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透析袋</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透析袋夹</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砧板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陶瓷刀</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具支试管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尼龙布</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具支试管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记号笔</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硬质玻璃管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数码液晶显微镜（学生端）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硬质玻璃管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数码液晶显微镜（教师端）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燃烧管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显微互动教学平台</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Y形试管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实验台</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挡水条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三联高低位龙头</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实验室专用试剂架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小推车</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储存桶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圆形桶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蒸馏烧瓶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干粉灭火器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三口烧瓶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干燥塔</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气体洗瓶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岛式插座盒</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抽滤瓶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抽气管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干燥器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加大仪器柜</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气体发生器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教师终端模块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冷凝器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顶装智能控制平台</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冷凝器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远程控制模块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牛角管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温湿度监视模块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漏斗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顶部多模块电源供应装置</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漏斗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模块储藏装置</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安全漏斗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电源供应模块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安全漏斗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学生端调节终端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分液漏斗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伸缩线束</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分液漏斗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智能升降模块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布氏漏斗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T形管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安装支架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Y形管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安装辅件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实验室顶部造型</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干燥管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单刀开关</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干燥管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小灯座</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干燥管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小灯泡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干燥管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小灯泡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比色管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电池盒</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电池</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电压表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圆水槽</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电流表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圆水槽</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灵敏电流计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玻璃钟罩</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蜂巢电路板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钴玻璃片</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导线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导线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螺线管（套装）</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液封除毒气集气瓶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滑动变阻器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滑动变阻器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电解电容（电）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电解电容（电）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电解电容（电）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电阻定律实验器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单刀双掷开关</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条形磁铁</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游标卡尺</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螺旋测微器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塑料直尺</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鳄鱼夹（带防护套）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稳压二极管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细口瓶（棕色）</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普通小电阻</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细口瓶（棕色）</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细口瓶（棕色）</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数字式多用电表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细口瓶（棕色）</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电池</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细口瓶（棕色）</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蜂鸣器（电）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细口瓶（棕色）</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电位器（电）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下口瓶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电位器（电）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电位器（电）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称量瓶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坩埚</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坩埚钳</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烧杯夹</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教学用镊子</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发光二极管（电）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发光二极管（电）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水止皮管夹</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二极管（电）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螺旋皮管夹</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光敏电阻（电）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干簧管（电）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二连球</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三极管（电）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燃烧匙</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三极管（电）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继电器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强光手电筒</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电阻箱</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水果电池套件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学生套尺</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大头针</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橡胶管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梯形玻璃砖</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乳胶管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洗耳球</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油膜实验器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烧瓶刷</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滴定管刷</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结晶皿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微型物理观察仪</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表面皿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卷尺</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表面皿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电磁打点计时器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电火花打点计时器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钩码</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蒸发皿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蒸发皿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胡克定律实验器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反应板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钓鱼线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井穴板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单摆球组</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井穴板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电子计时器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塑料多用滴管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测力计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白金丝</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测力计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pH广泛试纸</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橡皮筋</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蓝石蕊</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试纸</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图钉</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红石蕊</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试纸</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导线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淀粉碘化钾试纸</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导线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实验方格纸</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高中化学实验材料</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燕尾夹</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电极材料</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回形针</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圆规</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尖嘴钳</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铁架台</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力学轨道小车及配件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三角锉刀</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制图板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气体定律演示器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玻璃瓶盖开启器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碰撞实验器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玻璃管切割器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平抛实验器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向心力实验演示器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气垫导轨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防护面罩</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小型气源</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耐酸型乳胶手套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数字计时器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一次性乳胶手套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方格纸</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实验防护屏</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钢直尺</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毛细玻璃管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毛细玻璃管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毛细玻璃管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蓝色钴玻璃片</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肥皂液</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铂丝棒</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NTC热敏电阻（电）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PTC热敏电阻（电）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瓷坩埚</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枕形导体</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升降台</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带绝缘柄的金属小球</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球形导体</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毛玻璃片</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有机玻璃棒（附丝绸）</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鲁尔阀</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有机橡胶棒（附毛皮）</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长颈圆底烧瓶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验电器连接杆</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具支试管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缝衣针</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细棉线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橡皮塞</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单层云母片套件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红色石蕊试纸</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液体表面张力实验器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止水夹</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防爆酒精灯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橡皮塞</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点火器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蒸馏头</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定值电阻</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牛角管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电解电容（电）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冷凝管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安培力实验器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分液漏斗梨形</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手摇发电机</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铝箔纸</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光学干涉衍射片套件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盐桥</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光偏振演示器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短柄药勺</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光源发生器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碘化钾试纸</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光学刻度盘</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表面皿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半圆玻璃砖</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培养皿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光屏</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圆底烧瓶短颈</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插片支架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蓝色石蕊试纸</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盖玻片</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载玻片</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墨汁</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挡水条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乳胶管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抽气筒</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三联高低位龙头</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空气压缩引火仪</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实验室专用试剂架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橡皮塞</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药品柜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长颈圆底烧瓶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阶梯药品柜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物体重心实验器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小推车</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平面镜</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储藏桶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惯性演示器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带钩双孔木块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圆形桶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气球</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手提式干粉灭火器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小铁球</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小铁球</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防爆离心风机</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静电计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风帽</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紫外线灯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进风口软接头</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砂纸</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不锈钢开关</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锌板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室内行程通风管道</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验电器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室外行程通风管道</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平行板电容器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风机电缆线、控制线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双极电场线演示板套件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智能变频时控控制电箱</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光具座</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耗材及附件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生物显微镜</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废气净化装置</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安培力演示器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实验室顶部造型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弹簧振子装置</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常规毒品柜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发波水槽</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双门柜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反冲演示器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储存桶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展示波形器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圆形桶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霍尔元件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手提式干粉灭火器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洛伦兹力演示器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散流器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牛顿管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PP离心风机</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指针式测量器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风帽</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阴极射线管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进风口软接头</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受迫振动和共振演示器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不锈钢开关</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共振演示器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室内行程通风管道</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长玻璃管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室外行程通风管道</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绳波演示器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风机电缆线、控制线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多普勒效应演示器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智能变频时控控制电箱</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曲线运动方向实验器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耗材及附件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纵波演示器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活性炭废气处理器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光导纤维应用演示器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危化品室防火门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感应起电机</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钢制隔热防火门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实验用蜂蜡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防盗窗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u型磁铁</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危化品室文化建设</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红蜡块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定制插座</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电子称重器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定制开关</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金属网罩</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定值电阻</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防爆应急标志灯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定值电阻</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LED防爆照明灯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定值电阻</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防爆挠性软管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力的合成分解演示器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strike w:val="0"/>
                <w:color w:val="auto"/>
                <w:sz w:val="22"/>
                <w:szCs w:val="22"/>
                <w:highlight w:val="none"/>
                <w:u w:val="none"/>
                <w:lang w:val="en-US" w:eastAsia="zh-CN" w:bidi="ar"/>
              </w:rPr>
              <w:t xml:space="preserve">防爆防腐配电装置</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小沙袋</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室内自动灭火装置（悬挂式七氟丙烷气体灭火装置）</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防爆温湿度检测仪</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陶土网</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点型可燃气体探测器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电磁波的发送和接收演示器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防爆控制系统</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三棱镜</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防爆摄像仪</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泡沫小球</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定制入侵报警平台</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感应圈</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防爆排风扇</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电谐振演示器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防静电装置（防爆防腐配电装置）</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纵横波演示器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防爆空调机</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光折射演示器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应急器材柜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楞次定律演示器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人体静电释放报警器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电磁感应演示器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实验台</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三相电机原理演示器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挡水条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自感现象演示器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手摇三相交流发电机</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三联高低位龙头</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旋片式真空泵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实验室专用试剂架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阴极射线管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验电羽</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赫兹实验演示器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小磁针</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药品柜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翼型磁针</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小推车</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条形磁铁</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储存桶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铁粉盒</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原副线圈</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圆形桶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电磁阻尼演示器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干粉灭火器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变压器原理说明器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内聚力演示器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室内行程通风管道</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光谱管组</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耗材及附件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分光镜</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药品柜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电磁振荡演示仪</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阶梯药品柜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库伦扭秤模型</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PP离心风机</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体重秤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风帽</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测力计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进风口软接头</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范氏起电机</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不锈钢开关</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奥斯特演示器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室内行程通风管道</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特殊圆锥曲面演示器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室外行程通风管道</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单摆实验器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风机电缆线、控制线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电容充放电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智能变频时控控制电箱</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伏安特性实验板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耗材及附件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电阻率与温度关系演示器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活性炭废气处理器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常用电容器示教板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常用电阻器示教板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霍尔效应示教板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三联高低位龙头</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交流电路特性演示器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门窗防盗报警装置演示器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光控开关</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多功能防溅水槽柜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光控开关（无继电器）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光电效应演示器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三极管的性质实验板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光敏、热敏电阻应用演示板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教师终端模块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温差发电实验器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顶装智能控制平台</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实验台</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远程控制模块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岛式插座盒</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温湿度监视模块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摇臂升降动力模块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自动控制模块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储存桶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主体结构模块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多功能伸缩摇臂集成功能模块舱体</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圆形桶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智能摇臂升降模块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干粉灭火器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小推车</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供应端口</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加大仪器柜</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bl>
    <w:p>
      <w:pPr>
        <w:pStyle w:val="1382"/>
        <w:ind w:left="0" w:firstLine="0"/>
        <w:jc w:val="left"/>
        <w:spacing w:line="360" w:lineRule="auto"/>
        <w:tabs>
          <w:tab w:val="left" w:pos="1080" w:leader="none"/>
        </w:tabs>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spacing w:after="5"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采购清单</w:t>
      </w:r>
      <w:r>
        <w:rPr>
          <w:rFonts w:hint="eastAsia" w:ascii="宋体" w:hAnsi="宋体" w:eastAsia="宋体" w:cs="宋体"/>
          <w:color w:val="auto"/>
          <w:sz w:val="24"/>
          <w:szCs w:val="24"/>
          <w:highlight w:val="none"/>
          <w:lang w:val="en-US" w:eastAsia="zh-CN"/>
        </w:rPr>
        <w:t xml:space="preserve">及技术参数</w:t>
      </w:r>
      <w:r/>
    </w:p>
    <w:tbl>
      <w:tblPr>
        <w:tblStyle w:val="808"/>
        <w:tblW w:w="9492"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9"/>
        <w:gridCol w:w="17"/>
        <w:gridCol w:w="1"/>
        <w:gridCol w:w="1157"/>
        <w:gridCol w:w="6117"/>
        <w:gridCol w:w="3"/>
        <w:gridCol w:w="668"/>
        <w:gridCol w:w="870"/>
      </w:tblGrid>
      <w:tr>
        <w:trPr>
          <w:trHeight w:val="270"/>
        </w:trPr>
        <w:tc>
          <w:tcPr>
            <w:shd w:val="clear" w:color="auto" w:fill="auto"/>
            <w:tcW w:w="6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编号</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名称</w:t>
            </w:r>
            <w:r/>
          </w:p>
        </w:tc>
        <w:tc>
          <w:tcPr>
            <w:shd w:val="clear" w:color="auto" w:fill="auto"/>
            <w:tcW w:w="61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技术参数、规格、功能</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r>
      <w:tr>
        <w:trPr>
          <w:trHeight w:val="48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智能制造教室</w:t>
            </w:r>
            <w:r/>
          </w:p>
        </w:tc>
      </w:tr>
      <w:tr>
        <w:trPr>
          <w:trHeight w:val="90"/>
        </w:trPr>
        <w:tc>
          <w:tcPr>
            <w:shd w:val="clear" w:color="auto" w:fill="auto"/>
            <w:tcW w:w="6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教师演示讲台</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规格：2400mm×700mm×900mm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1、台面：采用≥50mm松木指接板，木质颜色自然，台面表面清漆处理，清漆表面光滑，平整光亮，具有耐磨、耐压、耐撞击等特点。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全钢结构，采用≥1.0mm高强度镀锌钢板，切割折弯成型，组件焊接工艺，打磨平整，表面经环氧树脂喷涂处理；整体结构设计合理，预留电脑主机、实物展台、教师电源安装位置，中间部分无底板设计便于地面线管进讲台，前后预留检修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3、拉手：采用不锈钢拉手。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4、储物柜门和抽面：采用双层结构，组装式设计，保证单层钢板双面都喷涂处理，门板中间填充隔音材料，减少关门时产生的噪声。防撞胶垫：装于抽屉及门板内侧，减缓碰撞，保护柜体。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5、不锈钢防腐合页：采用优质不锈钢模具一体成型。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6、防腐三节静音导轨：三节滚珠滑轨，承重性强，滑动顺滑。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7、固定桌脚：采用柜体内置可调ABS调整脚，保证调整脚前后都可以调节高低。</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200"/>
        </w:trPr>
        <w:tc>
          <w:tcPr>
            <w:shd w:val="clear" w:color="auto" w:fill="auto"/>
            <w:tcW w:w="6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多功能劳技桌</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规格：1200mm×1200mm×</w:t>
            </w:r>
            <w:r>
              <w:rPr>
                <w:rFonts w:hint="eastAsia" w:ascii="宋体" w:hAnsi="宋体" w:cs="宋体"/>
                <w:i w:val="0"/>
                <w:iCs w:val="0"/>
                <w:color w:val="auto"/>
                <w:sz w:val="22"/>
                <w:szCs w:val="22"/>
                <w:highlight w:val="none"/>
                <w:u w:val="none"/>
                <w:lang w:val="en-US" w:eastAsia="zh-CN" w:bidi="ar"/>
              </w:rPr>
              <w:t xml:space="preserve">780</w:t>
            </w:r>
            <w:r>
              <w:rPr>
                <w:rFonts w:hint="eastAsia" w:ascii="宋体" w:hAnsi="宋体" w:eastAsia="宋体" w:cs="宋体"/>
                <w:i w:val="0"/>
                <w:iCs w:val="0"/>
                <w:color w:val="auto"/>
                <w:sz w:val="22"/>
                <w:szCs w:val="22"/>
                <w:highlight w:val="none"/>
                <w:u w:val="none"/>
                <w:lang w:val="en-US" w:eastAsia="zh-CN" w:bidi="ar"/>
              </w:rPr>
              <w:t xml:space="preserve">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1、主框架采用≥120mm×120mm×2mm优质方管作为桌腿，≥80mm×80mm×2mm的方管作为横梁，两者焊接成型，整体牢固不晃动，承重力强。表面采用高温粉体环氧喷涂；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2、台面采用≥40mm厚纯实木台面，四周加厚到150mm，台面上开≥16mm圆孔。</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3、框架与台面中间加装阻尼弹簧减振器，保证学生操作时，减少噪声及操作台之间不产生共振。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4、劳技桌台面下面装有由外径≥12mm内径≥9mm的不锈钢管拼装固定在框架上的支撑架，用于常用工具的收纳。</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90"/>
        </w:trPr>
        <w:tc>
          <w:tcPr>
            <w:shd w:val="clear" w:color="auto" w:fill="auto"/>
            <w:tcW w:w="6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终端模块</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φ10cm*H38cm</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1、采用一体式气动杆，为升降提供稳定的结构支撑，15000次以上按压测试，人性化升降速度防止压伤，最大直径10cm，底部高度≥16cm，插座升出后高度≥22.5cm。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2、四面通用插孔分布，解决电器用电多且杂乱的问题。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3、插孔采用高精度品质锡磷青铜一次冲压成型，柔韧性和散热性好，高弹变形，导电性好。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4、采用防水防尘结构，与台面齐平的面板设计以及内部隔绝防水结构，使产品具有良好的防水性能，用电更安全。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5、插座采用保护门设计，防止触电。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6、PC材料，阻燃耐高温，不变形，850度高温都不自燃，安全倍至。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7、台面开孔：圆形直径≥8.5cm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780"/>
        </w:trPr>
        <w:tc>
          <w:tcPr>
            <w:shd w:val="clear" w:color="auto" w:fill="auto"/>
            <w:tcW w:w="6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辅助套件</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20mm×140mm定位销≥4个，267mm×200mm×200mm的180°、90°螺旋压紧器≥2个，267mm×20mm0×200mm的45°螺旋压紧器≥2个多种夹具，满足适合夹紧各种产品，满足台虎钳的功能；台面表面清漆处理，清漆表面光滑，平整光亮，耐磨、耐压、耐撞击。</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197"/>
        </w:trPr>
        <w:tc>
          <w:tcPr>
            <w:shd w:val="clear" w:color="auto" w:fill="auto"/>
            <w:tcW w:w="6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教师终端模块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规格：500mm×260mm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1、教师演示台配备总漏电保护，可控制学生电源，确保学生实验安全方便；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2、预留安装孔。</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840"/>
        </w:trPr>
        <w:tc>
          <w:tcPr>
            <w:shd w:val="clear" w:color="auto" w:fill="auto"/>
            <w:tcW w:w="6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实验凳</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规格：360mm×260mm×440mm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1、采用≥25mm×25mm×1.2mm厚钢质方管，聚酯型粉末静电喷塑，环保无毒害、无气味、平整美观，不易脱落。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2、凳面面板：≥16mm三聚氰胺板，桌脚带ABS塑料防滑垫。</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r>
      <w:tr>
        <w:trPr>
          <w:trHeight w:val="2480"/>
        </w:trPr>
        <w:tc>
          <w:tcPr>
            <w:shd w:val="clear" w:color="auto" w:fill="auto"/>
            <w:tcW w:w="6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劳技柜工具墙</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规格：3000mm×260mm×1800mm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1、结构：全钢结构，采用≥1.5mm镀锌钢板表面环氧树脂喷涂，耐腐蚀，不易生锈；</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2、功能：模块化集成工具墙，带隔板，可收纳工具及展示作品，工具墙配置不同功能的挂钩，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可悬挂各种工具及螺丝螺钉等。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3、配单直挂钩≥40个、锯用挂钩≥4个、强磁工具挂架≥4个、螺丝刀架≥4个、钻头架≥4个</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90"/>
        </w:trPr>
        <w:tc>
          <w:tcPr>
            <w:shd w:val="clear" w:color="auto" w:fill="auto"/>
            <w:tcW w:w="6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收纳柜（带收纳盒）</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规格：1320mm×900mm×450mm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1、材质：采用≥16mmE1级三聚氰胺板，其截面用≥2mm厚PVC封边条机械高温热熔胶封边。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2、功能：配置PE收纳盒，可收纳各种教学用具。</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1360"/>
        </w:trPr>
        <w:tc>
          <w:tcPr>
            <w:shd w:val="clear" w:color="auto" w:fill="auto"/>
            <w:tcW w:w="6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岛式插座盒</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钢制线盒，预留标准安装位，可同时安装2个86型五孔插座，主框架采用裸板实际厚度≥1.0mm厚优质钢材产一级高强度镀锌钢板经CNC机压成型、焊接制作，环氧树脂静电粉末涂装处理。可安装2个86款插座。</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r>
      <w:tr>
        <w:trPr>
          <w:trHeight w:val="1080"/>
        </w:trPr>
        <w:tc>
          <w:tcPr>
            <w:shd w:val="clear" w:color="auto" w:fill="auto"/>
            <w:tcW w:w="6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插座</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规格：86mm×86mm。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1、数量5个。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2、10A交流输出五孔插座</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r>
      <w:tr>
        <w:trPr>
          <w:trHeight w:val="40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智能制造教室</w:t>
            </w:r>
            <w:r/>
          </w:p>
        </w:tc>
      </w:tr>
      <w:tr>
        <w:trPr>
          <w:trHeight w:val="960"/>
        </w:trPr>
        <w:tc>
          <w:tcPr>
            <w:shd w:val="clear" w:color="auto" w:fill="auto"/>
            <w:tcW w:w="6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激光切割机耗材包</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耗材种类包含：椴木板、奥松板、牛皮纸、瓦楞纸、透明亚克力等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每块耗材尺寸≥长200mm*宽270mm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耗材数量≥120块</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1120"/>
        </w:trPr>
        <w:tc>
          <w:tcPr>
            <w:shd w:val="clear" w:color="auto" w:fill="auto"/>
            <w:tcW w:w="6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桌面智能真空成型机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（教育级）</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1、产品尺寸：长*宽*高（mm）≥500mm*260mm*400mm；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2、加工幅面：≥长300mm*宽200mm；最大吸塑高度：≥180mm；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3、产品结构：铝合金外壳、钢化玻璃面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4、加热热源：远红外微晶面板热源；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5、支持智能温控；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6、配置动态真空与鼓风系统、智能耗材系统、智能安全锁、智能锁紧；</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280"/>
        </w:trPr>
        <w:tc>
          <w:tcPr>
            <w:shd w:val="clear" w:color="auto" w:fill="auto"/>
            <w:tcW w:w="6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智能真空成型机耗材包</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1、PETG 330mm*225mm*0.5mm 数量*15；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2、白色HIPS  330mm*225mm*0.5mm 数量*20；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3、白色HIPS  330mm*225mm*1.0mm 数量*5；</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90"/>
        </w:trPr>
        <w:tc>
          <w:tcPr>
            <w:shd w:val="clear" w:color="auto" w:fill="auto"/>
            <w:tcW w:w="6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混色3D打印机</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成型尺寸：≥200mm*200mm*450mm（长*宽*高）；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 机器重量：≥22kg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 设备尺寸：≥200mm*200mm*450mm（长*宽*高）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 喷头数量：≥1个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 喷头直径：0.4mm；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 喷头结构：混合型二进料单喷嘴；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 多模式打印，支持混色模式、双色模式、分层模式、单色模式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 耗材直径：Φ1.75mm；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 打印材料：PLA/TPU/PVA等；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 加热平台：支持0-120°，喷头最高温度≥230°；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 最快速度：≥150mm/s；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 支持断电续打、中途换料、加热异常保护。</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000"/>
        </w:trPr>
        <w:tc>
          <w:tcPr>
            <w:shd w:val="clear" w:color="auto" w:fill="auto"/>
            <w:tcW w:w="6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高速3D打印机</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1.成型原理：熔融堆积成型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2.机器重量：≥28kg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3.设备尺寸：≥500mm*400mm*500mm（长*宽*高）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4.成型尺寸：≥300mm*300mm*300mm（长*宽*高）；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5.打印速度：≥500mm/S；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6.耗材直径：Φ1.75mm；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7.喷头最高温度：≥250℃；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8.喷嘴直径：0.4mm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9.打印材料：PLA、ABS、PETG等；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10.支持自动调平；</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80"/>
        </w:trPr>
        <w:tc>
          <w:tcPr>
            <w:shd w:val="clear" w:color="auto" w:fill="auto"/>
            <w:tcW w:w="6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桌面3D扫描打印仪</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规格：300mm×300mm×500mm。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1.扫描方式及光源：非接触光栅式面扫描，白光LED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2.扫描模式：转台全自动、自由扫描。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3.扫描范围：转台全自动扫描≥200mm*200mm*200mm，自由扫描：≥700mm*700mm*700mm。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4.扫描速度：转台全自动扫描：≤2min；自由扫描：＜6s（单幅）。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5.拼接模式：转台自动拼接、标记点拼接、手动拼接、特征拼接。</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6.扫描精度：体积精度≤0.1mm。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7.输出格式：STL，ASC，OBJ，PLY，VTX，OFF、</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8.支持一键3D打印。</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900"/>
        </w:trPr>
        <w:tc>
          <w:tcPr>
            <w:shd w:val="clear" w:color="auto" w:fill="auto"/>
            <w:tcW w:w="6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青少年3D打印创新教育平台（单节点）</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1.多种建模方式：图片建模、文字建模、绘制图形；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2.具备照片合成三维人像功能，具备交互式三维人像设计；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3.支持多种建模功能：单体堆叠、连续堆叠、拉伸堆叠、编组等功能；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4.支持多种三维模型设计：实体建模、草图建模、雕刻建模、编程交互式建模等；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5.配套模型素材库，包含多种主题模型素材；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6.配套不少于30个项目制3D设计课程、不少于15个项目制3D编程课程。</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90"/>
        </w:trPr>
        <w:tc>
          <w:tcPr>
            <w:shd w:val="clear" w:color="auto" w:fill="auto"/>
            <w:tcW w:w="6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3D打印耗材</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PLA耗材，耗材直径： 1.75毫米，每卷≥1KG，多色。</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r>
      <w:tr>
        <w:trPr>
          <w:trHeight w:val="190"/>
        </w:trPr>
        <w:tc>
          <w:tcPr>
            <w:shd w:val="clear" w:color="auto" w:fill="auto"/>
            <w:tcW w:w="6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PBL综合创作套包（标准包）</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课程器材以项目课程分包，所有项目合计主控类电子模块不少于6块，合计传感器模块、运动模块、显示模块不少于12件，连接类排线不少于50组，五金螺丝不少于50套，可拼接椴木板独立塑封，不少于8套，满足全项目搭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2、配套全套教学内容，每节主题课程包含教学PPT、纸质版教案书籍，配套组装视频课程、接线原理图以及课程源码等辅助教学内容；课程内容不少于36课时；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3、电子模块以优质自封袋独立包装，项目课程以精品环保纸盒独立包装。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4、所有项目课程图纸开源，并能结合激光切割机完成图纸二次制作。</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1329"/>
        </w:trPr>
        <w:tc>
          <w:tcPr>
            <w:shd w:val="clear" w:color="auto" w:fill="auto"/>
            <w:tcW w:w="6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PBL综合创作套包（进阶包）</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课程器材以项目课程分包，所有项目合计主控类电子模块不少于6块，合计传感器模块、运动模块、显示模块不少于12件，连接类排线不少于50组，五金螺丝不少于50套，可拼接椴木板独立塑封，不少于8套，满足全项目搭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2、配套全套教学内容，课程包包含有教学PPT、纸质版教学讲义书籍，配套组装视频课程、接线原理图以及课程源码等辅助教学内容；课程内容不少于36课时；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3、电子模块以优质自封袋独立包装，项目课程以精品环保纸盒独立包装。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4、所有项目课程图纸开源，并能结合激光切割机完成图纸二次制作。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5、课程以标准包作为升级，难度有所增加，课程项目综合程度更高。</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1385"/>
        </w:trPr>
        <w:tc>
          <w:tcPr>
            <w:shd w:val="clear" w:color="auto" w:fill="auto"/>
            <w:tcW w:w="6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木工工具箱</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工具箱包含：钢卷尺*1、木工凿*1、螺丝刀*1、水平尺*1、木工锉*1、剪刀*1、勾刀*1、钢丝钳*1、美工刀*1、G形木工夹*2、直角尺*1、油石*1、折叠锯*1、羊角锤*1、木工刨*1、木工铅笔*1、鸟刨*1、墨斗*1、钻头*12。</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1920"/>
        </w:trPr>
        <w:tc>
          <w:tcPr>
            <w:shd w:val="clear" w:color="auto" w:fill="auto"/>
            <w:tcW w:w="6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金工工具箱</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规格：400mm×500×100mm。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具箱包含：钢丝钳*1、尖嘴钳*1、钢直尺*1、扁锉刀*1、半圆锉刀*1、三角锉*1、圆锉刀*1、划针*1、划规*1、样冲*1、什锦锉*6、钳工锤*1、圆头锤*1、扳牙扳手*12、钢卷尺*1、两用扳手*4、内六角扳手*9、三叉扳手*1、螺丝刀*2、活动扳手*1、钢丝刷*1、钢锯架*1、铁皮剪*1、三角尺*1。</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1800"/>
        </w:trPr>
        <w:tc>
          <w:tcPr>
            <w:shd w:val="clear" w:color="auto" w:fill="auto"/>
            <w:tcW w:w="6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电工工具箱</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规格：400mm×500×100mm。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具箱包含：电工胶布*1、芝麻柄螺丝批*6、钢卷尺*1、吸锡器*1、剥线钳*1、刷子*1、焊锡丝*1、小钢锯*1、测电笔*1、活动扳手*1、羊角锤*1、钢丝钳*1、尖嘴钳*1、斜口钳*1、数显万用表*1、精密螺丝批*6、电烙铁*1、美工刀*1、烙铁架*1、内六角扳手*1。</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676"/>
        </w:trPr>
        <w:tc>
          <w:tcPr>
            <w:shd w:val="clear" w:color="auto" w:fill="auto"/>
            <w:tcW w:w="6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gridSpan w:val="3"/>
            <w:shd w:val="clear" w:color="auto" w:fill="auto"/>
            <w:tcW w:w="11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实验室顶部造型</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1、轻钢龙骨，石膏板艺术造型，铝方通造型，铝扣板造型。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2、顶面成品处理。</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平方米</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98</w:t>
            </w:r>
            <w:r/>
          </w:p>
        </w:tc>
      </w:tr>
      <w:tr>
        <w:trPr>
          <w:trHeight w:val="48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器材室</w:t>
            </w:r>
            <w:r/>
          </w:p>
        </w:tc>
      </w:tr>
      <w:tr>
        <w:trPr>
          <w:trHeight w:val="1860"/>
        </w:trPr>
        <w:tc>
          <w:tcPr>
            <w:shd w:val="clear" w:color="auto" w:fill="auto"/>
            <w:tcW w:w="6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规格：1000mm×500mm×2000mm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1、柜体：全钢结构，上下双开门设计，采用≥1.0mm高强度镀锌钢板，切割折弯成型焊接打磨平整，表面经环氧树脂喷涂处理。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2、柜门：上门为钢制整板开孔门框，内嵌玻璃；下门组装式设计，保证单层钢板双面都喷涂处理，门板中间填充隔音材料，减少关门时产生的噪声。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3、拉手：采用不锈钢拉手。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4、隔板：采用≥1.0mm高强度镀锌钢板，成型后≥20mm一体成型，柜体内带调节孔，上下可以调节。</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r>
      <w:tr>
        <w:trPr>
          <w:trHeight w:val="48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化学实验室1</w:t>
            </w:r>
            <w:r/>
          </w:p>
        </w:tc>
      </w:tr>
      <w:tr>
        <w:trPr>
          <w:trHeight w:val="1144"/>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教师演示讲台</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规格：3000mm×700mm×900mm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台面：台面采用≥15mm厚陶瓷台面。陶瓷台面坯体黑色一体实芯和釉面经高温一体煅烧而成。陶瓷台面表面釉面为实验室专业釉面不会受外界环境影响而脱落脱层，具有耐污染、耐化学腐蚀、无放射性物质、防撞抗冲击、承重力强等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全钢结构，采用≥1.0mm高强度镀锌钢板，切割折弯成型，组件焊接工艺，打磨平整，表面经环氧树脂喷涂处理；整体结构设计合理，预留电脑主机、实物展台、教师电源安装位置，中间部分无底板设计便于地面线管进讲台，前后预留检修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3、拉手：采用不锈钢拉手。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4、储物柜门和抽面：采用双层结构，组装式设计，保证单层钢板双面都喷涂处理，门板中间填充隔音材料，减少关门时产生的噪声。防撞胶垫：装于抽屉及门板内侧，减缓碰撞，保护柜体。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5、不锈钢防腐合页：采用优质不锈钢模具一体成型。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6、防腐三节静音导轨：三节滚珠滑轨，承重性强，滑动顺滑。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7、固定桌脚：采用柜体内置可调ABS调整脚，保证调整脚前后都可以调节高低。</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实验室专用水槽</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规格：550mm×450mm×300mm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采用PP一体化成型水槽，易清洁，耐腐蚀特点。</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26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三联高低位龙头</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鹅颈式实验室专用优质化验水嘴：主体采用铜质，表面环氧树脂喷涂。阀芯采用陶瓷阀芯，配置一个高位水龙头，两个低位水龙头，便于多用途使用。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9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实验室专用洗眼器</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1、单眼洗眼器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2、洗眼喷头：采用不助燃PC材质模铸一体成形制作，具有防尘功能，上面防尘盖平常可防尘，使用时可随时被水冲开，并降低突然打开时短暂的高水压，避免冲伤眼睛。</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付</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1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落地式紧急冲淋</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立式不锈钢材质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1、紧急冲淋洗眼装置的关节采用插拔式的连接方式，既缩短整个产品的安装工时，又能彻底解决管件连接处的漏水问题，轻松满足360度任意定位安装的人性化需要，外观整洁大方，检修及部件更换更加便捷。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2、主体、冲淋阀、洗眼阀、洗眼盆、拉手、推手和脚踏等部件均采用卫生级304不锈钢无缝钢管，镍含量超过8%，耐腐蚀性能出众。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3、采用冷轧工艺生产，不易变形，同时管壁光滑无油脂，经久耐用。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4、洗眼喷头内置减压装置，防止对眼睛二次伤害；配置水压调节系统来适应不同场所的水压。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5、冲淋球阀和洗眼球阀均采用双片式阀门结构，密封性和抗压性能更好，使用寿命更长。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6、阀门管道采用由任（即活接头）的管道连接设计，使维修保养费用极低，避免了由于阀门或部件损坏后无法更换而导致整个洗眼器报废的情况。</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8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学生实验操作及学习区</w:t>
            </w:r>
            <w:r/>
          </w:p>
        </w:tc>
      </w:tr>
      <w:tr>
        <w:trPr>
          <w:trHeight w:val="526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学生实验桌</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规格：1220mm×600mm×780mm/820mm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台面：采用≥15mm止滑陶瓷台面。陶瓷台面坯体黑色一体实芯和釉面经高温一体煅烧而成。台面操作边设有≥13mm×1.5mm止滑凹槽，有效防止在实验过程中试管、液体等实验物品滑落造成意外伤害，陶瓷台面表面釉面为实验室专业釉面不会受外界环境影响而脱落脱层，具有耐污染、耐化学腐蚀、无放射性物质、防撞抗冲击、承重力强等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钢铝结构，外形尺寸≥1220mm×600mm×780mm（台面）/820mm（围边），含功能围栏总高度≥925mm；左右侧围边采用一体化压铸铝工艺，尺寸≥405mm×75mm×17mm，围边长度达到390mm，高出台面≥38mm，防止仪器设备掉落的风险；后挡条为铝合金一体成型工艺，高出台面≥38mm，金属表面经环氧树脂粉末喷涂高温固化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3、后功能栏杆，采用≥20mm×30mm×1.0mm的方管弯管成型工艺，高出台面达到145mm，防止实验器材跌落；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4、下面设计两个书包斗，材质采用ABS一体化成型工艺，镂空设计，不屯垃圾，便于清理，中间设挂凳卡；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桌腿采用两节折叠式设计，上部分尺寸≥120mm×210mm×50mm，一体化压铸工艺；下部分采用≥100mm×40mm×1.8mm钢管制作而成；下脚尺寸≥565mm×60mm×40mm，采用不低于2mm钢板冲压一体化成型，金属表面经环氧树脂粉末喷涂高温固化处理。</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r>
      <w:tr>
        <w:trPr>
          <w:trHeight w:val="668"/>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万向抽风装置</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规格：90mm×150mm×45mm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万向抽风装置支架采用ABS材质一体成型设计，尺寸≥90mm×150mm×45mm，左右移动式万向抽装置，风口可以任意角度旋转，满足整个桌面的抽风需求，万向抽风装置支架与风管可以拆卸。抽风口设有防鼠网，方便拆卸维护处理</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r>
      <w:tr>
        <w:trPr>
          <w:trHeight w:val="236"/>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多功能防溅水槽柜</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规格：600mm×450mm×820mm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底围尺寸≥590mm×440mm×60mm，中间部分尺寸≥600mm×450mm×735mm；材质≥1.0mm镀锌钢板，表面环氧喷涂；上面水槽为PP改性材质，水槽尺寸≥450mmx600mmx475mm，水槽内上部尺寸≥405mm×480mm，底部尺寸≥345mm×425mm，水槽最高深度≥370mm，最低深度≥300mm，保障洗涤时水不飞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2、水槽内部带滴水架，滴水架不少于10个滴水棒，滴水棒可以收纳；下带两层过滤网，可拆卸清理维护。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3、水槽柜上面带检修口，同时可以收纳水管。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4、检修门带锁，底围安装≥1寸定向轮。</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17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水龙头</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1、主体材质为加厚铜管，主管管径≥25mm铜管，表面经环氧树脂喷涂处理。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2、双龙头可以独立折叠式设计，使用时打开折叠双联龙头在使用过程中可以自由升降水嘴，以满足不同身高的高度仪器清洗要求使用。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4、实验室龙头采用壁式安装，壁厚≥2.5mm，固定底座直径≥50mm，底座锁母与台面中间添加齿形止退垫，使连接后不易松动稳定性强，与台面安装牢固。双联龙头可以分开折叠90度收纳，保证实验室的整洁美观。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5、开关旋钮：材质PP，符合人体工学设计，启闭方式为平面式，开关标识清晰醒目，装配好的开关旋钮应平稳轻便无卡阻，与阀杆连接后不易松动稳定性强。</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26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实验凳</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规格：Φ310mm×450mm～500mm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1、凳脚材质：4个凳脚采用≥15mm×30mm×1.7mm钢管模具弯制一次成型，全圆满焊接完成，结构牢固，经高温粉体烤漆处理，长时间使用也不会产生表面烤漆剥落现象 螺旋升降式，升降距离为50mm，最高离地距离≥500mm。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2、ABS凳面材质：采用ABS注塑。表面细纹咬花，防滑不发光，凳面底部镶嵌4枚螺纹，采用标准螺栓与圆形托盘固定。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3、脚垫材质：采用PP加耐磨纤维增强塑料，实心倒钩式一体射出成型。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4、凳托与凳脚留有一定的空间便于凳子挂在挂凳扣上，方便教室的打扫</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r>
      <w:tr>
        <w:trPr>
          <w:trHeight w:val="1074"/>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规格：1000mm×500mm×1970mm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1、PP材质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2、柜体：侧板、顶底板采用改性PP材料增加强度，注塑模一次性成型，表面沙面和光面相结合处理，保证柜体之坚固及密封性，耐腐蚀性强。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3、下储物柜门：内框采用改性PP材质注塑模一次成型，外嵌≥4.6mm厚钢化烤漆玻璃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4、上柜视窗门：内框采用改性PP材质注塑模一次成型，外嵌≥4.6mm厚钢化烤漆玻璃，中间烤漆镂空制作。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6、门把手：采用经过改性PP材质注塑模一次成型，与柜门平行，开启方便。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7、门铰链：采用经过射出成型的PP材料制成，耐腐蚀性好。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8、螺丝：PP材质，可选不锈钢304材质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9、备注：可以用于各种腐蚀性化学品的储存，如硫酸、盐酸、硝酸、乙酸、硫磺酸等</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r>
      <w:tr>
        <w:trPr>
          <w:trHeight w:val="38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控制设备</w:t>
            </w:r>
            <w:r/>
          </w:p>
        </w:tc>
      </w:tr>
      <w:tr>
        <w:trPr>
          <w:trHeight w:val="6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教师终端模块</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500mm*260mm*100mm</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1、教师演示台配备总漏电保护和分组保护，可分组控制学生的高低压电源，确保学生实验安全方便；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2、教师电源总控采用≥225mm×127mm尺寸的面板，具备智能控制按键，并能显示电源电压；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3、教师交流电源通过智能控制按键直接选取0V～24V电压，最小调节单元可达1V，额定电流3A；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4、教师直流电源也是通过智能控制按键直接选取，调节范围为1.5V～24V，分辨率可达0.1V，额定电流3A；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5、低压大电流值为10A，自动关断；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教学电源：交流输出为带安全门的插座，带有电源指示，学生低压交流电源可通过智能控制按键直接选取0V～24V电压，最小调节单元为1V，分组输送至学生桌；低压直流电压教师能准确控制，最小调节单元为0.1V。</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96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通风矢量控制模块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机矢量控制：应用空间电压矢量控制原理，采用模块化设计、双CPU控制，是集数字技术、计算机技术、现代自控技术于一体的高科技产品，具有精度高、噪声低、转矩大、性能可靠等特点。主要参数指标为：1.频率指示、异常指示、转速指示、状态指示等均由LED显示；2.控制方式：空间电压矢量控制；3.保护功能：输入缺相、输入欠压、直流过压、过载等。</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165"/>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顶装智能控制平台</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集中控制：可执行各分项分页控制。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给排水控制：控制顶装给排水。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照明控制：控制顶装照明。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电源控制：控制学生AC电源和低压电源。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摇臂控制：控制摇臂升降。</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86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远程控制模块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1、APP登入有网络注册功能，注册后登入系统操作，使用者忘记密码方便找回，同时方便升级系统，带来新的体验。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2、能使用APP能控制总电源关闭；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3、APP能显示当前温度、相对湿度及当前时间；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4、使用APP能控制学生低压电源的交流电压，且电压值为实测值。如APP给学生交流3V，学生电源电压实测电压为3V；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5、使用APP同时控制水电风光源开启与关闭，同时可以扩展功能（监控布防、空调控制等等）</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1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温湿度监视模块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内置精密温湿度传感装置，实时监控房间内的温度和湿度，保障室内舒适的环境舒适性，能在智能控制平台中实时显示当前环境的温度和湿度。</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8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通风设备</w:t>
            </w:r>
            <w:r/>
          </w:p>
        </w:tc>
      </w:tr>
      <w:tr>
        <w:trPr>
          <w:trHeight w:val="3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铝合金万向罩</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1、关节：高密度PP材质表面磨砂，可360°旋转调节。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2、关节密封圈：高密度橡胶。在关节之间随着旋钮压力加大而产生阻尼效果。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3、关节连接杆：304不锈钢双头连接杆。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4、关节盖：高密度PP材质表面磨砂，组合式安装拆装方便。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5、关节松紧旋钮：高密度PP材质，调节旋钮可以调节关节旋转扭矩。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6、铝合金万向罩口：直径≥230mm，高密度铝合金制成，防止实验时的火焰使其燃烧。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7、导管：4节直径≥55mm的抗氧化抗腐蚀的镁硅铝合金，表面做特氟龙表面处理，耐酸、耐碱、耐划痕。</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8、旋转关节：采用抗氧化抗腐蚀的镁硅铝合金，和铝合金万向罩口连接的导管设计旋转功能。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9、扭簧：使用90度的≥4mm专用弹簧钢抗氧化处理，防止吸风罩自重导致导管下滑。</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2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万向吸风罩底座</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1.整体采用钢制结构，由上固定底座、下固定底座、镀锌方管三者采用螺栓螺母固定连接组装而成。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2.上固定底座，尺寸≥103*100*58mm，采用≥厚1.0mm的镀锌钢板折弯焊接而成。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3.下固定底座，尺寸≥103*106*103mm，采用≥厚1.0mm的镀锌钢板折弯焊接而成。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4.镀锌方管，尺寸≥60*60mm，厚度≥2mm。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0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活动式学生端抽风装置</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体下部分两侧暗藏两根φ50mm的风管，拉伸前长200mm，拉伸后长1500mm，采用尼龙材质，风管与其他装置连接，形成排风管道装置，当收纳时，再次拉伸风管，风管自动收起。可左右移动式抽风装置，尺寸≥500*200*80mm，采用PP材质，风口可以任意角度旋转，满足整个桌面的抽风需求。</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r>
      <w:tr>
        <w:trPr>
          <w:trHeight w:val="415"/>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吊装式通风模块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室内通风主管道、支管道均采用防腐蚀材质，主管道：定制风管，满足实验室通风要求；接口保证无漏风。</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r>
      <w:tr>
        <w:trPr>
          <w:trHeight w:val="216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室外行程通风模块</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1、采用pp防腐蚀材质，具有整体结构性能好、严密性高等优点，同时具有耐酸碱性能。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2、规格：定制风管，满足实验室通风要求，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3、管卡采用碳钢制作，表面经防锈处理，具有耐腐蚀、防火、防潮等功能。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4、配套规格：φ400mm或600*250mm或500mm*320mm。根据现场风井带下选用相应规格。米数≥20米。</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46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防腐风机</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功率：7.5kW。风量：10602-21204m3/h。风压：1550—984Pa。</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81"/>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风机控制线</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1、单芯标称截面积 4mm²，共3芯；单芯标称截面积 2.5mm²，共2芯，米数共计≥150米。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2、导体材质：多股绞合软铜导体，导电性能优异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3、绝缘护套：双层 PVC 材质，绝缘、耐磨且柔韧性好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4、外观特性：圆形护套，整体柔软</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0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活性炭废气处理器</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活性炭废气处理器，处理风量：9000m3/h。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①、吸附单元在设备箱体内分层格栅式安装，要求能够非常方便地检修及更换。吸附单元选用硬PP板材制作。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②、检查门开启方便，密封严密。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③、进出气口是法兰式接口，可以连接风管。风管连接工艺采用法兰连接方式，法兰之间连接应有3㎜的橡胶垫皮，起到密封作用。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38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顶装舱体</w:t>
            </w:r>
            <w:r/>
          </w:p>
        </w:tc>
      </w:tr>
      <w:tr>
        <w:trPr>
          <w:trHeight w:val="15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摇臂升降动力模块</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采用24V 250mm 14mm/s 4000N推杆电机，采用三支点式支撑设计，三点支撑材质采用三件压铸铝组合组装合成，每件之间采用轴销连接，三个压铸尺寸分别为：≥195mm×125mm×115mm、≥270mm×165mm×30mm、≥160mm×70mm×30mm，保证运动过程结构稳定，噪声不超过65分贝，抗腐蚀能力强。</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 </w:t>
            </w:r>
            <w:r/>
          </w:p>
        </w:tc>
      </w:tr>
      <w:tr>
        <w:trPr>
          <w:trHeight w:val="153"/>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自动控制模块</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集成式控制单元：主要用单片机、电源模块、控制电路组成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执行给排水控制：给水系统：设有每个学生设有给水控制阀门，可以对给水进行控制，可以单独进行控制，进行单选、全选、反选，分组进行控制，教师可以方便对全室供水系统进行控制，学生功能板处设置给水接口，接口与学生水槽柜采用硅胶软管连接，接口均采用自动锁紧插拔式连接方式，用时接上，不用时可收起。自动排水系统：所有排水由智能化控制系统集中控制，学生功能板处设置排水接口，接口与学生水槽柜采用优质硅胶软管（具有防酸、防碱、耐腐蚀功能）连接，接口均采用自动锁紧插拔式连接方式（拔掉时没有污水流出），用时接上，不用时可收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2、执行智能摇臂控制：可以对摇臂进行控制，可以单独进行控制，进行单选、全选、反选，分组进行控制；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3、执行电源控制：可以对低压电源进行控制，可以单独进行控制，进行单选、全选、反选，分组进行控制。对低压电源的电压进行调节及锁定。</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 </w:t>
            </w:r>
            <w:r/>
          </w:p>
        </w:tc>
      </w:tr>
      <w:tr>
        <w:trPr>
          <w:trHeight w:val="8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主体结构模块</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两侧采用≥1200mm×200mm×35mm铝合金一体成型工艺，底部采用钢制焊接而成，主框架承重部分采用加厚钢板焊接，顶部设有防尘盖，防止灰尘进入影响设备运行，增加设备寿命。</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 </w:t>
            </w:r>
            <w:r/>
          </w:p>
        </w:tc>
      </w:tr>
      <w:tr>
        <w:trPr>
          <w:trHeight w:val="38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多功能伸缩摇臂</w:t>
            </w:r>
            <w:r/>
          </w:p>
        </w:tc>
      </w:tr>
      <w:tr>
        <w:trPr>
          <w:trHeight w:val="10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多功能伸缩摇臂集成功能模块舱体</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规格：550mm×85mm×240mm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分两段式设计，上部分由外壳、安装导轨、捆绑服务软管和桥式塑料拖链线槽等组成；下部分预留安装学生电源、供应端口、抽风管道空间位置，上下部分的运动间隙采用硅胶材质密封片，保证密闭性。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智能摇臂升降模块</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由24V推杆机连接运动的摇臂和固定部分，运动范围从收纳的水平状态到使用时的垂直状态，摇臂可以随时停留的范围内的任意位置。</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 </w:t>
            </w:r>
            <w:r/>
          </w:p>
        </w:tc>
      </w:tr>
      <w:tr>
        <w:trPr>
          <w:trHeight w:val="1389"/>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学生终端模块</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包含：低压交流0V～24V输出1组、直流1.5V～24V输出1组、交流插座2个、USB输出5V电源1组。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1、教师主控型，学生低压电源都可接收主控电源发送的锁定信号，在锁定指示灯点亮后，学生接收老师输送的设定电源电压，教师锁定时，学生自己无法操作，这样可避免学生的误操作。可以分组或独立控制；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2、学生电源采用耐磨、耐腐蚀、耐高温的PC亮光薄膜面板，学生电源的控制采用按钮式按键，可以随意设置电压，贴片元件生产技术，微电脑控制，采用≥45mm×20mm尺寸面板，用于展示学生的交直流电压数据；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3、学生交流电源通过上下键0V～24V电压，最小调节单元可达1V，额定电流3A；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4、学生直流电源也是通过上下键选取，调节范围为1.5V～24V，分辨率可达0.1V，额定电流2A。</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 </w:t>
            </w:r>
            <w:r/>
          </w:p>
        </w:tc>
      </w:tr>
      <w:tr>
        <w:trPr>
          <w:trHeight w:val="1041"/>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供应端口</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1、给排水端口：采用PVC材质，具有耐酸碱，拔插轻松，不生锈等特点；即插即用，带自动锁紧功能，即使在供水排水工作时，随时拔掉接口也不会有任何滴漏现象；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2、控制端口：采用航空插头供应装置，保证水槽柜供应电源及控制信号线。</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 </w:t>
            </w:r>
            <w:r/>
          </w:p>
        </w:tc>
      </w:tr>
      <w:tr>
        <w:trPr>
          <w:trHeight w:val="7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故障显示模块</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接收智能平台控制，摇臂运动故障亮红灯警报故障。功能面板采用≥145mm×20mm，配置LED故障灯≥1个，灯罩采用ABS一次成型，设计安装磨砂透明均光板，不仅能使光线扩散均匀更能起到安全防护作用。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 </w:t>
            </w:r>
            <w:r/>
          </w:p>
        </w:tc>
      </w:tr>
      <w:tr>
        <w:trPr>
          <w:trHeight w:val="1341"/>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废水存储过滤模块</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水过滤箱和排水装置组成。尺寸≥280mm×330mm×290mm。水过滤箱包括箱体、过滤件组成，具有耐酸碱，箱体由一隔板分为上下两层，过滤件设置在上层，抽水装置设置在下层。入水口处设置有液位计传感器，检测箱体的水位，排水装置包含水泵和控制器，控制器接收控制系统信号，控制器与液位计信号连接，且与水泵的开关信号连接。设备下面配有一个万向轮，方便设备移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 </w:t>
            </w:r>
            <w:r/>
          </w:p>
        </w:tc>
      </w:tr>
      <w:tr>
        <w:trPr>
          <w:trHeight w:val="38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系统工程</w:t>
            </w:r>
            <w:r/>
          </w:p>
        </w:tc>
      </w:tr>
      <w:tr>
        <w:trPr>
          <w:trHeight w:val="66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给水管路</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采用φ20mm～32mmPP-R给水管，连接每组模块给水。</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66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排水管路</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采用φ50-75mmPVC-U国标管，连接每组模块排水。</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66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电源供应线路</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采用2.5mm</w:t>
            </w:r>
            <w:r>
              <w:rPr>
                <w:rStyle w:val="1150"/>
                <w:rFonts w:hint="eastAsia" w:ascii="宋体" w:hAnsi="宋体" w:eastAsia="宋体" w:cs="宋体"/>
                <w:color w:val="auto"/>
                <w:highlight w:val="none"/>
                <w:lang w:val="en-US" w:eastAsia="zh-CN" w:bidi="ar"/>
              </w:rPr>
              <w:t xml:space="preserve">²</w:t>
            </w:r>
            <w:r>
              <w:rPr>
                <w:rFonts w:hint="eastAsia" w:ascii="宋体" w:hAnsi="宋体" w:eastAsia="宋体" w:cs="宋体"/>
                <w:i w:val="0"/>
                <w:iCs w:val="0"/>
                <w:color w:val="auto"/>
                <w:sz w:val="22"/>
                <w:szCs w:val="22"/>
                <w:highlight w:val="none"/>
                <w:u w:val="none"/>
                <w:lang w:val="en-US" w:eastAsia="zh-CN" w:bidi="ar"/>
              </w:rPr>
              <w:t xml:space="preserve">电线进行系统布线。连接每组模块供电。</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66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智能控制系统线路</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采用1mm</w:t>
            </w:r>
            <w:r>
              <w:rPr>
                <w:rStyle w:val="1150"/>
                <w:rFonts w:hint="eastAsia" w:ascii="宋体" w:hAnsi="宋体" w:eastAsia="宋体" w:cs="宋体"/>
                <w:color w:val="auto"/>
                <w:highlight w:val="none"/>
                <w:lang w:val="en-US" w:eastAsia="zh-CN" w:bidi="ar"/>
              </w:rPr>
              <w:t xml:space="preserve">²</w:t>
            </w:r>
            <w:r>
              <w:rPr>
                <w:rFonts w:hint="eastAsia" w:ascii="宋体" w:hAnsi="宋体" w:eastAsia="宋体" w:cs="宋体"/>
                <w:i w:val="0"/>
                <w:iCs w:val="0"/>
                <w:color w:val="auto"/>
                <w:sz w:val="22"/>
                <w:szCs w:val="22"/>
                <w:highlight w:val="none"/>
                <w:u w:val="none"/>
                <w:lang w:val="en-US" w:eastAsia="zh-CN" w:bidi="ar"/>
              </w:rPr>
              <w:t xml:space="preserve">屏蔽电线进行系统布线，连接每组模块通讯。</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68"/>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安装辅件</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采用双槽钢横梁吊装方式，减少楼板承重，防止左右晃动，可进行上下、左右的平衡调节，实验功能板离地≥2m左右，主要辅件有：槽钢等（不含桁架）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间</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实验室顶部造型</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1、轻钢龙骨，石膏板艺术造型，铝方通造型，铝扣板造型。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2、顶面成品处理。</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平方米</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 </w:t>
            </w:r>
            <w:r/>
          </w:p>
        </w:tc>
      </w:tr>
      <w:tr>
        <w:trPr>
          <w:trHeight w:val="480"/>
        </w:trPr>
        <w:tc>
          <w:tcPr>
            <w:gridSpan w:val="5"/>
            <w:shd w:val="clear" w:color="auto" w:fill="auto"/>
            <w:tcW w:w="795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高中化学学生实验仪器清单</w:t>
            </w:r>
            <w:r/>
          </w:p>
        </w:tc>
        <w:tc>
          <w:tcPr>
            <w:gridSpan w:val="2"/>
            <w:shd w:val="clear" w:color="auto" w:fill="auto"/>
            <w:tcW w:w="671" w:type="dxa"/>
            <w:vAlign w:val="center"/>
            <w:textDirection w:val="lrTb"/>
            <w:noWrap/>
          </w:tcPr>
          <w:p>
            <w:pPr>
              <w:ind w:left="0" w:right="0"/>
              <w:jc w:val="both"/>
              <w:keepLines w:val="0"/>
              <w:keepNext w:val="0"/>
              <w:spacing w:before="0" w:beforeAutospacing="0" w:after="0" w:afterAutospacing="0"/>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W w:w="870" w:type="dxa"/>
            <w:vAlign w:val="center"/>
            <w:textDirection w:val="lrTb"/>
            <w:noWrap/>
          </w:tcPr>
          <w:p>
            <w:pPr>
              <w:ind w:left="0" w:right="0"/>
              <w:jc w:val="both"/>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104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打孔器</w:t>
            </w:r>
            <w:r/>
          </w:p>
        </w:tc>
        <w:tc>
          <w:tcPr>
            <w:shd w:val="clear" w:color="auto" w:fill="auto"/>
            <w:tcW w:w="6117" w:type="dxa"/>
            <w:vAlign w:val="center"/>
            <w:textDirection w:val="lrTb"/>
            <w:noWrap/>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Style w:val="1150"/>
                <w:rFonts w:hint="eastAsia" w:ascii="宋体" w:hAnsi="宋体" w:eastAsia="宋体" w:cs="宋体"/>
                <w:color w:val="auto"/>
                <w:highlight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产品为手持式打孔器，要求用优质钢材制造，刀刃硬度不低于HRC55；四件套，穿孔管外径6mm、8mm、10mm，壁厚1mm冷拔无缝钢管；配一支带柄金属通扦，直径2．8mm碳素钢丝制成；2．空心结构，一端带柄，一端有刃，刃口平整、锋利；3．空管与手柄焊接牢固，使用中不得脱柄。4．仪器表面色泽光亮，防锈性能好。</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打孔夹板</w:t>
            </w:r>
            <w:r/>
          </w:p>
        </w:tc>
        <w:tc>
          <w:tcPr>
            <w:shd w:val="clear" w:color="auto" w:fill="auto"/>
            <w:tcW w:w="6117" w:type="dxa"/>
            <w:vAlign w:val="center"/>
            <w:textDirection w:val="lrTb"/>
            <w:noWrap/>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1.产品由上夹板、下夹板、螺钉及紧固蝴蝶螺母等组成；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2．产品长不小于175 mm，宽不小于40 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3．上下夹板应由透明塑料板制成，表面光洁，透明度好；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4．上夹板应备有直径为6 mm，8 mm，10 mm，12 mm直穿孔4个；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5．紧固螺钉与下夹板紧固为一体，不得松动，紧固螺钉长度不小于80 mm，上夹板上下高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度可调，由蝴蝶螺母定位；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6．上夹板、下夹板厚度不小于11 mm，夹板应有足够的强度，正常情况下使用不变形，不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断裂。</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打孔器刮刀</w:t>
            </w:r>
            <w:r/>
          </w:p>
        </w:tc>
        <w:tc>
          <w:tcPr>
            <w:shd w:val="clear" w:color="auto" w:fill="auto"/>
            <w:tcW w:w="6117" w:type="dxa"/>
            <w:vAlign w:val="center"/>
            <w:textDirection w:val="lrTb"/>
            <w:noWrap/>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1.产品由刀架、刀片、刀片定位销钉、刀片张角定位螺钉和手柄组成，刀体长度不小于80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2．刀架应采用金属材料制作，表面做防锈处理。刀架工作端为1:4锥度圆锥体，经调节刀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片张角，可修削刀口直径4mm～13mm的打孔器刀口；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3．刀片应采用工具钢片，具有足够钢性和硬度，刀刃应锋利、无缺损、变形、卷刃现象，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刀体与刀柄连接牢固；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4．手柄表面光洁，大小适当，握持手感舒适；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5．刀片与刀架配合灵活，便于装拆。</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手摇钻孔器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组成：仪器由旋转立柱、夹持固定装置、四个不同直径刀头及捅条组成；2、螺旋立柱应能通过手轮的转动向安装后的刀头稳定加压打孔；3、四支刀口外径分别为Φ12mm，Φ10mm，Φ8mm，Φ6mm，捅条直径不小于Φ4mm，刀口锋利，无卷边；</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72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仪器车</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双层物架，尺寸为：600 mm×400 mm×800 mm；采用不锈钢板制作，总载重≥60 kg，万向滚轮。</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辆</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电动离心机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0r/min~3000r/min,10mL×6</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磁力加热搅拌器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、使用电源： AC ±22V</w:t>
            </w:r>
            <w:r>
              <w:rPr>
                <w:rStyle w:val="1150"/>
                <w:rFonts w:hint="eastAsia" w:ascii="宋体" w:hAnsi="宋体" w:eastAsia="宋体" w:cs="宋体"/>
                <w:color w:val="auto"/>
                <w:highlight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 50Hz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 、消耗功率： 300W±25W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 、能够搅拌1000 ml 玻璃烧杯中的实验物质。配二粒搅拌籽。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 、电机采用无级调速，调速范围为 250 r / min ～ 2600 r / min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 、加热温度采用无级调温，调温加热盘温度小于300℃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 、搅拌时噪声不大于55 dB（A）。</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酒精喷灯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1.由灯壶、灯管、空气调节器、预热盘、加料口等部分组成；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2.规格（宽*高）：104*160mm。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3.可调节火力大小，温度800-1000℃</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84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水浴锅</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2.规格：约Φ140mm×80mm。容积约1000ml，盖子由从小到大的五层圈组成。</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保温漏斗</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1.材质：≥0.5mm厚的铜皮；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2.由漏斗体，漏斗颈，加热头三部分组成，带有手柄。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3.规格：外径约90mm，高100mm.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塑料洗瓶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规格：约6.5*17cm，250 mL ，水嘴略向下倾斜，口径1 mm～ 2 mm，瓶口紧实不漏气</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试剂瓶托盘</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1、尺寸约300mm×250mm×70mm，短边有提手，一盘内可同时放小试剂瓶约30个。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2、材质为耐酸碱塑料注塑成型，化学稳定性好，防腐蚀；</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试剂瓶托盘</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本盘内径尺寸约380mm×280mm×70mm，四边有护边，盘内可同时放125mL细口瓶30个以内。材质为ABS注塑成型。托盘厚度≥2mm，底部有加强筋</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实验用品提篮</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木制  可固定试管、试剂瓶等仪器，底部有抽屉</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塑料水槽</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1.半透明塑料注塑成型。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2.外形尺寸：约250mm×180mm×100mm。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碘升华凝华管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造型为密封的T型玻璃瓶，用硬质玻璃管，部分抽真空；内盛有固态碘，两端密封不漏气。</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方座支架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由矩形底座、立杆、烧瓶夹、大小铁环、垂直夹（2只）、平行夹等组成。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 方座支架的底座尺寸约为210×135mm，立杆直径约为φ10mm，一端有M10×18mm螺纹，底座和立杆表面做防锈处理。</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万能夹</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1.由夹杆、夹头组成。夹头分三爪，铝合金压铸成夹叉形，夹口为张紧螺丝张口，双向紧固，每一夹叉上均粘接软木底垫。</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2.上下夹口转动灵活自如，最大开口≥40mm，夹杆Φ7mm。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三脚架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1.由铁环和3只脚组成；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2.铁环内径：约74mm， 外径：约90mm，高：约130mm。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泥三角</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由金属丝和套在其上的石棉筒组成。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 金属丝用Φ约2㎜的钢丝接成等边三角形，三角形的单边长≥80㎜，钢丝接头绞合，绞合长度≥20㎜。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 石棉筒内径约为Φ4mm，外径约为Φ10mm。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 金属丝作防锈处理。</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1、试管架为组装式，由底板1块、立杆4支、挡板1块组成。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2、试管架用工程PP塑料制作，防腐性好。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3、底座正面应有8个凹孔，8个凸柱。4角有4个固定立杆孔，外形尺寸不小于245X145X14mm，摆放平稳。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4、立杆用优质PP材料制作，直径不小于14mm，有效高度不小于68mm，一端插入底座，另一端插入挡板应结实坚固，无歪扭现象。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5、挡板用优质PP材料制作，规格尺寸不小于245X145X8mm，正面有16个直径不小于34mm的孔。</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6、组装后的试管架应能放置8支试管和可晾干8支试管。</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32孔，铝合金，与 φ 15mm×150mm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试管匹配</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漏斗架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木制。1、漏斗架由漏斗板、支杆及底座三部分组成；2、漏斗板表面上有两个锥形孔。3、支杆为Φ15×230mm。4、底座为长方形：250mm×60mm×25mm，底座放置平稳；5、立杆与底座组装后应垂直，漏斗板组装后与立杆垂直。</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滴定台</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1.矩形底座：尺寸不小于300 mm×150 mm×18 mm，底面四角嵌装橡胶脚垫，放</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置平稳；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2．立杆直径不小于12mm，长度不小于600 mm，表面镀铬；</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3．立杆与底座垂直度误差不大于3 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滴定夹</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1、滴定夹产品为组装式，由固定块、固定螺钉、可调滑块、活动夹、弹簧组成。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2、滴定夹用铝合金材料制作，表面做磨砂处理。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3、固定块外形尺寸不小于90*30*38mm上面有直径13mm的凸出点，中间M6的螺纹孔，下面有V形固定凹槽。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4、固定螺钉采用不锈钢材质，规格直径6*35mm，顶端手拧部位采用ABS工程塑料制作，手持部位尺寸不小于28*14*8mm，拧入固定块螺纹孔后，应结实坚固，无歪扭现象，上下拧动自如。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5、可调滑块采用铝合金材料制作，规格不小于55*115*8mm，左右夹点高度不小于15mm。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6、活动夹用铝合金制作，雌性和雄性各两个，雌性尺寸不小于95*22*12mm，夹点高度不小于15mm，雄性尺寸不小于95*20*8mm，夹点高度不小于15mm。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7、弹簧采用优质钢丝制作，规格不小于直径14*6mm，钢丝直径不小于1mm。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多用滴管架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由ABS塑料组成。由上架板、中架板、下架板和两块侧板黏接而成。尺寸：约220mm*56mm*55mm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移液管架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1.梯形8孔，采用厚度约3mm的有机玻璃制成；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2.规格：约220×110×205mm。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比色管架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6孔，直径17mm。塑料制，尺寸：177×40×93mm，由上下二排管架组成。</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29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高中教师输出模块</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交流：2V～24V，2V～6V/12A，8V～12V/6A，14V～24V/3A；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直流：1.5V～25V，2V～6V/6A，8V～12V/4A，14V～24V/2A；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大电流：40A、8s自动关断。</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30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托盘天平</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1.规格：长约20cm，高约15cm，托盘直径约8.5cm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2．最大秤量100g，分度值0.1g，标尺称量0-10g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3.秤量允许误差为±0.5d（分度值）</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托盘天平</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1.规格：约25.5*8*17.5cm，最大秤量500g，分度值0.5g，标尺称量0-5g；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2.秤量允许误差为0.5d（分度值）；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3.砝码组合的总质量（包括标尺计量值）为天平的最大秤量。</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电子天平（100g，0.01g）</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外形尺寸约24*18.5*14cm，称重范围0-100g，读数精度100mg，秤盘尺寸120mm，电源/50Hz。</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电子天平（200g，0.001g）</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最大称量200g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实际分度值0.001g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重复性（≤g）±0.001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最大允许误差（≤g）±0.002</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电子天平（400g，0.1g）</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1.最大秤量：400g，读数精度0.1g；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2.外形尺寸约24*18.5*14cm，秤盘尺寸约120mm，电源/50hz。</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电子停表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1.规格约6.3*7.5cm，教学用电子秒表，具有秒表（最小读数1/100秒）、10段存储显示、定时器、节拍器、时钟和定时闹响功能。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2.以扣式电池为能源的液晶数字式金属壳石英秒表。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3.秒表在工作温度为-5~+50℃内各功能应显示完整、正常。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4.按钮工作灵活可靠，手感或声感与按钮同步，不发生误动作，且按钮使用寿命不少于20000次。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6.标准配置中包含标称工作电压的新扣式电池，电池更换周期大于一年。</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rFonts w:hint="eastAsia" w:ascii="宋体" w:hAnsi="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教学用测量仪</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1.规格：长约30cm，直径约0.6cm，实验用玻璃仪器，测量范围：0～100℃。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2.最小分度值：1℃。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4.允许误差：±1℃。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5.玻管要直，不得弯曲，不得崩损缺口。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4.色泽；无色透明。</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数字测量仪</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量程-30 ℃～200 ℃，分辨力 0.1 ℃。不接电脑， 可独立运行，自带显示屏</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rFonts w:hint="eastAsia" w:ascii="宋体" w:hAnsi="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多用途表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1、规格约为210*124*68mm，整流系，轴尖轴承支承式，指针式电表。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2、准确度等级：直流电流、电压、电阻测量档均为2.5级，交流电压测量档、直流电压0~2500V，为5.0级。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3、电压灵敏度：直流为5KΩ/V，交流为2.5KΩ/V。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4、量程范围：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直流电流：0~50uA~1mA～10mA~100mA～500mA~10A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直流电压：0~1V～2.5V~10V～50V~250V～500V~2500V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交流电流：0~1mA～10mA~100mA～500mA~5A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交流电压：0~1V～2.5V~10V～50V~250V～500V~2500V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电阻：R×1、R×10、R×100、R×1K、R×10K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5、阻尼时间：不超过4S。绝缘电阻≥20兆欧。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6、转换开关各档位定位正确，无错位、转动时无卡碰。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7、电表指针挺直，机械调零时可在零刻度左右移动。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8、产品所附测量表笔及电池应完好有效。</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39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演示用仪表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规格约276*115*298mm，2.5级，检流，按照教育部理科实验室装备标准配备</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密度计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1.标准温度20℃，温度范围0～70℃；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2．密度范围：1．000～2．000g/cm3；</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3．在液体中倾斜度不大于0．2分度值。</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密度计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1.标准温度20℃，温度范围10～70℃；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2．密度范围：0．700～1．000g/cm3；</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3．在液体中倾斜度不大于0．2分度值。</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酸度计（pH计）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测量范围：pH 0～14，分辨率：0.1</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444"/>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原电池实验器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1、供中学化学课学生分组进行原电池实验用。2、产品由容器、电极板（铜板、锌板、铝板）、电极卡、容器盖、接线柱组成。3、容器由透明塑料制成，内腔尺寸：60mm×30mm×75mm。4.电极板尺寸：60mm×15mm×1mm。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贮气装置</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1、由出水管、贮水室、导气阀、贮气室、底座、乳胶管等组成，贮气装置用优质透明塑料和ABS工程塑料注塑成型。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2、贮气装置外形尺寸：直径约160mm，高约200mm，表面标有刻度线，最小刻度200mL，容量约3000mL。</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3、各焊接部位牢固、密封、无漏气现象。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4、本装置有效贮气容量大于0.5L。</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204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溶液导电演示器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1、溶液导电演示器主要由以下配件组成：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1.2示教板  1套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1.3支撑脚  2个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1.4溶液槽  5个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2、演示器为电表式，工作电压DC6V。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3、示教板采用优质工程塑料ABS制作，规格尺寸不小于295X255X25mm。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3.1示教左上方应安装调校开关，中间安装电表显示屏，右上方安装档位开关。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3.3.2调校开关应有高、低标注；电表应有电压和电流显示；档位开关应有1~7档标注。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3.3.3示教板中间装有5组插线装置和5组LED指示灯，右中间安装电流插孔，插线装置应1~5标注，电流插孔应有正、负极标注。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3.3.4示教板两侧开有飞机孔、便于支撑脚安装。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4、支撑脚采用ABS工程塑料制作，有效尺寸不小于115X13X120mm。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4.1抱住示教板往上推到位后，应摆放平稳，无摇摆现象。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5、溶液槽采用透明塑料制作，规格不小于57X36X61mm，容量不小于60ml。采用石墨电极通电，通电线应有鱼叉接口，通电线长度不小于250mm。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6、电源连接线一端配有鱼叉，一端配有香蕉插，长度不小于400mm。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7、组装后的溶液导电演示器应摆放平稳，通电后按教学要求演示，性能稳定、效果好、正确。</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rFonts w:hint="eastAsia" w:ascii="宋体" w:hAnsi="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微型溶液导电实验器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笔式。电源电压：DC3V,5#电池2节。</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714"/>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中和热测定仪</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产品由外筒、内筒、隔离泡沫、搅拌器、温度计及上盖组成。1.外筒为塑料制，直径98mm、高98mm。2.内筒为铝制，直径60mm，深73mm。3.搅拌器为直径2mm的铝丝绕制而成，附手柄套。</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rFonts w:hint="eastAsia" w:ascii="宋体" w:hAnsi="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化学实验废液处理装置</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实验教学和废水处理兼用，单搅拌，每次处理的废水总量约12L。</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采用塑料焊接和不锈钢件连接组成，框架支架为直径约150mm的不锈钢材。箱体采用环保PP材料。材质均耐酸碱腐蚀由主机（含搅拌机）、400ml试剂瓶4个、洗瓶、专用电源、水管、活性炭包、刷子、滤纸、滤纸夹4个、防护手套、药匙等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2.电脑板控制速度，速度分为1-9数显。</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3.外形尺寸约：365mm×370mm×550mm。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49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气体实验微型装置</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以微型玻璃仪器为主，能完成氧气、氢气、二氧化碳、一氧化碳、氯气、氨气、二氧化硫、硫化氢、一氧化氮、二氧化氮等十几种气体的制备和性质实验，反应容器一般不超过30mL</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氢燃料电池演示器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两个质子交换膜电极，膜电极不小于33mm×33mm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氢燃料电池实验器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一个质子交换膜电极，膜电极不小于15mm×15mm，带电流、电压表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电解槽演示器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离子交换膜</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离子交换柱</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含玻璃纤维和离子交换树脂。用于做水的软化与净化的实验。由阳离子交换柱（深色）、阴离子交换柱（浅色）组成。交换柱采用透明塑料注塑成型，外径39mm，总长265mm，有进水口、软水出水口、纯净水出水口。</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电泳演示器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用于中学化学演示胶体的电泳现象，认识形成电泳的原因；仪器外形结构由底座电源装置，U形管、电极插座和开关等组成。1.主要技术参数：输入电压：AC12V；输出电压大于120V；输出电流80mA。2.U型管直径约18mm。3.底座为塑料制，尺寸：150mm×110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丁达尔现象实验器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1、由盒体，电池盒，集光电珠，方形试管等组成。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2、盒体呈长方形，装有集光电珠的电池盒可以沿盒槽上下移动。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3、通过盒体前端的观察窗，就能看见胶体的丁达尔现象。盒体外形尺寸：约95mm×65mm×65mm。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rFonts w:hint="eastAsia" w:ascii="宋体" w:hAnsi="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二氧化氮球</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1.玻璃制品，双球，呈U型，内封NO2和N2O4。</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2.球体直径约28mm。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放电反应实验仪</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通电两分钟之内即有氮气与氧气反应的现象，消耗功率不大于30W</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rFonts w:hint="eastAsia" w:ascii="宋体" w:hAnsi="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光化学实验演示器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结构：由底座、闪光装置、安全防护罩、手控按钮、开关、指示灯、试管3支及滴管等组成。能做氢、氯混合气体闪光引爆实验，溴化银感光分解实验，甲烷氯气混合气体取代反应闪光爆鸣实验。底座外形尺寸：175mm×95mm×140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59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炼铁高炉模型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1.炼铁高炉缩小模型，能反映内部结构。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2.它主要由炉喉、炉身、炉腹、炉缸等五个部分组成。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3.有两个进口（进料口和进风口），三个出口（出铁口、出渣口和高炉煤气出口）。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4.外形尺寸带底座：约175mm×175mm×600mm。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分子结构模型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演示用，氢原子球直径不小于 25mm， 其他原子球直径不小于 30mm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分子结构模型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分组用，可搭出各种版本新化学课本中所要求的无机分子和有机分子的模型40余种，球与棍应采用新型材料，结构元件：碳（黑色）、氧（红色）、氯（绿色）、氮（蓝色）、硫（黄色）、磷（紫色）、氢（白色）、金属（银灰色）、单键（银灰色）、单离子键（紫色）、双、三键（银灰色）、双离子键（紫色）等。防水纸盒外包装，规格：190×110×50mm，球Φ23mm，球棍组成。</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金刚石结构模型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全塑料制，演示用。1.由Φ30mm的碳原子34个、连接键44根组成。2.碳原子为黑色，四孔；键为灰色，直径4mm，长42mm。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石墨结构模型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1.仪器可组装石墨晶体结构，由彩色橡胶球、金属杆、底座组成，演示用；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2．橡胶球直径不小于23 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3．球杆组装松紧适度，不应有自由转动、松脱，组装后不得有明显的弯曲变形及角度变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4．教学演示效果明显。</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碳-60结构模型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1.模型由Φ23 mm的黑色塑料球60个和管状塑料</w:t>
            </w:r>
            <w:r>
              <w:rPr>
                <w:rStyle w:val="1150"/>
                <w:rFonts w:hint="eastAsia" w:ascii="宋体" w:hAnsi="宋体" w:eastAsia="宋体" w:cs="宋体"/>
                <w:color w:val="auto"/>
                <w:highlight w:val="none"/>
                <w:lang w:val="en-US" w:eastAsia="zh-CN" w:bidi="ar"/>
              </w:rPr>
              <w:t xml:space="preserve">Ø</w:t>
            </w:r>
            <w:r>
              <w:rPr>
                <w:rFonts w:hint="eastAsia" w:ascii="宋体" w:hAnsi="宋体" w:eastAsia="宋体" w:cs="宋体"/>
                <w:i w:val="0"/>
                <w:iCs w:val="0"/>
                <w:color w:val="auto"/>
                <w:sz w:val="22"/>
                <w:szCs w:val="22"/>
                <w:highlight w:val="none"/>
                <w:u w:val="none"/>
                <w:lang w:val="en-US" w:eastAsia="zh-CN" w:bidi="ar"/>
              </w:rPr>
              <w:t xml:space="preserve">5 mm×25 mm单键（黄色）60根和管状塑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料Φ5 mm×35 mm双键（绿色）60根及透明有机底座组成，演示用；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2．球与键的表面应光滑无划痕；</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3．键与球的结合应松紧恰当；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4．透明有机底座板的厚度不小于3mm。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氯化钠晶体结构模型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1.全塑料制，演示用，由Φ30mm的氯原子13个、钠原子14个、长键54根组成。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2.氯原子为绿色、钠原子为灰色。键直径约5mm，长约60mm。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rFonts w:hint="eastAsia" w:ascii="宋体" w:hAnsi="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氯化铯晶体结构模型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1.含氯原子1个，直径约30mm（8孔）绿色球；铯原子8个直径约30mm（4孔）红色球；长键12根，长约110mm；短键8根，长约90mm；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2.连接键由金属制成，表面电镀处理。</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二氧化碳晶体结构模型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产品由碳原子14个（6孔6个和8孔8个）黑色球，直径约30mm；氧原子28个，蓝色球，直径约30mm；短键14根，长60mm，中键24根，长90mm；长键12根，长130mm；连接键由金属制成，表面电镀处理。</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rFonts w:hint="eastAsia" w:ascii="宋体" w:hAnsi="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二氧化硅晶体结构模型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全塑料制。产品由硅原子15个，直径约30mm，4孔红色球；氧原子16个，直径约22mm，2孔白色球；中键32根，紫色。</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69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金属晶体结构模型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全塑料制。产品由面心立方堆积和面心立方晶胞构成。1.面心立方堆积由红色球20个，直径约30mm，短键18根，中键1根。2.面心立方晶胞由红色球14个，直径约30mm，中键12根，奶白，长键12根，金属电镀。</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电子云杂化轨道模型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1.模型包括：S电子云及SP、SP2、SP3、Px、Py、Pz杂化轨道模型，共7件一套。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2.模型的球体由聚乙烯塑料吸塑，连接杆由直径约4mm铝棒制，底座为塑料注塑成型，直径约100mm，高约60mm。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气体摩尔体积模型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1.模型采用拆装式，由1气体摩尔体积正方体组成；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2.规格：约282×282×282mm，由厚度≥2mm的透明有机玻璃构成，再用专门设计的透明塑料角联结。</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金属矿物、金属及合金标本</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各类不少于5种</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原油常见馏分标本</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不少于8种</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合成有机高分子材料标本</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不少于10种</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新型无机非金属材料标本</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1.有收纳盒和标本，标本包含氧化铝陶瓷、氮化硅陶瓷、光导纤维；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2.收纳盒尺寸：约170*120*20mm。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rPr>
                <w:rFonts w:hint="eastAsia" w:ascii="宋体" w:hAnsi="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分子立体结构模型绘制软件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CD-ROM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rPr>
                <w:rFonts w:hint="eastAsia" w:ascii="宋体" w:hAnsi="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79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量杯</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250ml，硬质采用透明玻璃制造，耐水等级≦3，铜红扩散印线，容量误差3ml，全高200±10mm，壁厚1.2mm，玻璃仪器总体要求：无内应力。</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89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滴定管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酸式，25mL，玻璃制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滴定管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酸式，50mL，玻璃制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滴定管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碱式，25mL，玻璃制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滴定管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碱式，50mL，玻璃制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移液管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φ12mm×70mm，玻璃制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Ф15mm×150mm、采用透明玻璃制造，耐水等级≦3，全长约150±2mm，外径约15±0.75mm，壁厚≥1.3mm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φ18mm×180mm，玻璃制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φ20mm×200mm，玻璃制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Ф32mm×200mm、采用透明玻璃制造，耐水等级≦3，全长约200±2mm，外径约32±0.75mm，壁厚≥1.3mm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99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φ40mm×200mm，玻璃制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具支试管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φ18mm×180mm，玻璃制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具支试管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φ20mm×200mm，玻璃制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硬质玻璃管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φ15mm×150mm，玻璃制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硬质玻璃管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φ20mm×250mm，玻璃制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燃烧管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φ25mm×300mm，玻璃制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Y形试管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φ20mm，玻璃制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06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07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08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250ml、采用3.3硼硅酸盐玻璃制造，全高约120±3mm，瓶外径约70±2mm，壁厚≥1mm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09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500ml、采用3.3硼硅酸盐玻璃制造，全高约140±3mm，瓶外径约85±2mm，壁厚≥1mm。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10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圆底，长颈，250mL，玻璃制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圆底，短颈，厚口250ml，玻璃制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圆底，长颈，500mL，玻璃制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平底，长颈，250mL，玻璃制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锥形瓶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16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锥形瓶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17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蒸馏烧瓶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18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三口烧瓶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19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酒精灯</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酒精灯</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酒精灯</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干燥塔</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气体洗瓶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抽滤瓶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抽气管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2.长约330mm，带支管</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26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干燥器</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27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气体发生器</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28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冷凝器</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直形，300mm，玻璃制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29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冷凝器</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球形，300mm，玻璃制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牛角管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弯形，φ18mm×150mm，玻璃制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漏斗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漏斗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安全漏斗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直形，玻璃制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安全漏斗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双球，玻璃制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分液漏斗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锥（梨）形，100mL，玻璃制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36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分液漏斗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球形，50mL，玻璃制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37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布氏漏斗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瓷，80mm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38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T形管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T形玻璃管，φ7mm～8mm，玻璃制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39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Y形管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φ7mm～8mm，玻璃制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40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离心管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干燥管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单球，150mm，玻璃制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干燥管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U型，φ15mm×150mm，玻璃制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干燥管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U型，φ20mm×200mm，玻璃制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干燥管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U型，具支，φ15mm×150mm，玻璃制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比色管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46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活塞</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直形，橡胶制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47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活塞</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T形，橡胶制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48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圆水槽</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φ200mm×100mm，玻璃制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49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圆水槽</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φ270mm×140mm，玻璃制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玻璃钟罩</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φ150mm×280mm，玻璃制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钴玻璃片</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作焰色反应，玻璃制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集气瓶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125mL，附毛玻璃片</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集气瓶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250mL，附毛玻璃片</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集气瓶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500mL，附毛玻璃片</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液封除毒气集气瓶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56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广口瓶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57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广口瓶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125mL，玻璃制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58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广口瓶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59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广口瓶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广口瓶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棕色，60mL，玻璃制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广口瓶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棕色，125mL，玻璃制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广口瓶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棕色，250mL，玻璃制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125mL，玻璃制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66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67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68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69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细口瓶（棕色）</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棕色，60mL，玻璃制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细口瓶（棕色）</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棕色，125mL，玻璃制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细口瓶（棕色）</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棕色，250mL，玻璃制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细口瓶（棕色）</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棕色，500mL，玻璃制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细口瓶（棕色）</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棕色，1000mL，玻璃制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细口瓶（棕色）</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棕色，3000mL，玻璃制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下口瓶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76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77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78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棕色，30mL，玻璃制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79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棕色，60mL，玻璃制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称量瓶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φ25mm×40mm，玻璃制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坩埚</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瓷，30ml</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坩埚钳</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1、不锈钢制造。总长度约为200mm；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2、钳子的夹持端为弯头，端头有齿纹，便于夹住物体，吻合一致。</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烧杯夹</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铁制烧杯夹，长约295mm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教学用镊子</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不锈钢板材制成，宽度约9㎜，长度约125±5㎜。</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试管夹</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1.木制。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2．长度约200mm，宽度约20mm，厚度约20mm。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86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水止皮管夹</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1.用直径Φ3mm的钢丝制成；做防锈处理；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2．制作光滑、平整、无缺陷；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3．夹持角度不小于60°，夹持可靠，吻合好，弹性好。</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87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螺旋皮管夹</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用钢材制成，作防锈处理。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 规格：旋钮长约34mm，主体宽约35mm、高约26mm，夹持范围最大不小于20㎜。</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88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石棉网</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由金属网和附在网上的石棉组成。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 金属网由Φ0.1㎜左右的钢丝编织而成，密度均匀，织网密度间距≤2㎜，金属网为边长≤125㎜的正方形，边缘作卷边处理。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 金属网上所附石棉圈为双面附着的正圆形，直径≥Φ100㎜，厚度约3㎜.</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89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二连球</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由橡皮手捏充气球和橡皮贮气球及橡胶导气管相连接而成。</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燃烧匙</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由半圆面和金属丝结合制成。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 半圆面为铜材制造，直径Φ为25㎜左右。光滑圆润无毛刺。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 金属丝用Φ3㎜的钢丝制造，长度约为250㎜。</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药匙</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3个1组，大中小三个，勺长分别约为12cm、13.5cm、15cm。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φ5mm～φ6mm，长约200mm，玻璃制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千克</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φ7mm～φ8mm，长约200mm，玻璃制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千克</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玻璃棒</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φ3mm～φ4mm，长约200mm，玻璃制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千克</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玻璃棒</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φ5mm～φ6mm，长约200mm，玻璃制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千克</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196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软胶塞</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用天然橡胶制造，白色0号～12号。</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千克</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197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橡胶管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产品用优质天然橡胶制造。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 产品内径为7~8㎜，壁厚1㎜。</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千克</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198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乳胶管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外径约7 mm， 内径约5 mm 弹力好，可承受拉长为自身的6倍， 回弹力100%</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199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洗耳球</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60mL，橡胶制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试管刷</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 18 mm ，手持部分顶端为环状，顶部有刷丝，铁丝不外露</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烧瓶刷</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由金属丝和绞合在其上的猪鬃毛制成。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 金属丝用约Φ3㎜左右的镀锌铁丝2根绞合，总长度不小于250㎜。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 制成的烧瓶刷呈鼓形，最大直径不小于Φ60㎜，长度不小于100㎜。</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滴定管刷</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由金属丝和绞合在其上的猪鬃毛制成，中号一个。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 金属丝用Φ3㎜左右的镀锌铁丝2根绞合，总长度不小于500㎜。</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结晶皿</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表面皿</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表面皿</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06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研钵</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瓷，60mm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07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研钵</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瓷，90mm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08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蒸发皿</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瓷，60mm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09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蒸发皿</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瓷，100mm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反应板</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至少6穴</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井穴板</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9孔，0.7mL×9</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井穴板</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 孔，5mL×6，附带双导气管的井穴 塞（ 塑料）</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塑料多用滴管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1.用能耐酸碱盐的塑料制成；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2.长约150mm，容量3ml。</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白金丝</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Φ0.5mm×50mm；具金属柄，可拆卸</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pH广泛试纸</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1〜14，80条/本</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16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蓝石蕊</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试纸</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试纸</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17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红石蕊</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试纸</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试纸</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18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淀粉碘化钾试纸</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试纸，100条/本</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19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定性滤纸</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快速，直径约9cm,100张/盒</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高中化学实验材料</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小刀、棉花、木炭、火柴、蜡烛、剪刀、焊锡、炭棒、导线、电灯泡、木板、电池、电珠、砂纸等</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份</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电极材料</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石墨、铜、锌、镁、铁、锡等电极</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一字螺丝刀</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规格：杆长约75mm，直径约4.8mm；手柄长约76mm，直径约20mm，为塑料材质。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十字螺丝刀</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规格：杆长约75mm，直径约4.8mm；手柄长约76mm，直径约20mm，为塑料材质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尖嘴钳</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长160mm，铁质。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手锤</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Style w:val="1150"/>
                <w:rFonts w:hint="eastAsia" w:ascii="宋体" w:hAnsi="宋体" w:eastAsia="宋体" w:cs="宋体"/>
                <w:color w:val="auto"/>
                <w:highlight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 规格：接触面直径20mm，手柄木质，柄长220mm。2．</w:t>
            </w:r>
            <w:r>
              <w:rPr>
                <w:rStyle w:val="1150"/>
                <w:rFonts w:hint="eastAsia" w:ascii="宋体" w:hAnsi="宋体" w:eastAsia="宋体" w:cs="宋体"/>
                <w:color w:val="auto"/>
                <w:highlight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 锤头为圆头，无毛刺，手柄光滑。3．</w:t>
            </w:r>
            <w:r>
              <w:rPr>
                <w:rStyle w:val="1150"/>
                <w:rFonts w:hint="eastAsia" w:ascii="宋体" w:hAnsi="宋体" w:eastAsia="宋体" w:cs="宋体"/>
                <w:color w:val="auto"/>
                <w:highlight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 手柄与锤头装配紧密牢固。</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26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三角锉刀</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尺寸250mm带柄</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27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剪刀</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铁制品。剪刀刃不小于80mm，总长度不小于190mm。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28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玻璃瓶盖开启器</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由内丝旋套（塑料制）及塑料手柄带螺旋钢丝组成。</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29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玻璃管切割器</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由切割头、手柄两大部分组成；总长约160mm；切割头由金属架和金刚石刻刀组成，手柄为塑料制。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工作服</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棉质，成人大小尺寸，白色。所用材料能满足日常穿用和中学实验室日常使用要求，具有一定耐穿性和牢固性，防酸碱。</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护目镜</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侧面完全遮挡，耐酸碱，抗冲击</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234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防护面罩</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由≥2mm透明有机玻璃和帽架组成。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 面罩呈弧形，宽≥210mm，深≥70mm，高≥220mm。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 能屏蔽和吸收放射性α射线和低能量β射线，能防护辐射热所引起的灼伤和酸、碱、油类化学液体、金属溶液、铁屑或玻璃碎片飞溅而引起的危害。</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耐酸型乳胶手套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耐酸型乳胶手套</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w:t>
            </w:r>
            <w:r/>
          </w:p>
        </w:tc>
      </w:tr>
      <w:tr>
        <w:trPr>
          <w:trHeight w:val="74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一次性乳胶手套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乳胶手套，25双/盒，密封无渗漏，耐刺穿，磨砂防滑。S/M/L规格可选</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r>
      <w:tr>
        <w:trPr>
          <w:trHeight w:val="8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实验防护屏</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1.三片折叠式结构，由透明度好的有机玻璃制造。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2．外形尺寸不小于650mm*360mm，厚度不小于5mm。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r>
      <w:tr>
        <w:trPr>
          <w:trHeight w:val="480"/>
        </w:trPr>
        <w:tc>
          <w:tcPr>
            <w:gridSpan w:val="5"/>
            <w:shd w:val="clear" w:color="auto" w:fill="auto"/>
            <w:tcW w:w="795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高中化学演示实验仪器清单</w:t>
            </w:r>
            <w:r/>
          </w:p>
        </w:tc>
        <w:tc>
          <w:tcPr>
            <w:gridSpan w:val="2"/>
            <w:shd w:val="clear" w:color="auto" w:fill="auto"/>
            <w:tcW w:w="671" w:type="dxa"/>
            <w:vAlign w:val="center"/>
            <w:textDirection w:val="lrTb"/>
            <w:noWrap/>
          </w:tcPr>
          <w:p>
            <w:pPr>
              <w:ind w:left="0" w:right="0"/>
              <w:jc w:val="both"/>
              <w:keepLines w:val="0"/>
              <w:keepNext w:val="0"/>
              <w:spacing w:before="0" w:beforeAutospacing="0" w:after="0" w:afterAutospacing="0"/>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W w:w="870" w:type="dxa"/>
            <w:vAlign w:val="center"/>
            <w:textDirection w:val="lrTb"/>
            <w:noWrap/>
          </w:tcPr>
          <w:p>
            <w:pPr>
              <w:ind w:left="0" w:right="0"/>
              <w:jc w:val="both"/>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容量器</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50mL，分度值2mL，刻度清晰</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 mm±0.5mm，—端长度为55mm±2mm，一端长度约85mm，形状为直角，管口烧结处理，避免划伤</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外径∅8 mm±0.5mm，内径∅5 mm±0.5mm，壁厚1.5mm，长度80mm±2mm，管口烧结处理，避免划伤</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蓝色钴玻璃片</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特殊的观火玻璃，≥50mm×50mm×3mm，表面不平整，有丝纹麻点，装在透明的塑料盒内，外盒尺寸：≥57mm×61mm×17mm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铂丝棒</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金属丝连接棒：塑料手柄，黄铜镀镍材质，铜棒直径3.8mm，杆长185mm±2mm，丝长50mm±2mm 直径0.2mm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泥三角</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陶瓷材质，产品由三根直径11mm±0.5mm，长55mm±2mm陶瓷管用铁丝连接成三角形</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瓷坩埚</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瓷制，30mL，耐热≥1200°C，内外壁光滑，外壁涂釉，配有坩埚盖，坩埚平底直径24mm±0.5mm，口部直径42mm±0.5mm，内径38mm±0.5mm，盖盖后产品尺寸为：直径49mm±0.5mm×高58mm±2mm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升降台</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铝制（100mm±2mm）×（100mm±2mm），防腐蚀，易清洁，结构牢固，升降平稳，黑色调节旋钮，可以根据需求轻松调节高度，升降范围在：45mm～145mm之间</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集气瓶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125mL，透明钠钙玻璃制</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毛玻璃片</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（50mm±2mm）×（50mm±2mm），透明钠钙玻璃制，磨砂面应均匀地覆盖瓶口端面与盖板，磨砂面不应有光斑；盖板四角应倒角，四边应磨光，盖板与瓶口充分湿润盖合后，倒提瓶体盖板在瓶口上保持30s不脱落</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片</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鲁尔阀</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两通阀－蓝柄无锁帽</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长颈圆底烧瓶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250mL，透明硼硅酸盐玻璃制。</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具支试管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透明硼硅酸盐玻璃制，管底厚薄应均匀，支管连接应平滑牢固，不应有偏歪，直径20mm±0.5mm×200mm±0.5mm，具支直径10mm×26mm±0.5mm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Φ30 mm±0.5mm×200mm±2mm，壁厚2mm，透明高硼硅玻璃制，口部做卷边处理</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橡皮塞</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橡胶材质，锥形，14mm±0.5mm（底部直径）×20mm±0.5mm（顶部直径）×28.5mm±0.5mm（高度） ，无孔</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外径∅8mm±0.5mm，内径∅5mm±0.5mm，壁厚1.5mm,—端长度为60mm±2mm，一端长度为30mm±2mm，中间一段长100mm±2mm,60mm±2mm一节呈90度角，30mm±2mm一端与中间一段呈30度角，管口烧结处理，避免划伤</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红色石蕊试纸</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碱性溶液（pH&gt;8）使红色试纸变蓝 100条/盒，尺寸为：≥73mm×30mm×15mm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止水夹</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 1～3 mm 钢丝制成，做防锈处理，夹持角度 ≥60° ， 弹性好，不漏液。2个/盒，透明塑料盒尺寸：≥56mm×53mm×12mm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外径∅8 mm±0.5mm，内径∅5 mm±0.5mm，壁厚1.5mm，长度约200mm，尖嘴口内径2 mm，直形，管口烧结处理，避免划伤</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橡皮塞</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橡胶材质，锥形，22mm±0.5mm（底部直径）×30mm±0.5mm（顶部直径）×28.5mm±0.5mm（高度）， 双孔，孔径8mm±0.5mm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蒸馏头</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透明硼硅酸盐玻璃制，用于蒸馏实验用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牛角管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透明硼硅酸盐玻璃制，口部磨口24/29mm，弯形，弯管直径为10mm±0.5mm，长80mm±2mm, 尖嘴处厚度2mm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冷凝管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口径Φ24 mm±0.5mm，外径Φ 35 mm±0.5mm，总长380 mm±2mm，不同侧有具支接口，透明高硼硅玻璃制。</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分液漏斗梨形</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梨形125mL，透明硼硅酸盐玻璃制</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铝箔纸</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450*450mm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盐桥</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间距30mm±2mm ，尺寸≥15mm×130mm ，管口内径13mm±0.5mm，有配套的乳白色橡胶塞， 溶液由琼脂+氯化钾组成</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短柄药勺</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红、黄、绿三种颜色。三尺寸分别为：123mm±2mm 、135mm±2mm、150mm±2mm，材质塑料</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碘化钾试纸</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用于检验次氯酸钠、氯气、溴蒸气，亚硝酸等物质，由无色变为蓝色，不宜在＞40℃的条件下使用，尺寸为：≥73mm×30mm×15mm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表面皿</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直径60mm±0.5mm，玻璃厚度2mm，内凹约5mm无色透明硼硅酸盐玻璃制</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培养皿</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无色透明玻璃制，总体尺寸：直径98mm±0.5mm×高21mm±2mm，底外径90mm±0.5mm，高19mm±2mm，盖外径98mm±0.5mm，高17mm±2mm，壁厚1～2mm，薄厚均匀，耐高温高压</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圆底烧瓶短颈</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250mL，透明硼硅酸盐玻璃制，底部球直径84mm±0.5mm，口径31mm±0.5mm，总高136mm±2mm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蓝色石蕊试纸</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酸性溶液（pH&lt;4.5）使蓝色试纸变红 ,100条/盒，尺寸为：≥73mm×30mm×15mm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玻璃板</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透明玻璃材质≥200mm×150mm，厚度1.5mm～2.0mm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化学准备室</w:t>
            </w:r>
            <w:r/>
          </w:p>
        </w:tc>
      </w:tr>
      <w:tr>
        <w:trPr>
          <w:trHeight w:val="351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准备台</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规格：3600mm×750mm×800mm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1、台面：采用≥12.7mm厚实芯理化板制作，切割处正反面去毛刺切口打磨平整。表面有良好的耐腐蚀性及具有良好的承重性能。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2、柜体：全钢结构，上抽下门设计，采用≥1.0mm高强度镀锌钢板，切割折弯成型焊接打磨平整，表面经环氧树脂喷涂处理。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3、门板及抽面：采用双层结构，组装式设计，保证单层钢板双面都喷涂处理，门板中间填充隔音材料，减少关门时产生的噪声。防撞胶垫：装于抽屉及门板内侧，减缓碰撞，保护柜体。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4、拉手：采用一字拉手。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5、不锈钢防腐合页：采用优质不锈钢模具一体成型。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6、防腐三节静音导轨：三节滚珠滑轨，承重性强，滑动顺滑。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7、固定桌脚：采用柜体内置可调ABS调整脚，保证调整脚前后都可以调节高低。</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757"/>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挡水条</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采用≥12.7mm厚实验室专用理化板。</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实验室专用水槽</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规格：550mm×450mm×300mm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采用PP一体化成型水槽，易清洁，耐腐蚀特点。</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73"/>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三联高低位龙头</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鹅颈式实验室专用优质化验水嘴：主体采用铜质，表面环氧树脂喷涂。阀芯采用陶瓷阀芯，配置一个高位水龙头，两个低位水龙头，便于多用途使用。</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4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实验室专用试剂架</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规格：1700mm×200mm×750mm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1、铝合金结构，表面喷涂高温固化匀乳白环氧树脂喷涂处理，具有较强的耐蚀性能，上下带塑胶模具堵头；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2、试剂架立柱截面尺寸：≥42mm×82mm，型材壁厚≥1.2mm；试剂架立柱双面升降槽，侧面双面镶嵌另色色条；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3、试剂架托架≥1.0mm高强度镀锌钢板，一次性冲压成型；试剂架护栏：护栏壁厚≥1.2mm，单面镶嵌另色色条。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4、立杆牢固固定于C型钢架底端，层板采用≥8mm厚的玻璃，安装后用户可根据试剂大小上下高低无级调节。</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86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滴水架</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1、整体采用PP材质，耐腐蚀性能好，抗紫外线辐射强，不易老化、脆化，韧性强，弹性好，易于安装。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2、滴水架主体与集水盘由模具注塑一体成型（非PP板焊接而成）。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3、滴水棒卡扣与主板卡槽紧密契合，不易松动，极好地保护实验器具。</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4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实验室专用洗眼器</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1、双眼洗眼器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2、洗眼喷头：采用不助燃PC材质模铸一体成形制作，具有防尘功能，上面防尘盖平常可防尘，使用时可随时被水冲开，并降低突然打开时短暂的高水压，避免冲伤眼睛。</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付</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1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药品柜</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规格：1000mm×500mm×1970mm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1、PP材质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2、柜体：侧板、顶底板采用改性PP材料增加强度，注塑模一次性成型，表面沙面和光面相结合处理，保证柜体之坚固及密封性，耐腐蚀性强。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3、下储物柜门：内框采用改性PP材质注塑模一次成型，外嵌≥4.6mm厚钢化烤漆玻璃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4、上柜视窗门：内框采用改性PP材质注塑模一次成型，外嵌≥4.6mm厚钢化烤漆玻璃，中间烤漆镂空制作。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6、门把手：采用经过改性PP材质注塑模一次成型，与柜门平行，开启方便。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7、门铰链：采用经过射出成型的PP材料制成，耐腐蚀性好。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8、螺丝：PP材质，可选不锈钢304材质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9、备注：可以用于各种腐蚀性化学品的储存，如硫酸、盐酸、硝酸、乙酸、硫磺酸等</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933"/>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阶梯药品柜</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规格：1000mm×500mm×1970mm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1、PP材质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2、柜体：侧板、顶底板采用改性PP材料增加强度，注塑模一次性成型，表面沙面和光面相结合处理，保证柜体之坚固及密封性，耐腐蚀性强。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3、下储物柜门：内框采用改性PP材质注塑模一次成型，外嵌≥4.6mm厚钢化烤漆玻璃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4、上柜视窗门：内框采用改性PP材质注塑模一次成型，外嵌≥4.6mm厚钢化烤漆玻璃，中间烤漆镂空制作。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5、层板：上部配置阶梯层板，下部配置一块活动层板，层板全部采用改性PP材质注塑模一次成型，表面沙面和光面相结合处理，承重力强。整体设计为活动式，可随意抽取放在合适的隔层，自由组合各层空间。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6、门把手：采用经过改性PP材质注塑模一次成型，与柜门平行，开启方便。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7、门铰链：采用经过射出成型的PP材料制成，耐腐蚀性好。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8、螺丝：PP材质，可选不锈钢304材质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9、备注：可以用于各种腐蚀性化学品的储存，如硫酸、盐酸、硝酸、乙酸、硫磺酸等</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17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小推车</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规格：600mm×450mm×850mm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层板内空净尺寸长宽≥550mm×400mm，双层层板设计，板材厚度≥0.75mm304不锈钢，立柱采用≥Φ28mm圆管，厚度≥1.0mm，二层之间层间距≥440mm，护栏采用≥16mm不锈钢，高≥70mm，每层加强横梁1根，单层载重不小于150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2、推手通过专用模具成型和立柱为一体式设计，便于推动，握感舒适，整体焊接后打磨抛光处理。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3、配件：优质静音万向轮，360°全方位旋转，其中2只带刹车功能，移动方便，安全更耐用。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4、产品采用焊接连接方式、经打磨抛光处理，无毛刺不刮手。</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9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储藏桶</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全新料，防泄漏，密封强，耐腐蚀，耐酸碱桶</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05"/>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规格：430mm×530mm×110mm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含托盘，PP材质，注塑成型，载重36KG</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215"/>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圆形桶</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采用开口冷轧板，镀锌圆形桶</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3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手提式干粉灭火器</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1、商品剂量：士0.05KG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2、喷射距离：≥3.5CM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3、灭火级别：1A/21B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4、使用温度：-20°C~+50°C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5、瓶身材质：钢材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6、干粉保质：5年</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3093"/>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通风柜</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规格：≥1500mm×850mm×2350mm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1、结构组合：采用三段组合式柜体，上部柜体（通风柜），中间（操作台面），下部柜体内含单侧独立抽气式组成柜及另侧独立水、电、气体管线系统容纳柜设计。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2、外壳：全钢结构，采用≥1.0mm高强度镀锌钢板，表面经环氧树脂喷涂处理。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3、内壳：采用≥5mm厚耐酸碱、耐高温的抗倍特板制作。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4、台面：采用≥12.7mm厚实芯理化板制作，切割处正反面去毛刺切口打磨平整。表面有良好的耐腐蚀性及具有良好的承重性能。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5、照明：采用≥30W日光灯，并设有≥5mm厚磨砂玻璃。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6、移门拉手：采用铝合金一字拉手。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7、气流板：采用≥5mm厚抗倍特板，安装位置与角度满足排气顺畅。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8、化验水斗：采用PP制作，耐酸碱一体成型小水杯。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9、化验水嘴：采用实验室专用单口烤漆水嘴。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10、窗口：采用≥6mm厚的防爆钢化玻璃。内部采用垂体平衡装置，可以停留在上下任何位置。</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8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防爆离心风机</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1.材质：玻璃钢材质</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3.风机风量：≥1688-3517m³/h。</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4.风压: ≥1300-739Pa。</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5.转速: ≥2900(r/ mim)。</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6.功率: ≥2.2kW/380V。</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59"/>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风帽</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5#，PP材质，具有防雨功能，风阻小。配套防爆离心风机使用。</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6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进风口软接头</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材质：软质PVC，尺寸：φ500mm—300mm*250mm</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6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不锈钢开关</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材质：不锈钢，尺寸：300mm*250mmH，</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12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室内行程通风管道</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室内通风主管道、支管道均采用pp防腐蚀材质，严密性高等优点，同时具有耐酸碱性能，由大小管道组成。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主管道：定制风管，具有整体结构性能好，满足实验室通风要求，接口保证无漏风；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室内支管：采用De200及De160管道连接至通风设备，米数≥15米，具有整体结构性能好，满足实验室通风要求，接口保证无漏风。</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12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室外行程通风管道</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室外管道，采用防腐蚀PP材质，具有整体结构性能好、严密性高等优点大小管道组成，各主管风速小于12m/s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配套规格：φ315mm或400mm*250mm。根据现场风井选用相应规格。米数≥20米。</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1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风机电缆线、控制线</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1、单芯标称截面积 4mm²，共3芯；单芯标称截面积 2.5mm²，共2芯，米数共计≥150米。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2、导体材质：多股绞合软铜导体，导电性能优异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3、绝缘护套：双层 PVC 材质，绝缘、耐磨且柔韧性好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4、外观特性：圆形护套，整体柔软</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8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智能变频时控控制电箱</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电箱尺寸不小于300*400*200mm，内含空开交流接触器散热风扇，变频调速系统：变频器：2.2KW,3个点，时间定时控制系统：含时控开关、配套继电器，实现手动、自动可以切换</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465"/>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耗材及附件</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1、包含通风风管整体安装施工、配套专用支吊架制作安装作业；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2、配齐专用安装固定螺杆及全套紧固连接件，规格匹配现场安装工况；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3、风管拼接部位统一加装耐温密封垫片，保障接口密封严实、无漏风渗气；</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4、所有安装辅材、固定件、密封配件均随安装工序同步配齐到位，整体完工交付。</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7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废气净化装置</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1.箱体大小: ≥W800×D1000×H800mm。</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2.处理风量≥4000 立方米每小时。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3.主要由活性炭层和承托层组成，具有很高的吸附能力，且吸附剂维护更换方便。</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4.内置活性炭过滤模块。</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实验室顶部造型</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1、轻钢龙骨，石膏板艺术造型，铝方通造型，铝扣板造型。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2、顶面刮白，乳胶漆涂料。</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平方米</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危化品室</w:t>
            </w:r>
            <w:r/>
          </w:p>
        </w:tc>
      </w:tr>
      <w:tr>
        <w:trPr>
          <w:trHeight w:val="27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常规毒品柜</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规格：≥900mm×510mm×2000mm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1、门类型：双开门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2、毒品柜外壳体全部采用≥1.2mm的冷轧钢板，柜体底座采用≥2.0mm的冷轧钢板，内外表面经环氧树脂粉末喷涂，烘热固化处理。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毒品柜体内胆均采用PP（聚丙烯树脂）板，厚度≥4mm；柜底部设置进风口，进风口配有PP（聚丙烯树脂）旋转式可调风阀；柜体的底板中部有≥Φ10mm漏液孔，漏液孔上面盖上60目304不锈钢网；柜体底部设≥h=160mm黄沙（防倒）挡板，柜体内部最下层留有可以存放不少于120mm厚黄沙的填埋腔，用于埋放金属钠、黄磷（白磷）等易燃物品。</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4、柜底装有四个移动尼龙轮，便于易燃品毒害品储存柜移动；前轮后有2个手动调节螺杆，方便危化品储存柜定位。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柜中部有≥3个一次成型聚丙烯活动层板，层板四周边缘厚度平均值不小于4.4mm；每层阶梯板外延边有积液槽，积液槽高度平均值大于3.4mm，最大可能防止液体外溢；每个搁板靠背板处有一排导风口，阶梯高度不小于50mm（包括积液盘的高度）PP层板（非柜体所用板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6、柜顶部开出风口，配一次成型PP法兰（适配管道直径160mm），柜顶风口内置一个AC 50HZ 0.18A轴流风机，最大风量245m3/h，转速2550转/min，环境温度（-10～+70）摄氏度，无火花静电，当毒品柜通电前要把柜门下面中间的进风口推置打开状态。</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7、密封件：柜体门与柜体之间应安装防火膨胀密封件。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8、陶瓷纤维棉：柜体应填充具有保温隔热作用的陶瓷纤维棉。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9、铰链：铰链应为钢琴式铰链，确保门能开180度。                                                                                                                                               </w:t>
            </w:r>
            <w:r>
              <w:rPr>
                <w:rFonts w:hint="eastAsia" w:ascii="宋体" w:hAnsi="宋体" w:eastAsia="宋体" w:cs="宋体"/>
                <w:i w:val="0"/>
                <w:iCs w:val="0"/>
                <w:color w:val="auto"/>
                <w:sz w:val="22"/>
                <w:szCs w:val="22"/>
                <w:highlight w:val="none"/>
                <w:u w:val="none"/>
                <w:lang w:val="en-US" w:eastAsia="zh-CN" w:bidi="ar"/>
              </w:rPr>
              <w:t xml:space="preserve">                     10、电子密码锁：配备《机械防盗锁》标准的B级机械钥匙锁及高保密性电子密码锁，实现双人双锁管理，同时锁具具有开锁记录查询功能及隐码功能；天地锁锁舌选用坚韧且有弹性的高分子合成塑料制成，耐磨且抗腐蚀性能极强。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11、通风控制装置：柜体底部应设置进风口及可调风阀，可调风阀旋转灵活，并能控制风量大小。通风管道口径宜采用≥Φ160mm，通风管应耐高温、阻燃、耐腐蚀。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12、温湿度报警装置：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12.1高灵敏度电化学探头，精确度高、响应快、稳定性强，探头测量精度不超过±5%。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12.2高精度探头，精确监测温湿度：柜顶应配置温湿度控制器，对柜内相对温湿度实时监控，操作屏可自行设定测量值，柜内的温湿度如超过设定的测量值及时报警提示，同时风机启动，直至低于设定值，风机停止运行或低速运行。温度启控-10～70℃，湿度启控0～99.9％RH；时控开关，能根据用户设定的时间自动打开和关闭风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12.3集时控开关、温湿度值于一体的≥4.3英寸嵌入式一体化触摸屏，防水、防腐蚀，可触摸控制，方便老师操作。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12.4对于温湿度的监测，用户可自行设置合适的报警点，提高实验室安全等级。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13、配备接地装置实现完全接地。</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17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双门柜</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w:t>
            </w:r>
            <w:r>
              <w:rPr>
                <w:rFonts w:hint="eastAsia" w:ascii="宋体" w:hAnsi="宋体" w:cs="宋体"/>
                <w:i w:val="0"/>
                <w:iCs w:val="0"/>
                <w:color w:val="auto"/>
                <w:sz w:val="22"/>
                <w:szCs w:val="22"/>
                <w:highlight w:val="none"/>
                <w:u w:val="none"/>
                <w:lang w:val="en-US" w:eastAsia="zh-CN" w:bidi="ar"/>
              </w:rPr>
              <w:t xml:space="preserve">1200</w:t>
            </w:r>
            <w:r>
              <w:rPr>
                <w:rFonts w:hint="eastAsia" w:ascii="宋体" w:hAnsi="宋体" w:eastAsia="宋体" w:cs="宋体"/>
                <w:i w:val="0"/>
                <w:iCs w:val="0"/>
                <w:color w:val="auto"/>
                <w:sz w:val="22"/>
                <w:szCs w:val="22"/>
                <w:highlight w:val="none"/>
                <w:u w:val="none"/>
                <w:lang w:val="en-US" w:eastAsia="zh-CN" w:bidi="ar"/>
              </w:rPr>
              <w:t xml:space="preserve">mm×1090mm×460mm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1、门类型：双开门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2、柜体厚度≥1.0mm优质冷轧钢板经过完全焊接，非铆接的构造结实牢固，延长使用寿命，并且由于减少了空隙，能够在火灾中提供更多的保护。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3、柜体采用双层钢板结构，两层钢板之间相隔有≥35mm的空气绝缘层，可有效隔离热源，柜子内外经后进行环氧树脂粉末静电喷涂，烘热固化处理。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4、柜中部配有2块镀锌层板，可上下调节，防液漏，最大可承托400lbs的钢制安全罐。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5、电子密码锁：可实现双人双锁管理，锁具经安部权威认证，同时锁具具有开锁记录查询功能及隐码功能；天地锁锁舌选用坚韧且有弹性的高分子合成塑料制成，耐磨且抗腐蚀性能极强。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6、铰链：铰链应为钢琴式铰链，确保门能开180度。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7、柜体两侧一上一下装设有防闭火装置的双透气孔；方便空气排散，防止有害气体聚集。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8、柜身设有静电接地传导端口，方便连接静电接地导线，防止静电聚集产生火花风险；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9、配备接地装置实现完全接地。</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9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储存桶</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全新料，防泄漏，密封强，耐腐蚀，耐酸碱桶</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241"/>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规格：≥430mm×530mm×110mm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托盘，PP材质，注塑成型，载重36KG</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r>
      <w:tr>
        <w:trPr>
          <w:trHeight w:val="117"/>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圆形桶</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采用开口冷轧板，镀锌圆形桶</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16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手提式干粉灭火器</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1、商品剂量：士0.05KG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2、喷射距离：≥3.5CM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3、灭火级别：1A/21B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4、使用温度：-20°C~+50°C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5、瓶身材质：钢材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6、干粉保质：5年</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9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散流器</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ABS材质</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8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PP离心风机</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功率；2.2KW，风量；3856—7728m³/h，压头：790—502Pa，转速；1440转/分，电压：380V</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59"/>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风帽</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5#，PP材质，具有防雨功能，风阻小。</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6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进风口软接头</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De500/300mm*250mmH，软质PVC</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6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不锈钢开关</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300mm*250mmH，不锈钢材质</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6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室内行程通风管道</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1.排风系统管道尺寸≥150mm，设备排风通过排风管路与试剂柜排风口连接，并且按照试剂类型分系统进行处理。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2.材质：采用厚度≥3.5mm阻燃 PP 材质管道，管道长度根据现场布局情况制作。PP管道阻燃级别，可耐酸碱腐蚀、耐有机溶剂蒸汽腐蚀、耐老化。其中 PP 管道板材的垂直燃烧级别达到 V-0等级，不含二甲苯等可溶物。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3.排风系统管道方案设计时减少连接环节，减少系统漏风概率。</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4.排风系统风管厚度和强度满足国家标准要求，要求排风管道表面光滑、美观、布局及连接整齐，风管的安装满足国家标准要求。风管水平安装时，直径或长边尺寸≥400 mm，吊架间距≥2.5m。风管垂直安装时，间距≥2m，每根立管有两个固定点</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6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室外行程通风管道</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室外管道，采用防腐蚀PP材质，具有整体结构性能好、严密性高等优点大小管道组成，各主管风速小于12m/s</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7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风机电缆线、控制线</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1、单芯标称截面积 4mm²，共3芯；单芯标称截面积 2.5mm²，共2芯，米数共计≥150米。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2、导体材质：多股绞合软铜导体，导电性能优异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3、绝缘护套：双层 PVC 材质，绝缘、耐磨且柔韧性好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4、外观特性：圆形护套，整体柔软</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8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智能变频时控控制电箱</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电箱尺寸不小于300mm*400mm*200mm，内含空开交流接触器散热风扇，变频调速系统：变频器：2.2KW,3个点，时间定时控制系统：含时控开关、配套继电器，实现手动、自动可以切换</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耗材及附件</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1、包含通风风管整体安装施工、配套专用支吊架制作安装作业；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2、配齐专用安装固定螺杆及全套紧固连接件，规格匹配现场安装工况；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3、风管拼接部位统一加装耐温密封垫片，保障接口密封严实、无漏风渗气；</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4、所有安装辅材、固定件、密封配件均随安装工序同步配齐到位，整体完工交付。</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7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活性炭废气处理器</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活性炭废气处理器，处理风量：3000m</w:t>
            </w:r>
            <w:r>
              <w:rPr>
                <w:rFonts w:hint="eastAsia" w:ascii="宋体" w:hAnsi="宋体" w:eastAsia="宋体" w:cs="宋体"/>
                <w:i w:val="0"/>
                <w:iCs w:val="0"/>
                <w:color w:val="auto"/>
                <w:sz w:val="22"/>
                <w:szCs w:val="22"/>
                <w:highlight w:val="none"/>
                <w:u w:val="none"/>
                <w:vertAlign w:val="superscript"/>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①、吸附单元在设备箱体内分层格栅式安装，要求能够非常方便地检修及更换。吸附单元选用硬PP板材制作。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②、检查门开启方便，密封严密。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③、进出气口是法兰式接口，可以连接风管。风管连接工艺采用法兰连接方式，法兰之间连接应有3㎜的橡胶垫皮，起到密封作用。</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52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安装防护系统装置</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危化品室防火门</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1.门扇结构为1.0mm厚钢板+1.5mm厚钢板+钢骨架（骨架钢板厚2.0mm，分布间格200mm×300mm）+1.0mm厚钢板，中间填充物为岩棉；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2.门框采用2.0mm厚钢板制作；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3.门扇铰链侧有4个明轴铰链和3个固定栓，门扇开启侧4个，上、下侧各1个活动门栓，活动门栓直径20.0mm，伸出长度22.0mm；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4.门扇上安装2把机械防盗锁，锁具安装部位有3.0mm厚钢板加强防护；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5.锁体内嵌门体内，由锁栓顶压锁定机构控制门栓，门扇上安装的按压式手柄由1把机械防盗锁实施控制；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6.门框厚度：1.98mm，外面板厚度：0.98mm+1.48mm，内面板厚度：0.98mm；</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钢制隔热防火门</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1.产品名称：钢制防火门；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2.产品材质：钢制；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3.产品颜色：多色可选；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4.产品规格：可根据需要定制；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5.产品作用：防火抑制火势蔓延；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6.产品特点：耐火、防腐蚀、防氧化；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7、耐火时间：≥1.5小时；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8、门板厚度≥0.8mm、门框厚度≥1.2mm；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9、达到能A1级要求燃烧；达到产烟毒性危险分级ZA₂级要求；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10、形位公差：门扇两对角线长度差≤3mm；门扇扭曲度≤5mm，门扇宽度方向弯曲度&lt;2.0‰；门扇高度方向弯曲度&lt;2.0‰；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11、配合公差：门扇与门框搭接尺寸≥12；门扇与门框有合页一侧的配合活动间隙不大于设计图纸规定的尺寸公差。</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防盗窗</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由窗，扇框架、玻璃等组成，窗框架使用≥40mm×80mm×2.0mm方钢管制作，扇框架使用40mm×60mm×2.0mm方钢管制作；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玻璃使用标称厚度13mm厚夹胶玻璃，玻璃结构为6mm厚玻璃+0.76mm 厚胶+6mm 厚玻璃。窗扇背面上端有2个明铰链；</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下端安装2块磁铁。固定架使用≥50mm×70mm×2.0mm方钢管焊接制作。</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08"/>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危化品室文化建设</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试剂库标签、信息门牌</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404"/>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定制插座</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1.额定电压：AC220V；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2.额定电流：≥16A；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3.外壳防护等级：IP66。</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定制开关</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1.额定电压：AC220；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2.额定电流：1</w:t>
            </w:r>
            <w:r>
              <w:rPr>
                <w:rFonts w:hint="eastAsia" w:ascii="宋体" w:hAnsi="宋体" w:cs="宋体"/>
                <w:i w:val="0"/>
                <w:iCs w:val="0"/>
                <w:color w:val="auto"/>
                <w:sz w:val="22"/>
                <w:szCs w:val="22"/>
                <w:highlight w:val="none"/>
                <w:u w:val="none"/>
                <w:lang w:val="en-US" w:eastAsia="zh-CN" w:bidi="ar"/>
              </w:rPr>
              <w:t xml:space="preserve">0</w:t>
            </w:r>
            <w:r>
              <w:rPr>
                <w:rFonts w:hint="eastAsia" w:ascii="宋体" w:hAnsi="宋体" w:eastAsia="宋体" w:cs="宋体"/>
                <w:i w:val="0"/>
                <w:iCs w:val="0"/>
                <w:color w:val="auto"/>
                <w:sz w:val="22"/>
                <w:szCs w:val="22"/>
                <w:highlight w:val="none"/>
                <w:u w:val="none"/>
                <w:lang w:val="en-US" w:eastAsia="zh-CN" w:bidi="ar"/>
              </w:rPr>
              <w:t xml:space="preserve">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3.外壳防护等级：IP66。</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防爆声光报警器</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1、外观≥160mm*210mm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2、管道19.5mm孔径8.7mm底座直径107mm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1、高硼硅钢化玻璃灯罩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2、高分贝蜂鸣器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3、抗摔网罩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4、铝合金压铸壳体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5、标准密封圈</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产品参数：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1、工作电压：12V/24V/220V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2、声音分贝：≥110dB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3、功率：≥10W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4、防护等级：IP66</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5、产品净重：≥1.3kg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6、防爆标志：Exe IICT4 Gb；Ex  lIC T80'C Db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7、工作方式：LED模拟旋转，蜂鸣器发声</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防爆应急标志灯</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防爆应急灯的核心参数主要包括防爆性能、应急功能和电气规格：防爆标志如 Ex db II C T6 Gb（适用于气体环境，T6表示设备表面≤85℃，安全性高）和 Ex tb IIIC T80℃ Db（适用于粉尘环境），防护等级通常要求 IP65 或 IP67（防尘防水）；应急功能需满足 应急照明时间 ≥90分钟</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LED防爆照明灯</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1.产品材质：外壳材质为ADC12铝合金，玻璃罩材质为钢化玻璃；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2.产品电压：AC220V；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3.功率：≥70W；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4.防护等级：IP66。</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10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防爆挠性软管</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防爆挠性软管+镀锌</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11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strike w:val="0"/>
                <w:color w:val="auto"/>
                <w:sz w:val="22"/>
                <w:szCs w:val="22"/>
                <w:highlight w:val="none"/>
                <w:u w:val="none"/>
                <w:lang w:val="en-US" w:eastAsia="zh-CN" w:bidi="ar"/>
              </w:rPr>
              <w:t xml:space="preserve">防爆防腐配电装置</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电控柜防护等级不低于IP65。防爆等级达到ExdII BT6，外壳材料铝合金壁挂式，经环氧树脂涂装。</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室内自动灭火装置（悬挂式七氟丙烷气体灭火装置）</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升到68度自动灭火，灭火原理空气阻断，对设备电气化学品不会产生二次污染。</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13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防爆温湿度检测仪</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量程：-40~+80℃，0—100%RH；示值误差≤±5℃，湿度≤±1%RH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分辨率0.1℃，1%RH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响应时间≤30s（T90）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恢复时间≤30s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LED显示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防爆等级ExdIIC T6.1.防爆级别： ≥EXdIIBT4Gb。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2.检测库内温湿度情况，并自动同步联动风机进行紧急排风。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3.检测到的实时信息以及超限报警信息须集中到一个管控平台进行管理。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4.报警方式包括现场声光报警，手机移动端、PC 端等推送实时数据报警等。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5.防爆传感器外壳防护等级试验通过≥IP66。</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6.外壳耐压通过 1.5倍参考压力的动力试验，热试验最高温度≤49℃。</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14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点型可燃气体探测器</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1.检测原理：催化燃烧，传感器寿命：≥2 年。</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2.响应时间: T90≤20s。</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3.重复性: 典型值±2%FS; 精度: ±1%FS。</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4.电磁兼容:符合国标GB 16838的要求。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5.信号输出: ISBUS 四总线输出, 支持 Modbus RTU 485及无线拓展。</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6.继电器输出：两组常开继电器。</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7.带联动风机功能。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8.电气接口: 本体≥2 个 NPT1/2 (内螺纹)接口。</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9.工作温度: - 40℃~70℃(可燃)。</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10</w:t>
            </w:r>
            <w:r>
              <w:rPr>
                <w:rFonts w:hint="eastAsia" w:ascii="宋体" w:hAnsi="宋体" w:eastAsia="宋体" w:cs="宋体"/>
                <w:i w:val="0"/>
                <w:iCs w:val="0"/>
                <w:color w:val="auto"/>
                <w:sz w:val="22"/>
                <w:szCs w:val="22"/>
                <w:highlight w:val="none"/>
                <w:u w:val="none"/>
              </w:rPr>
              <w:t xml:space="preserve">.防护等级: ≥IP66。</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15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防爆控制系统</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1.1套智能控制系统装置,1套远传报警系统设备PLC，1套装置系统控制系统采用编程逻辑控制器(PLC)+软件管理系统系统完成电气和仪表部分的自动控制与监控管理</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2.控制系统在应急情况下可使用实体键进入应急模式，控制照明、排风、废气净化、</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空调等基本功能。控制系统采用编程逻辑控制器(PLC)+远程监控及操控+软件管理系统，系统完成电气和仪表部分的自动控制与监控管理，提供实验室废弃物暂存柜云控制系统软件证明文件扫描件。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3：集成以太网口可与PLC进行通讯（最多可连接4台）隔离串口网口可以支持大多数PLC的以太网协议和标准的MODBUS，预留TCP协议以及网口自定</w:t>
            </w:r>
            <w:r>
              <w:rPr>
                <w:rFonts w:hint="eastAsia" w:ascii="宋体" w:hAnsi="宋体" w:eastAsia="宋体" w:cs="宋体"/>
                <w:i w:val="0"/>
                <w:iCs w:val="0"/>
                <w:color w:val="auto"/>
                <w:sz w:val="22"/>
                <w:szCs w:val="22"/>
                <w:highlight w:val="none"/>
                <w:u w:val="none"/>
              </w:rPr>
              <w:t xml:space="preserve">义协议，可根据客户要求联网并可以实现远程监控功能，手机和电脑端无需开发，即可生成与触摸屏一样的画面，短信或电话报警当柜内浓度高于15ppm时，智能安全系统将自动启动强制排风系统。当柜内浓度高于18ppm时，智能安全系统将启动声光报警灯，报警灯为磁吸款220v，红色有声可闪光，同时通过云控制平台给用户发警示短信或者打警示电话。集成以太网口可与 S7-200 系列 PLC 进行通讯（最多可连接 4 台）隔离串口网口可以支持大多数 PLC 的以太网协议和标准的 MODBUS 预留 TCP 协议以及网口自定义协议。</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16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防爆摄像仪</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1.额定电压：AC220V；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2.额定电流：500mA；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3.防爆标志：ExdbICT6Gb、ExtbI1ICT80CDb；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4.外壳防护等级：IP68（水深1m，1h）；</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2</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17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定制入侵报警平台</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红外报警探测系统</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1.防爆级别： ≥EXdⅡBT4Gb。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2.壳体采用铝合金压铸成型，表面高压静电喷塑。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3.钢化玻璃外罩，不锈钢外露紧固件，防护网罩采用镀锌后表面喷塑，双重防腐。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4.频闪频率： ≥60 次/ min。</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5.声响强度： 100-115dB。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6.含设备安装及实现其功能所必须的辅材。</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18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防爆排风扇</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ExdⅡBT4</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19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防静电装置（防爆防腐配电装置）</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1.额定电压：AC220V；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2.额定电流：200A；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3.防爆标志：Ex dbⅡB T6 Gb、Ex tb ⅢC T80℃ Db；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4.产品组成：产品为隔爆外壳型结构，同时也是防粉尘点燃外壳结构，由上盖、壳体等组成，内装接线端子，壳体装有引入装置</w:t>
            </w:r>
            <w:r>
              <w:rPr>
                <w:rFonts w:hint="eastAsia" w:ascii="宋体" w:hAnsi="宋体" w:cs="宋体"/>
                <w:i w:val="0"/>
                <w:iCs w:val="0"/>
                <w:color w:val="auto"/>
                <w:sz w:val="22"/>
                <w:szCs w:val="22"/>
                <w:highlight w:val="none"/>
                <w:u w:val="none"/>
                <w:lang w:val="en-US" w:eastAsia="zh-CN" w:bidi="ar"/>
              </w:rPr>
              <w:t xml:space="preserve">。</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20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防爆空调机</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color w:val="auto"/>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1.功率≥2P。</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2.额定电压： AC220V-50Hz。制冷制热性能：制冷量一般为3.5kW，制热量约为4.2kW，适用面积在16-24㎡。功率与电流：制冷额定功率约830W，电流约</w:t>
            </w:r>
            <w:r>
              <w:rPr>
                <w:rFonts w:hint="eastAsia" w:ascii="宋体" w:hAnsi="宋体" w:cs="宋体"/>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.2A；制热额定功率约1120W，电流约5.0A。</w:t>
            </w:r>
            <w:r/>
          </w:p>
          <w:p>
            <w:pPr>
              <w:ind w:left="0" w:right="0"/>
              <w:jc w:val="left"/>
              <w:keepLines w:val="0"/>
              <w:keepNext w:val="0"/>
              <w:spacing w:before="0" w:beforeAutospacing="0" w:after="0" w:afterAutospacing="0"/>
              <w:widowControl/>
              <w:rPr>
                <w:rFonts w:hint="eastAsia"/>
                <w:color w:val="auto"/>
                <w:szCs w:val="20"/>
                <w:highlight w:val="none"/>
              </w:rPr>
              <w:suppressLineNumbers w:val="0"/>
            </w:pPr>
            <w:r>
              <w:rPr>
                <w:rFonts w:hint="eastAsia"/>
                <w:color w:val="auto"/>
                <w:szCs w:val="20"/>
                <w:highlight w:val="none"/>
                <w:lang w:val="en-US" w:eastAsia="zh-CN"/>
              </w:rPr>
              <w:t xml:space="preserve">3.</w:t>
            </w:r>
            <w:r>
              <w:rPr>
                <w:rFonts w:hint="eastAsia"/>
                <w:color w:val="auto"/>
                <w:szCs w:val="20"/>
                <w:highlight w:val="none"/>
              </w:rPr>
              <w:t xml:space="preserve">外壳防护等级</w:t>
            </w:r>
            <w:r>
              <w:rPr>
                <w:rFonts w:hint="eastAsia"/>
                <w:color w:val="auto"/>
                <w:szCs w:val="20"/>
                <w:highlight w:val="none"/>
                <w:lang w:eastAsia="zh-CN"/>
              </w:rPr>
              <w:t xml:space="preserve">：</w:t>
            </w:r>
            <w:r>
              <w:rPr>
                <w:rFonts w:hint="eastAsia"/>
                <w:color w:val="auto"/>
                <w:szCs w:val="20"/>
                <w:highlight w:val="none"/>
              </w:rPr>
              <w:t xml:space="preserve">防爆控制箱</w:t>
            </w:r>
            <w:r>
              <w:rPr>
                <w:rFonts w:hint="eastAsia"/>
                <w:color w:val="auto"/>
                <w:szCs w:val="20"/>
                <w:highlight w:val="none"/>
                <w:lang w:eastAsia="zh-CN"/>
              </w:rPr>
              <w:t xml:space="preserve">：</w:t>
            </w:r>
            <w:r>
              <w:rPr>
                <w:rFonts w:hint="eastAsia"/>
                <w:color w:val="auto"/>
                <w:szCs w:val="20"/>
                <w:highlight w:val="none"/>
              </w:rPr>
              <w:t xml:space="preserve">IP66</w:t>
            </w:r>
            <w:r>
              <w:rPr>
                <w:rFonts w:hint="eastAsia"/>
                <w:color w:val="auto"/>
                <w:szCs w:val="20"/>
                <w:highlight w:val="none"/>
                <w:lang w:eastAsia="zh-CN"/>
              </w:rPr>
              <w:t xml:space="preserve">：</w:t>
            </w:r>
            <w:r>
              <w:rPr>
                <w:rFonts w:hint="eastAsia"/>
                <w:color w:val="auto"/>
                <w:szCs w:val="20"/>
                <w:highlight w:val="none"/>
              </w:rPr>
              <w:t xml:space="preserve">进风口</w:t>
            </w:r>
            <w:r>
              <w:rPr>
                <w:rFonts w:hint="eastAsia"/>
                <w:color w:val="auto"/>
                <w:szCs w:val="20"/>
                <w:highlight w:val="none"/>
                <w:lang w:eastAsia="zh-CN"/>
              </w:rPr>
              <w:t xml:space="preserve">：</w:t>
            </w:r>
            <w:r>
              <w:rPr>
                <w:rFonts w:hint="eastAsia"/>
                <w:color w:val="auto"/>
                <w:szCs w:val="20"/>
                <w:highlight w:val="none"/>
              </w:rPr>
              <w:t xml:space="preserve">IP20</w:t>
            </w:r>
            <w:r>
              <w:rPr>
                <w:rFonts w:hint="eastAsia"/>
                <w:color w:val="auto"/>
                <w:szCs w:val="20"/>
                <w:highlight w:val="none"/>
                <w:lang w:eastAsia="zh-CN"/>
              </w:rPr>
              <w:t xml:space="preserve">：</w:t>
            </w:r>
            <w:r>
              <w:rPr>
                <w:rFonts w:hint="eastAsia"/>
                <w:color w:val="auto"/>
                <w:szCs w:val="20"/>
                <w:highlight w:val="none"/>
              </w:rPr>
              <w:t xml:space="preserve">出风口</w:t>
            </w:r>
            <w:r>
              <w:rPr>
                <w:rFonts w:hint="eastAsia"/>
                <w:color w:val="auto"/>
                <w:szCs w:val="20"/>
                <w:highlight w:val="none"/>
                <w:lang w:eastAsia="zh-CN"/>
              </w:rPr>
              <w:t xml:space="preserve">：</w:t>
            </w:r>
            <w:r>
              <w:rPr>
                <w:rFonts w:hint="eastAsia"/>
                <w:color w:val="auto"/>
                <w:szCs w:val="20"/>
                <w:highlight w:val="none"/>
              </w:rPr>
              <w:t xml:space="preserve">IP10。</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color w:val="auto"/>
                <w:szCs w:val="20"/>
                <w:highlight w:val="none"/>
                <w:lang w:val="en-US" w:eastAsia="zh-CN"/>
              </w:rPr>
              <w:t xml:space="preserve">4.</w:t>
            </w:r>
            <w:r>
              <w:rPr>
                <w:rFonts w:hint="eastAsia"/>
                <w:color w:val="auto"/>
                <w:szCs w:val="20"/>
                <w:highlight w:val="none"/>
              </w:rPr>
              <w:t xml:space="preserve">产品隔爆外壳紧固螺栓应保证抗拉强度≥600MPa、屈服强度≥480MPa。</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9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21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应急器材柜</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1.规格尺寸： ≥W600×D350×H1800(mm)。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2.柜体采用≥1.0mm 的一级冷轧钢板，柜体底座采用≥2.0mm的一级冷轧钢板，内外表面经酸洗磷化，采用耐腐蚀型黄色环氧树脂粉末喷涂，烘热固化处理。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3.柜体设有化学品应急套装、急救药箱、个人防护用品、消防应急套装等储存区，其中独立储存单元≥4 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4.配套物资：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4.1 化学泄漏处置套装≥1 套：吸附条≥2条，吸附棉片≥20片，吸附剂≥1 瓶，防护围裙≥1 件，防护眼镜≥1 付，半面罩呼吸器≥1套，防护手套≥1 双，防护靴套≥1 双等。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4.2个人防护用品：防化服、防化学护目镜、半面罩+多用气体滤毒盒、防化靴和防化手套各≥2 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4.3 急救药箱≥1 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4.4 消防自呼≥2个。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4.5 灭火毯≥2 条： 尺寸≥1500×1500mm, 玻璃纤维材质。</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22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人体静电释放报警器</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1.防爆等级：ExiaIICT6</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2.主体材质：亚导体</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3.接地电阻：≤50Ω报警</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4.响应时间：＜1秒</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5.工作电压：3.6V锂电</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6.工作温度：-40~60°C</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7.报警方式：声光＞90dB</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8.触摸提示：安全/报警</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9.适用环境：危险气体区</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w:t>
            </w:r>
            <w:r/>
          </w:p>
        </w:tc>
      </w:tr>
      <w:tr>
        <w:trPr>
          <w:trHeight w:val="48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化学准备室/仪器室和化学药品室共用一套通风</w:t>
            </w:r>
            <w:r/>
          </w:p>
        </w:tc>
      </w:tr>
      <w:tr>
        <w:trPr>
          <w:trHeight w:val="3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实验台</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规格：3600mm×1200mm×800mm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1、台面：采用≥12.7mm厚实芯理化板制作，切割处正反面去毛刺切口打磨平整。表面有良好的耐腐蚀性及具有良好的承重性能。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2、柜体：全钢结构，上抽下门设计，采用≥1.0mm高强度镀锌钢板，切割折弯成型焊接打磨平整，表面经环氧树脂喷涂处理。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3、门板及抽面：采用双层结构，组装式设计，保证单层钢板双面都喷涂处理，门板中间填充隔音材料，减少关门时产生的噪声。防撞胶垫：装于抽屉及门板内侧，减缓碰撞，保护柜体。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4、拉手：采用一字拉手。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5、不锈钢防腐合页：采用优质不锈钢模具一体成型。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6、防腐三节静音导轨：三节滚珠滑轨，承重性强，滑动顺滑。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7、固定桌脚：采用柜体内置可调ABS调整脚，保证调整脚前后都可以调节高低。</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07"/>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挡水条</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采用12.7mm厚实验室专用理化板。</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01"/>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实验室专用水槽</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规格：550mm×450mm×300mm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采用PP一体化成型水槽，易清洁，耐腐蚀特点。</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87"/>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三联高低位龙头</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鹅颈式实验室专用优质化验水嘴：主体采用铜质，表面环氧树脂喷涂。阀芯采用陶瓷阀芯，配置一个高位水龙头，两个低位水龙头，便于多用途使用。</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5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实验室专用试剂架</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规格：2800mm×300mm×750mm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1、铝合金结构，表面喷涂高温固化匀乳白环氧树脂喷涂处理，具有较强的耐蚀性能，上下带塑胶模具堵头；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2、试剂架立柱截面尺寸：≥42mm×82mm，型材壁厚≥1.2mm；试剂架立柱双面升降槽，侧面双面镶嵌另色色条；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3、试剂架托架≥1.0mm高强度镀锌钢板，一次性冲压成型；试剂架护栏：护栏壁厚≥1.2mm，单面镶嵌另色色条。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4、立杆牢固固定于C型钢架底端，层板采用≥8mm厚的玻璃，安装后用户可根据试剂大小上下高低无级调节。</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86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滴水架</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1、整体采用PP材质，耐腐蚀性能好，抗紫外线辐射强，不易老化、脆化，韧性强，弹性好，易于安装。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2、滴水架主体与集水盘由模具注塑一体成型（非PP板焊接而成）。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3、滴水棒卡扣与主板卡槽紧密契合，不易松动，极好地保护实验器具。</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931"/>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实验室专用洗眼器</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1、双眼洗眼器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2、洗眼喷头：采用不助燃PC材质模铸一体成形制作，具有防尘功能，上面防尘盖平常可防尘，使用时可随时被水冲开，并降低突然打开时短暂的高水压，避免冲伤眼睛。</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付</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741"/>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规格：1000mm×500mm×1970mm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1、PP材质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2、柜体：侧板、顶底板采用改性PP材料增加强度，注塑模一次性成型，表面沙面和光面相结合处理，保证柜体之坚固及密封性，耐腐蚀性强。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3、下储物柜门：内框采用改性PP材质注塑模一次成型，外嵌≥4.6mm厚钢化烤漆玻璃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4、上柜视窗门：内框采用改性PP材质注塑模一次成型，外嵌≥4.6mm厚钢化烤漆玻璃，中间烤漆镂空制作。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6、门把手：采用经过改性PP材质注塑模一次成型，与柜门平行，开启方便。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7、门铰链：采用经过射出成型的PP材料制成，耐腐蚀性好。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8、螺丝：PP材质，可选不锈钢304材质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9、备注：可以用于各种腐蚀性化学品的储存，如硫酸、盐酸、硝酸、乙酸、硫磺酸等</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r>
      <w:tr>
        <w:trPr>
          <w:trHeight w:val="1332"/>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药品柜</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规格：1000mm×500mm×1970mm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1、PP材质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2、柜体：侧板、顶底板采用改性PP材料增加强度，注塑模一次性成型，表面沙面和光面相结合处理，保证柜体之坚固及密封性，耐腐蚀性强。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3、下储物柜门：内框采用改性PP材质注塑模一次成型，外嵌≥4.6mm厚钢化烤漆玻璃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4、上柜视窗门：内框采用改性PP材质注塑模一次成型，外嵌≥4.6mm厚钢化烤漆玻璃，中间烤漆镂空制作。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6、门把手：采用经过改性PP材质注塑模一次成型，与柜门平行，开启方便。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7、门铰链：采用经过射出成型的PP材料制成，耐腐蚀性好。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8、螺丝：PP材质，可选不锈钢304材质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9、备注：可以用于各种腐蚀性化学品的储存，如硫酸、盐酸、硝酸、乙酸、硫磺酸等</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17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小推车</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规格：600mm×450mm×850mm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层板内空净尺寸长宽≥550mm×400mm，双层层板设计，板材厚度≥0.75mm304不锈钢，立柱采用≥Φ28mm圆管，厚度≥1.0mm，二层之间层间距≥440mm，护栏采用≥16mm不锈钢，高≥70mm，每层加强横梁1根，单层载重不小于150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2、推手通过专用模具成型和立柱为一体式设计，便于推动，握感舒适，整体焊接后打磨抛光处理。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3、配件：优质静音万向轮，360°全方位旋转，其中2只带刹车功能，移动方便，安全更耐用。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4、产品采用焊接连接方式、经打磨抛光处理，无毛刺不刮手。</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9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储存桶</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全新料，防泄漏，密封强，耐腐蚀，耐酸碱桶</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492"/>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规格：430mm×530mm×110mm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托盘，PP材质，注塑成型，载重36KG</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4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圆形桶</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采用开口冷轧板，镀锌圆形桶</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6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干粉灭火器</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1、商品剂量：士0.05KG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2、喷射距离：≥3.5CM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3、灭火级别：1A/21B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4、使用温度：-20°C~+50°C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5、瓶身材质：钢材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6、干粉保质：5年</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1325"/>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通风柜</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规格：1500mm×850mm×2350mm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1、结构组合：采用三段组合式柜体，上部柜体（通风柜），中间（操作台面），下部柜体内含单侧独立抽气式组成柜及另侧独立水、电、气体管线系统容纳柜设计。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2、外壳：全钢结构，采用≥1.0mm高强度镀锌钢板，表面经环氧树脂喷涂处理。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3、内壳：采用≥5mm厚耐酸碱、耐高温的抗倍特板制作。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4、台面：采用≥12.7mm厚实芯理化板制作，切割处正反面去毛刺切口打磨平整。表面有良好的耐腐蚀性及具有良好的承重性能。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5、照明：采用≥30W日光灯，并设有≥5mm厚磨砂玻璃。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6、移门拉手：采用铝合金一字拉手。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7、气流板：采用≥5mm厚抗倍特板，安装位置与角度满足排气顺畅。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8、化验水斗：采用PP制作，耐酸碱一体成型小水杯。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9、化验水嘴：采用实验室专用单口烤漆水嘴。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10、窗口：采用≥6mm厚的防爆钢化玻璃。内部采用垂体平衡装置，可以停留在上下任何位置。</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室内行程通风管道</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室内管道，采用防腐蚀PP材质，具有整体结构性能好、严密性高等优点大小管道组成，各支管风速小于8m/s</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耗材及附件</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1、包含通风风管整体安装施工、配套专用支吊架制作安装作业；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2、配齐专用安装固定螺杆及全套紧固连接件，规格匹配现场安装工况；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3、风管拼接部位统一加装耐温密封垫片，保障接口密封严实、无漏风渗气；</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4、所有安装辅材、固定件、密封配件均随安装工序同步配齐到位，整体完工交付。</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化学药品室</w:t>
            </w:r>
            <w:r/>
          </w:p>
        </w:tc>
      </w:tr>
      <w:tr>
        <w:trPr>
          <w:trHeight w:val="2763"/>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药品柜</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规格：1000mm×500mm×1970mm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1、PP材质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2、柜体：侧板、顶底板采用改性PP材料增加强度，注塑模一次性成型，表面沙面和光面相结合处理，保证柜体之坚固及密封性，耐腐蚀性强。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3、下储物柜门：内框采用改性PP材质注塑模一次成型，外嵌≥4.6mm厚钢化烤漆玻璃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4、上柜视窗门：内框采用改性PP材质注塑模一次成型，外嵌≥4.6mm厚钢化烤漆玻璃，中间烤漆镂空制作。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6、门把手：采用经过改性PP材质注塑模一次成型，与柜门平行，开启方便。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7、门铰链：采用经过射出成型的PP材料制成，耐腐蚀性好。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8、螺丝：PP材质，可选不锈钢304材质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9、备注：可以用于各种腐蚀性化学品的储存，如硫酸、盐酸、硝酸、乙酸、硫磺酸等</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2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阶梯药品柜</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规格：1000mm×500mm×1970mm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1、PP材质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2、柜体：侧板、顶底板采用改性PP材料增加强度，注塑模一次性成型，表面沙面和光面相结合处理，保证柜体之坚固及密封性，耐腐蚀性强。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3、下储物柜门：内框采用改性PP材质注塑模一次成型，外嵌≥4.6mm厚钢化烤漆玻璃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4、上柜视窗门：内框采用改性PP材质注塑模一次成型，外嵌≥4.6mm厚钢化烤漆玻璃，中间烤漆镂空制作。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5、层板：上部配置阶梯层板，下部配置一块活动层板，层板全部采用改性PP材质注塑模一次成型，表面沙面和光面相结合处理，承重力强。整体设计为活动式，可随意抽取放在合适的隔层，自由组合各层空间。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6、门把手：采用经过改性PP材质注塑模一次成型，与柜门平行，开启方便。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7、门铰链：采用经过射出成型的PP材料制成，耐腐蚀性好。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8、螺丝：PP材质，可选不锈钢304材质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9、备注：可以用于各种腐蚀性化学品的储存，如硫酸、盐酸、硝酸、乙酸、硫磺酸等</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8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PP离心风机</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功率；2.2KW，风量；3856—7728m³/h，压头：790—502Pa，转速；1440转/分，电压：380V</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59"/>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风帽</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5#，PP材质，具有防雨功能，风阻小。配套2.2KW风机使用。</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6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进风口软接头</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材质：软质PVC，尺寸：φ500mm—300mm*250mm。</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6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不锈钢开关</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材质：不锈钢，尺寸：300mm*250mmH，</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6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室内行程通风管道</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室内通风主管道、支管道均采用防腐蚀材质，严密性高等优点，同时具有耐酸碱性能，由大小管道组成。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主管道：定制风管，具有整体结构性能好，满足实验室通风要求，接口保证无漏风；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室内支管：采用De200及De160管道连接至通风设备，米数≥22米，具有整体结构性能好，满足实验室通风要求，接口保证无漏风。</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6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室外行程通风管道</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室外管道，采用防腐蚀PP材质，具有整体结构性能好、严密性高等优点大小管道组成，各主管风速小于12m/s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配套规格：φ315mm或400mm*250mm。根据现场风井选用相应规格。米数≥20米。</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7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风机电缆线、控制线</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1、单芯标称截面积 4mm²，共3芯；单芯标称截面积 2.5mm²，共2芯，米数共计≥150米。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2、导体材质：多股绞合软铜导体，导电性能优异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3、绝缘护套：双层 PVC 材质，绝缘、耐磨且柔韧性好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4、外观特性：圆形护套，整体柔软</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8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智能变频时控控制电箱</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电箱尺寸不小于300mm*400mm*200mm，内含空开交流接触器散热风扇，变频调速系统：变频器：2.2KW,3个点，时间定时控制系统：含时控开关、配套继电器，实现手动、自动可以切换</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耗材及附件</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1、包含通风风管整体安装施工、配套专用支吊架制作安装作业；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2、配齐专用安装固定螺杆及全套紧固连接件，规格匹配现场安装工况；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3、风管拼接部位统一加装耐温密封垫片，保障接口密封严实、无漏风渗气；</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4、所有安装辅材、固定件、密封配件均随安装工序同步配齐到位，整体完工交付。</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1"/>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活性炭废气处理器</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活性炭废气处理器，处理风量：4000m</w:t>
            </w:r>
            <w:r>
              <w:rPr>
                <w:rFonts w:hint="eastAsia" w:ascii="宋体" w:hAnsi="宋体" w:eastAsia="宋体" w:cs="宋体"/>
                <w:i w:val="0"/>
                <w:iCs w:val="0"/>
                <w:color w:val="auto"/>
                <w:sz w:val="22"/>
                <w:szCs w:val="22"/>
                <w:highlight w:val="none"/>
                <w:u w:val="none"/>
                <w:vertAlign w:val="superscript"/>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①、吸附单元在设备箱体内分层格栅式安装，要求能够非常方便地检修及更换。吸附单元选用硬PP板材制作。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②、检查门开启方便，密封严密。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③、进出气口是法兰式接口，可以连接风管。风管连接工艺采用法兰连接方式，法兰之间连接应有3㎜的橡胶垫皮，起到密封作用。</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生物实验室1</w:t>
            </w:r>
            <w:r/>
          </w:p>
        </w:tc>
      </w:tr>
      <w:tr>
        <w:trPr>
          <w:trHeight w:val="27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教师演示控制</w:t>
            </w:r>
            <w:r/>
          </w:p>
        </w:tc>
      </w:tr>
      <w:tr>
        <w:trPr>
          <w:trHeight w:val="1642"/>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教师演示讲台</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规格：3000mm×700mm×900mm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台面：台面采用≥15mm厚陶瓷台面。陶瓷台面坯体黑色一体实芯和釉面经高温一体煅烧而成。陶瓷台面表面釉面为实验室专业釉面不会受外界环境影响而脱落脱层，具有耐污染、耐化学腐蚀、无放射性物质、防撞抗冲击、承重力强等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全钢结构，采用≥1.0mm高强度镀锌钢板，切割折弯成型，组件焊接工艺，打磨平整，表面经环氧树脂喷涂处理；整体结构设计合理，预留电脑主机、实物展台、教师电源安装位置，中间部分无底板设计便于地面线管进讲台，前后预留检修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3、拉手：采用不锈钢拉手。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4、储物柜门和抽面：采用双层结构，组装式设计，保证单层钢板双面都喷涂处理，门板中间填充隔音材料，减少关门时产生的噪声。防撞胶垫：装于抽屉及门板内侧，减缓碰撞，保护柜体。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5、不锈钢防腐合页：采用优质不锈钢模具一体成型。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6、防腐三节静音导轨：三节滚珠滑轨，承重性强，滑动顺滑。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7、固定桌脚：采用柜体内置可调ABS调整脚，保证调整脚前后都可以调节高低。</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实验室专用水槽</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规格：550mm×450mm×300mm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采用PP一体化成型水槽，易清洁，耐腐蚀特点。</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三联高低位龙头</w:t>
            </w:r>
            <w:r/>
          </w:p>
        </w:tc>
        <w:tc>
          <w:tcPr>
            <w:gridSpan w:val="2"/>
            <w:shd w:val="clear" w:color="auto" w:fill="auto"/>
            <w:tcW w:w="61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鹅颈式实验室专用优质化验水嘴：主体采用铜质，表面环氧树脂喷涂。阀芯采用陶瓷阀芯，配置一个高位水龙头，两个低位水龙头，便于多用途使用。</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实验室专用洗眼器</w:t>
            </w:r>
            <w:r/>
          </w:p>
        </w:tc>
        <w:tc>
          <w:tcPr>
            <w:gridSpan w:val="2"/>
            <w:shd w:val="clear" w:color="auto" w:fill="auto"/>
            <w:tcW w:w="61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1、单眼洗眼器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2、洗眼喷头：采用不助燃PC材质模铸一体成形制作，具有防尘功能，上面防尘盖平常可防尘，使用时可随时被水冲开，并降低突然打开时短暂的高水压，避免冲伤眼睛。</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付</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学生实验操作及学习区</w:t>
            </w:r>
            <w:r/>
          </w:p>
        </w:tc>
      </w:tr>
      <w:tr>
        <w:trPr>
          <w:trHeight w:val="1594"/>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学生实验桌</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规格：1220mm*600mm*780/820mm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台面：采用≥15mm止滑陶瓷台面。陶瓷台面坯体黑色一体实芯和釉面经高温一体煅烧而成。台面操作边设有≥13mm×1.5mm止滑凹槽，有效防止在实验过程中试管、液体等实验物品滑落造成意外伤害，陶瓷台面表面釉面为实验室专业釉面不会受外界环境影响而脱落脱层，具有耐污染、耐化学腐蚀、无放射性物质、防撞抗冲击、承重力强等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钢铝结构，外形尺寸≥1220mm×600mm×780mm（台面）/820mm（围边），含功能围栏总高度≥925mm；左右侧围边采用一体化压铸铝工艺，尺寸≥405mm×75mm×17mm，围边长度达到390mm，高出台面≥38mm，防止仪器设备掉落的风险；后挡条为铝合金一体成型工艺，高出台面≥38mm，金属表面经环氧树脂粉末喷涂高温固化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3、后功能栏杆，采用≥20mm×30mm×1.0mm的方管弯管成型工艺，高出台面达到145mm，防止实验器材跌落；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4、下面设计两个书包斗，材质采用ABS一体化成型工艺，镂空设计，不屯垃圾，便于清理，中间设挂凳卡；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桌腿采用两节折叠式设计，上部分尺寸≥120mm×210mm×50mm，一体化压铸工艺；下部分采用≥100mm×40mm×1.8mm钢管制作而成；下脚尺寸≥565mm×60mm×40mm，采用不低于2mm钢板冲压一体化成型，金属表面经环氧树脂粉末喷涂高温固化处理。</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r>
      <w:tr>
        <w:trPr>
          <w:trHeight w:val="27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多功能防溅水槽柜</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规格：600mm×450mm×820mm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底围尺寸≥590mm×440mm×60mm，中间部分尺寸≥600mm×450mm×735mm；材质≥1.0mm镀锌钢板，表面环氧喷涂；上面水槽为PP改性材质，水槽尺寸≥450mmx600mmx475mm，水槽内上部尺寸≥405mm×480mm，底部尺寸≥345mm×425mm，水槽最高深度≥370mm，最低深度≥300mm，保障洗涤时水不飞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2、水槽内部带滴水架，滴水架不少于10个滴水棒，滴水棒可以收纳；下带两层过滤网，可拆卸清理维护。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3、水槽柜上面带检修口，同时可以收纳水管。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4、检修门带锁，底围安装≥1寸定向轮。</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89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水龙头</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1、主体材质为加厚铜管，主管管径≥25mm铜管，表面经环氧树脂喷涂处理。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2、双龙头可以独立折叠式设计，使用时打开折叠双联龙头在使用过程中可以自由升降水嘴，以满足不同身高的高度仪器清洗要求使用。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4、实验室龙头采用壁式安装，壁厚≥2.5mm，固定底座直径≥50mm，底座锁母与台面中间添加齿形止退垫，使连接后不易松动稳定性强，与台面安装牢固。双联龙头可以分开折叠90度收纳，保证实验室的整洁美观。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5、开关旋钮：材质PP，符合人体工学设计，启闭方式为平面式，开关标识清晰醒目，装配好的开关旋钮应平稳轻便无卡阻，与阀杆连接后不易松动稳定性强。</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1016"/>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实验凳</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规格：Φ310mm×450mm～500mm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1、凳脚材质：4个凳脚采用≥15mm×30mm×1.7mm钢管模具弯制一次成型，全圆满焊接完成，结构牢固，经高温粉体烤漆处理，长时间使用也不会产生表面烤漆剥落现象 螺旋升降式，升降距离为50mm，最高离地距离≥500mm。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2、ABS凳面材质：采用ABS注塑。表面细纹咬花，防滑不发光，凳面底部镶嵌4枚螺纹，采用标准螺栓与圆形托盘固定。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3、脚垫材质：采用PP加耐磨纤维增强塑料，实心倒钩式一体射出成型。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4、凳托与凳脚留有一定的空间便于凳子挂在挂凳扣上，方便教室的打扫。</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r>
      <w:tr>
        <w:trPr>
          <w:trHeight w:val="1615"/>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规格：1000mm×500mm×1970mm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1、PP材质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2、柜体：侧板、顶底板采用改性PP材料增加强度，注塑模一次性成型，表面沙面和光面相结合处理，保证柜体之坚固及密封性，耐腐蚀性强。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3、下储物柜门：内框采用改性PP材质注塑模一次成型，外嵌≥4.6mm厚钢化烤漆玻璃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4、上柜视窗门：内框采用改性PP材质注塑模一次成型，外嵌≥4.6mm厚钢化烤漆玻璃，中间烤漆镂空制作。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6、门把手：采用经过改性PP材质注塑模一次成型，与柜门平行，开启方便。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7、门铰链：采用经过射出成型的PP材料制成，耐腐蚀性好。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8、螺丝：PP材质，可选不锈钢304材质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9、备注：可以用于各种腐蚀性化学品的储存，如硫酸、盐酸、硝酸、乙酸、硫磺酸等</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r>
      <w:tr>
        <w:trPr>
          <w:trHeight w:val="27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控制系统</w:t>
            </w:r>
            <w:r/>
          </w:p>
        </w:tc>
      </w:tr>
      <w:tr>
        <w:trPr>
          <w:trHeight w:val="1678"/>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教师终端模块</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1、教师演示台配备总漏电保护和分组保护，可分组控制学生的高低压电源，确保学生实验安全方便；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2、教师电源总控采用不小于225*127mm尺寸的面板，具备智能控制按键，并能显示电源电压；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3、教师交流电源通过智能控制按键直接选取0～24V电压，最小调节单元可达1V，额定电流3A；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4、教师直流电源也是通过智能控制按键直接选取，调节范围为1.5～24V，分辨率可达0.1V，额定电流3A；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5、低压大电流值为40A，自动关断；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教学电源：交流输出为带安全门的插座，带有电源指示，学生低压交流电源可通过智能控制按键直接选取0～24V电压，最小调节单元为1V，分组输送至学生桌；低压直流电压教师能准确控制，最小调节单元为0.1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7、教师演示电源技术要求满足：JY/T0374-2004《教学实验室设备电源系统》、GB4943.1-2022《音视频、信息技术和通信技术设备第1部分：安全要求》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1、教师电源交流输出电压的测试符合标准。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2、教师电源直流稳压输出电压的测试符合标准。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3、机械强度之250N恒定力试验符合标准。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4、机械强度之外壳冲击试验符合标准。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5、未接地的可触及零部件符合标准。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6、抗电强度试验符合标准。</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顶装智能控制平台</w:t>
            </w:r>
            <w:r/>
          </w:p>
        </w:tc>
        <w:tc>
          <w:tcPr>
            <w:gridSpan w:val="2"/>
            <w:shd w:val="clear" w:color="auto" w:fill="auto"/>
            <w:tcW w:w="61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集中控制系统。可执行各分项分页控制。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给排水控制：控制顶装给排水。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电源控制：控制学生AC电源和低压电源。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摇臂控制：控制摇臂升降。</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远程控制模块</w:t>
            </w:r>
            <w:r/>
          </w:p>
        </w:tc>
        <w:tc>
          <w:tcPr>
            <w:gridSpan w:val="2"/>
            <w:shd w:val="clear" w:color="auto" w:fill="auto"/>
            <w:tcW w:w="61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1、APP登入有网络注册功能，注册后登入系统操作，使用者忘记密码方便找回，同时方便升级系统，带来新的体验。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2、能使用APP能控制总电源关闭；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3、APP能显示当前温度、相对湿度及当前时间；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4、使用APP能控制学生低压电源的交流电压，且电压值为实测值。如APP给学生交流3V，学生电源电压实测电压为3V；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5、使用APP同时控制水电风光源开启与关闭，同时可以扩展功能（监控布防、空调控制等等）</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温湿度监视模块</w:t>
            </w:r>
            <w:r/>
          </w:p>
        </w:tc>
        <w:tc>
          <w:tcPr>
            <w:gridSpan w:val="2"/>
            <w:shd w:val="clear" w:color="auto" w:fill="auto"/>
            <w:tcW w:w="61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内置精密温湿度传感装置，实时监控房间内的温度和湿度，保障室内舒适的环境舒适性，能在智能控制平台中实时显示当前环境的温度和湿度。</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顶装舱体</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摇臂升降动力模块</w:t>
            </w:r>
            <w:r/>
          </w:p>
        </w:tc>
        <w:tc>
          <w:tcPr>
            <w:gridSpan w:val="2"/>
            <w:shd w:val="clear" w:color="auto" w:fill="auto"/>
            <w:tcW w:w="61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采用24V 250mm 14mm/s 4000N推杆电机，采用三支点式支撑设计，三点支撑材质采用三件压铸铝组合组装合成，每件之间采用轴销连接，三个压铸尺寸分别为：≥195mm×125mm×115mm、≥270mm×165mm×30mm、≥160mm×70mm×30mm，保证运动过程结构稳定，噪声不超过65分贝，抗腐蚀能力强。</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自动控制模块</w:t>
            </w:r>
            <w:r/>
          </w:p>
        </w:tc>
        <w:tc>
          <w:tcPr>
            <w:gridSpan w:val="2"/>
            <w:shd w:val="clear" w:color="auto" w:fill="auto"/>
            <w:tcW w:w="61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集成式控制单元：主要用单片机、电源模块、控制电路组成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执行给排水控制：给水系统：设有每个学生设有给水控制阀门，可以对给水进行控制，可以单独进行控制，进行单选、全选、反选，分组进行控制，教师可以方便对全室供水系统进行控制，学生功能板处设置给水接口，接口与学生水槽柜采用硅胶软管连接，接口均采用自动锁紧插拔式连接方式，用时接上，不用时可收起。自动排水系统：所有排水由智能化控制系统集中控制，学生功能板处设置排水接口，接口与学生水槽柜采用优质硅胶软管（具有防酸、防碱、耐腐蚀功能）连接，接口均采用自动锁紧插拔式连接方式（拔掉时没有污水流出），用时接上，不用时可收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2、执行智能摇臂控制：可以对摇臂进行控制，可以单独进行控制，进行单选、全选、反选，分组进行控制；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3、执行电源控制：可以对低压电源进行控制，可以单独进行控制，进行单选、全选、反选，分组进行控制。对低压电源的电压进行调节及锁定。</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主体结构模块</w:t>
            </w:r>
            <w:r/>
          </w:p>
        </w:tc>
        <w:tc>
          <w:tcPr>
            <w:gridSpan w:val="2"/>
            <w:shd w:val="clear" w:color="auto" w:fill="auto"/>
            <w:tcW w:w="61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两侧采用≥1200mm×200mm×35mm铝合金一体成型工艺，底部采用钢制焊接而成，主框架承重部分采用加厚钢板焊接，顶部设有防尘盖，防止灰尘进入影响设备运行，增加设备寿命。</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27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多功能伸缩摇臂</w:t>
            </w:r>
            <w:r/>
          </w:p>
        </w:tc>
      </w:tr>
      <w:tr>
        <w:trPr>
          <w:trHeight w:val="81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多功能伸缩摇臂集成功能模块舱体</w:t>
            </w:r>
            <w:r/>
          </w:p>
        </w:tc>
        <w:tc>
          <w:tcPr>
            <w:gridSpan w:val="2"/>
            <w:shd w:val="clear" w:color="auto" w:fill="auto"/>
            <w:tcW w:w="61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规格：550mm×85mm×240mm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分两段式设计，上部分由外壳、安装导轨、捆绑服务软管和桥式塑料拖链线槽等组成；下部分预留安装学生电源、供应端口、抽风管道空间位置，上下部分的运动间隙采用硅胶材质密封片，保证密闭性。</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智能摇臂升降模块</w:t>
            </w:r>
            <w:r/>
          </w:p>
        </w:tc>
        <w:tc>
          <w:tcPr>
            <w:gridSpan w:val="2"/>
            <w:shd w:val="clear" w:color="auto" w:fill="auto"/>
            <w:tcW w:w="61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由24V推杆机连接运动的摇臂和固定部分，运动范围从收纳的水平状态到使用时的垂直状态，摇臂可以随时停留的范围内的任意位置。</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32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学生模块</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包含：低压交流0V～24V输出1组、直流1.5V～24V输出1组、交流插座2个、USB输出5V电源1组。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1、教师主控型，学生低压电源都可接收主控电源发送的锁定信号，在锁定指示灯点亮后，学生接收老师输送的设定电源电压，教师锁定时，学生自己无法操作，这样可避免学生的误操作。可以分组或独立控制；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2、学生电源采用耐磨、耐腐蚀、耐高温的PC亮光薄膜面板，学生电源的控制采用按钮式按键，可以随意设置电压，贴片元件生产技术，微电脑控制，采用≥45mm×20mm尺寸面板，用于展示学生的交直流电压数据；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3、学生交流电源通过上下键0V～24V电压，最小调节单元可达1V，额定电流3A；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4、学生直流电源也是通过上下键选取，调节范围为1.5V～24V，分辨率可达0.1V，额定电流2A。</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供应端口</w:t>
            </w:r>
            <w:r/>
          </w:p>
        </w:tc>
        <w:tc>
          <w:tcPr>
            <w:gridSpan w:val="2"/>
            <w:shd w:val="clear" w:color="auto" w:fill="auto"/>
            <w:tcW w:w="61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1、给排水端口：采用PVC材质，具有耐酸碱，拔插轻松，不生锈等特点；即插即用，带自动锁紧功能，即使在供水排水工作时，随时拔掉接口也不会有任何滴漏现象；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2、控制端口：采用航空插头供应装置，保证水槽柜供应电源及控制信号线。</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故障显示模块</w:t>
            </w:r>
            <w:r/>
          </w:p>
        </w:tc>
        <w:tc>
          <w:tcPr>
            <w:gridSpan w:val="2"/>
            <w:shd w:val="clear" w:color="auto" w:fill="auto"/>
            <w:tcW w:w="61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接收智能平台控制，摇臂运动故障亮红灯警报故障。功能面板采用≥145mm×20mm，配置LED故障灯≥1个，灯罩采用ABS一次成型，设计安装磨砂透明均光板，不仅能使光线扩散均匀更能起到安全防护作用。</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废水存储过滤系统</w:t>
            </w:r>
            <w:r/>
          </w:p>
        </w:tc>
        <w:tc>
          <w:tcPr>
            <w:gridSpan w:val="2"/>
            <w:shd w:val="clear" w:color="auto" w:fill="auto"/>
            <w:tcW w:w="61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水过滤箱和排水装置组成。尺寸≥280mm×330mm×290mm。水过滤箱包括箱体、过滤件组成，具有耐酸碱，箱体由一隔板分为上下两层，过滤件设置在上层，抽水装置设置在下层。入水口处设置有液位计传感器，检测箱体的水位，排水装置包含水泵和控制器，控制器接收控制系统信号，控制器与液位计信号连接，且与水泵的开关信号连接。设备下面配有一个万向轮，方便设备移动。</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27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系统工程</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给水管路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采用φ20-32mmPP-R给水管，连接每组模块给水。</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排水管路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采用φ50-75mmPVC-U国标管，连接每组模块排水。</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电源供应线路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采用2.5mm²电线进行系统布线。连接每组模块供电。</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智能控制系统线路</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采用1mm²屏蔽电线进行系统布线，连接每组模块通讯。</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安装辅件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采用双槽钢横梁吊装方式，减少楼板承重，防止左右晃动，可进行上下、左右的平衡调节，实验功能板离地2m左右，主要辅件有：槽钢等（不含桁架）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间</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实验室顶部造型</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1、轻钢龙骨，石膏板艺术造型，铝方通造型，铝扣板造型。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2、顶面成品处理。</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平方米</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 </w:t>
            </w:r>
            <w:r/>
          </w:p>
        </w:tc>
      </w:tr>
      <w:tr>
        <w:trPr>
          <w:trHeight w:val="270"/>
        </w:trPr>
        <w:tc>
          <w:tcPr>
            <w:gridSpan w:val="5"/>
            <w:shd w:val="clear" w:color="auto" w:fill="auto"/>
            <w:tcW w:w="7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高中生物学生实验仪器清单</w:t>
            </w:r>
            <w:r/>
          </w:p>
        </w:tc>
        <w:tc>
          <w:tcPr>
            <w:gridSpan w:val="2"/>
            <w:shd w:val="clear" w:color="auto" w:fill="auto"/>
            <w:tcW w:w="671"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W w:w="870"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吸水纸</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中性棉质吸水纸，单张尺寸≥80mm×30mm，100片/盒。</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物镜测微尺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玻璃材质≥75mm×25mm×1mm，外包装尺寸：≥85mm×36mm×16mm，上下垫海绵</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罐装橡皮泥双色</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双色组合，每盒50 g，两盒不同颜色搭配。采用超轻粘土材质，不粘手，具有超长延展性，安全环保无毒，</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DNA双螺旋结构模型组件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四种碱基、脱氧核糖、磷酸彼此分离，产品外形尺寸：≥170mm×95mm×25mm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解剖器7件套</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不锈钢材料，7件，包括：解剖剪大小各1把，解剖镊子平头、弯头各1把，解剖刀柄2把，解剖刀头圆头、尖头各1个、解剖针1根，马口盒包装，外盒尺寸：≥170mm×90mm×15mm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生物玻片标本</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高透光载玻片和盖玻片结构、玻片光滑打磨不伤手，采用特殊倒角处理，安全防扎手，部位着色明显清晰、整洁美观，组织结构清晰易见，100片/盒，内有动物、植物及人体组织各种类型。每片都有标识，每盒附有清单，玻片按清单的编号进行摆放，方便进行查找。每片玻片的尺寸为：≥75mm×25mm×1mm，图案为直径14mm±0.5mm的圆形，外包装为PP加厚材质的塑料盒，尺寸为：≥175mm×198mm×36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圆底不锈钢盒</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不锈钢材质，无字，中号，直径107mm±2mm，高度48mm±2mm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塑料小球</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塑料，D=15mm±0.5mm，蓝色</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塑料小球</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塑料，D=15mm±0.5mm，红色</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擦镜纸</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整本尺寸：≥100mm×150mm×3mm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胶头滴管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90±2mm直形，滴管直径10mm±0.5mm，尖嘴口径1mm～2mm，上端有防滑脱翻口，翻口处直径比滴管直径略多1mm～2mm，配有胶头。胶头组装后长度约110mm±2mm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培养皿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无色透明玻璃制，总体尺寸：直径98mm±2mm×高21mm±1mm，底外径90mm±2mm，高19mm±1mm，盖外径98mm±2mm，高17mm±1mm，壁厚1mm～2mm，薄厚均匀，耐高温高压</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单面刀片</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单面刀片，≥40mm×20mm，5片/盒，外形尺寸：≥46mm×25mm×13mm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盖玻片</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无色透明，平整，玻片≥24mm×32mm，厚度0.13mm～0.17mm，每盒100片</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载玻片</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高清透明，≥25mm×75mm，每盒50片</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离心管架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塑料材质，用于放置离心管</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离心管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0.2mL，塑料材质，20支/袋</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滤纸</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快速定性滤纸，直径φ90mm±0.5mm，100张/盒，外盒尺寸：≥长95mm×宽95mm×厚25mm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绑带</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绑带，规格：≥长80mm×宽80mm×整包厚17mm，10片/包。</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250mL，透明硼硅酸盐玻璃制，烧杯的满口和标称容量的两液面间距大于10mm底部直径为70mm±0.5mm，口部外径79mm±0.5mm，内径65mm±0.5mm，总高97mm±2mm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透明广口瓶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250mL，透明钠钙玻璃制，瓶塞与瓶口紧实，不晃动；口部应圆整光滑，底部平整，放置平台上不摇晃或转动。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调节仪</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材质：ABS；光源类型：LED灯，三档调节</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标签纸</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包装≥长160mm×宽92mm，每张≥24mm×27mm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100mL，透明硼硅酸盐玻璃制，烧杯的满口和标称容量的两液面间距大于10mm，烧杯底部直径为52mm±0.5mm，口部外径58mm±0.5mm内径49mm±0.5mm，总高71±2mm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锥形瓶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100mL，透明硼硅酸盐玻璃制，放在平台上直立不摇晃、不转动。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点火器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智能脉冲点火器，可USB充电，电量显示，大容量锂电，续航更持久</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防爆酒精灯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防爆酒精灯 100mL 容量 100mL，304 不锈钢材质；由灯帽、灯芯、灯芯导管、灯瓶、耐高温硅胶内塞组成；双层灯帽结构，具备密封防挥发、快速灭火功能；灯芯导管带火焰调节旋钮；底座直径 Φ73mm±1mm，整机尺寸 Φ80mm±1mm× 高 72mm±1mm，密封性好、防爆防倾倒、耐高温安全耐用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盏</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封口膜</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直径16mm±0.5mm。尺寸≥120mm×120mm。产品特点：耐高温灭菌，在135℃、0.15MPa下可重复利用。适用范围：适配各种尺寸的培养皿</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棉花球</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棉球0.5g/只，10g/袋。袋尺寸：≥160mm×100mm×18mm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Φ20mm±0.5mm×200mm±2mm，壁厚2mm，透明高硼硅玻璃制，口部做卷边处理</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放大镜</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手持式，放大镜外径84mm±0.5mm，内径70mm±0.5mm，小孔镜直径18mm±0.5mm，总长195mm±2mm，放大10倍，带LED灯，4.5V</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打孔器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打孔直径6mm，≥长60mm×宽23mm×55mm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20mL，分度值1mL，刻度清晰。</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外壳塑料+尺带金属，L=5m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钓鱼线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6号，线径0.40mm，总长2000mm，透明盒装，尺寸75*70*18mm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50mL，透明硼硅酸盐玻璃制，烧杯的满口和标称容量的两液面间距大于10mm，烧杯底部直径为46mm±0.5mm，口部外径49mm±0.5mm，内径42mm±0.5mm，总高61mm±2mm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宽18mm±0.5mm，总长32m±1m，整卷直径53mm±2mm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短颈漏斗</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硼硅玻璃制，漏斗口径60mm±0.5mm，斗茎长60mm±2mm；总长102mm±2mm，下口磨成45°角，斜口边口倒角</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点样毛细管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低硼硅玻璃材质，毛细管尺寸0.3mm×100mm±2mm，1000支/筒</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研钵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80mL，瓷制，口部直径83mm±0.5mm，平底，底部直径50mm±0.5mm，总高40mm±2mm，内部粗糙便于研磨，外部光滑</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研杵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瓷制，用于物体的研磨，一端球形，直径27mm±0.5mm，柄直径约15mm，总长98mm±2mm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离心管圆底</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材质：环保PP聚丙烯，管身直径28mm±0.5mm×高104mm±2mm，盖直径34mm±0.5mm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玻璃棒</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Φ6mm，长200mm±2mm，粗细均匀，两端烧结使其光滑</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41"/>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短柄药勺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红、黄、绿三种颜色。三尺寸分别为：123mm±2mm、135mm±2mm、150mm±2mm，材质塑料</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试管夹</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木制，长度≥180mm，宽度28mm±2mm，厚度9.5mm；试管夹闭口缝≤1mm，开口距≥25mm；试管夹弹簧做防锈处理，试管夹持部位圆弧内径≤15mm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剪刀</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尺寸180mm×63mm，采用钢材材质，表面光泽自然，刃口锋利，剪柄外面包有塑料，握拿舒适</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陶土网</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陶土Φ100mm±2mm，边长150mm±2mm，金属包边，耐火材料为陶土</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10mL，透明钠钙玻璃制，分度线、数字和标志完整、清晰和耐久，底座直径39mm±0.5mm，筒直径为15.5mm±0.5mm，总高139mm±2mm，壁厚1mm～2mm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50mL，透明钠钙玻璃制，分度线、数字和标志应完整、清晰和耐久，底座直径54.5mm±0.5mm，筒直径为25mm±0.5mm，总高200mm±2mm，壁厚1mm～2mm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Φ15mm±0.5mm×150mm±2mm，壁厚2mm，透明高硼硅玻璃制，口部做卷边处理。</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双面刀片</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双面刀片，≥43mm×22mm，10片/盒，外形尺寸：≥49mm×27mm×11mm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卫生香</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直径Φ1.8mm×长135mm±2mm，约248支，80g/盒</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盖玻片</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无色透明，平整，玻片≥18mm×18mm，厚度0.13mm～0.17mm，每盒100片</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小狼毫毛笔</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笔杆材质：木质，笔头材质：兼毫，笔杆长200mm±2mm，出锋30mm±2mm，直径7mm±0.2mm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测量仪</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玻璃制，长290±2mm，直径5.5mm，量程-30℃～100℃，分度值1℃，示值误差〈±1.5℃，顶部有圆形小环，便于悬挂，外有塑料保护套</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PH广泛试纸</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80张/本，外形尺寸：≥长66mm×宽45mm×厚5mm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刻度试管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25mL，透明硼硅酸盐玻璃制，刻度线清晰耐久，粗细均匀</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塑料烧杯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100mL,PP加厚材质，柔韧好，抗压耐摔，持久耐用抗老化，边缘光滑不毛刺，刻度精细，标准容量</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培养皿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无色透明玻璃制，总体尺寸：直径68mm±0.5mm×高18mm±1mm，底外径60mm±0.5mm，高17mm±1mm，盖外径68mm±0.5mm，高17mm±1mm，壁厚1～2mm，薄厚均匀，耐高温高压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1、汞/Hg的检测结果符合《电子电气产品六种限用物质（铅、汞、镉、六价铬、多溴联苯和多溴二苯醚）的测定》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2、耐酸碱的检测数据；</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锥形瓶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250mL，透明硼硅酸盐玻璃制，放在平台上直立不摇晃、不转动。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涂布器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高硼硅玻璃，耐热耐高温，三角头设计</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记号笔</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双头双色，笔头材质：纤维</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金属丝棒</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金属丝连接棒：塑料手柄，黄铜镀镍材质，铜棒直径4mm，杆长185mm，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金属丝环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合金金属丝，丝长50mm±2mm，直径1mm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铁铲</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金属材质：防锈精铁，手柄：橡胶</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钢尺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15cm，不锈钢材质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棉签</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双头棉签，150支/盒</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血球计数板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透明玻璃材质，计数板尺寸≥75mm×33mm×5mm，装在≥80mm×40mm×10mm透明盒子里</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不锈钢拾取器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尖头，镊子采用不锈钢材质，长123mm±2mm，硬度HRC45°。在距离镊子尖端1mm长度范围内，镊子上下两块金属片应满足：金属片宽度小于1.6mm；金属片厚度小于0.8mm；金属片之间咬合间隙小于0.1mm；咬合后金属片之间左右及前后偏移小于0.4mm。镊子头部带防护套。</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橡皮塞</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橡胶材质，锥形，≥26mm（底部直径）×32mm（顶部直径）×30mm（高度），无孔</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1mL，长145mm±2mm,LDPE聚乙烯材质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橡皮塞</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橡胶材质，锥形，≥14mm（底部直径）×20mm（顶部直径）×28.5mm（高度），无孔</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Φ30±0.5mm×200±2mm，壁厚2mm，透明高硼硅玻璃制，口部做卷边处理</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∅8mm，一端长度为60mm±2mm，—端长度为190mm±2mm，形状为直角，管口烧结处理，避免划伤</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∅8mm，—端长度为55mm±2mm，—端长度为85mm±2mm，形状为直角，管口烧结处理，避免划伤</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81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橡皮塞</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橡胶材质，锥形，22mm±0.5mm（底部直径）×30mm±0.5mm（顶部直径）×28.5mm±2mm（高度），单孔，孔径8mm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81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橡皮塞</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橡胶材质，锥形，22mm±0.5mm（底部直径）×30mm±0.5mm（顶部直径）×28.5mm±2mm（高度），双孔，孔径8mm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洗耳球</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60mL，橡胶材质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透明硼硅酸盐玻璃制，烧杯的满口和标称容量的两液面间距大于10mm，烧杯底部直径为87mm±0.5mm，口部外径93mm±0.5mm，内径83mm±0.5mm，总高122mm±2mm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铁架台</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本产品为多功能方座支架，由矩形底座、立杆、横杆、四爪万用夹、铁圈、双嘴钳等组成，适配理化生实验场景。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1.底座尺寸210mm±2mm×135mm±1mm×25mm±0.5mm，面板采用灰色ABS材质注塑成型，耐酸碱且表面细纹防滑，内部方格板结构增强承重，配重块为铁质环氧树脂防锈涂层，总重约2kg，底部硅胶垫片确保放置平稳无晃动。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2.立杆由两根300mm不锈钢支撑杆（直径Φ10mm，M8螺纹接口）组合而成，表面防锈处理，另配一根同材质横杆用于悬挂测力计或滑轮。立杆与底座通过蝴蝶螺母手拧固定，无需工具即可垂直锁紧。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配件包含中号铁圈（内径68.7±0.5mm）、小号铁圈（内径49.1±0.5mm，碳钢材质，直径8±0.2mm）、双嘴钳两只、四爪万用夹（锌合金材质，夹持口胶木防护），可稳定夹持试管、烧瓶等实验器具，夹持牢固无滑脱风险。</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塑料水槽</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长方形，透明塑料材质，外形尺寸≥268mm×195mm×100mm，壁厚≥1mm。底部平整，表面无凹凸不平现象，无擦伤、划痕、裂缝，透明度好，透光率不小于80%，四周加筋，承重加强。</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PC透明塑料制，孔径30mm±0.5mm的6个孔，孔径20mm±0.5mm的16个孔，对应的孔底部有圆形凹槽，7根直径为14mm±0.5mm的立柱，立柱黏结牢固，用于φ15mm、φ20mm、φ30mm试管放置使用，产品尺寸：≥250mm×133mm×70mm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试管刷</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尺寸Φ20±0.5mm×200±2mm，手持部分顶端为环状，顶部有刷丝，铁丝无外露。</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试管刷</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尺寸Φ26±0.5mm×240±2mm，手持部分顶端为环状，顶部有刷丝，铁丝无外露。</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毛巾</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材质：纯棉，产品尺寸：≥550mm×250mm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条</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托盘天平</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单杠杆等臂式双盘天平，配6级（M2级）砝码：100g、50g、10g、5g各1个，20g2个，不锈钢镊子。</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生物显微镜</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光学放大倍数：40×-1000×。2、观察镜筒：双目斜筒，45°倾斜，可360°度旋转便于同步观察。3、目镜：两个广角目镜WF10×，其中一个带示教指针，便于教学。4、物镜：黄铜材料，四个185消色差物镜，4×、10×、40×（S）、100×S。5、转换器：四孔内倾转换器，响声定位。6、载物台：铝合金铸造，双层复合机械平台带移动标尺，尺寸110mm×120mm，移动范围60mm×30mm。7、不同轴调焦机构（带细调焦机构）：粗调和细调不同轴，粗调范围1</w:t>
            </w:r>
            <w:r>
              <w:rPr>
                <w:rFonts w:hint="eastAsia" w:ascii="宋体" w:hAnsi="宋体" w:eastAsia="宋体" w:cs="宋体"/>
                <w:i w:val="0"/>
                <w:iCs w:val="0"/>
                <w:color w:val="auto"/>
                <w:sz w:val="22"/>
                <w:szCs w:val="22"/>
                <w:highlight w:val="none"/>
                <w:u w:val="none"/>
                <w:lang w:val="en-US" w:eastAsia="zh-CN" w:bidi="ar"/>
              </w:rPr>
              <w:t xml:space="preserve">6mm，细调范围1.3mm。8、聚光镜：N.A.高透光学玻璃聚光镜。9、双光源互换装置：电源：LED冷光源照明，1WLED，可充电，光源亮度可调；自然光源：可以配反光镜，一面凹面，一面平面镜（满足教科书考试用，反光镜对光）。10、显微镜带金属便携提手，方便搬运。11、目镜放大率准确度不超过±1.46%；物镜放大准确度不超过±1.89%。12、成像清晰圆直径：4×时成像清晰圆直径≥8.8mm；10×时成像清晰圆直径≥8.5mm，40×时成像清晰圆直径≥7.2mm；100×时成像清晰圆直径≥6.7mm。13、1</w:t>
            </w:r>
            <w:r>
              <w:rPr>
                <w:rFonts w:hint="eastAsia" w:ascii="宋体" w:hAnsi="宋体" w:eastAsia="宋体" w:cs="宋体"/>
                <w:i w:val="0"/>
                <w:iCs w:val="0"/>
                <w:color w:val="auto"/>
                <w:sz w:val="22"/>
                <w:szCs w:val="22"/>
                <w:highlight w:val="none"/>
                <w:u w:val="none"/>
                <w:lang w:val="en-US" w:eastAsia="zh-CN" w:bidi="ar"/>
              </w:rPr>
              <w:t xml:space="preserve">0×物镜景深范围内像面的偏摆≤0.05mm；14、左右两系统放大率差≤0.85%，双目系统左右两像面光谱色一致，明暗差≤12.3%；双目系统左右系统像面方位差≤28、双目系统左右视场中心偏差：上下≤0.1mm、左右内侧≤0.3mm.15、转换器定位稳定性≤0.018mm。微调机构空回≤0.006mm。16、聚光镜上升到最高位置，顶端低于载物台表面的距离在0.03－0.25mm之间。17、用机械使标本在5mm×5mm范围内移动时的离焦量≤0.010mm。18、带有光源的仪器操作部位温度与室温之差不超过10度。</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88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二氧化碳灭火器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1.喷射时间：8.7～8.8S；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2.使用温度：-10℃～+55℃；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3.灭火级别：21B;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4.产品外形尺寸：≥200mm×115mm×465mm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89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由玻璃纤维材料经过特殊处理编织而成的织物，能起到隔离热源及火焰的作用，具有良好的绝缘、隔热、阻燃等优良特点。产品外形尺寸：1500mm×1500mm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黄沙箱</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1、采用静电喷漆，光滑整洁，防潮。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2、底部加固处理，增加强度，与地面有间隙，不易生锈。</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3、采用优质加厚钢铁加工，高硬度耐用。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4、优质五金铰，链箱盖，无卡阻现象。</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工作服</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材质：涤棉；性能：宽松舒适，S</w:t>
            </w: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XXXL</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防护手套</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一次性橡胶手套，L号</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副</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防护眼镜</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侧面安全遮挡，强化镜片，黑色塑料框架，整体弧形设计，尺寸：≥长150mm×宽50mm×高60mm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副</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酸碱手套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毛重：0.2kg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材质乳胶，350mm±5mm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81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防护面罩</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1套含一个眼镜框，2个面罩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毛重：0.2kg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材质：PC/APET，产品外形尺寸：≥195mm×250mm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10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防毒面罩</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漏气系数≥5%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油雾透过系数≤5%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防氰化氢≥30min</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防一氧化碳≥30min，产品外形尺寸：≥164mm×137mm×108mm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收纳箱</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1、材质：铝合金+ABS；多功能收纳。产品外形尺寸：≥305mm×170mm×190mm，2、内容：棉签、别针、剪刀、酒精片、纱布、创可贴、塑料镊子、止血袋、PBT绷带、无纺布胶带等应急处理工具</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微量移液器架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工字型，可拆卸塑料移液器架，可放置5支移液器，组装后产品尺寸：≥285mm×140mm×275mm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99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微量移液器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0.5μL～10μL，容量可调的精密移液器，所有材料使用抗化学腐蚀材料制成，数字显示，读数直观，并使用可拆卸式滴头。</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微量移液器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10μL～100μL，容量可调的精密移液器，所有材料使用抗化学腐蚀材料制成，数字显示，读数直观，并使用可拆卸式滴头。</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微量移液器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100μL～1000μL，容量可调的精密移液器，所有材料使用抗化学腐蚀材料制成，数字显示，读数直观，并使用可拆卸式滴头。</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微量移液器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1000μL～5000μL，容量可调的精密移液器，所有材料使用抗化学腐蚀材料制成，数字显示，读数直观，并使用可拆卸式滴头。</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微量移液器吸头</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0.5μL～10μL吸头（口径5mm×长31mm）10支、10μL～100μL吸头（口径6mm×长50mm）10支、100μL～1000μL吸头（口径8.5mm×长70mm）5支、1000μL～5000μL吸头（口径15mm×长146mm）5支，装在尺寸为≥155mm×65mm×30mm的透明塑料盒内</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恒温培养箱</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电脑智能控温仪，具有设定，测定温度双数字显示和PID自整定功能，恒温精确，可靠；内外双重门结构，温度波动小。内门采用全钢化玻璃门，打开外门，观察箱内情况时不影响箱内温度；采用镜面不锈钢内胆，四角半圆弧易清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1.定时范围：99.9小时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2.恒温范围：室温+5～60℃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3.控温精度：±0.5℃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4.温度均匀度：±0.5℃at37℃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5.工作室尺寸：≥400mm×400mm×500mm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6.电源：交流50Hz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7.容积≥80L</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16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高压灭菌锅</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1.材质：锅体外壳，内腔均采用优质不锈钢SUS304材质制成，耐酸，耐碱，耐腐蚀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2.灭菌容积：50L；超压自泄：0.145～0.165MPa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3、最高工作温度：126℃～129℃</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4、电热管功率：2.5kW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5、计时范围：0～80分钟</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9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超净工作台</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1、采用了任意定位移门系统；</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2、外壳采用冷轧板喷塑一体成型，工作台面为304拉丝不锈钢，耐腐蚀、易清洗；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3、照明和杀菌系统安全互锁，紫外灯可杀菌定时；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4、数显式控制界面，更具人性化设计；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5、垂直准闭合式台面，操作室下降流气幕的形成，可有效防止外部气体投入和操作区洁净；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6、配置有高效空气过滤器，设有初效过滤器进行初步过滤，可有效延长高效过滤器使用寿命；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7、洁净等级100级；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8、菌落数≤0.5个/皿·时（Φ90mm培养平皿）；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9、平均风速0.25～0.45m/s（三档风速可调）；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10、振动半峰值≤5μM（x、y、z方向）；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11、照度≥300lx；</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12、电源AC单相220V/50Hz；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13.工作区尺寸≥700mm×490mm×510mm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14.外型尺寸≥850mm×550mm×1600mm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15.适用人数单人/单面</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干热灭菌箱</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1、用于实验室物品的干燥、烘焙、灭菌用，由箱体、电加热鼓风系统、控温系统三部分组成；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箱体由内腔（工作室）和外箱壳组成，外壳采用优质钢板表面喷塑处理。室内采用不锈钢制成的搁板，高度可调。箱门上有观察窗，可观察到箱内加热干燥物品。工作室与箱门的接合部装有耐热硅橡胶密封圈；</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3、液晶智能化控制面板，外观新颖大方。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4、控温范围（℃）：室温+5～250℃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5、工作室规格：≥550mm×450mm×550mm。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16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微生物箱</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1、本产品是一种带有杀菌灯管、日光灯管的密闭箱式装置，适用于学校、科研单位在无菌环境下的微生物接种，以减少杀菌灯对人体健康的影响。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2、结构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本产品由箱体、杀菌灯管、日光灯管、镇流器、开关等零件组成。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3、主要技术参数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（1）电源～50Hz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（2）杀菌灯管：8W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（3）日光灯管：8W</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135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09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电冰箱</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1.智能双循环制冷系统，冷藏、冷冻独立温控；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2．可拆换门封条设计，具备优良密封性能，减少能耗，顶灯照明，节省空间；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3．钢化玻璃，安全防溢，透明抽屉，轻松制冰；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4．容积：≥210L</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10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DNA电泳图谱观察仪</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1.光源：LED4×11个发光灯管，其发光光谱的波峰为468nm±3nm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2.观察窗：黄色透明玻璃，在波长为542nm±3nm处可滤掉50%光线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3.观察面积：120×120（mm）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4.电源：±10%，50Hz±2%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5.输出电压：5V2A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6.保险管：5A（Φ5×20）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7.外形尺寸（L×W×H）：≥300×200×120（mm）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8.净重：2.0（kg）</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电泳仪</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一、性能特点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1.一次成型机壳，触摸按键，微处理器智能控制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2.可同时显示预设值和实际输出值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3.可存储10个常用电泳方法</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4.具有自动记忆、自动关断功能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5.具有标准、定时运行功能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6.具有恒压、恒流、恒功率等智能提示功能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7.具有过载、空载、漏电等多项保护功能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8.选配功能（断电恢复、防扩散电场功能）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二、技术规格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1.输出类型：恒压、恒流、恒功率输出（连续可调）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2.输出范围：3～300V、1～400mA、1～120W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3.分辨率：电压（1V）、电流（1mA）、功率（1W）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4.定时范围：1分钟～99小时59分钟</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5.成像：带背光的LCD液晶屏（128×64像素）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6.输出插孔：4（组）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7.外形尺寸（L×W×H）：≥280×237×118（mm）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水平电泳槽</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一、技术规格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1.凝胶面积（W×L）：≥48×75（mm）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2.样品通量：（1.0mm厚）3、5、9齿；（1.5mm厚）3、5、9齿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3.缓冲液容积：0～150（mL）</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4.外形尺寸（L×W×H）：≥250×95×50（mm）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5.净重：0.4（kg）二、性能特点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1.采用高透明度PC材料，一次注塑成型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2.双色上盖可供选择，开盖时自动切断电泳电场，确保操作安全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3.托盘具有把手设计，保证操作过程的安全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4.安全开盖按钮设计，方便上盖的开启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5.托盘具有加样背景色设计，方便加样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6.配备专用制胶盒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7.可拆卸电极架，使电极的维修及更换更加方便、快捷、安全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光照培养架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1.尺寸：高180cm±2cm，实用四层，每层实用面积≥110cm×40cm，坚固耐用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2.灯管和灯架一体化设计；每层配三组高效三基色自然光灯组，每层灯独立开关（根据客户需求可以定制每组独立开光控制）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3.光源额定电压：50Hz，额定功率16W，可选配白红光双色或白红蓝三色植物专用生长灯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4.电源：50Hz，最大功率360W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5.控时器参数：即时工作指示灯；铜片结构优化设计，寿命更长夏令时/冬令时功能；大屏幕液晶显示设定；最小时间间隔为1分钟，每天最多可设置20组开与关，每周可设置140组</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组织捣碎匀浆机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电动机：立式单相串激电动机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额定功率：120W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工作电压：50Hz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转速：0～12000转/分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定时：0～60分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容量：≥1000mL</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果酒果醋发酵装置</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1、作为食品级容器材质安全、环保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2、透光率大于90%，雾度小于1%，有水晶般的光泽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3、低压热变形温度（HDT@0.455MPa）根据牌号不同在94℃～109℃之间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4、容积≥1000mL</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5、专用于高中果酒果醋制作实验，可提供有氧发酵和无氧发酵两种方式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6、果酒果醋发酵装置，独有的针孔发酵发泡装置，能够计算不同时间段发酵速度的变化</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1000mL，透明硼硅酸盐玻璃制，刻度线应在瓶颈下部三分之二处，清晰耐久，粗细均匀，平底，配有匹配的玻璃塞</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30mL，透明钠钙玻璃制，瓶口细磨，磨砂面应均匀细腻，滴管应附橡胶帽，吸放弹性好，与滴管口套合牢固稳定</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18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60mL，透明钠钙玻璃制，瓶口细磨，磨砂面应均匀细腻，滴管应附橡胶帽，吸放弹性好，与滴管口套合牢固稳定</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19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30mL，棕色钠钙玻璃制，瓶口细磨，磨砂面应均匀细腻，滴管应附橡胶帽，吸放弹性好，与滴管口套合牢固稳定</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20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60mL，棕色钠钙玻璃制，瓶口细磨，磨砂面应均匀细腻，滴管应附橡胶帽，吸放弹性好，与滴管口套合牢固稳定</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PH计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笔式，尺寸152mm×30mm×15mm，pH测量范围0～14，分辨力0.1，读数清晰，配校准试剂</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三脚架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由铁环和3只脚组成。2．铁环内径：72mm±0.5mm，外径：≥80mm±0.5mm，厚度6mm±0.5mm。3．三只脚与铁环焊接紧固，脚距相等，立放台上时圆环应与台面平行，所支撑的容器不得有滑动。脚高≥125mm，直径6mm。4.三脚架须经烤漆防锈处理，漆层均匀、牢固。</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电子天平</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量程0g〜100g，分辨率0.001g，带标准砝码，外形尺寸：≥137mm×91mm×67mm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称量纸</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100mm×100mm薄款，500张/袋，整包厚度13±0.5mm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棉绳</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纯棉材质，直径2mm长2m，装在透明塑料圆盒内，圆盒尺寸：≥直径38mm×高28mm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50g±2g</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锥形瓶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500mL，透明硼硅酸盐玻璃制，放在平台上直立不摇晃、不转动。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28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锥形瓶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50mL，透明硼硅酸盐玻璃制，放在平台上直立不摇晃、不转动。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29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电磁炉</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功率可调，额定功率≥1600W</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泡菜坛</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玻璃制1250mL</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冰盒</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干净无毒，可反复使用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井穴板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陶瓷反应板，尺寸：81mm×53mm×13mm，6孔，单孔直径20mm±0.5mm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356"/>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恒温水浴锅</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电热恒温水浴锅一般采用水槽式结构，为方形结构。温控精确，有数字显示，自动温控，操作简便，使用安全。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1.温度范围：室温～100℃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2.功率：600w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3.精度：0.1℃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4.工作盘尺寸：≥300mm×150mm×140mm，一列两孔</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精密PH试纸</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PH5.5～9.0，80张/本，外形尺寸：≥长66mm×宽45mm×厚5mm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气球</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乳胶气球，10英寸，光面</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彩色玻璃纸</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多种颜色，尺寸200mm×320mm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DNA结构模型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产品底座直径200mm±5mm，高度600mm±10mm；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1.双螺旋直径：20Å</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2.螺距：34Å，相邻碱基对的间距：3.4Å</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3.相邻碱基的方向差：36°</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4.每螺旋内的碱基对数：10对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5.氢键长度：2.5Å～4.0Å</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6.沟宽：大沟宽度：20Å，小沟宽度：14Å</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38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彩色卡纸加厚硬纸板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纸张厚度180g，30张/袋</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39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减数分裂中染色体变化模型组件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带有磁吸装置，竖直摆放演示不掉落</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检查图</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书中设置了几何数字线条和物体图形等用于检测红绿色觉及蓝黄色觉异常可根据受检者年龄智力状况等进行检查</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实验方格纸</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产品尺寸为195mm×270mm，方格尺寸为≥170mm×250mm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枝剪</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橡胶手柄+钢材，直头长度为190mm±2mm，重约105g</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弯头镊子</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不锈钢制，L=122mm±2mm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G6玻璃砂漏斗</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滤膜直径不小于35mm±2mm，微孔直径＜2μm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81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细胞结构模型</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产品外形尺寸为：163mm×123mm×120mm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产品采用PVC材质制成，无味。用于中学讲解动物细胞构造时做直观教具，使学生了解动物细胞的形态、构造及其相互作用。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rFonts w:hint="eastAsia" w:ascii="宋体" w:hAnsi="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一次性乳胶手套</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产品毛重：0.7kg；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产品材质：乳胶；100支（S～L）</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解剖盘蜡盘</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260mm×190mm×15mm，蜡盘，主要用于固定标本</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盘</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48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解剖针</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不锈钢材料，总长≥135mm±2mm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49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比色管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50mL具塞比色管，磨砂瓶口，高透光率，底部平稳外径25.4mm±0.5mm，口径18mm±0.5mm，长度200±2mm，具有匹配的玻璃塞，加塞后总长215mm±2mm。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50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长颈漏斗</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硼硅玻璃，直型，下口径8mm，长245mm±2mm，总长300mm±2mm，上口直径40mm±3mm，玻璃壁厚1mm～</w:t>
            </w:r>
            <w:r>
              <w:rPr>
                <w:rFonts w:hint="eastAsia" w:ascii="宋体" w:hAnsi="宋体" w:eastAsia="宋体" w:cs="宋体"/>
                <w:i w:val="0"/>
                <w:iCs w:val="0"/>
                <w:color w:val="auto"/>
                <w:sz w:val="22"/>
                <w:szCs w:val="22"/>
                <w:highlight w:val="none"/>
                <w:u w:val="none"/>
                <w:lang w:val="en-US" w:eastAsia="zh-CN" w:bidi="ar"/>
              </w:rPr>
              <w:t xml:space="preserve">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喷水瓶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50mL，PET材质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透析袋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RC膜，宽度34±0.5mm，直径22mm±0.5mm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透析袋夹</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2～12 pH，内部尺寸60mm±2mm，外部尺寸80mm±0.5mm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砧板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透明塑料材质，砧板尺寸≥200mm×150mm×0.5mm，材质柔韧，可以卷曲，表面磨砂设计，防止切菜时打滑</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陶瓷刀</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刀身材质：陶瓷，手柄材质：PP塑料，刀柄长117±2mm，刃长112±2mm。4.5寸水果刀</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rFonts w:hint="eastAsia" w:ascii="宋体" w:hAnsi="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尼龙布</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尺寸200mm×200mm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记号笔</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黑色，双头油性墨水</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1091"/>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58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数码液晶显微镜（学生端）</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1、光学系统：无限远色差校正光学系统；</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2、双目镜筒，三目倾斜30°，视度可调节，双目瞳距：48-75 mm，左右两系统放大率差≤0.10%；可360度旋转观察，0.5X带光学玻璃摄像接筒；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4、广角目镜：WF10X；目镜可锁紧在目镜筒上。</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5、plan消色差平场物镜：4X,10X,40X,100X(S)，所有物镜均保证齐焦；4倍物镜成像清晰圆直径≥14.50mm,10倍物镜成像清晰圆直径≥15.0mm,40倍物镜成像清晰圆直径≥14.8mm，100倍物镜成像清晰圆直径≥14.2mm；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6、物镜转换器：四孔转换器；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7、粗微调：同轴粗微调，粗调范围：25mm，微调每转：0.2 mm，微调最小格值：2um，具有过载保护自动卸力装置；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8、双层机械载物台：平台面积：110×115 mm以上，行程为70mm×50mm，右手控制，游标刻度为0.1mm；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9、阿贝式聚光镜：垂直移动范围10 mm，NA=1.25 带孔径光栏；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10、显微镜底座装有液晶显示屏，可以显示ECO，亮度，底光源，侧光源，电池容量；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11、照明电光源：透射光源，长寿命、高亮度复眼透镜1W LED灯，节能、绿色、环保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12、显微镜主机及显示屏为一体的电源，电源适配器规格：DC12V 2A；整台数码显微镜用一根电源线提供电源。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13、显示终端：多点触摸屏；LCD尺寸≥10.1英寸；内存容量≥3G；存储容量≥32G；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14、操作系统：Android 10以上操作系统或其他操作系统；</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15、一体化数码成像系统： 像素：500万像素以上，支持4K视频录制，录像分辨率1080P/15FPS以上，超高清成像装置，画面无拖尾延迟现象，1080P HDMI高清数字信号输出；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16、数据接口：HDMI高清投屏/Bluetooth蓝牙传输/Wi-Fi无线/RJ45 LAN有线网络。</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r>
      <w:tr>
        <w:trPr>
          <w:trHeight w:val="1092"/>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159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数码液晶显微镜（教师端）</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1、光学系统：无限远平场色差校正光学系统。</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2、目镜：WF10X/22mm可调广角目镜。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3、物镜：无限远平场消色差物镜，4X/0.10，W.D.15.5mm；10X/0.25,W.D.7.0mm； 40X/0.65（弹簧），W.D.0.71mm；100X/1.25（弹簧/油镜），W.D.0.14mm。成像清晰圆直径：4倍物镜成像清晰圆直径≥14.5mm；10倍物镜成像清晰圆直径≥15.0mm，20倍物镜成像清晰圆直径≥15.0mm；40倍物镜成像清晰圆直径≥14.5mm；100倍物镜成像清晰圆直径≥14.5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4、数码镜筒：铰链式三目，30°倾斜，瞳距调节范围55—75mm，1600万像素以上成像芯片。4K高分辨率，可以拍摄3840*2160分辨率的视频及图片；USB3.0输出；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5、转换器：四孔同心球轴转换器，所有物镜均保证齐焦。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6、粗微调：粗微调同轴调焦，有限位打滑装置，并有内置防滑动离合器，可延长因机械损耗的整机使用寿命；调焦范围：粗调范围22mm，微调范围2mm/转。0.002mm/格。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7、LED光源照明：3W LED光源，亮度可调；稳定性10 万小时，光衰为初始的 50%。灯的响应时间为纳秒级，光照明亮，色度均匀，色温接近自然光。亮度连续可调，在任何亮度下无屏闪，可满足不同色温的标本观察需要，带有光源的仪器操作部位温度与室温之差不超过9.5度。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8、独立升降式聚光镜：NA1.25阿贝聚光镜，带可变光栏，带插板式的相衬、暗场附件接口；燕尾导槽燕尾配合间隙不大于0.04mm；齿轮齿条垂直升降。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载物台：钢丝传动、无齿条凸出复合式双层械移动载物台，无凸出的棱角和齿轮，避免意外误触和伤害手指，面积尺寸216mmX150mm，移动范围75x55（mm），最小读数值0.1mm，载物台受5N水平方向作用力最大位移≤0.016mm；不重复性≤0.004mm；用机械使标本在5mm*5mm范围内移动时的离焦量≤0.008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目镜观察细胞组织、病理、寄生虫等切片时，无明显水样波纹；从4X到100X，镜下目标颜色还原正确无明显偏色（消色差能力）；镜下观察时，目标中心区域清晰度与边缘清晰度无明显差别（平场性）；镜下观察时，目标边缘清晰，无模糊感（对比度）； 粗调阻尼与微调阻尼有明显区别，定位精确，轻微晃动机体无明显失焦现象（精密度）。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11、其他：整机防霉，滤色片，护眼罩，防尘罩，香柏油。</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12"/>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160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显微互动教学平台</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为保证产品的全面性，需提供至少七种显示视图，支持监控视图、报告视图、策略视图、文件提交视图、答题卡视图、抢答竞赛视图、共享白板视图等，在对应视图中能直观地操作相关功能；监控视图页面提供客户端画面监控缩略图，能够显示整个班级学生，并支持缩略图多级放大缩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屏幕广播：将教师机屏幕和教师讲话实时广播给单一、部分或全体学生，可选择全屏或窗口方式。窗口模式下或教师机与学生机分辨率不同情况下，学生机可以以“缩放模式”“平移”或者“智能滚动”的窗口方式接收广播，广播窗口所在的屏幕位置有“居中”“偏右”“偏左”三种方式选择，此时学生可跟着教师操作，边看边练，以增加教学的直观性；支持教师根据需要选择屏幕的某个部分广播给学生，给教师留有一定的私人空间；屏幕广播的同时，支持教师指定学生演示教师机屏幕；广播多媒体课件，可使用屏幕笔添加批注，广播同时可进行屏幕录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3、学生演示：教师选定一台学生机作为示范，由此学生代替教师进行示范教学。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5、分组教学：通过分组教学，将学生分成几个组进行合作学习。小组长可使用多种功能来辅导同伴，例如：广播教学、监视、文件分发和网络影院。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6、屏幕监视：教师机可以监视单一、部分、全体学生机的屏幕，教师机每屏可监视多个学生屏幕。可以控制教师机监控的同屏幕各窗口间、屏幕与屏幕间的切换速度。可手动或自动循环监视。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网络白板：教师通过导入图片、文档或截图创建白板，将白板内容共享给学生，学生和教师可以共享在白板上通过绘图工具和文本书写完成学习任务或绘画作品，提高学生团队合作的兴趣。教师也可以允许学生自己独立完成学习任务，教师可以在教师机上监看所有学生的完成情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8、标准化考试：教师将试卷分发给学生即可开始考试，教</w:t>
            </w:r>
            <w:r>
              <w:rPr>
                <w:rFonts w:hint="eastAsia" w:ascii="宋体" w:hAnsi="宋体" w:eastAsia="宋体" w:cs="宋体"/>
                <w:i w:val="0"/>
                <w:iCs w:val="0"/>
                <w:color w:val="auto"/>
                <w:sz w:val="22"/>
                <w:szCs w:val="22"/>
                <w:highlight w:val="none"/>
                <w:u w:val="none"/>
                <w:lang w:val="en-US" w:eastAsia="zh-CN" w:bidi="ar"/>
              </w:rPr>
              <w:t xml:space="preserve">师导入word、ppt、excel、pdf等文档类型的考试内容共享给学生，直接生成答题卡用于学生作答，包含多种不同的题型：多选题，判断题，填空题和论述题等。考试过程中，可以看到学生答题的进度，答题情况。考试过程中可以教师如有问题补充，可暂停考试，在特殊情况下，可以暂挂考试，下次启动系统后可继续考试；考试过程中如有断电、关机等意外情况学生机可断线重连，考试结束后学生可提交或时间到自动提交。自动评分，柱状图分析统计结果，将评分结果发送给学生，考试结果统一导出 为。html/xml 形式，方便数据后期的整合利用。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9、作业下发（彩信短信功能）：可以将图片或office文件下发给学生作为课后作业。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10、语言选择：中英文可选，满足双语教学需求。</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生物准备室</w:t>
            </w:r>
            <w:r/>
          </w:p>
        </w:tc>
      </w:tr>
      <w:tr>
        <w:trPr>
          <w:trHeight w:val="2286"/>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实验台</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规格：3600mm×1200mm×800mm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1、台面：采用≥12.7mm厚实芯理化板制作，切割处正反面去毛刺切口打磨平整。表面有良好的耐腐蚀性及具有良好的承重性能。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2、柜体：全钢结构，上抽下门设计，采用≥1.0mm高强度镀锌钢板，切割折弯成型焊接打磨平整，表面经环氧树脂喷涂处理。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3、门板及抽面：采用双层结构，组装式设计，保证单层钢板双面都喷涂处理，门板中间填充隔音材料，减少关门时产生的噪声。防撞胶垫：装于抽屉及门板内侧，减缓碰撞，保护柜体。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4、拉手：采用一字拉手。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5、不锈钢防腐合页：采用优质不锈钢模具一体成型。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6、防腐三节静音导轨：三节滚珠滑轨，承重性强，滑动顺滑。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7、固定桌脚：采用柜体内置可调ABS调整脚，保证调整脚前后都可以调节高低。</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挡水条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采用12.7mm厚实验室专用理化板。</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实验室专用水槽</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规格：550mm×450mm×300mm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采用PP一体化成型水槽，易清洁，耐腐蚀特点。</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三联高低位龙头</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鹅颈式实验室专用优质化验水嘴：主体采用铜质，表面环氧树脂喷涂。阀芯采用陶瓷阀芯，配置一个高位水龙头，两个低位水龙头，便于多用途使用。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34"/>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实验室专用试剂架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规格：2800mm×300mm×750mm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1、铝合金结构，表面喷涂高温固化匀乳白环氧树脂喷涂处理，具有较强的耐蚀性能，上下带塑胶模具堵头；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2、试剂架立柱截面尺寸：≥42mm×82mm，型材壁厚≥1.2mm；试剂架立柱双面升降槽，侧面双面镶嵌另色色条；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3、试剂架托架≥1.0mm高强度镀锌钢板，一次性冲压成型；试剂架护栏：护栏壁厚≥1.2mm，单面镶嵌另色色条。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4、立杆牢固固定于C型钢架底端，层板采用≥8mm厚的玻璃，安装后用户可根据试剂大小上下高低无级调节。</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0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滴水架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1、整体采用PP材质，耐腐蚀性能好，抗紫外线辐射强，不易老化、脆化，韧性强，弹性好，易于安装。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2、滴水架主体与集水盘由模具注塑一体成型（非PP板焊接而成）。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3、滴水棒卡扣与主板卡槽紧密契合，不易松动，极好地保护实验器具。</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实验室专用洗眼器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1.双眼洗眼器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2、洗眼喷头：采用不助燃PC材质模铸一体成形制作，具有防尘功能，上面防尘盖平常可防尘，使用时可随时被水冲开，并降低突然打开时短暂的高水压，避免冲伤眼睛。</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付</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87"/>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规格：1000mm×500mm×1970mm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1、PP材质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2、柜体：侧板、顶底板采用改性PP材料增加强度，注塑模一次性成型，表面沙面和光面相结合处理，保证柜体之坚固及密封性，耐腐蚀性强。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3、下储物柜门：内框采用改性PP材质注塑模一次成型，外嵌≥4.6mm厚钢化烤漆玻璃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4、上柜视窗门：内框采用改性PP材质注塑模一次成型，外嵌≥4.6mm厚钢化烤漆玻璃，中间烤漆镂空制作。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6、门把手：采用经过改性PP材质注塑模一次成型，与柜门平行，开启方便。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7、门铰链：采用经过射出成型的PP材料制成，耐腐蚀性好。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8、螺丝：PP材质，可选不锈钢304材质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9、备注：可以用于各种腐蚀性化学品的储存，如硫酸、盐酸、硝酸、乙酸、硫磺酸等</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27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小推车</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规格：600mm×450mm×850mm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层板内空净尺寸长宽≥550mm×400mm，双层层板设计，板材厚度≥0.75mm304不锈钢，立柱采用≥Φ28mm圆管，厚度≥1.0mm，二层之间层间距≥440mm，护栏采用≥16mm不锈钢，高≥70mm，每层加强横梁1根，单层载重不小于150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2、推手通过专用模具成型和立柱为一体式设计，便于推动，握感舒适，整体焊接后打磨抛光处理。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3、配件：优质静音万向轮，360°全方位旋转，其中2只带刹车功能，移动方便，安全更耐用。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4、产品采用焊接连接方式、经打磨抛光处理，无毛刺不刮手。</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储存桶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全新料，防泄漏，密封强，耐腐蚀，耐酸碱桶</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规格：430mm×530mm×110mm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PP材质，注塑成型，载重36KG</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圆形桶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采用开口冷轧板，镀锌圆形桶</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6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干粉灭火器</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1、商品剂量：士0.05KG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2、喷射距离：≥3.5CM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3、灭火级别：1A/21B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5、使用温度：-20°C~+50°C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6、瓶身材质：钢材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7、干粉保质：5年</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27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生物仪器室</w:t>
            </w:r>
            <w:r/>
          </w:p>
        </w:tc>
      </w:tr>
      <w:tr>
        <w:trPr>
          <w:trHeight w:val="7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规格：1000*500*1970mm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1、PP材质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2、柜体：侧板、顶底板采用改性PP材料增加强度，注塑模一次性成型，表面沙面和光面相结合处理，保证柜体之坚固及密封性，耐腐蚀性强，背板采用9mm厚三聚氰胺板。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3、下储物柜门：内框采用改性PP材质注塑模一次成型，外嵌4.6mm厚钢化烤漆玻璃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4、上柜视窗门：内框采用改性PP材质注塑模一次成型，外嵌4.6mm厚钢化烤漆玻璃，中间烤漆镂空制作。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6、门把手：采用经过改性PP材质注塑模一次成型，与柜门平行，开启方便。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7、门铰链：采用经过射出成型的PP材料制成，耐腐蚀性好。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8、螺丝：PP材质，可选不锈钢304材质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9、备注：可以用于各种腐蚀性化学品的储存，如硫酸、盐酸、硝酸、乙酸、硫磺酸等</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80"/>
        </w:trPr>
        <w:tc>
          <w:tcPr>
            <w:gridSpan w:val="8"/>
            <w:shd w:val="clear" w:color="auto" w:fill="auto"/>
            <w:tcW w:w="949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物理实验室1</w:t>
            </w:r>
            <w:r/>
          </w:p>
        </w:tc>
      </w:tr>
      <w:tr>
        <w:trPr>
          <w:trHeight w:val="941"/>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教师演示讲台</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规格：2400mm×700mm×900mm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1、台面：采用≥12.7mm厚实芯理化板制作，切割处正反面去毛刺切口打磨平整。表面有良好的耐腐蚀性及具有良好的承重性能。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全钢结构，采用≥1.0mm高强度镀锌钢板，切割折弯成型，组件焊接工艺，打磨平整，表面经环氧树脂喷涂处理；整体结构设计合理，预留电脑主机、实物展台、教师电源安装位置，中间部分无底板设计便于地面线管进讲台，前后预留检修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3、拉手：采用不锈钢拉手。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4、储物柜门和抽面：采用双层结构，组装式设计，保证单层钢板双面都喷涂处理，门板中间填充隔音材料，减少关门时产生的噪声。防撞胶垫：装于抽屉及门板内侧，减缓碰撞，保护柜体。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5、不锈钢防腐合页：采用优质不锈钢模具一体成型。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6、防腐三节静音导轨：三节滚珠滑轨，承重性强，滑动顺滑。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7、固定桌脚：采用柜体内置可调ABS调整脚，保证调整脚前后都可以调节高低。</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903"/>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学生实验桌</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规格：1225mm×600mm×780mm/820mm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台面：采用≥15mm止滑陶瓷台面。陶瓷台面坯体黑色一体实芯和釉面经高温一体煅烧而成。台面操作边设有≥13mm×1.5mm止滑凹槽，有效防止在实验过程中试管、液体等实验物品滑落造成意外伤害，陶瓷台面表面釉面为实验室专业釉面不会受外界环境影响而脱落脱层，具有耐污染、耐化学腐蚀、无放射性物质、防撞抗冲击、承重力强等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钢铝结构，外形尺寸≥1225mm×600mm×780mm（台面）/820mm（围边），含功能围栏总高度≥925mm；左右侧围边采用一体化压铸铝工艺，尺寸≥405mm×75mm×17mm，围边长度达到390mm，高出台面≥38mm，防止仪器设备掉落的风险；后挡条为铝合金一体成型工艺，高出台面≥38mm，金属表面经环氧树脂粉末喷涂高温固化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3、后功能栏杆，采用≥20mm×30mm×1.0mm的方管弯管成型工艺，高出台面达到145mm，防止实验器材跌落；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4、下面设计两个书包斗，材质采用ABS一体化成型工艺，镂空设计，不屯垃圾，便于清理，中间设挂凳卡；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桌腿采用两节折叠式设计，上部分尺寸≥120mm×210mm×50mm，一体化压铸工艺；下部分采用≥100mm×40mm×1.8mm钢管制作而成；下脚尺寸≥565mm×60mm×40mm，采用不低于2mm钢板冲压一体化成型，金属表面经环氧树脂粉末喷涂高温固化处理。</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r>
      <w:tr>
        <w:trPr>
          <w:trHeight w:val="55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实验凳</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规格：Φ310mm×450mm～500mm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1、凳脚材质：4个凳脚采用≥15mm×30mm×1.7mm钢管模具弯制一次成型，全圆满焊接完成，结构牢固，经高温粉体烤漆处理，长时间使用也不会产生表面烤漆剥落现象 螺旋升降式，升降距离为50mm，最高离地距离≥500mm。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2、ABS凳面材质：采用ABS注塑。表面细纹咬花，防滑不发光，凳面底部镶嵌4枚螺纹，采用标准螺栓与圆形托盘固定。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3、脚垫材质：采用PP加耐磨纤维增强塑料，实心倒钩式一体射出成型。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4、凳托与凳脚留有一定的空间便于凳子挂在挂凳扣上，方便教室的打扫。</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r>
      <w:tr>
        <w:trPr>
          <w:trHeight w:val="1004"/>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准备台</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规格：6200mm×600mm×800mm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1、台面：采用≥12.7mm厚实芯理化板制作，切割处正反面去毛刺切口打磨平整。表面有良好的耐腐蚀性及具有良好的承重性能。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2、柜体：全钢结构，上抽下门设计，采用≥1.0mm高强度镀锌钢板，切割折弯成型焊接打磨平整，表面经环氧树脂喷涂处理。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3、门板及抽面：采用双层结构，组装式设计，保证单层钢板双面都喷涂处理，门板中间填充隔音材料，减少关门时产生的噪声。防撞胶垫：装于抽屉及门板内侧，减缓碰撞，保护柜体。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4、拉手：采用一字拉手。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5、不锈钢防腐合页：采用优质不锈钢模具一体成型。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6、防腐三节静音导轨：三节滚珠滑轨，承重性强，滑动顺滑。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7、固定桌脚：采用柜体内置可调ABS调整脚，保证调整脚前后都可以调节高低。</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10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岛式插座盒</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钢制线盒，预留标准安装位，可同时安装2个86型五孔插座，主框架采用裸板实际厚度≥1.0mm厚优质钢材产一级高强度镀锌钢板经CNC机压成型、焊接制作，环氧树脂静电粉末涂装处理。可安装2个86款插座。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r>
      <w:tr>
        <w:trPr>
          <w:trHeight w:val="110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插座</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规格：86mm×86mm。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1、数量2个。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2、10A交流输出五孔插座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r>
      <w:tr>
        <w:trPr>
          <w:trHeight w:val="1073"/>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规格：1000mm×500mm×2000mm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1、柜体：全钢结构，上下双开门设计，采用≥1.0mm高强度镀锌钢板，切割折弯成型焊接打磨平整，表面经环氧树脂喷涂处理。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2、柜门：上门为钢制整板开孔门框，内嵌玻璃；下门组装式设计，保证单层钢板双面都喷涂处理，门板中间填充隔音材料，减少关门时产生的噪声。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3、拉手：采用不锈钢拉手。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4、隔板：采用≥1.0mm高强度镀锌钢板，成型后≥20mm一体成型，柜体内带调节孔，上下可以调节。</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942"/>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加大仪器柜</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规格：1350mm×500mm×2000mm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1、柜体：全钢结构，上下双开门设计，采用≥1.0mm高强度镀锌钢板，切割折弯成型焊接打磨平整，表面经环氧树脂喷涂处理。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2、柜门：上门为钢制整板开孔门框，内嵌玻璃；下门组装式设计，保证单层钢板双面都喷涂处理，门板中间填充隔音材料，减少关门时产生的噪声。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3、拉手：采用不锈钢拉手。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4、隔板：采用≥1.0mm高强度镀锌钢板，成型后≥20mm一体成型，柜体内带调节孔，上下可以调节。</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381"/>
        </w:trPr>
        <w:tc>
          <w:tcPr>
            <w:gridSpan w:val="8"/>
            <w:shd w:val="clear" w:color="auto" w:fill="auto"/>
            <w:tcW w:w="949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控制系统</w:t>
            </w:r>
            <w:r/>
          </w:p>
        </w:tc>
      </w:tr>
      <w:tr>
        <w:trPr>
          <w:trHeight w:val="351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教师终端模块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1、教师演示台配备总漏电保护和分组保护，可分组控制学生的高低压电源，确保学生实验安全方便；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2、教师电源总控采用≥225mm×127mm尺寸的面板，具备智能控制按键，并能显示电源电压；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3、教师交流电源通过智能控制按键直接选取0V～24V电压，最小调节单元可达1V，额定电流3A；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4、教师直流电源也是通过智能控制按键直接选取，调节范围为1.5V～24V，分辨率可达0.1V，额定电流3A；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5、低压大电流值为10A，自动关断；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教学电源：交流输出为带安全门的插座，带有电源指示，学生低压交流电源可通过智能控制按键直接选取0V～24V电压，最小调节单元为1V，分组输送至学生桌；低压直流电压教师能准确控制，最小调节单元为0.1V。</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731"/>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顶装智能控制平台</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集中控制系统。可执行各分项分页控制。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照明控制：控制顶装照明。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电源控制：控制学生AC电源和低压电源。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摇臂控制：控制摇臂升降。</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99"/>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远程控制模块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A、APP登入有网络注册功能，注册后登入系统操作，使用者忘记密码方便找回，同时方便升级系统，带来新的体验。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B、能使用APP能控制总电源关闭；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C、APP能显示当前温度、相对湿度及当前时间；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D、使用APP能控制学生低压电源的交流电压，且电压值为实测值。如APP给学生交流3V，学生电源电压实测电压为3V；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E、使用APP同时控制水电风光源开启与关闭，同时可以扩展功能（监控布防、空调控制等等）</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041"/>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温湿度监视模块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内置精密温湿度传感装置，实时监控房间内的温度和湿度，保障室内舒适的环境舒适性，能在智能控制平台中实时显示当前环境的温度和湿度。</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81"/>
        </w:trPr>
        <w:tc>
          <w:tcPr>
            <w:gridSpan w:val="8"/>
            <w:shd w:val="clear" w:color="auto" w:fill="auto"/>
            <w:tcW w:w="949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智能吊装系统</w:t>
            </w:r>
            <w:r/>
          </w:p>
        </w:tc>
      </w:tr>
      <w:tr>
        <w:trPr>
          <w:trHeight w:val="162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顶部多模块电源供应装置</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规格：DN235mm×110mm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壳采用ABS材质，模具一体成型。防误操作系统，两片多功能金属盖，当工作状态或者接入设备时，金属盖为打开状态，电源无法上升，防止误操作，不会造成拉坏设备及实验桌上的仪器摔坏；当功能金属盖关闭时，电源可以升起收纳。模块内预留高压电源、0～24V低压电源、网络接口安装位置。</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893"/>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模块储藏装置</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规格：DN390mm×140mm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采用ABS材质，模具一体成型。中间部分尺寸≥DN390mm×140mm，材质为塑钢结构。当下部分电源不使用时，可收纳为一体。收纳舱和四周均带有氛围灯。</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1043"/>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电源供应模块</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带有≥1个USB接口电源、≥插座2个、网络接口≥1个。低压1.5V～24V直流电源≥2组输出，输出电流为2.5A。低压0V～24V交流电源，≥2组输出，输出电流为2.5A；≥2组输出口为分开，方便学生操作相互不干扰，其中低压交直流、输出为被教师主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r>
      <w:tr>
        <w:trPr>
          <w:trHeight w:val="102"/>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学生端调节终端</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带两块≥DN50mm尺寸面板，供学生调节使用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1、数字仪表盘用于展示学生电流控制；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2、采用面板上的数字按键进行电源电压的调节；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3、采用面板上的数字按键微调电源距离，当调整完成后，教师主控能锁定，使学生不能随意调整；</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r>
      <w:tr>
        <w:trPr>
          <w:trHeight w:val="60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伸缩线束</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含高低压供电线缆和网络线缆</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111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智能升降模块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规格：490mm×390mm×150mm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外部舱体为高强度镀锌钢板制作，尺寸≥490mm×390mm×150mm，表面环氧喷涂，喷涂厚度≥75μm，内置24V电机、控制电路、卷线机构。电缆线内设有两路网线及电源线若干，两侧设有高度调节挂件，调节高度≥350mm，适合不同高度房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2、内置控制模块接收主控信号，发送输出信号。</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54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综合布线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≥2.5mm²电线，给学生低压电源供电；≥1mm²屏蔽电源线</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0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安装支架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环氧树脂喷涂金属吊杆</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间</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54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安装辅件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1、包含整体安装施工、配套专用支吊架制作安装作业；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2、配齐专用安装固定螺杆及全套紧固连接件，规格匹配现场安装工况；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3、拼接部位统一加装耐温密封垫片，保障接口密封严实、无漏风渗气；</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4、所有安装辅材、固定件、密封配件均随安装工序同步配齐到位，整体完工交付。</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间</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73"/>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实验室顶部造型</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1、轻钢龙骨，石膏板艺术造型，铝方通造型，铝扣板造型。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2、顶面成品处理。</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平方米</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 </w:t>
            </w:r>
            <w:r/>
          </w:p>
        </w:tc>
      </w:tr>
      <w:tr>
        <w:trPr>
          <w:trHeight w:val="480"/>
        </w:trPr>
        <w:tc>
          <w:tcPr>
            <w:gridSpan w:val="5"/>
            <w:shd w:val="clear" w:color="auto" w:fill="auto"/>
            <w:tcW w:w="795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高中物理学生实验仪器清单</w:t>
            </w:r>
            <w:r/>
          </w:p>
        </w:tc>
        <w:tc>
          <w:tcPr>
            <w:gridSpan w:val="2"/>
            <w:shd w:val="clear" w:color="auto" w:fill="auto"/>
            <w:tcW w:w="671" w:type="dxa"/>
            <w:vAlign w:val="center"/>
            <w:textDirection w:val="lrTb"/>
            <w:noWrap/>
          </w:tcPr>
          <w:p>
            <w:pPr>
              <w:ind w:left="0" w:right="0"/>
              <w:jc w:val="both"/>
              <w:keepLines w:val="0"/>
              <w:keepNext w:val="0"/>
              <w:spacing w:before="0" w:beforeAutospacing="0" w:after="0" w:afterAutospacing="0"/>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W w:w="870" w:type="dxa"/>
            <w:vAlign w:val="center"/>
            <w:textDirection w:val="lrTb"/>
            <w:noWrap/>
          </w:tcPr>
          <w:p>
            <w:pPr>
              <w:ind w:left="0" w:right="0"/>
              <w:jc w:val="both"/>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单刀开关</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最高工作电压36V，额定工作电流6A。开关闸刀、接线柱、垫片均为金属导电材质。闸刀宽度≥46mm，闸刀厚度0.7mm。接线柱直径为4mm，有效行程≥4mm。通额定电流，导电部分允许温升≤35℃，操作手柄允许温升≤25℃。开关的绝缘强度应能承受1200V。在额定直流电流工作条件下，接线两端直流电压降≤100mV，单刀开关底座尺寸：≥75mm×35mm，产品外形尺寸：≥89mm×35mm×33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小灯座</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由底座、接线柱和螺旋式灯座等组成，与E10小电珠配用。底座采用酚醛塑料等硬质绝缘材料制成；灯座采用厚度不小于0.5mm的磷铜片制成，中心触点应采用厚0.3mm～0.4mm 的磷铜材料，具有弹性，连接片为铜片；接线柱直径为4mm，有效行程≥4mm，接线柱螺帽应防止旋出。产品外形尺寸：≥长75mm×宽35mm×高32mm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小灯泡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螺口，2.5V0.3A，灯泡直径11mm±0.5mm，长度23mm±2mm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小灯泡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螺口，3.8V0.3A，灯泡直径11mm±0.5mm，长度23mm±2mm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电池盒</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R20（1#）电池用，有插夹两用接线柱，正负极用弹性磷铜片，有串并联接插口，产品外形尺寸：≥103mm×41mm×53mm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电池</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1.5V/节</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节</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电压表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3V、15V双量程，2.5级，满度电流：1mA。基本误差、升降变差、平衡误差不超过量程上限的2.5％，产品外形尺寸：≥125mm×80mm×75mm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电流表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0.6A、3A双量程，2.5级，压降：75mV。基本误差、升降变差、平衡误差不超过量程上限的2.5％，产品外形尺寸：≥125mm×80mm×75mm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灵敏电流计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30μA，G0档表头内阻80Ω～125Ω，G1档表头内阻2400Ω～3000Ω，产品外形尺寸：≥125mm×80mm×75mm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蜂巢电路板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塑料封板中间固定4mm内径的铜柱，形状为正六边形，任意的几个之间都可以随意拼接，正六边形尺寸≥边长30mm×高度25mm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导线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长度分别为300mm±2mm；线径3mm，单芯4mm香蕉插头，纯铜导线；蓝色</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导线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长度分别为300mm±2mm；线径3mm，单芯4mm香蕉插头，纯铜导线；红色</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螺线管（套装）</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线圈：0.56mmQZ型漆包线400匝，线圈架内径11mm±0.5mm，绕线宽度277mm±2mm；副线圈0.25mmQZ型漆包线1600匝，绕线宽度28mm±0.5mm，原副线管框架尺寸：≥45mm×45mm×74mm，框架内方孔，边长21mm±2mm，线芯直径20mm±0.5mm，长72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硅钢片用绝缘环氧树脂胶粘连而成，条形铁芯尺寸：≥20mm×20mm×72mm,U形铁芯尺寸：≥72mm×20mm×77mm，内框尺寸：≥32mm×55mm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滑动变阻器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10Ω，2A，误差〈±10%；滑杆采用正六边形截面；电阻丝采用康铜丝，接线柱有防松动装置；额定电流工作30min温升≤300℃。产品外形尺寸：≥155mm×45mm×65mm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滑动变阻器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20Ω，2A，误差〈±10%；滑杆采用正六边形截面；电阻丝采用康铜丝，接线柱采用插头形式；额定电流工作30min温升≤300℃。产品外形尺寸：≥155mm×45mm×65mm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电解电容（电）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1000μF25V，电容两脚与M4的香蕉插头焊接在一起，装在不带孔的透明方盒内，方盒尺寸≥35mm×16mm×33mm，脚长18mm±2mm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电解电容（电）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100μF25V，电容两脚与M4的香蕉插头焊接在一起，装在不带孔的透明方盒内，方盒尺寸≥35mm×16mm×33mm，脚长18mm±2mm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电解电容（电）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470μF25V，电容两脚与M4的香蕉插头焊接在一起，装在不带孔的透明方盒内，方盒尺寸≥35mm×16mm×33mm，脚长18mm±2mm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电阻定律实验器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该电阻定律实验器由主体框架、金属导线组、铜短接片及调节组件构成，整体外形尺寸为≥350mm×190mm×50mm。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1.主体结构：面板（灰色ABS注塑，表面丝印标注电阻丝材质、线径及规格）与底板（黄色ABS注塑）通过卡扣扣压组装，内部设方格式加强筋提升结构强度；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2.电阻导线配置：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康铜丝：3根，长度分别为600mm（φ0.3mm）、600mm（φ0.5mm）、300mm（φ0.8mm）；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镍铬丝：1根，长度600mm（φ0.3mm）；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铁铬丝：1根，长度300mm（φ0.3mm）；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3.调节组件：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铜短接片：磷铜切割成型，支持同材质同直径电阻丝的串联（延长长度）或并联（改变横截面积）；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接线柱：外径≥10mm，固定螺杆M4，帽行程≥4mm，支持电阻丝快速固定及外接电路扩展（插接两用）；接线柱帽不可旋下，确保连接稳定性。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导线调节螺母：采用琴弦式锁紧装置，通过旋钮调节螺母，精准控制电阻丝的张力，确保实验过程中导线拉紧且无松弛。</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通过组合不同材质、长度、直径的电阻丝及铜短接片，可定量验证电阻率公式（R=ρL/S），直观演示材料、尺寸对电阻的影响，适用于中学及大学物理电学实验教学。</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330Ω的电阻两脚与M4的香蕉插头焊接在一起，装在不带孔的透明方盒内，方盒尺寸≥35mm×16mm×33mm，脚长18mm±2mm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单刀双掷开关</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最高工作电压36V，额定工作电流6A。开关闸刀、接线柱、垫片均为金属导电材质。闸刀宽度≥37mm，闸刀厚度≥0.7mm。接线柱直径为4mm，有效行程≥4mm。通额定电流，导电部分允许温升≤35°C，操作手柄允许温升≤25℃。开关的绝缘强度应能承受1200V。在额定直流电流工作条件下，接线两端直流电压降≤100mV，单刀双掷开关底座尺寸：≥75mm×35mm，产品外形尺寸：≥110mm×35mm×33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条形磁铁</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铁氧体制作，尺寸：≥71mm×20mm×5mm，学生分组实验用。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游标卡尺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亚光电镀，碳钢整体热处理，量程0mm～150mm，分度值0.02mm；尺框微动装置沿尺身移动平稳、无卡滞和松动现象，用制动螺钉能准确、可靠地固定在尺身上；带深度尺。</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198"/>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螺旋测微器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量程0mm～25mm，分度值0.01mm；螺杆和螺母全量程范围内充分啮合，配合良好，无明显卡滞和轴向窜动，螺杆与轴套配合良好无明显径向摆动，锁紧装置能有效锁紧测微装置。</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塑料直尺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量程30cm，PS材质，透明</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鳄鱼夹（带防护套）</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带有防护套，小号，长度：53mm±2mm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适应范围：尾部可以插4.0mm香蕉插头，开口尺寸：≤8mm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稳压二极管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3V/0.5W，带色环的那边是负极，电阻长度3.9mm，直径1.9mm，丝长27.5mm±2mm，直径0.5mm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普通小电阻</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材料：金属膜圆柱形镍铬或类似合金紧密附在瓷棒表面形成皮膜，接头表面涂上环氧树脂密封，引脚镀镍。薄膜式电阻器，抗干扰能力强，圆柱形</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 </w:t>
            </w:r>
            <w:r/>
          </w:p>
        </w:tc>
      </w:tr>
      <w:tr>
        <w:trPr>
          <w:trHeight w:val="27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多用电表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指针式，不低于2.5级，黑色塑料外壳。</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数字式多用电表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数字式，4½位，电压、电流、电阻、电容、二极管、温度、频率测试</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电池</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1.5V/节</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节</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蜂鸣器（电）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蜂鸣器3V，黑色分体≥12mm×6.5mm，两脚与M4的香蕉插头焊接在一起，装在不带孔的透明方盒内，方盒尺寸≥35mm×16mm×33mm，脚长18mm±2mm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电位器（电）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阻值为10kΩ（B103）的电位器两脚与M4的香蕉插头焊接在一起，装在带有小孔的透明方盒内，孔上方装有可调节的电位器旋钮开关，方盒尺寸≥35×16×33mm，孔径6mm±0.5mm，脚长18mm±2mm，产品总高度68mm±2mm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电位器（电）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阻值为100kΩ（B104）的电位器三只脚与M4的香蕉插头焊接在一起，装在带有小孔的透明三角盒内，孔上方装有可调节的电位器旋钮开关，三角盒尺寸≥边长37×高33mm，孔径6mm±0.5mm，脚长18mm±2mm，产品总高度68mm±2mm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电位器（电）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阻值为1kΩ（B102）的电位器三只脚与M4的香蕉插头焊接在一起，装在带有小孔的透明三角盒内，孔上方装有可调节的电位器旋钮开关，三角盒尺寸≥边长37×高33mm，孔径6mm±0.5mm，脚长18mm±2mm产品总高度68mm±2mm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10Ω的电阻两脚与M4的香蕉插头焊接在一起，装在透明方盒内，方盒尺寸≥35mm×16mm×33mm，脚长18mm±2mm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47Ω的电阻两脚与M4的香蕉插头焊接在一起，装在透明方盒内，方盒尺寸≥35mm×16mm×33mm，脚长18mm±2mm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220Ω的电阻两脚与M4的香蕉插头焊接在一起，装在透明方盒内，方盒尺寸≥35mm×16mm×33mm，脚长18mm±2mm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1KΩ的电阻两脚与M4的香蕉插头焊接在一起，装在透明方盒内，方盒尺寸≥35mm×16mm×33mm，脚长18mm±2mm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10KΩ的电阻两脚与M4的香蕉插头焊接在一起，装在透明方盒内，方盒尺寸≥35mm×16mm×33mm，脚长18mm±2mm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4.7KΩ的电阻两脚与M4的香蕉插头焊接在一起，装在透明方盒内，方盒尺寸≥35mm×16mm×33mm，脚长18mm±2mm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47KΩ的电阻两脚与M4的香蕉插头焊接在一起，装在透明方盒内，方盒尺寸≥35mm×16mm×33mm，脚长18mm±2mm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发光二极管（电）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3mm的红色LED两脚与M4的香蕉插头焊接在一起，装在带孔的透明方盒内，方盒尺寸≥35mm×16mm×33mm，孔径6mm±0.5mm，脚长18mm±2mm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发光二极管（电）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3mm的黄色LED两脚与M4的香蕉插头焊接在一起，装在带孔的透明方盒内，方盒尺寸≥35mm×16mm×33mm，孔径6mm±0.5mm，脚长18mm±2mm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二极管（电）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1N4001 1A/50V</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光敏电阻（电）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φ5mm的光敏电阻两脚与M4的香蕉插头焊接在一起，装在带孔的透明方盒内，方盒尺寸≥35mm×16mm×33mm，孔径6mm±0.5mm，脚长18mm±2mm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干簧管（电）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干簧管常开型磁控开关，镀金玻封2x14mm两脚与M4的香蕉插头焊接在一起，装在不带孔的透明方盒内，方盒尺寸≥35mm×16mm×33mm，脚长18mm±2mm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三极管（电）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三极管直插NPN三极管，三只脚与M4的香蕉插头焊接在一起，装在无孔的透明三角盒内，三角盒尺寸≥边长37×高33mm，脚长18mm±2mm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三极管（电）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三极管直插PNP三极管，三只脚与M4的香蕉插头焊接在一起，装在无孔的透明三角盒内，三角盒尺寸≥边长37×高33mm，脚长18mm±2mm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继电器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1.本产品由底座、背板、继电器、接线柱等组成。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2.底座与背板采用ABS一体成型注塑而成，底座尺寸为100mm×70mm×16mm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强光手电筒</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铝合金材质，长93mm±2mm，最大直径25mm±0.5mm，内装一节5号电池</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电阻箱</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仪器采用胶木密封结构，电阻值变换方式为旋钮开关形式，是依靠电刷旋转到不同位置而达到阻值变换的目的。阻值可调范围：0～99999.9Ω，最小步进值1Ω，使用温度0～40℃，相对湿度：25%～80%，参考功率：0.5W；额定功率：1W</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水果电池套件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铜锌两种材质，尺寸≥长50mm×宽20mm×厚0.3mm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学生套尺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学生套尺 黑色 金属材质，黑色包括30°三角尺、180°量角器、45°三角尺、20cm直尺，PP塑料盒子包装。</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大头针</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100g/筒</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筒</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梯形玻璃砖</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透明光学玻璃，上底边长38mm±2mm，下底边长88mm±2mm，高度35mm±2mm厚度14mm±2mm；一梯形面为粗加工面，其余为精加工面；上下底面平行</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透明硼硅酸盐玻璃制，烧杯的满口和标称容量的两液面间距大于10mm，烧杯底部直径70mm±0.5mm，口部外径79mm±0.5mm，内径65mm±0.5mm，总高97mm±2mm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油膜实验器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产品尺寸：直径200mm±2mm×厚37mm±0.5mm，产品包括油酸溶液1瓶，盛水盘1只，痱子粉1瓶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20mL，分度值1mL，刻度清晰。</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100mL，透明硼硅酸盐玻璃制，刻度线应在瓶颈下部三分之二处，清晰耐久，粗细均匀，平底，配有匹配的玻璃塞</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10mL，透明钠钙玻璃制，分度线、数字和标志完整、清晰和耐久，底座直径39mm±0.5mm，筒直径15.5mm±0.5mm，总高139mm±2mm，壁厚1～2mm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微型物理观察仪</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产品包含激光发射器、接收屏、4个光学元件（衍射片、光栅），配有电池，光屏尺寸≥120mm×80mm，激光发射器尺寸：≥50mm×90mm×60mm，用于完成各种干涉、衍射实验</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外壳塑料+尺带金属，L=5m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电磁打点计时器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1、工作电源∶交流电6V、50Hz。（实测6～9V）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2、打点周期∶0.02秒。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3、打点周期相对误差≤1%。（电源为50Hz时，调波器测试）。</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4、打点接触时间∶≤0.1毫秒。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5、工作时产生的阻力∶≤3克。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6、打点清晰∶不出现漏点现象。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7、工作位置∶平放。</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8、工作条件∶环境温度-10-40℃相对湿度≤85%。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9、纸带∶带宽12mm±1mm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10、重锤∶300g±3g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打点计时器为磁电式结构。仪器主要由线圈、振动片、打点钉、磁钢、极靴、纸带限位框、压纸框、打点垫板、复写纸定位钉、复写纸调节片、接线柱、底座等部件组成。同时仪器还包括配套附件纸带、复写纸、重锤、夹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产品尺寸≥143mm×70mm×40mm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电火花打点计时器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多频率：0.01s、0.02s、0.05s，有同步释放功能，尺寸≥150mm×60mm×43mm配有重锤、复写纸、宽12mm±1mm的纸带、固定夹</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钩码</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直径22mm±0.5mm，高度42mm±0.5mm的铁质钩码体，上部有一个钩环，下部开一道4mm宽度的槽，并有一个金属棒与槽十字相交，用于挂钩。表面整体镀铬。</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钩码每个重50g，质量误差在±0.1g。10个为一套，装在一个≥137mm×70mm×48mm的蓝色钩码盒内。</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剪刀</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尺寸≥180mm×63mm，采用钢材材质，表面光泽自然，刃口锋利，剪柄外面包有塑料，握拿舒适</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胡克定律实验器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铝合金材质，器材由主体、既可拉又可以压的弹簧、拉钩、压钩，调零螺母，刻度尺等组成，可以直接探究弹簧弹力与其拉伸量和压缩量都成正比的关系</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钓鱼线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6号，线径0.40mm，总长2000mm±50mm，透明盒装，尺寸≥75mm×70mm×18mm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单摆球组</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外盒：≥59mm×44mm×30mm，大球直径20mm±0.5mm，大孔径3mm，小孔径1.5mm；小球直径13mm±0.5mm，大孔径3mm，小孔径1mm；红球直径15mm±0.5mm，大孔径2.5mm，小孔径1mm；蓝球直径20mm±0.5mm，大孔径3mm，小孔径1.5mm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电子计时器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具有秒表计时、分段计时、二段计时，同时可显示时间、日历等</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测力计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塑料、铁制成，规格为5N，圆柱筒直径16mm±0.5mm，总长270mm±2mm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测力计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铝合金外壳，规格为10N</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50g</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图钉</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金属材质，80只/盒</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导线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长度为1000mm±5mm；线径3mm，单芯4mm香蕉插头，纯铜导线；蓝色</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导线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长度为1000mm±5mm；线径3mm，单芯4mm香蕉插头，纯铜导线；红色</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实验方格纸</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产品尺寸≥195mm×270mm，方格尺寸≥170mm×250mm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燕尾夹</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黑色#3</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托盘天平</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单杠杆等臂式双盘天平，配6级（M2级）砝码：100g、50g、10g、5g各1个，20g2个，不锈钢镊子。</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回形针</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不锈钢质，200枚/盒，产品外形尺寸：直径61mm±0.5mm×高38mm±2mm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圆规</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金属圆规，pp塑料盒装，盒子尺寸125mm×36mm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铁架台</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本产品为多功能方座支架，由矩形底座、立杆、横杆、四爪万用夹、铁圈、双嘴钳等组成，适配理化生实验场景。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1.底座尺寸210mm±2mm×135mm±1mm×25mm±0.5mm，面板采用灰色ABS材质注塑成型，耐酸碱且表面细纹防滑，内部方格板结构增强承重，配重块为铁质环氧树脂防锈涂层，总重约2kg，底部硅胶垫片确保放置平稳无晃动。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2.立杆由两根300mm不锈钢支撑杆（直径Φ10mm，M8螺纹接口）组合而成，表面防锈处理，另配一根同材质横杆用于悬挂测力计或滑轮。立杆与底座通过蝴蝶螺母手拧固定，无需工具即可垂直锁紧。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配件包含中号铁圈（内径68.7±0.5mm）、小号铁圈（内径49.1±0.5mm，碳钢材质，直径8±0.2mm）、双嘴钳两只、四爪万用夹（锌合金材质，夹持口胶木防护），可稳定夹持试管、烧瓶等实验器具，夹持牢固无滑脱风险。</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力学轨道小车及配件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产品由轨道、打点计时器托板、弹射开关、缓冲挡板及2辆智能小车组成，适配力学实验与运动轨迹分析。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轨道：铝合金拉伸氧化处理，尺寸≥1000mm×100mm×18mm，平面设双轨道凹槽（间距匹配小车轮距），两侧贴厘米刻度线用于测距，底部中空槽安装轨道调整脚，侧面滑轨式凹槽支持配件扩展；</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打点计时器托板：铝合金氧化材质，固定面贴EVA泡棉，配手拧螺丝固定打点器，内侧设香蕉插口连接弹射开关；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小车弹射开关：黄色ABS注塑，顶部凸起挂钩固定小车，按压释放（需预调轨道倾角），实现可控初速度弹射；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缓冲挡板：灰色ABS注塑，内侧双支脚拦截小车，外侧滑轮可调高度（适配悬挂钩码），支持牛顿第二定律实验；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智能小车：铝合金主体黄色特氟龙涂层，内置弹射装置，尾部纸带卡槽（带系线圆孔挂接钩码），顶部四孔安装传感器支架，兼容力学传感器数据采集，纸带轨迹记录精度达毫米级。产品尺寸：≥160mm×85mm×40mm。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实验功能：通过弹射开关控制小车初速度，结合打点计时器、缓冲挡板及传感器，可完成匀变速运动验证、碰撞动量守恒、加速度测量等高中及大学物理力学实验，模块化设计支持多场景拓展。</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6</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制图板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木质，A3</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气体定律演示器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总宽170mm±2mm，高330mm±2mm，演示器由气柱玻管、压力表、定容机构、固定架和体积标尺等主要部件组成。气柱玻管又分外管和管塞两部分。管塞摩擦面上有小孔，中间有一细玻璃管穿过两端，其上端与压力表相连、下端与被测气体相通，但与管塞内部不相通，管塞内灌进特种油。油面高出中部小孔5mm左右。管塞在上下滑动时不断有少量油被拖带出来，以保持接触面的润滑，增加气密性，防止被测气体外漏</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碰撞实验器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1.产品由铝合金轨道、固定支架、支球架、重锤、两种不同材料的小球，直径16mm，轨道上装有固定小球的释放夹。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2.此产品用于高中物理教学学生分组实验仪器，该产品可完成验证动量守恒定律实验。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3.产品使用时需与铁架台配合使用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89</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平抛实验器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由铝制导轨、钢球、重锤、接球槽和演示板组成。1.底座和面板均采用冷轧板制成，面板烤白漆、底座采用吸塑材质，面板尺寸≥335mm×450mm×1mm，底座尺寸≥375mm×150mm×30mm，并有调平螺丝；2.钢球直径为16mm±0.5mm；3.接球槽可上下移动，能停留在任一位置。</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0</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向心力实验演示器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产品由机座、变</w:t>
            </w:r>
            <w:r>
              <w:rPr>
                <w:rFonts w:hint="eastAsia" w:ascii="宋体" w:hAnsi="宋体" w:eastAsia="宋体" w:cs="宋体"/>
                <w:i w:val="0"/>
                <w:iCs w:val="0"/>
                <w:color w:val="auto"/>
                <w:sz w:val="22"/>
                <w:szCs w:val="22"/>
                <w:highlight w:val="none"/>
                <w:u w:val="none"/>
                <w:lang w:val="en-US" w:eastAsia="zh-CN" w:bidi="ar"/>
              </w:rPr>
              <w:t xml:space="preserve">速盘、大皮带轮、小皮带轮、旋臂、示力标尺、压杆、套筒、弹簧、钢球、铝球、驱动机构等组成。机座采用工程塑料制作，底部安装橡胶垫脚，机座高度约120mm±2mm；两只变速盘均由塑料注塑制作，主动轮最大外径190mm±0.5mm，从动轮外径130mm±0.5mm。变速盘主、从动轮传动比为1:1、1:2及1:3，传动误差不大于0.5%；大、小皮带轮均采用工程塑料制作，大皮带轮尺寸为：Φ70±0.5mm×12mm±0.5mm，小皮带轮尺寸为：Φ40±0.5mm×12mm±0.5mm；悬壁采用厚度为1mm的金属板制作，</w:t>
            </w:r>
            <w:r>
              <w:rPr>
                <w:rFonts w:hint="eastAsia" w:ascii="宋体" w:hAnsi="宋体" w:eastAsia="宋体" w:cs="宋体"/>
                <w:i w:val="0"/>
                <w:iCs w:val="0"/>
                <w:color w:val="auto"/>
                <w:sz w:val="22"/>
                <w:szCs w:val="22"/>
                <w:highlight w:val="none"/>
                <w:u w:val="none"/>
                <w:lang w:val="en-US" w:eastAsia="zh-CN" w:bidi="ar"/>
              </w:rPr>
              <w:t xml:space="preserve">悬壁宽度45mm±2mm。示力标尺总长为50mm±2mm，采用红、白相间的色环标识，每格色环宽5mm；压杆采用厚度1mm的铁板制作，压杆臂长约80mm±2mm；套筒采用内径26mm的塑料筒，长95mm；弹簧为Φ30mm±0.5mm×70mm±2mm的压簧，采用Φ1.2mm的弹簧钢丝绕制，圈数：15；钢球与铝球直径均为28.6mm，钢球质量为95.5g±2g，铝球质量为47.45g±1g。仪器可形象直观地演示和定性验证向心力公式：F=mv2/r或F=mω2r。仪器外形尺寸≥460mm×200mm×330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气垫导轨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由导轨、导轨支座、滑行器及有关实验附件组成。导轨采用铝合金型材制作，导轨工作面长度1200mm±5mm，导轨工作面夹角：90°，导轨一侧斜面筋上设有刻度尺，刻度尺全长1200mm±5mm，最小分度值为1mm，每10mm标注刻度数字。导轨脚距：700mm±5mm，导轨进气口外径：Φ30mm±0.5mm，导轨底部设有两个支座、一个支座为单脚支座，高度不可调，另一个为双脚支座，双脚支座上设</w:t>
            </w:r>
            <w:r>
              <w:rPr>
                <w:rFonts w:hint="eastAsia" w:ascii="宋体" w:hAnsi="宋体" w:eastAsia="宋体" w:cs="宋体"/>
                <w:i w:val="0"/>
                <w:iCs w:val="0"/>
                <w:color w:val="auto"/>
                <w:sz w:val="22"/>
                <w:szCs w:val="22"/>
                <w:highlight w:val="none"/>
                <w:u w:val="none"/>
                <w:lang w:val="en-US" w:eastAsia="zh-CN" w:bidi="ar"/>
              </w:rPr>
              <w:t xml:space="preserve">有两只调节螺钉，用来调节导轨的纵向水平及横向水平；滑行器采用铝合金制作，长度120mm±2mm。实验附件包括：挡光片（100mm,50mm,30mm各2片）6片、挡光条（5mm）2个、紧固螺钉（M4×10mm）17只、滑轮2个、滑轮架1个、加重砝码（50g±0.5g，100g±1g各4个）、U形弹射器2个、圆形弹射器2个、挂钩架2个、牵引线3米、座架4个、橡皮泥1块、三定律弹射器1个、砝码桶1个、振子弹簧2个、光电门架2个、起始板1个、钢丝针（Φ0.5mm）2根、固定螺钉（M4×25mm）2个、橡皮筋4根。</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小型气源</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本产品为中学物理演示实验用气垫导轨的配套仪器。气压不小于5kPa，低噪声。供气垫导轨使用。1.工作电压：50Hz;2.波纹管内径为30mm，长度不小于1500mm。3.接口配合紧密。</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数字计时器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工作电压：50Hz；2.工作时间：连续；3.数据成像：2位功能提示符，5位数值显示；4.存储深度：最先发生的10次计时；5.读数方法：手动/自动，可切换；6.计数范围：0～99999；7.计时范围：0.0ms～9999.9s；8.速度范围：0～9999.9m/s；9.加速范围：0～9999.9m/s 2；10.周期：0.0ms～9999.9s；10.光电门：1套（2只），电磁铁接线插头1付。11.塑料外壳，尺寸≥200mm×175mm×70mm。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方格纸</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产品尺寸≥297mm×420mm，方格尺寸≥250mm×350mm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钢直尺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1000mm分度值为1mm；材料为不锈钢材质。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5"/>
            <w:shd w:val="clear" w:color="auto" w:fill="auto"/>
            <w:tcW w:w="795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高中物理随堂实验仪器清单</w:t>
            </w:r>
            <w:r/>
          </w:p>
        </w:tc>
        <w:tc>
          <w:tcPr>
            <w:gridSpan w:val="2"/>
            <w:shd w:val="clear" w:color="auto" w:fill="auto"/>
            <w:tcW w:w="671" w:type="dxa"/>
            <w:vAlign w:val="center"/>
            <w:textDirection w:val="lrTb"/>
            <w:noWrap/>
          </w:tcPr>
          <w:p>
            <w:pPr>
              <w:ind w:left="0" w:right="0"/>
              <w:jc w:val="both"/>
              <w:keepLines w:val="0"/>
              <w:keepNext w:val="0"/>
              <w:spacing w:before="0" w:beforeAutospacing="0" w:after="0" w:afterAutospacing="0"/>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W w:w="870" w:type="dxa"/>
            <w:vAlign w:val="center"/>
            <w:textDirection w:val="lrTb"/>
            <w:noWrap/>
          </w:tcPr>
          <w:p>
            <w:pPr>
              <w:ind w:left="0" w:right="0"/>
              <w:jc w:val="both"/>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毛细玻璃管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外径Φ6mm±0.5mm，内径Φ0.5mm，长度为150mm±2mm，高透明玻璃材质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毛细玻璃管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外径Φ6mm±0.5mm，内径Φ1mm，长度为150mm±2mm，高透明玻璃材质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毛细玻璃管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外径Φ6mm±0.5mm，内径Φ2mm，长度为150mm±2mm，高透明玻璃材质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肥皂液</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80g/瓶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NTC热敏电阻（电）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NTC热敏电阻两脚与M4的香蕉插头焊接在一起，装在带孔的透明方盒内，方盒尺寸≥35mm×16mm×33mm，孔径6mm±0.5mm，脚长18mm±2mm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PTC热敏电阻（电）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PTC热敏电阻两脚与M4的香蕉插头焊接在一起，装在带孔的透明方盒内，方盒尺寸≥35mm×16mm×33mm，孔径6mm±0.5mm，脚长18mm±2mm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枕形导体</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1.本产品由一对对称的半枕形导体、绝缘支杆和底座等部件构成，专为静电学实验设计。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每个半枕形导体下方配备了一个导电挂钩，用于夹住铝箔纸，以实现电路的连接。这对半枕形导体采用高品质的304不锈钢材料制成，表面镀铜，封闭端呈现为半球面，既保证了良好的导电性能，又展现了精致的外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3.绝缘支杆选用透明亚克力管，其外径为12mm，高度为105mm，起到良好的绝缘性效果。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4.底座采用ABS材料外壳内铸铁制成，直径设计为Φ80mm，不仅稳固支撑整个装置，还具备了良好的抗冲击性和耐腐蚀性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带绝缘柄的金属小球</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手柄长130mm±2mm，塑料制成，金属球直径Φ20mm±0.5mm，钢球表面镀铬。</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球形导体</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1.本实验装置由球形导体、绝缘支杆和底座三个主要部分构成，旨在提供静电学实验的直观展示。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2.球体部分采用精密制造的不锈钢空芯球体，具有Φ89mm的直径，确保了导体的稳定性和耐用性。绝缘支杆则选用透明亚克力管，外径12mm，高度为105mm，起到良好的绝缘性效果。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3.底座采用ABS材料外壳内铸铁制成，直径设计为Φ80mm，不仅稳固支撑整个装置，还具备了良好的抗冲击性和耐腐蚀性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有机玻璃棒（附丝绸）</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有机玻棒（附丝绸），在规定工作条件下，用丝绸裹住玻棒（或有机玻棒），做一次快速拉出，棒上所带的电荷用指针验电器检验张角≥30°</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有机橡胶棒（附毛皮）</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聚碳酸酯棒（附毛皮），在规定工作条件下，用毛皮裹胶棒（或聚碳酸棒），做一次快速拉出，棒上所带的电荷用指针验电器检验张角≥30°</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验电器连接杆</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产品由绝缘手柄、连接杆、紧固螺钉构成。绝缘手柄采用直径Φ12mm±0.5mm的有机玻璃棒制作，长度≥120mm；连接杆采用直径不小于Φ2mm的钢丝制作，长度≥200mm，一端成形为“V”形。</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缝衣针</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2号，长39mm±2mm，直径0.9mm。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细棉线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涤纶材质，白线，一卷长度为150m±5m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单层云母片套件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产品尺寸≥50mm×50mm×0.1mm，10片/盒，透明塑胶盒尺寸：≥57mm×61mm×17mm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纯铁，直径Φ0.2mm，总长≥2m，绕在透明塑料线圈上，线圈外径49mm±0.5mm，内径36mm±0.5mm，厚度10mm±0.5mm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液体表面张力实验器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不锈钢材质，多种形状，通过实验证实液体自由表面的部分有相互吸引的表面张力，使液体收缩到小面积的趋势</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透明玻璃材质，边长≥100mm×100mm，厚度1.5mm～2.0mm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防爆酒精灯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防爆酒精灯 100mL 容量 100mL，304 不锈钢材质；由灯帽、灯芯、灯芯导管、灯瓶、耐高温硅胶内塞组成；双层灯帽结构，具备密封防挥发、快速灭火功能；灯芯导管带火焰调节旋钮；底座直径 Φ73mm±1mm，整机尺寸 Φ80mm±1mm× 高 72mm±1mm，密封性好、防爆防倾倒、耐高温安全耐用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盏</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点火器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智能脉冲点火器，USB充电，电量显示，大容量锂电，续航更持久</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5"/>
            <w:shd w:val="clear" w:color="auto" w:fill="auto"/>
            <w:tcW w:w="795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高中物理演示实验仪器清单</w:t>
            </w:r>
            <w:r/>
          </w:p>
        </w:tc>
        <w:tc>
          <w:tcPr>
            <w:gridSpan w:val="2"/>
            <w:shd w:val="clear" w:color="auto" w:fill="auto"/>
            <w:tcW w:w="671" w:type="dxa"/>
            <w:vAlign w:val="center"/>
            <w:textDirection w:val="lrTb"/>
            <w:noWrap/>
          </w:tcPr>
          <w:p>
            <w:pPr>
              <w:ind w:left="0" w:right="0"/>
              <w:jc w:val="both"/>
              <w:keepLines w:val="0"/>
              <w:keepNext w:val="0"/>
              <w:spacing w:before="0" w:beforeAutospacing="0" w:after="0" w:afterAutospacing="0"/>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W w:w="870" w:type="dxa"/>
            <w:vAlign w:val="center"/>
            <w:textDirection w:val="lrTb"/>
            <w:noWrap/>
          </w:tcPr>
          <w:p>
            <w:pPr>
              <w:ind w:left="0" w:right="0"/>
              <w:jc w:val="both"/>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定值电阻</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Ω、1.0A，阻值误差W±l%；电阻丝应采用锰铜线或康铜线绕制；按额定电流连续工作15min后，电阻圈外壳两侧温升低于60K；按额定电流连续工作2h后外壳不会出现焦灼、熔化变形、冒烟现象；加热后电阻值变化在1%以内，外形尺寸≥长100mm×宽30mm×高41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电解电容（电）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47μF25V电容两脚与M4的香蕉插头焊接在一起，装在不带孔的透明方盒内，方盒尺寸≥35mm×16mm×33mm，脚长18mm±2mm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安培力实验器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外形尺寸：≥150mm×105mm×205mm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产品组成：底座、凸形导轨、U形磁铁、方形线圈、悬挂杆、空心铜管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1.底座：由黄色底板和白色面板组成，均采用防紫外线阻燃ABS材料注塑成型，尺寸≥154mm×105mm×16mm。底板预留卡槽用于固定空心铜管，面板设计两条凸起轨道，确保U形磁铁沿中心线移动，保持磁场对称性。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凸形导轨：由直径Φ4mm铜棒折弯成左右对称结构，安装后距底座面板高度42mm±2mm，使空心铜管精准位于U形磁铁磁场中心。导轨前方间距90mm±1mm、后方间距45mm±1mm，可调节空心铜管运动长度，适配不同实验变量需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3.U形磁铁：南北极面尺寸28mm×18mm，两极间距85mm，高度105mm，采用非强磁设计，磁感线分布均匀，适用于通电导线在磁场的运动和安培力的大小和方向实验。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4.方形线圈：ABS注塑线框尺寸≥70mm×65mm×6mm，内置直径0.55mm漆包线绕制40匝，顶部线卡固定引线，确保线圈悬挂后居中无偏移。</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5.悬挂杆：直径Φ4mm铜棒制成，底部铍青铜鼓簧保障导电稳定性，顶部凹槽用于悬挂方形线圈，支持快速拆装。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6.空心铜管：直径Φ4mm，长度106mm±2mm，精准切割确保实验轨迹一致性，用于演示载流导体在磁场中的受力现象。</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手摇发电机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产品外形尺寸≥110mm×125mm×100mm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光学干涉衍射片套件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≥50mm×50mm×2mm，中间方孔尺寸≥35mm×23mm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单缝：缝宽有0.05mm、0.1mm、0.2mm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双缝：缝宽0.05mm，间距0.2mm、0.3mm、0.45mm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圆点：直径0.2mm、0.3mm、0.4mm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格子：是一条条90°交叉组成的，100线/mm、300线/mm、600线/mm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综合：单缝、双缝、多缝、圆点、格子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5种衍射片装在一个透明的塑胶盒内，盒子尺寸：≥57mm×61mm×17mm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光偏振演示器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外径60mm±0.5mm，内径50mm±0.5mm，高37mm±2mm，偏振片直径35mm±0.5mm×38mm±2mm，座框外缘带有指示刻度，每小格值45°</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光源发生器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长90mm±2mm，直径14mm±0.5mm，电压3.7V，功率100mW ，带红色光源，射程大于5米。射径内无变形。配一个分光器及三个纽扣电池。</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光学刻度盘</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刻度圆盘直径：205mm±2mm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半圆玻璃砖</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厚度15mm±2mm，直径80mm±0.5mm，一面磨砂，一面光滑的光学玻璃</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光屏</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屏尺寸≥长150mm×宽150mm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插片支架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塑料ABS材质，方形插片槽，外框尺寸≥58mm×58mm，内框尺寸≥52×55mm，一体支架，总长152.5mm±2mm，杆为椭圆形，尺寸≥12mm×10mm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盖玻片</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无色透明，平整，玻片≥18mm×18mm，厚度0.13mm～0.17mm，每盒100片</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载玻片</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高清透明，≥25mm×75mm，每盒50片</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墨汁</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黑色，瓶身为边长54mm±2mm的正三角形，高度193mm±2mm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乳胶管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透明橡胶材质，内径7mm±0.5mm，外径10mm±0.5mm ，L=1000mm±5mm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抽气筒</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材质，活塞胶垫，气嘴外径9mm±0.1mm，长度22mm±2mm，台阶口；抽气压强达到6.7kPa时放置30s，漏气引起的压强变化应≤2.6kPa；充气压强达到290kPa时，放置30s，漏气引起的压强变化应≤9.8kPa，抽气筒身直径25mm±0.5mm，把手尺寸≥直径20mm×长90mm，产品外形尺寸：≥90mm×350mm×29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空气压缩引火仪</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气缸、底座、端盖、活塞等部分组成。气缸用透明有机玻璃制作，内径Φ10mm±0.5mm，外径Φ25mm±0.5mm，长130mm±2mm，底座Φ62mm±0.5mm，手柄Φ40mm±0.5mm，活塞杆Φ9mm±0.5mm。组装后产品高度180mm±2mm，活塞体应使用弹性材料制成，活塞与气缸气密性应良好，连续压缩引火100次后密封圈性能不变。应能引燃脱脂棉，不应使用硝化棉</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外径∅8mm±0.5mm，内径∅5mm±0.5mm，壁厚1.5mm，长度约80mm±2mm，管口烧结处理，避免划伤</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100mL，透明钠钙玻璃制，分度线、数字和标志应完整、清晰和耐久，底座直径63mm±0.5mm，筒直径为30mm±0.5mm，总高260mm±2mm，壁厚1—2mm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橡皮塞</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橡胶材质，锥形，≥22mm（底部直径）×30mm（顶部直径）×28.5mm（高度），单孔，孔径8mm±0.5mm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长颈圆底烧瓶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250mL，透明硼硅酸盐玻璃制，底部球直径85mm±0.5mm，口径28mm±0.5mm，长85mm±2mm，总高180mm±2mm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物体重心实验器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由实验板、重垂、支柱（附顶针）、底座组成。实验板有圆形、半圆形、正方形、长方形、三角形、梯形、多边形板七种形状各一块。板的边角上开有小孔，板的重心处装有轴承。透明亚克力盒包装，盒子尺寸：≥123mm×123mm×50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平面镜</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≥100mm×100mm×4.6mm镜片，与两个塑料支架组合而成</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惯性演示器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1.底座中央设有一根立柱，其顶端巧妙地设计为球形凹窝，以便于稳固托住钢球。立柱旁配备了一片弹性良好的弹片，以及一块薄形钢片和一粒直径为20mm的金属钢球，共同构成了实验的基础结构。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2.为了确保实验过程中钢珠和钢片不会意外丢失，每个部件都通过细绳巧妙地拴住并固定在底座上，保证了实验的连续性和安全性。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3.底座尺寸为300mm×180mm×40mm，为整个实验装置提供了稳固的基础，保证了实验的稳定性和安全性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带钩双孔木块</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两孔带挂钩实木块≥100mm×60mm×30mm，底部贴有橡胶皮</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气球</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乳胶气球，10英寸，光面</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小铁球</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材质：不锈钢440C，直径：15mm±0.5mm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小铁球</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材质：不锈钢440C，直径：20mm±0.5mm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静电计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外壳、圆球、法拉第圆筒、导电杆、绝缘子、指针、指针架、接地线柱等构成。外壳应由不能带静电的材料制成，外壳上观察面应采用透明材料（透光率≥90%）；指针用非磁性材料，长度≥100mm±2mm。性能要求：相对湿度≤65%环境，圆球加9kV直流高压，指针张开角度在45°～50°；移去高压后，指针保持30°以上的时间≥20min，外壳尺寸≥直径190*厚73mm，底座为直径为103mm±0.5mm的塑料圆盘，产品总高度为350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紫外线灯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外壳为黑色塑料材质，360度杀菌253.7nm波长，5分钟定时，开盖断电，内置电池和USB充电两种方式，一次充电可使用40天之久，高亮度热阴极灯管，产品尺寸：≥124mm×26mm×24mm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砂纸</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规格≥140mm×227mm，碳化硅矿砂+耐水牛皮纸基+耐水树脂合成胶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锌板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100g，产品尺寸：≥145mm×100mm×1mm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验电器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外壳、金属球、金属筒、箔片、玻璃、接线柱和底座等组成。外壳应由不能带静电的材料制成，观察面应采用透明材料透光率≥90%；箔片长度≥25mm。性能要求：相对湿度≤65%环境，圆盘上面加8kV直流高压，箔片张开与中位片角度应≥45°；移去高压后，箔片张开角度保持30°以上的时间≥10min，产品尺寸：≥142mm×90mm×200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平行板电容器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两块铝圆板一块塑料圆板，全部装有有机玻璃手柄，圆板直径为150mm±0.5mm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双极电场线演示板套件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配有5块不同的有机玻璃板，有机玻璃盒密封蓖麻油和头发屑做成电力线演示器，可长期保存，反复使用。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光具座</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铝合金材质，总长1000mm±5mm，内有轨道，滑行座内嵌在光具座的滑轨上，滑行轨道两侧丝印有刻度标识，光具座两侧底座下分别有一个小抽屉，收纳光屏、凸透镜、F光源、蜡烛、火柴等小配件，光具座与光具座之间可以叠加，减少存储空间</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生物显微镜</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1、总放大倍数：640倍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2、整机结构件：材料要求：底座、镜臂、齿条、物镜和目镜镜筒均为金属制，整机带金属一体式便携提手，方便仪器搬运。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3、目镜：WF10X广角目镜WF16X广角目镜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4、物镜：4X、10X、40XS，所有物镜均保证齐焦，带有限位装置，可防止物镜压坏切片致使物镜损坏。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5、镜筒：单目斜筒，45°倾斜，可360°度旋转便于同步观察。</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6、转换器：转换器三孔同心，定位准确，并带有限位装置。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7、粗微调：镜架上配有分开调焦的可调节松紧的粗微旋钮，调节载物台，并有内置防滑动离合器，可延长因机械损耗的整机使用寿命。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8、聚光镜：NA0.65聚光镜，五孔圆盘光阑。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9、照明：LED冷光源，可充电电池，充电后不接电源可连续使用50小时。灯泡使用寿命在10000小时以上，灯光色泽为无色，且不会产生热度。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10、平台为铝合金铸造，圆形可旋转式载物台，载物台上安装切片压片。</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11、泡沫纸箱包装。</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安培力演示器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底座≥180mm×130mm×310mm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单个磁铁≥85mm×18mm×14mm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材质：金属支架及底座+磁铁+塑料刻度盘，本仪器由刻度盘、指针、接线柱、通电线框、磁铁、底座等组成，用于演示安培力的方向及大小F与电流I，通电导线的长度L、磁感应强度B之间的关系，即F=IBL</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弹簧振子装置</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气垫式</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发波水槽</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1.电源输入：50Hz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2.工作电压：DC12V±1V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3.lED灯：12V10W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4.产品外形尺寸≥363×281×695mm。仪器主要由主机箱、电源变压器、屏幕、折射镜、水槽、升降杆、振动源盒、频闪光源盒等组成。</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反冲演示器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1.本产品由外水桶、内水桶、轴承支架、弯水管、旋转支架等部件精心构成。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2.通过巧妙的钢球塞设计，能够精确控制进水口的水流。</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3.内、外水桶均采用高透明度的亚克力材料打造，既美观又实用。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4.实验操作中，内水筒旋转后的水流会直接导向外水桶，有效避免了桌面潮湿的问题，保持了实验环境的整洁。</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塑料水槽</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长方形，透明塑料材质，外形尺寸≥268mm×195mm×100mm，壁厚≥1mm。底部平整，表面无凹凸不平现象，无擦伤、划痕、裂缝，透明度好，透光率不小于80%，四周加筋，承重加强。</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展示波形器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垂直系统频率响应：直流DC~5</w:t>
            </w:r>
            <w:r>
              <w:rPr>
                <w:rFonts w:hint="eastAsia" w:ascii="宋体" w:hAnsi="宋体" w:eastAsia="宋体" w:cs="宋体"/>
                <w:i w:val="0"/>
                <w:iCs w:val="0"/>
                <w:color w:val="auto"/>
                <w:sz w:val="22"/>
                <w:szCs w:val="22"/>
                <w:highlight w:val="none"/>
                <w:u w:val="none"/>
                <w:lang w:val="en-US" w:eastAsia="zh-CN" w:bidi="ar"/>
              </w:rPr>
              <w:t xml:space="preserve">MHz≤3dB，交流10Hz~5MHz≤3dB；偏转因素：20mVp-p／格，误差±10%；输入电容：1M∥40PF；衰减倍率：1、10、100、1000，误差±10%；输入耐压：400V（DC+AC）；扫描系统扫描频率：10Hz~100kHz，分四档；同步：内正、内负、外同步；水平系统频率响应：10Hz~500kHz≤3dB；偏转因素：100mVp-p／格；输入电容：1M∥60PF；波形：正弦波50Hz；幅度：250mVp-p±10%；余辉：中；工作环境：温度0℃~+40℃；相对湿度：≤90%（40℃）。</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霍尔元件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产品尺寸：4mm×3mm×2mm，脚长16mm±2mm，大芯片高灵敏度，耐高温，-40℃~125℃都可以正常工作，激光打字44E938工作电压4.5伏～28伏</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洛伦兹力演示器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有洛伦兹力演示管</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牛顿管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牛顿管是用特殊材料做成的密封透明容器，可以用泵使得内部接近真空，仪器全长1000mm±20mm，外径48mm±0.5mm，一端封闭，另一端带有活塞气嘴的铜玻管组成，管内装有金属片和羽毛。</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指针式测量器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量程1Kg，精度5g，托盘老式指针式台秤</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阴极射线管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直径40mm±0.5mm，长度300mm±2mm，连接高压发生器使用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受迫振动和共振演示器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仪器由支架、5个摆长不等的钢球和策动摆等组成。使用时将支架水平放置在桌面上，使5个摆球处于静止状态，然后改变策动摆的摆长使其长度与其中一个摆长相同，使策动摆与横杆周期性摆动从而其他轻摆通过他们的悬点受周期性变化的策动摆相同的轻摆振幅越来越大，而摆与策动摆不等的其他4个轻摆振幅很小，对比极为明显。调整策动摆的摆长做同样步骤的实验。演示表明，振动系统在固有频率等于策动频率的情况下才发生共振</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共振演示器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底座≥280mm×140mm高430mm，产品由金属底、铝合金支架、皮带传送机构、低噪声电机、偏心轮、10g钩码20g钩码各一个，刻度板为有机板，电动式，接直流电源18V以下</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长玻璃管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透明硼硅酸盐玻璃材质，一端开口，配有一个可以封口的无孔橡皮塞，长度1000mm，直径30mm，玻璃管外侧丝印刻度标识，精度值5cm。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绳波演示器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产品由振荡频率显示器、控制面板、开关、紧绳柱、振荡杆、细线、定滑轮、张力砝码、刻度支架等构成。使用电源：50Hz；2.有效刻度不小于100cm。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多普勒效应演示器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1、产品由主体、伸缩杆、电机、调速器、配重块等组成。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2、旋转杆两边做对称设计，保证重心在中间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3、两侧都安装蜂鸣器，3V电源控制，采用感应式开关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4、正转反转可以控制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5、产品旋转速度可调节，电源连接</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6、旋转用两根杆子不使用时可收纳进主体内，节约收纳空间。单边杆子长度约为300mm，产品两侧杆拉出后整体尺寸为838mm*336mm*113mm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7、主体由底座与盖板组合成，都采用ABS材料制成</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曲线运动方向实验器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材质：ABS。由4个带有轨道的1/4圆及一个小球释放装置组合而成，配有一个20mm±2mm的小钢球</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9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纵波演示器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学物理演示纵波的传播、反射等；仪器采用支架（塑料）悬挂弹簧形式，全长1100mm±5mm、Φ60mm±0.5mm螺旋弹簧自由悬挂在支架上，振源金属可上下调节，整套仪器包括机架1套（螺旋弹簧1套、振源2套）；连接杆10根；反光白布1块。</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光导纤维应用演示器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产品由传光、传像、传声三大部分组成。传光、传像部分由光源、有机玻璃棒、光纤束、传像投影屏筒、字母板组成；传声部分由发射器、接收器及光纤束组成。演示板外形尺寸≥：460mm×320mm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感应起电机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起电盘直径：235mm±0.5mm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环境温度：-10℃～40℃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放电距离：1.在相对湿度为65%的环境中火花放电距离≥55mm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2.在相对温度小于80%的条件下火花放电距离≥30mm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外形尺寸：≥长300mm×宽180mm×高340mm，重约2.3Kg</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实验用蜂蜡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木器保养蜡，20g黄色，使用后为透明</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u型磁铁</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表面磁感应强度≥0.055T</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红蜡块</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蜡烛块，可以切成小块放入10mm±0.5mm直径的玻璃管中</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电子称重器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量程0g〜2kg，分辨力0.1g，外形尺寸：≥105mm×130mm×21mm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金属网罩</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金属网罩和绝缘底盘两部分组成。金属网罩的顶端有一个圆孔，用来插入连接器，连接器是一根金属小杆，上端附有金属球，下端装有金属链条，金属杆可以沿着一个短套管滑动并有顶丝制紧。套管卡在金属网罩顶端圆孔中，金属底盘用绝缘支柱固定在底座上。</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定值电阻</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5Ω、1.5A，阻值误差W±1%；电阻丝应采用锰铜线或康铜线绕制；按额定电流连续工作15min后，电阻圈外壳两侧温升低于60K；按额定电流连续工作2h后外壳不会出现焦灼、熔化变形、冒烟现象；加热后电阻值变化在1%以内，外形尺寸：≥长100mm×宽30mm×高41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定值电阻</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15Ω、0.6A，阻值误差W±1%；电阻丝应采用锰铜线或康铜线绕制；按额定电流连续工作15min后，电阻圈外壳两侧温升低于45K；按额定电流连续工作2h后外壳不会出现焦灼、熔化变形、冒烟现象；加热后电阻值变化在1%以内，外形尺寸：≥长100mm×宽30mm×高41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定值电阻</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100Ω、0.22A，阻值误差W±1%；电阻丝应采用锰铜线或康铜线绕制；按额定电流连续工作15min后，电阻圈外壳两侧温升低于45K；按额定电流连续工作2h后外壳会出现焦灼、熔化变形、冒烟现象；加热后电阻值变化在1%以内，外形尺寸：≥长100mm×宽30mm×高41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力的合成分解演示器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1.本产品由精密的分度座标盘、测力计、测力计固定支杆、两个定滑轮和三个滑块等部件巧妙组合而成。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2.分度座标盘采用高品质抗倍特材料精心雕刻，直径为Φ310*12mm。其表面刻有清晰的角度线和数字，具有5°的分度值，每10°特别标注数字，以便于准确读取。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3.测力计固定支杆由直径Φ10mm的圆钢精制而成，长度为200mm，确保了结构的稳固性和耐用性。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4.滑块由铝合金材料制成，可以轻松固定在圆盘的滑槽内，并且能够任意调节角度，以满足不同实验需求5.本产品设计用于与铁架台配合使用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小沙袋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方形≥60mm×60mm 50g，内装稻壳，外包帆布材质，带绳</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9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Φ8mm±0.5mm，—端长度为60mm±2mm，—端长度约190mm±2mm，形状为直角，管口烧结处理，避免划伤</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陶土网</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Φ100±2mm，边长150±2mm，金属包边，耐火材料为陶土</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电磁波的发送和接收演示器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发射器频率225MHz～250MHz，等幅、调幅；接收器有声、光、电显示 。产品由发射机部分、接收机部分、电表演示接收器、放大接收器四大部分构成。</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三棱镜</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重火石玻璃制≥30mm×100mm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泡沫小球</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聚苯乙烯材质，白色D=10mm±0.5mm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感应圈</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电子开关式</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电谐振演示器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发送：放电距离0.2mm～2mm可调，莱顿瓶电容≥500pF；接收：莱顿瓶电容≥500pF，可变电容350pF～850pF；接收部分应有一个电谐振指示灯，电感环在有效长度100mm～600mm范围可调节</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纵横波演示器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由不锈钢杆、弹性片及支架等组成；演示波传播的过程中质点不随波迁移，一个周期波传播一个波长</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光折射演示器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产品由底座、水槽、刻度盘、激光光源，激光光源可旋转，水槽可加入液体，用于演示光的反射、折射、全反射现象。</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楞次定律演示器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1.由铝梁、开口铝环、闭口铝环和带顶针的支柱座组成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2.支座采用ABS材质，顶部装钢针，钢针镀铬</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3.底座采用ABS材料外壳内铸铁制成，直径设计为Φ80mm，不仅稳固支撑整个装置，还具备了良好的抗冲击性和耐腐蚀性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电磁感应演示器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由能提供匀强磁场的磁体和带绝缘手柄的闭合矩形线框组成。性能要求：匀强磁场的磁感应强度应足够大，闭合矩形线框面积应小于匀强磁场区域的面积。部分切割或旋转时能够产生较大电流</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三相电机原理演示器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由蹄形磁铁、磁针、铝框、塑料框、方形线圈、支架、转轴、接线柱等组成。性能要求：包含永磁式旋转磁场演示器和电磁式旋转磁场演示器，用于说明旋转磁场的性质和三相感应电动机的原理</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自感现象演示器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组成：面板和背封板使用5.0抗倍特板，上下封板采用铝合型材，左右封板及底脚采用吸塑工艺，脚宽32mm±2mm，脚长182.5mm±2mm，安装后两脚间距326mm，底脚可以调节张开的角度，使产品摆放台面时更加平稳。顶部拉手使用PP塑性材质，采用高级氧化工艺，更耐磨损和耐腐蚀，表面磨砂，防滑拎取。演示板上的电学元件有：电源接线柱、单掷开关2个、可调电位器100欧、规格相同的两个小灯泡、红绿颜色各一个的发光二极管、两个不同匝数的电感线圈。产品外形尺寸：≥600mm×400mm×67.3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手摇三相交流发电机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演示三相交流电的产生及三相电路的各种连接方法</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旋片式真空泵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直联式</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阴极射线管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示直进管</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验电羽</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1.由绝缘支架、金属片、细尼龙绳、螺钉等组成。绝缘支架上装有两片金属片，两金属片间夹有若干长条形细尼龙绳。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2.尼龙绳颜色为红色，线径约1mm，尼龙绳均匀分布在金属片周边，长度不小于100mm。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3.绝缘支杆选用透明亚克力管，其外径为12mm，高度为200mm，起到良好的绝缘性效果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4.底座采用ABS材料外壳内铸铁制成，直径设计为Φ80mm，不仅稳固支撑整个装置，还具备了良好的抗冲击性和耐腐蚀性。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赫兹实验演示器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带电球、发射天线杆、接收天线杆、接收金属杆、感应圈连接金属杆、固定螺丝、氖泡架、底座等组成。接收端天线与发射端天线平行相距400mm，在环境照度为240lx±50lx的室内接通高压电源，接收端氖灯应能看到发光；接收端天线与发射端天线垂直，距离在200mm以内（不接触），接收端氖灯应不亮</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小磁针</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小磁针：磁针尺寸≥28mm×8mm，底座尺寸为≥Φ24mm×28mm。磁针体中间铆接铜轴承套，平均磁感应强度≥5 mT。</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翼型磁针</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1.由垂直翼形针体和支座组成。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2.磁针体表面喷漆，漆层均匀无脱落。指北极（N）为红色，指南极（S）为白色。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3.支座采用ABS材质，顶部装钢针，钢针镀铬。</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4.底座采用ABS材料外壳内铸铁制成，直径设计为Φ80mm，不仅稳固支撑整个装置，还具备了良好的抗冲击性和耐腐蚀性。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条形磁铁</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表面磁感应强度≥0.07T</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铁粉盒</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透明塑料盒子≥长70mm×宽90mm×厚10mm，内封铁屑</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原副线圈</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演示电磁感应和验证楞次定律。</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电磁阻尼演示器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1.本产品由底座、支撑架、摆架、横梁、强阻尼摆、中阻尼摆、弱阻尼摆、同时释放装置、磁铁固定装置以及磁铁等多个部件精心构成，旨在提供精准的物理实验体验。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2.支撑架采用坚固的铁板材料制作，表面经过烤漆处理，不仅确保了结构的稳定性，还展现了美观的外观。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3.磁铁选用高性能强磁材料，具有50*30*5mm的标准外形尺寸。产品中共包含4块磁铁，每块磁铁根据磁性强度分别安装于磁铁固定装置内，以便于进行精确的磁场控制。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4.摆锺包括强阻尼摆、中阻尼摆和弱阻尼摆，均采用高品质铝材加工而成，表面经过光学抛光处理，不仅提升了外观的精致度，还确保了摆动的顺畅性。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5.产品配备了先进的三种阻尼摆同时释放装置，使得实验结果能够形成鲜明对比，增强了实验的观察性和教学效果。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6.磁铁固定装置设计为可拆卸式，方便在实验过程中进行有磁场和无磁场的对比实验，增加了实验的灵活性和探究性。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7.底座尺寸为300mm×180mm×40mm，为整个实验装置提供了稳固的基础，保证了实验的稳定性和安全性。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变压器原理说明器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用于变压器原理、电磁感应和交流电性质等实验</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内聚力演示器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 2 个铅圆柱体、旋转式刮削器、挤压器、2根扳杆及挤压架组成；挤压架采用铁质结构，2个铅圆柱体应能装入挤压器中，通过螺旋实现挤压；刮削器由转柄、刀片和刀轴组成，削平的两个铅圆柱体端面压在一起后，承受轴向拉力应≥60 N</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光谱管组</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管内充有Ne、Hg、H2、He、Ar、O2、Kr、N2等气体</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分光镜</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产品是由保护片、单缝、透镜、组合棱镜、保护片组成，产品规格100mm×25mm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电磁振荡演示仪</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由具有铁芯的电感线圈、电容器、集成电路等组成，包括等幅振荡演示电路和减幅振荡演示电路，仪器面板上印有原理图</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库伦扭秤模型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由悬丝、横杆、两个带电金属小球、一个平衡小球、一个移电小球、旋钮和电磁阻尼部分等组成</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体重秤</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指针式，测量范围0kg〜160kg，分度值0.5kg</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测力计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5N，条形盒测力计</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范氏起电机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由大金属壳、绝缘支架、传送带、转轮、尖端导体、接地导体板组成，电压可达数百万伏</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奥斯特演示器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1.本产品由底座、导电支架、导线、接线柱和开关组成。底座面板上画有产品电路的连接方式。主要用于奥斯特实验的演示。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2.本产品的导电支架采用1.5mm厚，15mm的优质铜质材料精心打造，经过精细的电镀工艺处理，不仅保障了支架的坚固稳定性，同时也赋予了其优雅美观的外观。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3.接线柱设计兼顾实用与便捷，提供了插接和夹持两种连接方式，以满足不同使用需求。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4.仪器面板采用丝印技术清晰标注电路图，使得电路连接逻辑清晰直观，便于操作与维护。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5.底座尺寸为300mm×180mm×40mm，为整个实验装置提供了稳固的基础，保证了实验的稳定性和安全性。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特殊圆锥曲面演示器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产品是一款专为教育和科研设计的模拟条形磁铁D-CG-LT-180磁感线演示模型，采用高精度光敏树脂材料一体成型技术制作。该模型旨在直观展示磁场强度变化与感应电流产生之间的关联性。将两根条形磁铁嵌入圆柱体部分，确保稳固不晃动；锥体部分则精确模拟磁感线的分布，形象展现磁场特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单摆实验器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该单摆实验装置由单摆球组、调节轮盘及刻度盘构成，通过机械结构与光学辅助实现摆长、摆角精准控制，适配多变量物理实验。实验需搭配铁架台使用。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1.单摆球组：含5个不同材质与直径的摆球（如铁、塑料等），支持摆球质量、体积变量对比实验；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2.调节轮盘：由线盘（绕线轮）、线固定块及镀锌板支架（138mm×46.1mm×41.1mm）组成，线盘可精确收放摆线，线固定块夹紧摆线锁定摆长，确保摆动过程中悬点位置恒定；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3.刻度盘：同规格镀锌板支架（138mm×46.1mm×41.1mm），表面丝印摆角刻度（0°居中），中央嵌平面镜辅助目视校准，使摆线初始位置精准对齐0°；</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电容充放电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组成：面板和背封板使用5.0抗倍特板，上下封板采用铝合型材，左右封板及底脚采用吸塑工艺，脚宽32mm±2mm，脚长182.5mm±2mm，安装后两脚间距326mm±2mm，底脚可以调节张开的角度，使产品摆放台面时更加平稳。顶部拉手使用PP塑性材质，采用高级氧化工艺，更耐磨损和耐腐蚀，表面磨砂，防滑拎取。演示板上的电学元件有：电源接线柱、电流计、电压表、定值电阻220欧、电解电容、发光二极管红、绿各一个、双掷开关组成。产品外形尺寸≥600mm×400mm×67.3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伏安特性实验板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组成：面板和背封板使用5.0抗倍特板，上下封板采用铝合型材，左右封板及底脚采用吸塑工艺，脚宽32mm±2mm，脚长182.5mm±2mm，安装后两脚间距326mm±2mm，底脚可以调节张开的角度，使产品摆放台面时更加平稳。顶部拉手使用PP塑性材质，采用高级氧化工艺，更耐磨损和耐腐蚀，表面磨砂，防滑拎取。演示板上的电学元件有：单掷开关、电流表、电压表、电源接线柱、用电器接线柱、可调电位器、小灯泡3.8V0.3A、稳压二极管、电阻丝。产品外形尺寸≥600mm×400mm×67.3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电阻率与温度关系演示器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组成：面板和背封板使用5.0抗倍特板，上下封板采用铝合型材，左右封板及底脚采用吸塑工艺，脚宽32mm±2mm，脚长182.5mm±2mm，安装后两脚间距326mm±2mm，底脚可以调节张开的角度，使产品摆放台面时更加平稳。顶部拉手使用PP塑性材质，采用高级氧化工艺，更耐磨损和耐腐蚀，表面磨砂，防滑拎取。演示板上的电学元件有：电源接线柱、电流表、小灯泡、可调电位器、电阻丝（灯丝裸露在外的小灯泡）。产品外形尺寸≥600mm×400mm×67.3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常用电容器示教板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产品组成：面板和背封板使用5.0抗倍特板，上下封板采用铝合型材，左右封板及底脚采用吸塑工艺，脚宽32mm±2mm，脚长182.5mm±2mm，安装后两脚间距326mm±2mm，底脚可以调节张开的角度，使产品摆放台面时更加</w:t>
            </w:r>
            <w:r>
              <w:rPr>
                <w:rFonts w:hint="eastAsia" w:ascii="宋体" w:hAnsi="宋体" w:eastAsia="宋体" w:cs="宋体"/>
                <w:i w:val="0"/>
                <w:iCs w:val="0"/>
                <w:color w:val="auto"/>
                <w:sz w:val="22"/>
                <w:szCs w:val="22"/>
                <w:highlight w:val="none"/>
                <w:u w:val="none"/>
                <w:lang w:val="en-US" w:eastAsia="zh-CN" w:bidi="ar"/>
              </w:rPr>
              <w:t xml:space="preserve">平稳。顶部拉手使用PP塑性材质，采用高级氧化工艺，更耐磨损和耐腐蚀，表面磨砂，防滑拎取。电容器的种类包括：云母电容、涤纶电容、瓷片电容、独石电容、双层法拉电容、安规电容、校正电容、薄膜电容、贴片电容、C型法拉电容、电解电容1000μF25v、启动电容、可变电容、微调电容、贴片铝电容。每种电容都装在亚克力盒子内，有效防止外界的污染。每种电容采用插拔的方式固定在展示板上，方便观察者取下近距离观察。每款电容在展示板上都标有常用的使用场景，使学生联想生活，更易记住。产品外形尺寸≥600mm×400mm×67.3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常用电阻器示教板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组成：面板和背封板使用5.0抗倍特板，上下封板采用铝合型材，左右封板及底脚采用吸塑工艺，脚宽32mm±2mm，脚长182.5mm±2mm，安装后两脚间距326mm±2mm，底脚可以调节张开的角度，使产品摆放台面时更加平稳。</w:t>
            </w:r>
            <w:r>
              <w:rPr>
                <w:rFonts w:hint="eastAsia" w:ascii="宋体" w:hAnsi="宋体" w:eastAsia="宋体" w:cs="宋体"/>
                <w:i w:val="0"/>
                <w:iCs w:val="0"/>
                <w:color w:val="auto"/>
                <w:sz w:val="22"/>
                <w:szCs w:val="22"/>
                <w:highlight w:val="none"/>
                <w:u w:val="none"/>
                <w:lang w:val="en-US" w:eastAsia="zh-CN" w:bidi="ar"/>
              </w:rPr>
              <w:t xml:space="preserve">顶部拉手使用PP塑性材质，采用高级氧化工艺，更耐磨损和耐腐蚀，表面磨砂，防滑拎取。电阻的种类包括：贴片电阻、水泥电阻、碳膜电阻、普通电阻330Ω、绕线电阻、光敏电阻5506光敏电阻5MM、NTC热敏电阻10kΩ、压敏电阻、拔盘电位器、可调电位器、碳膜电位器、卧式可调电位器、调速电位器每种电容都装在亚克力盒子内，有效防止外界的污染。每种电容采用插拔的方式固定在展示板上，方便观察者取下近距离观察。每款电阻在展示板上都标有常用的使用场景，使学生联想生活，更易记住。产品外形尺寸≥600mm×400mm×67.3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霍尔效应示教板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组成：面板和背封板使用5.0抗倍特板，上下封板采用铝合型材，左右封板及底脚采用吸塑工艺，脚宽32mm±2mm，脚长182.5mm±2mm，安装后两脚间距326mm±2mm，底脚可以调节张开的角度，使产品摆放台面时更加平稳。顶部拉手使用PP塑性材质，采用高级氧化工艺，更耐磨损和耐腐蚀，表面磨砂，防滑拎取。演示板上的电学元件有：电源接线柱、电流表3mA、电流表5mA，霍尔元器件、调频电位器100欧、单刀开关组成。产品外形尺寸≥600mm×400mm×67.3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交流电路特性演示器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产品组成：面板和背封板使用5.0抗倍特板，上下封板采用铝合型</w:t>
            </w:r>
            <w:r>
              <w:rPr>
                <w:rFonts w:hint="eastAsia" w:ascii="宋体" w:hAnsi="宋体" w:eastAsia="宋体" w:cs="宋体"/>
                <w:i w:val="0"/>
                <w:iCs w:val="0"/>
                <w:color w:val="auto"/>
                <w:sz w:val="22"/>
                <w:szCs w:val="22"/>
                <w:highlight w:val="none"/>
                <w:u w:val="none"/>
                <w:lang w:val="en-US" w:eastAsia="zh-CN" w:bidi="ar"/>
              </w:rPr>
              <w:t xml:space="preserve">材，左右封板及底脚采用吸塑工艺，脚宽32mm±2mm，脚长182.5mm±2mm，安装后两脚间距326mm±2mm，底脚可以调节张开的角度，使产品摆放台面时更加平稳。顶部拉手使用PP塑性材质，采用高级氧化工艺，更耐磨损和耐腐蚀，表面磨砂，防滑拎取。演示板上的电学元件有：电感1000匝（1.25H）、电感200匝（50mH）、电容1000uf、电容47uf、电阻330欧、灯泡12V3W及灯座等组成，面板有3只单刀双掷开关和3只单刀开关及交、直流电源接线柱组成。产品外形尺寸≥600mm×400mm×67.3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门窗防盗报警装置演示器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组成：面板和背封板使用5.0抗倍特板，上下封板采用铝合型材，左右封板及底脚采用吸塑工艺，脚宽32mm±2mm，脚长182.5mm±2mm，安装后两脚间距326mm±2mm，底脚可以调节张开的角度，使产品摆放台面时更加平稳。顶部拉手使用PP塑性材质，采用高级氧化工艺，更耐磨损和耐腐蚀，表面磨砂，防滑拎取。演示板上的电学元件有：电源开关、蜂鸣器、定值电阻330欧、发光二极管、继电器、干簧管、磁铁、单刀开关。产品外形尺寸≥600mm×400mm×67.3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光控开关</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组成：面板和背封板使用5.0抗倍特板，上下封板采用铝合型材，左右封板及底脚采用吸塑工艺，脚宽32mm±2mm，脚长182.5mm±2mm，安装后两脚间距326mm±2mm，底脚可以调节张开的角度，使产品摆放台面时更加平稳。顶部拉手使用PP塑性材质，采用高级氧化工艺，更耐磨损和耐腐蚀，表面磨砂，防滑拎取。演示板上的电学元件有：电源接线柱、继电器、单刀开关、继电器、光敏电阻、小黑盒子、调频电位器、二极管、小灯座，小灯泡3.8V0.3A、三极管等。产品外形尺寸≥600mm×400mm×67.3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光控开关（无继电器）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组成：面板和背封板使用5.0抗倍特板，上下封板采用铝合型材，左右封板及底脚采用吸塑工艺，脚宽32mm±2mm，脚长182.5mm±2mm，安装后两脚间距326mm±2mm，底脚可以调节张开的角度，使产品摆放台面时更加平稳。顶部拉手使用PP塑性材质，采用高级氧化工艺，更耐磨损和耐腐蚀，表面磨砂，防滑拎取。演示板上的电学元件有：电源接线柱、定值电阻330欧、发光二极管、三极管、光敏电阻、小黑盒、单刀开关、调频电位器1K等。产品外形尺寸≥600mm×400mm×67.3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光电效应演示器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组成：面板和背封板使用5.0抗倍特板，上下封板采用铝合型材，左右封板及底脚采用吸塑工艺，脚宽32mm±2mm，脚长182.5mm±2mm，安装后两脚间距326mm±2mm，底脚可以调节张开的角度，使产品摆放台面时更加平稳。顶部拉手使用PP塑性材质，采用高级氧化工艺，更耐磨损和耐腐蚀，表面磨砂，防滑拎取。演示板上的电学元件有：电流计、G4灯泡、电压表正负30V、遮光板（红黄蓝绿4种颜色）、微电流放大器、光电管、遮光板、可调电阻×4。产品外形尺寸≥600mm×400mm×67.3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三极管的性质实验板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组成：面板和背封板使用5.0抗倍特板，上下封板采用铝合型材，左右封板及底脚采用吸塑工艺，脚宽32mm±2mm，脚长182.5mm±2mm，安装后两脚间距326mm±2mm，底脚可以调节张开的角度，使产品摆放台面时更加平稳。顶部拉手使用PP塑性材质，采用高级氧化工艺，更耐磨损和耐腐蚀，表面磨砂，防滑拎取。演示板上的电学元件有：电源接线柱、三极管、单刀开关、调频电位器、电压表、电流计和电流表2个组成。产品外形尺寸≥600mm×400mm×67.3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光敏、热敏电阻应用演示板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组成：面板和背封板使用5.0抗倍特板，上下封板采用铝合型材，左右封板及底脚采用吸塑工艺，脚宽32mm±2mm，脚长182.5mm±2mm，安装后两脚间距326mm±2mm，底脚可以调节张开的角度，使产品摆放台面时更加平稳。顶部拉手使用PP塑性材质，采用高级氧化工艺，更耐磨损和耐腐蚀，表面磨砂，防滑拎取。演示板上的电学元件有：微安表、光敏电阻及黑盒、双掷开关、PTC和NTC两种热敏电阻、导线及强光手电筒。产品外形尺寸≥600mm×400mm×67.3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温差发电实验器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该装置由铝板、制冷片、散热组件及控制模块构成，需配合自备烧杯完成温差能量转换实验。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1.铝板：5.0mm加厚铝板×2片，高热传导性确保温差现象显著，支撑稳定；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2.制冷片：40mm×40mm×3.4mm半导体模块，碲化铋（BiTe）材料双面陶瓷封装，704硅胶填充绝缘，低温锡铋焊料焊接，支持双向电流切换实现发电/制冷模式；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3.散热系统：</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小风扇：DC 1.0～5.0V宽压驱动，适配温差发电自供电或外接电源，用于强制散热；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电机安装板及罩壳：1.0mm镀锌板灰色环氧喷涂，耐高温抗腐蚀；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控制模块：双向开关与接线柱，自由切换电流方向，直观演示温差发电（塞贝克效应）与电制冷（帕尔贴效应）；</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8"/>
            <w:shd w:val="clear" w:color="auto" w:fill="auto"/>
            <w:tcW w:w="949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物理准备室</w:t>
            </w:r>
            <w:r/>
          </w:p>
        </w:tc>
      </w:tr>
      <w:tr>
        <w:trPr>
          <w:trHeight w:val="9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实验台</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规格：3000mm×1200mm×800mm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1、台面：采用≥12.7mm厚实芯理化板制作，切割处正反面去毛刺切口打磨平整。表面有良好的耐腐蚀性及具有良好的承重性能。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2、柜体：全钢结构，上抽下门设计，采用≥1.0mm高强度镀锌钢板，切割折弯成型焊接打磨平整，表面经环氧树脂喷涂处理。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3、门板及抽面：采用双层结构，组装式设计，保证单层钢板双面都喷涂处理，门板中间填充隔音材料，减少关门时产生的噪声。防撞胶垫：装于抽屉及门板内侧，减缓碰撞，保护柜体。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4、拉手：采用一字拉手。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5、不锈钢防腐合页：采用优质不锈钢模具一体成型。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6、防腐三节静音导轨：三节滚珠滑轨，承重性强，滑动顺滑。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7、固定桌脚：采用柜体内置可调ABS调整脚，保证调整脚前后都可以调节高低。</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02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岛式插座盒</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钢制线盒，预留标准安装位，可同时安装2个86型五孔插座，主框架采用裸板实际厚度≥1.0mm厚优质钢材产一级高强度镀锌钢板经CNC机压成型、焊接制作，环氧树脂静电粉末涂装处理。可安装2个86款插座。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102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插座</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规格：86mm×86mm。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1、数量2个。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2、10A交流输出五孔插座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763"/>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规格：1000mm×500mm×2000mm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1、柜体：全钢结构，上下双开门设计，采用≥1.0mm高强度镀锌钢板，切割折弯成型焊接打磨平整，表面经环氧树脂喷涂处理。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2、柜门：上门为钢制整板开孔门框，内嵌玻璃；下门组装式设计，保证单层钢板双面都喷涂处理，门板中间填充隔音材料，减少关门时产生的噪声。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3、拉手：采用不锈钢拉手。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4、隔板：采用≥1.0mm高强度镀锌钢板，成型后≥20mm一体成型，柜体内带调节孔，上下可以调节。</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r>
      <w:tr>
        <w:trPr>
          <w:trHeight w:val="80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储存桶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全新料，防泄漏，密封强，耐腐蚀，耐酸碱桶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90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规格：430mm×530mm×110mm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托盘，PP材质，注塑成型，载重36KG</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8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圆形桶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采用开口冷轧板，镀锌圆形桶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44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干粉灭火器</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1、商品剂量：士0.05Kg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2、喷射距离：≥3.5CM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3、灭火级别：1A/21B</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4、使用温度：-20°C~+50°C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5、瓶身材质：钢材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6、干粉保质：5年</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170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小推车</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规格：600mm×450mm×850mm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层板内空净尺寸长宽≥550mm×400mm，双层层板设计，板材厚度≥0.75mm304不锈钢，立柱采用≥Φ28mm圆管，厚度≥1.0mm，二层之间层间距≥440mm，护栏采用≥16mm不锈钢，高≥70mm，每层加强横梁1根，单层载重不小于150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2、推手通过专用模具成型和立柱为一体式设计，便于推动，握感舒适，整体焊接后打磨抛光处理。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3、配件：优质静音万向轮，360°全方位旋转，其中2只带刹车功能，移动方便，安全更耐用。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4、产品采用焊接连接方式、经打磨抛光处理，无毛刺不刮手。</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480"/>
        </w:trPr>
        <w:tc>
          <w:tcPr>
            <w:gridSpan w:val="8"/>
            <w:shd w:val="clear" w:color="auto" w:fill="auto"/>
            <w:tcW w:w="949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物理仪器室</w:t>
            </w:r>
            <w:r/>
          </w:p>
        </w:tc>
      </w:tr>
      <w:tr>
        <w:trPr>
          <w:trHeight w:val="1271"/>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加大仪器柜</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规格：1350mm×500mm×2000mm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1、柜体：全钢结构，上下双开门设计，采用≥1.0mm高强度镀锌钢板，切割折弯成型焊接打磨平整，表面经环氧树脂喷涂处理。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2、柜门：上门为钢制整板开孔门框，内嵌玻璃；下门组装式设计，保证单层钢板双面都喷涂处理，门板中间填充隔音材料，减少关门时产生的噪声。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3、拉手：采用不锈钢拉手。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4、隔板：采用≥1.0mm高强度镀锌钢板，成型后≥20mm一体成型，柜体内带调节孔，上下可以调节。</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r>
    </w:tbl>
    <w:p>
      <w:pPr>
        <w:pStyle w:val="813"/>
        <w:ind w:left="0" w:firstLine="0"/>
        <w:rPr>
          <w:rFonts w:hint="eastAsia"/>
          <w:color w:val="auto"/>
          <w:highlight w:val="none"/>
          <w:lang w:val="en-US" w:eastAsia="zh-CN"/>
        </w:rPr>
      </w:pPr>
      <w:r>
        <w:rPr>
          <w:rFonts w:hint="eastAsia"/>
          <w:color w:val="auto"/>
          <w:highlight w:val="none"/>
          <w:lang w:val="en-US" w:eastAsia="zh-CN"/>
        </w:rPr>
      </w:r>
      <w:r/>
    </w:p>
    <w:p>
      <w:pPr>
        <w:spacing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注：</w:t>
      </w:r>
      <w:r/>
    </w:p>
    <w:p>
      <w:pPr>
        <w:numPr>
          <w:ilvl w:val="0"/>
          <w:numId w:val="0"/>
        </w:numPr>
        <w:ind w:firstLine="480"/>
        <w:jc w:val="left"/>
        <w:spacing w:line="360" w:lineRule="auto"/>
        <w:tabs>
          <w:tab w:val="left" w:pos="525" w:leader="none"/>
          <w:tab w:val="left" w:pos="630" w:leader="none"/>
          <w:tab w:val="left" w:pos="735" w:leader="none"/>
          <w:tab w:val="left" w:pos="94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本项目中未详细标明产品长、宽、高的，尺寸顺序均为（长）mm*（宽）mm*（高）mm。</w:t>
      </w:r>
      <w:r/>
    </w:p>
    <w:p>
      <w:pPr>
        <w:ind w:firstLine="480"/>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依据财政部、发展改革委发布的《节能产品政府采购品目清单》，本项目</w:t>
      </w:r>
      <w:r>
        <w:rPr>
          <w:rFonts w:hint="eastAsia" w:ascii="宋体" w:hAnsi="宋体" w:cs="宋体"/>
          <w:color w:val="auto"/>
          <w:sz w:val="24"/>
          <w:szCs w:val="24"/>
          <w:highlight w:val="none"/>
          <w:lang w:val="en-US" w:eastAsia="zh-CN"/>
        </w:rPr>
        <w:t xml:space="preserve">中涉及</w:t>
      </w:r>
      <w:r>
        <w:rPr>
          <w:rFonts w:hint="eastAsia" w:ascii="宋体" w:hAnsi="宋体" w:eastAsia="宋体" w:cs="宋体"/>
          <w:color w:val="auto"/>
          <w:sz w:val="24"/>
          <w:szCs w:val="24"/>
          <w:highlight w:val="none"/>
        </w:rPr>
        <w:t xml:space="preserve">政府强制采购节能产品，</w:t>
      </w:r>
      <w:r>
        <w:rPr>
          <w:rFonts w:hint="eastAsia" w:ascii="宋体" w:hAnsi="宋体" w:eastAsia="宋体" w:cs="宋体"/>
          <w:b w:val="0"/>
          <w:bCs w:val="0"/>
          <w:color w:val="auto"/>
          <w:sz w:val="24"/>
          <w:szCs w:val="24"/>
          <w:highlight w:val="none"/>
        </w:rPr>
        <w:t xml:space="preserve">所投产品只能选择具有国家确定的认证机构出具的、处于有效期之内的节能产品认证证书的产品进行报价，供应商或所投产品的制造商需提供相关产品的有效节能产品认证证书，认证机构详见市场监管总局发布的《参与实施政府采购节能产品认证机构名录》。本项目中有信息安全产品的，必须选择经国家认证的信息安全产品，并提供由中国信息安全认证中心（中国网络安全审查技术与认证中心）颁发的有效认证证书原件。</w:t>
      </w:r>
      <w:bookmarkStart w:id="4" w:name="OLE_LINK15"/>
      <w:r>
        <w:rPr>
          <w:rFonts w:hint="eastAsia" w:ascii="宋体" w:hAnsi="宋体" w:eastAsia="宋体" w:cs="宋体"/>
          <w:b/>
          <w:bCs/>
          <w:color w:val="auto"/>
          <w:sz w:val="24"/>
          <w:szCs w:val="24"/>
          <w:highlight w:val="none"/>
        </w:rPr>
        <w:t xml:space="preserve">供应商须承诺中标后按要求提供上述要求提供的证明材料，投标时提供承诺书（格式自拟），未提供承诺书的，作为无效投标处理。</w:t>
      </w:r>
      <w:bookmarkEnd w:id="4"/>
      <w:r/>
      <w:r/>
    </w:p>
    <w:p>
      <w:pPr>
        <w:ind w:firstLine="482"/>
        <w:keepLines w:val="0"/>
        <w:keepNext w:val="0"/>
        <w:pageBreakBefore w:val="0"/>
        <w:spacing w:line="360" w:lineRule="auto"/>
        <w:widowControl w:val="off"/>
        <w:tabs>
          <w:tab w:val="left" w:pos="840" w:leader="none"/>
          <w:tab w:val="left" w:pos="1155" w:leader="none"/>
        </w:tabs>
        <w:rPr>
          <w:rFonts w:hint="eastAsia" w:ascii="宋体" w:hAnsi="宋体" w:eastAsia="宋体" w:cs="宋体"/>
          <w:b/>
          <w:bCs w:val="0"/>
          <w:color w:val="auto"/>
          <w:sz w:val="24"/>
          <w:szCs w:val="24"/>
          <w:highlight w:val="none"/>
        </w:rPr>
      </w:pPr>
      <w:r>
        <w:rPr>
          <w:rFonts w:hint="eastAsia" w:ascii="Calibri" w:hAnsi="Calibri" w:eastAsia="宋体" w:cs="Calibri"/>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rPr>
        <w:t xml:space="preserve">主要产品</w:t>
      </w:r>
      <w:r>
        <w:rPr>
          <w:rFonts w:hint="eastAsia" w:ascii="宋体" w:hAnsi="宋体" w:eastAsia="宋体" w:cs="宋体"/>
          <w:b/>
          <w:bCs w:val="0"/>
          <w:color w:val="auto"/>
          <w:sz w:val="24"/>
          <w:szCs w:val="24"/>
          <w:highlight w:val="none"/>
          <w:lang w:val="en-US" w:eastAsia="zh-CN"/>
        </w:rPr>
        <w:t xml:space="preserve">及材质</w:t>
      </w:r>
      <w:r>
        <w:rPr>
          <w:rFonts w:hint="eastAsia" w:ascii="宋体" w:hAnsi="宋体" w:eastAsia="宋体" w:cs="宋体"/>
          <w:b/>
          <w:bCs w:val="0"/>
          <w:color w:val="auto"/>
          <w:sz w:val="24"/>
          <w:szCs w:val="24"/>
          <w:highlight w:val="none"/>
        </w:rPr>
        <w:t xml:space="preserve">相关执行标准及技术要求</w:t>
      </w:r>
      <w:r/>
    </w:p>
    <w:tbl>
      <w:tblPr>
        <w:tblStyle w:val="808"/>
        <w:tblW w:w="9037"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8328"/>
      </w:tblGrid>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832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内容</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328"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教师演示讲台</w:t>
            </w:r>
            <w:r>
              <w:rPr>
                <w:rFonts w:hint="eastAsia" w:ascii="宋体" w:hAnsi="宋体" w:eastAsia="宋体" w:cs="宋体"/>
                <w:color w:val="auto"/>
                <w:sz w:val="24"/>
                <w:szCs w:val="24"/>
                <w:highlight w:val="none"/>
              </w:rPr>
              <w:t xml:space="preserve">（抽检）采用的检测标准：</w:t>
            </w:r>
            <w:r>
              <w:rPr>
                <w:rFonts w:hint="eastAsia" w:ascii="宋体" w:hAnsi="宋体" w:cs="宋体"/>
                <w:color w:val="auto"/>
                <w:sz w:val="24"/>
                <w:szCs w:val="24"/>
                <w:highlight w:val="none"/>
                <w:lang w:val="en-US" w:eastAsia="zh-CN"/>
              </w:rPr>
              <w:t xml:space="preserve">GB/T 24820-2024</w:t>
            </w:r>
            <w:r/>
          </w:p>
        </w:tc>
      </w:tr>
      <w:tr>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328" w:type="dxa"/>
            <w:vAlign w:val="top"/>
            <w:textDirection w:val="lrTb"/>
            <w:noWrap w:val="false"/>
          </w:tcPr>
          <w:p>
            <w:pPr>
              <w:numPr>
                <w:ilvl w:val="-1"/>
                <w:numId w:val="0"/>
              </w:numPr>
              <w:ind w:left="0" w:right="0" w:firstLine="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检测项目及要求：</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1.实验台面净深</w:t>
            </w:r>
            <w:r>
              <w:rPr>
                <w:rFonts w:hint="eastAsia" w:ascii="宋体" w:hAnsi="宋体" w:cs="宋体"/>
                <w:color w:val="auto"/>
                <w:sz w:val="24"/>
                <w:szCs w:val="24"/>
                <w:highlight w:val="none"/>
                <w:lang w:val="en-US" w:eastAsia="zh-CN"/>
              </w:rPr>
              <w:t xml:space="preserve">：600mm~900mm；</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2.分缝</w:t>
            </w:r>
            <w:r>
              <w:rPr>
                <w:rFonts w:hint="eastAsia" w:ascii="宋体" w:hAnsi="宋体" w:cs="宋体"/>
                <w:color w:val="auto"/>
                <w:sz w:val="24"/>
                <w:szCs w:val="24"/>
                <w:highlight w:val="none"/>
                <w:lang w:val="en-US" w:eastAsia="zh-CN"/>
              </w:rPr>
              <w:t xml:space="preserve">：</w:t>
            </w:r>
            <w:r>
              <w:rPr>
                <w:rFonts w:hint="eastAsia"/>
                <w:color w:val="auto"/>
                <w:sz w:val="24"/>
                <w:szCs w:val="22"/>
                <w:highlight w:val="none"/>
              </w:rPr>
              <w:t xml:space="preserve">非设计要求≤2.0</w:t>
            </w:r>
            <w:r>
              <w:rPr>
                <w:rFonts w:hint="eastAsia" w:ascii="宋体" w:hAnsi="宋体" w:cs="宋体"/>
                <w:color w:val="auto"/>
                <w:sz w:val="24"/>
                <w:szCs w:val="24"/>
                <w:highlight w:val="none"/>
                <w:lang w:val="en-US" w:eastAsia="zh-CN"/>
              </w:rPr>
              <w:t xml:space="preserve">；</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3.抽屉下垂度</w:t>
            </w:r>
            <w:r>
              <w:rPr>
                <w:rFonts w:hint="eastAsia" w:ascii="宋体" w:hAnsi="宋体" w:cs="宋体"/>
                <w:color w:val="auto"/>
                <w:sz w:val="24"/>
                <w:szCs w:val="24"/>
                <w:highlight w:val="none"/>
                <w:lang w:val="en-US" w:eastAsia="zh-CN"/>
              </w:rPr>
              <w:t xml:space="preserve">≤20mm；</w:t>
            </w:r>
            <w:r>
              <w:rPr>
                <w:rFonts w:hint="eastAsia" w:ascii="宋体" w:hAnsi="宋体" w:cs="宋体"/>
                <w:b/>
                <w:bCs/>
                <w:color w:val="auto"/>
                <w:sz w:val="24"/>
                <w:szCs w:val="24"/>
                <w:highlight w:val="none"/>
                <w:lang w:val="en-US" w:eastAsia="zh-CN"/>
              </w:rPr>
              <w:t xml:space="preserve">抽屉摆动度</w:t>
            </w:r>
            <w:r>
              <w:rPr>
                <w:rFonts w:hint="eastAsia" w:ascii="宋体" w:hAnsi="宋体" w:cs="宋体"/>
                <w:color w:val="auto"/>
                <w:sz w:val="24"/>
                <w:szCs w:val="24"/>
                <w:highlight w:val="none"/>
                <w:lang w:val="en-US" w:eastAsia="zh-CN"/>
              </w:rPr>
              <w:t xml:space="preserve">≤15mm；</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4.安全性能</w:t>
            </w:r>
            <w:r>
              <w:rPr>
                <w:rFonts w:hint="eastAsia" w:ascii="宋体" w:hAnsi="宋体" w:cs="宋体"/>
                <w:color w:val="auto"/>
                <w:sz w:val="24"/>
                <w:szCs w:val="24"/>
                <w:highlight w:val="none"/>
                <w:lang w:val="en-US" w:eastAsia="zh-CN"/>
              </w:rPr>
              <w:t xml:space="preserve">：实验台面接缝应平整、紧密，不应渗水、开缝。实验台的把手不应有可积聚物质的凹槽。</w:t>
            </w:r>
            <w:r/>
          </w:p>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5.实验台力学性能-实验台耐久性</w:t>
            </w:r>
            <w:r/>
          </w:p>
          <w:p>
            <w:pPr>
              <w:ind w:left="0" w:right="0"/>
              <w:keepLines w:val="0"/>
              <w:keepNext w:val="0"/>
              <w:spacing w:before="0" w:beforeAutospacing="0" w:after="0" w:afterAutospacing="0" w:line="360" w:lineRule="auto"/>
              <w:rPr>
                <w:rFonts w:hint="eastAsia" w:ascii="宋体" w:hAnsi="宋体" w:cs="宋体"/>
                <w:i w:val="0"/>
                <w:iCs w:val="0"/>
                <w:caps w:val="0"/>
                <w:color w:val="auto"/>
                <w:spacing w:val="0"/>
                <w:sz w:val="24"/>
                <w:szCs w:val="24"/>
                <w:highlight w:val="none"/>
                <w:shd w:val="clear" w:color="auto" w:fill="ffffff"/>
                <w:lang w:eastAsia="zh-CN"/>
              </w:rPr>
              <w:suppressLineNumbers w:val="0"/>
            </w:pPr>
            <w:r>
              <w:rPr>
                <w:rFonts w:hint="eastAsia" w:ascii="宋体" w:hAnsi="宋体" w:cs="宋体"/>
                <w:color w:val="auto"/>
                <w:sz w:val="24"/>
                <w:szCs w:val="24"/>
                <w:highlight w:val="none"/>
                <w:lang w:val="en-US" w:eastAsia="zh-CN"/>
              </w:rPr>
              <w:t xml:space="preserve">（1）水平耐久性试验：</w:t>
            </w:r>
            <w:r>
              <w:rPr>
                <w:rFonts w:hint="eastAsia" w:ascii="宋体" w:hAnsi="宋体" w:eastAsia="宋体" w:cs="宋体"/>
                <w:i w:val="0"/>
                <w:iCs w:val="0"/>
                <w:caps w:val="0"/>
                <w:color w:val="auto"/>
                <w:spacing w:val="0"/>
                <w:sz w:val="24"/>
                <w:szCs w:val="24"/>
                <w:highlight w:val="none"/>
                <w:shd w:val="clear" w:color="auto" w:fill="ffffff"/>
              </w:rPr>
              <w:t xml:space="preserve">符合标准要求</w:t>
            </w:r>
            <w:r>
              <w:rPr>
                <w:rFonts w:hint="eastAsia" w:ascii="宋体" w:hAnsi="宋体" w:cs="宋体"/>
                <w:i w:val="0"/>
                <w:iCs w:val="0"/>
                <w:caps w:val="0"/>
                <w:color w:val="auto"/>
                <w:spacing w:val="0"/>
                <w:sz w:val="24"/>
                <w:szCs w:val="24"/>
                <w:highlight w:val="none"/>
                <w:shd w:val="clear" w:color="auto" w:fill="ffffff"/>
                <w:lang w:eastAsia="zh-CN"/>
              </w:rPr>
              <w:t xml:space="preserve">；</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i w:val="0"/>
                <w:iCs w:val="0"/>
                <w:caps w:val="0"/>
                <w:color w:val="auto"/>
                <w:spacing w:val="0"/>
                <w:sz w:val="24"/>
                <w:szCs w:val="24"/>
                <w:highlight w:val="none"/>
                <w:shd w:val="clear" w:color="auto" w:fill="ffffff"/>
                <w:lang w:eastAsia="zh-CN"/>
              </w:rPr>
              <w:t xml:space="preserve">（</w:t>
            </w:r>
            <w:r>
              <w:rPr>
                <w:rFonts w:hint="eastAsia" w:ascii="宋体" w:hAnsi="宋体" w:cs="宋体"/>
                <w:i w:val="0"/>
                <w:iCs w:val="0"/>
                <w:caps w:val="0"/>
                <w:color w:val="auto"/>
                <w:spacing w:val="0"/>
                <w:sz w:val="24"/>
                <w:szCs w:val="24"/>
                <w:highlight w:val="none"/>
                <w:shd w:val="clear" w:color="auto" w:fill="ffffff"/>
                <w:lang w:val="en-US" w:eastAsia="zh-CN"/>
              </w:rPr>
              <w:t xml:space="preserve">2</w:t>
            </w:r>
            <w:r>
              <w:rPr>
                <w:rFonts w:hint="eastAsia" w:ascii="宋体" w:hAnsi="宋体" w:cs="宋体"/>
                <w:i w:val="0"/>
                <w:iCs w:val="0"/>
                <w:caps w:val="0"/>
                <w:color w:val="auto"/>
                <w:spacing w:val="0"/>
                <w:sz w:val="24"/>
                <w:szCs w:val="24"/>
                <w:highlight w:val="none"/>
                <w:shd w:val="clear" w:color="auto" w:fill="ffffff"/>
                <w:lang w:eastAsia="zh-CN"/>
              </w:rPr>
              <w:t xml:space="preserve">）</w:t>
            </w:r>
            <w:r>
              <w:rPr>
                <w:rFonts w:hint="eastAsia" w:ascii="宋体" w:hAnsi="宋体" w:cs="宋体"/>
                <w:color w:val="auto"/>
                <w:sz w:val="24"/>
                <w:szCs w:val="24"/>
                <w:highlight w:val="none"/>
                <w:lang w:val="en-US" w:eastAsia="zh-CN"/>
              </w:rPr>
              <w:t xml:space="preserve">垂直耐久性试验：</w:t>
            </w:r>
            <w:r>
              <w:rPr>
                <w:rFonts w:hint="eastAsia" w:ascii="宋体" w:hAnsi="宋体" w:eastAsia="宋体" w:cs="宋体"/>
                <w:i w:val="0"/>
                <w:iCs w:val="0"/>
                <w:caps w:val="0"/>
                <w:color w:val="auto"/>
                <w:spacing w:val="0"/>
                <w:sz w:val="24"/>
                <w:szCs w:val="24"/>
                <w:highlight w:val="none"/>
                <w:shd w:val="clear" w:color="auto" w:fill="ffffff"/>
              </w:rPr>
              <w:t xml:space="preserve">符合标准要求</w:t>
            </w:r>
            <w:r>
              <w:rPr>
                <w:rFonts w:hint="eastAsia" w:ascii="宋体" w:hAnsi="宋体" w:cs="宋体"/>
                <w:color w:val="auto"/>
                <w:sz w:val="24"/>
                <w:szCs w:val="24"/>
                <w:highlight w:val="none"/>
                <w:lang w:val="en-US" w:eastAsia="zh-CN"/>
              </w:rPr>
              <w:t xml:space="preserve">。</w:t>
            </w:r>
            <w:r/>
          </w:p>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6.实验台力学性能-独立式实验台稳定性</w:t>
            </w:r>
            <w:r/>
          </w:p>
          <w:p>
            <w:pPr>
              <w:ind w:left="0" w:right="0"/>
              <w:keepLines w:val="0"/>
              <w:keepNext w:val="0"/>
              <w:spacing w:before="0" w:beforeAutospacing="0" w:after="0" w:afterAutospacing="0" w:line="360" w:lineRule="auto"/>
              <w:rPr>
                <w:rFonts w:hint="eastAsia" w:ascii="宋体" w:hAnsi="宋体" w:cs="宋体"/>
                <w:i w:val="0"/>
                <w:iCs w:val="0"/>
                <w:caps w:val="0"/>
                <w:color w:val="auto"/>
                <w:spacing w:val="0"/>
                <w:sz w:val="24"/>
                <w:szCs w:val="24"/>
                <w:highlight w:val="none"/>
                <w:shd w:val="clear" w:color="auto" w:fill="ffffff"/>
                <w:lang w:eastAsia="zh-CN"/>
              </w:rPr>
              <w:suppressLineNumbers w:val="0"/>
            </w:pPr>
            <w:r>
              <w:rPr>
                <w:rFonts w:hint="eastAsia" w:ascii="宋体" w:hAnsi="宋体" w:cs="宋体"/>
                <w:color w:val="auto"/>
                <w:sz w:val="24"/>
                <w:szCs w:val="24"/>
                <w:highlight w:val="none"/>
                <w:lang w:val="en-US" w:eastAsia="zh-CN"/>
              </w:rPr>
              <w:t xml:space="preserve">（1）水平冲击稳定性试验：</w:t>
            </w:r>
            <w:r>
              <w:rPr>
                <w:rFonts w:hint="eastAsia" w:ascii="宋体" w:hAnsi="宋体" w:eastAsia="宋体" w:cs="宋体"/>
                <w:i w:val="0"/>
                <w:iCs w:val="0"/>
                <w:caps w:val="0"/>
                <w:color w:val="auto"/>
                <w:spacing w:val="0"/>
                <w:sz w:val="24"/>
                <w:szCs w:val="24"/>
                <w:highlight w:val="none"/>
                <w:shd w:val="clear" w:color="auto" w:fill="ffffff"/>
              </w:rPr>
              <w:t xml:space="preserve">符合标准要求</w:t>
            </w:r>
            <w:r>
              <w:rPr>
                <w:rFonts w:hint="eastAsia" w:ascii="宋体" w:hAnsi="宋体" w:cs="宋体"/>
                <w:i w:val="0"/>
                <w:iCs w:val="0"/>
                <w:caps w:val="0"/>
                <w:color w:val="auto"/>
                <w:spacing w:val="0"/>
                <w:sz w:val="24"/>
                <w:szCs w:val="24"/>
                <w:highlight w:val="none"/>
                <w:shd w:val="clear" w:color="auto" w:fill="ffffff"/>
                <w:lang w:eastAsia="zh-CN"/>
              </w:rPr>
              <w:t xml:space="preserve">；</w:t>
            </w:r>
            <w:r/>
          </w:p>
          <w:p>
            <w:pPr>
              <w:ind w:left="0" w:right="0"/>
              <w:keepLines w:val="0"/>
              <w:keepNext w:val="0"/>
              <w:spacing w:before="0" w:beforeAutospacing="0" w:after="0" w:afterAutospacing="0" w:line="360" w:lineRule="auto"/>
              <w:rPr>
                <w:rFonts w:hint="eastAsia" w:ascii="宋体" w:hAnsi="宋体" w:cs="宋体"/>
                <w:i w:val="0"/>
                <w:iCs w:val="0"/>
                <w:caps w:val="0"/>
                <w:color w:val="auto"/>
                <w:spacing w:val="0"/>
                <w:sz w:val="24"/>
                <w:szCs w:val="24"/>
                <w:highlight w:val="none"/>
                <w:shd w:val="clear" w:color="auto" w:fill="ffffff"/>
                <w:lang w:eastAsia="zh-CN"/>
              </w:rPr>
              <w:suppressLineNumbers w:val="0"/>
            </w:pPr>
            <w:r>
              <w:rPr>
                <w:rFonts w:hint="eastAsia" w:ascii="宋体" w:hAnsi="宋体" w:cs="宋体"/>
                <w:i w:val="0"/>
                <w:iCs w:val="0"/>
                <w:caps w:val="0"/>
                <w:color w:val="auto"/>
                <w:spacing w:val="0"/>
                <w:sz w:val="24"/>
                <w:szCs w:val="24"/>
                <w:highlight w:val="none"/>
                <w:shd w:val="clear" w:color="auto" w:fill="ffffff"/>
                <w:lang w:eastAsia="zh-CN"/>
              </w:rPr>
              <w:t xml:space="preserve">（</w:t>
            </w:r>
            <w:r>
              <w:rPr>
                <w:rFonts w:hint="eastAsia" w:ascii="宋体" w:hAnsi="宋体" w:cs="宋体"/>
                <w:i w:val="0"/>
                <w:iCs w:val="0"/>
                <w:caps w:val="0"/>
                <w:color w:val="auto"/>
                <w:spacing w:val="0"/>
                <w:sz w:val="24"/>
                <w:szCs w:val="24"/>
                <w:highlight w:val="none"/>
                <w:shd w:val="clear" w:color="auto" w:fill="ffffff"/>
                <w:lang w:val="en-US" w:eastAsia="zh-CN"/>
              </w:rPr>
              <w:t xml:space="preserve">2</w:t>
            </w:r>
            <w:r>
              <w:rPr>
                <w:rFonts w:hint="eastAsia" w:ascii="宋体" w:hAnsi="宋体" w:cs="宋体"/>
                <w:i w:val="0"/>
                <w:iCs w:val="0"/>
                <w:caps w:val="0"/>
                <w:color w:val="auto"/>
                <w:spacing w:val="0"/>
                <w:sz w:val="24"/>
                <w:szCs w:val="24"/>
                <w:highlight w:val="none"/>
                <w:shd w:val="clear" w:color="auto" w:fill="ffffff"/>
                <w:lang w:eastAsia="zh-CN"/>
              </w:rPr>
              <w:t xml:space="preserve">）</w:t>
            </w:r>
            <w:r>
              <w:rPr>
                <w:rFonts w:hint="eastAsia" w:ascii="宋体" w:hAnsi="宋体" w:cs="宋体"/>
                <w:color w:val="auto"/>
                <w:sz w:val="24"/>
                <w:szCs w:val="24"/>
                <w:highlight w:val="none"/>
                <w:lang w:val="en-US" w:eastAsia="zh-CN"/>
              </w:rPr>
              <w:t xml:space="preserve">符合垂直加载稳定性试验：</w:t>
            </w:r>
            <w:r>
              <w:rPr>
                <w:rFonts w:hint="eastAsia" w:ascii="宋体" w:hAnsi="宋体" w:eastAsia="宋体" w:cs="宋体"/>
                <w:i w:val="0"/>
                <w:iCs w:val="0"/>
                <w:caps w:val="0"/>
                <w:color w:val="auto"/>
                <w:spacing w:val="0"/>
                <w:sz w:val="24"/>
                <w:szCs w:val="24"/>
                <w:highlight w:val="none"/>
                <w:shd w:val="clear" w:color="auto" w:fill="ffffff"/>
              </w:rPr>
              <w:t xml:space="preserve">符合标准要求</w:t>
            </w:r>
            <w:r>
              <w:rPr>
                <w:rFonts w:hint="eastAsia" w:ascii="宋体" w:hAnsi="宋体" w:cs="宋体"/>
                <w:i w:val="0"/>
                <w:iCs w:val="0"/>
                <w:caps w:val="0"/>
                <w:color w:val="auto"/>
                <w:spacing w:val="0"/>
                <w:sz w:val="24"/>
                <w:szCs w:val="24"/>
                <w:highlight w:val="none"/>
                <w:shd w:val="clear" w:color="auto" w:fill="ffffff"/>
                <w:lang w:eastAsia="zh-CN"/>
              </w:rPr>
              <w:t xml:space="preserve">；</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i w:val="0"/>
                <w:iCs w:val="0"/>
                <w:caps w:val="0"/>
                <w:color w:val="auto"/>
                <w:spacing w:val="0"/>
                <w:sz w:val="24"/>
                <w:szCs w:val="24"/>
                <w:highlight w:val="none"/>
                <w:shd w:val="clear" w:color="auto" w:fill="ffffff"/>
                <w:lang w:eastAsia="zh-CN"/>
              </w:rPr>
              <w:t xml:space="preserve">（</w:t>
            </w:r>
            <w:r>
              <w:rPr>
                <w:rFonts w:hint="eastAsia" w:ascii="宋体" w:hAnsi="宋体" w:cs="宋体"/>
                <w:i w:val="0"/>
                <w:iCs w:val="0"/>
                <w:caps w:val="0"/>
                <w:color w:val="auto"/>
                <w:spacing w:val="0"/>
                <w:sz w:val="24"/>
                <w:szCs w:val="24"/>
                <w:highlight w:val="none"/>
                <w:shd w:val="clear" w:color="auto" w:fill="ffffff"/>
                <w:lang w:val="en-US" w:eastAsia="zh-CN"/>
              </w:rPr>
              <w:t xml:space="preserve">3</w:t>
            </w:r>
            <w:r>
              <w:rPr>
                <w:rFonts w:hint="eastAsia" w:ascii="宋体" w:hAnsi="宋体" w:cs="宋体"/>
                <w:i w:val="0"/>
                <w:iCs w:val="0"/>
                <w:caps w:val="0"/>
                <w:color w:val="auto"/>
                <w:spacing w:val="0"/>
                <w:sz w:val="24"/>
                <w:szCs w:val="24"/>
                <w:highlight w:val="none"/>
                <w:shd w:val="clear" w:color="auto" w:fill="ffffff"/>
                <w:lang w:eastAsia="zh-CN"/>
              </w:rPr>
              <w:t xml:space="preserve">）</w:t>
            </w:r>
            <w:r>
              <w:rPr>
                <w:rFonts w:hint="eastAsia" w:ascii="宋体" w:hAnsi="宋体" w:cs="宋体"/>
                <w:color w:val="auto"/>
                <w:sz w:val="24"/>
                <w:szCs w:val="24"/>
                <w:highlight w:val="none"/>
                <w:lang w:val="en-US" w:eastAsia="zh-CN"/>
              </w:rPr>
              <w:t xml:space="preserve">具有推拉构件的稳定性试验：</w:t>
            </w:r>
            <w:r>
              <w:rPr>
                <w:rFonts w:hint="eastAsia" w:ascii="宋体" w:hAnsi="宋体" w:eastAsia="宋体" w:cs="宋体"/>
                <w:i w:val="0"/>
                <w:iCs w:val="0"/>
                <w:caps w:val="0"/>
                <w:color w:val="auto"/>
                <w:spacing w:val="0"/>
                <w:sz w:val="24"/>
                <w:szCs w:val="24"/>
                <w:highlight w:val="none"/>
                <w:shd w:val="clear" w:color="auto" w:fill="ffffff"/>
              </w:rPr>
              <w:t xml:space="preserve">符合标准要求</w:t>
            </w:r>
            <w:r>
              <w:rPr>
                <w:rFonts w:hint="eastAsia" w:ascii="宋体" w:hAnsi="宋体" w:cs="宋体"/>
                <w:color w:val="auto"/>
                <w:sz w:val="24"/>
                <w:szCs w:val="24"/>
                <w:highlight w:val="none"/>
                <w:lang w:val="en-US" w:eastAsia="zh-CN"/>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328"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学生实验桌</w:t>
            </w:r>
            <w:r>
              <w:rPr>
                <w:rFonts w:hint="eastAsia" w:ascii="宋体" w:hAnsi="宋体" w:eastAsia="宋体" w:cs="宋体"/>
                <w:color w:val="auto"/>
                <w:sz w:val="24"/>
                <w:szCs w:val="24"/>
                <w:highlight w:val="none"/>
              </w:rPr>
              <w:t xml:space="preserve">（抽检）采用的检测标准：</w:t>
            </w:r>
            <w:r>
              <w:rPr>
                <w:rFonts w:hint="eastAsia" w:ascii="宋体" w:hAnsi="宋体" w:cs="宋体"/>
                <w:color w:val="auto"/>
                <w:sz w:val="24"/>
                <w:szCs w:val="24"/>
                <w:highlight w:val="none"/>
                <w:lang w:val="en-US" w:eastAsia="zh-CN"/>
              </w:rPr>
              <w:t xml:space="preserve">GB/T 24820-2024 、QB/T3826-1999。</w:t>
            </w:r>
            <w:r/>
          </w:p>
        </w:tc>
      </w:tr>
      <w:tr>
        <w:trPr>
          <w:trHeight w:val="2289"/>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328" w:type="dxa"/>
            <w:vAlign w:val="top"/>
            <w:textDirection w:val="lrTb"/>
            <w:noWrap w:val="false"/>
          </w:tcPr>
          <w:p>
            <w:pPr>
              <w:numPr>
                <w:ilvl w:val="-1"/>
                <w:numId w:val="0"/>
              </w:numPr>
              <w:ind w:left="0" w:right="0" w:firstLine="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检测项目及要求：</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b/>
                <w:bCs/>
                <w:i w:val="0"/>
                <w:iCs w:val="0"/>
                <w:caps w:val="0"/>
                <w:color w:val="auto"/>
                <w:spacing w:val="0"/>
                <w:sz w:val="24"/>
                <w:szCs w:val="24"/>
                <w:highlight w:val="none"/>
                <w:shd w:val="clear" w:color="auto" w:fill="ffffff"/>
              </w:rPr>
              <w:t xml:space="preserve">理化性能—通用要求（电镀层抗盐雾）</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盐雾试验时间≥18h，直径1.5mm以下锈点≤20点/dm²，其中直径≥1.0mm锈点不超过5点（距边缘棱角2mm以内的锈点不计）。</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b/>
                <w:bCs/>
                <w:i w:val="0"/>
                <w:iCs w:val="0"/>
                <w:caps w:val="0"/>
                <w:color w:val="auto"/>
                <w:spacing w:val="0"/>
                <w:sz w:val="24"/>
                <w:szCs w:val="24"/>
                <w:highlight w:val="none"/>
                <w:shd w:val="clear" w:color="auto" w:fill="ffffff"/>
              </w:rPr>
              <w:t xml:space="preserve">实验台力学性能—实验台强度</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（1）水平静载荷试验：符合标准要求；</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（2）主台面垂直静载荷试验：符合标准要求；</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（3）台面挠度试验：符合标准要求；</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（4）跌落试验：符合标准要求。</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b/>
                <w:bCs/>
                <w:i w:val="0"/>
                <w:iCs w:val="0"/>
                <w:caps w:val="0"/>
                <w:color w:val="auto"/>
                <w:spacing w:val="0"/>
                <w:sz w:val="24"/>
                <w:szCs w:val="24"/>
                <w:highlight w:val="none"/>
                <w:shd w:val="clear" w:color="auto" w:fill="ffffff"/>
              </w:rPr>
              <w:t xml:space="preserve">实验台力学性能—独立式实验台稳定性</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（1）水平冲击稳定性试验：符合标准要求；</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（2）垂直加载稳定性试验：符合标准要求。</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8328"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铝合金万向罩（抽检）采用的检测标准：GB/T 10125-2021</w:t>
            </w:r>
            <w:r>
              <w:rPr>
                <w:rFonts w:hint="eastAsia" w:ascii="宋体" w:hAnsi="宋体" w:cs="宋体"/>
                <w:color w:val="auto"/>
                <w:sz w:val="24"/>
                <w:szCs w:val="24"/>
                <w:highlight w:val="none"/>
                <w:lang w:eastAsia="zh-CN"/>
              </w:rPr>
              <w:t xml:space="preserve">、GB/T 6461-2002。</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328" w:type="dxa"/>
            <w:vAlign w:val="top"/>
            <w:textDirection w:val="lrTb"/>
            <w:noWrap w:val="false"/>
          </w:tcPr>
          <w:p>
            <w:pPr>
              <w:pStyle w:val="828"/>
              <w:ind w:left="0" w:right="0" w:firstLine="0"/>
              <w:keepLines w:val="0"/>
              <w:keepNext w:val="0"/>
              <w:spacing w:before="0" w:beforeAutospacing="0" w:after="0" w:afterAutospacing="0" w:line="360" w:lineRule="auto"/>
              <w:shd w:val="clear" w:color="auto" w:fill="ffffff"/>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检测项目及要求：</w:t>
            </w:r>
            <w:r/>
          </w:p>
          <w:p>
            <w:pPr>
              <w:pStyle w:val="828"/>
              <w:ind w:left="0" w:right="0" w:firstLine="0"/>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中性盐雾试验</w:t>
            </w:r>
            <w:r>
              <w:rPr>
                <w:rFonts w:hint="eastAsia" w:ascii="宋体" w:hAnsi="宋体" w:eastAsia="宋体" w:cs="宋体"/>
                <w:i w:val="0"/>
                <w:iCs w:val="0"/>
                <w:caps w:val="0"/>
                <w:color w:val="auto"/>
                <w:spacing w:val="0"/>
                <w:sz w:val="24"/>
                <w:szCs w:val="24"/>
                <w:highlight w:val="none"/>
                <w:shd w:val="clear" w:color="auto" w:fill="ffffff"/>
              </w:rPr>
              <w:t xml:space="preserve">：试验时间≥</w:t>
            </w:r>
            <w:r>
              <w:rPr>
                <w:rFonts w:hint="eastAsia" w:cs="宋体"/>
                <w:i w:val="0"/>
                <w:iCs w:val="0"/>
                <w:caps w:val="0"/>
                <w:color w:val="auto"/>
                <w:spacing w:val="0"/>
                <w:sz w:val="24"/>
                <w:szCs w:val="24"/>
                <w:highlight w:val="none"/>
                <w:shd w:val="clear" w:color="auto" w:fill="ffffff"/>
                <w:lang w:val="en-US" w:eastAsia="zh-CN"/>
              </w:rPr>
              <w:t xml:space="preserve">24</w:t>
            </w:r>
            <w:r>
              <w:rPr>
                <w:rFonts w:hint="eastAsia" w:ascii="宋体" w:hAnsi="宋体" w:eastAsia="宋体" w:cs="宋体"/>
                <w:i w:val="0"/>
                <w:iCs w:val="0"/>
                <w:caps w:val="0"/>
                <w:color w:val="auto"/>
                <w:spacing w:val="0"/>
                <w:sz w:val="24"/>
                <w:szCs w:val="24"/>
                <w:highlight w:val="none"/>
                <w:shd w:val="clear" w:color="auto" w:fill="ffffff"/>
              </w:rPr>
              <w:t xml:space="preserve">0 小时</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保护等级≥</w:t>
            </w:r>
            <w:r>
              <w:rPr>
                <w:rFonts w:hint="eastAsia" w:ascii="宋体" w:hAnsi="宋体" w:eastAsia="宋体" w:cs="宋体"/>
                <w:b/>
                <w:bCs/>
                <w:i w:val="0"/>
                <w:iCs w:val="0"/>
                <w:caps w:val="0"/>
                <w:color w:val="auto"/>
                <w:spacing w:val="0"/>
                <w:sz w:val="24"/>
                <w:szCs w:val="24"/>
                <w:highlight w:val="none"/>
                <w:shd w:val="clear" w:color="auto" w:fill="ffffff"/>
              </w:rPr>
              <w:t xml:space="preserve">6级</w:t>
            </w:r>
            <w:r>
              <w:rPr>
                <w:rFonts w:hint="eastAsia" w:ascii="宋体" w:hAnsi="宋体" w:eastAsia="宋体" w:cs="宋体"/>
                <w:i w:val="0"/>
                <w:iCs w:val="0"/>
                <w:caps w:val="0"/>
                <w:color w:val="auto"/>
                <w:spacing w:val="0"/>
                <w:sz w:val="24"/>
                <w:szCs w:val="24"/>
                <w:highlight w:val="none"/>
                <w:shd w:val="clear" w:color="auto" w:fill="ffffff"/>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328" w:type="dxa"/>
            <w:vAlign w:val="top"/>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准备台（抽检）采用的检测标准：GB/T 24820-2024</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328" w:type="dxa"/>
            <w:vAlign w:val="top"/>
            <w:textDirection w:val="lrTb"/>
            <w:noWrap w:val="false"/>
          </w:tcPr>
          <w:p>
            <w:pPr>
              <w:numPr>
                <w:ilvl w:val="-1"/>
                <w:numId w:val="0"/>
              </w:numPr>
              <w:ind w:left="0" w:right="0" w:firstLine="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检测项目及要求：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抽屉下垂度</w:t>
            </w:r>
            <w:r>
              <w:rPr>
                <w:rFonts w:hint="eastAsia" w:ascii="宋体" w:hAnsi="宋体" w:eastAsia="宋体" w:cs="宋体"/>
                <w:color w:val="auto"/>
                <w:sz w:val="24"/>
                <w:szCs w:val="24"/>
                <w:highlight w:val="none"/>
              </w:rPr>
              <w:t xml:space="preserve">≤20mm；</w:t>
            </w:r>
            <w:r>
              <w:rPr>
                <w:rFonts w:hint="eastAsia" w:ascii="宋体" w:hAnsi="宋体" w:eastAsia="宋体" w:cs="宋体"/>
                <w:b/>
                <w:bCs/>
                <w:color w:val="auto"/>
                <w:sz w:val="24"/>
                <w:szCs w:val="24"/>
                <w:highlight w:val="none"/>
              </w:rPr>
              <w:t xml:space="preserve">抽屉摆动度</w:t>
            </w:r>
            <w:r>
              <w:rPr>
                <w:rFonts w:hint="eastAsia" w:ascii="宋体" w:hAnsi="宋体" w:eastAsia="宋体" w:cs="宋体"/>
                <w:color w:val="auto"/>
                <w:sz w:val="24"/>
                <w:szCs w:val="24"/>
                <w:highlight w:val="none"/>
              </w:rPr>
              <w:t xml:space="preserve">≤15mm；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着地平稳性</w:t>
            </w:r>
            <w:r>
              <w:rPr>
                <w:rFonts w:hint="eastAsia" w:ascii="宋体" w:hAnsi="宋体" w:eastAsia="宋体" w:cs="宋体"/>
                <w:color w:val="auto"/>
                <w:sz w:val="24"/>
                <w:szCs w:val="24"/>
                <w:highlight w:val="none"/>
              </w:rPr>
              <w:t xml:space="preserve">≤2.0mm；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外观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台面不应有裂缝、渗透现象；台面不应有污物、杂质；</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人造板件外观：外表应无干花、湿花；同一板面外表，允许1处，面积在3mm²~30mm²内；外表应无明显划痕；外表应无明显压痕；外表应无明显色差；外表应无鼓泡、龟裂、分层；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金属件外观：焊接处应无脱焊、虚焊、焊穿、错位；焊接处应无夹渣、气孔、焊瘤、焊丝头、咬边、飞溅；焊接处表面波纹应均匀；冲压件应无脱层、裂缝；涂层应无漏喷、锈蚀和脱色、掉色现象；涂层应光滑均匀，色泽一致，应无流挂、疙瘩、皱皮、飞漆等缺陷；表面应无剥落、返锈、毛刺；表面应无烧焦、起泡、针孔、裂纹、花斑（不包括镀彩锌)和划痕。</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安全性能</w:t>
            </w:r>
            <w:r>
              <w:rPr>
                <w:rFonts w:hint="eastAsia" w:ascii="宋体" w:hAnsi="宋体" w:eastAsia="宋体" w:cs="宋体"/>
                <w:color w:val="auto"/>
                <w:sz w:val="24"/>
                <w:szCs w:val="24"/>
                <w:highlight w:val="none"/>
              </w:rPr>
              <w:t xml:space="preserve">：实验台面接缝应平整、紧密，不应渗水、开缝。</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8328" w:type="dxa"/>
            <w:vAlign w:val="top"/>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药品柜（抽检）采用的检测标准：GB/T 24820-2024</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328" w:type="dxa"/>
            <w:vAlign w:val="top"/>
            <w:textDirection w:val="lrTb"/>
            <w:noWrap w:val="false"/>
          </w:tcPr>
          <w:p>
            <w:pPr>
              <w:numPr>
                <w:ilvl w:val="-1"/>
                <w:numId w:val="0"/>
              </w:numPr>
              <w:ind w:left="0" w:right="0" w:firstLine="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检测项目及要求：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rPr>
              <w:t xml:space="preserve">着地平稳性</w:t>
            </w:r>
            <w:r>
              <w:rPr>
                <w:rFonts w:hint="eastAsia" w:ascii="宋体" w:hAnsi="宋体" w:eastAsia="宋体" w:cs="宋体"/>
                <w:color w:val="auto"/>
                <w:sz w:val="24"/>
                <w:szCs w:val="24"/>
                <w:highlight w:val="none"/>
              </w:rPr>
              <w:t xml:space="preserve">≤2.0mm；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外观</w:t>
            </w:r>
            <w:r>
              <w:rPr>
                <w:rFonts w:hint="eastAsia" w:ascii="宋体" w:hAnsi="宋体" w:eastAsia="宋体" w:cs="宋体"/>
                <w:color w:val="auto"/>
                <w:sz w:val="24"/>
                <w:szCs w:val="24"/>
                <w:highlight w:val="none"/>
              </w:rPr>
              <w:t xml:space="preserve">：</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玻璃件外观：外露周边应磨边处理，安装牢固；玻璃应光洁平滑，不应有裂纹、划伤、沙粒、疙瘩和麻点等缺陷；</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金属件外观：冲压件应无脱层、裂缝；涂层应无漏喷、锈蚀和脱色、掉色现象；涂层应光滑均匀，色泽一致，应无流挂、疙瘩、皱皮、飞漆等缺陷；表面应无剥落、返锈、毛刺；表面应无烧焦、起泡、针孔、裂纹、花斑（不包括镀彩锌)和划痕；</w:t>
            </w:r>
            <w:r/>
          </w:p>
          <w:p>
            <w:pPr>
              <w:pStyle w:val="873"/>
              <w:ind w:left="0" w:right="0" w:firstLine="0"/>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安全性能-产品结构安全中通用结构安全：</w:t>
            </w:r>
            <w:r/>
          </w:p>
          <w:p>
            <w:pPr>
              <w:pStyle w:val="873"/>
              <w:ind w:left="0" w:right="0" w:firstLine="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基本结构安全：正常使用时，其他部件表面应无锐边、锐角。按产品标准进行稳定性试验时，不应发生倾翻。固定零部件的结合应牢固无松动，应无少件、透钉、漏钉</w:t>
            </w:r>
            <w:r>
              <w:rPr>
                <w:rFonts w:hint="eastAsia" w:ascii="宋体" w:hAnsi="宋体" w:cs="宋体"/>
                <w:color w:val="auto"/>
                <w:sz w:val="24"/>
                <w:szCs w:val="24"/>
                <w:highlight w:val="none"/>
                <w:lang w:eastAsia="zh-CN"/>
              </w:rPr>
              <w:t xml:space="preserve">。</w:t>
            </w:r>
            <w:r/>
          </w:p>
          <w:p>
            <w:pPr>
              <w:pStyle w:val="873"/>
              <w:ind w:left="0" w:right="0" w:firstLine="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剪切和挤压点-使用过程中的剪切和挤压：在预定的使用条件下，不应有可触及的剪切和挤压点。正常使用中受力作用下可接触间隙用半球形手指探棒试验，间隙应小于7mm或不小于18mm</w:t>
            </w:r>
            <w:r>
              <w:rPr>
                <w:rFonts w:hint="eastAsia" w:ascii="宋体" w:hAnsi="宋体" w:cs="宋体"/>
                <w:color w:val="auto"/>
                <w:sz w:val="24"/>
                <w:szCs w:val="24"/>
                <w:highlight w:val="none"/>
                <w:lang w:eastAsia="zh-CN"/>
              </w:rPr>
              <w:t xml:space="preserve">。</w:t>
            </w:r>
            <w:r/>
          </w:p>
          <w:p>
            <w:pPr>
              <w:pStyle w:val="873"/>
              <w:ind w:left="0" w:right="0" w:firstLine="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基本结构安全：正常使用时，可接触到的边、角都应进行倒圆、倒角、砂光或以其他合适的方式进行保护。倒圆半径应不小于0.5mm。</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8328" w:type="dxa"/>
            <w:vAlign w:val="top"/>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通风柜（抽检）采用的检测标准：GB/T 24820-2024</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328" w:type="dxa"/>
            <w:vAlign w:val="top"/>
            <w:textDirection w:val="lrTb"/>
            <w:noWrap w:val="false"/>
          </w:tcPr>
          <w:p>
            <w:pPr>
              <w:numPr>
                <w:ilvl w:val="-1"/>
                <w:numId w:val="0"/>
              </w:numPr>
              <w:ind w:left="0" w:right="0" w:firstLine="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检测项目及要求：</w:t>
            </w:r>
            <w:r/>
          </w:p>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b/>
                <w:bCs/>
                <w:i w:val="0"/>
                <w:iCs w:val="0"/>
                <w:caps w:val="0"/>
                <w:color w:val="auto"/>
                <w:spacing w:val="0"/>
                <w:sz w:val="24"/>
                <w:szCs w:val="24"/>
                <w:highlight w:val="none"/>
                <w:shd w:val="clear" w:color="auto" w:fill="ffffff"/>
              </w:rPr>
              <w:t xml:space="preserve">理化性能—通用要求</w:t>
            </w:r>
            <w:r>
              <w:rPr>
                <w:rFonts w:hint="eastAsia" w:ascii="宋体" w:hAnsi="宋体" w:cs="宋体"/>
                <w:b/>
                <w:bCs/>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b/>
                <w:bCs/>
                <w:color w:val="auto"/>
                <w:sz w:val="24"/>
                <w:szCs w:val="24"/>
                <w:highlight w:val="none"/>
              </w:rPr>
              <w:t xml:space="preserve"> 表面金属喷漆（塑）涂层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冲击强度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冲击高度400mm,应无剥落、裂纹、皱纹；</w:t>
            </w:r>
            <w:r/>
          </w:p>
          <w:p>
            <w:pPr>
              <w:ind w:left="0" w:right="0"/>
              <w:jc w:val="left"/>
              <w:keepLines w:val="0"/>
              <w:keepNext w:val="0"/>
              <w:spacing w:before="0" w:beforeAutospacing="0" w:after="0" w:afterAutospacing="0" w:line="36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耐腐蚀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100h内，观察在溶液中样板上划道两侧3mm以外，应无鼓泡产生；100h后，检查划道两侧3mm以外，应无锈迹、剥落、黄起皱、变色和失光等现象</w:t>
            </w:r>
            <w:r>
              <w:rPr>
                <w:rFonts w:hint="eastAsia" w:ascii="宋体" w:hAnsi="宋体" w:cs="宋体"/>
                <w:color w:val="auto"/>
                <w:sz w:val="24"/>
                <w:szCs w:val="24"/>
                <w:highlight w:val="none"/>
                <w:lang w:eastAsia="zh-CN"/>
              </w:rPr>
              <w:t xml:space="preserve">；</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附着力</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应不低于2级。</w:t>
            </w:r>
            <w:r/>
          </w:p>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储物柜力学性能-稳定性 </w:t>
            </w:r>
            <w:r/>
          </w:p>
          <w:p>
            <w:pPr>
              <w:ind w:left="0" w:right="0"/>
              <w:jc w:val="left"/>
              <w:keepLines w:val="0"/>
              <w:keepNext w:val="0"/>
              <w:spacing w:before="0" w:beforeAutospacing="0" w:after="0" w:afterAutospacing="0" w:line="36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所有开门、推拉构件和翻门关闭，所有储存部件空载-高度为或可调节为&gt;1000mm的试件不应倾翻</w:t>
            </w:r>
            <w:r>
              <w:rPr>
                <w:rFonts w:hint="eastAsia" w:ascii="宋体" w:hAnsi="宋体" w:cs="宋体"/>
                <w:color w:val="auto"/>
                <w:sz w:val="24"/>
                <w:szCs w:val="24"/>
                <w:highlight w:val="none"/>
                <w:lang w:eastAsia="zh-CN"/>
              </w:rPr>
              <w:t xml:space="preserve">；</w:t>
            </w:r>
            <w:r/>
          </w:p>
          <w:p>
            <w:pPr>
              <w:ind w:left="0" w:right="0"/>
              <w:jc w:val="left"/>
              <w:keepLines w:val="0"/>
              <w:keepNext w:val="0"/>
              <w:spacing w:before="0" w:beforeAutospacing="0" w:after="0" w:afterAutospacing="0" w:line="36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所有开门、推拉构件和翻门开启试验，所有储存部件空载 不应倾翻</w:t>
            </w:r>
            <w:r>
              <w:rPr>
                <w:rFonts w:hint="eastAsia" w:ascii="宋体" w:hAnsi="宋体" w:cs="宋体"/>
                <w:color w:val="auto"/>
                <w:sz w:val="24"/>
                <w:szCs w:val="24"/>
                <w:highlight w:val="none"/>
                <w:lang w:eastAsia="zh-CN"/>
              </w:rPr>
              <w:t xml:space="preserve">；</w:t>
            </w:r>
            <w:r/>
          </w:p>
          <w:p>
            <w:pPr>
              <w:ind w:left="0" w:right="0"/>
              <w:jc w:val="left"/>
              <w:keepLines w:val="0"/>
              <w:keepNext w:val="0"/>
              <w:spacing w:before="0" w:beforeAutospacing="0" w:after="0" w:afterAutospacing="0" w:line="36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开门、推拉构件和翻门开启并解锁-所有开门、推拉构件和翻门开启空载，所有储存部件空载不应倾翻</w:t>
            </w:r>
            <w:r>
              <w:rPr>
                <w:rFonts w:hint="eastAsia" w:ascii="宋体" w:hAnsi="宋体" w:cs="宋体"/>
                <w:color w:val="auto"/>
                <w:sz w:val="24"/>
                <w:szCs w:val="24"/>
                <w:highlight w:val="none"/>
                <w:lang w:eastAsia="zh-CN"/>
              </w:rPr>
              <w:t xml:space="preserve">；</w:t>
            </w:r>
            <w:r/>
          </w:p>
          <w:p>
            <w:pPr>
              <w:ind w:left="0" w:right="0"/>
              <w:jc w:val="left"/>
              <w:keepLines w:val="0"/>
              <w:keepNext w:val="0"/>
              <w:spacing w:before="0" w:beforeAutospacing="0" w:after="0" w:afterAutospacing="0" w:line="36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开门、推拉构件和翻门开启并解锁-开门、推拉构件和翻门开启加载，所有储存部件空载不应倾翻</w:t>
            </w:r>
            <w:r>
              <w:rPr>
                <w:rFonts w:hint="eastAsia" w:ascii="宋体" w:hAnsi="宋体" w:cs="宋体"/>
                <w:color w:val="auto"/>
                <w:sz w:val="24"/>
                <w:szCs w:val="24"/>
                <w:highlight w:val="none"/>
                <w:lang w:eastAsia="zh-CN"/>
              </w:rPr>
              <w:t xml:space="preserve">；</w:t>
            </w:r>
            <w:r/>
          </w:p>
          <w:p>
            <w:pPr>
              <w:ind w:left="0" w:right="0"/>
              <w:jc w:val="left"/>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开门、推拉构件和翻门开启并解锁-开门、推拉构件和翻门开启加载，所有储存部件加载不应倾翻。</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8328" w:type="dxa"/>
            <w:vAlign w:val="top"/>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实验台（抽检）采用的检测标准：GB/T 24820-2024</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328" w:type="dxa"/>
            <w:vAlign w:val="top"/>
            <w:textDirection w:val="lrTb"/>
            <w:noWrap w:val="false"/>
          </w:tcPr>
          <w:p>
            <w:pPr>
              <w:numPr>
                <w:ilvl w:val="-1"/>
                <w:numId w:val="0"/>
              </w:numPr>
              <w:ind w:left="0" w:right="0" w:firstLine="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检测项目及要求：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容足空间净高</w:t>
            </w:r>
            <w:r>
              <w:rPr>
                <w:rFonts w:hint="eastAsia" w:ascii="宋体" w:hAnsi="宋体" w:eastAsia="宋体" w:cs="宋体"/>
                <w:color w:val="auto"/>
                <w:sz w:val="24"/>
                <w:szCs w:val="24"/>
                <w:highlight w:val="none"/>
              </w:rPr>
              <w:t xml:space="preserve">≥120mm;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容足空间净深</w:t>
            </w:r>
            <w:r>
              <w:rPr>
                <w:rFonts w:hint="eastAsia" w:ascii="宋体" w:hAnsi="宋体" w:eastAsia="宋体" w:cs="宋体"/>
                <w:color w:val="auto"/>
                <w:sz w:val="24"/>
                <w:szCs w:val="24"/>
                <w:highlight w:val="none"/>
              </w:rPr>
              <w:t xml:space="preserve">≥150mm;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抽屉下垂度</w:t>
            </w:r>
            <w:r>
              <w:rPr>
                <w:rFonts w:hint="eastAsia" w:ascii="宋体" w:hAnsi="宋体" w:eastAsia="宋体" w:cs="宋体"/>
                <w:color w:val="auto"/>
                <w:sz w:val="24"/>
                <w:szCs w:val="24"/>
                <w:highlight w:val="none"/>
              </w:rPr>
              <w:t xml:space="preserve">≤20mm；</w:t>
            </w:r>
            <w:r>
              <w:rPr>
                <w:rFonts w:hint="eastAsia" w:ascii="宋体" w:hAnsi="宋体" w:eastAsia="宋体" w:cs="宋体"/>
                <w:b/>
                <w:bCs/>
                <w:color w:val="auto"/>
                <w:sz w:val="24"/>
                <w:szCs w:val="24"/>
                <w:highlight w:val="none"/>
              </w:rPr>
              <w:t xml:space="preserve">抽屉摆动度</w:t>
            </w:r>
            <w:r>
              <w:rPr>
                <w:rFonts w:hint="eastAsia" w:ascii="宋体" w:hAnsi="宋体" w:eastAsia="宋体" w:cs="宋体"/>
                <w:color w:val="auto"/>
                <w:sz w:val="24"/>
                <w:szCs w:val="24"/>
                <w:highlight w:val="none"/>
              </w:rPr>
              <w:t xml:space="preserve">≤15mm；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着地平稳性</w:t>
            </w:r>
            <w:r>
              <w:rPr>
                <w:rFonts w:hint="eastAsia" w:ascii="宋体" w:hAnsi="宋体" w:eastAsia="宋体" w:cs="宋体"/>
                <w:color w:val="auto"/>
                <w:sz w:val="24"/>
                <w:szCs w:val="24"/>
                <w:highlight w:val="none"/>
              </w:rPr>
              <w:t xml:space="preserve">≤2.0mm；</w:t>
            </w:r>
            <w:r/>
          </w:p>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外观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台面不应有裂缝、渗透现象；台面不应有污物、杂质；</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人造板件外观：外表应无干花、湿花；同一板面外表，允许1处，面积在3mm²~30mm²内；外表应无明显划痕；外表应无明显压痕；外表应无明显色差；外表应无鼓泡、龟裂、分层；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金属件外观：管材应无裂缝、叠缝；外露管口端面应封闭；涂层应无漏喷、锈蚀和脱色、掉色现象；涂层应光滑均匀，色泽一致，应无流挂、疙瘩、皱皮、飞漆等缺陷</w:t>
            </w:r>
            <w:r>
              <w:rPr>
                <w:rFonts w:hint="eastAsia" w:ascii="宋体" w:hAnsi="宋体" w:cs="宋体"/>
                <w:color w:val="auto"/>
                <w:sz w:val="24"/>
                <w:szCs w:val="24"/>
                <w:highlight w:val="none"/>
                <w:lang w:eastAsia="zh-CN"/>
              </w:rPr>
              <w:t xml:space="preserve">。</w:t>
            </w:r>
            <w:r/>
          </w:p>
          <w:p>
            <w:pPr>
              <w:ind w:left="0" w:right="0"/>
              <w:jc w:val="left"/>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安全性能</w:t>
            </w:r>
            <w:r>
              <w:rPr>
                <w:rFonts w:hint="eastAsia" w:ascii="宋体" w:hAnsi="宋体" w:eastAsia="宋体" w:cs="宋体"/>
                <w:color w:val="auto"/>
                <w:sz w:val="24"/>
                <w:szCs w:val="24"/>
                <w:highlight w:val="none"/>
              </w:rPr>
              <w:t xml:space="preserve">：实验台面接缝应平整、紧密，不应渗水、开缝。</w:t>
            </w:r>
            <w:r/>
          </w:p>
        </w:tc>
      </w:tr>
    </w:tbl>
    <w:p>
      <w:pPr>
        <w:ind w:firstLine="482"/>
        <w:keepLines w:val="0"/>
        <w:keepNext w:val="0"/>
        <w:pageBreakBefore w:val="0"/>
        <w:spacing w:line="360" w:lineRule="auto"/>
        <w:widowControl w:val="off"/>
        <w:tabs>
          <w:tab w:val="left" w:pos="840" w:leader="none"/>
          <w:tab w:val="left" w:pos="1155"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ind w:firstLine="482"/>
        <w:keepLines w:val="0"/>
        <w:keepNext w:val="0"/>
        <w:pageBreakBefore w:val="0"/>
        <w:spacing w:line="360" w:lineRule="auto"/>
        <w:widowControl w:val="off"/>
        <w:tabs>
          <w:tab w:val="left" w:pos="840" w:leader="none"/>
          <w:tab w:val="left" w:pos="1155" w:leader="none"/>
        </w:tabs>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（二）有关说明：</w:t>
      </w:r>
      <w:r>
        <w:rPr>
          <w:rFonts w:hint="eastAsia" w:ascii="宋体" w:hAnsi="宋体" w:eastAsia="宋体" w:cs="宋体"/>
          <w:b w:val="0"/>
          <w:bCs/>
          <w:color w:val="auto"/>
          <w:sz w:val="24"/>
          <w:szCs w:val="24"/>
          <w:highlight w:val="none"/>
        </w:rPr>
        <w:t xml:space="preserve"> </w:t>
      </w:r>
      <w:r/>
    </w:p>
    <w:p>
      <w:pPr>
        <w:pStyle w:val="1107"/>
        <w:ind w:firstLine="482"/>
        <w:spacing w:after="0"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1.投标总报价包括满足本项目要求的所有产品及其配件、包装、运杂、安装调试及售后服务等从项目中标起到项目正式交付以及质保期内所发生的一切费用。</w:t>
      </w:r>
      <w:r/>
    </w:p>
    <w:p>
      <w:pPr>
        <w:pStyle w:val="1107"/>
        <w:ind w:firstLine="482"/>
        <w:spacing w:after="0"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rPr>
        <w:t xml:space="preserve">.通过中国海关报关验放进入中国境内且产自关境外的产品不在本项目的报价范围。</w:t>
      </w:r>
      <w:r/>
    </w:p>
    <w:p>
      <w:pPr>
        <w:pStyle w:val="1107"/>
        <w:ind w:firstLine="482"/>
        <w:spacing w:after="0"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.投标人必须在满足招标文件要求的基础上进行报价，如有技术偏离请于投标偏离表中说明。</w:t>
      </w:r>
      <w:r/>
    </w:p>
    <w:p>
      <w:pPr>
        <w:pStyle w:val="1107"/>
        <w:ind w:firstLine="482"/>
        <w:spacing w:after="0"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.项目整体质保期：</w:t>
      </w:r>
      <w:r>
        <w:rPr>
          <w:rFonts w:hint="eastAsia" w:ascii="宋体" w:hAnsi="宋体" w:eastAsia="宋体" w:cs="宋体"/>
          <w:b w:val="0"/>
          <w:bCs/>
          <w:color w:val="auto"/>
          <w:sz w:val="24"/>
          <w:highlight w:val="none"/>
          <w:lang w:eastAsia="zh-CN"/>
        </w:rPr>
        <w:t xml:space="preserve">自验收合格之日起3年</w:t>
      </w:r>
      <w:r>
        <w:rPr>
          <w:rFonts w:hint="eastAsia" w:ascii="宋体" w:hAnsi="宋体" w:eastAsia="宋体" w:cs="宋体"/>
          <w:b w:val="0"/>
          <w:bCs/>
          <w:color w:val="auto"/>
          <w:sz w:val="24"/>
          <w:highlight w:val="none"/>
        </w:rPr>
        <w:t xml:space="preserve">。供应商负责产品在使用期间内，提供</w:t>
      </w:r>
      <w:r>
        <w:rPr>
          <w:rFonts w:hint="eastAsia" w:ascii="宋体" w:hAnsi="宋体" w:eastAsia="宋体" w:cs="宋体"/>
          <w:b w:val="0"/>
          <w:bCs/>
          <w:color w:val="auto"/>
          <w:sz w:val="24"/>
          <w:highlight w:val="none"/>
          <w:lang w:eastAsia="zh-CN"/>
        </w:rPr>
        <w:t xml:space="preserve">三</w:t>
      </w:r>
      <w:r>
        <w:rPr>
          <w:rFonts w:hint="eastAsia" w:ascii="宋体" w:hAnsi="宋体" w:eastAsia="宋体" w:cs="宋体"/>
          <w:b w:val="0"/>
          <w:bCs/>
          <w:color w:val="auto"/>
          <w:sz w:val="24"/>
          <w:highlight w:val="none"/>
        </w:rPr>
        <w:t xml:space="preserve">年免费保修，在产品保修期内，一旦产品发生质量问题，中标人保证在接到通知1小时内响应，1日历天内赶到现场进行修理、更换或退货，费用由中标人负责。如中标人在接到通知后12小时内没有答复，则视为中标人承认质量问题并承担由此发生的一切费用。保修期间产品的一切质量问题，更换部件及产品本身质量原因造成的直接经济损失应全部由中标人负责。</w:t>
      </w:r>
      <w:r/>
    </w:p>
    <w:p>
      <w:pPr>
        <w:pStyle w:val="1107"/>
        <w:ind w:firstLine="482"/>
        <w:spacing w:after="0" w:line="360" w:lineRule="auto"/>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.本项目合同履行地点：</w:t>
      </w:r>
      <w:r>
        <w:rPr>
          <w:rFonts w:hint="eastAsia" w:ascii="宋体" w:hAnsi="宋体" w:eastAsia="宋体" w:cs="宋体"/>
          <w:b w:val="0"/>
          <w:bCs/>
          <w:color w:val="auto"/>
          <w:sz w:val="24"/>
          <w:highlight w:val="none"/>
          <w:lang w:val="en-US" w:eastAsia="zh-CN"/>
        </w:rPr>
        <w:t xml:space="preserve">江苏省锡东高级中学大成分校</w:t>
      </w:r>
      <w:r>
        <w:rPr>
          <w:rFonts w:hint="eastAsia" w:ascii="宋体" w:hAnsi="宋体" w:eastAsia="宋体" w:cs="宋体"/>
          <w:b w:val="0"/>
          <w:bCs/>
          <w:color w:val="auto"/>
          <w:sz w:val="24"/>
          <w:highlight w:val="none"/>
        </w:rPr>
        <w:t xml:space="preserve">，具体地点以合同书约定为准</w:t>
      </w:r>
      <w:r>
        <w:rPr>
          <w:rFonts w:hint="eastAsia" w:ascii="宋体" w:hAnsi="宋体" w:eastAsia="宋体" w:cs="宋体"/>
          <w:b w:val="0"/>
          <w:bCs/>
          <w:color w:val="auto"/>
          <w:sz w:val="24"/>
          <w:highlight w:val="none"/>
        </w:rPr>
        <w:t xml:space="preserve">。</w:t>
      </w:r>
      <w:r>
        <w:rPr>
          <w:rFonts w:hint="eastAsia" w:ascii="宋体" w:hAnsi="宋体" w:eastAsia="宋体" w:cs="宋体"/>
          <w:b w:val="0"/>
          <w:bCs/>
          <w:color w:val="auto"/>
          <w:sz w:val="24"/>
          <w:highlight w:val="none"/>
        </w:rPr>
        <w:t xml:space="preserve">中标方</w:t>
      </w:r>
      <w:r>
        <w:rPr>
          <w:rFonts w:hint="eastAsia" w:ascii="宋体" w:hAnsi="宋体" w:eastAsia="宋体" w:cs="宋体"/>
          <w:b w:val="0"/>
          <w:bCs/>
          <w:color w:val="auto"/>
          <w:sz w:val="24"/>
          <w:highlight w:val="none"/>
        </w:rPr>
        <w:t xml:space="preserve">必须按采购人要求将本项目中货物送到指定地点</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包括可能的</w:t>
      </w:r>
      <w:r>
        <w:rPr>
          <w:rFonts w:hint="eastAsia" w:ascii="宋体" w:hAnsi="宋体" w:eastAsia="宋体" w:cs="宋体"/>
          <w:b w:val="0"/>
          <w:bCs/>
          <w:color w:val="auto"/>
          <w:sz w:val="24"/>
          <w:highlight w:val="none"/>
          <w:lang w:eastAsia="zh-CN"/>
        </w:rPr>
        <w:t xml:space="preserve">分布范围），并分地实施安装调试。</w:t>
      </w:r>
      <w:r/>
    </w:p>
    <w:p>
      <w:pPr>
        <w:pStyle w:val="1107"/>
        <w:ind w:firstLine="482"/>
        <w:spacing w:after="0"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w:t>
      </w:r>
      <w:r>
        <w:rPr>
          <w:rFonts w:hint="eastAsia" w:ascii="宋体" w:hAnsi="宋体" w:eastAsia="宋体" w:cs="宋体"/>
          <w:b w:val="0"/>
          <w:bCs/>
          <w:color w:val="auto"/>
          <w:sz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rPr>
          <w:rFonts w:hint="eastAsia" w:ascii="宋体" w:hAnsi="宋体" w:eastAsia="宋体" w:cs="宋体"/>
          <w:b w:val="0"/>
          <w:bCs/>
          <w:color w:val="auto"/>
          <w:sz w:val="24"/>
          <w:highlight w:val="none"/>
        </w:rPr>
        <w:t xml:space="preserve">。</w:t>
      </w:r>
      <w:r/>
    </w:p>
    <w:p>
      <w:pPr>
        <w:pStyle w:val="1382"/>
        <w:ind w:firstLine="480"/>
        <w:jc w:val="left"/>
        <w:spacing w:line="360" w:lineRule="auto"/>
        <w:tabs>
          <w:tab w:val="left" w:pos="1080" w:leader="none"/>
        </w:tabs>
        <w:rPr>
          <w:rFonts w:hint="eastAsia" w:ascii="宋体" w:hAnsi="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中标供应商须按签约合同价的10%提供履约保证金。中标供应商和采购人签订合同时应提交履约保函证明。</w:t>
      </w:r>
      <w:r/>
    </w:p>
    <w:p>
      <w:pPr>
        <w:contextualSpacing/>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contextualSpacing/>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val="zh-CN" w:eastAsia="zh-CN" w:bidi="ar-SA"/>
        </w:rPr>
        <w:t xml:space="preserve">、需求中涉及量化指标区间范围的，首个数字为该项最低标准，须完全满足，未满足的视为负偏离。</w:t>
      </w:r>
      <w:r/>
    </w:p>
    <w:p>
      <w:pPr>
        <w:ind w:firstLine="482"/>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
          <w:bCs/>
          <w:color w:val="auto"/>
          <w:sz w:val="24"/>
          <w:szCs w:val="24"/>
          <w:highlight w:val="none"/>
          <w:lang w:val="zh-CN" w:eastAsia="zh-CN" w:bidi="ar-SA"/>
        </w:rPr>
      </w:pPr>
      <w:r>
        <w:rPr>
          <w:rFonts w:hint="eastAsia"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zh-CN" w:eastAsia="zh-CN" w:bidi="ar-SA"/>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rPr>
          <w:rFonts w:hint="eastAsia" w:ascii="宋体" w:hAnsi="宋体"/>
          <w:b/>
          <w:color w:val="auto"/>
          <w:sz w:val="30"/>
          <w:szCs w:val="30"/>
          <w:highlight w:val="none"/>
        </w:rPr>
      </w:pPr>
      <w:r>
        <w:rPr>
          <w:rFonts w:hint="eastAsia" w:ascii="宋体" w:hAnsi="宋体"/>
          <w:b/>
          <w:color w:val="auto"/>
          <w:sz w:val="30"/>
          <w:szCs w:val="30"/>
          <w:highlight w:val="none"/>
        </w:rPr>
        <w:br w:type="page" w:clear="all"/>
      </w:r>
      <w:r/>
    </w:p>
    <w:p>
      <w:pPr>
        <w:jc w:val="left"/>
        <w:spacing w:line="24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附件1：</w:t>
      </w:r>
      <w:r/>
    </w:p>
    <w:p>
      <w:pPr>
        <w:jc w:val="center"/>
        <w:spacing w:line="360" w:lineRule="auto"/>
        <w:rPr>
          <w:rFonts w:ascii="宋体" w:hAnsi="宋体" w:eastAsia="宋体" w:cs="宋体"/>
          <w:b/>
          <w:color w:val="auto"/>
          <w:sz w:val="24"/>
          <w:szCs w:val="24"/>
          <w:highlight w:val="none"/>
          <w:lang w:val="zh-CN"/>
        </w:rPr>
      </w:pPr>
      <w:r>
        <w:rPr>
          <w:rFonts w:hint="eastAsia" w:ascii="宋体" w:hAnsi="宋体" w:eastAsia="宋体" w:cs="宋体"/>
          <w:b/>
          <w:bCs/>
          <w:color w:val="auto"/>
          <w:sz w:val="24"/>
          <w:szCs w:val="24"/>
          <w:highlight w:val="none"/>
          <w:lang w:val="zh-CN"/>
        </w:rPr>
        <w:t xml:space="preserve">商品包装政府采购需求标准（ 试行）</w:t>
      </w:r>
      <w:r/>
    </w:p>
    <w:p>
      <w:pPr>
        <w:ind w:firstLine="482"/>
        <w:spacing w:line="360" w:lineRule="auto"/>
        <w:rPr>
          <w:rFonts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一、适用范围</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本标准规定了商品使用的塑料、纸质、木质等包装材料的环保要求。</w:t>
      </w:r>
      <w:r/>
    </w:p>
    <w:p>
      <w:pPr>
        <w:ind w:firstLine="482"/>
        <w:spacing w:line="360" w:lineRule="auto"/>
        <w:rPr>
          <w:rFonts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二、商品包装环保要求</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1.商品包装层数不得超过3 层，空隙率不大于 40%；</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2.商品包装尽可能使用单一材质的包装材料，如因功能需求必须使用不同材质，不同材质间应便于分离；</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3.商品包装中铅、汞、镉、六价铬的总含量应不大于100mg/kg；</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4.商品包装印刷使用的油墨中挥发性有机化合物（VOCs）含量应不大于 5g（以重量计）；</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5.塑料材质商品包装上呈现的印刷颜色不得超过 6色；</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6.纸质商品包装应使用 75%以上的可再生纤维原料生产；</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7.木质商品包装的原料应来源于可持续性森林。</w:t>
      </w:r>
      <w:r/>
    </w:p>
    <w:p>
      <w:pPr>
        <w:ind w:firstLine="482"/>
        <w:spacing w:line="360" w:lineRule="auto"/>
        <w:rPr>
          <w:rFonts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三、检测方法</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1.商品包装中重金属（铅、汞、铜、六价铬）总量的检测按照 GB/T 10004-2008《包装用塑料复合膜、袋干法复合挤出复合》规定的方法进行。</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2.商品包装印刷使用的油墨中挥发性有机化合物（VOCs）的检测按照GB/T 23986-2009《色漆和清漆挥发性有机化合物（VOC）含量的测定 气相色谱法》规定的方法进行。</w:t>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br w:type="page" w:clear="all"/>
      </w:r>
      <w:r/>
    </w:p>
    <w:p>
      <w:pPr>
        <w:jc w:val="left"/>
        <w:spacing w:line="360" w:lineRule="auto"/>
        <w:rPr>
          <w:rFonts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zh-CN"/>
        </w:rPr>
        <w:t xml:space="preserve">附件2：</w:t>
      </w:r>
      <w:r/>
    </w:p>
    <w:p>
      <w:pPr>
        <w:jc w:val="center"/>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快递包装政府采购需求标准（试行）</w:t>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一、适用范围</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本标准中的快递包装主要指快递封装材料，包括封套、胶带、面单、包装袋/箱、填充物、集装袋、周转箱等。</w:t>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二、快递包装环保要求</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1.快递包装中重金属 （铅、汞、锡、六价铬） 总量应不大于100mg/kg；</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2.快递包装印刷使用的油墨中不应添加邻苯二甲酸酐，其挥发性有机化合物（VOCs）含量应不大于5g（以重量计）；</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3.快递包装中使用纸基材的包装材料，纸基材中的有机氯的含量应不大于 150 mg/kg；</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5.快递中使用的塑料包装袋不得使用聚氯乙烯作为原料，且原料应为单一材质制成，生物分解率大于60%；</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6.快递中使用的充气类填充物不得使用聚氯乙烯作为原料，且原料为单一材质制成，生物分解率大于 60%；</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7.快递中使用的集装袋应为单一材质制成，其重复使用次数应不小于80 次；</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8.快递中应使用幅宽不大于45mm 的生物降解胶带；</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9.快递包装中不得使用溶剂型</w:t>
      </w:r>
      <w:r>
        <w:rPr>
          <w:rFonts w:hint="eastAsia" w:ascii="宋体" w:hAnsi="宋体" w:cs="宋体"/>
          <w:color w:val="auto"/>
          <w:sz w:val="24"/>
          <w:szCs w:val="24"/>
          <w:highlight w:val="none"/>
          <w:lang w:val="zh-CN"/>
        </w:rPr>
        <w:t xml:space="preserve">胶黏剂</w:t>
      </w:r>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10.快递应使用电子面单；</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11.直接使用商品包装作为快递包装的商品，其商品包装满足《商品包装政府采购需求标准（试行）》即可；</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12.快递包装产品质量和封装方式应符合相关国家或行业标准技术指标要求。</w:t>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三、检测方法</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1.快递包装中重金属（铅、汞、镉、六价铬）总量的检测按照 GB/T 10004-2008《包装用塑料复合膜、袋干法复合、挤出复合》规定的方法进行。</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2.快递包装印刷使用的油墨中挥发性有机化合物（VOCs）的检测按照 GB/T 23986-2009《色漆和清漆 挥发性有机化合物（VOC）含量的测定 气相色谱法》规定的方法进行。</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3.快递包装所使用的塑料包装的生物降解率的检测按照 GB/T 20197-2006《降解塑料的定义、分类、标识和降解性能要求》规定的方法进行。</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4.快递包装使用纸基材的包装材料中有机氯的检测按照 GB/T 22904-2008《纸浆、纸和纸板总氯和有机氯的检定》规定的方法进行。</w:t>
      </w:r>
      <w:r/>
    </w:p>
    <w:p>
      <w:pPr>
        <w:ind w:firstLine="480"/>
        <w:spacing w:line="360" w:lineRule="auto"/>
        <w:rPr>
          <w:rFonts w:ascii="宋体" w:hAnsi="宋体" w:cs="宋体"/>
          <w:color w:val="auto"/>
          <w:sz w:val="32"/>
          <w:szCs w:val="32"/>
          <w:highlight w:val="none"/>
        </w:rPr>
      </w:pPr>
      <w:r>
        <w:rPr>
          <w:rFonts w:hint="eastAsia" w:ascii="宋体" w:hAnsi="宋体" w:eastAsia="宋体" w:cs="宋体"/>
          <w:color w:val="auto"/>
          <w:sz w:val="24"/>
          <w:szCs w:val="24"/>
          <w:highlight w:val="none"/>
          <w:lang w:val="zh-CN"/>
        </w:rPr>
        <w:t xml:space="preserve">5.快递包装中使用的生物降解胶带的生物降解率的检测按照 GB/T19277.1《受控堆肥条件下材料最终需氧生物分解能力的测定采用测定释放的二氧化碳的方法 第1部分：通用方法》规定的方法进行</w:t>
      </w:r>
      <w:r/>
    </w:p>
    <w:p>
      <w:pPr>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jc w:val="left"/>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附：政府采购政策（包括但不限于下列具体政策要求）</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2.</w:t>
      </w:r>
      <w:r>
        <w:rPr>
          <w:rFonts w:hint="eastAsia" w:ascii="宋体" w:hAnsi="宋体" w:eastAsia="宋体" w:cs="宋体"/>
          <w:b w:val="0"/>
          <w:bCs/>
          <w:color w:val="auto"/>
          <w:sz w:val="24"/>
          <w:szCs w:val="24"/>
          <w:highlight w:val="none"/>
          <w:lang w:val="en-US" w:eastAsia="zh-CN" w:bidi="ar-SA"/>
        </w:rPr>
        <w:t xml:space="preserve">本项目中如有被列入《强制性产品认证目录》的强制性产品，应当按照《中华人民共和国产品质量法》《中华人民共和国认证认可条例》等法律、行政法规以及国家有关规定，由市场监管总局指定的认证机构对其生产、销售或者进口的产品进行认证合格后，方可出厂、销售、进口或在其他经营活动中使用</w:t>
      </w:r>
      <w:r>
        <w:rPr>
          <w:rFonts w:hint="eastAsia" w:ascii="宋体" w:hAnsi="宋体" w:cs="宋体"/>
          <w:b w:val="0"/>
          <w:bCs/>
          <w:color w:val="auto"/>
          <w:sz w:val="24"/>
          <w:szCs w:val="24"/>
          <w:highlight w:val="none"/>
          <w:lang w:val="en-US" w:eastAsia="zh-CN" w:bidi="ar-SA"/>
        </w:rPr>
        <w:t xml:space="preserve">。</w:t>
      </w:r>
      <w:r/>
    </w:p>
    <w:p>
      <w:pPr>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zh-CN" w:bidi="ar-SA"/>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zh-CN" w:bidi="ar-SA"/>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w:t>
      </w:r>
      <w:r/>
    </w:p>
    <w:p>
      <w:pPr>
        <w:ind w:firstLine="482"/>
        <w:keepLines w:val="0"/>
        <w:keepNext w:val="0"/>
        <w:pageBreakBefore w:val="0"/>
        <w:spacing w:line="336" w:lineRule="auto"/>
        <w:widowControl w:val="off"/>
        <w:tabs>
          <w:tab w:val="left" w:pos="945" w:leader="none"/>
          <w:tab w:val="left" w:pos="11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2"/>
        <w:keepLines w:val="0"/>
        <w:keepNext w:val="0"/>
        <w:pageBreakBefore w:val="0"/>
        <w:spacing w:line="336"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auto"/>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auto"/>
          <w:sz w:val="24"/>
          <w:szCs w:val="24"/>
          <w:highlight w:val="none"/>
        </w:rPr>
        <w:t xml:space="preserve">中华人民共和国政府采购法</w:t>
      </w:r>
      <w:r>
        <w:rPr>
          <w:rFonts w:hint="eastAsia" w:ascii="宋体" w:hAnsi="宋体" w:eastAsia="宋体" w:cs="宋体"/>
          <w:bCs/>
          <w:color w:val="auto"/>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.中标、成交供应商可采用合同融资形式，中标人可凭政府采购合同办理融资贷款，详见政府采购网“政采贷”专栏。</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.本项目中如有涉及数据库、操作系</w:t>
      </w:r>
      <w:r>
        <w:rPr>
          <w:rFonts w:hint="eastAsia" w:ascii="宋体" w:hAnsi="宋体" w:eastAsia="宋体" w:cs="宋体"/>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b/>
          <w:bCs/>
          <w:color w:val="auto"/>
          <w:sz w:val="24"/>
          <w:szCs w:val="24"/>
          <w:highlight w:val="none"/>
          <w:lang w:val="en"/>
        </w:rPr>
      </w:pPr>
      <w:r>
        <w:rPr>
          <w:rFonts w:hint="eastAsia" w:ascii="宋体" w:hAnsi="宋体" w:eastAsia="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lang w:val="en"/>
        </w:rPr>
        <w:t xml:space="preserve">政府采购中实施本国产品标准及相关政策</w:t>
      </w:r>
      <w:r/>
    </w:p>
    <w:p>
      <w:pPr>
        <w:contextualSpacing/>
        <w:ind w:firstLine="480"/>
        <w:spacing w:line="360" w:lineRule="auto"/>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
        </w:rPr>
        <w:t xml:space="preserve">本项目对采购本国产品给予政策支持，具体内容见招标文件“二、供应商须知 </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
        </w:rPr>
        <w:t xml:space="preserve">评标方法”。</w:t>
      </w:r>
      <w:r/>
    </w:p>
    <w:p>
      <w:pPr>
        <w:contextualSpacing/>
        <w:ind w:firstLine="480"/>
        <w:spacing w:line="360" w:lineRule="auto"/>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ind w:firstLine="480"/>
        <w:spacing w:line="360" w:lineRule="auto"/>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0"/>
        <w:jc w:val="left"/>
        <w:rPr>
          <w:rFonts w:ascii="宋体" w:hAnsi="宋体" w:cs="宋体"/>
          <w:bCs/>
          <w:color w:val="auto"/>
          <w:sz w:val="24"/>
          <w:szCs w:val="24"/>
          <w:highlight w:val="none"/>
        </w:rPr>
        <w:sectPr>
          <w:footerReference w:type="default" r:id="rId12"/>
          <w:footnotePr/>
          <w:endnotePr/>
          <w:type w:val="nextPage"/>
          <w:pgSz w:w="11905" w:h="16838" w:orient="portrait"/>
          <w:pgMar w:top="1417" w:right="1134" w:bottom="1134" w:left="1134" w:header="850" w:footer="992" w:gutter="0"/>
          <w:cols w:num="1" w:sep="0" w:space="1701" w:equalWidth="1"/>
          <w:docGrid w:linePitch="360"/>
        </w:sectPr>
      </w:pPr>
      <w:r>
        <w:rPr>
          <w:rFonts w:ascii="宋体" w:hAnsi="宋体" w:cs="宋体"/>
          <w:bCs/>
          <w:color w:val="auto"/>
          <w:sz w:val="24"/>
          <w:szCs w:val="24"/>
          <w:highlight w:val="none"/>
        </w:rPr>
      </w:r>
      <w:r/>
    </w:p>
    <w:p>
      <w:pPr>
        <w:jc w:val="center"/>
        <w:rPr>
          <w:rFonts w:ascii="宋体" w:hAnsi="宋体" w:cs="宋体"/>
          <w:color w:val="auto"/>
          <w:sz w:val="32"/>
          <w:szCs w:val="32"/>
          <w:highlight w:val="none"/>
        </w:rPr>
      </w:pPr>
      <w:r>
        <w:rPr>
          <w:rFonts w:hint="eastAsia" w:ascii="宋体" w:hAnsi="宋体" w:cs="宋体"/>
          <w:b/>
          <w:color w:val="auto"/>
          <w:sz w:val="32"/>
          <w:szCs w:val="32"/>
          <w:highlight w:val="none"/>
        </w:rPr>
        <w:t xml:space="preserve">第四章 合同书（格式）</w:t>
      </w:r>
      <w:r/>
    </w:p>
    <w:p>
      <w:pPr>
        <w:pStyle w:val="812"/>
        <w:jc w:val="center"/>
        <w:rPr>
          <w:rFonts w:hint="eastAsia" w:ascii="宋体" w:hAnsi="宋体" w:eastAsia="宋体" w:cs="宋体"/>
          <w:b/>
          <w:bCs/>
          <w:color w:val="auto"/>
          <w:spacing w:val="-20"/>
          <w:sz w:val="48"/>
          <w:szCs w:val="48"/>
          <w:highlight w:val="none"/>
          <w:lang w:eastAsia="zh-CN"/>
        </w:rPr>
      </w:pPr>
      <w:r>
        <w:rPr>
          <w:rFonts w:hint="eastAsia" w:ascii="宋体" w:hAnsi="宋体" w:eastAsia="宋体" w:cs="宋体"/>
          <w:b/>
          <w:bCs/>
          <w:color w:val="auto"/>
          <w:spacing w:val="-20"/>
          <w:sz w:val="48"/>
          <w:szCs w:val="48"/>
          <w:highlight w:val="none"/>
          <w:lang w:eastAsia="zh-CN"/>
        </w:rPr>
      </w:r>
      <w:r/>
    </w:p>
    <w:p>
      <w:pPr>
        <w:pStyle w:val="812"/>
        <w:jc w:val="center"/>
        <w:rPr>
          <w:rFonts w:hint="eastAsia" w:ascii="宋体" w:hAnsi="宋体" w:eastAsia="宋体" w:cs="宋体"/>
          <w:b/>
          <w:bCs/>
          <w:color w:val="auto"/>
          <w:spacing w:val="-20"/>
          <w:sz w:val="48"/>
          <w:szCs w:val="48"/>
          <w:highlight w:val="none"/>
          <w:lang w:eastAsia="zh-CN"/>
        </w:rPr>
      </w:pPr>
      <w:r>
        <w:rPr>
          <w:rFonts w:hint="eastAsia" w:ascii="宋体" w:hAnsi="宋体" w:eastAsia="宋体" w:cs="宋体"/>
          <w:b/>
          <w:bCs/>
          <w:color w:val="auto"/>
          <w:spacing w:val="-20"/>
          <w:sz w:val="48"/>
          <w:szCs w:val="48"/>
          <w:highlight w:val="none"/>
          <w:lang w:eastAsia="zh-CN"/>
        </w:rPr>
      </w:r>
      <w:r/>
    </w:p>
    <w:p>
      <w:pPr>
        <w:ind w:firstLine="0"/>
        <w:jc w:val="center"/>
        <w:spacing w:line="240" w:lineRule="auto"/>
        <w:widowControl w:val="off"/>
        <w:rPr>
          <w:rFonts w:ascii="宋体" w:hAnsi="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政府采购货物买卖合同</w:t>
      </w:r>
      <w:r/>
    </w:p>
    <w:p>
      <w:pPr>
        <w:ind w:firstLine="0"/>
        <w:jc w:val="center"/>
        <w:spacing w:line="240" w:lineRule="auto"/>
        <w:widowControl w:val="off"/>
        <w:rPr>
          <w:rFonts w:ascii="宋体" w:hAnsi="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（试行）</w:t>
      </w:r>
      <w:r/>
    </w:p>
    <w:p>
      <w:pPr>
        <w:ind w:firstLine="0"/>
        <w:jc w:val="both"/>
        <w:spacing w:line="240" w:lineRule="auto"/>
        <w:widowControl w:val="off"/>
        <w:rPr>
          <w:rFonts w:ascii="宋体" w:hAnsi="宋体" w:eastAsia="等线" w:cs="宋体"/>
          <w:b/>
          <w:bCs/>
          <w:color w:val="auto"/>
          <w:spacing w:val="-20"/>
          <w:sz w:val="40"/>
          <w:szCs w:val="40"/>
          <w:highlight w:val="none"/>
          <w:lang w:eastAsia="zh-CN"/>
        </w:rPr>
      </w:pPr>
      <w:r>
        <w:rPr>
          <w:rFonts w:ascii="宋体" w:hAnsi="宋体" w:eastAsia="等线" w:cs="宋体"/>
          <w:b/>
          <w:bCs/>
          <w:color w:val="auto"/>
          <w:spacing w:val="-20"/>
          <w:sz w:val="40"/>
          <w:szCs w:val="40"/>
          <w:highlight w:val="none"/>
          <w:lang w:eastAsia="zh-CN"/>
        </w:rPr>
      </w:r>
      <w:r/>
    </w:p>
    <w:p>
      <w:pPr>
        <w:ind w:firstLine="0"/>
        <w:jc w:val="both"/>
        <w:spacing w:line="240" w:lineRule="auto"/>
        <w:widowControl w:val="off"/>
        <w:rPr>
          <w:rFonts w:ascii="宋体" w:hAnsi="宋体" w:eastAsia="等线" w:cs="宋体"/>
          <w:b/>
          <w:bCs/>
          <w:color w:val="auto"/>
          <w:spacing w:val="-20"/>
          <w:sz w:val="40"/>
          <w:szCs w:val="40"/>
          <w:highlight w:val="none"/>
          <w:lang w:eastAsia="zh-CN"/>
        </w:rPr>
      </w:pPr>
      <w:r>
        <w:rPr>
          <w:rFonts w:ascii="宋体" w:hAnsi="宋体" w:eastAsia="等线" w:cs="宋体"/>
          <w:b/>
          <w:bCs/>
          <w:color w:val="auto"/>
          <w:spacing w:val="-20"/>
          <w:sz w:val="40"/>
          <w:szCs w:val="40"/>
          <w:highlight w:val="none"/>
          <w:lang w:eastAsia="zh-CN"/>
        </w:rPr>
      </w:r>
      <w:r/>
    </w:p>
    <w:p>
      <w:pPr>
        <w:ind w:firstLine="0"/>
        <w:jc w:val="both"/>
        <w:spacing w:line="240" w:lineRule="auto"/>
        <w:widowControl w:val="off"/>
        <w:rPr>
          <w:rFonts w:ascii="宋体" w:hAnsi="宋体" w:eastAsia="等线" w:cs="宋体"/>
          <w:b/>
          <w:bCs/>
          <w:color w:val="auto"/>
          <w:spacing w:val="-20"/>
          <w:sz w:val="40"/>
          <w:szCs w:val="40"/>
          <w:highlight w:val="none"/>
          <w:lang w:eastAsia="zh-CN"/>
        </w:rPr>
      </w:pPr>
      <w:r>
        <w:rPr>
          <w:rFonts w:ascii="宋体" w:hAnsi="宋体" w:eastAsia="等线" w:cs="宋体"/>
          <w:b/>
          <w:bCs/>
          <w:color w:val="auto"/>
          <w:spacing w:val="-20"/>
          <w:sz w:val="40"/>
          <w:szCs w:val="40"/>
          <w:highlight w:val="none"/>
          <w:lang w:eastAsia="zh-CN"/>
        </w:rPr>
      </w:r>
      <w:r/>
    </w:p>
    <w:p>
      <w:pPr>
        <w:ind w:left="420" w:firstLine="0"/>
        <w:jc w:val="both"/>
        <w:widowControl w:val="off"/>
        <w:rPr>
          <w:rFonts w:ascii="等线" w:hAnsi="等线" w:eastAsia="等线" w:cs="Times New Roman"/>
          <w:color w:val="auto"/>
          <w:sz w:val="32"/>
          <w:szCs w:val="32"/>
          <w:highlight w:val="none"/>
          <w:lang w:eastAsia="zh-CN"/>
        </w:rPr>
      </w:pPr>
      <w:r>
        <w:rPr>
          <w:rFonts w:hint="eastAsia" w:ascii="宋体" w:hAnsi="宋体" w:eastAsia="等线" w:cs="宋体"/>
          <w:color w:val="auto"/>
          <w:sz w:val="32"/>
          <w:szCs w:val="32"/>
          <w:highlight w:val="none"/>
          <w:lang w:eastAsia="zh-CN"/>
        </w:rPr>
        <w:t xml:space="preserve">项目名称：</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ascii="等线" w:hAnsi="等线" w:eastAsia="等线" w:cs="Times New Roman"/>
          <w:color w:val="auto"/>
          <w:sz w:val="32"/>
          <w:szCs w:val="32"/>
          <w:highlight w:val="none"/>
          <w:u w:val="single"/>
          <w:lang w:eastAsia="zh-CN"/>
        </w:rPr>
      </w:pPr>
      <w:r>
        <w:rPr>
          <w:rFonts w:hint="eastAsia" w:ascii="等线" w:hAnsi="等线" w:eastAsia="等线" w:cs="Times New Roman"/>
          <w:color w:val="auto"/>
          <w:sz w:val="32"/>
          <w:szCs w:val="32"/>
          <w:highlight w:val="none"/>
          <w:lang w:eastAsia="zh-CN"/>
        </w:rPr>
        <w:t xml:space="preserve">合同编号：</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ascii="等线" w:hAnsi="等线" w:eastAsia="等线" w:cs="Times New Roman"/>
          <w:color w:val="auto"/>
          <w:sz w:val="32"/>
          <w:szCs w:val="32"/>
          <w:highlight w:val="none"/>
          <w:lang w:eastAsia="zh-CN"/>
        </w:rPr>
      </w:pPr>
      <w:r>
        <w:rPr>
          <w:rFonts w:hint="eastAsia" w:ascii="等线" w:hAnsi="等线" w:eastAsia="等线" w:cs="Times New Roman"/>
          <w:color w:val="auto"/>
          <w:sz w:val="32"/>
          <w:szCs w:val="32"/>
          <w:highlight w:val="none"/>
          <w:lang w:eastAsia="zh-CN"/>
        </w:rPr>
        <w:t xml:space="preserve">甲    方：</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ascii="等线" w:hAnsi="等线" w:eastAsia="等线" w:cs="Times New Roman"/>
          <w:color w:val="auto"/>
          <w:sz w:val="32"/>
          <w:szCs w:val="32"/>
          <w:highlight w:val="none"/>
          <w:u w:val="single"/>
          <w:lang w:eastAsia="zh-CN"/>
        </w:rPr>
      </w:pPr>
      <w:r>
        <w:rPr>
          <w:rFonts w:hint="eastAsia" w:ascii="等线" w:hAnsi="等线" w:eastAsia="等线" w:cs="Times New Roman"/>
          <w:color w:val="auto"/>
          <w:sz w:val="32"/>
          <w:szCs w:val="32"/>
          <w:highlight w:val="none"/>
          <w:lang w:eastAsia="zh-CN"/>
        </w:rPr>
        <w:t xml:space="preserve">乙    方：</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ascii="等线" w:hAnsi="等线" w:eastAsia="等线" w:cs="Times New Roman"/>
          <w:color w:val="auto"/>
          <w:sz w:val="32"/>
          <w:szCs w:val="32"/>
          <w:highlight w:val="none"/>
          <w:lang w:eastAsia="zh-CN"/>
        </w:rPr>
      </w:pPr>
      <w:r>
        <w:rPr>
          <w:rFonts w:hint="eastAsia" w:ascii="等线" w:hAnsi="等线" w:eastAsia="等线" w:cs="Times New Roman"/>
          <w:color w:val="auto"/>
          <w:sz w:val="32"/>
          <w:szCs w:val="32"/>
          <w:highlight w:val="none"/>
          <w:lang w:eastAsia="zh-CN"/>
        </w:rPr>
        <w:t xml:space="preserve">签订时间：</w:t>
      </w:r>
      <w:r>
        <w:rPr>
          <w:rFonts w:hint="eastAsia" w:ascii="等线" w:hAnsi="等线" w:eastAsia="等线" w:cs="Times New Roman"/>
          <w:color w:val="auto"/>
          <w:sz w:val="32"/>
          <w:szCs w:val="32"/>
          <w:highlight w:val="none"/>
          <w:u w:val="single"/>
          <w:lang w:eastAsia="zh-CN"/>
        </w:rPr>
        <w:t xml:space="preserve">      </w:t>
      </w:r>
      <w:r>
        <w:rPr>
          <w:rFonts w:ascii="等线" w:hAnsi="等线" w:eastAsia="等线" w:cs="Times New Roman"/>
          <w:color w:val="auto"/>
          <w:sz w:val="32"/>
          <w:szCs w:val="32"/>
          <w:highlight w:val="none"/>
          <w:u w:val="single"/>
          <w:lang w:eastAsia="zh-CN"/>
        </w:rPr>
        <w:t xml:space="preserve">           </w:t>
      </w:r>
      <w:r>
        <w:rPr>
          <w:rFonts w:hint="eastAsia" w:ascii="等线" w:hAnsi="等线" w:eastAsia="等线" w:cs="Times New Roman"/>
          <w:color w:val="auto"/>
          <w:sz w:val="32"/>
          <w:szCs w:val="32"/>
          <w:highlight w:val="none"/>
          <w:u w:val="single"/>
          <w:lang w:eastAsia="zh-CN"/>
        </w:rPr>
        <w:t xml:space="preserve">            </w:t>
      </w:r>
      <w:r/>
    </w:p>
    <w:p>
      <w:pPr>
        <w:ind w:firstLine="0"/>
        <w:jc w:val="both"/>
        <w:spacing w:line="240" w:lineRule="auto"/>
        <w:widowControl w:val="off"/>
        <w:rPr>
          <w:rFonts w:ascii="等线" w:hAnsi="等线" w:eastAsia="等线" w:cs="Times New Roman"/>
          <w:color w:val="auto"/>
          <w:sz w:val="21"/>
          <w:szCs w:val="22"/>
          <w:highlight w:val="none"/>
          <w:lang w:eastAsia="zh-CN"/>
        </w:rPr>
      </w:pPr>
      <w:r>
        <w:rPr>
          <w:rFonts w:ascii="等线" w:hAnsi="等线" w:eastAsia="等线" w:cs="Times New Roman"/>
          <w:color w:val="auto"/>
          <w:sz w:val="21"/>
          <w:szCs w:val="22"/>
          <w:highlight w:val="none"/>
          <w:lang w:eastAsia="zh-CN"/>
        </w:rPr>
      </w:r>
      <w:r/>
    </w:p>
    <w:p>
      <w:pPr>
        <w:ind w:firstLine="0"/>
        <w:jc w:val="both"/>
        <w:spacing w:line="240" w:lineRule="auto"/>
        <w:widowControl w:val="off"/>
        <w:rPr>
          <w:rFonts w:ascii="等线" w:hAnsi="等线" w:eastAsia="黑体" w:cs="Times New Roman"/>
          <w:color w:val="auto"/>
          <w:sz w:val="44"/>
          <w:szCs w:val="44"/>
          <w:highlight w:val="none"/>
          <w:lang w:eastAsia="zh-CN"/>
        </w:rPr>
      </w:pPr>
      <w:r>
        <w:rPr>
          <w:rFonts w:ascii="等线" w:hAnsi="等线" w:eastAsia="黑体" w:cs="Times New Roman"/>
          <w:color w:val="auto"/>
          <w:sz w:val="44"/>
          <w:szCs w:val="44"/>
          <w:highlight w:val="none"/>
          <w:lang w:eastAsia="zh-CN"/>
        </w:rPr>
        <w:br w:type="page" w:clear="all"/>
      </w:r>
      <w:r/>
    </w:p>
    <w:p>
      <w:pPr>
        <w:ind w:firstLine="0"/>
        <w:jc w:val="center"/>
        <w:spacing w:line="240" w:lineRule="auto"/>
        <w:widowControl w:val="off"/>
        <w:rPr>
          <w:rFonts w:ascii="等线" w:hAnsi="等线" w:eastAsia="黑体" w:cs="Times New Roman"/>
          <w:color w:val="auto"/>
          <w:sz w:val="44"/>
          <w:szCs w:val="44"/>
          <w:highlight w:val="none"/>
          <w:lang w:eastAsia="zh-CN"/>
        </w:rPr>
      </w:pPr>
      <w:r>
        <w:rPr>
          <w:rFonts w:hint="eastAsia" w:ascii="等线" w:hAnsi="等线" w:eastAsia="黑体" w:cs="Times New Roman"/>
          <w:color w:val="auto"/>
          <w:sz w:val="44"/>
          <w:szCs w:val="44"/>
          <w:highlight w:val="none"/>
          <w:lang w:eastAsia="zh-CN"/>
        </w:rPr>
        <w:t xml:space="preserve">使 用 说 明</w:t>
      </w:r>
      <w:r/>
    </w:p>
    <w:p>
      <w:pPr>
        <w:ind w:firstLine="640"/>
        <w:jc w:val="both"/>
        <w:spacing w:line="240" w:lineRule="auto"/>
        <w:widowControl w:val="off"/>
        <w:rPr>
          <w:rFonts w:ascii="仿宋_GB2312" w:hAnsi="仿宋_GB2312" w:eastAsia="仿宋_GB2312" w:cs="仿宋_GB2312"/>
          <w:color w:val="auto"/>
          <w:sz w:val="32"/>
          <w:szCs w:val="32"/>
          <w:highlight w:val="none"/>
          <w:lang w:eastAsia="zh-CN"/>
        </w:rPr>
      </w:pPr>
      <w:r>
        <w:rPr>
          <w:rFonts w:ascii="仿宋_GB2312" w:hAnsi="仿宋_GB2312" w:eastAsia="仿宋_GB2312" w:cs="仿宋_GB2312"/>
          <w:color w:val="auto"/>
          <w:sz w:val="32"/>
          <w:szCs w:val="32"/>
          <w:highlight w:val="none"/>
          <w:lang w:eastAsia="zh-CN"/>
        </w:rPr>
      </w:r>
      <w:r/>
    </w:p>
    <w:p>
      <w:pPr>
        <w:ind w:firstLine="640"/>
        <w:jc w:val="both"/>
        <w:spacing w:line="240" w:lineRule="auto"/>
        <w:widowControl w:val="off"/>
        <w:rPr>
          <w:rFonts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 xml:space="preserve">1.本合同标准文本适用于购买现成货物的采购项目，不包括需要供应商定制开发、创新研发的货物采购项目。</w:t>
      </w:r>
      <w:r/>
    </w:p>
    <w:p>
      <w:pPr>
        <w:ind w:firstLine="0"/>
        <w:jc w:val="both"/>
        <w:spacing w:line="240" w:lineRule="auto"/>
        <w:widowControl w:val="off"/>
        <w:rPr>
          <w:rFonts w:ascii="等线" w:hAnsi="等线" w:eastAsia="黑体" w:cs="Times New Roman"/>
          <w:color w:val="auto"/>
          <w:sz w:val="44"/>
          <w:szCs w:val="44"/>
          <w:highlight w:val="none"/>
          <w:lang w:eastAsia="zh-CN"/>
        </w:rPr>
      </w:pPr>
      <w:r>
        <w:rPr>
          <w:rFonts w:hint="eastAsia" w:ascii="等线" w:hAnsi="等线" w:eastAsia="黑体" w:cs="Times New Roman"/>
          <w:color w:val="auto"/>
          <w:sz w:val="44"/>
          <w:szCs w:val="44"/>
          <w:highlight w:val="none"/>
          <w:lang w:eastAsia="zh-CN"/>
        </w:rPr>
        <w:t xml:space="preserve">   </w:t>
      </w:r>
      <w:r>
        <w:rPr>
          <w:rFonts w:hint="eastAsia" w:ascii="仿宋_GB2312" w:hAnsi="仿宋_GB2312" w:eastAsia="仿宋_GB2312" w:cs="仿宋_GB2312"/>
          <w:color w:val="auto"/>
          <w:sz w:val="32"/>
          <w:szCs w:val="32"/>
          <w:highlight w:val="none"/>
          <w:lang w:eastAsia="zh-CN"/>
        </w:rPr>
        <w:t xml:space="preserve">2.本合同标准文本为政府采购货物买卖合同编制提供参考，可以结合采购项目具体情况，对文本做必要的调整修订后使用。</w:t>
      </w:r>
      <w:r/>
    </w:p>
    <w:p>
      <w:pPr>
        <w:ind w:firstLine="640"/>
        <w:jc w:val="both"/>
        <w:spacing w:line="240" w:lineRule="auto"/>
        <w:widowControl w:val="off"/>
        <w:rPr>
          <w:rFonts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 xml:space="preserve">3.本合同标准文本各条款中，如涉及填写多家供应商、制造商，多种采购标的、分包主要内容等信息的，可根据采购项目具体情况添加信息项。</w:t>
      </w:r>
      <w:r/>
    </w:p>
    <w:p>
      <w:pPr>
        <w:ind w:firstLine="880"/>
        <w:jc w:val="both"/>
        <w:spacing w:line="240" w:lineRule="auto"/>
        <w:widowControl w:val="off"/>
        <w:rPr>
          <w:rFonts w:ascii="等线" w:hAnsi="等线" w:eastAsia="黑体" w:cs="Times New Roman"/>
          <w:color w:val="auto"/>
          <w:sz w:val="44"/>
          <w:szCs w:val="44"/>
          <w:highlight w:val="none"/>
          <w:lang w:eastAsia="zh-CN"/>
        </w:rPr>
        <w:sectPr>
          <w:footnotePr/>
          <w:endnotePr/>
          <w:type w:val="nextPage"/>
          <w:pgSz w:w="11906" w:h="16838" w:orient="portrait"/>
          <w:pgMar w:top="1440" w:right="992" w:bottom="1440" w:left="992" w:header="851" w:footer="992" w:gutter="0"/>
          <w:cols w:num="1" w:sep="0" w:space="425" w:equalWidth="1"/>
          <w:docGrid w:linePitch="360"/>
        </w:sectPr>
      </w:pPr>
      <w:r>
        <w:rPr>
          <w:rFonts w:ascii="等线" w:hAnsi="等线" w:eastAsia="黑体" w:cs="Times New Roman"/>
          <w:color w:val="auto"/>
          <w:sz w:val="44"/>
          <w:szCs w:val="44"/>
          <w:highlight w:val="none"/>
          <w:lang w:eastAsia="zh-CN"/>
        </w:rPr>
      </w:r>
      <w:r/>
    </w:p>
    <w:p>
      <w:pPr>
        <w:ind w:firstLine="0"/>
        <w:jc w:val="center"/>
        <w:keepLines/>
        <w:keepNext/>
        <w:spacing w:before="360" w:after="200" w:line="400" w:lineRule="exact"/>
        <w:widowControl w:val="off"/>
        <w:rPr>
          <w:rFonts w:ascii="黑体" w:hAnsi="华文中宋" w:eastAsia="黑体"/>
          <w:color w:val="auto"/>
          <w:sz w:val="28"/>
          <w:szCs w:val="28"/>
          <w:highlight w:val="none"/>
          <w:lang w:eastAsia="zh-CN"/>
        </w:rPr>
        <w:outlineLvl w:val="1"/>
      </w:pPr>
      <w:r/>
      <w:bookmarkStart w:id="5" w:name="_Toc22209"/>
      <w:r>
        <w:rPr>
          <w:rFonts w:hint="eastAsia" w:ascii="黑体" w:hAnsi="黑体" w:eastAsia="黑体"/>
          <w:color w:val="auto"/>
          <w:sz w:val="28"/>
          <w:szCs w:val="28"/>
          <w:highlight w:val="none"/>
          <w:lang w:eastAsia="zh-CN"/>
        </w:rPr>
        <w:t xml:space="preserve">第一节 </w:t>
      </w:r>
      <w:r>
        <w:rPr>
          <w:rFonts w:hint="eastAsia" w:ascii="黑体" w:hAnsi="华文中宋" w:eastAsia="黑体"/>
          <w:color w:val="auto"/>
          <w:sz w:val="28"/>
          <w:szCs w:val="28"/>
          <w:highlight w:val="none"/>
          <w:lang w:eastAsia="zh-CN"/>
        </w:rPr>
        <w:t xml:space="preserve">政府采购合同协议书</w:t>
      </w:r>
      <w:bookmarkEnd w:id="5"/>
      <w:r/>
      <w:r/>
    </w:p>
    <w:p>
      <w:pPr>
        <w:ind w:firstLine="0"/>
        <w:jc w:val="both"/>
        <w:spacing w:line="400" w:lineRule="exact"/>
        <w:widowControl w:val="off"/>
        <w:rPr>
          <w:rFonts w:ascii="宋体" w:hAnsi="宋体" w:eastAsia="等线" w:cs="Times New Roman"/>
          <w:color w:val="auto"/>
          <w:sz w:val="21"/>
          <w:highlight w:val="none"/>
          <w:lang w:eastAsia="zh-CN"/>
        </w:rPr>
      </w:pPr>
      <w:r>
        <w:rPr>
          <w:rFonts w:ascii="宋体" w:hAnsi="宋体" w:eastAsia="等线" w:cs="Times New Roman"/>
          <w:color w:val="auto"/>
          <w:sz w:val="21"/>
          <w:highlight w:val="none"/>
          <w:lang w:eastAsia="zh-CN"/>
        </w:rPr>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甲方（全称）：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采购人、受采购人委托签订合同的单位或采购文件约定的合同甲方）</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乙方1（全称）：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（供应商）</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乙方2（全称）：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（联合体成员供应商或其他合同主体）（如有）</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等线" w:hAnsi="等线" w:eastAsia="等线" w:cs="Times New Roman"/>
          <w:color w:val="auto"/>
          <w:sz w:val="21"/>
          <w:szCs w:val="22"/>
          <w:highlight w:val="none"/>
          <w:lang w:eastAsia="zh-CN"/>
        </w:rPr>
        <w:t xml:space="preserve">乙方</w:t>
      </w:r>
      <w:r>
        <w:rPr>
          <w:rFonts w:hint="eastAsia" w:ascii="宋体" w:hAnsi="宋体" w:eastAsia="等线" w:cs="Times New Roman"/>
          <w:color w:val="auto"/>
          <w:sz w:val="21"/>
          <w:highlight w:val="none"/>
          <w:lang w:eastAsia="zh-CN"/>
        </w:rPr>
        <w:t xml:space="preserve">3</w:t>
      </w:r>
      <w:r>
        <w:rPr>
          <w:rFonts w:hint="eastAsia" w:ascii="等线" w:hAnsi="等线" w:eastAsia="等线" w:cs="Times New Roman"/>
          <w:color w:val="auto"/>
          <w:sz w:val="21"/>
          <w:szCs w:val="22"/>
          <w:highlight w:val="none"/>
          <w:lang w:eastAsia="zh-CN"/>
        </w:rPr>
        <w:t xml:space="preserve">（全称）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（联合体成员供应商或其他合同主体）（如有）</w:t>
      </w:r>
      <w:r/>
    </w:p>
    <w:p>
      <w:pPr>
        <w:ind w:firstLine="0"/>
        <w:jc w:val="both"/>
        <w:spacing w:line="400" w:lineRule="exact"/>
        <w:widowControl w:val="off"/>
        <w:rPr>
          <w:rFonts w:ascii="等线" w:hAnsi="等线" w:cs="Times New Roman"/>
          <w:color w:val="auto"/>
          <w:sz w:val="21"/>
          <w:szCs w:val="22"/>
          <w:highlight w:val="none"/>
          <w:lang w:eastAsia="zh-CN"/>
        </w:rPr>
      </w:pPr>
      <w:r>
        <w:rPr>
          <w:rFonts w:ascii="等线" w:hAnsi="等线" w:cs="Times New Roman"/>
          <w:color w:val="auto"/>
          <w:sz w:val="21"/>
          <w:szCs w:val="22"/>
          <w:highlight w:val="none"/>
          <w:lang w:eastAsia="zh-CN"/>
        </w:rPr>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1"/>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项目信息</w:t>
      </w:r>
      <w:r/>
    </w:p>
    <w:p>
      <w:pPr>
        <w:numPr>
          <w:ilvl w:val="0"/>
          <w:numId w:val="12"/>
        </w:numPr>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采购项目名称：</w:t>
      </w:r>
      <w:r>
        <w:rPr>
          <w:rFonts w:hint="eastAsia" w:ascii="宋体" w:hAnsi="宋体" w:eastAsia="等线" w:cs="Times New Roman"/>
          <w:color w:val="auto"/>
          <w:sz w:val="21"/>
          <w:highlight w:val="none"/>
          <w:u w:val="single"/>
          <w:lang w:eastAsia="zh-CN"/>
        </w:rPr>
        <w:t xml:space="preserve">                                         </w:t>
      </w:r>
      <w:r/>
    </w:p>
    <w:p>
      <w:pPr>
        <w:numPr>
          <w:ilvl w:val="255"/>
          <w:numId w:val="0"/>
        </w:numPr>
        <w:ind w:firstLine="420"/>
        <w:jc w:val="both"/>
        <w:spacing w:line="400" w:lineRule="exact"/>
        <w:widowControl w:val="off"/>
        <w:tabs>
          <w:tab w:val="left" w:pos="999" w:leader="none"/>
        </w:tabs>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采购项目编号：</w:t>
      </w:r>
      <w:r>
        <w:rPr>
          <w:rFonts w:ascii="宋体" w:hAnsi="宋体" w:eastAsia="等线" w:cs="Times New Roman"/>
          <w:color w:val="auto"/>
          <w:sz w:val="21"/>
          <w:highlight w:val="none"/>
          <w:u w:val="single"/>
          <w:lang w:eastAsia="zh-CN"/>
        </w:rPr>
        <w:t xml:space="preserve">                                          </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（2）采购计划编号：</w:t>
      </w:r>
      <w:r>
        <w:rPr>
          <w:rFonts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u w:val="single"/>
          <w:lang w:eastAsia="zh-CN"/>
        </w:rPr>
        <w:t xml:space="preserve">                </w:t>
      </w:r>
      <w:r>
        <w:rPr>
          <w:rFonts w:ascii="宋体" w:hAnsi="宋体" w:eastAsia="等线" w:cs="Times New Roman"/>
          <w:color w:val="auto"/>
          <w:sz w:val="21"/>
          <w:highlight w:val="none"/>
          <w:u w:val="single"/>
          <w:lang w:eastAsia="zh-CN"/>
        </w:rPr>
        <w:t xml:space="preserve">     </w:t>
      </w:r>
      <w:r>
        <w:rPr>
          <w:rFonts w:ascii="宋体" w:hAnsi="宋体" w:eastAsia="等线" w:cs="Times New Roman"/>
          <w:color w:val="auto"/>
          <w:sz w:val="21"/>
          <w:highlight w:val="none"/>
          <w:lang w:eastAsia="zh-CN"/>
        </w:rPr>
        <w:t xml:space="preserve"> </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（3）项目内容：</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采购标的及数量（台/套</w:t>
      </w:r>
      <w:r>
        <w:rPr>
          <w:rFonts w:ascii="宋体" w:hAnsi="宋体" w:eastAsia="等线" w:cs="Times New Roman"/>
          <w:color w:val="auto"/>
          <w:sz w:val="21"/>
          <w:highlight w:val="none"/>
          <w:lang w:val="en" w:eastAsia="zh-CN"/>
        </w:rPr>
        <w:t xml:space="preserve">/</w:t>
      </w:r>
      <w:r>
        <w:rPr>
          <w:rFonts w:hint="eastAsia" w:ascii="宋体" w:hAnsi="宋体" w:eastAsia="等线" w:cs="Times New Roman"/>
          <w:color w:val="auto"/>
          <w:sz w:val="21"/>
          <w:highlight w:val="none"/>
          <w:lang w:val="en" w:eastAsia="zh-CN"/>
        </w:rPr>
        <w:t xml:space="preserve">个</w:t>
      </w:r>
      <w:r>
        <w:rPr>
          <w:rFonts w:ascii="宋体" w:hAnsi="宋体" w:eastAsia="等线" w:cs="Times New Roman"/>
          <w:color w:val="auto"/>
          <w:sz w:val="21"/>
          <w:highlight w:val="none"/>
          <w:lang w:val="en" w:eastAsia="zh-CN"/>
        </w:rPr>
        <w:t xml:space="preserve">/</w:t>
      </w:r>
      <w:r>
        <w:rPr>
          <w:rFonts w:hint="eastAsia" w:ascii="宋体" w:hAnsi="宋体" w:eastAsia="等线" w:cs="Times New Roman"/>
          <w:color w:val="auto"/>
          <w:sz w:val="21"/>
          <w:highlight w:val="none"/>
          <w:lang w:val="en" w:eastAsia="zh-CN"/>
        </w:rPr>
        <w:t xml:space="preserve">架</w:t>
      </w:r>
      <w:r>
        <w:rPr>
          <w:rFonts w:ascii="宋体" w:hAnsi="宋体" w:eastAsia="等线" w:cs="Times New Roman"/>
          <w:color w:val="auto"/>
          <w:sz w:val="21"/>
          <w:highlight w:val="none"/>
          <w:lang w:val="en" w:eastAsia="zh-CN"/>
        </w:rPr>
        <w:t xml:space="preserve">/</w:t>
      </w:r>
      <w:r>
        <w:rPr>
          <w:rFonts w:hint="eastAsia" w:ascii="宋体" w:hAnsi="宋体" w:eastAsia="等线" w:cs="Times New Roman"/>
          <w:color w:val="auto"/>
          <w:sz w:val="21"/>
          <w:highlight w:val="none"/>
          <w:lang w:val="en" w:eastAsia="zh-CN"/>
        </w:rPr>
        <w:t xml:space="preserve">组等</w:t>
      </w:r>
      <w:r>
        <w:rPr>
          <w:rFonts w:hint="eastAsia" w:ascii="宋体" w:hAnsi="宋体" w:eastAsia="等线" w:cs="Times New Roman"/>
          <w:color w:val="auto"/>
          <w:sz w:val="21"/>
          <w:highlight w:val="none"/>
          <w:lang w:eastAsia="zh-CN"/>
        </w:rPr>
        <w:t xml:space="preserve">）：</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          </w:t>
      </w:r>
      <w:r/>
    </w:p>
    <w:p>
      <w:pPr>
        <w:numPr>
          <w:ilvl w:val="255"/>
          <w:numId w:val="0"/>
        </w:numPr>
        <w:ind w:firstLine="420"/>
        <w:jc w:val="both"/>
        <w:spacing w:line="400" w:lineRule="exact"/>
        <w:widowControl w:val="off"/>
        <w:rPr>
          <w:rFonts w:ascii="宋体" w:hAnsi="宋体" w:eastAsia="等线" w:cs="宋体"/>
          <w:color w:val="auto"/>
          <w:sz w:val="21"/>
          <w:highlight w:val="none"/>
          <w:lang w:val="en" w:eastAsia="zh-CN"/>
        </w:rPr>
      </w:pPr>
      <w:r>
        <w:rPr>
          <w:rFonts w:hint="eastAsia" w:ascii="宋体" w:hAnsi="宋体" w:eastAsia="等线" w:cs="Times New Roman"/>
          <w:color w:val="auto"/>
          <w:sz w:val="21"/>
          <w:highlight w:val="none"/>
          <w:lang w:eastAsia="zh-CN"/>
        </w:rPr>
        <w:t xml:space="preserve">     </w:t>
      </w:r>
      <w:r>
        <w:rPr>
          <w:rFonts w:hint="eastAsia" w:ascii="宋体" w:hAnsi="宋体" w:eastAsia="等线" w:cs="宋体"/>
          <w:color w:val="auto"/>
          <w:sz w:val="21"/>
          <w:highlight w:val="none"/>
          <w:lang w:eastAsia="zh-CN"/>
        </w:rPr>
        <w:t xml:space="preserve">品牌：</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lang w:val="en" w:eastAsia="zh-CN"/>
        </w:rPr>
        <w:t xml:space="preserve">     </w:t>
      </w:r>
      <w:r>
        <w:rPr>
          <w:rFonts w:hint="eastAsia" w:ascii="宋体" w:hAnsi="宋体" w:eastAsia="等线" w:cs="宋体"/>
          <w:color w:val="auto"/>
          <w:sz w:val="21"/>
          <w:highlight w:val="none"/>
          <w:lang w:eastAsia="zh-CN"/>
        </w:rPr>
        <w:t xml:space="preserve">规格型号：</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p>
    <w:p>
      <w:pPr>
        <w:ind w:firstLine="945"/>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采购标的的技术要求、商务要求具体见附件。</w:t>
      </w:r>
      <w:r/>
    </w:p>
    <w:p>
      <w:pPr>
        <w:numPr>
          <w:ilvl w:val="255"/>
          <w:numId w:val="0"/>
        </w:numPr>
        <w:ind w:firstLine="420"/>
        <w:jc w:val="both"/>
        <w:spacing w:line="400" w:lineRule="exact"/>
        <w:widowControl w:val="off"/>
        <w:rPr>
          <w:rFonts w:ascii="宋体" w:hAnsi="宋体" w:eastAsia="等线" w:cs="宋体"/>
          <w:color w:val="auto"/>
          <w:sz w:val="21"/>
          <w:highlight w:val="none"/>
          <w:lang w:eastAsia="zh-CN"/>
        </w:rPr>
      </w:pPr>
      <w:r>
        <w:rPr>
          <w:rFonts w:hint="eastAsia" w:ascii="汉仪书宋二S" w:hAnsi="汉仪书宋二S" w:eastAsia="汉仪书宋二S" w:cs="汉仪书宋二S"/>
          <w:color w:val="auto"/>
          <w:sz w:val="21"/>
          <w:highlight w:val="none"/>
          <w:lang w:eastAsia="zh-CN"/>
        </w:rPr>
        <w:t xml:space="preserve">①</w:t>
      </w:r>
      <w:r>
        <w:rPr>
          <w:rFonts w:hint="eastAsia" w:ascii="宋体" w:hAnsi="宋体" w:eastAsia="等线" w:cs="宋体"/>
          <w:color w:val="auto"/>
          <w:sz w:val="21"/>
          <w:highlight w:val="none"/>
          <w:lang w:eastAsia="zh-CN"/>
        </w:rPr>
        <w:t xml:space="preserve">涉及信息类产品，请填写该产品关键部件的品牌、型号：</w:t>
      </w:r>
      <w:r/>
    </w:p>
    <w:p>
      <w:pPr>
        <w:numPr>
          <w:ilvl w:val="255"/>
          <w:numId w:val="0"/>
        </w:numPr>
        <w:ind w:firstLine="420"/>
        <w:jc w:val="both"/>
        <w:spacing w:line="400" w:lineRule="exact"/>
        <w:widowControl w:val="off"/>
        <w:rPr>
          <w:rFonts w:ascii="宋体" w:hAnsi="宋体" w:eastAsia="等线" w:cs="宋体"/>
          <w:color w:val="auto"/>
          <w:sz w:val="21"/>
          <w:highlight w:val="none"/>
          <w:u w:val="single"/>
          <w:lang w:eastAsia="zh-CN"/>
        </w:rPr>
      </w:pPr>
      <w:r>
        <w:rPr>
          <w:rFonts w:hint="eastAsia" w:ascii="宋体" w:hAnsi="宋体" w:eastAsia="等线" w:cs="宋体"/>
          <w:color w:val="auto"/>
          <w:sz w:val="21"/>
          <w:highlight w:val="none"/>
          <w:lang w:eastAsia="zh-CN"/>
        </w:rPr>
        <w:t xml:space="preserve">     标的名称：</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p>
    <w:p>
      <w:pPr>
        <w:numPr>
          <w:ilvl w:val="255"/>
          <w:numId w:val="0"/>
        </w:numPr>
        <w:ind w:firstLine="420"/>
        <w:jc w:val="both"/>
        <w:spacing w:line="400" w:lineRule="exact"/>
        <w:widowControl w:val="off"/>
        <w:rPr>
          <w:rFonts w:ascii="宋体" w:hAnsi="宋体" w:eastAsia="等线" w:cs="宋体"/>
          <w:color w:val="auto"/>
          <w:sz w:val="21"/>
          <w:highlight w:val="none"/>
          <w:lang w:eastAsia="zh-CN"/>
        </w:rPr>
      </w:pPr>
      <w:r>
        <w:rPr>
          <w:rFonts w:hint="eastAsia" w:ascii="宋体" w:hAnsi="宋体" w:eastAsia="等线" w:cs="宋体"/>
          <w:color w:val="auto"/>
          <w:sz w:val="21"/>
          <w:highlight w:val="none"/>
          <w:lang w:eastAsia="zh-CN"/>
        </w:rPr>
        <w:t xml:space="preserve">     关键部件：</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品牌：</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型号：</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w:t>
      </w:r>
      <w:r/>
    </w:p>
    <w:p>
      <w:pPr>
        <w:ind w:firstLine="44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关键部件：</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品牌：</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型号：</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w:t>
      </w:r>
      <w:r/>
    </w:p>
    <w:p>
      <w:pPr>
        <w:ind w:firstLine="44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关键部件：</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品牌：</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型号：</w:t>
      </w:r>
      <w:r>
        <w:rPr>
          <w:rFonts w:hint="eastAsia" w:ascii="宋体" w:hAnsi="宋体" w:cs="宋体"/>
          <w:color w:val="auto"/>
          <w:sz w:val="21"/>
          <w:highlight w:val="none"/>
          <w:u w:val="single"/>
          <w:lang w:eastAsia="zh-CN"/>
        </w:rPr>
        <w:t xml:space="preserve">       </w:t>
      </w:r>
      <w:r/>
    </w:p>
    <w:p>
      <w:pPr>
        <w:numPr>
          <w:ilvl w:val="255"/>
          <w:numId w:val="0"/>
        </w:numPr>
        <w:ind w:firstLine="42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2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hint="eastAsia" w:ascii="汉仪书宋二S" w:hAnsi="汉仪书宋二S" w:eastAsia="汉仪书宋二S" w:cs="汉仪书宋二S"/>
          <w:color w:val="auto"/>
          <w:sz w:val="21"/>
          <w:highlight w:val="none"/>
          <w:lang w:eastAsia="zh-CN"/>
        </w:rPr>
        <w:t xml:space="preserve">②</w:t>
      </w:r>
      <w:r>
        <w:rPr>
          <w:rFonts w:hint="eastAsia" w:ascii="宋体" w:hAnsi="宋体" w:cs="宋体"/>
          <w:color w:val="auto"/>
          <w:sz w:val="21"/>
          <w:highlight w:val="none"/>
          <w:lang w:eastAsia="zh-CN"/>
        </w:rPr>
        <w:t xml:space="preserve">涉及车辆采购，请填写是否属于新能源汽车：</w:t>
      </w:r>
      <w:r/>
    </w:p>
    <w:p>
      <w:pPr>
        <w:numPr>
          <w:ilvl w:val="255"/>
          <w:numId w:val="0"/>
        </w:numPr>
        <w:ind w:firstLine="42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是，《政府采购品目分类目录》底级品目名称：</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数量：</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金额：</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w:t>
      </w:r>
      <w:r/>
    </w:p>
    <w:p>
      <w:pPr>
        <w:numPr>
          <w:ilvl w:val="255"/>
          <w:numId w:val="0"/>
        </w:numPr>
        <w:ind w:firstLine="42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否</w:t>
      </w:r>
      <w:r/>
    </w:p>
    <w:p>
      <w:pPr>
        <w:numPr>
          <w:ilvl w:val="255"/>
          <w:numId w:val="0"/>
        </w:numPr>
        <w:ind w:firstLine="42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ascii="宋体" w:hAnsi="宋体" w:cs="宋体"/>
          <w:color w:val="auto"/>
          <w:sz w:val="21"/>
          <w:highlight w:val="none"/>
          <w:lang w:val="en" w:eastAsia="zh-CN"/>
        </w:rPr>
        <w:t xml:space="preserve">4</w:t>
      </w:r>
      <w:r>
        <w:rPr>
          <w:rFonts w:hint="eastAsia" w:ascii="宋体" w:hAnsi="宋体" w:cs="宋体"/>
          <w:color w:val="auto"/>
          <w:sz w:val="21"/>
          <w:highlight w:val="none"/>
          <w:lang w:eastAsia="zh-CN"/>
        </w:rPr>
        <w:t xml:space="preserve">）政府采购组织形式：</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政府集中采购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部门集中采购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分散采购</w:t>
      </w:r>
      <w:r/>
    </w:p>
    <w:p>
      <w:pPr>
        <w:numPr>
          <w:ilvl w:val="255"/>
          <w:numId w:val="0"/>
        </w:numPr>
        <w:ind w:firstLine="42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w:t>
      </w:r>
      <w:r>
        <w:rPr>
          <w:rFonts w:ascii="宋体" w:hAnsi="宋体" w:cs="宋体"/>
          <w:color w:val="auto"/>
          <w:sz w:val="21"/>
          <w:highlight w:val="none"/>
          <w:lang w:val="en" w:eastAsia="zh-CN"/>
        </w:rPr>
        <w:t xml:space="preserve">5</w:t>
      </w:r>
      <w:r>
        <w:rPr>
          <w:rFonts w:hint="eastAsia" w:ascii="宋体" w:hAnsi="宋体" w:cs="宋体"/>
          <w:color w:val="auto"/>
          <w:sz w:val="21"/>
          <w:highlight w:val="none"/>
          <w:lang w:eastAsia="zh-CN"/>
        </w:rPr>
        <w:t xml:space="preserve">）政府采购方式：</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公开招标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邀请招标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竞争性谈判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竞争性磋商</w:t>
      </w:r>
      <w:r/>
    </w:p>
    <w:p>
      <w:pPr>
        <w:numPr>
          <w:ilvl w:val="255"/>
          <w:numId w:val="0"/>
        </w:numPr>
        <w:ind w:firstLine="440"/>
        <w:spacing w:line="400" w:lineRule="exact"/>
        <w:rPr>
          <w:rFonts w:ascii="宋体" w:hAnsi="宋体" w:cs="宋体"/>
          <w:color w:val="auto"/>
          <w:sz w:val="21"/>
          <w:highlight w:val="none"/>
          <w:u w:val="single"/>
          <w:lang w:eastAsia="zh-CN"/>
        </w:rPr>
      </w:pPr>
      <w:r>
        <w:rPr>
          <w:rFonts w:hint="eastAsia" w:ascii="宋体" w:hAnsi="宋体" w:eastAsia="华文楷体" w:cs="宋体"/>
          <w:color w:val="auto"/>
          <w:sz w:val="22"/>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询价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单一来源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框架协议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其他：</w:t>
      </w:r>
      <w:r>
        <w:rPr>
          <w:rFonts w:hint="eastAsia" w:ascii="宋体" w:hAnsi="宋体" w:cs="宋体"/>
          <w:color w:val="auto"/>
          <w:sz w:val="21"/>
          <w:highlight w:val="none"/>
          <w:u w:val="single"/>
          <w:lang w:eastAsia="zh-CN"/>
        </w:rPr>
        <w:t xml:space="preserve">          </w:t>
      </w:r>
      <w:r/>
    </w:p>
    <w:p>
      <w:pPr>
        <w:numPr>
          <w:ilvl w:val="255"/>
          <w:numId w:val="0"/>
        </w:numPr>
        <w:ind w:firstLine="42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（注：在框架协议采购的第二阶段，可选择使用该合同文本）</w:t>
      </w:r>
      <w:r/>
    </w:p>
    <w:p>
      <w:pPr>
        <w:numPr>
          <w:ilvl w:val="255"/>
          <w:numId w:val="0"/>
        </w:numPr>
        <w:ind w:firstLine="440"/>
        <w:spacing w:line="400" w:lineRule="exact"/>
        <w:rPr>
          <w:rFonts w:ascii="宋体" w:hAnsi="宋体" w:cs="Times New Roman"/>
          <w:color w:val="auto"/>
          <w:sz w:val="21"/>
          <w:highlight w:val="none"/>
          <w:lang w:eastAsia="zh-CN"/>
        </w:rPr>
      </w:pPr>
      <w:r>
        <w:rPr>
          <w:rFonts w:hint="eastAsia" w:ascii="宋体" w:hAnsi="宋体" w:eastAsia="华文楷体" w:cs="华文楷体"/>
          <w:color w:val="auto"/>
          <w:sz w:val="22"/>
          <w:highlight w:val="none"/>
          <w:lang w:eastAsia="zh-CN"/>
        </w:rPr>
        <w:t xml:space="preserve"> （</w:t>
      </w:r>
      <w:r>
        <w:rPr>
          <w:rFonts w:ascii="宋体" w:hAnsi="宋体" w:eastAsia="华文楷体" w:cs="华文楷体"/>
          <w:color w:val="auto"/>
          <w:sz w:val="22"/>
          <w:highlight w:val="none"/>
          <w:lang w:val="en" w:eastAsia="zh-CN"/>
        </w:rPr>
        <w:t xml:space="preserve">6</w:t>
      </w:r>
      <w:r>
        <w:rPr>
          <w:rFonts w:hint="eastAsia" w:ascii="宋体" w:hAnsi="宋体" w:eastAsia="华文楷体" w:cs="华文楷体"/>
          <w:color w:val="auto"/>
          <w:sz w:val="22"/>
          <w:highlight w:val="none"/>
          <w:lang w:eastAsia="zh-CN"/>
        </w:rPr>
        <w:t xml:space="preserve">）</w:t>
      </w:r>
      <w:r>
        <w:rPr>
          <w:rFonts w:hint="eastAsia" w:ascii="宋体" w:hAnsi="宋体" w:cs="Times New Roman"/>
          <w:color w:val="auto"/>
          <w:sz w:val="21"/>
          <w:highlight w:val="none"/>
          <w:lang w:eastAsia="zh-CN"/>
        </w:rPr>
        <w:t xml:space="preserve">中标（成交）采购标的制造商是否为中小企业：</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ind w:firstLine="420"/>
        <w:jc w:val="both"/>
        <w:spacing w:line="400" w:lineRule="exact"/>
        <w:widowControl w:val="off"/>
        <w:rPr>
          <w:rFonts w:ascii="宋体" w:hAnsi="宋体" w:eastAsia="等线" w:cs="Times New Roman"/>
          <w:iCs/>
          <w:color w:val="auto"/>
          <w:sz w:val="21"/>
          <w:highlight w:val="none"/>
          <w:lang w:eastAsia="zh-CN"/>
        </w:rPr>
      </w:pPr>
      <w:r>
        <w:rPr>
          <w:rFonts w:hint="eastAsia" w:ascii="宋体" w:hAnsi="宋体" w:eastAsia="等线" w:cs="Times New Roman"/>
          <w:color w:val="auto"/>
          <w:sz w:val="21"/>
          <w:highlight w:val="none"/>
          <w:lang w:eastAsia="zh-CN"/>
        </w:rPr>
        <w:t xml:space="preserve">         本合同是否为专门面向中小企业的采购合同（中小企业预留合同）：</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numPr>
          <w:ilvl w:val="255"/>
          <w:numId w:val="0"/>
        </w:numPr>
        <w:ind w:firstLine="420"/>
        <w:jc w:val="both"/>
        <w:spacing w:line="400" w:lineRule="exact"/>
        <w:widowControl w:val="off"/>
        <w:rPr>
          <w:rFonts w:ascii="宋体" w:hAnsi="宋体" w:eastAsia="等线" w:cs="Times New Roman"/>
          <w:iCs/>
          <w:color w:val="auto"/>
          <w:sz w:val="21"/>
          <w:highlight w:val="none"/>
          <w:lang w:eastAsia="zh-CN"/>
        </w:rPr>
      </w:pPr>
      <w:r>
        <w:rPr>
          <w:rFonts w:hint="eastAsia" w:ascii="等线" w:hAnsi="等线" w:eastAsia="等线" w:cs="Times New Roman"/>
          <w:color w:val="auto"/>
          <w:sz w:val="21"/>
          <w:szCs w:val="22"/>
          <w:highlight w:val="none"/>
          <w:lang w:eastAsia="zh-CN"/>
        </w:rPr>
        <w:t xml:space="preserve">         若本项目不专门面向中小企业采购，是否给予小微企业评审优惠：</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numPr>
          <w:ilvl w:val="255"/>
          <w:numId w:val="0"/>
        </w:numPr>
        <w:ind w:firstLine="420"/>
        <w:jc w:val="both"/>
        <w:spacing w:line="400" w:lineRule="exact"/>
        <w:widowControl w:val="off"/>
        <w:rPr>
          <w:rFonts w:ascii="宋体" w:hAnsi="宋体" w:eastAsia="等线" w:cs="Times New Roman"/>
          <w:iCs/>
          <w:color w:val="auto"/>
          <w:sz w:val="21"/>
          <w:highlight w:val="none"/>
          <w:lang w:eastAsia="zh-CN"/>
        </w:rPr>
      </w:pPr>
      <w:r>
        <w:rPr>
          <w:rFonts w:hint="eastAsia" w:ascii="等线" w:hAnsi="等线" w:eastAsia="等线" w:cs="Times New Roman"/>
          <w:color w:val="auto"/>
          <w:sz w:val="21"/>
          <w:szCs w:val="22"/>
          <w:highlight w:val="none"/>
          <w:lang w:eastAsia="zh-CN"/>
        </w:rPr>
        <w:t xml:space="preserve">         中标（成交）采购标的制造商是否为残疾人福利性单位：</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ind w:firstLine="0"/>
        <w:jc w:val="both"/>
        <w:spacing w:line="400" w:lineRule="exact"/>
        <w:widowControl w:val="off"/>
        <w:rPr>
          <w:rFonts w:ascii="等线" w:hAnsi="等线" w:eastAsia="等线" w:cs="Times New Roman"/>
          <w:color w:val="auto"/>
          <w:sz w:val="21"/>
          <w:szCs w:val="22"/>
          <w:highlight w:val="none"/>
          <w:lang w:eastAsia="zh-CN"/>
        </w:rPr>
      </w:pPr>
      <w:r>
        <w:rPr>
          <w:rFonts w:hint="eastAsia" w:ascii="等线" w:hAnsi="等线" w:eastAsia="等线" w:cs="Times New Roman"/>
          <w:color w:val="auto"/>
          <w:sz w:val="21"/>
          <w:szCs w:val="22"/>
          <w:highlight w:val="none"/>
          <w:lang w:eastAsia="zh-CN"/>
        </w:rPr>
        <w:t xml:space="preserve">         中标（成交）采购标的制造商是否为监狱企业：</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w:t>
      </w:r>
      <w:r>
        <w:rPr>
          <w:rFonts w:ascii="宋体" w:hAnsi="宋体" w:eastAsia="等线" w:cs="Times New Roman"/>
          <w:color w:val="auto"/>
          <w:sz w:val="21"/>
          <w:highlight w:val="none"/>
          <w:lang w:val="en" w:eastAsia="zh-CN"/>
        </w:rPr>
        <w:t xml:space="preserve">7</w:t>
      </w:r>
      <w:r>
        <w:rPr>
          <w:rFonts w:hint="eastAsia" w:ascii="宋体" w:hAnsi="宋体" w:eastAsia="等线" w:cs="Times New Roman"/>
          <w:color w:val="auto"/>
          <w:sz w:val="21"/>
          <w:highlight w:val="none"/>
          <w:lang w:eastAsia="zh-CN"/>
        </w:rPr>
        <w:t xml:space="preserve">）合同是否分包：</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þ</w:t>
      </w:r>
      <w:r>
        <w:rPr>
          <w:rFonts w:hint="eastAsia" w:ascii="宋体" w:hAnsi="宋体" w:eastAsia="等线" w:cs="Times New Roman"/>
          <w:iCs/>
          <w:color w:val="auto"/>
          <w:sz w:val="21"/>
          <w:highlight w:val="none"/>
          <w:lang w:eastAsia="zh-CN"/>
        </w:rPr>
        <w:t xml:space="preserve">否</w:t>
      </w:r>
      <w:r/>
    </w:p>
    <w:p>
      <w:pPr>
        <w:ind w:firstLine="840"/>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分包主要内容：</w:t>
      </w:r>
      <w:r>
        <w:rPr>
          <w:rFonts w:hint="eastAsia" w:ascii="宋体" w:hAnsi="宋体" w:eastAsia="等线" w:cs="Times New Roman"/>
          <w:color w:val="auto"/>
          <w:sz w:val="21"/>
          <w:highlight w:val="none"/>
          <w:u w:val="single"/>
          <w:lang w:eastAsia="zh-CN"/>
        </w:rPr>
        <w:t xml:space="preserve">                                            </w:t>
      </w:r>
      <w:r/>
    </w:p>
    <w:p>
      <w:pPr>
        <w:ind w:firstLine="84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分包供应商/制造商名称（如供应商和制造商不同，请分别填写）：</w:t>
      </w:r>
      <w:r/>
    </w:p>
    <w:p>
      <w:pPr>
        <w:ind w:firstLine="840"/>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w:t>
      </w:r>
      <w:r>
        <w:rPr>
          <w:rFonts w:hint="eastAsia" w:ascii="宋体" w:hAnsi="宋体" w:eastAsia="等线" w:cs="Times New Roman"/>
          <w:color w:val="auto"/>
          <w:sz w:val="21"/>
          <w:highlight w:val="none"/>
          <w:u w:val="single"/>
          <w:lang w:eastAsia="zh-CN"/>
        </w:rPr>
        <w:t xml:space="preserve">                                                          </w:t>
      </w:r>
      <w:r/>
    </w:p>
    <w:p>
      <w:pPr>
        <w:ind w:firstLine="84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分包供应商/制造商类型（如果供应商和制造商不同，只填写制造商类型）：</w:t>
      </w:r>
      <w:r/>
    </w:p>
    <w:p>
      <w:pPr>
        <w:ind w:firstLine="840"/>
        <w:jc w:val="both"/>
        <w:spacing w:line="400" w:lineRule="exact"/>
        <w:widowControl w:val="off"/>
        <w:rPr>
          <w:rFonts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大型企业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中型企业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小微型企业  </w:t>
      </w:r>
      <w:r/>
    </w:p>
    <w:p>
      <w:pPr>
        <w:ind w:firstLine="840"/>
        <w:jc w:val="both"/>
        <w:spacing w:line="400" w:lineRule="exact"/>
        <w:widowControl w:val="off"/>
        <w:rPr>
          <w:rFonts w:ascii="等线" w:hAnsi="等线" w:eastAsia="华文楷体" w:cs="Times New Roman"/>
          <w:color w:val="auto"/>
          <w:sz w:val="21"/>
          <w:szCs w:val="22"/>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残疾人福利性单位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监狱企业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其他</w:t>
      </w:r>
      <w:r/>
    </w:p>
    <w:p>
      <w:pPr>
        <w:numPr>
          <w:ilvl w:val="255"/>
          <w:numId w:val="0"/>
        </w:numPr>
        <w:ind w:firstLine="420"/>
        <w:jc w:val="both"/>
        <w:spacing w:line="400" w:lineRule="exact"/>
        <w:widowControl w:val="off"/>
        <w:rPr>
          <w:rFonts w:ascii="宋体" w:hAnsi="宋体" w:eastAsia="等线" w:cs="宋体"/>
          <w:iCs/>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hint="eastAsia" w:ascii="宋体" w:hAnsi="宋体" w:eastAsia="等线" w:cs="宋体"/>
          <w:color w:val="auto"/>
          <w:sz w:val="21"/>
          <w:highlight w:val="none"/>
          <w:lang w:eastAsia="zh-CN"/>
        </w:rPr>
        <w:t xml:space="preserve">（</w:t>
      </w:r>
      <w:r>
        <w:rPr>
          <w:rFonts w:ascii="宋体" w:hAnsi="宋体" w:eastAsia="等线" w:cs="宋体"/>
          <w:color w:val="auto"/>
          <w:sz w:val="21"/>
          <w:highlight w:val="none"/>
          <w:lang w:val="en" w:eastAsia="zh-CN"/>
        </w:rPr>
        <w:t xml:space="preserve">8</w:t>
      </w:r>
      <w:r>
        <w:rPr>
          <w:rFonts w:hint="eastAsia" w:ascii="宋体" w:hAnsi="宋体" w:eastAsia="等线" w:cs="宋体"/>
          <w:color w:val="auto"/>
          <w:sz w:val="21"/>
          <w:highlight w:val="none"/>
          <w:lang w:eastAsia="zh-CN"/>
        </w:rPr>
        <w:t xml:space="preserve">）中标（成交）供应商是否为外商投资企业：</w:t>
      </w:r>
      <w:r>
        <w:rPr>
          <w:rFonts w:ascii="Wingdings" w:hAnsi="Wingdings" w:eastAsia="Wingdings" w:cs="Wingdings"/>
          <w:iCs/>
          <w:color w:val="auto"/>
          <w:sz w:val="21"/>
          <w:highlight w:val="none"/>
          <w:lang w:eastAsia="zh-CN"/>
        </w:rPr>
        <w:t xml:space="preserve"></w:t>
      </w:r>
      <w:r>
        <w:rPr>
          <w:rFonts w:hint="eastAsia" w:ascii="宋体" w:hAnsi="宋体" w:eastAsia="等线" w:cs="宋体"/>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宋体"/>
          <w:iCs/>
          <w:color w:val="auto"/>
          <w:sz w:val="21"/>
          <w:highlight w:val="none"/>
          <w:lang w:eastAsia="zh-CN"/>
        </w:rPr>
        <w:t xml:space="preserve">否</w:t>
      </w:r>
      <w:r/>
    </w:p>
    <w:p>
      <w:pPr>
        <w:ind w:firstLine="440"/>
        <w:spacing w:line="400" w:lineRule="exact"/>
        <w:tabs>
          <w:tab w:val="left" w:pos="1340" w:leader="none"/>
        </w:tabs>
        <w:rPr>
          <w:rFonts w:ascii="宋体" w:hAnsi="宋体" w:cs="宋体"/>
          <w:color w:val="auto"/>
          <w:sz w:val="21"/>
          <w:highlight w:val="none"/>
          <w:u w:val="single"/>
          <w:lang w:eastAsia="zh-CN"/>
        </w:rPr>
      </w:pPr>
      <w:r>
        <w:rPr>
          <w:rFonts w:hint="eastAsia" w:ascii="宋体" w:hAnsi="宋体" w:cs="宋体"/>
          <w:color w:val="auto"/>
          <w:sz w:val="21"/>
          <w:highlight w:val="none"/>
          <w:lang w:eastAsia="zh-CN"/>
        </w:rPr>
        <w:t xml:space="preserve">     外商投资企业类型：</w:t>
      </w:r>
      <w:r>
        <w:rPr>
          <w:rFonts w:ascii="Wingdings" w:hAnsi="Wingdings" w:eastAsia="Wingdings" w:cs="Wingdings"/>
          <w:iCs/>
          <w:color w:val="auto"/>
          <w:sz w:val="21"/>
          <w:highlight w:val="none"/>
          <w:lang w:eastAsia="zh-CN"/>
        </w:rPr>
        <w:t xml:space="preserve"></w:t>
      </w:r>
      <w:r>
        <w:rPr>
          <w:rFonts w:hint="eastAsia" w:ascii="宋体" w:hAnsi="宋体" w:cs="宋体"/>
          <w:color w:val="auto"/>
          <w:sz w:val="21"/>
          <w:highlight w:val="none"/>
          <w:lang w:eastAsia="zh-CN"/>
        </w:rPr>
        <w:t xml:space="preserve">全部由外国投资者投资  </w:t>
      </w:r>
      <w:r>
        <w:rPr>
          <w:rFonts w:ascii="Wingdings" w:hAnsi="Wingdings" w:eastAsia="Wingdings" w:cs="Wingdings"/>
          <w:iCs/>
          <w:color w:val="auto"/>
          <w:sz w:val="21"/>
          <w:highlight w:val="none"/>
          <w:lang w:eastAsia="zh-CN"/>
        </w:rPr>
        <w:t xml:space="preserve"></w:t>
      </w:r>
      <w:r>
        <w:rPr>
          <w:rFonts w:hint="eastAsia" w:ascii="宋体" w:hAnsi="宋体" w:cs="宋体"/>
          <w:iCs/>
          <w:color w:val="auto"/>
          <w:sz w:val="21"/>
          <w:highlight w:val="none"/>
          <w:lang w:eastAsia="zh-CN"/>
        </w:rPr>
        <w:t xml:space="preserve">部分由外国投资者投资</w:t>
      </w:r>
      <w:r/>
    </w:p>
    <w:p>
      <w:pPr>
        <w:numPr>
          <w:ilvl w:val="255"/>
          <w:numId w:val="0"/>
        </w:numPr>
        <w:ind w:firstLine="420"/>
        <w:jc w:val="both"/>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w:t>
      </w:r>
      <w:r>
        <w:rPr>
          <w:rFonts w:ascii="宋体" w:hAnsi="宋体" w:eastAsia="等线" w:cs="宋体"/>
          <w:color w:val="auto"/>
          <w:sz w:val="21"/>
          <w:highlight w:val="none"/>
          <w:lang w:val="en" w:eastAsia="zh-CN"/>
        </w:rPr>
        <w:t xml:space="preserve">9</w:t>
      </w:r>
      <w:r>
        <w:rPr>
          <w:rFonts w:hint="eastAsia" w:ascii="宋体" w:hAnsi="宋体" w:cs="宋体"/>
          <w:color w:val="auto"/>
          <w:sz w:val="21"/>
          <w:highlight w:val="none"/>
          <w:lang w:eastAsia="zh-CN"/>
        </w:rPr>
        <w:t xml:space="preserve">）是否涉及进口产品：</w:t>
      </w:r>
      <w:r/>
    </w:p>
    <w:p>
      <w:pPr>
        <w:numPr>
          <w:ilvl w:val="255"/>
          <w:numId w:val="0"/>
        </w:numPr>
        <w:ind w:firstLine="420"/>
        <w:jc w:val="both"/>
        <w:spacing w:line="400" w:lineRule="exact"/>
        <w:widowControl w:val="off"/>
        <w:rPr>
          <w:rFonts w:ascii="宋体" w:hAnsi="宋体" w:cs="宋体"/>
          <w:color w:val="auto"/>
          <w:sz w:val="21"/>
          <w:highlight w:val="none"/>
          <w:u w:val="single"/>
          <w:lang w:eastAsia="zh-CN"/>
        </w:rPr>
      </w:pPr>
      <w:r>
        <w:rPr>
          <w:rFonts w:hint="eastAsia" w:ascii="宋体" w:hAnsi="宋体" w:eastAsia="等线" w:cs="宋体"/>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是，</w:t>
      </w:r>
      <w:r>
        <w:rPr>
          <w:rFonts w:hint="eastAsia" w:ascii="宋体" w:hAnsi="宋体" w:eastAsia="等线" w:cs="宋体"/>
          <w:color w:val="auto"/>
          <w:sz w:val="21"/>
          <w:highlight w:val="none"/>
          <w:lang w:eastAsia="zh-CN"/>
        </w:rPr>
        <w:t xml:space="preserve">《政府采购品目分类目录》底级品目名称</w:t>
      </w:r>
      <w:r>
        <w:rPr>
          <w:rFonts w:hint="eastAsia" w:ascii="宋体" w:hAnsi="宋体" w:cs="宋体"/>
          <w:color w:val="auto"/>
          <w:sz w:val="21"/>
          <w:highlight w:val="none"/>
          <w:lang w:eastAsia="zh-CN"/>
        </w:rPr>
        <w:t xml:space="preserve">：</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w:t>
      </w:r>
      <w:r>
        <w:rPr>
          <w:rFonts w:hint="eastAsia" w:ascii="宋体" w:hAnsi="宋体" w:eastAsia="等线" w:cs="宋体"/>
          <w:color w:val="auto"/>
          <w:sz w:val="21"/>
          <w:highlight w:val="none"/>
          <w:lang w:eastAsia="zh-CN"/>
        </w:rPr>
        <w:t xml:space="preserve">金额：</w:t>
      </w:r>
      <w:r>
        <w:rPr>
          <w:rFonts w:hint="eastAsia" w:ascii="宋体" w:hAnsi="宋体" w:cs="宋体"/>
          <w:color w:val="auto"/>
          <w:sz w:val="21"/>
          <w:highlight w:val="none"/>
          <w:u w:val="single"/>
          <w:lang w:eastAsia="zh-CN"/>
        </w:rPr>
        <w:t xml:space="preserve">  </w:t>
      </w:r>
      <w:r>
        <w:rPr>
          <w:rFonts w:hint="eastAsia" w:ascii="宋体" w:hAnsi="宋体" w:eastAsia="等线" w:cs="宋体"/>
          <w:color w:val="auto"/>
          <w:sz w:val="21"/>
          <w:highlight w:val="none"/>
          <w:u w:val="single"/>
          <w:lang w:eastAsia="zh-CN"/>
        </w:rPr>
        <w:t xml:space="preserve">     </w:t>
      </w:r>
      <w:r>
        <w:rPr>
          <w:rFonts w:hint="eastAsia" w:ascii="宋体" w:hAnsi="宋体" w:cs="宋体"/>
          <w:color w:val="auto"/>
          <w:sz w:val="21"/>
          <w:highlight w:val="none"/>
          <w:u w:val="single"/>
          <w:lang w:eastAsia="zh-CN"/>
        </w:rPr>
        <w:t xml:space="preserve"> </w:t>
      </w:r>
      <w:r/>
    </w:p>
    <w:p>
      <w:pPr>
        <w:numPr>
          <w:ilvl w:val="255"/>
          <w:numId w:val="0"/>
        </w:numPr>
        <w:ind w:firstLine="420"/>
        <w:jc w:val="both"/>
        <w:spacing w:line="400" w:lineRule="exact"/>
        <w:widowControl w:val="off"/>
        <w:rPr>
          <w:rFonts w:ascii="宋体" w:hAnsi="宋体" w:cs="Times New Roman"/>
          <w:color w:val="auto"/>
          <w:sz w:val="21"/>
          <w:highlight w:val="none"/>
          <w:lang w:eastAsia="zh-CN"/>
        </w:rPr>
      </w:pPr>
      <w:r>
        <w:rPr>
          <w:rFonts w:hint="eastAsia" w:ascii="宋体" w:hAnsi="宋体" w:eastAsia="等线" w:cs="宋体"/>
          <w:color w:val="auto"/>
          <w:sz w:val="21"/>
          <w:highlight w:val="none"/>
          <w:lang w:eastAsia="zh-CN"/>
        </w:rPr>
        <w:t xml:space="preserve">        国别：</w:t>
      </w:r>
      <w:r>
        <w:rPr>
          <w:rFonts w:hint="eastAsia" w:ascii="宋体" w:hAnsi="宋体" w:cs="宋体"/>
          <w:color w:val="auto"/>
          <w:sz w:val="21"/>
          <w:highlight w:val="none"/>
          <w:u w:val="single"/>
          <w:lang w:eastAsia="zh-CN"/>
        </w:rPr>
        <w:t xml:space="preserve">  </w:t>
      </w:r>
      <w:r>
        <w:rPr>
          <w:rFonts w:hint="eastAsia" w:ascii="宋体" w:hAnsi="宋体" w:eastAsia="等线" w:cs="宋体"/>
          <w:color w:val="auto"/>
          <w:sz w:val="21"/>
          <w:highlight w:val="none"/>
          <w:u w:val="single"/>
          <w:lang w:eastAsia="zh-CN"/>
        </w:rPr>
        <w:t xml:space="preserve">     </w:t>
      </w:r>
      <w:r>
        <w:rPr>
          <w:rFonts w:hint="eastAsia" w:ascii="宋体" w:hAnsi="宋体"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w:t>
      </w:r>
      <w:r>
        <w:rPr>
          <w:rFonts w:hint="eastAsia" w:ascii="宋体" w:hAnsi="宋体" w:cs="宋体"/>
          <w:color w:val="auto"/>
          <w:sz w:val="21"/>
          <w:highlight w:val="none"/>
          <w:lang w:eastAsia="zh-CN"/>
        </w:rPr>
        <w:t xml:space="preserve">品牌：</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规格型号：</w:t>
      </w:r>
      <w:r>
        <w:rPr>
          <w:rFonts w:hint="eastAsia" w:ascii="宋体" w:hAnsi="宋体" w:cs="宋体"/>
          <w:color w:val="auto"/>
          <w:sz w:val="21"/>
          <w:highlight w:val="none"/>
          <w:u w:val="single"/>
          <w:lang w:eastAsia="zh-CN"/>
        </w:rPr>
        <w:t xml:space="preserve">        </w:t>
      </w:r>
      <w:r>
        <w:rPr>
          <w:rFonts w:hint="eastAsia" w:ascii="宋体" w:hAnsi="宋体" w:cs="Times New Roman"/>
          <w:color w:val="auto"/>
          <w:sz w:val="21"/>
          <w:highlight w:val="none"/>
          <w:lang w:eastAsia="zh-CN"/>
        </w:rPr>
        <w:t xml:space="preserve">      </w:t>
      </w:r>
      <w:r/>
    </w:p>
    <w:p>
      <w:pPr>
        <w:ind w:firstLine="84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ind w:firstLine="420"/>
        <w:jc w:val="both"/>
        <w:spacing w:line="400" w:lineRule="exact"/>
        <w:widowControl w:val="off"/>
        <w:tabs>
          <w:tab w:val="left" w:pos="740" w:leader="none"/>
        </w:tabs>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（1</w:t>
      </w:r>
      <w:r>
        <w:rPr>
          <w:rFonts w:ascii="宋体" w:hAnsi="宋体" w:eastAsia="等线" w:cs="Times New Roman"/>
          <w:color w:val="auto"/>
          <w:sz w:val="21"/>
          <w:highlight w:val="none"/>
          <w:lang w:val="en" w:eastAsia="zh-CN"/>
        </w:rPr>
        <w:t xml:space="preserve">0</w:t>
      </w:r>
      <w:r>
        <w:rPr>
          <w:rFonts w:hint="eastAsia" w:ascii="宋体" w:hAnsi="宋体" w:eastAsia="等线" w:cs="Times New Roman"/>
          <w:color w:val="auto"/>
          <w:sz w:val="21"/>
          <w:highlight w:val="none"/>
          <w:lang w:eastAsia="zh-CN"/>
        </w:rPr>
        <w:t xml:space="preserve">）</w:t>
      </w:r>
      <w:r>
        <w:rPr>
          <w:rFonts w:hint="eastAsia" w:ascii="宋体" w:hAnsi="宋体" w:cs="Times New Roman"/>
          <w:color w:val="auto"/>
          <w:sz w:val="21"/>
          <w:highlight w:val="none"/>
          <w:lang w:eastAsia="zh-CN"/>
        </w:rPr>
        <w:t xml:space="preserve">是否涉及节能产品：</w:t>
      </w:r>
      <w:r/>
    </w:p>
    <w:p>
      <w:pPr>
        <w:numPr>
          <w:ilvl w:val="255"/>
          <w:numId w:val="0"/>
        </w:numPr>
        <w:ind w:firstLine="420"/>
        <w:jc w:val="both"/>
        <w:spacing w:line="400" w:lineRule="exact"/>
        <w:widowControl w:val="off"/>
        <w:tabs>
          <w:tab w:val="left" w:pos="740" w:leader="none"/>
        </w:tabs>
        <w:rPr>
          <w:rFonts w:ascii="宋体" w:hAnsi="宋体" w:eastAsia="等线" w:cs="Times New Roman"/>
          <w:iCs/>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w:t>
      </w:r>
      <w:r>
        <w:rPr>
          <w:rFonts w:hint="eastAsia" w:ascii="宋体" w:hAnsi="宋体" w:eastAsia="等线" w:cs="Times New Roman"/>
          <w:color w:val="auto"/>
          <w:sz w:val="21"/>
          <w:highlight w:val="none"/>
          <w:lang w:eastAsia="zh-CN"/>
        </w:rPr>
        <w:t xml:space="preserve">《节能产品政府采购品目清单》的底级品目名称：</w:t>
      </w:r>
      <w:r>
        <w:rPr>
          <w:rFonts w:hint="eastAsia" w:ascii="宋体" w:hAnsi="宋体" w:cs="Times New Roman"/>
          <w:color w:val="auto"/>
          <w:sz w:val="21"/>
          <w:highlight w:val="none"/>
          <w:u w:val="single"/>
          <w:lang w:eastAsia="zh-CN"/>
        </w:rPr>
        <w:t xml:space="preserve">      </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iCs/>
          <w:color w:val="auto"/>
          <w:sz w:val="21"/>
          <w:highlight w:val="none"/>
          <w:lang w:eastAsia="zh-CN"/>
        </w:rPr>
        <w:t xml:space="preserve">     </w:t>
      </w:r>
      <w:r/>
    </w:p>
    <w:p>
      <w:pPr>
        <w:numPr>
          <w:ilvl w:val="255"/>
          <w:numId w:val="0"/>
        </w:numPr>
        <w:ind w:firstLine="420"/>
        <w:jc w:val="both"/>
        <w:spacing w:line="400" w:lineRule="exact"/>
        <w:widowControl w:val="off"/>
        <w:tabs>
          <w:tab w:val="left" w:pos="740" w:leader="none"/>
        </w:tabs>
        <w:rPr>
          <w:rFonts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强制采购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优先采购    </w:t>
      </w:r>
      <w:r/>
    </w:p>
    <w:p>
      <w:pPr>
        <w:numPr>
          <w:ilvl w:val="255"/>
          <w:numId w:val="0"/>
        </w:numPr>
        <w:ind w:firstLine="420"/>
        <w:jc w:val="both"/>
        <w:spacing w:line="400" w:lineRule="exact"/>
        <w:widowControl w:val="off"/>
        <w:tabs>
          <w:tab w:val="left" w:pos="740" w:leader="none"/>
        </w:tabs>
        <w:rPr>
          <w:rFonts w:ascii="宋体" w:hAnsi="宋体" w:cs="Times New Roman"/>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ind w:firstLine="420"/>
        <w:jc w:val="both"/>
        <w:spacing w:line="400" w:lineRule="exact"/>
        <w:widowControl w:val="off"/>
        <w:tabs>
          <w:tab w:val="left" w:pos="740" w:leader="none"/>
        </w:tabs>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hint="eastAsia" w:ascii="宋体" w:hAnsi="宋体" w:cs="Times New Roman"/>
          <w:color w:val="auto"/>
          <w:sz w:val="21"/>
          <w:highlight w:val="none"/>
          <w:lang w:eastAsia="zh-CN"/>
        </w:rPr>
        <w:t xml:space="preserve">是否涉及</w:t>
      </w:r>
      <w:r>
        <w:rPr>
          <w:rFonts w:hint="eastAsia" w:ascii="宋体" w:hAnsi="宋体" w:eastAsia="等线" w:cs="Times New Roman"/>
          <w:color w:val="auto"/>
          <w:sz w:val="21"/>
          <w:highlight w:val="none"/>
          <w:lang w:eastAsia="zh-CN"/>
        </w:rPr>
        <w:t xml:space="preserve">环境标志</w:t>
      </w:r>
      <w:r>
        <w:rPr>
          <w:rFonts w:hint="eastAsia" w:ascii="宋体" w:hAnsi="宋体" w:cs="Times New Roman"/>
          <w:color w:val="auto"/>
          <w:sz w:val="21"/>
          <w:highlight w:val="none"/>
          <w:lang w:eastAsia="zh-CN"/>
        </w:rPr>
        <w:t xml:space="preserve">产品：</w:t>
      </w:r>
      <w:r/>
    </w:p>
    <w:p>
      <w:pPr>
        <w:numPr>
          <w:ilvl w:val="255"/>
          <w:numId w:val="0"/>
        </w:numPr>
        <w:ind w:firstLine="420"/>
        <w:jc w:val="both"/>
        <w:spacing w:line="400" w:lineRule="exact"/>
        <w:widowControl w:val="off"/>
        <w:tabs>
          <w:tab w:val="left" w:pos="740" w:leader="none"/>
        </w:tabs>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w:t>
      </w:r>
      <w:r>
        <w:rPr>
          <w:rFonts w:hint="eastAsia" w:ascii="宋体" w:hAnsi="宋体" w:eastAsia="等线" w:cs="Times New Roman"/>
          <w:color w:val="auto"/>
          <w:sz w:val="21"/>
          <w:highlight w:val="none"/>
          <w:lang w:eastAsia="zh-CN"/>
        </w:rPr>
        <w:t xml:space="preserve">《环境标志产品政府采购品目清单》的底级品目名称：</w:t>
      </w:r>
      <w:r>
        <w:rPr>
          <w:rFonts w:hint="eastAsia" w:ascii="宋体" w:hAnsi="宋体" w:cs="Times New Roman"/>
          <w:color w:val="auto"/>
          <w:sz w:val="21"/>
          <w:highlight w:val="none"/>
          <w:u w:val="single"/>
          <w:lang w:eastAsia="zh-CN"/>
        </w:rPr>
        <w:t xml:space="preserve">      </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iCs/>
          <w:color w:val="auto"/>
          <w:sz w:val="21"/>
          <w:highlight w:val="none"/>
          <w:lang w:eastAsia="zh-CN"/>
        </w:rPr>
        <w:t xml:space="preserve"> </w:t>
      </w:r>
      <w:r/>
    </w:p>
    <w:p>
      <w:pPr>
        <w:numPr>
          <w:ilvl w:val="255"/>
          <w:numId w:val="0"/>
        </w:numPr>
        <w:ind w:firstLine="420"/>
        <w:jc w:val="both"/>
        <w:spacing w:line="400" w:lineRule="exact"/>
        <w:widowControl w:val="off"/>
        <w:tabs>
          <w:tab w:val="left" w:pos="740" w:leader="none"/>
        </w:tabs>
        <w:rPr>
          <w:rFonts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强制采购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优先采购    </w:t>
      </w:r>
      <w:r/>
    </w:p>
    <w:p>
      <w:pPr>
        <w:numPr>
          <w:ilvl w:val="255"/>
          <w:numId w:val="0"/>
        </w:numPr>
        <w:ind w:firstLine="420"/>
        <w:jc w:val="both"/>
        <w:spacing w:line="400" w:lineRule="exact"/>
        <w:widowControl w:val="off"/>
        <w:tabs>
          <w:tab w:val="left" w:pos="740" w:leader="none"/>
        </w:tabs>
        <w:rPr>
          <w:rFonts w:ascii="宋体" w:hAnsi="宋体" w:eastAsia="等线" w:cs="Times New Roman"/>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ind w:firstLine="420"/>
        <w:spacing w:line="400" w:lineRule="exact"/>
        <w:rPr>
          <w:rFonts w:ascii="宋体" w:hAnsi="宋体" w:cs="Times New Roman"/>
          <w:color w:val="auto"/>
          <w:sz w:val="21"/>
          <w:highlight w:val="none"/>
          <w:lang w:eastAsia="zh-CN"/>
        </w:rPr>
      </w:pPr>
      <w:r>
        <w:rPr>
          <w:rFonts w:hint="eastAsia" w:ascii="宋体" w:hAnsi="宋体" w:eastAsia="华文楷体" w:cs="华文楷体"/>
          <w:color w:val="auto"/>
          <w:sz w:val="21"/>
          <w:highlight w:val="none"/>
          <w:lang w:eastAsia="zh-CN"/>
        </w:rPr>
        <w:t xml:space="preserve">          </w:t>
      </w:r>
      <w:r>
        <w:rPr>
          <w:rFonts w:hint="eastAsia" w:ascii="宋体" w:hAnsi="宋体" w:cs="Times New Roman"/>
          <w:color w:val="auto"/>
          <w:sz w:val="21"/>
          <w:highlight w:val="none"/>
          <w:lang w:eastAsia="zh-CN"/>
        </w:rPr>
        <w:t xml:space="preserve">是否涉及绿色产品： </w:t>
      </w:r>
      <w:r/>
    </w:p>
    <w:p>
      <w:pPr>
        <w:ind w:firstLine="420"/>
        <w:spacing w:line="400" w:lineRule="exact"/>
        <w:rPr>
          <w:rFonts w:ascii="宋体" w:hAnsi="宋体" w:cs="华文楷体"/>
          <w:color w:val="auto"/>
          <w:sz w:val="22"/>
          <w:highlight w:val="none"/>
          <w:u w:val="single"/>
          <w:lang w:eastAsia="zh-CN"/>
        </w:rPr>
      </w:pPr>
      <w:r>
        <w:rPr>
          <w:rFonts w:hint="eastAsia" w:ascii="宋体" w:hAnsi="宋体"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是，绿色产品政府采购相关政策确定的底级品目名称：</w:t>
      </w:r>
      <w:r>
        <w:rPr>
          <w:rFonts w:hint="eastAsia" w:ascii="宋体" w:hAnsi="宋体" w:cs="华文楷体"/>
          <w:color w:val="auto"/>
          <w:sz w:val="22"/>
          <w:highlight w:val="none"/>
          <w:u w:val="single"/>
          <w:lang w:eastAsia="zh-CN"/>
        </w:rPr>
        <w:t xml:space="preserve">         </w:t>
      </w:r>
      <w:r/>
    </w:p>
    <w:p>
      <w:pPr>
        <w:numPr>
          <w:ilvl w:val="255"/>
          <w:numId w:val="0"/>
        </w:numPr>
        <w:ind w:firstLine="420"/>
        <w:jc w:val="both"/>
        <w:spacing w:line="400" w:lineRule="exact"/>
        <w:widowControl w:val="off"/>
        <w:tabs>
          <w:tab w:val="left" w:pos="740" w:leader="none"/>
        </w:tabs>
        <w:rPr>
          <w:rFonts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强制采购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优先采购    </w:t>
      </w:r>
      <w:r/>
    </w:p>
    <w:p>
      <w:pPr>
        <w:ind w:firstLine="420"/>
        <w:spacing w:line="400" w:lineRule="exact"/>
        <w:rPr>
          <w:rFonts w:ascii="宋体" w:hAnsi="宋体" w:eastAsia="华文楷体" w:cs="华文楷体"/>
          <w:color w:val="auto"/>
          <w:sz w:val="21"/>
          <w:highlight w:val="none"/>
          <w:lang w:eastAsia="zh-CN"/>
        </w:rPr>
      </w:pPr>
      <w:r>
        <w:rPr>
          <w:rFonts w:hint="eastAsia" w:ascii="宋体" w:hAnsi="宋体"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ind w:firstLine="420"/>
        <w:jc w:val="both"/>
        <w:spacing w:line="400" w:lineRule="exact"/>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（1</w:t>
      </w:r>
      <w:r>
        <w:rPr>
          <w:rFonts w:ascii="宋体" w:hAnsi="宋体" w:eastAsia="等线" w:cs="Times New Roman"/>
          <w:color w:val="auto"/>
          <w:sz w:val="21"/>
          <w:highlight w:val="none"/>
          <w:lang w:val="en" w:eastAsia="zh-CN"/>
        </w:rPr>
        <w:t xml:space="preserve">1</w:t>
      </w:r>
      <w:r>
        <w:rPr>
          <w:rFonts w:hint="eastAsia" w:ascii="宋体" w:hAnsi="宋体" w:eastAsia="等线" w:cs="Times New Roman"/>
          <w:color w:val="auto"/>
          <w:sz w:val="21"/>
          <w:highlight w:val="none"/>
          <w:lang w:eastAsia="zh-CN"/>
        </w:rPr>
        <w:t xml:space="preserve">）</w:t>
      </w:r>
      <w:r>
        <w:rPr>
          <w:rFonts w:hint="eastAsia" w:ascii="宋体" w:hAnsi="宋体" w:cs="Times New Roman"/>
          <w:color w:val="auto"/>
          <w:sz w:val="21"/>
          <w:highlight w:val="none"/>
          <w:lang w:eastAsia="zh-CN"/>
        </w:rPr>
        <w:t xml:space="preserve">涉及商品包装和快递包装的，是否参考</w:t>
      </w:r>
      <w:r>
        <w:rPr>
          <w:rFonts w:hint="eastAsia" w:ascii="宋体" w:hAnsi="宋体" w:eastAsia="等线" w:cs="Times New Roman"/>
          <w:color w:val="auto"/>
          <w:sz w:val="21"/>
          <w:highlight w:val="none"/>
          <w:lang w:eastAsia="zh-CN"/>
        </w:rPr>
        <w:t xml:space="preserve">《商品包装政府采购需求标准（试行）》《快递包装政府采购需求标准（试行）》</w:t>
      </w:r>
      <w:r>
        <w:rPr>
          <w:rFonts w:hint="eastAsia" w:ascii="宋体" w:hAnsi="宋体" w:cs="Times New Roman"/>
          <w:color w:val="auto"/>
          <w:sz w:val="21"/>
          <w:highlight w:val="none"/>
          <w:lang w:eastAsia="zh-CN"/>
        </w:rPr>
        <w:t xml:space="preserve">明确产品及相关快递服务的具体包装要求：</w:t>
      </w:r>
      <w:r/>
    </w:p>
    <w:p>
      <w:pPr>
        <w:numPr>
          <w:ilvl w:val="255"/>
          <w:numId w:val="0"/>
        </w:numPr>
        <w:ind w:firstLine="420"/>
        <w:jc w:val="both"/>
        <w:spacing w:line="400" w:lineRule="exact"/>
        <w:widowControl w:val="off"/>
        <w:rPr>
          <w:rFonts w:ascii="宋体" w:hAnsi="宋体" w:cs="Times New Roman"/>
          <w:color w:val="auto"/>
          <w:sz w:val="21"/>
          <w:highlight w:val="none"/>
          <w:lang w:eastAsia="zh-CN"/>
        </w:rPr>
      </w:pP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不涉及</w:t>
      </w:r>
      <w:r/>
    </w:p>
    <w:p>
      <w:pPr>
        <w:numPr>
          <w:ilvl w:val="0"/>
          <w:numId w:val="11"/>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合同金额</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（1）合同金额小写：</w:t>
      </w:r>
      <w:r>
        <w:rPr>
          <w:rFonts w:hint="eastAsia" w:ascii="宋体" w:hAnsi="宋体" w:eastAsia="等线" w:cs="Times New Roman"/>
          <w:color w:val="auto"/>
          <w:sz w:val="21"/>
          <w:highlight w:val="none"/>
          <w:u w:val="single"/>
          <w:lang w:eastAsia="zh-CN"/>
        </w:rPr>
        <w:t xml:space="preserve">                           </w:t>
      </w:r>
      <w:r/>
    </w:p>
    <w:p>
      <w:pPr>
        <w:ind w:firstLine="0"/>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大写：</w:t>
      </w:r>
      <w:r>
        <w:rPr>
          <w:rFonts w:hint="eastAsia" w:ascii="宋体" w:hAnsi="宋体" w:eastAsia="等线" w:cs="Times New Roman"/>
          <w:color w:val="auto"/>
          <w:sz w:val="21"/>
          <w:highlight w:val="none"/>
          <w:u w:val="single"/>
          <w:lang w:eastAsia="zh-CN"/>
        </w:rPr>
        <w:t xml:space="preserve">                           </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分包金额（如有）小写：</w:t>
      </w:r>
      <w:r>
        <w:rPr>
          <w:rFonts w:hint="eastAsia" w:ascii="宋体" w:hAnsi="宋体" w:eastAsia="等线" w:cs="Times New Roman"/>
          <w:color w:val="auto"/>
          <w:sz w:val="21"/>
          <w:highlight w:val="none"/>
          <w:u w:val="single"/>
          <w:lang w:eastAsia="zh-CN"/>
        </w:rPr>
        <w:t xml:space="preserve">           /        </w:t>
      </w:r>
      <w:r/>
    </w:p>
    <w:p>
      <w:pPr>
        <w:ind w:firstLine="0"/>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大写：</w:t>
      </w:r>
      <w:r>
        <w:rPr>
          <w:rFonts w:hint="eastAsia" w:ascii="宋体" w:hAnsi="宋体" w:eastAsia="等线" w:cs="Times New Roman"/>
          <w:color w:val="auto"/>
          <w:sz w:val="21"/>
          <w:highlight w:val="none"/>
          <w:u w:val="single"/>
          <w:lang w:eastAsia="zh-CN"/>
        </w:rPr>
        <w:t xml:space="preserve">          /             </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（注：固定单价合同应填写单价和最高限价）</w:t>
      </w:r>
      <w:r/>
    </w:p>
    <w:p>
      <w:pPr>
        <w:numPr>
          <w:ilvl w:val="255"/>
          <w:numId w:val="0"/>
        </w:num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（2）合同定价方式（采用组合定价方式的，可以勾选多项）：</w:t>
      </w:r>
      <w:r/>
    </w:p>
    <w:p>
      <w:pPr>
        <w:ind w:firstLine="420"/>
        <w:jc w:val="both"/>
        <w:spacing w:line="400" w:lineRule="exact"/>
        <w:widowControl w:val="off"/>
        <w:rPr>
          <w:rFonts w:ascii="宋体" w:hAnsi="宋体" w:cs="Times New Roman"/>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固定总价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固定单价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固定费率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成本补偿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绩效激励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其他</w:t>
      </w:r>
      <w:r>
        <w:rPr>
          <w:rFonts w:hint="eastAsia" w:ascii="宋体" w:hAnsi="宋体" w:eastAsia="等线" w:cs="Times New Roman"/>
          <w:color w:val="auto"/>
          <w:sz w:val="21"/>
          <w:highlight w:val="none"/>
          <w:u w:val="single"/>
          <w:lang w:eastAsia="zh-CN"/>
        </w:rPr>
        <w:t xml:space="preserve">       </w:t>
      </w:r>
      <w:r/>
    </w:p>
    <w:p>
      <w:pPr>
        <w:ind w:firstLine="420"/>
        <w:jc w:val="both"/>
        <w:spacing w:line="400" w:lineRule="exact"/>
        <w:widowControl w:val="off"/>
        <w:rPr>
          <w:rFonts w:ascii="Calibri" w:hAnsi="Calibri" w:cs="Times New Roman"/>
          <w:color w:val="auto"/>
          <w:sz w:val="21"/>
          <w:szCs w:val="22"/>
          <w:highlight w:val="none"/>
          <w:lang w:eastAsia="zh-CN"/>
        </w:rPr>
      </w:pPr>
      <w:r>
        <w:rPr>
          <w:rFonts w:hint="eastAsia" w:ascii="宋体" w:hAnsi="宋体" w:cs="Times New Roman"/>
          <w:color w:val="auto"/>
          <w:sz w:val="21"/>
          <w:szCs w:val="22"/>
          <w:highlight w:val="none"/>
          <w:lang w:eastAsia="zh-CN"/>
        </w:rPr>
        <w:t xml:space="preserve">（3）付款方式（按项目实际勾选填写）：</w:t>
      </w:r>
      <w:r/>
    </w:p>
    <w:p>
      <w:pPr>
        <w:ind w:firstLine="630"/>
        <w:jc w:val="both"/>
        <w:spacing w:line="400" w:lineRule="exact"/>
        <w:widowControl w:val="off"/>
        <w:rPr>
          <w:rFonts w:ascii="宋体" w:hAnsi="宋体" w:eastAsia="等线" w:cs="Times New Roman"/>
          <w:color w:val="auto"/>
          <w:sz w:val="21"/>
          <w:highlight w:val="none"/>
          <w:u w:val="singl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全额付款：</w:t>
      </w:r>
      <w:r>
        <w:rPr>
          <w:rFonts w:hint="eastAsia" w:ascii="宋体" w:hAnsi="宋体" w:eastAsia="等线" w:cs="Times New Roman"/>
          <w:color w:val="auto"/>
          <w:sz w:val="21"/>
          <w:highlight w:val="none"/>
          <w:u w:val="single"/>
          <w:lang w:eastAsia="zh-CN"/>
        </w:rPr>
        <w:t xml:space="preserve">     （应明确一次性支付合同款项的条件）                    </w:t>
      </w:r>
      <w:r/>
    </w:p>
    <w:p>
      <w:pPr>
        <w:ind w:firstLine="630"/>
        <w:jc w:val="both"/>
        <w:spacing w:line="400" w:lineRule="exact"/>
        <w:widowControl w:val="off"/>
        <w:rPr>
          <w:rFonts w:ascii="等线" w:hAnsi="等线" w:eastAsia="等线" w:cs="Times New Roman"/>
          <w:color w:val="auto"/>
          <w:sz w:val="21"/>
          <w:szCs w:val="22"/>
          <w:highlight w:val="non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分期付款：</w:t>
      </w:r>
      <w:r>
        <w:rPr>
          <w:rFonts w:hint="eastAsia" w:ascii="宋体" w:hAnsi="宋体" w:eastAsia="等线" w:cs="Times New Roman"/>
          <w:color w:val="auto"/>
          <w:sz w:val="21"/>
          <w:highlight w:val="none"/>
          <w:u w:val="single"/>
          <w:lang w:eastAsia="zh-CN"/>
        </w:rPr>
        <w:t xml:space="preserve">  （应明确分期支付合同款项的各期比例和支付条件，各期支付条件应与分期履约验收情况挂钩） </w:t>
      </w:r>
      <w:r>
        <w:rPr>
          <w:rFonts w:hint="eastAsia" w:ascii="宋体" w:hAnsi="宋体" w:eastAsia="等线" w:cs="Times New Roman"/>
          <w:color w:val="auto"/>
          <w:sz w:val="21"/>
          <w:highlight w:val="none"/>
          <w:lang w:eastAsia="zh-CN"/>
        </w:rPr>
        <w:t xml:space="preserve">，其中涉及预付款的：</w:t>
      </w:r>
      <w:r>
        <w:rPr>
          <w:rFonts w:hint="eastAsia" w:ascii="宋体" w:hAnsi="宋体" w:eastAsia="等线" w:cs="Times New Roman"/>
          <w:color w:val="auto"/>
          <w:sz w:val="21"/>
          <w:highlight w:val="none"/>
          <w:u w:val="single"/>
          <w:lang w:eastAsia="zh-CN"/>
        </w:rPr>
        <w:t xml:space="preserve"> （应明确预付款的支付比例和支付条件） </w:t>
      </w:r>
      <w:r/>
    </w:p>
    <w:p>
      <w:pPr>
        <w:ind w:firstLine="630"/>
        <w:jc w:val="both"/>
        <w:spacing w:line="400" w:lineRule="exact"/>
        <w:widowControl w:val="off"/>
        <w:rPr>
          <w:rFonts w:ascii="宋体" w:hAnsi="宋体" w:eastAsia="等线" w:cs="Times New Roman"/>
          <w:color w:val="auto"/>
          <w:sz w:val="21"/>
          <w:highlight w:val="none"/>
          <w:u w:val="singl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成本补偿：</w:t>
      </w:r>
      <w:r>
        <w:rPr>
          <w:rFonts w:hint="eastAsia" w:ascii="宋体" w:hAnsi="宋体" w:eastAsia="等线" w:cs="Times New Roman"/>
          <w:color w:val="auto"/>
          <w:sz w:val="21"/>
          <w:highlight w:val="none"/>
          <w:u w:val="single"/>
          <w:lang w:eastAsia="zh-CN"/>
        </w:rPr>
        <w:t xml:space="preserve">      （应明确按照成本补偿方式的支付方式和支付条件）   </w:t>
      </w:r>
      <w:r/>
    </w:p>
    <w:p>
      <w:pPr>
        <w:ind w:firstLine="630"/>
        <w:jc w:val="both"/>
        <w:spacing w:line="400" w:lineRule="exact"/>
        <w:widowControl w:val="off"/>
        <w:rPr>
          <w:rFonts w:ascii="宋体" w:hAnsi="宋体" w:eastAsia="等线" w:cs="Times New Roman"/>
          <w:color w:val="auto"/>
          <w:sz w:val="21"/>
          <w:highlight w:val="non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绩效激励：</w:t>
      </w:r>
      <w:r>
        <w:rPr>
          <w:rFonts w:hint="eastAsia" w:ascii="宋体" w:hAnsi="宋体" w:eastAsia="等线" w:cs="Times New Roman"/>
          <w:color w:val="auto"/>
          <w:sz w:val="21"/>
          <w:highlight w:val="none"/>
          <w:u w:val="single"/>
          <w:lang w:eastAsia="zh-CN"/>
        </w:rPr>
        <w:t xml:space="preserve">      （应明确按照绩效激励方式的支付方式和支付条件）   </w:t>
      </w:r>
      <w:r/>
    </w:p>
    <w:p>
      <w:pPr>
        <w:numPr>
          <w:ilvl w:val="0"/>
          <w:numId w:val="11"/>
        </w:numPr>
        <w:jc w:val="both"/>
        <w:spacing w:line="400" w:lineRule="exact"/>
        <w:widowControl w:val="off"/>
        <w:rPr>
          <w:rFonts w:ascii="宋体" w:hAnsi="宋体" w:eastAsia="等线" w:cs="Times New Roman"/>
          <w:b/>
          <w:color w:val="auto"/>
          <w:sz w:val="21"/>
          <w:highlight w:val="none"/>
          <w:u w:val="single"/>
          <w:lang w:eastAsia="zh-CN"/>
        </w:rPr>
      </w:pPr>
      <w:r>
        <w:rPr>
          <w:rFonts w:hint="eastAsia" w:ascii="宋体" w:hAnsi="宋体" w:eastAsia="等线" w:cs="Times New Roman"/>
          <w:b/>
          <w:color w:val="auto"/>
          <w:sz w:val="21"/>
          <w:highlight w:val="none"/>
          <w:lang w:eastAsia="zh-CN"/>
        </w:rPr>
        <w:t xml:space="preserve">合同履行</w:t>
      </w:r>
      <w:r/>
    </w:p>
    <w:p>
      <w:pPr>
        <w:ind w:firstLine="420"/>
        <w:jc w:val="both"/>
        <w:spacing w:line="400" w:lineRule="exact"/>
        <w:widowControl w:val="off"/>
        <w:rPr>
          <w:rFonts w:ascii="宋体" w:hAnsi="宋体" w:eastAsia="等线" w:cs="宋体"/>
          <w:color w:val="auto"/>
          <w:sz w:val="21"/>
          <w:highlight w:val="none"/>
          <w:lang w:eastAsia="zh-CN"/>
        </w:rPr>
      </w:pPr>
      <w:r>
        <w:rPr>
          <w:rFonts w:hint="eastAsia" w:ascii="宋体" w:hAnsi="宋体" w:eastAsia="等线" w:cs="宋体"/>
          <w:color w:val="auto"/>
          <w:sz w:val="21"/>
          <w:highlight w:val="none"/>
          <w:lang w:eastAsia="zh-CN"/>
        </w:rPr>
        <w:t xml:space="preserve">（1）起始日期：</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年</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月</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日，完成日期：</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年</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月</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日。</w:t>
      </w:r>
      <w:r/>
    </w:p>
    <w:p>
      <w:pPr>
        <w:ind w:firstLine="420"/>
        <w:jc w:val="both"/>
        <w:spacing w:line="400" w:lineRule="exact"/>
        <w:widowControl w:val="off"/>
        <w:rPr>
          <w:rFonts w:ascii="宋体" w:hAnsi="宋体" w:eastAsia="等线" w:cs="宋体"/>
          <w:color w:val="auto"/>
          <w:sz w:val="21"/>
          <w:highlight w:val="none"/>
          <w:u w:val="single"/>
          <w:lang w:eastAsia="zh-CN"/>
        </w:rPr>
      </w:pPr>
      <w:r>
        <w:rPr>
          <w:rFonts w:hint="eastAsia" w:ascii="宋体" w:hAnsi="宋体" w:eastAsia="等线" w:cs="宋体"/>
          <w:color w:val="auto"/>
          <w:sz w:val="21"/>
          <w:highlight w:val="none"/>
          <w:lang w:eastAsia="zh-CN"/>
        </w:rPr>
        <w:t xml:space="preserve">（2）履约地点</w:t>
      </w:r>
      <w:r>
        <w:rPr>
          <w:rFonts w:hint="eastAsia" w:ascii="宋体" w:hAnsi="宋体" w:eastAsia="等线" w:cs="宋体"/>
          <w:bCs/>
          <w:color w:val="auto"/>
          <w:sz w:val="21"/>
          <w:highlight w:val="none"/>
          <w:lang w:eastAsia="zh-CN"/>
        </w:rPr>
        <w:t xml:space="preserve">：</w:t>
      </w:r>
      <w:r>
        <w:rPr>
          <w:rFonts w:hint="eastAsia" w:ascii="宋体" w:hAnsi="宋体" w:eastAsia="等线" w:cs="宋体"/>
          <w:color w:val="auto"/>
          <w:sz w:val="21"/>
          <w:highlight w:val="none"/>
          <w:u w:val="single"/>
          <w:lang w:eastAsia="zh-CN"/>
        </w:rPr>
        <w:t xml:space="preserve">                             </w:t>
      </w:r>
      <w:r/>
    </w:p>
    <w:p>
      <w:pPr>
        <w:ind w:firstLine="420"/>
        <w:jc w:val="both"/>
        <w:spacing w:line="400" w:lineRule="exact"/>
        <w:widowControl w:val="off"/>
        <w:rPr>
          <w:rFonts w:ascii="宋体" w:hAnsi="宋体" w:cs="宋体"/>
          <w:color w:val="auto"/>
          <w:sz w:val="21"/>
          <w:highlight w:val="none"/>
          <w:lang w:eastAsia="zh-CN"/>
        </w:rPr>
      </w:pPr>
      <w:r>
        <w:rPr>
          <w:rFonts w:hint="eastAsia" w:ascii="宋体" w:hAnsi="宋体" w:eastAsia="等线" w:cs="宋体"/>
          <w:bCs/>
          <w:color w:val="auto"/>
          <w:sz w:val="21"/>
          <w:highlight w:val="none"/>
          <w:lang w:eastAsia="zh-CN"/>
        </w:rPr>
        <w:t xml:space="preserve">（3）履约担保：</w:t>
      </w:r>
      <w:r>
        <w:rPr>
          <w:rFonts w:hint="eastAsia" w:ascii="宋体" w:hAnsi="宋体" w:cs="宋体"/>
          <w:color w:val="auto"/>
          <w:sz w:val="21"/>
          <w:szCs w:val="22"/>
          <w:highlight w:val="none"/>
          <w:lang w:eastAsia="zh-CN"/>
        </w:rPr>
        <w:t xml:space="preserve">是否收取履约保证金：</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否</w:t>
      </w:r>
      <w:r/>
    </w:p>
    <w:p>
      <w:pPr>
        <w:ind w:firstLine="440"/>
        <w:spacing w:line="400" w:lineRule="exact"/>
        <w:rPr>
          <w:rFonts w:ascii="宋体" w:hAnsi="宋体" w:eastAsia="等线" w:cs="宋体"/>
          <w:bCs/>
          <w:color w:val="auto"/>
          <w:sz w:val="21"/>
          <w:highlight w:val="none"/>
          <w:lang w:eastAsia="zh-CN"/>
        </w:rPr>
      </w:pPr>
      <w:r>
        <w:rPr>
          <w:rFonts w:hint="eastAsia" w:ascii="宋体" w:hAnsi="宋体" w:eastAsia="华文楷体" w:cs="宋体"/>
          <w:bCs/>
          <w:color w:val="auto"/>
          <w:sz w:val="22"/>
          <w:highlight w:val="none"/>
          <w:lang w:eastAsia="zh-CN"/>
        </w:rPr>
        <w:t xml:space="preserve">  </w:t>
      </w:r>
      <w:r>
        <w:rPr>
          <w:rFonts w:hint="eastAsia" w:ascii="宋体" w:hAnsi="宋体" w:eastAsia="等线" w:cs="宋体"/>
          <w:bCs/>
          <w:color w:val="auto"/>
          <w:sz w:val="21"/>
          <w:highlight w:val="none"/>
          <w:lang w:eastAsia="zh-CN"/>
        </w:rPr>
        <w:t xml:space="preserve">收取履约保证金形式：</w:t>
      </w:r>
      <w:r>
        <w:rPr>
          <w:rFonts w:hint="eastAsia" w:ascii="宋体" w:hAnsi="宋体" w:eastAsia="等线" w:cs="宋体"/>
          <w:bCs/>
          <w:color w:val="auto"/>
          <w:sz w:val="21"/>
          <w:highlight w:val="none"/>
          <w:u w:val="single"/>
          <w:lang w:eastAsia="zh-CN"/>
        </w:rPr>
        <w:t xml:space="preserve">以履约保函形式缴纳或提交。</w:t>
      </w:r>
      <w:r>
        <w:rPr>
          <w:rFonts w:hint="eastAsia" w:ascii="宋体" w:hAnsi="宋体" w:eastAsia="等线" w:cs="宋体"/>
          <w:bCs/>
          <w:color w:val="auto"/>
          <w:sz w:val="21"/>
          <w:highlight w:val="none"/>
          <w:lang w:eastAsia="zh-CN"/>
        </w:rPr>
        <w:t xml:space="preserve">                            </w:t>
      </w:r>
      <w:r/>
    </w:p>
    <w:p>
      <w:pPr>
        <w:ind w:firstLine="440"/>
        <w:spacing w:line="400" w:lineRule="exact"/>
        <w:rPr>
          <w:rFonts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  收取履约保证金金额：</w:t>
      </w:r>
      <w:r>
        <w:rPr>
          <w:rFonts w:hint="eastAsia" w:ascii="宋体" w:hAnsi="宋体" w:eastAsia="等线" w:cs="宋体"/>
          <w:bCs/>
          <w:color w:val="auto"/>
          <w:sz w:val="21"/>
          <w:highlight w:val="none"/>
          <w:u w:val="single"/>
          <w:lang w:eastAsia="zh-CN"/>
        </w:rPr>
        <w:t xml:space="preserve">合同价款的10%  </w:t>
      </w:r>
      <w:r>
        <w:rPr>
          <w:rFonts w:hint="eastAsia" w:ascii="宋体" w:hAnsi="宋体" w:eastAsia="等线" w:cs="宋体"/>
          <w:bCs/>
          <w:color w:val="auto"/>
          <w:sz w:val="21"/>
          <w:highlight w:val="none"/>
          <w:lang w:eastAsia="zh-CN"/>
        </w:rPr>
        <w:t xml:space="preserve">  </w:t>
      </w:r>
      <w:r>
        <w:rPr>
          <w:rFonts w:hint="eastAsia" w:ascii="宋体" w:hAnsi="宋体" w:eastAsia="等线" w:cs="宋体"/>
          <w:bCs/>
          <w:color w:val="auto"/>
          <w:sz w:val="21"/>
          <w:highlight w:val="none"/>
          <w:lang w:eastAsia="zh-CN"/>
        </w:rPr>
        <w:t xml:space="preserve">                        </w:t>
      </w:r>
      <w:r/>
    </w:p>
    <w:p>
      <w:pPr>
        <w:ind w:firstLine="420"/>
        <w:jc w:val="both"/>
        <w:spacing w:line="400" w:lineRule="exact"/>
        <w:widowControl w:val="off"/>
        <w:rPr>
          <w:rFonts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  履约担保期限：</w:t>
      </w:r>
      <w:r>
        <w:rPr>
          <w:rFonts w:hint="eastAsia" w:ascii="宋体" w:hAnsi="宋体" w:eastAsia="等线" w:cs="宋体"/>
          <w:bCs/>
          <w:color w:val="auto"/>
          <w:sz w:val="21"/>
          <w:highlight w:val="none"/>
          <w:u w:val="single"/>
          <w:lang w:eastAsia="zh-CN"/>
        </w:rPr>
        <w:t xml:space="preserve">货物安装、调试、验收合格后10个工作日内退还。</w:t>
      </w:r>
      <w:r>
        <w:rPr>
          <w:rFonts w:hint="eastAsia" w:ascii="宋体" w:hAnsi="宋体" w:eastAsia="等线" w:cs="宋体"/>
          <w:bCs/>
          <w:color w:val="auto"/>
          <w:sz w:val="21"/>
          <w:highlight w:val="none"/>
          <w:lang w:eastAsia="zh-CN"/>
        </w:rPr>
        <w:t xml:space="preserve">                                  </w:t>
      </w:r>
      <w:r/>
    </w:p>
    <w:p>
      <w:pPr>
        <w:ind w:firstLine="630"/>
        <w:spacing w:line="400" w:lineRule="exact"/>
        <w:rPr>
          <w:rFonts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履约保证金的缴纳时间：</w:t>
      </w:r>
      <w:r>
        <w:rPr>
          <w:rFonts w:hint="eastAsia" w:ascii="宋体" w:hAnsi="宋体" w:eastAsia="等线" w:cs="宋体"/>
          <w:bCs/>
          <w:color w:val="auto"/>
          <w:sz w:val="21"/>
          <w:highlight w:val="none"/>
          <w:u w:val="single"/>
          <w:lang w:eastAsia="zh-CN"/>
        </w:rPr>
        <w:t xml:space="preserve"> 乙方在签订合同后5个工作日内，向甲方提交履约保证金。</w:t>
      </w:r>
      <w:r>
        <w:rPr>
          <w:rFonts w:hint="eastAsia" w:ascii="宋体" w:hAnsi="宋体" w:eastAsia="等线" w:cs="宋体"/>
          <w:bCs/>
          <w:color w:val="auto"/>
          <w:sz w:val="21"/>
          <w:highlight w:val="none"/>
          <w:lang w:eastAsia="zh-CN"/>
        </w:rPr>
        <w:t xml:space="preserve">                           </w:t>
      </w:r>
      <w:r/>
    </w:p>
    <w:p>
      <w:pPr>
        <w:ind w:firstLine="630"/>
        <w:spacing w:line="400" w:lineRule="exact"/>
        <w:rPr>
          <w:rFonts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退付办法：</w:t>
      </w:r>
      <w:r>
        <w:rPr>
          <w:rFonts w:hint="eastAsia" w:ascii="宋体" w:hAnsi="宋体" w:eastAsia="等线" w:cs="宋体"/>
          <w:bCs/>
          <w:color w:val="auto"/>
          <w:sz w:val="21"/>
          <w:highlight w:val="none"/>
          <w:u w:val="single"/>
          <w:lang w:eastAsia="zh-CN"/>
        </w:rPr>
        <w:t xml:space="preserve">与乙方提交履约保证金的方式相同。</w:t>
      </w:r>
      <w:r>
        <w:rPr>
          <w:rFonts w:hint="eastAsia" w:ascii="宋体" w:hAnsi="宋体" w:eastAsia="等线" w:cs="宋体"/>
          <w:bCs/>
          <w:color w:val="auto"/>
          <w:sz w:val="21"/>
          <w:highlight w:val="none"/>
          <w:lang w:eastAsia="zh-CN"/>
        </w:rPr>
        <w:t xml:space="preserve">                                      </w:t>
      </w:r>
      <w:r/>
    </w:p>
    <w:p>
      <w:pPr>
        <w:ind w:left="3360" w:hanging="2730"/>
        <w:spacing w:line="400" w:lineRule="exact"/>
        <w:rPr>
          <w:rFonts w:ascii="宋体" w:hAnsi="宋体" w:eastAsia="等线" w:cs="宋体"/>
          <w:bCs/>
          <w:color w:val="auto"/>
          <w:sz w:val="21"/>
          <w:highlight w:val="none"/>
          <w:u w:val="single"/>
          <w:lang w:eastAsia="zh-CN"/>
        </w:rPr>
      </w:pPr>
      <w:r>
        <w:rPr>
          <w:rFonts w:hint="eastAsia" w:ascii="宋体" w:hAnsi="宋体" w:eastAsia="等线" w:cs="宋体"/>
          <w:bCs/>
          <w:color w:val="auto"/>
          <w:sz w:val="21"/>
          <w:highlight w:val="none"/>
          <w:lang w:eastAsia="zh-CN"/>
        </w:rPr>
        <w:t xml:space="preserve">履约保证金不予退还的情形：</w:t>
      </w:r>
      <w:r>
        <w:rPr>
          <w:rFonts w:hint="eastAsia" w:ascii="宋体" w:hAnsi="宋体" w:eastAsia="等线" w:cs="宋体"/>
          <w:bCs/>
          <w:color w:val="auto"/>
          <w:sz w:val="21"/>
          <w:highlight w:val="none"/>
          <w:u w:val="single"/>
          <w:lang w:eastAsia="zh-CN"/>
        </w:rPr>
        <w:t xml:space="preserve">①由于乙方的原因不能履约的，②在履行合同期间发生重大安全事故，给甲方造成不良影响和严重经济损失的。</w:t>
      </w:r>
      <w:r/>
    </w:p>
    <w:p>
      <w:pPr>
        <w:ind w:firstLine="630"/>
        <w:jc w:val="both"/>
        <w:spacing w:line="400" w:lineRule="exact"/>
        <w:widowControl w:val="off"/>
        <w:rPr>
          <w:rFonts w:ascii="宋体" w:hAnsi="宋体" w:eastAsia="等线" w:cs="宋体"/>
          <w:bCs/>
          <w:color w:val="auto"/>
          <w:sz w:val="21"/>
          <w:highlight w:val="none"/>
          <w:u w:val="single"/>
          <w:lang w:eastAsia="zh-CN"/>
        </w:rPr>
      </w:pPr>
      <w:r>
        <w:rPr>
          <w:rFonts w:hint="eastAsia" w:ascii="宋体" w:hAnsi="宋体" w:eastAsia="等线" w:cs="宋体"/>
          <w:bCs/>
          <w:color w:val="auto"/>
          <w:sz w:val="21"/>
          <w:highlight w:val="none"/>
          <w:lang w:eastAsia="zh-CN"/>
        </w:rPr>
        <w:t xml:space="preserve">逾期退还履约保证金的违约责任：</w:t>
      </w:r>
      <w:r>
        <w:rPr>
          <w:rFonts w:hint="eastAsia" w:ascii="宋体" w:hAnsi="宋体" w:eastAsia="等线" w:cs="宋体"/>
          <w:bCs/>
          <w:color w:val="auto"/>
          <w:sz w:val="21"/>
          <w:highlight w:val="none"/>
          <w:u w:val="single"/>
          <w:lang w:eastAsia="zh-CN"/>
        </w:rPr>
        <w:t xml:space="preserve">承担履约保证金金额千分之二/天的违约金。 </w:t>
      </w:r>
      <w:r/>
    </w:p>
    <w:p>
      <w:pPr>
        <w:ind w:firstLine="420"/>
        <w:jc w:val="both"/>
        <w:spacing w:line="400" w:lineRule="exact"/>
        <w:widowControl w:val="off"/>
        <w:rPr>
          <w:rFonts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（4）分期履行要求：</w:t>
      </w:r>
      <w:r>
        <w:rPr>
          <w:rFonts w:hint="eastAsia" w:ascii="宋体" w:hAnsi="宋体" w:eastAsia="等线" w:cs="宋体"/>
          <w:bCs/>
          <w:color w:val="auto"/>
          <w:sz w:val="21"/>
          <w:highlight w:val="none"/>
          <w:u w:val="single"/>
          <w:lang w:eastAsia="zh-CN"/>
        </w:rPr>
        <w:t xml:space="preserve">                                                        </w:t>
      </w:r>
      <w:r/>
    </w:p>
    <w:p>
      <w:pPr>
        <w:ind w:firstLine="420"/>
        <w:jc w:val="both"/>
        <w:spacing w:line="400" w:lineRule="exact"/>
        <w:widowControl w:val="off"/>
        <w:rPr>
          <w:rFonts w:ascii="宋体" w:hAnsi="宋体" w:eastAsia="等线" w:cs="宋体"/>
          <w:color w:val="auto"/>
          <w:sz w:val="21"/>
          <w:highlight w:val="none"/>
          <w:u w:val="single"/>
          <w:lang w:eastAsia="zh-CN"/>
        </w:rPr>
      </w:pPr>
      <w:r>
        <w:rPr>
          <w:rFonts w:hint="eastAsia" w:ascii="宋体" w:hAnsi="宋体" w:eastAsia="等线" w:cs="宋体"/>
          <w:bCs/>
          <w:color w:val="auto"/>
          <w:sz w:val="21"/>
          <w:highlight w:val="none"/>
          <w:lang w:eastAsia="zh-CN"/>
        </w:rPr>
        <w:t xml:space="preserve">（5）风险处置措施和替代方案：</w:t>
      </w:r>
      <w:r>
        <w:rPr>
          <w:rFonts w:hint="eastAsia" w:ascii="宋体" w:hAnsi="宋体" w:eastAsia="等线" w:cs="宋体"/>
          <w:color w:val="auto"/>
          <w:sz w:val="21"/>
          <w:highlight w:val="none"/>
          <w:u w:val="single"/>
          <w:lang w:eastAsia="zh-CN"/>
        </w:rPr>
        <w:t xml:space="preserve">                                                               </w:t>
      </w:r>
      <w:r/>
    </w:p>
    <w:p>
      <w:pPr>
        <w:numPr>
          <w:ilvl w:val="0"/>
          <w:numId w:val="11"/>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合同验收</w:t>
      </w:r>
      <w:r/>
    </w:p>
    <w:p>
      <w:pPr>
        <w:numPr>
          <w:ilvl w:val="0"/>
          <w:numId w:val="13"/>
        </w:numPr>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验收组织方式：</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自行组织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委托第三方组织</w:t>
      </w:r>
      <w:r/>
    </w:p>
    <w:p>
      <w:pPr>
        <w:ind w:firstLine="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         验收主体：</w:t>
      </w:r>
      <w:r>
        <w:rPr>
          <w:rFonts w:hint="eastAsia" w:ascii="宋体" w:hAnsi="宋体" w:eastAsia="等线" w:cs="Times New Roman"/>
          <w:bCs/>
          <w:color w:val="auto"/>
          <w:sz w:val="21"/>
          <w:highlight w:val="none"/>
          <w:u w:val="single"/>
          <w:lang w:eastAsia="zh-CN"/>
        </w:rPr>
        <w:t xml:space="preserve">                  </w:t>
      </w:r>
      <w:r/>
    </w:p>
    <w:p>
      <w:pPr>
        <w:ind w:firstLine="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        是否邀请本项目的其他供应商参加验收：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是否邀请专家参加验收：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是否邀请服务对象参加验收：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是否邀请第三方检测机构参加验收：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是否进行抽查检测：</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是，抽查比例：</w:t>
      </w:r>
      <w:r>
        <w:rPr>
          <w:rFonts w:hint="eastAsia" w:ascii="宋体" w:hAnsi="宋体" w:eastAsia="等线" w:cs="Times New Roman"/>
          <w:bCs/>
          <w:color w:val="auto"/>
          <w:sz w:val="21"/>
          <w:highlight w:val="none"/>
          <w:u w:val="single"/>
          <w:lang w:eastAsia="zh-CN"/>
        </w:rPr>
        <w:t xml:space="preserve">        </w:t>
      </w:r>
      <w:r>
        <w:rPr>
          <w:rFonts w:hint="eastAsia" w:ascii="宋体" w:hAnsi="宋体" w:eastAsia="等线" w:cs="Times New Roman"/>
          <w:b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cs="Times New Roman"/>
          <w:bCs/>
          <w:color w:val="auto"/>
          <w:sz w:val="21"/>
          <w:highlight w:val="none"/>
          <w:u w:val="single"/>
          <w:lang w:eastAsia="zh-CN"/>
        </w:rPr>
      </w:pPr>
      <w:r>
        <w:rPr>
          <w:rFonts w:hint="eastAsia" w:ascii="宋体" w:hAnsi="宋体" w:cs="Times New Roman"/>
          <w:bCs/>
          <w:color w:val="auto"/>
          <w:sz w:val="21"/>
          <w:highlight w:val="none"/>
          <w:lang w:eastAsia="zh-CN"/>
        </w:rPr>
        <w:t xml:space="preserve">是否存在破坏性检测：</w:t>
      </w:r>
      <w:r>
        <w:rPr>
          <w:rFonts w:ascii="Wingdings" w:hAnsi="Wingdings" w:eastAsia="Wingdings" w:cs="Wingdings"/>
          <w:color w:val="auto"/>
          <w:sz w:val="21"/>
          <w:highlight w:val="none"/>
          <w:lang w:eastAsia="zh-CN"/>
        </w:rPr>
        <w:t xml:space="preserve"></w:t>
      </w:r>
      <w:r>
        <w:rPr>
          <w:rFonts w:hint="eastAsia" w:ascii="宋体" w:hAnsi="宋体" w:cs="Times New Roman"/>
          <w:bCs/>
          <w:color w:val="auto"/>
          <w:sz w:val="21"/>
          <w:highlight w:val="none"/>
          <w:lang w:eastAsia="zh-CN"/>
        </w:rPr>
        <w:t xml:space="preserve">是，</w:t>
      </w:r>
      <w:r>
        <w:rPr>
          <w:rFonts w:hint="eastAsia" w:ascii="宋体" w:hAnsi="宋体" w:cs="Times New Roman"/>
          <w:bCs/>
          <w:color w:val="auto"/>
          <w:sz w:val="21"/>
          <w:highlight w:val="none"/>
          <w:u w:val="single"/>
          <w:lang w:eastAsia="zh-CN"/>
        </w:rPr>
        <w:t xml:space="preserve">（应明确对被破坏的检测产品的处理方式）</w:t>
      </w:r>
      <w:r/>
    </w:p>
    <w:p>
      <w:pPr>
        <w:ind w:firstLine="840"/>
        <w:jc w:val="both"/>
        <w:spacing w:line="400" w:lineRule="exact"/>
        <w:widowControl w:val="off"/>
        <w:rPr>
          <w:rFonts w:ascii="宋体" w:hAnsi="宋体" w:cs="Times New Roman"/>
          <w:bCs/>
          <w:color w:val="auto"/>
          <w:sz w:val="21"/>
          <w:highlight w:val="none"/>
          <w:lang w:eastAsia="zh-CN"/>
        </w:rPr>
      </w:pPr>
      <w:r>
        <w:rPr>
          <w:rFonts w:hint="eastAsia" w:ascii="宋体" w:hAnsi="宋体" w:cs="Times New Roman"/>
          <w:b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验收组织的其他事项：</w:t>
      </w:r>
      <w:r>
        <w:rPr>
          <w:rFonts w:hint="eastAsia" w:ascii="宋体" w:hAnsi="宋体" w:eastAsia="等线" w:cs="Times New Roman"/>
          <w:bCs/>
          <w:color w:val="auto"/>
          <w:sz w:val="21"/>
          <w:highlight w:val="none"/>
          <w:u w:val="single"/>
          <w:lang w:eastAsia="zh-CN"/>
        </w:rPr>
        <w:t xml:space="preserve">                </w:t>
      </w:r>
      <w:r/>
    </w:p>
    <w:p>
      <w:pPr>
        <w:ind w:firstLine="420"/>
        <w:jc w:val="both"/>
        <w:spacing w:line="400" w:lineRule="exact"/>
        <w:widowControl w:val="off"/>
        <w:rPr>
          <w:rFonts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（2）履约验收时间：</w:t>
      </w:r>
      <w:r>
        <w:rPr>
          <w:rFonts w:hint="eastAsia" w:ascii="宋体" w:hAnsi="宋体" w:eastAsia="等线" w:cs="Times New Roman"/>
          <w:bCs/>
          <w:color w:val="auto"/>
          <w:sz w:val="21"/>
          <w:highlight w:val="none"/>
          <w:u w:val="single"/>
          <w:lang w:eastAsia="zh-CN"/>
        </w:rPr>
        <w:t xml:space="preserve">（计划于何时验收/供应商提出验收申请之日起   日内组织验收） </w:t>
      </w:r>
      <w:r/>
    </w:p>
    <w:p>
      <w:pPr>
        <w:ind w:firstLine="42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（3）履约验收方式：</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一次性验收         </w:t>
      </w:r>
      <w:r/>
    </w:p>
    <w:p>
      <w:pPr>
        <w:ind w:firstLine="0"/>
        <w:jc w:val="both"/>
        <w:spacing w:line="400" w:lineRule="exact"/>
        <w:widowControl w:val="off"/>
        <w:rPr>
          <w:rFonts w:ascii="宋体" w:hAnsi="宋体"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分期/分项验收：</w:t>
      </w:r>
      <w:r>
        <w:rPr>
          <w:rFonts w:hint="eastAsia" w:ascii="宋体" w:hAnsi="宋体" w:eastAsia="等线" w:cs="Times New Roman"/>
          <w:bCs/>
          <w:color w:val="auto"/>
          <w:sz w:val="21"/>
          <w:highlight w:val="none"/>
          <w:u w:val="single"/>
          <w:lang w:eastAsia="zh-CN"/>
        </w:rPr>
        <w:t xml:space="preserve"> （应明确分期</w:t>
      </w:r>
      <w:r>
        <w:rPr>
          <w:rFonts w:ascii="宋体" w:hAnsi="宋体" w:eastAsia="等线" w:cs="Times New Roman"/>
          <w:bCs/>
          <w:color w:val="auto"/>
          <w:sz w:val="21"/>
          <w:highlight w:val="none"/>
          <w:u w:val="single"/>
          <w:lang w:val="en" w:eastAsia="zh-CN"/>
        </w:rPr>
        <w:t xml:space="preserve">/</w:t>
      </w:r>
      <w:r>
        <w:rPr>
          <w:rFonts w:hint="eastAsia" w:ascii="宋体" w:hAnsi="宋体" w:eastAsia="等线" w:cs="Times New Roman"/>
          <w:bCs/>
          <w:color w:val="auto"/>
          <w:sz w:val="21"/>
          <w:highlight w:val="none"/>
          <w:u w:val="single"/>
          <w:lang w:val="en" w:eastAsia="zh-CN"/>
        </w:rPr>
        <w:t xml:space="preserve">分项验收的工作安排</w:t>
      </w:r>
      <w:r>
        <w:rPr>
          <w:rFonts w:hint="eastAsia" w:ascii="宋体" w:hAnsi="宋体" w:eastAsia="等线" w:cs="Times New Roman"/>
          <w:bCs/>
          <w:color w:val="auto"/>
          <w:sz w:val="21"/>
          <w:highlight w:val="none"/>
          <w:u w:val="single"/>
          <w:lang w:eastAsia="zh-CN"/>
        </w:rPr>
        <w:t xml:space="preserve">）  </w:t>
      </w:r>
      <w:r/>
    </w:p>
    <w:p>
      <w:pPr>
        <w:ind w:firstLine="42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（4）履约验收程序：</w:t>
      </w:r>
      <w:r>
        <w:rPr>
          <w:rFonts w:hint="eastAsia" w:ascii="宋体" w:hAnsi="宋体" w:eastAsia="等线" w:cs="Times New Roman"/>
          <w:bCs/>
          <w:color w:val="auto"/>
          <w:sz w:val="21"/>
          <w:highlight w:val="none"/>
          <w:u w:val="single"/>
          <w:lang w:eastAsia="zh-CN"/>
        </w:rPr>
        <w:t xml:space="preserve">                                         </w:t>
      </w:r>
      <w:r/>
    </w:p>
    <w:p>
      <w:pPr>
        <w:ind w:firstLine="420"/>
        <w:jc w:val="both"/>
        <w:spacing w:line="400" w:lineRule="exact"/>
        <w:widowControl w:val="off"/>
        <w:rPr>
          <w:rFonts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（5）履约验收的内容：</w:t>
      </w:r>
      <w:r>
        <w:rPr>
          <w:rFonts w:hint="eastAsia" w:ascii="宋体" w:hAnsi="宋体" w:eastAsia="等线" w:cs="Times New Roman"/>
          <w:bCs/>
          <w:color w:val="auto"/>
          <w:sz w:val="21"/>
          <w:highlight w:val="none"/>
          <w:u w:val="single"/>
          <w:lang w:eastAsia="zh-CN"/>
        </w:rPr>
        <w:t xml:space="preserve"> （应当包括每一项技术和商务要求的履约情况，特别是落实政府采购扶持中小企业，支持绿色发展和乡村振兴等政策情况）                                      </w:t>
      </w:r>
      <w:r/>
    </w:p>
    <w:p>
      <w:pPr>
        <w:ind w:firstLine="420"/>
        <w:jc w:val="both"/>
        <w:spacing w:line="400" w:lineRule="exact"/>
        <w:widowControl w:val="off"/>
        <w:rPr>
          <w:rFonts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（6）履约验收标准：</w:t>
      </w:r>
      <w:r>
        <w:rPr>
          <w:rFonts w:hint="eastAsia" w:ascii="宋体" w:hAnsi="宋体" w:eastAsia="等线" w:cs="Times New Roman"/>
          <w:bCs/>
          <w:color w:val="auto"/>
          <w:sz w:val="21"/>
          <w:highlight w:val="none"/>
          <w:u w:val="single"/>
          <w:lang w:eastAsia="zh-CN"/>
        </w:rPr>
        <w:t xml:space="preserve">                                         </w:t>
      </w:r>
      <w:r/>
    </w:p>
    <w:p>
      <w:pPr>
        <w:ind w:firstLine="440"/>
        <w:spacing w:line="400" w:lineRule="exact"/>
        <w:rPr>
          <w:rFonts w:ascii="宋体" w:hAnsi="宋体" w:cs="宋体"/>
          <w:color w:val="auto"/>
          <w:sz w:val="21"/>
          <w:highlight w:val="none"/>
          <w:lang w:eastAsia="zh-CN"/>
        </w:rPr>
      </w:pPr>
      <w:r>
        <w:rPr>
          <w:rFonts w:hint="eastAsia" w:ascii="宋体" w:hAnsi="宋体" w:cs="宋体"/>
          <w:bCs/>
          <w:color w:val="auto"/>
          <w:sz w:val="21"/>
          <w:highlight w:val="none"/>
          <w:lang w:eastAsia="zh-CN"/>
        </w:rPr>
        <w:t xml:space="preserve">（7）是否以采购活动中供应商提供的样品作为参考：</w:t>
      </w:r>
      <w:r>
        <w:rPr>
          <w:rFonts w:ascii="Wingdings" w:hAnsi="Wingdings" w:eastAsia="Wingdings" w:cs="Wingdings"/>
          <w:color w:val="auto"/>
          <w:sz w:val="21"/>
          <w:highlight w:val="none"/>
          <w:lang w:eastAsia="zh-CN"/>
        </w:rPr>
        <w:t xml:space="preserve"></w:t>
      </w:r>
      <w:r>
        <w:rPr>
          <w:rFonts w:hint="eastAsia" w:ascii="宋体" w:hAnsi="宋体" w:cs="宋体"/>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宋体"/>
          <w:bCs/>
          <w:color w:val="auto"/>
          <w:sz w:val="21"/>
          <w:highlight w:val="none"/>
          <w:lang w:eastAsia="zh-CN"/>
        </w:rPr>
        <w:t xml:space="preserve">否</w:t>
      </w:r>
      <w:r/>
    </w:p>
    <w:p>
      <w:pPr>
        <w:ind w:firstLine="420"/>
        <w:jc w:val="both"/>
        <w:spacing w:line="400" w:lineRule="exact"/>
        <w:widowControl w:val="off"/>
        <w:rPr>
          <w:rFonts w:ascii="宋体" w:hAnsi="宋体" w:eastAsia="等线" w:cs="宋体"/>
          <w:bCs/>
          <w:color w:val="auto"/>
          <w:sz w:val="21"/>
          <w:highlight w:val="none"/>
          <w:u w:val="single"/>
          <w:lang w:eastAsia="zh-CN"/>
        </w:rPr>
      </w:pPr>
      <w:r>
        <w:rPr>
          <w:rFonts w:hint="eastAsia" w:ascii="宋体" w:hAnsi="宋体" w:eastAsia="等线" w:cs="宋体"/>
          <w:bCs/>
          <w:color w:val="auto"/>
          <w:sz w:val="21"/>
          <w:highlight w:val="none"/>
          <w:lang w:eastAsia="zh-CN"/>
        </w:rPr>
        <w:t xml:space="preserve">（8）履约验收其他事项：</w:t>
      </w:r>
      <w:r>
        <w:rPr>
          <w:rFonts w:hint="eastAsia" w:ascii="宋体" w:hAnsi="宋体" w:eastAsia="等线" w:cs="宋体"/>
          <w:bCs/>
          <w:color w:val="auto"/>
          <w:sz w:val="21"/>
          <w:highlight w:val="none"/>
          <w:u w:val="single"/>
          <w:lang w:eastAsia="zh-CN"/>
        </w:rPr>
        <w:t xml:space="preserve">      （产权过户登记等）          </w:t>
      </w:r>
      <w:r/>
    </w:p>
    <w:p>
      <w:pPr>
        <w:numPr>
          <w:ilvl w:val="0"/>
          <w:numId w:val="11"/>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组成合同的文件</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本协议书与下列文件一起构成合同文件，如下述文件之间有任何抵触、矛盾或歧义，应按以下顺序解释：</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（1）政府采购合同协议书及其变更、补充协议</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（2）政府采购合同专用条款</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（3）政府采购合同通用条款</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（4）中标（成交）通知书</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（5）投标（响应）文件</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（6）采购文件</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（7）有关技术文件，图纸</w:t>
      </w:r>
      <w:r/>
    </w:p>
    <w:p>
      <w:pPr>
        <w:ind w:firstLine="44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（8）国家法律、行政法规和规章制度规定或合同约定的作为合同组成部分的其他文件</w:t>
      </w:r>
      <w:r/>
    </w:p>
    <w:p>
      <w:pPr>
        <w:numPr>
          <w:ilvl w:val="0"/>
          <w:numId w:val="11"/>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合同生效</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本合同自</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生效。</w:t>
      </w:r>
      <w:r/>
    </w:p>
    <w:p>
      <w:pPr>
        <w:numPr>
          <w:ilvl w:val="0"/>
          <w:numId w:val="11"/>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合同份数</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本合同一式</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份，甲方执</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份，乙方执</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份，均具有同等法律效力。</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合同订立时间：</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年</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月</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日</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合同订立地点：</w:t>
      </w:r>
      <w:r>
        <w:rPr>
          <w:rFonts w:hint="eastAsia" w:ascii="宋体" w:hAnsi="宋体" w:eastAsia="等线" w:cs="Times New Roman"/>
          <w:color w:val="auto"/>
          <w:sz w:val="21"/>
          <w:highlight w:val="none"/>
          <w:u w:val="single"/>
          <w:lang w:eastAsia="zh-CN"/>
        </w:rPr>
        <w:t xml:space="preserve">                           </w:t>
      </w:r>
      <w:r/>
    </w:p>
    <w:p>
      <w:pPr>
        <w:ind w:firstLine="420"/>
        <w:jc w:val="both"/>
        <w:spacing w:line="400" w:lineRule="exact"/>
        <w:widowControl w:val="off"/>
        <w:rPr>
          <w:rFonts w:ascii="等线" w:hAnsi="等线" w:eastAsia="等线" w:cs="Times New Roman"/>
          <w:color w:val="auto"/>
          <w:sz w:val="21"/>
          <w:szCs w:val="22"/>
          <w:highlight w:val="none"/>
          <w:lang w:eastAsia="zh-CN"/>
        </w:rPr>
      </w:pPr>
      <w:r>
        <w:rPr>
          <w:rFonts w:hint="eastAsia" w:ascii="宋体" w:hAnsi="宋体" w:eastAsia="等线" w:cs="Times New Roman"/>
          <w:color w:val="auto"/>
          <w:sz w:val="21"/>
          <w:highlight w:val="none"/>
          <w:lang w:eastAsia="zh-CN"/>
        </w:rPr>
        <w:t xml:space="preserve">附件：具体标的及其技术要求和商务要求、联合协议、分包意向协议等。</w:t>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Calibri" w:hAnsi="Calibri" w:cs="Times New Roman"/>
          <w:color w:val="auto"/>
          <w:sz w:val="21"/>
          <w:szCs w:val="22"/>
          <w:highlight w:val="none"/>
          <w:lang w:eastAsia="zh-CN"/>
        </w:rPr>
      </w:pPr>
      <w:r>
        <w:rPr>
          <w:rFonts w:ascii="Calibri" w:hAnsi="Calibri" w:cs="Times New Roman"/>
          <w:color w:val="auto"/>
          <w:sz w:val="21"/>
          <w:szCs w:val="22"/>
          <w:highlight w:val="none"/>
          <w:lang w:eastAsia="zh-CN"/>
        </w:rPr>
      </w:r>
      <w:r/>
    </w:p>
    <w:tbl>
      <w:tblPr>
        <w:tblStyle w:val="80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50"/>
        <w:gridCol w:w="2869"/>
        <w:gridCol w:w="2353"/>
        <w:gridCol w:w="2517"/>
      </w:tblGrid>
      <w:tr>
        <w:trPr>
          <w:trHeight w:val="490"/>
        </w:trPr>
        <w:tc>
          <w:tcPr>
            <w:gridSpan w:val="2"/>
            <w:tcBorders>
              <w:bottom w:val="single" w:color="auto" w:sz="2" w:space="0"/>
              <w:right w:val="single" w:color="auto" w:sz="2" w:space="0"/>
            </w:tcBorders>
            <w:tcW w:w="2562"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2"/>
                <w:highlight w:val="none"/>
                <w:lang w:eastAsia="zh-CN"/>
              </w:rPr>
              <w:suppressLineNumbers w:val="0"/>
            </w:pPr>
            <w:r>
              <w:rPr>
                <w:rFonts w:ascii="等线" w:hAnsi="等线" w:eastAsia="等线" w:cs="Times New Roman"/>
                <w:color w:val="auto"/>
                <w:sz w:val="21"/>
                <w:szCs w:val="20"/>
                <w:highlight w:val="none"/>
                <w:lang w:eastAsia="zh-CN"/>
              </w:rPr>
              <w:t xml:space="preserve">甲方</w:t>
            </w:r>
            <w:r>
              <w:rPr>
                <w:rFonts w:hint="eastAsia" w:ascii="等线" w:hAnsi="等线" w:eastAsia="等线" w:cs="Times New Roman"/>
                <w:color w:val="auto"/>
                <w:sz w:val="21"/>
                <w:szCs w:val="20"/>
                <w:highlight w:val="none"/>
                <w:lang w:eastAsia="zh-CN"/>
              </w:rPr>
              <w:t xml:space="preserve">（采购人</w:t>
            </w:r>
            <w:r>
              <w:rPr>
                <w:rFonts w:hint="eastAsia" w:ascii="宋体" w:hAnsi="宋体" w:eastAsia="等线" w:cs="Times New Roman"/>
                <w:color w:val="auto"/>
                <w:sz w:val="21"/>
                <w:szCs w:val="20"/>
                <w:highlight w:val="none"/>
                <w:lang w:eastAsia="zh-CN"/>
              </w:rPr>
              <w:t xml:space="preserve">、受采购人委托签订合同的单位或</w:t>
            </w:r>
            <w:r>
              <w:rPr>
                <w:rFonts w:hint="eastAsia" w:ascii="等线" w:hAnsi="等线" w:eastAsia="等线" w:cs="Times New Roman"/>
                <w:color w:val="auto"/>
                <w:sz w:val="21"/>
                <w:szCs w:val="20"/>
                <w:highlight w:val="none"/>
                <w:lang w:eastAsia="zh-CN"/>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2"/>
                <w:highlight w:val="none"/>
                <w:lang w:eastAsia="zh-CN"/>
              </w:rPr>
              <w:suppressLineNumbers w:val="0"/>
            </w:pPr>
            <w:r>
              <w:rPr>
                <w:rFonts w:ascii="等线" w:hAnsi="等线" w:eastAsia="等线" w:cs="Times New Roman"/>
                <w:color w:val="auto"/>
                <w:sz w:val="21"/>
                <w:szCs w:val="20"/>
                <w:highlight w:val="none"/>
                <w:lang w:eastAsia="zh-CN"/>
              </w:rPr>
              <w:t xml:space="preserve">乙方</w:t>
            </w:r>
            <w:r>
              <w:rPr>
                <w:rFonts w:hint="eastAsia" w:ascii="等线" w:hAnsi="等线" w:eastAsia="等线" w:cs="Times New Roman"/>
                <w:color w:val="auto"/>
                <w:sz w:val="21"/>
                <w:szCs w:val="20"/>
                <w:highlight w:val="none"/>
                <w:lang w:eastAsia="zh-CN"/>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t xml:space="preserve">单位名称</w:t>
            </w:r>
            <w:r>
              <w:rPr>
                <w:rFonts w:hint="eastAsia" w:ascii="等线" w:hAnsi="等线" w:eastAsia="等线" w:cs="Times New Roman"/>
                <w:color w:val="auto"/>
                <w:sz w:val="21"/>
                <w:szCs w:val="20"/>
                <w:highlight w:val="none"/>
                <w:lang w:eastAsia="zh-CN"/>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t xml:space="preserve">单位名称</w:t>
            </w:r>
            <w:r>
              <w:rPr>
                <w:rFonts w:hint="eastAsia" w:ascii="等线" w:hAnsi="等线" w:eastAsia="等线" w:cs="Times New Roman"/>
                <w:color w:val="auto"/>
                <w:sz w:val="21"/>
                <w:szCs w:val="20"/>
                <w:highlight w:val="none"/>
                <w:lang w:eastAsia="zh-CN"/>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pacing w:val="20"/>
                <w:sz w:val="21"/>
                <w:szCs w:val="20"/>
                <w:highlight w:val="none"/>
                <w:lang w:eastAsia="zh-CN"/>
              </w:rPr>
              <w:suppressLineNumbers w:val="0"/>
            </w:pPr>
            <w:r>
              <w:rPr>
                <w:rFonts w:ascii="等线" w:hAnsi="等线" w:eastAsia="等线" w:cs="Times New Roman"/>
                <w:color w:val="auto"/>
                <w:spacing w:val="20"/>
                <w:sz w:val="21"/>
                <w:szCs w:val="20"/>
                <w:highlight w:val="none"/>
                <w:lang w:eastAsia="zh-CN"/>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t xml:space="preserve">法定代表人</w:t>
            </w:r>
            <w:r/>
          </w:p>
          <w:p>
            <w:pPr>
              <w:ind w:left="0" w:right="0" w:firstLine="10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hint="eastAsia" w:ascii="等线" w:hAnsi="等线" w:eastAsia="等线" w:cs="Times New Roman"/>
                <w:color w:val="auto"/>
                <w:sz w:val="21"/>
                <w:szCs w:val="20"/>
                <w:highlight w:val="none"/>
                <w:lang w:eastAsia="zh-CN"/>
              </w:rPr>
              <w:t xml:space="preserve">或其</w:t>
            </w:r>
            <w:r>
              <w:rPr>
                <w:rFonts w:ascii="等线" w:hAnsi="等线" w:eastAsia="等线" w:cs="Times New Roman"/>
                <w:color w:val="auto"/>
                <w:sz w:val="21"/>
                <w:szCs w:val="20"/>
                <w:highlight w:val="none"/>
                <w:lang w:eastAsia="zh-CN"/>
              </w:rPr>
              <w:t xml:space="preserve">委托代理人</w:t>
            </w:r>
            <w:r>
              <w:rPr>
                <w:rFonts w:hint="eastAsia" w:ascii="等线" w:hAnsi="等线" w:eastAsia="等线" w:cs="Times New Roman"/>
                <w:color w:val="auto"/>
                <w:sz w:val="21"/>
                <w:szCs w:val="20"/>
                <w:highlight w:val="none"/>
                <w:lang w:eastAsia="zh-CN"/>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right w:val="single" w:color="auto" w:sz="2" w:space="0"/>
            </w:tcBorders>
            <w:tcW w:w="1178"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t xml:space="preserve">法定代表人</w:t>
            </w:r>
            <w:r/>
          </w:p>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hint="eastAsia" w:ascii="等线" w:hAnsi="等线" w:eastAsia="等线" w:cs="Times New Roman"/>
                <w:color w:val="auto"/>
                <w:sz w:val="21"/>
                <w:szCs w:val="20"/>
                <w:highlight w:val="none"/>
                <w:lang w:eastAsia="zh-CN"/>
              </w:rPr>
              <w:t xml:space="preserve">或其</w:t>
            </w:r>
            <w:r>
              <w:rPr>
                <w:rFonts w:ascii="等线" w:hAnsi="等线" w:eastAsia="等线" w:cs="Times New Roman"/>
                <w:color w:val="auto"/>
                <w:sz w:val="21"/>
                <w:szCs w:val="20"/>
                <w:highlight w:val="none"/>
                <w:lang w:eastAsia="zh-CN"/>
              </w:rPr>
              <w:t xml:space="preserve">委托代理人</w:t>
            </w:r>
            <w:r>
              <w:rPr>
                <w:rFonts w:hint="eastAsia" w:ascii="等线" w:hAnsi="等线" w:eastAsia="等线" w:cs="Times New Roman"/>
                <w:color w:val="auto"/>
                <w:sz w:val="21"/>
                <w:szCs w:val="20"/>
                <w:highlight w:val="none"/>
                <w:lang w:eastAsia="zh-CN"/>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cs="Times New Roman"/>
                <w:color w:val="auto"/>
                <w:sz w:val="21"/>
                <w:szCs w:val="20"/>
                <w:highlight w:val="none"/>
                <w:lang w:eastAsia="zh-CN"/>
              </w:rPr>
              <w:suppressLineNumbers w:val="0"/>
            </w:pPr>
            <w:r>
              <w:rPr>
                <w:rFonts w:hint="eastAsia" w:ascii="等线" w:hAnsi="等线" w:eastAsia="等线" w:cs="Times New Roman"/>
                <w:color w:val="auto"/>
                <w:sz w:val="21"/>
                <w:szCs w:val="20"/>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pacing w:val="20"/>
                <w:sz w:val="21"/>
                <w:szCs w:val="20"/>
                <w:highlight w:val="none"/>
                <w:lang w:eastAsia="zh-CN"/>
              </w:rPr>
              <w:suppressLineNumbers w:val="0"/>
            </w:pPr>
            <w:r>
              <w:rPr>
                <w:rFonts w:ascii="等线" w:hAnsi="等线" w:eastAsia="等线" w:cs="Times New Roman"/>
                <w:color w:val="auto"/>
                <w:spacing w:val="20"/>
                <w:sz w:val="21"/>
                <w:szCs w:val="20"/>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cs="Times New Roman"/>
                <w:color w:val="auto"/>
                <w:sz w:val="21"/>
                <w:szCs w:val="20"/>
                <w:highlight w:val="none"/>
                <w:lang w:eastAsia="zh-CN"/>
              </w:rPr>
              <w:suppressLineNumbers w:val="0"/>
            </w:pPr>
            <w:r>
              <w:rPr>
                <w:rFonts w:hint="eastAsia" w:ascii="等线" w:hAnsi="等线" w:eastAsia="等线" w:cs="Times New Roman"/>
                <w:color w:val="auto"/>
                <w:sz w:val="21"/>
                <w:szCs w:val="20"/>
                <w:highlight w:val="none"/>
                <w:lang w:eastAsia="zh-CN"/>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cs="Times New Roman"/>
                <w:color w:val="auto"/>
                <w:sz w:val="21"/>
                <w:szCs w:val="20"/>
                <w:highlight w:val="none"/>
                <w:lang w:eastAsia="zh-CN"/>
              </w:rPr>
              <w:suppressLineNumbers w:val="0"/>
            </w:pPr>
            <w:r>
              <w:rPr>
                <w:rFonts w:hint="eastAsia" w:ascii="等线" w:hAnsi="等线" w:eastAsia="等线" w:cs="Times New Roman"/>
                <w:color w:val="auto"/>
                <w:sz w:val="21"/>
                <w:szCs w:val="20"/>
                <w:highlight w:val="none"/>
                <w:lang w:eastAsia="zh-CN"/>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pacing w:val="20"/>
                <w:sz w:val="21"/>
                <w:szCs w:val="20"/>
                <w:highlight w:val="none"/>
                <w:lang w:eastAsia="zh-CN"/>
              </w:rPr>
              <w:suppressLineNumbers w:val="0"/>
            </w:pPr>
            <w:r>
              <w:rPr>
                <w:rFonts w:ascii="等线" w:hAnsi="等线" w:eastAsia="等线" w:cs="Times New Roman"/>
                <w:color w:val="auto"/>
                <w:spacing w:val="20"/>
                <w:sz w:val="21"/>
                <w:szCs w:val="20"/>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pacing w:val="20"/>
                <w:sz w:val="21"/>
                <w:szCs w:val="20"/>
                <w:highlight w:val="none"/>
                <w:lang w:eastAsia="zh-CN"/>
              </w:rPr>
              <w:suppressLineNumbers w:val="0"/>
            </w:pPr>
            <w:r>
              <w:rPr>
                <w:rFonts w:ascii="等线" w:hAnsi="等线" w:eastAsia="等线" w:cs="Times New Roman"/>
                <w:color w:val="auto"/>
                <w:spacing w:val="20"/>
                <w:sz w:val="21"/>
                <w:szCs w:val="20"/>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pacing w:val="20"/>
                <w:sz w:val="21"/>
                <w:szCs w:val="20"/>
                <w:highlight w:val="none"/>
                <w:lang w:eastAsia="zh-CN"/>
              </w:rPr>
              <w:suppressLineNumbers w:val="0"/>
            </w:pPr>
            <w:r>
              <w:rPr>
                <w:rFonts w:ascii="等线" w:hAnsi="等线" w:eastAsia="等线" w:cs="Times New Roman"/>
                <w:color w:val="auto"/>
                <w:spacing w:val="20"/>
                <w:sz w:val="21"/>
                <w:szCs w:val="20"/>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cs="Times New Roman"/>
                <w:color w:val="auto"/>
                <w:sz w:val="21"/>
                <w:szCs w:val="20"/>
                <w:highlight w:val="none"/>
                <w:lang w:eastAsia="zh-CN"/>
              </w:rPr>
              <w:suppressLineNumbers w:val="0"/>
            </w:pPr>
            <w:r>
              <w:rPr>
                <w:rFonts w:hint="eastAsia" w:ascii="等线" w:hAnsi="等线" w:eastAsia="等线" w:cs="Times New Roman"/>
                <w:color w:val="auto"/>
                <w:sz w:val="21"/>
                <w:szCs w:val="20"/>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hint="eastAsia" w:ascii="等线" w:hAnsi="等线" w:eastAsia="等线" w:cs="Times New Roman"/>
                <w:color w:val="auto"/>
                <w:sz w:val="21"/>
                <w:szCs w:val="20"/>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pacing w:val="20"/>
                <w:sz w:val="21"/>
                <w:szCs w:val="20"/>
                <w:highlight w:val="none"/>
                <w:lang w:eastAsia="zh-CN"/>
              </w:rPr>
              <w:suppressLineNumbers w:val="0"/>
            </w:pPr>
            <w:r>
              <w:rPr>
                <w:rFonts w:ascii="等线" w:hAnsi="等线" w:eastAsia="等线" w:cs="Times New Roman"/>
                <w:color w:val="auto"/>
                <w:spacing w:val="20"/>
                <w:sz w:val="21"/>
                <w:szCs w:val="20"/>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pacing w:val="20"/>
                <w:sz w:val="21"/>
                <w:szCs w:val="20"/>
                <w:highlight w:val="none"/>
                <w:lang w:eastAsia="zh-CN"/>
              </w:rPr>
              <w:suppressLineNumbers w:val="0"/>
            </w:pPr>
            <w:r>
              <w:rPr>
                <w:rFonts w:ascii="等线" w:hAnsi="等线" w:eastAsia="等线" w:cs="Times New Roman"/>
                <w:color w:val="auto"/>
                <w:spacing w:val="20"/>
                <w:sz w:val="21"/>
                <w:szCs w:val="20"/>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hint="eastAsia" w:ascii="等线" w:hAnsi="等线" w:eastAsia="等线" w:cs="Times New Roman"/>
                <w:color w:val="auto"/>
                <w:sz w:val="21"/>
                <w:szCs w:val="20"/>
                <w:highlight w:val="none"/>
                <w:lang w:eastAsia="zh-CN"/>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hint="eastAsia" w:ascii="等线" w:hAnsi="等线" w:eastAsia="等线" w:cs="Times New Roman"/>
                <w:color w:val="auto"/>
                <w:sz w:val="21"/>
                <w:szCs w:val="20"/>
                <w:highlight w:val="none"/>
                <w:lang w:eastAsia="zh-CN"/>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pacing w:val="20"/>
                <w:sz w:val="21"/>
                <w:szCs w:val="20"/>
                <w:highlight w:val="none"/>
                <w:lang w:eastAsia="zh-CN"/>
              </w:rPr>
              <w:suppressLineNumbers w:val="0"/>
            </w:pPr>
            <w:r>
              <w:rPr>
                <w:rFonts w:ascii="等线" w:hAnsi="等线" w:eastAsia="等线" w:cs="Times New Roman"/>
                <w:color w:val="auto"/>
                <w:spacing w:val="20"/>
                <w:sz w:val="21"/>
                <w:szCs w:val="20"/>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hint="eastAsia" w:ascii="等线" w:hAnsi="等线" w:eastAsia="等线" w:cs="Times New Roman"/>
                <w:color w:val="auto"/>
                <w:sz w:val="21"/>
                <w:szCs w:val="20"/>
                <w:highlight w:val="none"/>
                <w:lang w:eastAsia="zh-CN"/>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hint="eastAsia" w:ascii="等线" w:hAnsi="等线" w:eastAsia="等线" w:cs="Times New Roman"/>
                <w:color w:val="auto"/>
                <w:sz w:val="21"/>
                <w:szCs w:val="20"/>
                <w:highlight w:val="none"/>
                <w:lang w:eastAsia="zh-CN"/>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pacing w:val="20"/>
                <w:sz w:val="21"/>
                <w:szCs w:val="20"/>
                <w:highlight w:val="none"/>
                <w:lang w:eastAsia="zh-CN"/>
              </w:rPr>
              <w:suppressLineNumbers w:val="0"/>
            </w:pPr>
            <w:r>
              <w:rPr>
                <w:rFonts w:ascii="等线" w:hAnsi="等线" w:eastAsia="等线" w:cs="Times New Roman"/>
                <w:color w:val="auto"/>
                <w:spacing w:val="20"/>
                <w:sz w:val="21"/>
                <w:szCs w:val="20"/>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pacing w:val="20"/>
                <w:sz w:val="21"/>
                <w:szCs w:val="20"/>
                <w:highlight w:val="none"/>
                <w:lang w:eastAsia="zh-CN"/>
              </w:rPr>
              <w:suppressLineNumbers w:val="0"/>
            </w:pPr>
            <w:r>
              <w:rPr>
                <w:rFonts w:ascii="等线" w:hAnsi="等线" w:eastAsia="等线" w:cs="Times New Roman"/>
                <w:color w:val="auto"/>
                <w:spacing w:val="20"/>
                <w:sz w:val="21"/>
                <w:szCs w:val="20"/>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pacing w:val="20"/>
                <w:sz w:val="21"/>
                <w:szCs w:val="20"/>
                <w:highlight w:val="none"/>
                <w:lang w:eastAsia="zh-CN"/>
              </w:rPr>
              <w:suppressLineNumbers w:val="0"/>
            </w:pPr>
            <w:r>
              <w:rPr>
                <w:rFonts w:ascii="等线" w:hAnsi="等线" w:eastAsia="等线" w:cs="Times New Roman"/>
                <w:color w:val="auto"/>
                <w:spacing w:val="20"/>
                <w:sz w:val="21"/>
                <w:szCs w:val="20"/>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pacing w:val="20"/>
                <w:sz w:val="21"/>
                <w:szCs w:val="20"/>
                <w:highlight w:val="none"/>
                <w:lang w:eastAsia="zh-CN"/>
              </w:rPr>
              <w:suppressLineNumbers w:val="0"/>
            </w:pPr>
            <w:r>
              <w:rPr>
                <w:rFonts w:ascii="等线" w:hAnsi="等线" w:eastAsia="等线" w:cs="Times New Roman"/>
                <w:color w:val="auto"/>
                <w:spacing w:val="20"/>
                <w:sz w:val="21"/>
                <w:szCs w:val="20"/>
                <w:highlight w:val="none"/>
                <w:lang w:eastAsia="zh-CN"/>
              </w:rPr>
            </w:r>
            <w:r/>
          </w:p>
        </w:tc>
      </w:tr>
      <w:tr>
        <w:trPr>
          <w:trHeight w:val="586"/>
        </w:trPr>
        <w:tc>
          <w:tcPr>
            <w:gridSpan w:val="4"/>
            <w:tcBorders>
              <w:top w:val="single" w:color="auto" w:sz="2" w:space="0"/>
            </w:tcBorders>
            <w:tcW w:w="5000" w:type="pct"/>
            <w:vAlign w:val="center"/>
            <w:textDirection w:val="lrTb"/>
            <w:noWrap w:val="false"/>
          </w:tcPr>
          <w:p>
            <w:pPr>
              <w:ind w:left="0" w:right="0" w:firstLine="0"/>
              <w:keepLines w:val="0"/>
              <w:keepNext w:val="0"/>
              <w:spacing w:before="156" w:beforeAutospacing="0" w:after="0" w:afterAutospacing="0"/>
              <w:widowControl w:val="off"/>
              <w:rPr>
                <w:rFonts w:ascii="等线" w:hAnsi="等线" w:eastAsia="等线" w:cs="Times New Roman"/>
                <w:color w:val="auto"/>
                <w:spacing w:val="20"/>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注：涉及联合体或其他合同主体的信息应按上表格式加列。</w:t>
            </w:r>
            <w:r/>
          </w:p>
        </w:tc>
      </w:tr>
    </w:tbl>
    <w:p>
      <w:pPr>
        <w:ind w:firstLine="0"/>
        <w:jc w:val="center"/>
        <w:keepLines/>
        <w:keepNext/>
        <w:spacing w:before="156" w:after="200" w:line="240" w:lineRule="auto"/>
        <w:widowControl w:val="off"/>
        <w:rPr>
          <w:rFonts w:ascii="黑体" w:hAnsi="黑体" w:eastAsia="黑体"/>
          <w:color w:val="auto"/>
          <w:sz w:val="28"/>
          <w:szCs w:val="28"/>
          <w:highlight w:val="none"/>
          <w:lang w:eastAsia="zh-CN"/>
        </w:rPr>
        <w:outlineLvl w:val="1"/>
      </w:pPr>
      <w:r>
        <w:rPr>
          <w:rFonts w:ascii="宋体" w:hAnsi="宋体" w:eastAsia="Arial"/>
          <w:color w:val="auto"/>
          <w:sz w:val="21"/>
          <w:highlight w:val="none"/>
          <w:u w:val="single"/>
          <w:lang w:eastAsia="zh-CN"/>
        </w:rPr>
        <w:br w:type="page" w:clear="all"/>
      </w:r>
      <w:bookmarkStart w:id="6" w:name="_Toc27624"/>
      <w:r>
        <w:rPr>
          <w:rFonts w:hint="eastAsia" w:ascii="黑体" w:hAnsi="黑体" w:eastAsia="黑体"/>
          <w:color w:val="auto"/>
          <w:sz w:val="28"/>
          <w:szCs w:val="28"/>
          <w:highlight w:val="none"/>
          <w:lang w:eastAsia="zh-CN"/>
        </w:rPr>
        <w:t xml:space="preserve">第二节 政府采购合同通用条款</w:t>
      </w:r>
      <w:bookmarkEnd w:id="6"/>
      <w:r/>
      <w:r/>
    </w:p>
    <w:p>
      <w:pPr>
        <w:ind w:firstLine="0"/>
        <w:keepLines w:val="0"/>
        <w:keepNext w:val="0"/>
        <w:pageBreakBefore w:val="0"/>
        <w:spacing w:line="360" w:lineRule="auto"/>
        <w:widowControl w:val="off"/>
        <w:tabs>
          <w:tab w:val="left" w:pos="8820" w:leader="none"/>
          <w:tab w:val="left" w:pos="9345" w:leader="none"/>
          <w:tab w:val="left" w:pos="9765" w:leader="none"/>
        </w:tabs>
        <w:rPr>
          <w:rFonts w:ascii="宋体" w:hAnsi="宋体" w:cs="宋体"/>
          <w:b/>
          <w:bCs/>
          <w:color w:val="auto"/>
          <w:szCs w:val="22"/>
          <w:highlight w:val="none"/>
          <w:lang w:eastAsia="zh-CN"/>
        </w:rPr>
      </w:pPr>
      <w:r>
        <w:rPr>
          <w:rFonts w:hint="eastAsia" w:ascii="宋体" w:hAnsi="宋体" w:cs="宋体"/>
          <w:b/>
          <w:color w:val="auto"/>
          <w:szCs w:val="22"/>
          <w:highlight w:val="none"/>
          <w:lang w:eastAsia="zh-CN"/>
        </w:rPr>
        <w:t xml:space="preserve">1. </w:t>
      </w:r>
      <w:r>
        <w:rPr>
          <w:rFonts w:hint="eastAsia" w:ascii="宋体" w:hAnsi="宋体" w:cs="宋体"/>
          <w:b/>
          <w:bCs/>
          <w:color w:val="auto"/>
          <w:szCs w:val="22"/>
          <w:highlight w:val="none"/>
          <w:lang w:eastAsia="zh-CN"/>
        </w:rPr>
        <w:t xml:space="preserve">定义</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1.1合同当事人</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（1）采购人（以下称甲方）是指使用财政性资金，通过政府采购方式向供应商购买货物及其相关服务的国家机关、事业单位、团体组织。</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（2）供应商（以下称乙方）是指参加政府采购活动并且中标（成交），向采购人提供合同约定的货物及其相关服务的法人、非法人组织或者自然人。</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（3）其他合同主体是指除采购人和供应商以外，</w:t>
      </w:r>
      <w:r>
        <w:rPr>
          <w:rFonts w:hint="eastAsia" w:ascii="宋体" w:hAnsi="宋体" w:cs="宋体"/>
          <w:bCs/>
          <w:color w:val="auto"/>
          <w:sz w:val="21"/>
          <w:highlight w:val="none"/>
          <w:lang w:eastAsia="zh-CN"/>
        </w:rPr>
        <w:t xml:space="preserve">依法参与合同缔结或履行，享有权利、承担义务的合同当事人</w:t>
      </w:r>
      <w:r>
        <w:rPr>
          <w:rFonts w:hint="eastAsia" w:ascii="宋体" w:hAnsi="宋体" w:cs="宋体"/>
          <w:color w:val="auto"/>
          <w:sz w:val="21"/>
          <w:highlight w:val="none"/>
          <w:lang w:eastAsia="zh-CN"/>
        </w:rPr>
        <w:t xml:space="preserve">。</w:t>
      </w:r>
      <w:r/>
    </w:p>
    <w:p>
      <w:pPr>
        <w:ind w:firstLine="420"/>
        <w:keepLines w:val="0"/>
        <w:keepNext w:val="0"/>
        <w:pageBreakBefore w:val="0"/>
        <w:spacing w:line="360" w:lineRule="auto"/>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1.2本合同下列术语应解释为：</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（1）“合同”系指</w:t>
      </w:r>
      <w:r>
        <w:rPr>
          <w:rFonts w:hint="eastAsia" w:ascii="宋体" w:hAnsi="宋体" w:cs="宋体"/>
          <w:bCs/>
          <w:color w:val="auto"/>
          <w:sz w:val="21"/>
          <w:highlight w:val="none"/>
          <w:lang w:eastAsia="zh-CN"/>
        </w:rPr>
        <w:t xml:space="preserve">合同当事人意思表示达成一致的任何协议，包括签署的</w:t>
      </w:r>
      <w:r>
        <w:rPr>
          <w:rFonts w:hint="eastAsia" w:ascii="宋体" w:hAnsi="宋体" w:cs="宋体"/>
          <w:color w:val="auto"/>
          <w:sz w:val="21"/>
          <w:highlight w:val="none"/>
          <w:lang w:eastAsia="zh-CN"/>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keepLines w:val="0"/>
        <w:keepNext w:val="0"/>
        <w:pageBreakBefore w:val="0"/>
        <w:spacing w:line="360" w:lineRule="auto"/>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（2）“合同价款”系指根据本合同规定乙方在全面履行合同义务后甲方应支付给乙方的价款。</w:t>
      </w:r>
      <w:r/>
    </w:p>
    <w:p>
      <w:pPr>
        <w:ind w:firstLine="420"/>
        <w:keepLines w:val="0"/>
        <w:keepNext w:val="0"/>
        <w:pageBreakBefore w:val="0"/>
        <w:spacing w:line="360" w:lineRule="auto"/>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（3）“货物”系指乙方根据本合同规定须向甲方提供的各种形态和种类的物品，包括原材料、设备、产品（包括软件）及相关的备品备件、工具、手册及</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技术资料和材料等。</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（4）“相关服务”系指根据合同规定，乙方应提供的与货物有关的技术、管理和</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服务，包括但不限于：管理和质量保证、运输、保险、检验、现场准备、安装、集成、调试、培训、维修、废弃处置、技术支持等以及合同中规定乙方应承担的</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义务。</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（5）“分包”系指中标（成交）供应商按采购文件、投标（响应）文件的规定，根据分包意向协议，将中标（成交）项目中的部分履约内容，分给具有相应资质条件的供应商履行合同的行为。</w:t>
      </w:r>
      <w:r/>
    </w:p>
    <w:p>
      <w:pPr>
        <w:ind w:firstLine="420"/>
        <w:keepLines w:val="0"/>
        <w:keepNext w:val="0"/>
        <w:pageBreakBefore w:val="0"/>
        <w:spacing w:line="360" w:lineRule="auto"/>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w:t>
      </w:r>
      <w:r/>
    </w:p>
    <w:p>
      <w:pPr>
        <w:ind w:firstLine="420"/>
        <w:keepLines w:val="0"/>
        <w:keepNext w:val="0"/>
        <w:pageBreakBefore w:val="0"/>
        <w:spacing w:line="360" w:lineRule="auto"/>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（7）其他术语解释，见【</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w:t>
      </w:r>
      <w:r/>
    </w:p>
    <w:p>
      <w:pPr>
        <w:ind w:firstLine="0"/>
        <w:keepLines w:val="0"/>
        <w:keepNext w:val="0"/>
        <w:pageBreakBefore w:val="0"/>
        <w:spacing w:line="360" w:lineRule="auto"/>
        <w:widowControl w:val="off"/>
        <w:tabs>
          <w:tab w:val="left" w:pos="8820" w:leader="none"/>
          <w:tab w:val="left" w:pos="9345" w:leader="none"/>
          <w:tab w:val="left" w:pos="9765" w:leader="none"/>
        </w:tabs>
        <w:rPr>
          <w:rFonts w:hint="eastAsia" w:ascii="宋体" w:hAnsi="宋体" w:cs="宋体"/>
          <w:b/>
          <w:color w:val="auto"/>
          <w:szCs w:val="22"/>
          <w:highlight w:val="none"/>
          <w:lang w:eastAsia="zh-CN"/>
        </w:rPr>
      </w:pPr>
      <w:r>
        <w:rPr>
          <w:rFonts w:hint="eastAsia" w:ascii="宋体" w:hAnsi="宋体" w:cs="宋体"/>
          <w:b/>
          <w:color w:val="auto"/>
          <w:szCs w:val="22"/>
          <w:highlight w:val="none"/>
          <w:lang w:val="en-US" w:eastAsia="zh-CN"/>
        </w:rPr>
        <w:t xml:space="preserve">2.</w:t>
      </w:r>
      <w:r>
        <w:rPr>
          <w:rFonts w:hint="eastAsia" w:ascii="宋体" w:hAnsi="宋体" w:cs="宋体"/>
          <w:b/>
          <w:color w:val="auto"/>
          <w:szCs w:val="22"/>
          <w:highlight w:val="none"/>
          <w:lang w:eastAsia="zh-CN"/>
        </w:rPr>
        <w:t xml:space="preserve"> 合同标的及金额</w:t>
      </w:r>
      <w:r/>
    </w:p>
    <w:p>
      <w:pPr>
        <w:ind w:firstLine="420"/>
        <w:keepLines w:val="0"/>
        <w:keepNext w:val="0"/>
        <w:pageBreakBefore w:val="0"/>
        <w:spacing w:line="360" w:lineRule="auto"/>
        <w:widowControl w:val="off"/>
        <w:rPr>
          <w:rFonts w:ascii="宋体" w:hAnsi="宋体" w:cs="宋体"/>
          <w:b/>
          <w:bCs/>
          <w:i/>
          <w:iCs/>
          <w:color w:val="auto"/>
          <w:sz w:val="21"/>
          <w:highlight w:val="none"/>
          <w:lang w:eastAsia="zh-CN"/>
        </w:rPr>
      </w:pPr>
      <w:r>
        <w:rPr>
          <w:rFonts w:hint="eastAsia" w:ascii="宋体" w:hAnsi="宋体" w:cs="宋体"/>
          <w:color w:val="auto"/>
          <w:sz w:val="21"/>
          <w:highlight w:val="none"/>
          <w:lang w:eastAsia="zh-CN"/>
        </w:rPr>
        <w:t xml:space="preserve">2.1 合同标的及金额应与中标（成交）结果一致。乙方为履行本合同而发生的所有费用均应包含在合同价款中，甲方不再另行支付</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任何费用。</w:t>
      </w:r>
      <w:r/>
    </w:p>
    <w:p>
      <w:pPr>
        <w:ind w:firstLine="0"/>
        <w:keepLines w:val="0"/>
        <w:keepNext w:val="0"/>
        <w:pageBreakBefore w:val="0"/>
        <w:spacing w:line="360" w:lineRule="auto"/>
        <w:widowControl w:val="off"/>
        <w:tabs>
          <w:tab w:val="left" w:pos="8820" w:leader="none"/>
          <w:tab w:val="left" w:pos="9345" w:leader="none"/>
          <w:tab w:val="left" w:pos="9765" w:leader="none"/>
        </w:tabs>
        <w:rPr>
          <w:rFonts w:hint="eastAsia" w:ascii="宋体" w:hAnsi="宋体" w:cs="宋体"/>
          <w:b/>
          <w:color w:val="auto"/>
          <w:szCs w:val="22"/>
          <w:highlight w:val="none"/>
          <w:lang w:val="en-US" w:eastAsia="zh-CN"/>
        </w:rPr>
      </w:pPr>
      <w:r>
        <w:rPr>
          <w:rFonts w:hint="eastAsia" w:ascii="宋体" w:hAnsi="宋体" w:cs="宋体"/>
          <w:b/>
          <w:color w:val="auto"/>
          <w:szCs w:val="22"/>
          <w:highlight w:val="none"/>
          <w:lang w:val="en-US" w:eastAsia="zh-CN"/>
        </w:rPr>
        <w:t xml:space="preserve">3. 履行合同的时间、地点和方式</w:t>
      </w:r>
      <w:r/>
    </w:p>
    <w:p>
      <w:pPr>
        <w:ind w:firstLine="420"/>
        <w:keepLines w:val="0"/>
        <w:keepNext w:val="0"/>
        <w:pageBreakBefore w:val="0"/>
        <w:spacing w:line="360" w:lineRule="auto"/>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3.1 乙方应当在约定的时间、地点，按照约定方式履行合同。</w:t>
      </w:r>
      <w:r/>
    </w:p>
    <w:p>
      <w:pPr>
        <w:ind w:firstLine="0"/>
        <w:keepLines w:val="0"/>
        <w:keepNext w:val="0"/>
        <w:pageBreakBefore w:val="0"/>
        <w:spacing w:line="360" w:lineRule="auto"/>
        <w:widowControl w:val="off"/>
        <w:tabs>
          <w:tab w:val="left" w:pos="8820" w:leader="none"/>
          <w:tab w:val="left" w:pos="9345" w:leader="none"/>
          <w:tab w:val="left" w:pos="9765" w:leader="none"/>
        </w:tabs>
        <w:rPr>
          <w:rFonts w:hint="eastAsia" w:ascii="宋体" w:hAnsi="宋体" w:cs="宋体"/>
          <w:b/>
          <w:color w:val="auto"/>
          <w:szCs w:val="22"/>
          <w:highlight w:val="none"/>
          <w:lang w:val="en-US" w:eastAsia="zh-CN"/>
        </w:rPr>
      </w:pPr>
      <w:r>
        <w:rPr>
          <w:rFonts w:hint="eastAsia" w:ascii="宋体" w:hAnsi="宋体" w:cs="宋体"/>
          <w:b/>
          <w:color w:val="auto"/>
          <w:szCs w:val="22"/>
          <w:highlight w:val="none"/>
          <w:lang w:val="en-US" w:eastAsia="zh-CN"/>
        </w:rPr>
        <w:t xml:space="preserve">4. 甲方的权利和义务</w:t>
      </w:r>
      <w:r/>
    </w:p>
    <w:p>
      <w:pPr>
        <w:ind w:firstLine="420"/>
        <w:keepLines w:val="0"/>
        <w:keepNext w:val="0"/>
        <w:pageBreakBefore w:val="0"/>
        <w:spacing w:line="360" w:lineRule="auto"/>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keepLines w:val="0"/>
        <w:keepNext w:val="0"/>
        <w:pageBreakBefore w:val="0"/>
        <w:spacing w:line="360" w:lineRule="auto"/>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4.2 甲方有权要求乙方按时提交各阶段有关安排计划，并有权定期核对乙方提供货物数量、规格、质量等内容。甲方有权督促乙方工作并要求乙方更换不符合要求的货物。</w:t>
      </w:r>
      <w:r/>
    </w:p>
    <w:p>
      <w:pPr>
        <w:ind w:firstLine="420"/>
        <w:keepLines w:val="0"/>
        <w:keepNext w:val="0"/>
        <w:pageBreakBefore w:val="0"/>
        <w:spacing w:line="360" w:lineRule="auto"/>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4.3 甲方有权要求乙方对缺陷部分予以修复，并按合同约定享有货物保修及其他合同约定的权利。</w:t>
      </w:r>
      <w:r/>
    </w:p>
    <w:p>
      <w:pPr>
        <w:ind w:firstLine="420"/>
        <w:keepLines w:val="0"/>
        <w:keepNext w:val="0"/>
        <w:pageBreakBefore w:val="0"/>
        <w:spacing w:line="360" w:lineRule="auto"/>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4.4 甲方应当按照合同约定及时对交付的货物进行验收，未在【</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】约定的期限内对乙方履约提出任何异议或者向乙方作出任何说明的，视为验收通过。</w:t>
      </w:r>
      <w:r/>
    </w:p>
    <w:p>
      <w:pPr>
        <w:ind w:firstLine="420"/>
        <w:keepLines w:val="0"/>
        <w:keepNext w:val="0"/>
        <w:pageBreakBefore w:val="0"/>
        <w:spacing w:line="360" w:lineRule="auto"/>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4.5 甲方应当根据合同约定及时向乙方支付合同价款，不得以内部人员变更、履行内部付款流程等为由，拒绝或迟延支付。</w:t>
      </w:r>
      <w:r/>
    </w:p>
    <w:p>
      <w:pPr>
        <w:ind w:firstLine="420"/>
        <w:keepLines w:val="0"/>
        <w:keepNext w:val="0"/>
        <w:pageBreakBefore w:val="0"/>
        <w:spacing w:line="360" w:lineRule="auto"/>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4.6 国家法律法规规定及【</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】约定应由甲方承担的其他义务和责任。</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5. 乙方的权利和义务</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5.1 签署合同后，乙方应确定项目负责人（或项目联系人），负责与本合同有关的事务。</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jc w:val="both"/>
        <w:keepLines w:val="0"/>
        <w:keepNext w:val="0"/>
        <w:pageBreakBefore w:val="0"/>
        <w:spacing w:line="360" w:lineRule="auto"/>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5.3乙方有权根据合同约定向甲方收取合同价款。</w:t>
      </w:r>
      <w:r/>
    </w:p>
    <w:p>
      <w:pPr>
        <w:ind w:firstLine="422"/>
        <w:jc w:val="both"/>
        <w:keepLines w:val="0"/>
        <w:keepNext w:val="0"/>
        <w:pageBreakBefore w:val="0"/>
        <w:spacing w:line="360" w:lineRule="auto"/>
        <w:widowControl w:val="off"/>
        <w:rPr>
          <w:rFonts w:ascii="宋体" w:hAnsi="宋体" w:cs="宋体"/>
          <w:color w:val="auto"/>
          <w:sz w:val="22"/>
          <w:szCs w:val="20"/>
          <w:highlight w:val="none"/>
          <w:lang w:eastAsia="zh-CN"/>
        </w:rPr>
      </w:pPr>
      <w:r>
        <w:rPr>
          <w:rFonts w:hint="eastAsia" w:ascii="宋体" w:hAnsi="宋体" w:cs="宋体"/>
          <w:color w:val="auto"/>
          <w:sz w:val="22"/>
          <w:szCs w:val="20"/>
          <w:highlight w:val="none"/>
          <w:lang w:eastAsia="zh-CN"/>
        </w:rPr>
        <w:t xml:space="preserve">5.4国家法律法规规定及</w:t>
      </w:r>
      <w:r>
        <w:rPr>
          <w:rFonts w:hint="eastAsia" w:ascii="宋体" w:hAnsi="宋体" w:cs="宋体"/>
          <w:b/>
          <w:bCs/>
          <w:color w:val="auto"/>
          <w:sz w:val="22"/>
          <w:szCs w:val="20"/>
          <w:highlight w:val="none"/>
          <w:lang w:eastAsia="zh-CN"/>
        </w:rPr>
        <w:t xml:space="preserve">【政府采购合同专用条款】</w:t>
      </w:r>
      <w:r>
        <w:rPr>
          <w:rFonts w:hint="eastAsia" w:ascii="宋体" w:hAnsi="宋体" w:cs="宋体"/>
          <w:color w:val="auto"/>
          <w:sz w:val="22"/>
          <w:szCs w:val="20"/>
          <w:highlight w:val="none"/>
          <w:lang w:eastAsia="zh-CN"/>
        </w:rPr>
        <w:t xml:space="preserve">约定应由乙方承担的其他义务和责任。</w:t>
      </w:r>
      <w:r/>
    </w:p>
    <w:p>
      <w:pPr>
        <w:numPr>
          <w:ilvl w:val="0"/>
          <w:numId w:val="14"/>
        </w:numPr>
        <w:jc w:val="both"/>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合同履行</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6.1 甲乙双方应当按照</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约定顺序履行合同义务；如果没有先后顺序的，应当同时履行。</w:t>
      </w:r>
      <w:r/>
    </w:p>
    <w:p>
      <w:pPr>
        <w:ind w:firstLine="420"/>
        <w:keepLines w:val="0"/>
        <w:keepNext w:val="0"/>
        <w:pageBreakBefore w:val="0"/>
        <w:spacing w:line="360" w:lineRule="auto"/>
        <w:widowControl w:val="off"/>
        <w:rPr>
          <w:rFonts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7. 货物包装、运输、保险和交付要求</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7.1 本合同</w:t>
      </w:r>
      <w:r>
        <w:rPr>
          <w:rFonts w:hint="eastAsia" w:ascii="宋体" w:hAnsi="宋体" w:cs="宋体"/>
          <w:bCs/>
          <w:color w:val="auto"/>
          <w:sz w:val="21"/>
          <w:highlight w:val="none"/>
          <w:lang w:eastAsia="zh-CN"/>
        </w:rPr>
        <w:t xml:space="preserve">涉及商品包装、快递包装的，</w:t>
      </w:r>
      <w:r>
        <w:rPr>
          <w:rFonts w:hint="eastAsia" w:ascii="宋体" w:hAnsi="宋体" w:cs="宋体"/>
          <w:color w:val="auto"/>
          <w:sz w:val="21"/>
          <w:highlight w:val="none"/>
          <w:lang w:eastAsia="zh-CN"/>
        </w:rPr>
        <w:t xml:space="preserve">除</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另有约定外，</w:t>
      </w:r>
      <w:r>
        <w:rPr>
          <w:rFonts w:hint="eastAsia" w:ascii="宋体" w:hAnsi="宋体" w:cs="宋体"/>
          <w:color w:val="auto"/>
          <w:sz w:val="21"/>
          <w:highlight w:val="none"/>
          <w:lang w:eastAsia="zh-CN"/>
        </w:rPr>
        <w:t xml:space="preserve">包装应适应远距离运输、防潮、防震、防锈和防野蛮装卸等要求，确保货物安全无损地运抵</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约定的</w:t>
      </w:r>
      <w:r>
        <w:rPr>
          <w:rFonts w:hint="eastAsia" w:ascii="宋体" w:hAnsi="宋体" w:cs="宋体"/>
          <w:color w:val="auto"/>
          <w:sz w:val="21"/>
          <w:highlight w:val="none"/>
          <w:lang w:eastAsia="zh-CN"/>
        </w:rPr>
        <w:t xml:space="preserve">指定现场。</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7.2 除</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另有约定外，</w:t>
      </w:r>
      <w:r>
        <w:rPr>
          <w:rFonts w:hint="eastAsia" w:ascii="宋体" w:hAnsi="宋体" w:cs="宋体"/>
          <w:color w:val="auto"/>
          <w:sz w:val="21"/>
          <w:highlight w:val="none"/>
          <w:lang w:eastAsia="zh-CN"/>
        </w:rPr>
        <w:t xml:space="preserve">乙方负责办理将货物运抵本合同规定的交货地点，并装卸、交付至甲方的一切运输事项，相关费用应包含在合同价款中。</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7.3 货物保险要求按</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规定执行</w:t>
      </w:r>
      <w:r>
        <w:rPr>
          <w:rFonts w:hint="eastAsia" w:ascii="宋体" w:hAnsi="宋体" w:cs="宋体"/>
          <w:color w:val="auto"/>
          <w:sz w:val="21"/>
          <w:highlight w:val="none"/>
          <w:lang w:eastAsia="zh-CN"/>
        </w:rPr>
        <w:t xml:space="preserve">。</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7.5 乙方在运输到达之前应提前通知甲方，并提示货物运输装卸的注意事项，甲方配合乙方做好货物的接收工作。</w:t>
      </w:r>
      <w:r/>
    </w:p>
    <w:p>
      <w:pPr>
        <w:ind w:firstLine="44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7.6 如因包装、运输问题导致货物损毁、丢失或者品质下降，甲方有权要求降价、换货、拒收部分或整批货物，由此产生的费用和损失，均由乙方承担。</w:t>
      </w:r>
      <w:r/>
    </w:p>
    <w:p>
      <w:pPr>
        <w:ind w:firstLine="0"/>
        <w:keepLines w:val="0"/>
        <w:keepNext w:val="0"/>
        <w:pageBreakBefore w:val="0"/>
        <w:spacing w:line="360" w:lineRule="auto"/>
        <w:widowControl w:val="off"/>
        <w:rPr>
          <w:rFonts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8. 质量标准和保证</w:t>
      </w:r>
      <w:r/>
    </w:p>
    <w:p>
      <w:pPr>
        <w:ind w:firstLine="420"/>
        <w:keepLines w:val="0"/>
        <w:keepNext w:val="0"/>
        <w:pageBreakBefore w:val="0"/>
        <w:spacing w:line="360" w:lineRule="auto"/>
        <w:widowControl w:val="off"/>
        <w:rPr>
          <w:rFonts w:ascii="宋体" w:hAnsi="宋体" w:cs="宋体"/>
          <w:b/>
          <w:color w:val="auto"/>
          <w:sz w:val="21"/>
          <w:highlight w:val="none"/>
          <w:lang w:eastAsia="zh-CN"/>
        </w:rPr>
      </w:pPr>
      <w:r>
        <w:rPr>
          <w:rFonts w:hint="eastAsia" w:ascii="宋体" w:hAnsi="宋体" w:cs="宋体"/>
          <w:color w:val="auto"/>
          <w:sz w:val="21"/>
          <w:highlight w:val="none"/>
          <w:lang w:eastAsia="zh-CN"/>
        </w:rPr>
        <w:t xml:space="preserve">8.1 质量标准</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（2）采用中华人民共和国法定计量单位。</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（3）乙方所提供的货物应符合国家有关安全、环保、卫生的规定。</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（4）乙方应向甲方提交所提供货物的技术文件，包括相应的中文技术文件，如：产品目录、图纸、操作手册、使用说明、维护手册或服务指南等。上述文件应包装好随货物一同发运。</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8.2 保证</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规定或乙方书面承诺（两者以较长的为准）的质量保证期内，本保证保持有效。</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（2）在质量保证期内所发现的缺陷，甲方应尽快以书面形式通知乙方。</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（3）乙方收到通知后，应在</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规定的响应时间内以合理的速度免费维修或更换有缺陷的货物或部件。</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keepLines w:val="0"/>
        <w:keepNext w:val="0"/>
        <w:pageBreakBefore w:val="0"/>
        <w:spacing w:line="360" w:lineRule="auto"/>
        <w:widowControl w:val="off"/>
        <w:rPr>
          <w:rFonts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（5）乙方在约定的时间内未能弥补缺陷，甲方可采取必要的补救措施，但其风险和费用将由乙方承担，甲方根据合同约定对乙方行使的其他权利不受影响。</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9. 权利瑕疵担保</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9.1 乙方保证对其出售的货物享有合法的权利。</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9.2 </w:t>
      </w:r>
      <w:r>
        <w:rPr>
          <w:rFonts w:hint="eastAsia" w:ascii="宋体" w:hAnsi="宋体" w:cs="宋体"/>
          <w:color w:val="auto"/>
          <w:sz w:val="21"/>
          <w:szCs w:val="15"/>
          <w:highlight w:val="none"/>
          <w:lang w:eastAsia="zh-CN"/>
        </w:rPr>
        <w:t xml:space="preserve">乙方保证在交付的货物上不存在抵押权等担保物权。</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9.3 如甲方使用上述货物构成对第三人侵权的，则由乙方承担全部责任。</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10. 知识产权保护</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10.1 乙方对其所销售的货物应当享有知识产权或经权利人合法授权，保证没有侵犯任何第三人的知识产权等权利。</w:t>
      </w:r>
      <w:bookmarkStart w:id="7" w:name="_Hlk163047038"/>
      <w:r>
        <w:rPr>
          <w:rFonts w:hint="eastAsia" w:ascii="宋体" w:hAnsi="宋体" w:cs="宋体"/>
          <w:color w:val="auto"/>
          <w:sz w:val="21"/>
          <w:szCs w:val="15"/>
          <w:highlight w:val="none"/>
          <w:lang w:eastAsia="zh-CN"/>
        </w:rPr>
        <w:t xml:space="preserve">因违反前述约定对第三人构成侵权的，应当由乙方向第三人承担法律责任；甲方依法向第三人赔偿后，有权向乙方追偿。甲方有其他损失的，乙方应当赔偿</w:t>
      </w:r>
      <w:bookmarkEnd w:id="7"/>
      <w:r>
        <w:rPr>
          <w:rFonts w:hint="eastAsia" w:ascii="宋体" w:hAnsi="宋体" w:cs="宋体"/>
          <w:color w:val="auto"/>
          <w:sz w:val="21"/>
          <w:highlight w:val="none"/>
          <w:lang w:eastAsia="zh-CN"/>
        </w:rPr>
        <w:t xml:space="preserve">。</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11. 保密义务</w:t>
      </w:r>
      <w:r/>
    </w:p>
    <w:p>
      <w:pPr>
        <w:ind w:firstLine="420"/>
        <w:keepLines w:val="0"/>
        <w:keepNext w:val="0"/>
        <w:pageBreakBefore w:val="0"/>
        <w:spacing w:line="360" w:lineRule="auto"/>
        <w:widowControl w:val="off"/>
        <w:rPr>
          <w:rFonts w:ascii="宋体" w:hAnsi="宋体" w:cs="宋体"/>
          <w:color w:val="auto"/>
          <w:sz w:val="21"/>
          <w:szCs w:val="15"/>
          <w:highlight w:val="none"/>
          <w:lang w:eastAsia="zh-CN"/>
        </w:rPr>
      </w:pPr>
      <w:r>
        <w:rPr>
          <w:rFonts w:hint="eastAsia" w:ascii="宋体" w:hAnsi="宋体" w:cs="宋体"/>
          <w:color w:val="auto"/>
          <w:sz w:val="21"/>
          <w:szCs w:val="15"/>
          <w:highlight w:val="none"/>
          <w:lang w:eastAsia="zh-CN"/>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15"/>
          <w:highlight w:val="none"/>
          <w:lang w:eastAsia="zh-CN"/>
        </w:rPr>
        <w:t xml:space="preserve">【政府采购合同专用条款】</w:t>
      </w:r>
      <w:r>
        <w:rPr>
          <w:rFonts w:hint="eastAsia" w:ascii="宋体" w:hAnsi="宋体" w:cs="宋体"/>
          <w:color w:val="auto"/>
          <w:sz w:val="21"/>
          <w:szCs w:val="15"/>
          <w:highlight w:val="none"/>
          <w:lang w:eastAsia="zh-CN"/>
        </w:rPr>
        <w:t xml:space="preserve">中约定。</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12. 合同价款支付</w:t>
      </w:r>
      <w:r/>
    </w:p>
    <w:p>
      <w:pPr>
        <w:ind w:firstLine="420"/>
        <w:keepLines w:val="0"/>
        <w:keepNext w:val="0"/>
        <w:pageBreakBefore w:val="0"/>
        <w:spacing w:line="360" w:lineRule="auto"/>
        <w:widowControl w:val="off"/>
        <w:rPr>
          <w:rFonts w:ascii="宋体" w:hAnsi="宋体" w:cs="宋体"/>
          <w:color w:val="auto"/>
          <w:sz w:val="21"/>
          <w:szCs w:val="15"/>
          <w:highlight w:val="none"/>
          <w:lang w:eastAsia="zh-CN"/>
        </w:rPr>
      </w:pPr>
      <w:r>
        <w:rPr>
          <w:rFonts w:hint="eastAsia" w:ascii="宋体" w:hAnsi="宋体" w:cs="宋体"/>
          <w:color w:val="auto"/>
          <w:sz w:val="21"/>
          <w:szCs w:val="15"/>
          <w:highlight w:val="none"/>
          <w:lang w:eastAsia="zh-CN"/>
        </w:rPr>
        <w:t xml:space="preserve">12.1 合同价款支付按照国库集中支付制度及财政管理相关规定执行。</w:t>
      </w:r>
      <w:r/>
    </w:p>
    <w:p>
      <w:pPr>
        <w:ind w:firstLine="420"/>
        <w:jc w:val="both"/>
        <w:keepLines w:val="0"/>
        <w:keepNext w:val="0"/>
        <w:pageBreakBefore w:val="0"/>
        <w:spacing w:line="360" w:lineRule="auto"/>
        <w:widowControl w:val="off"/>
        <w:tabs>
          <w:tab w:val="left" w:pos="-200" w:leader="none"/>
          <w:tab w:val="left" w:pos="525" w:leader="none"/>
          <w:tab w:val="left" w:pos="630" w:leader="none"/>
          <w:tab w:val="left" w:pos="735" w:leader="none"/>
          <w:tab w:val="left" w:pos="945" w:leader="none"/>
        </w:tabs>
        <w:rPr>
          <w:rFonts w:ascii="宋体" w:hAnsi="宋体" w:cs="宋体"/>
          <w:color w:val="auto"/>
          <w:sz w:val="21"/>
          <w:szCs w:val="15"/>
          <w:highlight w:val="none"/>
          <w:lang w:eastAsia="zh-CN"/>
        </w:rPr>
      </w:pPr>
      <w:r>
        <w:rPr>
          <w:rFonts w:hint="eastAsia" w:ascii="宋体" w:hAnsi="宋体" w:cs="宋体"/>
          <w:color w:val="auto"/>
          <w:sz w:val="21"/>
          <w:szCs w:val="15"/>
          <w:highlight w:val="none"/>
          <w:lang w:eastAsia="zh-CN"/>
        </w:rPr>
        <w:t xml:space="preserve">12.2 付款方式：</w:t>
      </w:r>
      <w:r/>
    </w:p>
    <w:p>
      <w:pPr>
        <w:ind w:firstLine="420"/>
        <w:jc w:val="both"/>
        <w:keepLines w:val="0"/>
        <w:keepNext w:val="0"/>
        <w:pageBreakBefore w:val="0"/>
        <w:spacing w:line="360" w:lineRule="auto"/>
        <w:widowControl w:val="off"/>
        <w:tabs>
          <w:tab w:val="left" w:pos="-200" w:leader="none"/>
          <w:tab w:val="left" w:pos="525" w:leader="none"/>
          <w:tab w:val="left" w:pos="630" w:leader="none"/>
          <w:tab w:val="left" w:pos="735" w:leader="none"/>
          <w:tab w:val="left" w:pos="945" w:leader="none"/>
        </w:tabs>
        <w:rPr>
          <w:rFonts w:ascii="宋体" w:hAnsi="宋体" w:cs="宋体"/>
          <w:color w:val="auto"/>
          <w:sz w:val="21"/>
          <w:szCs w:val="15"/>
          <w:highlight w:val="none"/>
          <w:lang w:eastAsia="zh-CN"/>
        </w:rPr>
      </w:pPr>
      <w:r>
        <w:rPr>
          <w:rFonts w:hint="eastAsia" w:ascii="宋体" w:hAnsi="宋体" w:cs="宋体"/>
          <w:color w:val="auto"/>
          <w:sz w:val="21"/>
          <w:szCs w:val="15"/>
          <w:highlight w:val="none"/>
          <w:u w:val="single"/>
          <w:lang w:eastAsia="zh-CN"/>
        </w:rPr>
        <w:t xml:space="preserve">供货完成，安装调试完成验收合格后，支付合同价的90%，验收合格满一年后付清余款（不计息）。</w:t>
      </w:r>
      <w:r>
        <w:rPr>
          <w:rFonts w:hint="eastAsia" w:ascii="宋体" w:hAnsi="宋体" w:cs="宋体"/>
          <w:color w:val="auto"/>
          <w:sz w:val="21"/>
          <w:szCs w:val="15"/>
          <w:highlight w:val="none"/>
          <w:u w:val="single"/>
          <w:lang w:val="en-US" w:eastAsia="zh-CN"/>
        </w:rPr>
        <w:t xml:space="preserve">甲方</w:t>
      </w:r>
      <w:r>
        <w:rPr>
          <w:rFonts w:hint="eastAsia" w:ascii="宋体" w:hAnsi="宋体" w:cs="宋体"/>
          <w:color w:val="auto"/>
          <w:sz w:val="21"/>
          <w:szCs w:val="15"/>
          <w:highlight w:val="none"/>
          <w:u w:val="single"/>
          <w:lang w:eastAsia="zh-CN"/>
        </w:rPr>
        <w:t xml:space="preserve">原则上应当自收到发票后10个工作日内将资金支付到合同约定的</w:t>
      </w:r>
      <w:r>
        <w:rPr>
          <w:rFonts w:hint="eastAsia" w:ascii="宋体" w:hAnsi="宋体" w:cs="宋体"/>
          <w:color w:val="auto"/>
          <w:sz w:val="21"/>
          <w:szCs w:val="15"/>
          <w:highlight w:val="none"/>
          <w:u w:val="single"/>
          <w:lang w:val="en-US" w:eastAsia="zh-CN"/>
        </w:rPr>
        <w:t xml:space="preserve">乙方</w:t>
      </w:r>
      <w:r>
        <w:rPr>
          <w:rFonts w:hint="eastAsia" w:ascii="宋体" w:hAnsi="宋体" w:cs="宋体"/>
          <w:color w:val="auto"/>
          <w:sz w:val="21"/>
          <w:szCs w:val="15"/>
          <w:highlight w:val="none"/>
          <w:u w:val="single"/>
          <w:lang w:eastAsia="zh-CN"/>
        </w:rPr>
        <w:t xml:space="preserve">账户。若</w:t>
      </w:r>
      <w:r>
        <w:rPr>
          <w:rFonts w:hint="eastAsia" w:ascii="宋体" w:hAnsi="宋体" w:cs="宋体"/>
          <w:color w:val="auto"/>
          <w:sz w:val="21"/>
          <w:szCs w:val="15"/>
          <w:highlight w:val="none"/>
          <w:u w:val="single"/>
          <w:lang w:val="en-US" w:eastAsia="zh-CN"/>
        </w:rPr>
        <w:t xml:space="preserve">乙方</w:t>
      </w:r>
      <w:r>
        <w:rPr>
          <w:rFonts w:hint="eastAsia" w:ascii="宋体" w:hAnsi="宋体" w:cs="宋体"/>
          <w:color w:val="auto"/>
          <w:sz w:val="21"/>
          <w:szCs w:val="15"/>
          <w:highlight w:val="none"/>
          <w:u w:val="single"/>
          <w:lang w:eastAsia="zh-CN"/>
        </w:rPr>
        <w:t xml:space="preserve">未能按期开具发票，</w:t>
      </w:r>
      <w:r>
        <w:rPr>
          <w:rFonts w:hint="eastAsia" w:ascii="宋体" w:hAnsi="宋体" w:cs="宋体"/>
          <w:color w:val="auto"/>
          <w:sz w:val="21"/>
          <w:szCs w:val="15"/>
          <w:highlight w:val="none"/>
          <w:u w:val="single"/>
          <w:lang w:val="en-US" w:eastAsia="zh-CN"/>
        </w:rPr>
        <w:t xml:space="preserve">甲方</w:t>
      </w:r>
      <w:r>
        <w:rPr>
          <w:rFonts w:hint="eastAsia" w:ascii="宋体" w:hAnsi="宋体" w:cs="宋体"/>
          <w:color w:val="auto"/>
          <w:sz w:val="21"/>
          <w:szCs w:val="15"/>
          <w:highlight w:val="none"/>
          <w:u w:val="single"/>
          <w:lang w:eastAsia="zh-CN"/>
        </w:rPr>
        <w:t xml:space="preserve">可顺延付款</w:t>
      </w:r>
      <w:r>
        <w:rPr>
          <w:rFonts w:hint="eastAsia" w:ascii="宋体" w:hAnsi="宋体" w:cs="宋体"/>
          <w:color w:val="auto"/>
          <w:sz w:val="21"/>
          <w:szCs w:val="15"/>
          <w:highlight w:val="none"/>
          <w:u w:val="single"/>
          <w:lang w:eastAsia="zh-CN"/>
        </w:rPr>
        <w:t xml:space="preserve">。</w:t>
      </w:r>
      <w:r/>
    </w:p>
    <w:p>
      <w:pPr>
        <w:ind w:firstLine="0"/>
        <w:jc w:val="both"/>
        <w:keepLines w:val="0"/>
        <w:keepNext w:val="0"/>
        <w:pageBreakBefore w:val="0"/>
        <w:spacing w:line="36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13. 履约保证金</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13.1 </w:t>
      </w:r>
      <w:r>
        <w:rPr>
          <w:rFonts w:hint="eastAsia" w:ascii="宋体" w:hAnsi="宋体" w:cs="宋体"/>
          <w:color w:val="auto"/>
          <w:sz w:val="21"/>
          <w:szCs w:val="15"/>
          <w:highlight w:val="none"/>
          <w:lang w:eastAsia="zh-CN"/>
        </w:rPr>
        <w:t xml:space="preserve">乙方应当以支票、汇票、本票或者金融机构、担保机构出具的保函等非现金形式提交。</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13.2 如果乙方出现</w:t>
      </w:r>
      <w:r>
        <w:rPr>
          <w:rFonts w:hint="eastAsia" w:ascii="宋体" w:hAnsi="宋体" w:cs="宋体"/>
          <w:b/>
          <w:bCs/>
          <w:color w:val="auto"/>
          <w:sz w:val="21"/>
          <w:szCs w:val="15"/>
          <w:highlight w:val="none"/>
          <w:lang w:eastAsia="zh-CN"/>
        </w:rPr>
        <w:t xml:space="preserve">【政府采购合同专用条款】</w:t>
      </w:r>
      <w:r>
        <w:rPr>
          <w:rFonts w:hint="eastAsia" w:ascii="宋体" w:hAnsi="宋体" w:cs="宋体"/>
          <w:color w:val="auto"/>
          <w:sz w:val="21"/>
          <w:szCs w:val="15"/>
          <w:highlight w:val="none"/>
          <w:lang w:eastAsia="zh-CN"/>
        </w:rPr>
        <w:t xml:space="preserve">约定情形的</w:t>
      </w:r>
      <w:r>
        <w:rPr>
          <w:rFonts w:hint="eastAsia" w:ascii="宋体" w:hAnsi="宋体" w:cs="宋体"/>
          <w:color w:val="auto"/>
          <w:sz w:val="21"/>
          <w:highlight w:val="none"/>
          <w:lang w:eastAsia="zh-CN"/>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jc w:val="both"/>
        <w:keepLines w:val="0"/>
        <w:keepNext w:val="0"/>
        <w:pageBreakBefore w:val="0"/>
        <w:spacing w:line="360" w:lineRule="auto"/>
        <w:widowControl w:val="off"/>
        <w:rPr>
          <w:rFonts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13.3 甲方在项目通过验收后按照</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规定的时间内将履约保证金退还乙方；逾期退还的，乙方可要求甲方支付违约金，违约金按照</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规定支付。</w:t>
      </w:r>
      <w:r/>
    </w:p>
    <w:p>
      <w:pPr>
        <w:ind w:firstLine="0"/>
        <w:keepLines w:val="0"/>
        <w:keepNext w:val="0"/>
        <w:pageBreakBefore w:val="0"/>
        <w:spacing w:line="360" w:lineRule="auto"/>
        <w:widowControl w:val="off"/>
        <w:rPr>
          <w:rFonts w:ascii="宋体" w:hAnsi="宋体" w:cs="宋体"/>
          <w:b/>
          <w:color w:val="auto"/>
          <w:szCs w:val="22"/>
          <w:highlight w:val="none"/>
          <w:lang w:eastAsia="zh-CN"/>
        </w:rPr>
      </w:pPr>
      <w:r>
        <w:rPr>
          <w:rFonts w:hint="eastAsia" w:ascii="宋体" w:hAnsi="宋体" w:cs="宋体"/>
          <w:b/>
          <w:bCs/>
          <w:color w:val="auto"/>
          <w:szCs w:val="22"/>
          <w:highlight w:val="none"/>
          <w:lang w:eastAsia="zh-CN"/>
        </w:rPr>
        <w:t xml:space="preserve">14. </w:t>
      </w:r>
      <w:r>
        <w:rPr>
          <w:rFonts w:hint="eastAsia" w:ascii="宋体" w:hAnsi="宋体" w:cs="宋体"/>
          <w:b/>
          <w:color w:val="auto"/>
          <w:szCs w:val="22"/>
          <w:highlight w:val="none"/>
          <w:lang w:eastAsia="zh-CN"/>
        </w:rPr>
        <w:t xml:space="preserve">售后服务</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14.1 除项目不涉及或采购活动中明确约定无须承担外，乙方还应提供下列服务：</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（1）货物的现场移动、安装、调试、启动监督及技术支持；</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（2）提供货物组装和维修所需的专用工具和辅助材料；</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（3）在</w:t>
      </w:r>
      <w:r>
        <w:rPr>
          <w:rFonts w:hint="eastAsia" w:ascii="宋体" w:hAnsi="宋体" w:cs="宋体"/>
          <w:b/>
          <w:bCs/>
          <w:color w:val="auto"/>
          <w:sz w:val="21"/>
          <w:szCs w:val="15"/>
          <w:highlight w:val="none"/>
          <w:lang w:eastAsia="zh-CN"/>
        </w:rPr>
        <w:t xml:space="preserve">【政府采购合同专用条款】</w:t>
      </w:r>
      <w:r>
        <w:rPr>
          <w:rFonts w:hint="eastAsia" w:ascii="宋体" w:hAnsi="宋体" w:cs="宋体"/>
          <w:color w:val="auto"/>
          <w:sz w:val="21"/>
          <w:highlight w:val="none"/>
          <w:lang w:eastAsia="zh-CN"/>
        </w:rPr>
        <w:t xml:space="preserve">约定的期限内对所有的货物实施运行监督、维修，但前提条件是该服务并不能免除乙方在质量保证期内所承担的义务；</w:t>
      </w:r>
      <w:bookmarkStart w:id="11" w:name="_GoBack"/>
      <w:r/>
      <w:bookmarkEnd w:id="11"/>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（4）在制造商所在地或指定现场就货物的安装、启动、运营、维护、废弃处置等对甲方操作人员进行培训</w:t>
      </w:r>
      <w:r>
        <w:rPr>
          <w:rFonts w:hint="eastAsia" w:ascii="宋体" w:hAnsi="宋体" w:cs="宋体"/>
          <w:color w:val="auto"/>
          <w:sz w:val="21"/>
          <w:szCs w:val="15"/>
          <w:highlight w:val="none"/>
          <w:lang w:eastAsia="zh-CN"/>
        </w:rPr>
        <w:t xml:space="preserve">；</w:t>
      </w:r>
      <w:r/>
    </w:p>
    <w:p>
      <w:pPr>
        <w:ind w:firstLine="44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（5）依照法律、行政法规的规定或者按照</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约定，货物在有效使用年限届满后应予回收的，乙方负有自行或者委托第三人对货物予以回收的义务；</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（6）</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规定由乙方提供的其他服务。</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14.2 乙方提供的售后服务的费用已包含在合同价款中，甲方不再另行支付。</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15. 违约责任</w:t>
      </w:r>
      <w:r/>
    </w:p>
    <w:p>
      <w:pPr>
        <w:ind w:firstLine="420"/>
        <w:keepLines w:val="0"/>
        <w:keepNext w:val="0"/>
        <w:pageBreakBefore w:val="0"/>
        <w:spacing w:line="360" w:lineRule="auto"/>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15.1质量瑕疵的违约责任</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乙方提供的产品不符合合同约定的质量标准或存在产品质量缺陷，甲方有权要求乙方根据</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要求</w:t>
      </w:r>
      <w:r>
        <w:rPr>
          <w:rFonts w:hint="eastAsia" w:ascii="宋体" w:hAnsi="宋体" w:cs="宋体"/>
          <w:color w:val="auto"/>
          <w:sz w:val="21"/>
          <w:highlight w:val="none"/>
          <w:lang w:eastAsia="zh-CN"/>
        </w:rPr>
        <w:t xml:space="preserve">及时修理、重作、更换，并承担由此给甲方造成的损失。</w:t>
      </w:r>
      <w:r/>
    </w:p>
    <w:p>
      <w:pPr>
        <w:ind w:firstLine="420"/>
        <w:keepLines w:val="0"/>
        <w:keepNext w:val="0"/>
        <w:pageBreakBefore w:val="0"/>
        <w:spacing w:line="360" w:lineRule="auto"/>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15.2 迟延交货的违约责任</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规定执行。如果涉及公共利益，且赔偿金额无法弥补公共利益损失，甲方可要求继续履行或者采取其他补救措施。</w:t>
      </w:r>
      <w:r/>
    </w:p>
    <w:p>
      <w:pPr>
        <w:ind w:left="0"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15.3 迟延支付的违约责任</w:t>
      </w:r>
      <w:r/>
    </w:p>
    <w:p>
      <w:pPr>
        <w:ind w:left="0"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甲方存在迟延支付乙方合同款项的，应当承担</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规定的逾期付款利息。</w:t>
      </w:r>
      <w:r/>
    </w:p>
    <w:p>
      <w:pPr>
        <w:ind w:left="0"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bCs/>
          <w:color w:val="auto"/>
          <w:sz w:val="21"/>
          <w:highlight w:val="none"/>
          <w:lang w:eastAsia="zh-CN"/>
        </w:rPr>
        <w:t xml:space="preserve">15.4其他违约责任根据项目实际需要按</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规定执行。</w:t>
      </w:r>
      <w:r/>
    </w:p>
    <w:p>
      <w:pPr>
        <w:ind w:left="0" w:firstLine="420"/>
        <w:jc w:val="both"/>
        <w:keepLines w:val="0"/>
        <w:keepNext w:val="0"/>
        <w:pageBreakBefore w:val="0"/>
        <w:spacing w:line="360" w:lineRule="auto"/>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ind w:left="0" w:firstLine="420"/>
        <w:jc w:val="both"/>
        <w:keepLines w:val="0"/>
        <w:keepNext w:val="0"/>
        <w:pageBreakBefore w:val="0"/>
        <w:spacing w:line="360" w:lineRule="auto"/>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（1）需方内部工作安排、计划调整等自身原因；</w:t>
      </w:r>
      <w:r/>
    </w:p>
    <w:p>
      <w:pPr>
        <w:ind w:left="0" w:firstLine="420"/>
        <w:jc w:val="both"/>
        <w:keepLines w:val="0"/>
        <w:keepNext w:val="0"/>
        <w:pageBreakBefore w:val="0"/>
        <w:spacing w:line="360" w:lineRule="auto"/>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（2）中央、省、市、区级政策变动，以及规划、计划调整等外部原因；</w:t>
      </w:r>
      <w:r/>
    </w:p>
    <w:p>
      <w:pPr>
        <w:ind w:left="0" w:firstLine="420"/>
        <w:jc w:val="both"/>
        <w:keepLines w:val="0"/>
        <w:keepNext w:val="0"/>
        <w:pageBreakBefore w:val="0"/>
        <w:spacing w:line="360" w:lineRule="auto"/>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（3）其他需方原因。</w:t>
      </w:r>
      <w:r/>
    </w:p>
    <w:p>
      <w:pPr>
        <w:ind w:left="0" w:firstLine="420"/>
        <w:jc w:val="both"/>
        <w:keepLines w:val="0"/>
        <w:keepNext w:val="0"/>
        <w:pageBreakBefore w:val="0"/>
        <w:spacing w:line="360" w:lineRule="auto"/>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本合同对合同变更、中止或终止合同有其他特殊约定的，按该特殊约定执行。</w:t>
      </w:r>
      <w:r/>
    </w:p>
    <w:p>
      <w:pPr>
        <w:numPr>
          <w:ilvl w:val="0"/>
          <w:numId w:val="15"/>
        </w:numPr>
        <w:jc w:val="both"/>
        <w:keepLines w:val="0"/>
        <w:keepNext w:val="0"/>
        <w:pageBreakBefore w:val="0"/>
        <w:spacing w:line="360" w:lineRule="auto"/>
        <w:widowControl w:val="off"/>
        <w:rPr>
          <w:rFonts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合同变更、中止与终止</w:t>
      </w:r>
      <w:r/>
    </w:p>
    <w:p>
      <w:pPr>
        <w:ind w:firstLine="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16.1合同的变更</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政府采购合同履行中，在不改变合同其他条款的前提下，甲方可以在合同价款10%的范围内追加与合同标的相同的货物，并就此与乙方协商一致后签订补充协议。</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16.2合同的终止</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（1）合同履行过程中因乙方就采购文件、采购过程或结果提起投诉的，甲方认为有必要的，可以中止合同的履行。</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4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keepLines w:val="0"/>
        <w:keepNext w:val="0"/>
        <w:pageBreakBefore w:val="0"/>
        <w:spacing w:line="360" w:lineRule="auto"/>
        <w:widowControl w:val="off"/>
        <w:rPr>
          <w:rFonts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（4）甲方不得以行政区划调整、政府换届、机构或者职能调整以及相关责任人更替为由终止合同。</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16.3合同的终止</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（1）合同因有效期限届满而终止；</w:t>
      </w:r>
      <w:r/>
    </w:p>
    <w:p>
      <w:pPr>
        <w:ind w:firstLine="42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（2）乙方未按合同约定履行，构成根本性违约的，甲方有权终止合同，并追究乙方的违约责任。</w:t>
      </w:r>
      <w:r/>
    </w:p>
    <w:p>
      <w:pPr>
        <w:ind w:firstLine="440"/>
        <w:keepLines w:val="0"/>
        <w:keepNext w:val="0"/>
        <w:pageBreakBefore w:val="0"/>
        <w:spacing w:line="360" w:lineRule="auto"/>
        <w:widowControl w:val="off"/>
        <w:rPr>
          <w:rFonts w:ascii="宋体" w:hAnsi="宋体" w:cs="宋体"/>
          <w:color w:val="auto"/>
          <w:sz w:val="22"/>
          <w:highlight w:val="none"/>
          <w:lang w:eastAsia="zh-CN"/>
        </w:rPr>
      </w:pPr>
      <w:r>
        <w:rPr>
          <w:rFonts w:hint="eastAsia" w:ascii="宋体" w:hAnsi="宋体" w:cs="宋体"/>
          <w:color w:val="auto"/>
          <w:sz w:val="22"/>
          <w:highlight w:val="none"/>
          <w:lang w:eastAsia="zh-CN"/>
        </w:rPr>
        <w:t xml:space="preserve">16.4 </w:t>
      </w:r>
      <w:r>
        <w:rPr>
          <w:rFonts w:hint="eastAsia" w:ascii="宋体" w:hAnsi="宋体" w:cs="宋体"/>
          <w:color w:val="auto"/>
          <w:sz w:val="21"/>
          <w:highlight w:val="none"/>
          <w:lang w:eastAsia="zh-CN"/>
        </w:rPr>
        <w:t xml:space="preserve">涉及国家利益、社会公共利益的情形</w:t>
      </w:r>
      <w:r/>
    </w:p>
    <w:p>
      <w:pPr>
        <w:ind w:firstLine="44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17. 合同分包</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17.1 乙方不得将合同转包给其他供应商。涉及合同分包的，乙方应根据采购文件和投标（响应）文件规定进行合同分包。</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17.2 乙方执行政府采购政策向中小企业依法分包的，乙方应当按采购文件和投标（响应）文件签订分包意向协议，分包意向协议属于本合同组成部分。</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18. 不可抗力</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18.1 不可抗力是指合同双方不能预见、不能避免且不能克服的客观情况。</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18.2 任何一方对由于不可抗力造成的部分或全部不能履行合同不承担违约责任。但迟延履行后发生不可抗力的，不能免除责任。</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19. 解决争议的方法</w:t>
      </w:r>
      <w:r/>
    </w:p>
    <w:p>
      <w:pPr>
        <w:ind w:firstLine="44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4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19.2 选择仲裁的，应在</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中明确仲裁机构及仲裁地；通过诉讼方式解决的，可以在</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中进一步约定选择与争议有实际联系的地点的人民法院管辖，但管辖法院的约定不得违反级别管辖和专属管辖的规定。</w:t>
      </w:r>
      <w:r/>
    </w:p>
    <w:p>
      <w:pPr>
        <w:ind w:firstLine="44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19.3 如甲乙双方有争议的事项不影响合同其他部分的履行，在争议解决期间，合同其他部分应当继续履行。</w:t>
      </w:r>
      <w:r/>
    </w:p>
    <w:p>
      <w:pPr>
        <w:ind w:firstLine="0"/>
        <w:keepLines w:val="0"/>
        <w:keepNext w:val="0"/>
        <w:pageBreakBefore w:val="0"/>
        <w:spacing w:line="360" w:lineRule="auto"/>
        <w:widowControl w:val="off"/>
        <w:rPr>
          <w:rFonts w:ascii="宋体" w:hAnsi="宋体" w:cs="宋体"/>
          <w:color w:val="auto"/>
          <w:szCs w:val="22"/>
          <w:highlight w:val="none"/>
          <w:lang w:eastAsia="zh-CN"/>
        </w:rPr>
      </w:pPr>
      <w:r>
        <w:rPr>
          <w:rFonts w:hint="eastAsia" w:ascii="宋体" w:hAnsi="宋体" w:cs="宋体"/>
          <w:b/>
          <w:color w:val="auto"/>
          <w:szCs w:val="22"/>
          <w:highlight w:val="none"/>
          <w:lang w:eastAsia="zh-CN"/>
        </w:rPr>
        <w:t xml:space="preserve">20. 政府采购政策</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20.1 </w:t>
      </w:r>
      <w:r>
        <w:rPr>
          <w:rFonts w:hint="eastAsia" w:ascii="宋体" w:hAnsi="宋体" w:cs="宋体"/>
          <w:color w:val="auto"/>
          <w:sz w:val="21"/>
          <w:szCs w:val="22"/>
          <w:highlight w:val="none"/>
          <w:lang w:val="en-GB" w:eastAsia="zh-CN"/>
        </w:rPr>
        <w:t xml:space="preserve">本合同应当按照规定执行政府采购政策。</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20.2 本合同依法执行政府采购政策的方式和内容，属于合同履约验收的范围。</w:t>
      </w:r>
      <w:r>
        <w:rPr>
          <w:rFonts w:hint="eastAsia" w:ascii="宋体" w:hAnsi="宋体" w:cs="宋体"/>
          <w:color w:val="auto"/>
          <w:sz w:val="21"/>
          <w:szCs w:val="22"/>
          <w:highlight w:val="none"/>
          <w:lang w:eastAsia="zh-CN"/>
        </w:rPr>
        <w:t xml:space="preserve">甲乙双方</w:t>
      </w:r>
      <w:r>
        <w:rPr>
          <w:rFonts w:hint="eastAsia" w:ascii="宋体" w:hAnsi="宋体" w:cs="宋体"/>
          <w:color w:val="auto"/>
          <w:sz w:val="21"/>
          <w:szCs w:val="22"/>
          <w:highlight w:val="none"/>
          <w:lang w:val="en-GB" w:eastAsia="zh-CN"/>
        </w:rPr>
        <w:t xml:space="preserve">未按规定要求执行政府采购政策造成损失的</w:t>
      </w:r>
      <w:r>
        <w:rPr>
          <w:rFonts w:hint="eastAsia" w:ascii="宋体" w:hAnsi="宋体" w:cs="宋体"/>
          <w:color w:val="auto"/>
          <w:sz w:val="21"/>
          <w:highlight w:val="none"/>
          <w:lang w:eastAsia="zh-CN"/>
        </w:rPr>
        <w:t xml:space="preserve">，有过错的一方应当承担赔偿责任，双方都有过错的，各自承担相应的责任。</w:t>
      </w:r>
      <w:r/>
    </w:p>
    <w:p>
      <w:pPr>
        <w:ind w:firstLine="42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0"/>
        <w:keepLines w:val="0"/>
        <w:keepNext w:val="0"/>
        <w:pageBreakBefore w:val="0"/>
        <w:spacing w:line="360" w:lineRule="auto"/>
        <w:widowControl w:val="off"/>
        <w:rPr>
          <w:rFonts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21. 法律适用</w:t>
      </w:r>
      <w:r/>
    </w:p>
    <w:p>
      <w:pPr>
        <w:ind w:firstLine="44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21.1 本合同的订立、生效、解释、履行及与本合同有关的争议解决，均适用法律、行政法规。</w:t>
      </w:r>
      <w:r/>
    </w:p>
    <w:p>
      <w:pPr>
        <w:ind w:firstLine="44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21.2 本合同条款与法律、行政法规的强制性规定不一致的，双方当事人应当按照法律、行政法规的强制性规定修改本合同的相关条款。</w:t>
      </w:r>
      <w:r/>
    </w:p>
    <w:p>
      <w:pPr>
        <w:numPr>
          <w:ilvl w:val="255"/>
          <w:numId w:val="0"/>
        </w:numPr>
        <w:ind w:firstLine="482"/>
        <w:keepLines w:val="0"/>
        <w:keepNext w:val="0"/>
        <w:pageBreakBefore w:val="0"/>
        <w:spacing w:line="360" w:lineRule="auto"/>
        <w:widowControl w:val="off"/>
        <w:rPr>
          <w:rFonts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22. 通知</w:t>
      </w:r>
      <w:r/>
    </w:p>
    <w:p>
      <w:pPr>
        <w:ind w:firstLine="44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22.1 本合同任何一方向对方发出的通知、信件、数据电文等，应当发送至本合同第一部分《政府采购合同协议书》所约定的通讯地址、联系人、联系电话或电子邮箱。</w:t>
      </w:r>
      <w:r/>
    </w:p>
    <w:p>
      <w:pPr>
        <w:ind w:firstLine="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22.2 一方当事人变更名称、住所、联系人、联系电话或电子邮箱等信息的，应当在变更后3日内及时书面通知对方，对方实际收到变更通知前的送达仍为有效送达。</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22.3本合同一方给另一方的通知均应采用书面形式，传真或快递送到本合同中规定的对方的地址和办理签收手续。</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22.4通知以送达之日或通知书中规定的生效之日起生效，两者中以较迟之日为准。</w:t>
      </w:r>
      <w:r/>
    </w:p>
    <w:p>
      <w:pPr>
        <w:numPr>
          <w:ilvl w:val="0"/>
          <w:numId w:val="16"/>
        </w:numPr>
        <w:jc w:val="both"/>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合同未尽事项</w:t>
      </w:r>
      <w:r/>
    </w:p>
    <w:p>
      <w:pPr>
        <w:ind w:firstLine="420"/>
        <w:keepLines w:val="0"/>
        <w:keepNext w:val="0"/>
        <w:pageBreakBefore w:val="0"/>
        <w:spacing w:line="360" w:lineRule="auto"/>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23.1合同未尽事项见</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w:t>
      </w:r>
      <w:r/>
    </w:p>
    <w:p>
      <w:pPr>
        <w:ind w:firstLine="0"/>
        <w:keepLines w:val="0"/>
        <w:keepNext w:val="0"/>
        <w:pageBreakBefore w:val="0"/>
        <w:spacing w:line="360" w:lineRule="auto"/>
        <w:widowControl w:val="off"/>
        <w:rPr>
          <w:rFonts w:ascii="宋体" w:hAnsi="宋体" w:cs="宋体"/>
          <w:color w:val="auto"/>
          <w:sz w:val="28"/>
          <w:szCs w:val="28"/>
          <w:highlight w:val="none"/>
          <w:lang w:eastAsia="zh-CN"/>
        </w:rPr>
      </w:pPr>
      <w:r>
        <w:rPr>
          <w:rFonts w:hint="eastAsia" w:ascii="宋体" w:hAnsi="宋体" w:cs="宋体"/>
          <w:bCs/>
          <w:color w:val="auto"/>
          <w:sz w:val="21"/>
          <w:highlight w:val="none"/>
          <w:lang w:eastAsia="zh-CN"/>
        </w:rPr>
        <w:t xml:space="preserve">    23.2 合同附件与合同正文具有同等的法律效力。</w:t>
      </w:r>
      <w:bookmarkStart w:id="8" w:name="_Toc20313"/>
      <w:r/>
      <w:r/>
    </w:p>
    <w:p>
      <w:pPr>
        <w:ind w:firstLine="0"/>
        <w:jc w:val="center"/>
        <w:spacing w:line="240" w:lineRule="auto"/>
        <w:widowControl w:val="off"/>
        <w:rPr>
          <w:rFonts w:ascii="黑体" w:hAnsi="华文中宋" w:eastAsia="黑体" w:cs="Times New Roman"/>
          <w:color w:val="auto"/>
          <w:sz w:val="28"/>
          <w:szCs w:val="28"/>
          <w:highlight w:val="none"/>
          <w:lang w:eastAsia="zh-CN"/>
        </w:rPr>
      </w:pPr>
      <w:r>
        <w:rPr>
          <w:rFonts w:hint="eastAsia" w:ascii="黑体" w:hAnsi="华文中宋" w:eastAsia="黑体" w:cs="Times New Roman"/>
          <w:color w:val="auto"/>
          <w:sz w:val="28"/>
          <w:szCs w:val="28"/>
          <w:highlight w:val="none"/>
          <w:lang w:eastAsia="zh-CN"/>
        </w:rPr>
        <w:br w:type="page" w:clear="all"/>
      </w:r>
      <w:r/>
    </w:p>
    <w:p>
      <w:pPr>
        <w:ind w:firstLine="0"/>
        <w:jc w:val="center"/>
        <w:keepLines/>
        <w:keepNext/>
        <w:spacing w:before="360" w:after="200" w:line="240" w:lineRule="auto"/>
        <w:widowControl w:val="off"/>
        <w:rPr>
          <w:rFonts w:ascii="黑体" w:hAnsi="华文中宋" w:eastAsia="黑体"/>
          <w:color w:val="auto"/>
          <w:sz w:val="28"/>
          <w:szCs w:val="28"/>
          <w:highlight w:val="none"/>
          <w:lang w:eastAsia="zh-CN"/>
        </w:rPr>
        <w:outlineLvl w:val="1"/>
      </w:pPr>
      <w:r>
        <w:rPr>
          <w:rFonts w:hint="eastAsia" w:ascii="黑体" w:hAnsi="华文中宋" w:eastAsia="黑体"/>
          <w:color w:val="auto"/>
          <w:sz w:val="28"/>
          <w:szCs w:val="28"/>
          <w:highlight w:val="none"/>
          <w:lang w:eastAsia="zh-CN"/>
        </w:rPr>
        <w:t xml:space="preserve">第三节 政府采购合同专用条款</w:t>
      </w:r>
      <w:bookmarkEnd w:id="8"/>
      <w:r/>
      <w:r/>
    </w:p>
    <w:tbl>
      <w:tblPr>
        <w:tblStyle w:val="808"/>
        <w:tblW w:w="9537"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99"/>
        <w:gridCol w:w="1950"/>
        <w:gridCol w:w="5788"/>
      </w:tblGrid>
      <w:tr>
        <w:trPr>
          <w:trHeight w:val="739"/>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第1.2（6）项</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联合体具体要求</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ascii="宋体" w:hAnsi="宋体" w:eastAsia="等线" w:cs="Times New Roman"/>
                <w:color w:val="auto"/>
                <w:sz w:val="21"/>
                <w:szCs w:val="20"/>
                <w:highlight w:val="none"/>
                <w:lang w:eastAsia="zh-CN"/>
              </w:rPr>
            </w:r>
            <w:r/>
          </w:p>
        </w:tc>
      </w:tr>
      <w:tr>
        <w:trPr>
          <w:trHeight w:val="607"/>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第1.2（7）项</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其他术语解释</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ascii="宋体" w:hAnsi="宋体" w:cs="Times New Roman"/>
                <w:color w:val="auto"/>
                <w:sz w:val="21"/>
                <w:szCs w:val="20"/>
                <w:highlight w:val="none"/>
                <w:lang w:eastAsia="zh-CN"/>
              </w:rPr>
            </w:r>
            <w:r/>
          </w:p>
        </w:tc>
      </w:tr>
      <w:tr>
        <w:trPr>
          <w:trHeight w:val="739"/>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第4.4款</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履约验收中甲方提出异议或作出说明的期限</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ascii="宋体" w:hAnsi="宋体" w:cs="Times New Roman"/>
                <w:color w:val="auto"/>
                <w:sz w:val="21"/>
                <w:szCs w:val="20"/>
                <w:highlight w:val="none"/>
                <w:lang w:eastAsia="zh-CN"/>
              </w:rPr>
            </w:r>
            <w:r/>
          </w:p>
        </w:tc>
      </w:tr>
      <w:tr>
        <w:trPr>
          <w:trHeight w:val="739"/>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第4.6款</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约定甲方承担的其他义务和责任</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ascii="宋体" w:hAnsi="宋体" w:cs="Times New Roman"/>
                <w:color w:val="auto"/>
                <w:sz w:val="21"/>
                <w:szCs w:val="20"/>
                <w:highlight w:val="none"/>
                <w:lang w:eastAsia="zh-CN"/>
              </w:rPr>
            </w:r>
            <w:r/>
          </w:p>
        </w:tc>
      </w:tr>
      <w:tr>
        <w:trPr>
          <w:trHeight w:val="739"/>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等线" w:hAnsi="等线" w:eastAsia="等线" w:cs="Times New Roman"/>
                <w:color w:val="auto"/>
                <w:sz w:val="21"/>
                <w:szCs w:val="22"/>
                <w:highlight w:val="none"/>
                <w:lang w:eastAsia="zh-CN"/>
              </w:rPr>
              <w:suppressLineNumbers w:val="0"/>
            </w:pPr>
            <w:r>
              <w:rPr>
                <w:rFonts w:hint="eastAsia" w:ascii="宋体" w:hAnsi="宋体" w:eastAsia="等线" w:cs="Times New Roman"/>
                <w:color w:val="auto"/>
                <w:sz w:val="21"/>
                <w:szCs w:val="20"/>
                <w:highlight w:val="none"/>
                <w:lang w:eastAsia="zh-CN"/>
              </w:rPr>
              <w:t xml:space="preserve">第5.4款</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约定乙方承担的其他义务和责任</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ascii="宋体" w:hAnsi="宋体" w:cs="Times New Roman"/>
                <w:color w:val="auto"/>
                <w:sz w:val="21"/>
                <w:szCs w:val="20"/>
                <w:highlight w:val="none"/>
                <w:lang w:eastAsia="zh-CN"/>
              </w:rPr>
            </w:r>
            <w:r/>
          </w:p>
        </w:tc>
      </w:tr>
      <w:tr>
        <w:trPr>
          <w:trHeight w:val="739"/>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第6.1款</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履行合同义务的顺序</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ascii="宋体" w:hAnsi="宋体" w:cs="Times New Roman"/>
                <w:color w:val="auto"/>
                <w:sz w:val="21"/>
                <w:szCs w:val="20"/>
                <w:highlight w:val="none"/>
                <w:lang w:eastAsia="zh-CN"/>
              </w:rPr>
            </w:r>
            <w:r/>
          </w:p>
        </w:tc>
      </w:tr>
      <w:tr>
        <w:trPr>
          <w:trHeight w:val="670"/>
        </w:trPr>
        <w:tc>
          <w:tcPr>
            <w:tcW w:w="1799"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第7.1款</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包装特殊要求</w:t>
            </w:r>
            <w:r/>
          </w:p>
        </w:tc>
        <w:tc>
          <w:tcPr>
            <w:tcW w:w="5788"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ascii="等线" w:hAnsi="等线" w:eastAsia="等线" w:cs="Times New Roman"/>
                <w:color w:val="auto"/>
                <w:sz w:val="21"/>
                <w:szCs w:val="22"/>
                <w:highlight w:val="none"/>
                <w:lang w:eastAsia="zh-CN"/>
              </w:rPr>
              <w:suppressLineNumbers w:val="0"/>
            </w:pPr>
            <w:r>
              <w:rPr>
                <w:rFonts w:ascii="等线" w:hAnsi="等线" w:eastAsia="等线" w:cs="Times New Roman"/>
                <w:color w:val="auto"/>
                <w:sz w:val="21"/>
                <w:szCs w:val="22"/>
                <w:highlight w:val="none"/>
                <w:lang w:eastAsia="zh-CN"/>
              </w:rPr>
            </w:r>
            <w:r/>
          </w:p>
        </w:tc>
      </w:tr>
      <w:tr>
        <w:trPr>
          <w:trHeight w:val="670"/>
        </w:trPr>
        <w:tc>
          <w:tcPr>
            <w:tcW w:w="1799"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ascii="宋体" w:hAnsi="宋体" w:eastAsia="等线" w:cs="Times New Roman"/>
                <w:color w:val="auto"/>
                <w:sz w:val="21"/>
                <w:szCs w:val="20"/>
                <w:highlight w:val="none"/>
                <w:lang w:eastAsia="zh-CN"/>
              </w:rPr>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指定现场</w:t>
            </w:r>
            <w:r/>
          </w:p>
        </w:tc>
        <w:tc>
          <w:tcPr>
            <w:tcW w:w="5788"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ascii="等线" w:hAnsi="等线" w:eastAsia="等线" w:cs="Times New Roman"/>
                <w:color w:val="auto"/>
                <w:sz w:val="21"/>
                <w:szCs w:val="22"/>
                <w:highlight w:val="none"/>
                <w:lang w:eastAsia="zh-CN"/>
              </w:rPr>
              <w:suppressLineNumbers w:val="0"/>
            </w:pPr>
            <w:r>
              <w:rPr>
                <w:rFonts w:ascii="等线" w:hAnsi="等线" w:eastAsia="等线" w:cs="Times New Roman"/>
                <w:color w:val="auto"/>
                <w:sz w:val="21"/>
                <w:szCs w:val="22"/>
                <w:highlight w:val="none"/>
                <w:lang w:eastAsia="zh-CN"/>
              </w:rPr>
            </w:r>
            <w:r/>
          </w:p>
        </w:tc>
      </w:tr>
      <w:tr>
        <w:trPr>
          <w:trHeight w:val="775"/>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第7.2款</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运输特殊要求</w:t>
            </w:r>
            <w:r/>
          </w:p>
        </w:tc>
        <w:tc>
          <w:tcPr>
            <w:tcW w:w="5788"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ascii="等线" w:hAnsi="等线" w:eastAsia="等线" w:cs="Times New Roman"/>
                <w:color w:val="auto"/>
                <w:sz w:val="21"/>
                <w:szCs w:val="22"/>
                <w:highlight w:val="none"/>
                <w:lang w:eastAsia="zh-CN"/>
              </w:rPr>
              <w:suppressLineNumbers w:val="0"/>
            </w:pPr>
            <w:r>
              <w:rPr>
                <w:rFonts w:ascii="等线" w:hAnsi="等线" w:eastAsia="等线" w:cs="Times New Roman"/>
                <w:color w:val="auto"/>
                <w:sz w:val="21"/>
                <w:szCs w:val="22"/>
                <w:highlight w:val="none"/>
                <w:lang w:eastAsia="zh-CN"/>
              </w:rPr>
            </w:r>
            <w:r/>
          </w:p>
        </w:tc>
      </w:tr>
      <w:tr>
        <w:trPr>
          <w:trHeight w:val="670"/>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第7.3款</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保险要求</w:t>
            </w:r>
            <w:r/>
          </w:p>
        </w:tc>
        <w:tc>
          <w:tcPr>
            <w:tcW w:w="5788"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ascii="等线" w:hAnsi="等线" w:eastAsia="等线" w:cs="Times New Roman"/>
                <w:color w:val="auto"/>
                <w:sz w:val="21"/>
                <w:szCs w:val="22"/>
                <w:highlight w:val="none"/>
                <w:lang w:eastAsia="zh-CN"/>
              </w:rPr>
              <w:suppressLineNumbers w:val="0"/>
            </w:pPr>
            <w:r>
              <w:rPr>
                <w:rFonts w:ascii="等线" w:hAnsi="等线" w:eastAsia="等线" w:cs="Times New Roman"/>
                <w:color w:val="auto"/>
                <w:sz w:val="21"/>
                <w:szCs w:val="22"/>
                <w:highlight w:val="none"/>
                <w:lang w:eastAsia="zh-CN"/>
              </w:rPr>
            </w:r>
            <w:r/>
          </w:p>
        </w:tc>
      </w:tr>
      <w:tr>
        <w:trPr>
          <w:trHeight w:val="739"/>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第8.2（1）项</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质量保证期</w:t>
            </w:r>
            <w:r/>
          </w:p>
        </w:tc>
        <w:tc>
          <w:tcPr>
            <w:tcW w:w="5788" w:type="dxa"/>
            <w:vAlign w:val="center"/>
            <w:textDirection w:val="lrTb"/>
            <w:noWrap w:val="false"/>
          </w:tcPr>
          <w:p>
            <w:pPr>
              <w:ind w:left="0" w:right="0" w:firstLine="42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ascii="宋体" w:hAnsi="宋体" w:eastAsia="等线" w:cs="Times New Roman"/>
                <w:color w:val="auto"/>
                <w:sz w:val="21"/>
                <w:szCs w:val="20"/>
                <w:highlight w:val="none"/>
                <w:lang w:eastAsia="zh-CN"/>
              </w:rPr>
            </w:r>
            <w:r/>
          </w:p>
        </w:tc>
      </w:tr>
      <w:tr>
        <w:trPr>
          <w:trHeight w:val="739"/>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第8.2（3）项</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货物质量缺陷</w:t>
            </w:r>
            <w:r/>
          </w:p>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响应时间</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ascii="宋体" w:hAnsi="宋体" w:eastAsia="等线" w:cs="Times New Roman"/>
                <w:color w:val="auto"/>
                <w:sz w:val="21"/>
                <w:szCs w:val="20"/>
                <w:highlight w:val="none"/>
                <w:lang w:eastAsia="zh-CN"/>
              </w:rPr>
            </w:r>
            <w:r/>
          </w:p>
        </w:tc>
      </w:tr>
      <w:tr>
        <w:trPr>
          <w:trHeight w:val="739"/>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宋体"/>
                <w:color w:val="auto"/>
                <w:sz w:val="21"/>
                <w:szCs w:val="20"/>
                <w:highlight w:val="none"/>
                <w:lang w:eastAsia="zh-CN"/>
              </w:rPr>
              <w:suppressLineNumbers w:val="0"/>
            </w:pPr>
            <w:r>
              <w:rPr>
                <w:rFonts w:hint="eastAsia" w:ascii="宋体" w:hAnsi="宋体" w:eastAsia="等线" w:cs="宋体"/>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400" w:lineRule="exact"/>
              <w:rPr>
                <w:rFonts w:ascii="华文楷体" w:hAnsi="华文楷体" w:eastAsia="华文楷体" w:cs="华文楷体"/>
                <w:color w:val="auto"/>
                <w:sz w:val="22"/>
                <w:szCs w:val="20"/>
                <w:highlight w:val="none"/>
                <w:lang w:eastAsia="zh-CN"/>
              </w:rPr>
              <w:suppressLineNumbers w:val="0"/>
            </w:pPr>
            <w:r>
              <w:rPr>
                <w:rFonts w:hint="eastAsia" w:ascii="宋体" w:hAnsi="宋体" w:cs="宋体"/>
                <w:color w:val="auto"/>
                <w:sz w:val="22"/>
                <w:szCs w:val="20"/>
                <w:highlight w:val="none"/>
                <w:lang w:eastAsia="zh-CN"/>
              </w:rPr>
              <w:t xml:space="preserve">第11.1款</w:t>
            </w:r>
            <w:r/>
          </w:p>
        </w:tc>
        <w:tc>
          <w:tcPr>
            <w:tcW w:w="1950"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其他应当保密的信息</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ascii="宋体" w:hAnsi="宋体" w:eastAsia="等线" w:cs="Times New Roman"/>
                <w:color w:val="auto"/>
                <w:sz w:val="21"/>
                <w:szCs w:val="20"/>
                <w:highlight w:val="none"/>
                <w:lang w:eastAsia="zh-CN"/>
              </w:rPr>
            </w:r>
            <w:r/>
          </w:p>
        </w:tc>
      </w:tr>
      <w:tr>
        <w:trPr>
          <w:trHeight w:val="700"/>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第12.2款</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合同价款支付时间</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ascii="宋体" w:hAnsi="宋体" w:eastAsia="等线" w:cs="Times New Roman"/>
                <w:color w:val="auto"/>
                <w:sz w:val="21"/>
                <w:szCs w:val="20"/>
                <w:highlight w:val="none"/>
                <w:lang w:eastAsia="zh-CN"/>
              </w:rPr>
            </w:r>
            <w:r/>
          </w:p>
        </w:tc>
      </w:tr>
      <w:tr>
        <w:trPr>
          <w:trHeight w:val="700"/>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第13.2款</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履约保证金不予退还的情形</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ascii="宋体" w:hAnsi="宋体" w:eastAsia="等线" w:cs="Times New Roman"/>
                <w:color w:val="auto"/>
                <w:sz w:val="21"/>
                <w:szCs w:val="20"/>
                <w:highlight w:val="none"/>
                <w:lang w:eastAsia="zh-CN"/>
              </w:rPr>
            </w:r>
            <w:r/>
          </w:p>
        </w:tc>
      </w:tr>
      <w:tr>
        <w:trPr>
          <w:trHeight w:val="739"/>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第13.3款</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履约保证金退还时间及逾期退还的违约金</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ascii="宋体" w:hAnsi="宋体" w:eastAsia="等线" w:cs="Times New Roman"/>
                <w:color w:val="auto"/>
                <w:sz w:val="21"/>
                <w:szCs w:val="20"/>
                <w:highlight w:val="none"/>
                <w:lang w:eastAsia="zh-CN"/>
              </w:rPr>
            </w:r>
            <w:r/>
          </w:p>
        </w:tc>
      </w:tr>
      <w:tr>
        <w:trPr>
          <w:trHeight w:val="788"/>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第14.1（3）项</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运行监督、维修期限</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ascii="宋体" w:hAnsi="宋体" w:eastAsia="等线" w:cs="Times New Roman"/>
                <w:color w:val="auto"/>
                <w:sz w:val="21"/>
                <w:szCs w:val="20"/>
                <w:highlight w:val="none"/>
                <w:lang w:eastAsia="zh-CN"/>
              </w:rPr>
            </w:r>
            <w:r/>
          </w:p>
        </w:tc>
      </w:tr>
      <w:tr>
        <w:trPr>
          <w:trHeight w:val="788"/>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第14.1（5）项</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货物回收的约定</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ascii="宋体" w:hAnsi="宋体" w:eastAsia="等线" w:cs="Times New Roman"/>
                <w:color w:val="auto"/>
                <w:sz w:val="21"/>
                <w:szCs w:val="20"/>
                <w:highlight w:val="none"/>
                <w:lang w:eastAsia="zh-CN"/>
              </w:rPr>
            </w:r>
            <w:r/>
          </w:p>
        </w:tc>
      </w:tr>
      <w:tr>
        <w:trPr>
          <w:trHeight w:val="739"/>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第14.1（6）项</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乙方提供的其他服务</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ascii="宋体" w:hAnsi="宋体" w:eastAsia="等线" w:cs="Times New Roman"/>
                <w:color w:val="auto"/>
                <w:sz w:val="21"/>
                <w:szCs w:val="20"/>
                <w:highlight w:val="none"/>
                <w:lang w:eastAsia="zh-CN"/>
              </w:rPr>
            </w:r>
            <w:r/>
          </w:p>
        </w:tc>
      </w:tr>
      <w:tr>
        <w:trPr>
          <w:trHeight w:val="739"/>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第15.1款</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修理、重做、更换相关具体规定</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ascii="宋体" w:hAnsi="宋体" w:eastAsia="等线" w:cs="Times New Roman"/>
                <w:color w:val="auto"/>
                <w:sz w:val="21"/>
                <w:szCs w:val="20"/>
                <w:highlight w:val="none"/>
                <w:lang w:eastAsia="zh-CN"/>
              </w:rPr>
            </w:r>
            <w:r/>
          </w:p>
        </w:tc>
      </w:tr>
      <w:tr>
        <w:trPr>
          <w:trHeight w:val="739"/>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第15.2（2）项</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迟延交货赔偿费</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u w:val="single"/>
                <w:lang w:eastAsia="zh-CN"/>
              </w:rPr>
              <w:suppressLineNumbers w:val="0"/>
            </w:pPr>
            <w:r>
              <w:rPr>
                <w:rFonts w:ascii="宋体" w:hAnsi="宋体" w:eastAsia="等线" w:cs="Times New Roman"/>
                <w:color w:val="auto"/>
                <w:sz w:val="21"/>
                <w:szCs w:val="20"/>
                <w:highlight w:val="none"/>
                <w:u w:val="single"/>
                <w:lang w:eastAsia="zh-CN"/>
              </w:rPr>
            </w:r>
            <w:r/>
          </w:p>
        </w:tc>
      </w:tr>
      <w:tr>
        <w:trPr>
          <w:trHeight w:val="739"/>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第15.3款</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逾期付款利息</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u w:val="single"/>
                <w:lang w:eastAsia="zh-CN"/>
              </w:rPr>
              <w:suppressLineNumbers w:val="0"/>
            </w:pPr>
            <w:r>
              <w:rPr>
                <w:rFonts w:ascii="宋体" w:hAnsi="宋体" w:eastAsia="等线" w:cs="Times New Roman"/>
                <w:color w:val="auto"/>
                <w:sz w:val="21"/>
                <w:szCs w:val="20"/>
                <w:highlight w:val="none"/>
                <w:u w:val="single"/>
                <w:lang w:eastAsia="zh-CN"/>
              </w:rPr>
            </w:r>
            <w:r/>
          </w:p>
        </w:tc>
      </w:tr>
      <w:tr>
        <w:trPr>
          <w:trHeight w:val="880"/>
        </w:trPr>
        <w:tc>
          <w:tcPr>
            <w:tcBorders>
              <w:bottom w:val="single" w:color="auto" w:sz="2" w:space="0"/>
              <w:right w:val="single" w:color="auto" w:sz="2" w:space="0"/>
            </w:tcBorders>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第15.4款</w:t>
            </w:r>
            <w:r/>
          </w:p>
        </w:tc>
        <w:tc>
          <w:tcPr>
            <w:tcBorders>
              <w:left w:val="single" w:color="auto" w:sz="2" w:space="0"/>
              <w:bottom w:val="single" w:color="auto" w:sz="2" w:space="0"/>
              <w:right w:val="single" w:color="auto" w:sz="2" w:space="0"/>
            </w:tcBorders>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其他违约责任</w:t>
            </w:r>
            <w:r/>
          </w:p>
        </w:tc>
        <w:tc>
          <w:tcPr>
            <w:tcBorders>
              <w:left w:val="single" w:color="auto" w:sz="2" w:space="0"/>
              <w:bottom w:val="single" w:color="auto" w:sz="2" w:space="0"/>
            </w:tcBorders>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u w:val="single"/>
                <w:lang w:eastAsia="zh-CN"/>
              </w:rPr>
              <w:suppressLineNumbers w:val="0"/>
            </w:pPr>
            <w:r>
              <w:rPr>
                <w:rFonts w:ascii="宋体" w:hAnsi="宋体" w:eastAsia="等线" w:cs="Times New Roman"/>
                <w:color w:val="auto"/>
                <w:sz w:val="21"/>
                <w:szCs w:val="20"/>
                <w:highlight w:val="none"/>
                <w:u w:val="single"/>
                <w:lang w:eastAsia="zh-CN"/>
              </w:rPr>
            </w:r>
            <w:r/>
          </w:p>
        </w:tc>
      </w:tr>
      <w:tr>
        <w:trPr>
          <w:trHeight w:val="90"/>
        </w:trPr>
        <w:tc>
          <w:tcPr>
            <w:tcBorders>
              <w:top w:val="single" w:color="auto" w:sz="2" w:space="0"/>
              <w:right w:val="single" w:color="auto" w:sz="2" w:space="0"/>
            </w:tcBorders>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第19.2款</w:t>
            </w:r>
            <w:r/>
          </w:p>
        </w:tc>
        <w:tc>
          <w:tcPr>
            <w:tcBorders>
              <w:top w:val="single" w:color="auto" w:sz="2" w:space="0"/>
              <w:left w:val="single" w:color="auto" w:sz="2" w:space="0"/>
              <w:right w:val="single" w:color="auto" w:sz="2" w:space="0"/>
            </w:tcBorders>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解决争议的方法</w:t>
            </w:r>
            <w:r/>
          </w:p>
        </w:tc>
        <w:tc>
          <w:tcPr>
            <w:tcBorders>
              <w:top w:val="single" w:color="auto" w:sz="2" w:space="0"/>
              <w:left w:val="single" w:color="auto" w:sz="2" w:space="0"/>
            </w:tcBorders>
            <w:tcW w:w="5788" w:type="dxa"/>
            <w:vAlign w:val="center"/>
            <w:textDirection w:val="lrTb"/>
            <w:noWrap w:val="false"/>
          </w:tcPr>
          <w:p>
            <w:pPr>
              <w:ind w:left="0" w:right="0" w:firstLine="0"/>
              <w:keepLines w:val="0"/>
              <w:keepNext w:val="0"/>
              <w:spacing w:before="0" w:beforeAutospacing="0" w:after="0" w:afterAutospacing="0" w:line="400" w:lineRule="exact"/>
              <w:widowControl w:val="off"/>
              <w:rPr>
                <w:rFonts w:ascii="宋体" w:hAnsi="宋体" w:cs="宋体"/>
                <w:iCs/>
                <w:color w:val="auto"/>
                <w:sz w:val="21"/>
                <w:szCs w:val="20"/>
                <w:highlight w:val="none"/>
                <w:lang w:eastAsia="zh-CN"/>
              </w:rPr>
              <w:suppressLineNumbers w:val="0"/>
            </w:pPr>
            <w:r>
              <w:rPr>
                <w:rFonts w:hint="eastAsia" w:ascii="宋体" w:hAnsi="宋体" w:cs="宋体"/>
                <w:iCs/>
                <w:color w:val="auto"/>
                <w:sz w:val="21"/>
                <w:szCs w:val="20"/>
                <w:highlight w:val="none"/>
                <w:lang w:eastAsia="zh-CN"/>
              </w:rPr>
              <w:t xml:space="preserve">因本合同及合同有关事项发生的争议，按下列第</w:t>
            </w:r>
            <w:r>
              <w:rPr>
                <w:rFonts w:hint="eastAsia" w:ascii="宋体" w:hAnsi="宋体" w:cs="宋体"/>
                <w:iCs/>
                <w:color w:val="auto"/>
                <w:sz w:val="21"/>
                <w:szCs w:val="20"/>
                <w:highlight w:val="none"/>
                <w:u w:val="single"/>
                <w:lang w:eastAsia="zh-CN"/>
              </w:rPr>
              <w:t xml:space="preserve">  </w:t>
            </w:r>
            <w:r>
              <w:rPr>
                <w:rFonts w:hint="eastAsia" w:ascii="宋体" w:hAnsi="宋体" w:cs="宋体"/>
                <w:iCs/>
                <w:color w:val="auto"/>
                <w:sz w:val="21"/>
                <w:szCs w:val="20"/>
                <w:highlight w:val="none"/>
                <w:lang w:eastAsia="zh-CN"/>
              </w:rPr>
              <w:t xml:space="preserve">种方式解决：</w:t>
            </w:r>
            <w:r/>
          </w:p>
          <w:p>
            <w:pPr>
              <w:ind w:left="0" w:right="0" w:firstLine="0"/>
              <w:keepLines w:val="0"/>
              <w:keepNext w:val="0"/>
              <w:spacing w:before="0" w:beforeAutospacing="0" w:after="0" w:afterAutospacing="0" w:line="400" w:lineRule="exact"/>
              <w:widowControl w:val="off"/>
              <w:rPr>
                <w:rFonts w:ascii="宋体" w:hAnsi="宋体" w:cs="宋体"/>
                <w:iCs/>
                <w:color w:val="auto"/>
                <w:sz w:val="21"/>
                <w:szCs w:val="20"/>
                <w:highlight w:val="none"/>
                <w:lang w:eastAsia="zh-CN"/>
              </w:rPr>
              <w:suppressLineNumbers w:val="0"/>
            </w:pPr>
            <w:r>
              <w:rPr>
                <w:rFonts w:hint="eastAsia" w:ascii="宋体" w:hAnsi="宋体" w:cs="宋体"/>
                <w:iCs/>
                <w:color w:val="auto"/>
                <w:sz w:val="21"/>
                <w:szCs w:val="20"/>
                <w:highlight w:val="none"/>
                <w:lang w:eastAsia="zh-CN"/>
              </w:rPr>
              <w:t xml:space="preserve">（1）向</w:t>
            </w:r>
            <w:r>
              <w:rPr>
                <w:rFonts w:hint="eastAsia" w:ascii="宋体" w:hAnsi="宋体" w:cs="宋体"/>
                <w:iCs/>
                <w:color w:val="auto"/>
                <w:sz w:val="21"/>
                <w:szCs w:val="20"/>
                <w:highlight w:val="none"/>
                <w:u w:val="single"/>
                <w:lang w:eastAsia="zh-CN"/>
              </w:rPr>
              <w:t xml:space="preserve">                    </w:t>
            </w:r>
            <w:r>
              <w:rPr>
                <w:rFonts w:hint="eastAsia" w:ascii="宋体" w:hAnsi="宋体" w:cs="宋体"/>
                <w:iCs/>
                <w:color w:val="auto"/>
                <w:sz w:val="21"/>
                <w:szCs w:val="20"/>
                <w:highlight w:val="none"/>
                <w:lang w:eastAsia="zh-CN"/>
              </w:rPr>
              <w:t xml:space="preserve">仲裁委员会申请仲裁，仲裁地点为</w:t>
            </w:r>
            <w:r>
              <w:rPr>
                <w:rFonts w:hint="eastAsia" w:ascii="宋体" w:hAnsi="宋体" w:cs="宋体"/>
                <w:iCs/>
                <w:color w:val="auto"/>
                <w:sz w:val="21"/>
                <w:szCs w:val="20"/>
                <w:highlight w:val="none"/>
                <w:u w:val="single"/>
                <w:lang w:eastAsia="zh-CN"/>
              </w:rPr>
              <w:t xml:space="preserve">          </w:t>
            </w:r>
            <w:r>
              <w:rPr>
                <w:rFonts w:hint="eastAsia" w:ascii="宋体" w:hAnsi="宋体" w:cs="宋体"/>
                <w:iCs/>
                <w:color w:val="auto"/>
                <w:sz w:val="21"/>
                <w:szCs w:val="20"/>
                <w:highlight w:val="none"/>
                <w:lang w:eastAsia="zh-CN"/>
              </w:rPr>
              <w:t xml:space="preserve">；</w:t>
            </w:r>
            <w:r/>
          </w:p>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u w:val="single"/>
                <w:lang w:eastAsia="zh-CN"/>
              </w:rPr>
              <w:suppressLineNumbers w:val="0"/>
            </w:pPr>
            <w:r>
              <w:rPr>
                <w:rFonts w:hint="eastAsia" w:ascii="宋体" w:hAnsi="宋体" w:cs="宋体"/>
                <w:iCs/>
                <w:color w:val="auto"/>
                <w:sz w:val="21"/>
                <w:szCs w:val="20"/>
                <w:highlight w:val="none"/>
                <w:lang w:eastAsia="zh-CN"/>
              </w:rPr>
              <w:t xml:space="preserve">（2）向</w:t>
            </w:r>
            <w:r>
              <w:rPr>
                <w:rFonts w:hint="eastAsia" w:ascii="宋体" w:hAnsi="宋体" w:cs="宋体"/>
                <w:iCs/>
                <w:color w:val="auto"/>
                <w:sz w:val="21"/>
                <w:szCs w:val="20"/>
                <w:highlight w:val="none"/>
                <w:u w:val="single"/>
                <w:lang w:eastAsia="zh-CN"/>
              </w:rPr>
              <w:t xml:space="preserve">                    </w:t>
            </w:r>
            <w:r>
              <w:rPr>
                <w:rFonts w:hint="eastAsia" w:ascii="宋体" w:hAnsi="宋体" w:cs="宋体"/>
                <w:iCs/>
                <w:color w:val="auto"/>
                <w:sz w:val="21"/>
                <w:szCs w:val="20"/>
                <w:highlight w:val="none"/>
                <w:lang w:eastAsia="zh-CN"/>
              </w:rPr>
              <w:t xml:space="preserve">人民法院起诉。</w:t>
            </w:r>
            <w:r/>
          </w:p>
        </w:tc>
      </w:tr>
      <w:tr>
        <w:trPr>
          <w:trHeight w:val="773"/>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第23.1款</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bCs/>
                <w:color w:val="auto"/>
                <w:sz w:val="21"/>
                <w:szCs w:val="20"/>
                <w:highlight w:val="none"/>
                <w:lang w:eastAsia="zh-CN"/>
              </w:rPr>
              <w:t xml:space="preserve">其他专用条款</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ascii="宋体" w:hAnsi="宋体" w:cs="Times New Roman"/>
                <w:color w:val="auto"/>
                <w:sz w:val="21"/>
                <w:szCs w:val="20"/>
                <w:highlight w:val="none"/>
                <w:lang w:eastAsia="zh-CN"/>
              </w:rPr>
            </w:r>
            <w:r/>
          </w:p>
        </w:tc>
      </w:tr>
    </w:tbl>
    <w:p>
      <w:pPr>
        <w:ind w:firstLine="0"/>
        <w:widowControl w:val="off"/>
        <w:rPr>
          <w:rFonts w:ascii="宋体" w:hAnsi="宋体" w:cs="宋体"/>
          <w:b/>
          <w:bCs/>
          <w:color w:val="auto"/>
          <w:sz w:val="36"/>
          <w:szCs w:val="36"/>
          <w:highlight w:val="none"/>
          <w:lang w:eastAsia="zh-CN"/>
        </w:rPr>
      </w:pPr>
      <w:r>
        <w:rPr>
          <w:rFonts w:ascii="宋体" w:hAnsi="宋体" w:cs="宋体"/>
          <w:b/>
          <w:bCs/>
          <w:color w:val="auto"/>
          <w:sz w:val="36"/>
          <w:szCs w:val="36"/>
          <w:highlight w:val="none"/>
          <w:lang w:eastAsia="zh-CN"/>
        </w:rPr>
      </w:r>
      <w:r/>
    </w:p>
    <w:p>
      <w:pPr>
        <w:rPr>
          <w:color w:val="auto"/>
          <w:highlight w:val="none"/>
        </w:rPr>
      </w:pPr>
      <w:r>
        <w:rPr>
          <w:color w:val="auto"/>
          <w:highlight w:val="none"/>
        </w:rPr>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br w:type="page" w:clear="all"/>
      </w:r>
      <w:r/>
    </w:p>
    <w:p>
      <w:pPr>
        <w:jc w:val="center"/>
        <w:tabs>
          <w:tab w:val="left" w:pos="525" w:leader="none"/>
          <w:tab w:val="left" w:pos="1050" w:leader="none"/>
        </w:tabs>
        <w:rPr>
          <w:rFonts w:ascii="宋体" w:hAnsi="Courier New"/>
          <w:b/>
          <w:bCs/>
          <w:color w:val="auto"/>
          <w:sz w:val="36"/>
          <w:szCs w:val="36"/>
          <w:highlight w:val="none"/>
        </w:rPr>
      </w:pPr>
      <w:r>
        <w:rPr>
          <w:rFonts w:hint="eastAsia" w:ascii="宋体" w:hAnsi="Courier New"/>
          <w:b/>
          <w:bCs/>
          <w:color w:val="auto"/>
          <w:sz w:val="36"/>
          <w:szCs w:val="36"/>
          <w:highlight w:val="none"/>
        </w:rPr>
        <w:t xml:space="preserve">第五章 附件</w:t>
      </w:r>
      <w:r/>
    </w:p>
    <w:p>
      <w:pPr>
        <w:jc w:val="left"/>
        <w:keepLines w:val="0"/>
        <w:keepNext w:val="0"/>
        <w:pageBreakBefore w:val="0"/>
        <w:spacing w:line="336" w:lineRule="auto"/>
        <w:widowControl w:val="off"/>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附件一：评分标准</w:t>
      </w:r>
      <w:r/>
    </w:p>
    <w:p>
      <w:pPr>
        <w:ind w:right="0" w:firstLine="482"/>
        <w:jc w:val="left"/>
        <w:keepLines w:val="0"/>
        <w:keepNext w:val="0"/>
        <w:pageBreakBefore w:val="0"/>
        <w:spacing w:line="336" w:lineRule="auto"/>
        <w:widowControl w:val="off"/>
        <w:rPr>
          <w:rFonts w:hint="eastAsia" w:ascii="宋体" w:hAnsi="宋体" w:eastAsia="宋体" w:cs="宋体"/>
          <w:b/>
          <w:color w:val="auto"/>
          <w:sz w:val="24"/>
          <w:szCs w:val="24"/>
          <w:highlight w:val="none"/>
        </w:rPr>
        <w:outlineLvl w:val="2"/>
      </w:pPr>
      <w:r>
        <w:rPr>
          <w:rFonts w:hint="eastAsia" w:ascii="宋体" w:hAnsi="宋体" w:cs="宋体"/>
          <w:bCs/>
          <w:color w:val="auto"/>
          <w:sz w:val="24"/>
          <w:szCs w:val="24"/>
          <w:highlight w:val="none"/>
          <w:lang w:eastAsia="zh-CN"/>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w:t>
      </w:r>
      <w:r>
        <w:rPr>
          <w:rFonts w:hint="eastAsia" w:ascii="宋体" w:hAnsi="宋体" w:cs="宋体"/>
          <w:bCs/>
          <w:color w:val="auto"/>
          <w:sz w:val="24"/>
          <w:szCs w:val="24"/>
          <w:highlight w:val="none"/>
          <w:lang w:eastAsia="zh-CN"/>
        </w:rPr>
        <w:t xml:space="preserve">分且投标报价相同的并列。投标文件满足招标文件全部实质性要求，且按照评审因素的量化指标评审得分最高的供应商为排名第一的中标候选人。提供相同品牌产品且通过资格审查、符合性审查的不同供应商参加同一合同项下投标的，按一家投标人计算，评审后得分最高的同品牌投标人获得中标人推荐资格；评审得分相同的，由采购人或者采购人委托评标委员会按照随机抽取方式确定一个供应商获得中标人推荐资格，其他同品牌供应商不作为中标候选人。非单一产品采购项目，多家投标人提供的核心产品品牌相同的，同上处理。未列入本评分标准的其他条件不作为评分内容。</w:t>
      </w:r>
      <w:r/>
    </w:p>
    <w:p>
      <w:pPr>
        <w:ind w:right="0" w:firstLine="482"/>
        <w:jc w:val="left"/>
        <w:keepLines w:val="0"/>
        <w:keepNext w:val="0"/>
        <w:pageBreakBefore w:val="0"/>
        <w:spacing w:line="336" w:lineRule="auto"/>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（一</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评分项目及分值（总分100分）</w:t>
      </w:r>
      <w:r/>
    </w:p>
    <w:p>
      <w:pPr>
        <w:ind w:right="0" w:firstLine="482"/>
        <w:jc w:val="left"/>
        <w:keepLines w:val="0"/>
        <w:keepNext w:val="0"/>
        <w:pageBreakBefore w:val="0"/>
        <w:spacing w:line="336" w:lineRule="auto"/>
        <w:widowControl w:val="off"/>
        <w:rPr>
          <w:rFonts w:hint="default" w:ascii="宋体" w:hAnsi="宋体" w:eastAsia="宋体" w:cs="宋体"/>
          <w:b/>
          <w:color w:val="auto"/>
          <w:sz w:val="24"/>
          <w:szCs w:val="24"/>
          <w:highlight w:val="none"/>
          <w:lang w:val="en-US" w:eastAsia="zh-CN"/>
        </w:rPr>
        <w:outlineLvl w:val="9"/>
      </w:pPr>
      <w:r>
        <w:rPr>
          <w:rFonts w:hint="eastAsia" w:ascii="宋体" w:hAnsi="宋体" w:cs="宋体"/>
          <w:b/>
          <w:color w:val="auto"/>
          <w:sz w:val="24"/>
          <w:szCs w:val="24"/>
          <w:highlight w:val="none"/>
          <w:lang w:val="en-US" w:eastAsia="zh-CN"/>
        </w:rPr>
        <w:t xml:space="preserve">明标部分</w:t>
      </w:r>
      <w:r/>
    </w:p>
    <w:p>
      <w:pPr>
        <w:ind w:right="0" w:firstLine="482"/>
        <w:jc w:val="left"/>
        <w:keepLines w:val="0"/>
        <w:keepNext w:val="0"/>
        <w:pageBreakBefore w:val="0"/>
        <w:spacing w:line="336"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）价格分               </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0分</w:t>
      </w:r>
      <w:r/>
    </w:p>
    <w:p>
      <w:pPr>
        <w:ind w:right="0" w:firstLine="482"/>
        <w:jc w:val="left"/>
        <w:keepLines w:val="0"/>
        <w:keepNext w:val="0"/>
        <w:pageBreakBefore w:val="0"/>
        <w:spacing w:line="336"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）商务资信分      </w:t>
      </w:r>
      <w:r>
        <w:rPr>
          <w:rFonts w:hint="eastAsia" w:ascii="宋体" w:hAnsi="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 19</w:t>
      </w:r>
      <w:r>
        <w:rPr>
          <w:rFonts w:hint="eastAsia" w:ascii="宋体" w:hAnsi="宋体" w:eastAsia="宋体" w:cs="宋体"/>
          <w:b/>
          <w:color w:val="auto"/>
          <w:sz w:val="24"/>
          <w:szCs w:val="24"/>
          <w:highlight w:val="none"/>
        </w:rPr>
        <w:t xml:space="preserve">分</w:t>
      </w:r>
      <w:r/>
    </w:p>
    <w:p>
      <w:pPr>
        <w:ind w:right="0" w:firstLine="482"/>
        <w:jc w:val="left"/>
        <w:keepLines w:val="0"/>
        <w:keepNext w:val="0"/>
        <w:pageBreakBefore w:val="0"/>
        <w:spacing w:line="336"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）政策加分              2分</w:t>
      </w:r>
      <w:r/>
    </w:p>
    <w:p>
      <w:pPr>
        <w:ind w:right="0" w:firstLine="482"/>
        <w:jc w:val="left"/>
        <w:keepLines w:val="0"/>
        <w:keepNext w:val="0"/>
        <w:pageBreakBefore w:val="0"/>
        <w:spacing w:line="336" w:lineRule="auto"/>
        <w:widowControl w:val="off"/>
        <w:rPr>
          <w:rFonts w:hint="default" w:ascii="宋体" w:hAnsi="宋体" w:eastAsia="宋体" w:cs="宋体"/>
          <w:b/>
          <w:color w:val="auto"/>
          <w:sz w:val="24"/>
          <w:szCs w:val="24"/>
          <w:highlight w:val="none"/>
          <w:lang w:val="en-US" w:eastAsia="zh-CN"/>
        </w:rPr>
        <w:outlineLvl w:val="9"/>
      </w:pPr>
      <w:r>
        <w:rPr>
          <w:rFonts w:hint="eastAsia" w:ascii="宋体" w:hAnsi="宋体" w:cs="宋体"/>
          <w:b/>
          <w:color w:val="auto"/>
          <w:sz w:val="24"/>
          <w:szCs w:val="24"/>
          <w:highlight w:val="none"/>
          <w:lang w:val="en-US" w:eastAsia="zh-CN"/>
        </w:rPr>
        <w:t xml:space="preserve">暗标部分</w:t>
      </w:r>
      <w:r/>
    </w:p>
    <w:p>
      <w:pPr>
        <w:ind w:right="0" w:firstLine="482"/>
        <w:jc w:val="left"/>
        <w:keepLines w:val="0"/>
        <w:keepNext w:val="0"/>
        <w:pageBreakBefore w:val="0"/>
        <w:spacing w:line="336"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）技术分               </w:t>
      </w:r>
      <w:r>
        <w:rPr>
          <w:rFonts w:hint="eastAsia" w:ascii="宋体" w:hAnsi="宋体" w:cs="宋体"/>
          <w:b/>
          <w:color w:val="auto"/>
          <w:sz w:val="24"/>
          <w:szCs w:val="24"/>
          <w:highlight w:val="none"/>
          <w:lang w:val="en-US" w:eastAsia="zh-CN"/>
        </w:rPr>
        <w:t xml:space="preserve">39</w:t>
      </w:r>
      <w:r>
        <w:rPr>
          <w:rFonts w:hint="eastAsia" w:ascii="宋体" w:hAnsi="宋体" w:eastAsia="宋体" w:cs="宋体"/>
          <w:b/>
          <w:color w:val="auto"/>
          <w:sz w:val="24"/>
          <w:szCs w:val="24"/>
          <w:highlight w:val="none"/>
        </w:rPr>
        <w:t xml:space="preserve">分</w:t>
      </w:r>
      <w:r/>
    </w:p>
    <w:p>
      <w:pPr>
        <w:ind w:right="0" w:firstLine="482"/>
        <w:jc w:val="left"/>
        <w:keepLines w:val="0"/>
        <w:keepNext w:val="0"/>
        <w:pageBreakBefore w:val="0"/>
        <w:spacing w:line="336" w:lineRule="auto"/>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（二</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各项目评分标准</w:t>
      </w:r>
      <w:r/>
    </w:p>
    <w:p>
      <w:pPr>
        <w:ind w:right="0" w:firstLine="482"/>
        <w:jc w:val="left"/>
        <w:keepLines w:val="0"/>
        <w:keepNext w:val="0"/>
        <w:pageBreakBefore w:val="0"/>
        <w:spacing w:line="336" w:lineRule="auto"/>
        <w:widowControl w:val="off"/>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1.报价（</w:t>
      </w:r>
      <w:r>
        <w:rPr>
          <w:rFonts w:hint="eastAsia" w:ascii="宋体" w:hAnsi="宋体" w:cs="宋体"/>
          <w:b/>
          <w:bCs/>
          <w:color w:val="auto"/>
          <w:sz w:val="24"/>
          <w:szCs w:val="24"/>
          <w:highlight w:val="none"/>
          <w:lang w:val="en-US" w:eastAsia="zh-CN"/>
        </w:rPr>
        <w:t xml:space="preserve">40</w:t>
      </w:r>
      <w:r>
        <w:rPr>
          <w:rFonts w:hint="eastAsia" w:ascii="宋体" w:hAnsi="宋体" w:eastAsia="宋体" w:cs="宋体"/>
          <w:b/>
          <w:bCs/>
          <w:color w:val="auto"/>
          <w:sz w:val="24"/>
          <w:szCs w:val="24"/>
          <w:highlight w:val="none"/>
        </w:rPr>
        <w:t xml:space="preserve">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bookmarkStart w:id="9" w:name="OLE_LINK42"/>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bookmarkEnd w:id="9"/>
      <w:r/>
    </w:p>
    <w:p>
      <w:pPr>
        <w:ind w:firstLine="480"/>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val="0"/>
          <w:bCs/>
          <w:color w:val="auto"/>
          <w:sz w:val="24"/>
          <w:szCs w:val="24"/>
          <w:highlight w:val="none"/>
        </w:rPr>
        <w:t xml:space="preserve">投标报价得分=(评标基准价／投标报价)×价格权值×100</w:t>
      </w:r>
      <w:r/>
    </w:p>
    <w:p>
      <w:pPr>
        <w:ind w:left="0" w:firstLine="482"/>
        <w:jc w:val="both"/>
        <w:keepLines w:val="0"/>
        <w:keepNext w:val="0"/>
        <w:pageBreakBefore w:val="0"/>
        <w:spacing w:line="336" w:lineRule="auto"/>
        <w:widowControl w:val="off"/>
        <w:tabs>
          <w:tab w:val="left" w:pos="840" w:leader="none"/>
          <w:tab w:val="left" w:pos="1050"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价格扣除：</w:t>
      </w:r>
      <w:r/>
    </w:p>
    <w:p>
      <w:pPr>
        <w:ind w:left="0" w:firstLine="482"/>
        <w:jc w:val="both"/>
        <w:keepLines w:val="0"/>
        <w:keepNext w:val="0"/>
        <w:pageBreakBefore w:val="0"/>
        <w:spacing w:line="336" w:lineRule="auto"/>
        <w:widowControl w:val="off"/>
        <w:tabs>
          <w:tab w:val="left" w:pos="840" w:leader="none"/>
          <w:tab w:val="left" w:pos="1050" w:leader="none"/>
        </w:tabs>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促进本国产品优惠政策：依法对本国产品给予价格评审优惠，对本国产品的报价给予20%的价格扣除，用扣除后的价格参与评审。</w:t>
      </w:r>
      <w:r/>
    </w:p>
    <w:p>
      <w:pPr>
        <w:ind w:left="0" w:firstLine="482"/>
        <w:jc w:val="both"/>
        <w:keepLines w:val="0"/>
        <w:keepNext w:val="0"/>
        <w:pageBreakBefore w:val="0"/>
        <w:spacing w:line="336" w:lineRule="auto"/>
        <w:widowControl w:val="off"/>
        <w:tabs>
          <w:tab w:val="left" w:pos="840" w:leader="none"/>
          <w:tab w:val="left" w:pos="1050" w:leader="none"/>
        </w:tabs>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82"/>
        <w:jc w:val="both"/>
        <w:keepLines w:val="0"/>
        <w:keepNext w:val="0"/>
        <w:pageBreakBefore w:val="0"/>
        <w:spacing w:line="336" w:lineRule="auto"/>
        <w:widowControl w:val="off"/>
        <w:tabs>
          <w:tab w:val="left" w:pos="840" w:leader="none"/>
          <w:tab w:val="left" w:pos="1050" w:leader="none"/>
        </w:tabs>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ind w:left="0" w:firstLine="482"/>
        <w:jc w:val="both"/>
        <w:keepLines w:val="0"/>
        <w:keepNext w:val="0"/>
        <w:pageBreakBefore w:val="0"/>
        <w:spacing w:line="336" w:lineRule="auto"/>
        <w:widowControl w:val="off"/>
        <w:tabs>
          <w:tab w:val="left" w:pos="840" w:leader="none"/>
          <w:tab w:val="left" w:pos="1050" w:leader="none"/>
        </w:tabs>
        <w:rPr>
          <w:rFonts w:hint="eastAsia" w:ascii="宋体" w:hAnsi="宋体" w:eastAsia="宋体" w:cs="宋体"/>
          <w:color w:val="auto"/>
          <w:sz w:val="24"/>
          <w:szCs w:val="24"/>
          <w:highlight w:val="none"/>
        </w:rPr>
        <w:outlineLvl w:val="9"/>
      </w:pPr>
      <w:r>
        <w:rPr>
          <w:rFonts w:hint="eastAsia" w:ascii="宋体" w:hAnsi="宋体" w:eastAsia="宋体" w:cs="宋体"/>
          <w:b/>
          <w:bCs w:val="0"/>
          <w:color w:val="auto"/>
          <w:sz w:val="24"/>
          <w:szCs w:val="24"/>
          <w:highlight w:val="none"/>
        </w:rPr>
        <w:t xml:space="preserve">异常低价投标（响应）审查：</w:t>
      </w:r>
      <w:r>
        <w:rPr>
          <w:rFonts w:hint="eastAsia" w:ascii="宋体" w:hAnsi="宋体" w:eastAsia="宋体" w:cs="宋体"/>
          <w:b w:val="0"/>
          <w:bCs/>
          <w:color w:val="auto"/>
          <w:sz w:val="24"/>
          <w:szCs w:val="24"/>
          <w:highlight w:val="none"/>
        </w:rPr>
        <w:t xml:space="preserve">评标委员会认定投标人的报价明显过低，有可能影响产品质量或者不能诚信履约的，应当按照《关于推动解决政府采购异常低价问题的通知》（财库〔2026〕2号）要求，启动异常低价投标（响应）审查程序。（具体详见采购文件“二、投标供应商须知”）</w:t>
      </w:r>
      <w:r>
        <w:rPr>
          <w:rFonts w:hint="eastAsia" w:ascii="宋体" w:hAnsi="宋体" w:eastAsia="宋体" w:cs="宋体"/>
          <w:b w:val="0"/>
          <w:bCs/>
          <w:color w:val="auto"/>
          <w:sz w:val="24"/>
          <w:szCs w:val="24"/>
          <w:highlight w:val="none"/>
        </w:rPr>
        <w:t xml:space="preserve">。</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（二）商务资信分（</w:t>
      </w:r>
      <w:r>
        <w:rPr>
          <w:rFonts w:hint="eastAsia" w:ascii="宋体" w:hAnsi="宋体" w:cs="宋体"/>
          <w:b/>
          <w:bCs/>
          <w:color w:val="auto"/>
          <w:sz w:val="24"/>
          <w:highlight w:val="none"/>
          <w:lang w:val="en-US" w:eastAsia="zh-CN"/>
        </w:rPr>
        <w:t xml:space="preserve">19</w:t>
      </w:r>
      <w:r>
        <w:rPr>
          <w:rFonts w:hint="eastAsia" w:ascii="宋体" w:hAnsi="宋体" w:cs="宋体"/>
          <w:b/>
          <w:bCs/>
          <w:color w:val="auto"/>
          <w:sz w:val="24"/>
          <w:highlight w:val="none"/>
        </w:rPr>
        <w:t xml:space="preserve">分）</w:t>
      </w:r>
      <w:r/>
    </w:p>
    <w:p>
      <w:pPr>
        <w:ind w:firstLine="480"/>
        <w:spacing w:line="44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1、体系</w:t>
      </w:r>
      <w:r>
        <w:rPr>
          <w:rFonts w:hint="eastAsia" w:ascii="宋体" w:hAnsi="宋体" w:eastAsia="宋体" w:cs="宋体"/>
          <w:bCs/>
          <w:color w:val="auto"/>
          <w:sz w:val="24"/>
          <w:highlight w:val="none"/>
          <w:lang w:val="en-US" w:eastAsia="zh-CN"/>
        </w:rPr>
        <w:t xml:space="preserve">证书（</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lang w:val="en-US" w:eastAsia="zh-CN"/>
        </w:rPr>
        <w:t xml:space="preserve">分）：</w:t>
      </w:r>
      <w:r/>
    </w:p>
    <w:p>
      <w:pPr>
        <w:ind w:firstLine="480"/>
        <w:spacing w:line="440" w:lineRule="exac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①</w:t>
      </w:r>
      <w:r>
        <w:rPr>
          <w:rFonts w:hint="eastAsia" w:ascii="宋体" w:hAnsi="宋体" w:cs="宋体"/>
          <w:bCs/>
          <w:color w:val="auto"/>
          <w:sz w:val="24"/>
          <w:highlight w:val="none"/>
        </w:rPr>
        <w:t xml:space="preserve">投标</w:t>
      </w:r>
      <w:r>
        <w:rPr>
          <w:rFonts w:hint="eastAsia" w:ascii="宋体" w:hAnsi="宋体" w:cs="宋体"/>
          <w:bCs/>
          <w:color w:val="auto"/>
          <w:sz w:val="24"/>
          <w:highlight w:val="none"/>
          <w:lang w:val="en-US" w:eastAsia="zh-CN"/>
        </w:rPr>
        <w:t xml:space="preserve">供应商</w:t>
      </w:r>
      <w:r>
        <w:rPr>
          <w:rFonts w:hint="default" w:ascii="宋体" w:hAnsi="宋体" w:eastAsia="宋体" w:cs="宋体"/>
          <w:bCs/>
          <w:color w:val="auto"/>
          <w:sz w:val="24"/>
          <w:highlight w:val="none"/>
          <w:lang w:val="en-US" w:eastAsia="zh-CN"/>
        </w:rPr>
        <w:t xml:space="preserve">或其生产厂家（制造商）</w:t>
      </w:r>
      <w:r>
        <w:rPr>
          <w:rFonts w:hint="eastAsia" w:ascii="宋体" w:hAnsi="宋体" w:cs="宋体"/>
          <w:bCs/>
          <w:color w:val="auto"/>
          <w:sz w:val="24"/>
          <w:highlight w:val="none"/>
          <w:lang w:val="en-US" w:eastAsia="zh-CN"/>
        </w:rPr>
        <w:t xml:space="preserve">具备</w:t>
      </w:r>
      <w:r>
        <w:rPr>
          <w:rFonts w:hint="default" w:ascii="宋体" w:hAnsi="宋体" w:eastAsia="宋体" w:cs="宋体"/>
          <w:bCs/>
          <w:color w:val="auto"/>
          <w:sz w:val="24"/>
          <w:highlight w:val="none"/>
          <w:lang w:val="en-US" w:eastAsia="zh-CN"/>
        </w:rPr>
        <w:t xml:space="preserve">有效期内的</w:t>
      </w:r>
      <w:r>
        <w:rPr>
          <w:rFonts w:hint="eastAsia" w:ascii="宋体" w:hAnsi="宋体" w:eastAsia="宋体" w:cs="宋体"/>
          <w:bCs/>
          <w:color w:val="auto"/>
          <w:sz w:val="24"/>
          <w:highlight w:val="none"/>
          <w:lang w:val="en-US" w:eastAsia="zh-CN"/>
        </w:rPr>
        <w:t xml:space="preserve">质量管理体系、环境管理体系认证、职业健康安全管理体系认证证书的，</w:t>
      </w:r>
      <w:r>
        <w:rPr>
          <w:rFonts w:hint="eastAsia" w:ascii="宋体" w:hAnsi="宋体" w:cs="宋体"/>
          <w:bCs/>
          <w:color w:val="auto"/>
          <w:sz w:val="24"/>
          <w:highlight w:val="none"/>
          <w:lang w:val="en-US" w:eastAsia="zh-CN"/>
        </w:rPr>
        <w:t xml:space="preserve">有1个得0.5分</w:t>
      </w:r>
      <w:r>
        <w:rPr>
          <w:rFonts w:hint="default" w:ascii="宋体" w:hAnsi="宋体" w:eastAsia="宋体" w:cs="宋体"/>
          <w:bCs/>
          <w:color w:val="auto"/>
          <w:sz w:val="24"/>
          <w:highlight w:val="none"/>
          <w:lang w:val="en-US" w:eastAsia="zh-CN"/>
        </w:rPr>
        <w:t xml:space="preserve">，最高得</w:t>
      </w:r>
      <w:r>
        <w:rPr>
          <w:rFonts w:hint="eastAsia" w:ascii="宋体" w:hAnsi="宋体" w:cs="宋体"/>
          <w:bCs/>
          <w:color w:val="auto"/>
          <w:sz w:val="24"/>
          <w:highlight w:val="none"/>
          <w:lang w:val="en-US" w:eastAsia="zh-CN"/>
        </w:rPr>
        <w:t xml:space="preserve">1.5</w:t>
      </w:r>
      <w:r>
        <w:rPr>
          <w:rFonts w:hint="default" w:ascii="宋体" w:hAnsi="宋体" w:eastAsia="宋体" w:cs="宋体"/>
          <w:bCs/>
          <w:color w:val="auto"/>
          <w:sz w:val="24"/>
          <w:highlight w:val="none"/>
          <w:lang w:val="en-US" w:eastAsia="zh-CN"/>
        </w:rPr>
        <w:t xml:space="preserve">分。</w:t>
      </w:r>
      <w:r>
        <w:rPr>
          <w:rFonts w:hint="eastAsia" w:ascii="宋体" w:hAnsi="宋体" w:cs="宋体"/>
          <w:bCs/>
          <w:color w:val="auto"/>
          <w:sz w:val="24"/>
          <w:highlight w:val="none"/>
          <w:lang w:val="en-US" w:eastAsia="zh-CN"/>
        </w:rPr>
        <w:t xml:space="preserve">（注：</w:t>
      </w:r>
      <w:r>
        <w:rPr>
          <w:rFonts w:hint="default" w:ascii="宋体" w:hAnsi="宋体" w:eastAsia="宋体" w:cs="宋体"/>
          <w:bCs/>
          <w:color w:val="auto"/>
          <w:sz w:val="24"/>
          <w:highlight w:val="none"/>
          <w:lang w:val="en-US" w:eastAsia="zh-CN"/>
        </w:rPr>
        <w:t xml:space="preserve">认证范围必需包含实验室设备</w:t>
      </w:r>
      <w:r>
        <w:rPr>
          <w:rFonts w:hint="eastAsia" w:ascii="宋体" w:hAnsi="宋体" w:cs="宋体"/>
          <w:bCs/>
          <w:color w:val="auto"/>
          <w:sz w:val="24"/>
          <w:highlight w:val="none"/>
          <w:lang w:val="en-US" w:eastAsia="zh-CN"/>
        </w:rPr>
        <w:t xml:space="preserve">）</w:t>
      </w:r>
      <w:r/>
    </w:p>
    <w:p>
      <w:pPr>
        <w:ind w:firstLine="480"/>
        <w:spacing w:line="440" w:lineRule="exac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②</w:t>
      </w:r>
      <w:r>
        <w:rPr>
          <w:rFonts w:hint="eastAsia" w:ascii="宋体" w:hAnsi="宋体" w:cs="宋体"/>
          <w:bCs/>
          <w:color w:val="auto"/>
          <w:sz w:val="24"/>
          <w:highlight w:val="none"/>
        </w:rPr>
        <w:t xml:space="preserve">投标</w:t>
      </w:r>
      <w:r>
        <w:rPr>
          <w:rFonts w:hint="eastAsia" w:ascii="宋体" w:hAnsi="宋体" w:cs="宋体"/>
          <w:bCs/>
          <w:color w:val="auto"/>
          <w:sz w:val="24"/>
          <w:highlight w:val="none"/>
          <w:lang w:val="en-US" w:eastAsia="zh-CN"/>
        </w:rPr>
        <w:t xml:space="preserve">供应商</w:t>
      </w:r>
      <w:r>
        <w:rPr>
          <w:rFonts w:hint="default" w:ascii="宋体" w:hAnsi="宋体" w:eastAsia="宋体" w:cs="宋体"/>
          <w:bCs/>
          <w:color w:val="auto"/>
          <w:sz w:val="24"/>
          <w:highlight w:val="none"/>
          <w:lang w:val="en-US" w:eastAsia="zh-CN"/>
        </w:rPr>
        <w:t xml:space="preserve">或其生产厂家（制造商）</w:t>
      </w:r>
      <w:r>
        <w:rPr>
          <w:rFonts w:hint="eastAsia" w:ascii="宋体" w:hAnsi="宋体" w:cs="宋体"/>
          <w:bCs/>
          <w:color w:val="auto"/>
          <w:sz w:val="24"/>
          <w:highlight w:val="none"/>
          <w:lang w:val="en-US" w:eastAsia="zh-CN"/>
        </w:rPr>
        <w:t xml:space="preserve">具备</w:t>
      </w:r>
      <w:r>
        <w:rPr>
          <w:rFonts w:hint="default" w:ascii="宋体" w:hAnsi="宋体" w:eastAsia="宋体" w:cs="宋体"/>
          <w:bCs/>
          <w:color w:val="auto"/>
          <w:sz w:val="24"/>
          <w:highlight w:val="none"/>
          <w:lang w:val="en-US" w:eastAsia="zh-CN"/>
        </w:rPr>
        <w:t xml:space="preserve">有效期内的</w:t>
      </w:r>
      <w:r>
        <w:rPr>
          <w:rFonts w:hint="eastAsia" w:ascii="宋体" w:hAnsi="宋体" w:eastAsia="宋体" w:cs="宋体"/>
          <w:bCs/>
          <w:color w:val="auto"/>
          <w:sz w:val="24"/>
          <w:highlight w:val="none"/>
          <w:lang w:val="en-US" w:eastAsia="zh-CN"/>
        </w:rPr>
        <w:t xml:space="preserve">供应链安全管理体系、信息安全管理体系、知识产权管理体系认证证书的，</w:t>
      </w:r>
      <w:r>
        <w:rPr>
          <w:rFonts w:hint="eastAsia" w:ascii="宋体" w:hAnsi="宋体" w:cs="宋体"/>
          <w:bCs/>
          <w:color w:val="auto"/>
          <w:sz w:val="24"/>
          <w:highlight w:val="none"/>
          <w:lang w:val="en-US" w:eastAsia="zh-CN"/>
        </w:rPr>
        <w:t xml:space="preserve">有1个得0.5分</w:t>
      </w:r>
      <w:r>
        <w:rPr>
          <w:rFonts w:hint="default" w:ascii="宋体" w:hAnsi="宋体" w:eastAsia="宋体" w:cs="宋体"/>
          <w:bCs/>
          <w:color w:val="auto"/>
          <w:sz w:val="24"/>
          <w:highlight w:val="none"/>
          <w:lang w:val="en-US" w:eastAsia="zh-CN"/>
        </w:rPr>
        <w:t xml:space="preserve">，最高得</w:t>
      </w:r>
      <w:r>
        <w:rPr>
          <w:rFonts w:hint="eastAsia" w:ascii="宋体" w:hAnsi="宋体" w:cs="宋体"/>
          <w:bCs/>
          <w:color w:val="auto"/>
          <w:sz w:val="24"/>
          <w:highlight w:val="none"/>
          <w:lang w:val="en-US" w:eastAsia="zh-CN"/>
        </w:rPr>
        <w:t xml:space="preserve">1.5</w:t>
      </w:r>
      <w:r>
        <w:rPr>
          <w:rFonts w:hint="default" w:ascii="宋体" w:hAnsi="宋体" w:eastAsia="宋体" w:cs="宋体"/>
          <w:bCs/>
          <w:color w:val="auto"/>
          <w:sz w:val="24"/>
          <w:highlight w:val="none"/>
          <w:lang w:val="en-US" w:eastAsia="zh-CN"/>
        </w:rPr>
        <w:t xml:space="preserve">分。</w:t>
      </w:r>
      <w:r>
        <w:rPr>
          <w:rFonts w:hint="eastAsia" w:ascii="宋体" w:hAnsi="宋体" w:cs="宋体"/>
          <w:bCs/>
          <w:color w:val="auto"/>
          <w:sz w:val="24"/>
          <w:highlight w:val="none"/>
          <w:lang w:val="en-US" w:eastAsia="zh-CN"/>
        </w:rPr>
        <w:t xml:space="preserve">（注：</w:t>
      </w:r>
      <w:r>
        <w:rPr>
          <w:rFonts w:hint="default" w:ascii="宋体" w:hAnsi="宋体" w:eastAsia="宋体" w:cs="宋体"/>
          <w:bCs/>
          <w:color w:val="auto"/>
          <w:sz w:val="24"/>
          <w:highlight w:val="none"/>
          <w:lang w:val="en-US" w:eastAsia="zh-CN"/>
        </w:rPr>
        <w:t xml:space="preserve">认证范围必需包含实验室设备</w:t>
      </w:r>
      <w:r>
        <w:rPr>
          <w:rFonts w:hint="eastAsia" w:ascii="宋体" w:hAnsi="宋体" w:cs="宋体"/>
          <w:bCs/>
          <w:color w:val="auto"/>
          <w:sz w:val="24"/>
          <w:highlight w:val="none"/>
          <w:lang w:val="en-US" w:eastAsia="zh-CN"/>
        </w:rPr>
        <w:t xml:space="preserve">）</w:t>
      </w:r>
      <w:r/>
    </w:p>
    <w:p>
      <w:pPr>
        <w:ind w:firstLine="482"/>
        <w:spacing w:line="440" w:lineRule="exact"/>
        <w:rPr>
          <w:rFonts w:hint="eastAsia" w:ascii="宋体" w:hAnsi="宋体" w:cs="宋体"/>
          <w:b/>
          <w:bCs w:val="0"/>
          <w:color w:val="auto"/>
          <w:sz w:val="24"/>
          <w:szCs w:val="24"/>
          <w:highlight w:val="none"/>
          <w:lang w:val="en-US" w:eastAsia="zh-CN" w:bidi="ar-SA"/>
        </w:rPr>
      </w:pPr>
      <w:r>
        <w:rPr>
          <w:rFonts w:hint="eastAsia" w:ascii="宋体" w:hAnsi="宋体" w:eastAsia="宋体" w:cs="宋体"/>
          <w:b/>
          <w:bCs w:val="0"/>
          <w:color w:val="auto"/>
          <w:sz w:val="24"/>
          <w:highlight w:val="none"/>
          <w:lang w:val="en-US" w:eastAsia="zh-CN"/>
        </w:rPr>
        <w:t xml:space="preserve">注：有效期内证书扫描件及“全国认证认可信息公共服务平台” http://cx.cnca.cn 查询截图上传至系统中并加盖公章，不提供或提供不全不得分</w:t>
      </w:r>
      <w:r>
        <w:rPr>
          <w:rFonts w:hint="eastAsia" w:ascii="宋体" w:hAnsi="宋体" w:eastAsia="宋体" w:cs="宋体"/>
          <w:b/>
          <w:bCs w:val="0"/>
          <w:color w:val="auto"/>
          <w:sz w:val="24"/>
          <w:szCs w:val="24"/>
          <w:highlight w:val="none"/>
          <w:lang w:val="en-US" w:eastAsia="zh-CN" w:bidi="ar-SA"/>
        </w:rPr>
        <w:t xml:space="preserve">。认证产品名称与上述名称不同，但内容实质相同的视作等同</w:t>
      </w:r>
      <w:r>
        <w:rPr>
          <w:rFonts w:hint="eastAsia" w:ascii="宋体" w:hAnsi="宋体" w:cs="宋体"/>
          <w:b/>
          <w:bCs w:val="0"/>
          <w:color w:val="auto"/>
          <w:sz w:val="24"/>
          <w:szCs w:val="24"/>
          <w:highlight w:val="none"/>
          <w:lang w:val="en-US" w:eastAsia="zh-CN" w:bidi="ar-SA"/>
        </w:rPr>
        <w:t xml:space="preserve">。</w:t>
      </w:r>
      <w:r/>
    </w:p>
    <w:p>
      <w:pPr>
        <w:ind w:firstLine="480"/>
        <w:jc w:val="left"/>
        <w:spacing w:line="360" w:lineRule="auto"/>
        <w:rPr>
          <w:rFonts w:hint="eastAsia"/>
          <w:color w:val="auto"/>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软件著作证书（</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分）：投标供应商或其生产厂家（制造商）具有顶装智能控制平台软件著作权登记证书的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分。【软件著作证书扫描件上传至系统中并加</w:t>
      </w:r>
      <w:r>
        <w:rPr>
          <w:rFonts w:hint="eastAsia" w:ascii="宋体" w:hAnsi="宋体" w:eastAsia="宋体" w:cs="宋体"/>
          <w:bCs/>
          <w:color w:val="auto"/>
          <w:sz w:val="24"/>
          <w:szCs w:val="24"/>
          <w:highlight w:val="none"/>
        </w:rPr>
        <w:t xml:space="preserve">盖公章，不提供或提供不全不得分。</w:t>
      </w:r>
      <w:r>
        <w:rPr>
          <w:rFonts w:hint="eastAsia" w:ascii="宋体" w:hAnsi="宋体" w:eastAsia="宋体"/>
          <w:bCs/>
          <w:color w:val="auto"/>
          <w:sz w:val="24"/>
          <w:szCs w:val="24"/>
          <w:highlight w:val="none"/>
        </w:rPr>
        <w:t xml:space="preserve">名称与上述名称不同，但内容实际相同的视作等同</w:t>
      </w:r>
      <w:r>
        <w:rPr>
          <w:rFonts w:hint="eastAsia" w:ascii="宋体" w:hAnsi="宋体"/>
          <w:bCs/>
          <w:color w:val="auto"/>
          <w:sz w:val="24"/>
          <w:szCs w:val="24"/>
          <w:highlight w:val="none"/>
        </w:rPr>
        <w:t xml:space="preserve">。</w:t>
      </w: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3、检测报告（7分）：</w:t>
      </w:r>
      <w:r/>
    </w:p>
    <w:p>
      <w:pPr>
        <w:ind w:firstLine="480"/>
        <w:spacing w:line="44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投标</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需出具包含下列材料及检测项的权威检测报告原件扫描件上传至</w:t>
      </w:r>
      <w:r>
        <w:rPr>
          <w:rFonts w:hint="eastAsia" w:ascii="宋体" w:hAnsi="宋体" w:cs="宋体"/>
          <w:bCs/>
          <w:color w:val="auto"/>
          <w:sz w:val="24"/>
          <w:highlight w:val="none"/>
          <w:lang w:val="en-US" w:eastAsia="zh-CN"/>
        </w:rPr>
        <w:t xml:space="preserve">投标文件</w:t>
      </w:r>
      <w:r>
        <w:rPr>
          <w:rFonts w:hint="eastAsia" w:ascii="宋体" w:hAnsi="宋体" w:eastAsia="宋体" w:cs="宋体"/>
          <w:bCs/>
          <w:color w:val="auto"/>
          <w:sz w:val="24"/>
          <w:highlight w:val="none"/>
          <w:lang w:val="en-US" w:eastAsia="zh-CN"/>
        </w:rPr>
        <w:t xml:space="preserve">中并加盖电子公章，检测报告由CMA</w:t>
      </w:r>
      <w:r>
        <w:rPr>
          <w:rFonts w:hint="eastAsia" w:ascii="宋体" w:hAnsi="宋体" w:cs="宋体"/>
          <w:bCs/>
          <w:color w:val="auto"/>
          <w:sz w:val="24"/>
          <w:highlight w:val="none"/>
          <w:lang w:val="en-US" w:eastAsia="zh-CN"/>
        </w:rPr>
        <w:t xml:space="preserve">或CNAS</w:t>
      </w:r>
      <w:r>
        <w:rPr>
          <w:rFonts w:hint="eastAsia" w:ascii="宋体" w:hAnsi="宋体" w:eastAsia="宋体" w:cs="宋体"/>
          <w:bCs/>
          <w:color w:val="auto"/>
          <w:sz w:val="24"/>
          <w:highlight w:val="none"/>
          <w:lang w:val="en-US" w:eastAsia="zh-CN"/>
        </w:rPr>
        <w:t xml:space="preserve">认证的检验中心出具且必须清晰、完整（含封底和封面），检测报告不完整的视为无效，受检单位须为投标</w:t>
      </w:r>
      <w:r>
        <w:rPr>
          <w:rFonts w:hint="eastAsia" w:ascii="宋体" w:hAnsi="宋体" w:cs="宋体"/>
          <w:bCs/>
          <w:color w:val="auto"/>
          <w:sz w:val="24"/>
          <w:highlight w:val="none"/>
          <w:lang w:val="en-US" w:eastAsia="zh-CN"/>
        </w:rPr>
        <w:t xml:space="preserve">供应商或其生产厂家（制造商）</w:t>
      </w:r>
      <w:r>
        <w:rPr>
          <w:rFonts w:hint="eastAsia" w:ascii="宋体" w:hAnsi="宋体" w:eastAsia="宋体" w:cs="宋体"/>
          <w:bCs/>
          <w:color w:val="auto"/>
          <w:sz w:val="24"/>
          <w:highlight w:val="none"/>
          <w:lang w:val="en-US" w:eastAsia="zh-CN"/>
        </w:rPr>
        <w:t xml:space="preserve">，每份检测报告满足该项要求的，得分项目参数必须在《投标偏离表》</w:t>
      </w:r>
      <w:r>
        <w:rPr>
          <w:rFonts w:hint="eastAsia" w:ascii="宋体" w:hAnsi="宋体" w:cs="宋体"/>
          <w:bCs/>
          <w:color w:val="auto"/>
          <w:sz w:val="24"/>
          <w:highlight w:val="none"/>
          <w:lang w:val="en-US" w:eastAsia="zh-CN"/>
        </w:rPr>
        <w:t xml:space="preserve">填报</w:t>
      </w:r>
      <w:r>
        <w:rPr>
          <w:rFonts w:hint="eastAsia" w:ascii="宋体" w:hAnsi="宋体" w:eastAsia="宋体" w:cs="宋体"/>
          <w:bCs/>
          <w:color w:val="auto"/>
          <w:sz w:val="24"/>
          <w:highlight w:val="none"/>
          <w:lang w:val="en-US" w:eastAsia="zh-CN"/>
        </w:rPr>
        <w:t xml:space="preserve">内容中填写并注明为正偏离，未按要求提供证明材料和不按要求填写的，不得分，</w:t>
      </w:r>
      <w:r>
        <w:rPr>
          <w:rFonts w:hint="eastAsia" w:ascii="宋体" w:hAnsi="宋体" w:cs="宋体"/>
          <w:bCs/>
          <w:color w:val="auto"/>
          <w:sz w:val="24"/>
          <w:highlight w:val="none"/>
          <w:lang w:val="en-US" w:eastAsia="zh-CN"/>
        </w:rPr>
        <w:t xml:space="preserve">本项</w:t>
      </w:r>
      <w:r>
        <w:rPr>
          <w:rFonts w:hint="eastAsia" w:ascii="宋体" w:hAnsi="宋体" w:eastAsia="宋体" w:cs="宋体"/>
          <w:bCs/>
          <w:color w:val="auto"/>
          <w:sz w:val="24"/>
          <w:highlight w:val="none"/>
          <w:lang w:val="en-US" w:eastAsia="zh-CN"/>
        </w:rPr>
        <w:t xml:space="preserve">满分</w:t>
      </w: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lang w:val="en-US" w:eastAsia="zh-CN"/>
        </w:rPr>
        <w:t xml:space="preserve">分。</w:t>
      </w:r>
      <w:r/>
    </w:p>
    <w:tbl>
      <w:tblPr>
        <w:tblStyle w:val="808"/>
        <w:tblW w:w="9267"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746"/>
        <w:gridCol w:w="2878"/>
        <w:gridCol w:w="2934"/>
      </w:tblGrid>
      <w:tr>
        <w:trPr>
          <w:trHeight w:val="9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采购需求的参数要求</w:t>
            </w:r>
            <w:r/>
          </w:p>
        </w:tc>
        <w:tc>
          <w:tcPr>
            <w:gridSpan w:val="2"/>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评审内容</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1</w:t>
            </w:r>
            <w:r/>
          </w:p>
        </w:tc>
        <w:tc>
          <w:tcPr>
            <w:gridSpan w:val="3"/>
            <w:tcBorders>
              <w:top w:val="single" w:color="000000" w:sz="4" w:space="0"/>
              <w:left w:val="single" w:color="000000" w:sz="4" w:space="0"/>
              <w:bottom w:val="single" w:color="000000" w:sz="4" w:space="0"/>
              <w:right w:val="single" w:color="000000" w:sz="4" w:space="0"/>
            </w:tcBorders>
            <w:tcW w:w="8558"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教师演示讲台</w:t>
            </w:r>
            <w:r>
              <w:rPr>
                <w:rFonts w:hint="eastAsia" w:ascii="宋体" w:hAnsi="宋体" w:eastAsia="宋体" w:cs="宋体"/>
                <w:color w:val="auto"/>
                <w:sz w:val="24"/>
                <w:szCs w:val="24"/>
                <w:highlight w:val="none"/>
              </w:rPr>
              <w:t xml:space="preserve">（抽检）采用的检测标准：</w:t>
            </w:r>
            <w:r>
              <w:rPr>
                <w:rFonts w:hint="eastAsia" w:ascii="宋体" w:hAnsi="宋体" w:cs="宋体"/>
                <w:color w:val="auto"/>
                <w:sz w:val="24"/>
                <w:szCs w:val="24"/>
                <w:highlight w:val="none"/>
                <w:lang w:val="en-US" w:eastAsia="zh-CN"/>
              </w:rPr>
              <w:t xml:space="preserve">GB/T 24820-2024</w:t>
            </w:r>
            <w:r/>
          </w:p>
        </w:tc>
      </w:tr>
      <w:tr>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46" w:type="dxa"/>
            <w:vAlign w:val="top"/>
            <w:textDirection w:val="lrTb"/>
            <w:noWrap w:val="false"/>
          </w:tcPr>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检测项目及要求：</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1.实验台面净深：</w:t>
            </w:r>
            <w:r>
              <w:rPr>
                <w:rFonts w:hint="eastAsia" w:ascii="宋体" w:hAnsi="宋体" w:cs="宋体"/>
                <w:color w:val="auto"/>
                <w:sz w:val="24"/>
                <w:szCs w:val="24"/>
                <w:highlight w:val="none"/>
                <w:lang w:val="en-US" w:eastAsia="zh-CN"/>
              </w:rPr>
              <w:t xml:space="preserve">600mm~900mm；</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2.分缝：</w:t>
            </w:r>
            <w:r>
              <w:rPr>
                <w:rFonts w:hint="eastAsia" w:ascii="宋体" w:hAnsi="宋体" w:cs="宋体"/>
                <w:color w:val="auto"/>
                <w:sz w:val="24"/>
                <w:szCs w:val="24"/>
                <w:highlight w:val="none"/>
                <w:lang w:val="en-US" w:eastAsia="zh-CN"/>
              </w:rPr>
              <w:t xml:space="preserve">非设计要求≤2.0；</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3.抽屉下垂度</w:t>
            </w:r>
            <w:r>
              <w:rPr>
                <w:rFonts w:hint="eastAsia" w:ascii="宋体" w:hAnsi="宋体" w:cs="宋体"/>
                <w:color w:val="auto"/>
                <w:sz w:val="24"/>
                <w:szCs w:val="24"/>
                <w:highlight w:val="none"/>
                <w:lang w:val="en-US" w:eastAsia="zh-CN"/>
              </w:rPr>
              <w:t xml:space="preserve">≤20mm；</w:t>
            </w:r>
            <w:r>
              <w:rPr>
                <w:rFonts w:hint="eastAsia" w:ascii="宋体" w:hAnsi="宋体" w:cs="宋体"/>
                <w:b/>
                <w:bCs/>
                <w:color w:val="auto"/>
                <w:sz w:val="24"/>
                <w:szCs w:val="24"/>
                <w:highlight w:val="none"/>
                <w:lang w:val="en-US" w:eastAsia="zh-CN"/>
              </w:rPr>
              <w:t xml:space="preserve">抽屉摆动度</w:t>
            </w:r>
            <w:r>
              <w:rPr>
                <w:rFonts w:hint="eastAsia" w:ascii="宋体" w:hAnsi="宋体" w:cs="宋体"/>
                <w:color w:val="auto"/>
                <w:sz w:val="24"/>
                <w:szCs w:val="24"/>
                <w:highlight w:val="none"/>
                <w:lang w:val="en-US" w:eastAsia="zh-CN"/>
              </w:rPr>
              <w:t xml:space="preserve">≤15mm；</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4.安全性能</w:t>
            </w:r>
            <w:r>
              <w:rPr>
                <w:rFonts w:hint="eastAsia" w:ascii="宋体" w:hAnsi="宋体" w:cs="宋体"/>
                <w:color w:val="auto"/>
                <w:sz w:val="24"/>
                <w:szCs w:val="24"/>
                <w:highlight w:val="none"/>
                <w:lang w:val="en-US" w:eastAsia="zh-CN"/>
              </w:rPr>
              <w:t xml:space="preserve">：实验台面接缝应平整、紧密，不应渗水、开缝。实验台的把手不应有可积聚物质的凹槽。</w:t>
            </w:r>
            <w:r/>
          </w:p>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5.实验台力学性能-实验台耐久性</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（1）水平耐久性试验：符合标准要求；</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（2）垂直耐久性试验：符合标准要求。</w:t>
            </w:r>
            <w:r/>
          </w:p>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6.实验台力学性能-独立式实验台稳定性</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（1）水平冲击稳定性试验：符合标准要求；</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（2）符合垂直加载稳定性试验：符合标准要求；</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（3）具有推拉构件的稳定性试验：符合标准要求。</w:t>
            </w:r>
            <w:r/>
          </w:p>
        </w:tc>
        <w:tc>
          <w:tcPr>
            <w:tcBorders>
              <w:top w:val="single" w:color="000000" w:sz="4" w:space="0"/>
              <w:left w:val="single" w:color="000000" w:sz="4" w:space="0"/>
              <w:bottom w:val="single" w:color="000000" w:sz="4" w:space="0"/>
              <w:right w:val="single" w:color="000000" w:sz="4" w:space="0"/>
            </w:tcBorders>
            <w:tcW w:w="2878" w:type="dxa"/>
            <w:vAlign w:val="top"/>
            <w:textDirection w:val="lrTb"/>
            <w:noWrap w:val="false"/>
          </w:tcPr>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检测项目及要求：</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1.实验台面净深：</w:t>
            </w:r>
            <w:r>
              <w:rPr>
                <w:rFonts w:hint="eastAsia" w:ascii="宋体" w:hAnsi="宋体" w:cs="宋体"/>
                <w:color w:val="auto"/>
                <w:sz w:val="24"/>
                <w:szCs w:val="24"/>
                <w:highlight w:val="none"/>
                <w:lang w:val="en-US" w:eastAsia="zh-CN"/>
              </w:rPr>
              <w:t xml:space="preserve">600mm~900mm；</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2.分缝：</w:t>
            </w:r>
            <w:r>
              <w:rPr>
                <w:rFonts w:hint="eastAsia" w:ascii="宋体" w:hAnsi="宋体" w:cs="宋体"/>
                <w:color w:val="auto"/>
                <w:sz w:val="24"/>
                <w:szCs w:val="24"/>
                <w:highlight w:val="none"/>
                <w:lang w:val="en-US" w:eastAsia="zh-CN"/>
              </w:rPr>
              <w:t xml:space="preserve">非设计要求≤2.0；</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3.抽屉下垂度</w:t>
            </w:r>
            <w:r>
              <w:rPr>
                <w:rFonts w:hint="eastAsia" w:ascii="宋体" w:hAnsi="宋体" w:cs="宋体"/>
                <w:color w:val="auto"/>
                <w:sz w:val="24"/>
                <w:szCs w:val="24"/>
                <w:highlight w:val="none"/>
                <w:lang w:val="en-US" w:eastAsia="zh-CN"/>
              </w:rPr>
              <w:t xml:space="preserve">≤15mm；</w:t>
            </w:r>
            <w:r>
              <w:rPr>
                <w:rFonts w:hint="eastAsia" w:ascii="宋体" w:hAnsi="宋体" w:cs="宋体"/>
                <w:b/>
                <w:bCs/>
                <w:color w:val="auto"/>
                <w:sz w:val="24"/>
                <w:szCs w:val="24"/>
                <w:highlight w:val="none"/>
                <w:lang w:val="en-US" w:eastAsia="zh-CN"/>
              </w:rPr>
              <w:t xml:space="preserve">抽屉摆动度</w:t>
            </w:r>
            <w:r>
              <w:rPr>
                <w:rFonts w:hint="eastAsia" w:ascii="宋体" w:hAnsi="宋体" w:cs="宋体"/>
                <w:color w:val="auto"/>
                <w:sz w:val="24"/>
                <w:szCs w:val="24"/>
                <w:highlight w:val="none"/>
                <w:lang w:val="en-US" w:eastAsia="zh-CN"/>
              </w:rPr>
              <w:t xml:space="preserve">≤10mm；</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4.安全性能</w:t>
            </w:r>
            <w:r>
              <w:rPr>
                <w:rFonts w:hint="eastAsia" w:ascii="宋体" w:hAnsi="宋体" w:cs="宋体"/>
                <w:color w:val="auto"/>
                <w:sz w:val="24"/>
                <w:szCs w:val="24"/>
                <w:highlight w:val="none"/>
                <w:lang w:val="en-US" w:eastAsia="zh-CN"/>
              </w:rPr>
              <w:t xml:space="preserve">：实验台面接缝应平整、紧密，不应渗水、开缝。实验台的把手不应有可积聚物质的凹槽。</w:t>
            </w:r>
            <w:r/>
          </w:p>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5.实验台力学性能-实验台耐久性</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（1）水平耐久性试验：符合标准要求；</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（2）垂直耐久性试验：符合标准要求。</w:t>
            </w:r>
            <w:r/>
          </w:p>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6.实验台力学性能-独立式实验台稳定性</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（1）水平冲击稳定性试验：符合标准要求；</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（2）符合垂直加载稳定性试验：符合标准要求；</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（3）具有推拉构件的稳定性试验：符合标准要求。</w:t>
            </w:r>
            <w:r/>
          </w:p>
          <w:p>
            <w:pPr>
              <w:pStyle w:val="873"/>
              <w:ind w:left="0" w:right="0" w:firstLine="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满足以上要求的得</w:t>
            </w:r>
            <w:r>
              <w:rPr>
                <w:rFonts w:hint="eastAsia" w:ascii="宋体" w:hAnsi="宋体" w:cs="宋体"/>
                <w:b/>
                <w:color w:val="auto"/>
                <w:sz w:val="24"/>
                <w:szCs w:val="24"/>
                <w:highlight w:val="none"/>
                <w:lang w:val="en-US" w:eastAsia="zh-CN"/>
              </w:rPr>
              <w:t xml:space="preserve">0.5</w:t>
            </w:r>
            <w:r>
              <w:rPr>
                <w:rFonts w:hint="eastAsia" w:ascii="宋体" w:hAnsi="宋体" w:eastAsia="宋体" w:cs="宋体"/>
                <w:b/>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2934" w:type="dxa"/>
            <w:vAlign w:val="top"/>
            <w:textDirection w:val="lrTb"/>
            <w:noWrap w:val="false"/>
          </w:tcPr>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检测项目及要求：</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1.实验台面净深</w:t>
            </w:r>
            <w:r>
              <w:rPr>
                <w:rFonts w:hint="eastAsia" w:ascii="宋体" w:hAnsi="宋体" w:cs="宋体"/>
                <w:color w:val="auto"/>
                <w:sz w:val="24"/>
                <w:szCs w:val="24"/>
                <w:highlight w:val="none"/>
                <w:lang w:val="en-US" w:eastAsia="zh-CN"/>
              </w:rPr>
              <w:t xml:space="preserve">：600mm~900mm；</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2.分缝：</w:t>
            </w:r>
            <w:r>
              <w:rPr>
                <w:rFonts w:hint="eastAsia" w:ascii="宋体" w:hAnsi="宋体" w:cs="宋体"/>
                <w:color w:val="auto"/>
                <w:sz w:val="24"/>
                <w:szCs w:val="24"/>
                <w:highlight w:val="none"/>
                <w:lang w:val="en-US" w:eastAsia="zh-CN"/>
              </w:rPr>
              <w:t xml:space="preserve">非设计要求≤2.0；</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3.抽屉下垂度</w:t>
            </w:r>
            <w:r>
              <w:rPr>
                <w:rFonts w:hint="eastAsia" w:ascii="宋体" w:hAnsi="宋体" w:cs="宋体"/>
                <w:color w:val="auto"/>
                <w:sz w:val="24"/>
                <w:szCs w:val="24"/>
                <w:highlight w:val="none"/>
                <w:lang w:val="en-US" w:eastAsia="zh-CN"/>
              </w:rPr>
              <w:t xml:space="preserve">≤10mm；</w:t>
            </w:r>
            <w:r>
              <w:rPr>
                <w:rFonts w:hint="eastAsia" w:ascii="宋体" w:hAnsi="宋体" w:cs="宋体"/>
                <w:b/>
                <w:bCs/>
                <w:color w:val="auto"/>
                <w:sz w:val="24"/>
                <w:szCs w:val="24"/>
                <w:highlight w:val="none"/>
                <w:lang w:val="en-US" w:eastAsia="zh-CN"/>
              </w:rPr>
              <w:t xml:space="preserve">抽屉摆动度</w:t>
            </w:r>
            <w:r>
              <w:rPr>
                <w:rFonts w:hint="eastAsia" w:ascii="宋体" w:hAnsi="宋体" w:cs="宋体"/>
                <w:color w:val="auto"/>
                <w:sz w:val="24"/>
                <w:szCs w:val="24"/>
                <w:highlight w:val="none"/>
                <w:lang w:val="en-US" w:eastAsia="zh-CN"/>
              </w:rPr>
              <w:t xml:space="preserve">≤5mm；</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4.安全性能</w:t>
            </w:r>
            <w:r>
              <w:rPr>
                <w:rFonts w:hint="eastAsia" w:ascii="宋体" w:hAnsi="宋体" w:cs="宋体"/>
                <w:color w:val="auto"/>
                <w:sz w:val="24"/>
                <w:szCs w:val="24"/>
                <w:highlight w:val="none"/>
                <w:lang w:val="en-US" w:eastAsia="zh-CN"/>
              </w:rPr>
              <w:t xml:space="preserve">：实验台面接缝应平整、紧密，不应渗水、开缝。实验台的把手不应有可积聚物质的凹槽。</w:t>
            </w:r>
            <w:r/>
          </w:p>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5.实验台力学性能-实验台耐久性</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（1）水平耐久性试验：符合标准要求；</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（2）垂直耐久性试验：符合标准要求。</w:t>
            </w:r>
            <w:r/>
          </w:p>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6.实验台力学性能-独立式实验台稳定性</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（1）水平冲击稳定性试验：符合标准要求；</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（2）符合垂直加载稳定性试验：符合标准要求；</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（3）具有推拉构件的稳定性试验：符合标准要求。</w:t>
            </w:r>
            <w:r/>
          </w:p>
          <w:p>
            <w:pPr>
              <w:pStyle w:val="873"/>
              <w:ind w:left="0" w:right="0" w:firstLine="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满足以上要求的得</w:t>
            </w:r>
            <w:r>
              <w:rPr>
                <w:rFonts w:hint="eastAsia" w:ascii="宋体" w:hAnsi="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p>
        </w:tc>
        <w:tc>
          <w:tcPr>
            <w:gridSpan w:val="3"/>
            <w:tcBorders>
              <w:top w:val="single" w:color="000000" w:sz="4" w:space="0"/>
              <w:left w:val="single" w:color="000000" w:sz="4" w:space="0"/>
              <w:bottom w:val="single" w:color="000000" w:sz="4" w:space="0"/>
              <w:right w:val="single" w:color="000000" w:sz="4" w:space="0"/>
            </w:tcBorders>
            <w:tcW w:w="8558"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学生实验桌</w:t>
            </w:r>
            <w:r>
              <w:rPr>
                <w:rFonts w:hint="eastAsia" w:ascii="宋体" w:hAnsi="宋体" w:eastAsia="宋体" w:cs="宋体"/>
                <w:color w:val="auto"/>
                <w:sz w:val="24"/>
                <w:szCs w:val="24"/>
                <w:highlight w:val="none"/>
              </w:rPr>
              <w:t xml:space="preserve">（抽检）采用的检测标准：</w:t>
            </w:r>
            <w:r>
              <w:rPr>
                <w:rFonts w:hint="eastAsia" w:ascii="宋体" w:hAnsi="宋体" w:cs="宋体"/>
                <w:color w:val="auto"/>
                <w:sz w:val="24"/>
                <w:szCs w:val="24"/>
                <w:highlight w:val="none"/>
                <w:lang w:val="en-US" w:eastAsia="zh-CN"/>
              </w:rPr>
              <w:t xml:space="preserve"> GB/T 24820-2024 、QB/T3826-1999。</w:t>
            </w:r>
            <w:r/>
          </w:p>
        </w:tc>
      </w:tr>
      <w:tr>
        <w:trPr>
          <w:trHeight w:val="1729"/>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46" w:type="dxa"/>
            <w:vAlign w:val="top"/>
            <w:textDirection w:val="lrTb"/>
            <w:noWrap w:val="false"/>
          </w:tcPr>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检测项目及要求：</w:t>
            </w:r>
            <w:r/>
          </w:p>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1.理化性能—通用要求（电镀层抗盐雾）</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盐雾试验时间≥18h，直径1.5mm以下锈点≤20点/dm²，其中直径≥1.0mm锈点不超过5点（距边缘棱角2mm以内的锈点不计）。</w:t>
            </w:r>
            <w:r/>
          </w:p>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2.实验台力学性能—实验台强度</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（1）水平静载荷试验：符合标准要求；</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（2）主台面垂直静载荷试验：符合标准要求；</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（3）台面挠度试验：符合标准要求；</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（4）跌落试验：符合标准要求。</w:t>
            </w:r>
            <w:r/>
          </w:p>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3.实验台力学性能—独立式实验台稳定性</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（1）水平冲击稳定性试验：符合标准要求；</w:t>
            </w:r>
            <w:r/>
          </w:p>
          <w:p>
            <w:pPr>
              <w:ind w:left="0" w:right="0"/>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（2）垂直加载稳定性试验：符合标准要求。</w:t>
            </w:r>
            <w:r/>
          </w:p>
        </w:tc>
        <w:tc>
          <w:tcPr>
            <w:tcBorders>
              <w:top w:val="single" w:color="000000" w:sz="4" w:space="0"/>
              <w:left w:val="single" w:color="000000" w:sz="4" w:space="0"/>
              <w:bottom w:val="single" w:color="000000" w:sz="4" w:space="0"/>
              <w:right w:val="single" w:color="000000" w:sz="4" w:space="0"/>
            </w:tcBorders>
            <w:tcW w:w="2878" w:type="dxa"/>
            <w:vAlign w:val="top"/>
            <w:textDirection w:val="lrTb"/>
            <w:noWrap w:val="false"/>
          </w:tcPr>
          <w:p>
            <w:pPr>
              <w:numPr>
                <w:ilvl w:val="-1"/>
                <w:numId w:val="0"/>
              </w:numPr>
              <w:ind w:left="0" w:right="0" w:firstLine="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检测项目及要求：</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b/>
                <w:bCs/>
                <w:i w:val="0"/>
                <w:iCs w:val="0"/>
                <w:caps w:val="0"/>
                <w:color w:val="auto"/>
                <w:spacing w:val="0"/>
                <w:sz w:val="24"/>
                <w:szCs w:val="24"/>
                <w:highlight w:val="none"/>
                <w:shd w:val="clear" w:color="auto" w:fill="ffffff"/>
              </w:rPr>
              <w:t xml:space="preserve">理化性能—通用要求（电镀层抗盐雾）</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盐雾试验时间≥</w:t>
            </w:r>
            <w:r>
              <w:rPr>
                <w:rFonts w:hint="eastAsia" w:ascii="宋体" w:hAnsi="宋体" w:cs="宋体"/>
                <w:i w:val="0"/>
                <w:iCs w:val="0"/>
                <w:caps w:val="0"/>
                <w:color w:val="auto"/>
                <w:spacing w:val="0"/>
                <w:sz w:val="24"/>
                <w:szCs w:val="24"/>
                <w:highlight w:val="none"/>
                <w:shd w:val="clear" w:color="auto" w:fill="ffffff"/>
                <w:lang w:val="en-US" w:eastAsia="zh-CN"/>
              </w:rPr>
              <w:t xml:space="preserve">36</w:t>
            </w:r>
            <w:r>
              <w:rPr>
                <w:rFonts w:hint="eastAsia" w:ascii="宋体" w:hAnsi="宋体" w:eastAsia="宋体" w:cs="宋体"/>
                <w:i w:val="0"/>
                <w:iCs w:val="0"/>
                <w:caps w:val="0"/>
                <w:color w:val="auto"/>
                <w:spacing w:val="0"/>
                <w:sz w:val="24"/>
                <w:szCs w:val="24"/>
                <w:highlight w:val="none"/>
                <w:shd w:val="clear" w:color="auto" w:fill="ffffff"/>
              </w:rPr>
              <w:t xml:space="preserve">h，直径1.5mm以下锈点≤20点/dm²，其中直径≥1.0mm锈点不超过</w:t>
            </w:r>
            <w:r>
              <w:rPr>
                <w:rFonts w:hint="eastAsia" w:ascii="宋体" w:hAnsi="宋体" w:cs="宋体"/>
                <w:i w:val="0"/>
                <w:iCs w:val="0"/>
                <w:caps w:val="0"/>
                <w:color w:val="auto"/>
                <w:spacing w:val="0"/>
                <w:sz w:val="24"/>
                <w:szCs w:val="24"/>
                <w:highlight w:val="none"/>
                <w:shd w:val="clear" w:color="auto" w:fill="ffffff"/>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点（距边缘棱角2mm以内的锈点不计）。</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b/>
                <w:bCs/>
                <w:i w:val="0"/>
                <w:iCs w:val="0"/>
                <w:caps w:val="0"/>
                <w:color w:val="auto"/>
                <w:spacing w:val="0"/>
                <w:sz w:val="24"/>
                <w:szCs w:val="24"/>
                <w:highlight w:val="none"/>
                <w:shd w:val="clear" w:color="auto" w:fill="ffffff"/>
              </w:rPr>
              <w:t xml:space="preserve">实验台力学性能—实验台强度</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（1）水平静载荷试验：符合标准要求；</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（2）主台面垂直静载荷试验：符合标准要求；</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（3）台面挠度试验：符合标准要求；</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（4）跌落试验：符合标准要求。</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b/>
                <w:bCs/>
                <w:i w:val="0"/>
                <w:iCs w:val="0"/>
                <w:caps w:val="0"/>
                <w:color w:val="auto"/>
                <w:spacing w:val="0"/>
                <w:sz w:val="24"/>
                <w:szCs w:val="24"/>
                <w:highlight w:val="none"/>
                <w:shd w:val="clear" w:color="auto" w:fill="ffffff"/>
              </w:rPr>
              <w:t xml:space="preserve">实验台力学性能—独立式实验台稳定性</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（1）水平冲击稳定性试验：符合标准要求；</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（2）垂直加载稳定性试验：符合标准要求。</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满足以上要求的得</w:t>
            </w:r>
            <w:r>
              <w:rPr>
                <w:rFonts w:hint="eastAsia" w:ascii="宋体" w:hAnsi="宋体" w:cs="宋体"/>
                <w:b/>
                <w:color w:val="auto"/>
                <w:sz w:val="24"/>
                <w:szCs w:val="24"/>
                <w:highlight w:val="none"/>
                <w:lang w:val="en-US" w:eastAsia="zh-CN"/>
              </w:rPr>
              <w:t xml:space="preserve">0.5</w:t>
            </w:r>
            <w:r>
              <w:rPr>
                <w:rFonts w:hint="eastAsia" w:ascii="宋体" w:hAnsi="宋体" w:eastAsia="宋体" w:cs="宋体"/>
                <w:b/>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2934" w:type="dxa"/>
            <w:vAlign w:val="top"/>
            <w:textDirection w:val="lrTb"/>
            <w:noWrap w:val="false"/>
          </w:tcPr>
          <w:p>
            <w:pPr>
              <w:numPr>
                <w:ilvl w:val="-1"/>
                <w:numId w:val="0"/>
              </w:numPr>
              <w:ind w:left="0" w:right="0" w:firstLine="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检测项目及要求：</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b/>
                <w:bCs/>
                <w:i w:val="0"/>
                <w:iCs w:val="0"/>
                <w:caps w:val="0"/>
                <w:color w:val="auto"/>
                <w:spacing w:val="0"/>
                <w:sz w:val="24"/>
                <w:szCs w:val="24"/>
                <w:highlight w:val="none"/>
                <w:shd w:val="clear" w:color="auto" w:fill="ffffff"/>
              </w:rPr>
              <w:t xml:space="preserve">理化性能—通用要求（电镀层抗盐雾）</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盐雾试验时间≥</w:t>
            </w:r>
            <w:r>
              <w:rPr>
                <w:rFonts w:hint="eastAsia" w:ascii="宋体" w:hAnsi="宋体" w:cs="宋体"/>
                <w:i w:val="0"/>
                <w:iCs w:val="0"/>
                <w:caps w:val="0"/>
                <w:color w:val="auto"/>
                <w:spacing w:val="0"/>
                <w:sz w:val="24"/>
                <w:szCs w:val="24"/>
                <w:highlight w:val="none"/>
                <w:shd w:val="clear" w:color="auto" w:fill="ffffff"/>
                <w:lang w:val="en-US" w:eastAsia="zh-CN"/>
              </w:rPr>
              <w:t xml:space="preserve">54</w:t>
            </w:r>
            <w:r>
              <w:rPr>
                <w:rFonts w:hint="eastAsia" w:ascii="宋体" w:hAnsi="宋体" w:eastAsia="宋体" w:cs="宋体"/>
                <w:i w:val="0"/>
                <w:iCs w:val="0"/>
                <w:caps w:val="0"/>
                <w:color w:val="auto"/>
                <w:spacing w:val="0"/>
                <w:sz w:val="24"/>
                <w:szCs w:val="24"/>
                <w:highlight w:val="none"/>
                <w:shd w:val="clear" w:color="auto" w:fill="ffffff"/>
              </w:rPr>
              <w:t xml:space="preserve">h，直径1.5mm以下锈点≤20点/dm²，其中直径≥1.0mm锈点不超过</w:t>
            </w:r>
            <w:r>
              <w:rPr>
                <w:rFonts w:hint="eastAsia" w:ascii="宋体" w:hAnsi="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点（距边缘棱角2mm以内的锈点不计）。</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b/>
                <w:bCs/>
                <w:i w:val="0"/>
                <w:iCs w:val="0"/>
                <w:caps w:val="0"/>
                <w:color w:val="auto"/>
                <w:spacing w:val="0"/>
                <w:sz w:val="24"/>
                <w:szCs w:val="24"/>
                <w:highlight w:val="none"/>
                <w:shd w:val="clear" w:color="auto" w:fill="ffffff"/>
              </w:rPr>
              <w:t xml:space="preserve">实验台力学性能—实验台强度</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（1）水平静载荷试验：符合标准要求；</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（2）主台面垂直静载荷试验：符合标准要求；</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（3）台面挠度试验：符合标准要求；</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（4）跌落试验：符合标准要求。</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b/>
                <w:bCs/>
                <w:i w:val="0"/>
                <w:iCs w:val="0"/>
                <w:caps w:val="0"/>
                <w:color w:val="auto"/>
                <w:spacing w:val="0"/>
                <w:sz w:val="24"/>
                <w:szCs w:val="24"/>
                <w:highlight w:val="none"/>
                <w:shd w:val="clear" w:color="auto" w:fill="ffffff"/>
              </w:rPr>
              <w:t xml:space="preserve">实验台力学性能—独立式实验台稳定性</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（1）水平冲击稳定性试验：符合标准要求；</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（2）垂直加载稳定性试验：符合标准要求。</w:t>
            </w:r>
            <w:r/>
          </w:p>
          <w:p>
            <w:pPr>
              <w:pStyle w:val="873"/>
              <w:ind w:left="0" w:right="0" w:firstLine="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满足以上要求的得</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w:t>
            </w:r>
            <w:r/>
          </w:p>
        </w:tc>
        <w:tc>
          <w:tcPr>
            <w:gridSpan w:val="3"/>
            <w:tcBorders>
              <w:top w:val="single" w:color="000000" w:sz="4" w:space="0"/>
              <w:left w:val="single" w:color="000000" w:sz="4" w:space="0"/>
              <w:bottom w:val="single" w:color="000000" w:sz="4" w:space="0"/>
              <w:right w:val="single" w:color="000000" w:sz="4" w:space="0"/>
            </w:tcBorders>
            <w:tcW w:w="8558"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铝合金万向罩（抽检）采用的检测标准：GB/T 10125-2021</w:t>
            </w:r>
            <w:r>
              <w:rPr>
                <w:rFonts w:hint="eastAsia" w:ascii="宋体" w:hAnsi="宋体" w:cs="宋体"/>
                <w:color w:val="auto"/>
                <w:sz w:val="24"/>
                <w:szCs w:val="24"/>
                <w:highlight w:val="none"/>
                <w:lang w:eastAsia="zh-CN"/>
              </w:rPr>
              <w:t xml:space="preserve">、GB/T 6461-2002。</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4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rPr>
              <w:t xml:space="preserve">检测项目及要求：</w:t>
            </w:r>
            <w:r/>
          </w:p>
          <w:p>
            <w:pPr>
              <w:ind w:left="0" w:right="0"/>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b/>
                <w:bCs w:val="0"/>
                <w:color w:val="auto"/>
                <w:sz w:val="24"/>
                <w:szCs w:val="24"/>
                <w:highlight w:val="none"/>
              </w:rPr>
              <w:t xml:space="preserve">中性盐雾试验</w:t>
            </w:r>
            <w:r>
              <w:rPr>
                <w:rFonts w:hint="eastAsia" w:ascii="宋体" w:hAnsi="宋体" w:eastAsia="宋体" w:cs="宋体"/>
                <w:bCs/>
                <w:color w:val="auto"/>
                <w:sz w:val="24"/>
                <w:szCs w:val="24"/>
                <w:highlight w:val="none"/>
              </w:rPr>
              <w:t xml:space="preserve">：试验时间≥</w:t>
            </w:r>
            <w:r>
              <w:rPr>
                <w:rFonts w:hint="eastAsia" w:ascii="宋体" w:hAnsi="宋体" w:cs="宋体"/>
                <w:bCs/>
                <w:color w:val="auto"/>
                <w:sz w:val="24"/>
                <w:szCs w:val="24"/>
                <w:highlight w:val="none"/>
                <w:lang w:val="en-US" w:eastAsia="zh-CN"/>
              </w:rPr>
              <w:t xml:space="preserve">240</w:t>
            </w:r>
            <w:r>
              <w:rPr>
                <w:rFonts w:hint="eastAsia" w:ascii="宋体" w:hAnsi="宋体" w:eastAsia="宋体" w:cs="宋体"/>
                <w:bCs/>
                <w:color w:val="auto"/>
                <w:sz w:val="24"/>
                <w:szCs w:val="24"/>
                <w:highlight w:val="none"/>
              </w:rPr>
              <w:t xml:space="preserve">小时，保护等级≥6级。</w:t>
            </w:r>
            <w:r/>
          </w:p>
        </w:tc>
        <w:tc>
          <w:tcPr>
            <w:tcBorders>
              <w:top w:val="single" w:color="000000" w:sz="4" w:space="0"/>
              <w:left w:val="single" w:color="000000" w:sz="4" w:space="0"/>
              <w:bottom w:val="single" w:color="000000" w:sz="4" w:space="0"/>
              <w:right w:val="single" w:color="000000" w:sz="4" w:space="0"/>
            </w:tcBorders>
            <w:tcW w:w="2878" w:type="dxa"/>
            <w:vAlign w:val="top"/>
            <w:textDirection w:val="lrTb"/>
            <w:noWrap w:val="false"/>
          </w:tcPr>
          <w:p>
            <w:pPr>
              <w:pStyle w:val="873"/>
              <w:ind w:left="0" w:right="0" w:firstLine="0"/>
              <w:keepLines w:val="0"/>
              <w:keepNext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rPr>
              <w:t xml:space="preserve">检测项目及要求：</w:t>
            </w:r>
            <w:r/>
          </w:p>
          <w:p>
            <w:pPr>
              <w:pStyle w:val="873"/>
              <w:ind w:left="0" w:right="0" w:firstLine="0"/>
              <w:keepLines w:val="0"/>
              <w:keepNext w:val="0"/>
              <w:spacing w:before="0" w:beforeAutospacing="0" w:after="0" w:afterAutospacing="0" w:line="360" w:lineRule="auto"/>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
                <w:bCs w:val="0"/>
                <w:color w:val="auto"/>
                <w:sz w:val="24"/>
                <w:szCs w:val="24"/>
                <w:highlight w:val="none"/>
              </w:rPr>
              <w:t xml:space="preserve">中性盐雾试验</w:t>
            </w:r>
            <w:r>
              <w:rPr>
                <w:rFonts w:hint="eastAsia" w:ascii="宋体" w:hAnsi="宋体" w:eastAsia="宋体" w:cs="宋体"/>
                <w:bCs/>
                <w:color w:val="auto"/>
                <w:sz w:val="24"/>
                <w:szCs w:val="24"/>
                <w:highlight w:val="none"/>
              </w:rPr>
              <w:t xml:space="preserve">：试验时间≥</w:t>
            </w:r>
            <w:r>
              <w:rPr>
                <w:rFonts w:hint="eastAsia" w:ascii="宋体" w:hAnsi="宋体" w:cs="宋体"/>
                <w:bCs/>
                <w:color w:val="auto"/>
                <w:sz w:val="24"/>
                <w:szCs w:val="24"/>
                <w:highlight w:val="none"/>
                <w:lang w:val="en-US" w:eastAsia="zh-CN"/>
              </w:rPr>
              <w:t xml:space="preserve">240</w:t>
            </w:r>
            <w:r>
              <w:rPr>
                <w:rFonts w:hint="eastAsia" w:ascii="宋体" w:hAnsi="宋体" w:eastAsia="宋体" w:cs="宋体"/>
                <w:bCs/>
                <w:color w:val="auto"/>
                <w:sz w:val="24"/>
                <w:szCs w:val="24"/>
                <w:highlight w:val="none"/>
              </w:rPr>
              <w:t xml:space="preserve">小时，保护等级≥</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级。</w:t>
            </w:r>
            <w:r/>
          </w:p>
          <w:p>
            <w:pPr>
              <w:pStyle w:val="873"/>
              <w:ind w:left="0" w:right="0" w:firstLine="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满足以上要求的得</w:t>
            </w:r>
            <w:r>
              <w:rPr>
                <w:rFonts w:hint="eastAsia" w:ascii="宋体" w:hAnsi="宋体" w:cs="宋体"/>
                <w:b/>
                <w:color w:val="auto"/>
                <w:sz w:val="24"/>
                <w:szCs w:val="24"/>
                <w:highlight w:val="none"/>
                <w:lang w:val="en-US" w:eastAsia="zh-CN"/>
              </w:rPr>
              <w:t xml:space="preserve">0.5</w:t>
            </w:r>
            <w:r>
              <w:rPr>
                <w:rFonts w:hint="eastAsia" w:ascii="宋体" w:hAnsi="宋体" w:eastAsia="宋体" w:cs="宋体"/>
                <w:b/>
                <w:bCs/>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2934"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检测项目及要求：</w:t>
            </w:r>
            <w:r/>
          </w:p>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中性盐雾试验</w:t>
            </w:r>
            <w:r>
              <w:rPr>
                <w:rFonts w:hint="eastAsia" w:ascii="宋体" w:hAnsi="宋体" w:eastAsia="宋体" w:cs="宋体"/>
                <w:color w:val="auto"/>
                <w:sz w:val="24"/>
                <w:szCs w:val="24"/>
                <w:highlight w:val="none"/>
              </w:rPr>
              <w:t xml:space="preserve">：试验时间≥</w:t>
            </w:r>
            <w:r>
              <w:rPr>
                <w:rFonts w:hint="eastAsia" w:ascii="宋体" w:hAnsi="宋体" w:cs="宋体"/>
                <w:color w:val="auto"/>
                <w:sz w:val="24"/>
                <w:szCs w:val="24"/>
                <w:highlight w:val="none"/>
                <w:lang w:val="en-US" w:eastAsia="zh-CN"/>
              </w:rPr>
              <w:t xml:space="preserve">240</w:t>
            </w:r>
            <w:r>
              <w:rPr>
                <w:rFonts w:hint="eastAsia" w:ascii="宋体" w:hAnsi="宋体" w:eastAsia="宋体" w:cs="宋体"/>
                <w:color w:val="auto"/>
                <w:sz w:val="24"/>
                <w:szCs w:val="24"/>
                <w:highlight w:val="none"/>
              </w:rPr>
              <w:t xml:space="preserve">小时，保护等级</w:t>
            </w:r>
            <w:r>
              <w:rPr>
                <w:rFonts w:hint="eastAsia" w:ascii="宋体" w:hAnsi="宋体" w:cs="宋体"/>
                <w:color w:val="auto"/>
                <w:sz w:val="24"/>
                <w:szCs w:val="24"/>
                <w:highlight w:val="none"/>
                <w:lang w:val="en-US" w:eastAsia="zh-CN"/>
              </w:rPr>
              <w:t xml:space="preserve">为10</w:t>
            </w:r>
            <w:r>
              <w:rPr>
                <w:rFonts w:hint="eastAsia" w:ascii="宋体" w:hAnsi="宋体" w:eastAsia="宋体" w:cs="宋体"/>
                <w:color w:val="auto"/>
                <w:sz w:val="24"/>
                <w:szCs w:val="24"/>
                <w:highlight w:val="none"/>
              </w:rPr>
              <w:t xml:space="preserve">级。</w:t>
            </w:r>
            <w:r/>
          </w:p>
          <w:p>
            <w:pPr>
              <w:pStyle w:val="873"/>
              <w:ind w:left="0" w:right="0" w:firstLine="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满足以上要求的得</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w:t>
            </w:r>
            <w:r/>
          </w:p>
        </w:tc>
        <w:tc>
          <w:tcPr>
            <w:gridSpan w:val="3"/>
            <w:tcBorders>
              <w:top w:val="single" w:color="000000" w:sz="4" w:space="0"/>
              <w:left w:val="single" w:color="000000" w:sz="4" w:space="0"/>
              <w:bottom w:val="single" w:color="000000" w:sz="4" w:space="0"/>
              <w:right w:val="single" w:color="000000" w:sz="4" w:space="0"/>
            </w:tcBorders>
            <w:tcW w:w="8558" w:type="dxa"/>
            <w:vAlign w:val="top"/>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准备台（抽检）采用的检测标准：GB/T 24820-2024</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46"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检测项目及要求：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1.抽屉下垂度</w:t>
            </w:r>
            <w:r>
              <w:rPr>
                <w:rFonts w:hint="eastAsia" w:ascii="宋体" w:hAnsi="宋体" w:eastAsia="宋体" w:cs="宋体"/>
                <w:color w:val="auto"/>
                <w:sz w:val="24"/>
                <w:szCs w:val="24"/>
                <w:highlight w:val="none"/>
              </w:rPr>
              <w:t xml:space="preserve">≤20mm；</w:t>
            </w:r>
            <w:r>
              <w:rPr>
                <w:rFonts w:hint="eastAsia" w:ascii="宋体" w:hAnsi="宋体" w:eastAsia="宋体" w:cs="宋体"/>
                <w:b/>
                <w:bCs/>
                <w:color w:val="auto"/>
                <w:sz w:val="24"/>
                <w:szCs w:val="24"/>
                <w:highlight w:val="none"/>
              </w:rPr>
              <w:t xml:space="preserve">抽屉摆动度</w:t>
            </w:r>
            <w:r>
              <w:rPr>
                <w:rFonts w:hint="eastAsia" w:ascii="宋体" w:hAnsi="宋体" w:eastAsia="宋体" w:cs="宋体"/>
                <w:color w:val="auto"/>
                <w:sz w:val="24"/>
                <w:szCs w:val="24"/>
                <w:highlight w:val="none"/>
              </w:rPr>
              <w:t xml:space="preserve">≤15mm；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2.着地平稳性</w:t>
            </w:r>
            <w:r>
              <w:rPr>
                <w:rFonts w:hint="eastAsia" w:ascii="宋体" w:hAnsi="宋体" w:eastAsia="宋体" w:cs="宋体"/>
                <w:color w:val="auto"/>
                <w:sz w:val="24"/>
                <w:szCs w:val="24"/>
                <w:highlight w:val="none"/>
              </w:rPr>
              <w:t xml:space="preserve">≤2.0mm；</w:t>
            </w:r>
            <w:r/>
          </w:p>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3.外观：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台面不应有裂缝、渗透现象；台面不应有污物、杂质；</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人造板件外观：外表应无干花、湿花；同一板面外表，允许1处，面积在3mm²~30mm²内；外表应无明显划痕；外表应无明显压痕；外表应无明显色差；外表应无鼓泡、龟裂、分层；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金属件外观：焊接处应无脱焊、虚焊、焊穿、错位；焊接处应无夹渣、气孔、焊瘤、焊丝头、咬边、飞溅；焊接处表面波纹应均匀；冲压件应无脱层、裂缝；涂层应无漏喷、锈蚀和脱色、掉色现象；涂层应光滑均匀，色泽一致，应无流挂、疙瘩、皱皮、飞漆等缺陷；表面应无剥落、返锈、毛刺；表面应无烧焦、起泡、针孔、裂纹、花斑（不包括镀彩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和划痕。</w:t>
            </w:r>
            <w:r/>
          </w:p>
          <w:p>
            <w:pPr>
              <w:ind w:left="0" w:right="0"/>
              <w:jc w:val="left"/>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b/>
                <w:bCs/>
                <w:color w:val="auto"/>
                <w:sz w:val="24"/>
                <w:szCs w:val="24"/>
                <w:highlight w:val="none"/>
              </w:rPr>
              <w:t xml:space="preserve">4.安全性能</w:t>
            </w:r>
            <w:r>
              <w:rPr>
                <w:rFonts w:hint="eastAsia" w:ascii="宋体" w:hAnsi="宋体" w:eastAsia="宋体" w:cs="宋体"/>
                <w:color w:val="auto"/>
                <w:sz w:val="24"/>
                <w:szCs w:val="24"/>
                <w:highlight w:val="none"/>
              </w:rPr>
              <w:t xml:space="preserve">：实验台面接缝应平整、紧密，不应渗水、开缝。</w:t>
            </w:r>
            <w:r/>
          </w:p>
        </w:tc>
        <w:tc>
          <w:tcPr>
            <w:tcBorders>
              <w:top w:val="single" w:color="000000" w:sz="4" w:space="0"/>
              <w:left w:val="single" w:color="000000" w:sz="4" w:space="0"/>
              <w:bottom w:val="single" w:color="000000" w:sz="4" w:space="0"/>
              <w:right w:val="single" w:color="000000" w:sz="4" w:space="0"/>
            </w:tcBorders>
            <w:tcW w:w="2878"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检测项目及要求：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1.抽屉下垂度</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rPr>
              <w:t xml:space="preserve">mm；</w:t>
            </w:r>
            <w:r>
              <w:rPr>
                <w:rFonts w:hint="eastAsia" w:ascii="宋体" w:hAnsi="宋体" w:eastAsia="宋体" w:cs="宋体"/>
                <w:b/>
                <w:bCs/>
                <w:color w:val="auto"/>
                <w:sz w:val="24"/>
                <w:szCs w:val="24"/>
                <w:highlight w:val="none"/>
              </w:rPr>
              <w:t xml:space="preserve">抽屉摆动度</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2.着地平稳性</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mm；</w:t>
            </w:r>
            <w:r/>
          </w:p>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3.外观：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台面不应有裂缝、渗透现象；台面不应有污物、杂质；</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人造板件外观：外表应无干花、湿花；同一板面外表，允许1处，面积在3mm²~30mm²内；外表应无明显划痕；外表应无明显压痕；外表应无明显色差；外表应无鼓泡、龟裂、分层；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金属件外观：焊接处应无脱焊、虚焊、焊穿、错位；焊接处应无夹渣、气孔、焊瘤、焊丝头、咬边、飞溅；焊接处表面波纹应均匀；冲压件应无脱层、裂缝；涂层应无漏喷、锈蚀和脱色、掉色现象；涂层应光滑均匀，色泽一致，应无流挂、疙瘩、皱皮、飞漆等缺陷；表面应无剥落、返锈、毛刺；表面应无烧焦、起泡、针孔、裂纹、花斑（不包括镀彩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和划痕。</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b/>
                <w:bCs/>
                <w:color w:val="auto"/>
                <w:sz w:val="24"/>
                <w:szCs w:val="24"/>
                <w:highlight w:val="none"/>
              </w:rPr>
              <w:t xml:space="preserve">4.安全性能</w:t>
            </w:r>
            <w:r>
              <w:rPr>
                <w:rFonts w:hint="eastAsia" w:ascii="宋体" w:hAnsi="宋体" w:eastAsia="宋体" w:cs="宋体"/>
                <w:color w:val="auto"/>
                <w:sz w:val="24"/>
                <w:szCs w:val="24"/>
                <w:highlight w:val="none"/>
              </w:rPr>
              <w:t xml:space="preserve">：实验台面接缝应平整、紧密，不应渗水、开缝。</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满足以上要求的得</w:t>
            </w:r>
            <w:r>
              <w:rPr>
                <w:rFonts w:hint="eastAsia" w:ascii="宋体" w:hAnsi="宋体" w:eastAsia="宋体" w:cs="宋体"/>
                <w:b/>
                <w:bCs/>
                <w:color w:val="auto"/>
                <w:sz w:val="24"/>
                <w:szCs w:val="24"/>
                <w:highlight w:val="none"/>
                <w:lang w:val="en-US" w:eastAsia="zh-CN"/>
              </w:rPr>
              <w:t xml:space="preserve">0.5</w:t>
            </w:r>
            <w:r>
              <w:rPr>
                <w:rFonts w:hint="eastAsia" w:ascii="宋体" w:hAnsi="宋体" w:eastAsia="宋体" w:cs="宋体"/>
                <w:b/>
                <w:bCs/>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2934"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检测项目及要求：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1.抽屉下垂度</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0mm；</w:t>
            </w:r>
            <w:r>
              <w:rPr>
                <w:rFonts w:hint="eastAsia" w:ascii="宋体" w:hAnsi="宋体" w:eastAsia="宋体" w:cs="宋体"/>
                <w:b/>
                <w:bCs/>
                <w:color w:val="auto"/>
                <w:sz w:val="24"/>
                <w:szCs w:val="24"/>
                <w:highlight w:val="none"/>
              </w:rPr>
              <w:t xml:space="preserve">抽屉摆动度</w:t>
            </w:r>
            <w:r>
              <w:rPr>
                <w:rFonts w:hint="eastAsia" w:ascii="宋体" w:hAnsi="宋体" w:eastAsia="宋体" w:cs="宋体"/>
                <w:color w:val="auto"/>
                <w:sz w:val="24"/>
                <w:szCs w:val="24"/>
                <w:highlight w:val="none"/>
              </w:rPr>
              <w:t xml:space="preserve">≤5mm；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2.着地平稳性</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.0mm；</w:t>
            </w:r>
            <w:r/>
          </w:p>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3.外观：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台面不应有裂缝、渗透现象；台面不应有污物、杂质；</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人造板件外观：外表应无干花、湿花；同一板面外表，允许1处，面积在3mm²~30mm²内；外表应无明显划痕；外表应无明显压痕；外表应无明显色差；外表应无鼓泡、龟裂、分层；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金属件外观：焊接处应无脱焊、虚焊、焊穿、错位；焊接处应无夹渣、气孔、焊瘤、焊丝头、咬边、飞溅；焊接处表面波纹应均匀；冲压件应无脱层、裂缝；涂层应无漏喷、锈蚀和脱色、掉色现象；涂层应光滑均匀，色泽一致，应无流挂、疙瘩、皱皮、飞漆等缺陷；表面应无剥落、返锈、毛刺；表面应无烧焦、起泡、针孔、裂纹、花斑（不包括镀彩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和划痕。</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4.安全性能</w:t>
            </w:r>
            <w:r>
              <w:rPr>
                <w:rFonts w:hint="eastAsia" w:ascii="宋体" w:hAnsi="宋体" w:eastAsia="宋体" w:cs="宋体"/>
                <w:color w:val="auto"/>
                <w:sz w:val="24"/>
                <w:szCs w:val="24"/>
                <w:highlight w:val="none"/>
              </w:rPr>
              <w:t xml:space="preserve">：实验台面接缝应平整、紧密，不应渗水、开缝。</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满足以上要求的得</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5</w:t>
            </w:r>
            <w:r/>
          </w:p>
        </w:tc>
        <w:tc>
          <w:tcPr>
            <w:gridSpan w:val="3"/>
            <w:tcBorders>
              <w:top w:val="single" w:color="000000" w:sz="4" w:space="0"/>
              <w:left w:val="single" w:color="000000" w:sz="4" w:space="0"/>
              <w:bottom w:val="single" w:color="000000" w:sz="4" w:space="0"/>
              <w:right w:val="single" w:color="000000" w:sz="4" w:space="0"/>
            </w:tcBorders>
            <w:tcW w:w="8558" w:type="dxa"/>
            <w:vAlign w:val="top"/>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药品柜（抽检）采用的检测标准：GB/T 24820-2024</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46" w:type="dxa"/>
            <w:vAlign w:val="top"/>
            <w:textDirection w:val="lrTb"/>
            <w:noWrap w:val="false"/>
          </w:tcPr>
          <w:p>
            <w:pPr>
              <w:numPr>
                <w:ilvl w:val="-1"/>
                <w:numId w:val="0"/>
              </w:numPr>
              <w:ind w:left="0" w:right="0" w:firstLine="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检测项目及要求：</w:t>
            </w:r>
            <w:r/>
          </w:p>
          <w:p>
            <w:pPr>
              <w:ind w:left="0" w:right="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
                <w:bCs w:val="0"/>
                <w:color w:val="auto"/>
                <w:sz w:val="24"/>
                <w:szCs w:val="24"/>
                <w:highlight w:val="none"/>
              </w:rPr>
              <w:t xml:space="preserve">1.着地平稳性</w:t>
            </w:r>
            <w:r>
              <w:rPr>
                <w:rFonts w:hint="eastAsia" w:ascii="宋体" w:hAnsi="宋体" w:eastAsia="宋体" w:cs="宋体"/>
                <w:bCs/>
                <w:color w:val="auto"/>
                <w:sz w:val="24"/>
                <w:szCs w:val="24"/>
                <w:highlight w:val="none"/>
              </w:rPr>
              <w:t xml:space="preserve">≤2.0mm；</w:t>
            </w:r>
            <w:r/>
          </w:p>
          <w:p>
            <w:pPr>
              <w:ind w:left="0" w:right="0"/>
              <w:keepLines w:val="0"/>
              <w:keepNext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rPr>
              <w:t xml:space="preserve">2.外观：</w:t>
            </w:r>
            <w:r/>
          </w:p>
          <w:p>
            <w:pPr>
              <w:ind w:left="0" w:right="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玻璃件外观：外露周边应磨边处理，安装牢固；玻璃应光洁平滑，不应有裂纹、划伤、沙粒、疙瘩和麻点等缺陷；</w:t>
            </w:r>
            <w:r/>
          </w:p>
          <w:p>
            <w:pPr>
              <w:ind w:left="0" w:right="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金属件外观：冲压件应无脱层、裂缝；涂层应无漏喷、锈蚀和脱色、掉色现象；涂层应光滑均匀，色泽一致，应无流挂、疙瘩、皱皮、飞漆等缺陷；表面应无剥落、返锈、毛刺；表面应无烧焦、起泡、针孔、裂纹、花斑（不包括镀彩锌)和划痕；</w:t>
            </w:r>
            <w:r/>
          </w:p>
          <w:p>
            <w:pPr>
              <w:ind w:left="0" w:right="0"/>
              <w:keepLines w:val="0"/>
              <w:keepNext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rPr>
              <w:t xml:space="preserve">3.安全性能-产品结构安全中通用结构安全：</w:t>
            </w:r>
            <w:r/>
          </w:p>
          <w:p>
            <w:pPr>
              <w:ind w:left="0" w:right="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基本结构安全：正常使用时，其他部件表面应无锐边、锐角。按产品标准进行稳定性试验时，不应发生倾翻。固定零部件的结合应牢固无松动，应无少件、透钉、漏钉。</w:t>
            </w:r>
            <w:r/>
          </w:p>
          <w:p>
            <w:pPr>
              <w:ind w:left="0" w:right="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剪切和挤压点-使用过程中的剪切和挤压：在预定的使用条件下，不应有可触及的剪切和挤压点。正常使用中受力作用下可接触间隙用半球形手指探棒试验，间隙应小于7mm或不小于18mm。</w:t>
            </w:r>
            <w:r/>
          </w:p>
          <w:p>
            <w:pPr>
              <w:ind w:left="0" w:right="0"/>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基本结构安全：正常使用时，可接触到的边、角都应进行倒圆、倒角、砂光或以其他合适的方式进行保护。倒圆半径应不小于0.5mm。</w:t>
            </w:r>
            <w:r/>
          </w:p>
        </w:tc>
        <w:tc>
          <w:tcPr>
            <w:tcBorders>
              <w:top w:val="single" w:color="000000" w:sz="4" w:space="0"/>
              <w:left w:val="single" w:color="000000" w:sz="4" w:space="0"/>
              <w:bottom w:val="single" w:color="000000" w:sz="4" w:space="0"/>
              <w:right w:val="single" w:color="000000" w:sz="4" w:space="0"/>
            </w:tcBorders>
            <w:tcW w:w="2878" w:type="dxa"/>
            <w:vAlign w:val="top"/>
            <w:textDirection w:val="lrTb"/>
            <w:noWrap w:val="false"/>
          </w:tcPr>
          <w:p>
            <w:pPr>
              <w:numPr>
                <w:ilvl w:val="-1"/>
                <w:numId w:val="0"/>
              </w:numPr>
              <w:ind w:left="0" w:right="0" w:firstLine="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检测项目及要求：</w:t>
            </w:r>
            <w:r/>
          </w:p>
          <w:p>
            <w:pPr>
              <w:pStyle w:val="873"/>
              <w:ind w:left="0" w:right="0" w:firstLine="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
                <w:bCs w:val="0"/>
                <w:color w:val="auto"/>
                <w:sz w:val="24"/>
                <w:szCs w:val="24"/>
                <w:highlight w:val="none"/>
              </w:rPr>
              <w:t xml:space="preserve">1.着地平稳性</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mm；</w:t>
            </w:r>
            <w:r/>
          </w:p>
          <w:p>
            <w:pPr>
              <w:pStyle w:val="873"/>
              <w:ind w:left="0" w:right="0" w:firstLine="0"/>
              <w:keepLines w:val="0"/>
              <w:keepNext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rPr>
              <w:t xml:space="preserve">2.外观：</w:t>
            </w:r>
            <w:r/>
          </w:p>
          <w:p>
            <w:pPr>
              <w:pStyle w:val="873"/>
              <w:ind w:left="0" w:right="0" w:firstLine="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玻璃件外观：外露周边应磨边处理，安装牢固；玻璃应光洁平滑，不应有裂纹、划伤、沙粒、疙瘩和麻点等缺陷；</w:t>
            </w:r>
            <w:r/>
          </w:p>
          <w:p>
            <w:pPr>
              <w:pStyle w:val="873"/>
              <w:ind w:left="0" w:right="0" w:firstLine="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金属件外观：冲压件应无脱层、裂缝；涂层应无漏喷、锈蚀和脱色、掉色现象；涂层应光滑均匀，色泽一致，应无流挂、疙瘩、皱皮、飞漆等缺陷；表面应无剥落、返锈、毛刺；表面应无烧焦、起泡、针孔、裂纹、花斑（不包括镀彩锌)和划痕；</w:t>
            </w:r>
            <w:r/>
          </w:p>
          <w:p>
            <w:pPr>
              <w:pStyle w:val="873"/>
              <w:ind w:left="0" w:right="0" w:firstLine="0"/>
              <w:keepLines w:val="0"/>
              <w:keepNext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rPr>
              <w:t xml:space="preserve">3.安全性能-产品结构安全中通用结构安全：</w:t>
            </w:r>
            <w:r/>
          </w:p>
          <w:p>
            <w:pPr>
              <w:pStyle w:val="873"/>
              <w:ind w:left="0" w:right="0" w:firstLine="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基本结构安全：正常使用时，其他部件表面应无锐边、锐角。按产品标准进行稳定性试验时，不应发生倾翻。固定零部件的结合应牢固无松动，应无少件、透钉、漏钉。</w:t>
            </w:r>
            <w:r/>
          </w:p>
          <w:p>
            <w:pPr>
              <w:pStyle w:val="873"/>
              <w:ind w:left="0" w:right="0" w:firstLine="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剪切和挤压点-使用过程中的剪切和挤压：在预定的使用条件下，不应有可触及的剪切和挤压点。正常使用中受力作用下可接触间隙用半球形手指探棒试验，间隙应小于7mm或不小于18mm。</w:t>
            </w:r>
            <w:r/>
          </w:p>
          <w:p>
            <w:pPr>
              <w:pStyle w:val="873"/>
              <w:ind w:left="0" w:right="0" w:firstLine="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基本结构安全：正常使用时，可接触到的边、角都应进行倒圆、倒角、砂光或以其他合适的方式进行保护。倒圆半径应不小于0.5mm。</w:t>
            </w:r>
            <w:r/>
          </w:p>
          <w:p>
            <w:pPr>
              <w:pStyle w:val="873"/>
              <w:ind w:left="0" w:right="0" w:firstLine="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满足以上要求的得</w:t>
            </w:r>
            <w:r>
              <w:rPr>
                <w:rFonts w:hint="eastAsia" w:ascii="宋体" w:hAnsi="宋体" w:cs="宋体"/>
                <w:b/>
                <w:color w:val="auto"/>
                <w:sz w:val="24"/>
                <w:szCs w:val="24"/>
                <w:highlight w:val="none"/>
                <w:lang w:val="en-US" w:eastAsia="zh-CN"/>
              </w:rPr>
              <w:t xml:space="preserve">0.5</w:t>
            </w:r>
            <w:r>
              <w:rPr>
                <w:rFonts w:hint="eastAsia" w:ascii="宋体" w:hAnsi="宋体" w:eastAsia="宋体" w:cs="宋体"/>
                <w:b/>
                <w:bCs/>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2934" w:type="dxa"/>
            <w:vAlign w:val="top"/>
            <w:textDirection w:val="lrTb"/>
            <w:noWrap w:val="false"/>
          </w:tcPr>
          <w:p>
            <w:pPr>
              <w:numPr>
                <w:ilvl w:val="-1"/>
                <w:numId w:val="0"/>
              </w:numPr>
              <w:ind w:left="0" w:right="0" w:firstLine="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检测项目及要求：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1.着地平稳性</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.0mm；</w:t>
            </w:r>
            <w:r/>
          </w:p>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2.外观：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玻璃件外观：外露周边应磨边处理，安装牢固；玻璃应光洁平滑，不应有裂纹、划伤、沙粒、疙瘩和麻点等缺陷；</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金属件外观：冲压件应无脱层、裂缝；涂层应无漏喷、锈蚀和脱色、掉色现象；涂层应光滑均匀，色泽一致，应无流挂、疙瘩、皱皮、飞漆等缺陷；表面应无剥落、返锈、毛刺；表面应无烧焦、起泡、针孔、裂纹、花斑（不包括镀彩锌)和划痕；</w:t>
            </w:r>
            <w:r/>
          </w:p>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3.安全性能-产品结构安全中通用结构安全：</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基本结构安全：正常使用时，其他部件表面应无锐边、锐角。按产品标准进行稳定性试验时，不应发生倾翻。固定零部件的结合应牢固无松动，应无少件、透钉、漏钉。</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剪切和挤压点-使用过程中的剪切和挤压：在预定的使用条件下，不应有可触及的剪切和挤压点。正常使用中受力作用下可接触间隙用半球形手指探棒试验，间隙应小于7mm或不小于18mm。</w:t>
            </w:r>
            <w:r/>
          </w:p>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基本结构安全：正常使用时，可接触到的边、角都应进行倒圆、倒角、砂光或以其他合适的方式进行保护。倒圆半径应不小于0.5mm。</w:t>
            </w:r>
            <w:r/>
          </w:p>
          <w:p>
            <w:pPr>
              <w:pStyle w:val="873"/>
              <w:ind w:left="0" w:right="0" w:firstLine="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满足以上要求的得</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6</w:t>
            </w:r>
            <w:r/>
          </w:p>
        </w:tc>
        <w:tc>
          <w:tcPr>
            <w:gridSpan w:val="3"/>
            <w:tcBorders>
              <w:top w:val="single" w:color="000000" w:sz="4" w:space="0"/>
              <w:left w:val="single" w:color="000000" w:sz="4" w:space="0"/>
              <w:bottom w:val="single" w:color="000000" w:sz="4" w:space="0"/>
              <w:right w:val="single" w:color="000000" w:sz="4" w:space="0"/>
            </w:tcBorders>
            <w:tcW w:w="8558" w:type="dxa"/>
            <w:vAlign w:val="top"/>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通风柜（抽检）采用的检测标准：GB/T 24820-2024</w:t>
            </w:r>
            <w:r/>
          </w:p>
        </w:tc>
      </w:tr>
      <w:tr>
        <w:trPr>
          <w:trHeight w:val="896"/>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46"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rPr>
              <w:t xml:space="preserve">检测项目及要求：</w:t>
            </w:r>
            <w:r/>
          </w:p>
          <w:p>
            <w:pPr>
              <w:ind w:left="0" w:right="0"/>
              <w:jc w:val="left"/>
              <w:keepLines w:val="0"/>
              <w:keepNext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rPr>
              <w:t xml:space="preserve">1.理化性能—通用要求  表面金属喷漆（塑）涂层</w:t>
            </w:r>
            <w:r/>
          </w:p>
          <w:p>
            <w:pPr>
              <w:ind w:left="0" w:right="0"/>
              <w:jc w:val="left"/>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冲击强度：冲击高度400mm,应无剥落、裂纹、皱纹；</w:t>
            </w:r>
            <w:r/>
          </w:p>
          <w:p>
            <w:pPr>
              <w:ind w:left="0" w:right="0"/>
              <w:jc w:val="left"/>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耐腐蚀：100h内，观察在溶液中样板上划道两侧3mm以外，应无鼓泡产生；100h后，检查划道两侧3mm以外，应无锈迹、剥落、黄起皱、变色和失光等现象；</w:t>
            </w:r>
            <w:r/>
          </w:p>
          <w:p>
            <w:pPr>
              <w:ind w:left="0" w:right="0"/>
              <w:jc w:val="left"/>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附着力：应不低于2级。</w:t>
            </w:r>
            <w:r/>
          </w:p>
          <w:p>
            <w:pPr>
              <w:ind w:left="0" w:right="0"/>
              <w:jc w:val="left"/>
              <w:keepLines w:val="0"/>
              <w:keepNext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rPr>
              <w:t xml:space="preserve">2.储物柜力学性能-稳定性 </w:t>
            </w:r>
            <w:r/>
          </w:p>
          <w:p>
            <w:pPr>
              <w:ind w:left="0" w:right="0"/>
              <w:jc w:val="left"/>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所有开门、推拉构件和翻门关闭，所有储存部件空载-高度为或可调节为&gt;1000mm的试件不应倾翻；</w:t>
            </w:r>
            <w:r/>
          </w:p>
          <w:p>
            <w:pPr>
              <w:ind w:left="0" w:right="0"/>
              <w:jc w:val="left"/>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所有开门、推拉构件和翻门开启试验，所有储存部件空载 不应倾翻；</w:t>
            </w:r>
            <w:r/>
          </w:p>
          <w:p>
            <w:pPr>
              <w:ind w:left="0" w:right="0"/>
              <w:jc w:val="left"/>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开门、推拉构件和翻门开启并解锁-所有开门、推拉构件和翻门开启空载，所有储存部件空载 不应倾翻；</w:t>
            </w:r>
            <w:r/>
          </w:p>
          <w:p>
            <w:pPr>
              <w:ind w:left="0" w:right="0"/>
              <w:jc w:val="left"/>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开门、推拉构件和翻门开启并解锁-开门、推拉构件和翻门开启加载，所有储存部件空载 不应倾翻；</w:t>
            </w:r>
            <w:r/>
          </w:p>
          <w:p>
            <w:pPr>
              <w:ind w:left="0" w:right="0"/>
              <w:jc w:val="left"/>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开门、推拉构件和翻门开启并解锁-开门、推拉构件和翻门开启加载，所有储存部件加载不应倾翻。</w:t>
            </w:r>
            <w:r/>
          </w:p>
        </w:tc>
        <w:tc>
          <w:tcPr>
            <w:gridSpan w:val="2"/>
            <w:tcBorders>
              <w:top w:val="single" w:color="000000" w:sz="4" w:space="0"/>
              <w:left w:val="single" w:color="000000" w:sz="4" w:space="0"/>
              <w:bottom w:val="single" w:color="000000" w:sz="4" w:space="0"/>
              <w:right w:val="single" w:color="000000" w:sz="4" w:space="0"/>
            </w:tcBorders>
            <w:tcW w:w="5812" w:type="dxa"/>
            <w:vAlign w:val="top"/>
            <w:textDirection w:val="lrTb"/>
            <w:noWrap w:val="false"/>
          </w:tcPr>
          <w:p>
            <w:pPr>
              <w:pStyle w:val="873"/>
              <w:ind w:left="0" w:right="0" w:firstLine="0"/>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检测项目及要求：</w:t>
            </w:r>
            <w:r/>
          </w:p>
          <w:p>
            <w:pPr>
              <w:pStyle w:val="873"/>
              <w:ind w:left="0" w:right="0" w:firstLine="0"/>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1.理化性能—通用要求  表面金属喷漆（塑）涂层</w:t>
            </w:r>
            <w:r/>
          </w:p>
          <w:p>
            <w:pPr>
              <w:pStyle w:val="873"/>
              <w:ind w:left="0" w:right="0" w:firstLine="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冲击强度：冲击高度400mm,应无剥落、裂纹、皱纹；</w:t>
            </w:r>
            <w:r/>
          </w:p>
          <w:p>
            <w:pPr>
              <w:pStyle w:val="873"/>
              <w:ind w:left="0" w:right="0" w:firstLine="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耐腐蚀：100h内，观察在溶液中样板上划道两侧3mm以外，应无鼓泡产生；100h后，检查划道两侧3mm以外，应无锈迹、剥落、黄起皱、变色和失光等现象；</w:t>
            </w:r>
            <w:r/>
          </w:p>
          <w:p>
            <w:pPr>
              <w:pStyle w:val="873"/>
              <w:ind w:left="0" w:right="0" w:firstLine="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附着力：应不低于</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级。</w:t>
            </w:r>
            <w:r/>
          </w:p>
          <w:p>
            <w:pPr>
              <w:pStyle w:val="873"/>
              <w:ind w:left="0" w:right="0" w:firstLine="0"/>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2.储物柜力学性能-稳定性 </w:t>
            </w:r>
            <w:r/>
          </w:p>
          <w:p>
            <w:pPr>
              <w:pStyle w:val="873"/>
              <w:ind w:left="0" w:right="0" w:firstLine="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所有开门、推拉构件和翻门关闭，所有储存部件空载-高度为或可调节为&gt;1000mm的试件不应倾翻；</w:t>
            </w:r>
            <w:r/>
          </w:p>
          <w:p>
            <w:pPr>
              <w:pStyle w:val="873"/>
              <w:ind w:left="0" w:right="0" w:firstLine="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所有开门、推拉构件和翻门开启试验，所有储存部件空载 不应倾翻；</w:t>
            </w:r>
            <w:r/>
          </w:p>
          <w:p>
            <w:pPr>
              <w:pStyle w:val="873"/>
              <w:ind w:left="0" w:right="0" w:firstLine="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开门、推拉构件和翻门开启并解锁-所有开门、推拉构件和翻门开启空载，所有储存部件空载 不应倾翻；</w:t>
            </w:r>
            <w:r/>
          </w:p>
          <w:p>
            <w:pPr>
              <w:pStyle w:val="873"/>
              <w:ind w:left="0" w:right="0" w:firstLine="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开门、推拉构件和翻门开启并解锁-开门、推拉构件和翻门开启加载，所有储存部件空载 不应倾翻；</w:t>
            </w:r>
            <w:r/>
          </w:p>
          <w:p>
            <w:pPr>
              <w:pStyle w:val="873"/>
              <w:ind w:left="0" w:right="0" w:firstLine="0"/>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开门、推拉构件和翻门开启并解锁-开门、推拉构件和翻门开启加载，所有储存部件加载 不应倾翻。</w:t>
            </w:r>
            <w:r/>
          </w:p>
          <w:p>
            <w:pPr>
              <w:pStyle w:val="873"/>
              <w:ind w:left="0" w:right="0" w:firstLine="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满足以上要求的得</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7</w:t>
            </w:r>
            <w:r/>
          </w:p>
        </w:tc>
        <w:tc>
          <w:tcPr>
            <w:gridSpan w:val="3"/>
            <w:tcBorders>
              <w:top w:val="single" w:color="000000" w:sz="4" w:space="0"/>
              <w:left w:val="single" w:color="000000" w:sz="4" w:space="0"/>
              <w:bottom w:val="single" w:color="000000" w:sz="4" w:space="0"/>
              <w:right w:val="single" w:color="000000" w:sz="4" w:space="0"/>
            </w:tcBorders>
            <w:tcW w:w="8558" w:type="dxa"/>
            <w:vAlign w:val="top"/>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实验台（抽检）采用的检测标准：GB/T 24820-2024</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4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rPr>
              <w:t xml:space="preserve">检测项目及要求：</w:t>
            </w:r>
            <w:r/>
          </w:p>
          <w:p>
            <w:pPr>
              <w:ind w:left="0" w:right="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
                <w:bCs w:val="0"/>
                <w:color w:val="auto"/>
                <w:sz w:val="24"/>
                <w:szCs w:val="24"/>
                <w:highlight w:val="none"/>
              </w:rPr>
              <w:t xml:space="preserve">1.容足空间净高</w:t>
            </w:r>
            <w:r>
              <w:rPr>
                <w:rFonts w:hint="eastAsia" w:ascii="宋体" w:hAnsi="宋体" w:eastAsia="宋体" w:cs="宋体"/>
                <w:bCs/>
                <w:color w:val="auto"/>
                <w:sz w:val="24"/>
                <w:szCs w:val="24"/>
                <w:highlight w:val="none"/>
              </w:rPr>
              <w:t xml:space="preserve">≥120mm;</w:t>
            </w:r>
            <w:r/>
          </w:p>
          <w:p>
            <w:pPr>
              <w:ind w:left="0" w:right="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
                <w:bCs w:val="0"/>
                <w:color w:val="auto"/>
                <w:sz w:val="24"/>
                <w:szCs w:val="24"/>
                <w:highlight w:val="none"/>
              </w:rPr>
              <w:t xml:space="preserve">2.容足空间净深</w:t>
            </w:r>
            <w:r>
              <w:rPr>
                <w:rFonts w:hint="eastAsia" w:ascii="宋体" w:hAnsi="宋体" w:eastAsia="宋体" w:cs="宋体"/>
                <w:bCs/>
                <w:color w:val="auto"/>
                <w:sz w:val="24"/>
                <w:szCs w:val="24"/>
                <w:highlight w:val="none"/>
              </w:rPr>
              <w:t xml:space="preserve">≥150mm;</w:t>
            </w:r>
            <w:r/>
          </w:p>
          <w:p>
            <w:pPr>
              <w:ind w:left="0" w:right="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
                <w:bCs w:val="0"/>
                <w:color w:val="auto"/>
                <w:sz w:val="24"/>
                <w:szCs w:val="24"/>
                <w:highlight w:val="none"/>
              </w:rPr>
              <w:t xml:space="preserve">3.抽屉下垂度</w:t>
            </w:r>
            <w:r>
              <w:rPr>
                <w:rFonts w:hint="eastAsia" w:ascii="宋体" w:hAnsi="宋体" w:eastAsia="宋体" w:cs="宋体"/>
                <w:bCs/>
                <w:color w:val="auto"/>
                <w:sz w:val="24"/>
                <w:szCs w:val="24"/>
                <w:highlight w:val="none"/>
              </w:rPr>
              <w:t xml:space="preserve">≤20mm；</w:t>
            </w:r>
            <w:r>
              <w:rPr>
                <w:rFonts w:hint="eastAsia" w:ascii="宋体" w:hAnsi="宋体" w:eastAsia="宋体" w:cs="宋体"/>
                <w:b/>
                <w:bCs w:val="0"/>
                <w:color w:val="auto"/>
                <w:sz w:val="24"/>
                <w:szCs w:val="24"/>
                <w:highlight w:val="none"/>
              </w:rPr>
              <w:t xml:space="preserve">抽屉摆动度</w:t>
            </w:r>
            <w:r>
              <w:rPr>
                <w:rFonts w:hint="eastAsia" w:ascii="宋体" w:hAnsi="宋体" w:eastAsia="宋体" w:cs="宋体"/>
                <w:bCs/>
                <w:color w:val="auto"/>
                <w:sz w:val="24"/>
                <w:szCs w:val="24"/>
                <w:highlight w:val="none"/>
              </w:rPr>
              <w:t xml:space="preserve">≤15mm；</w:t>
            </w:r>
            <w:r/>
          </w:p>
          <w:p>
            <w:pPr>
              <w:ind w:left="0" w:right="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
                <w:bCs w:val="0"/>
                <w:color w:val="auto"/>
                <w:sz w:val="24"/>
                <w:szCs w:val="24"/>
                <w:highlight w:val="none"/>
              </w:rPr>
              <w:t xml:space="preserve">4.着地平稳性</w:t>
            </w:r>
            <w:r>
              <w:rPr>
                <w:rFonts w:hint="eastAsia" w:ascii="宋体" w:hAnsi="宋体" w:eastAsia="宋体" w:cs="宋体"/>
                <w:bCs/>
                <w:color w:val="auto"/>
                <w:sz w:val="24"/>
                <w:szCs w:val="24"/>
                <w:highlight w:val="none"/>
              </w:rPr>
              <w:t xml:space="preserve">≤2.0mm；</w:t>
            </w:r>
            <w:r/>
          </w:p>
          <w:p>
            <w:pPr>
              <w:ind w:left="0" w:right="0"/>
              <w:keepLines w:val="0"/>
              <w:keepNext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rPr>
              <w:t xml:space="preserve">5.外观</w:t>
            </w:r>
            <w:r/>
          </w:p>
          <w:p>
            <w:pPr>
              <w:ind w:left="0" w:right="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台面不应有裂缝、渗透现象；台面不应有污物、杂质；</w:t>
            </w:r>
            <w:r/>
          </w:p>
          <w:p>
            <w:pPr>
              <w:ind w:left="0" w:right="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人造板件外观：外表应无干花、湿花；同一板面外表，允许1处，面积在3mm²~30mm²内；外表应无明显划痕；外表应无明显压痕；外表应无明显色差；外表应无鼓泡、龟裂、分层；</w:t>
            </w:r>
            <w:r/>
          </w:p>
          <w:p>
            <w:pPr>
              <w:ind w:left="0" w:right="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金属件外观：管材应无裂缝、叠缝；外露管口端面应封闭；涂层应无漏喷、锈蚀和脱色、掉色现象；涂层应光滑均匀，色泽一致，应无流挂、疙瘩、皱皮、飞漆等缺陷。</w:t>
            </w:r>
            <w:r/>
          </w:p>
          <w:p>
            <w:pPr>
              <w:ind w:left="0" w:right="0"/>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b/>
                <w:bCs w:val="0"/>
                <w:color w:val="auto"/>
                <w:sz w:val="24"/>
                <w:szCs w:val="24"/>
                <w:highlight w:val="none"/>
              </w:rPr>
              <w:t xml:space="preserve">6.安全性能</w:t>
            </w:r>
            <w:r>
              <w:rPr>
                <w:rFonts w:hint="eastAsia" w:ascii="宋体" w:hAnsi="宋体" w:eastAsia="宋体" w:cs="宋体"/>
                <w:bCs/>
                <w:color w:val="auto"/>
                <w:sz w:val="24"/>
                <w:szCs w:val="24"/>
                <w:highlight w:val="none"/>
              </w:rPr>
              <w:t xml:space="preserve">：实验台面接缝应平整、紧密，不应渗水、开缝。</w:t>
            </w:r>
            <w:r/>
          </w:p>
        </w:tc>
        <w:tc>
          <w:tcPr>
            <w:tcBorders>
              <w:top w:val="single" w:color="000000" w:sz="4" w:space="0"/>
              <w:left w:val="single" w:color="000000" w:sz="4" w:space="0"/>
              <w:bottom w:val="single" w:color="000000" w:sz="4" w:space="0"/>
              <w:right w:val="single" w:color="000000" w:sz="4" w:space="0"/>
            </w:tcBorders>
            <w:tcW w:w="2878" w:type="dxa"/>
            <w:vAlign w:val="top"/>
            <w:textDirection w:val="lrTb"/>
            <w:noWrap w:val="false"/>
          </w:tcPr>
          <w:p>
            <w:pPr>
              <w:numPr>
                <w:ilvl w:val="-1"/>
                <w:numId w:val="0"/>
              </w:numPr>
              <w:ind w:left="0" w:right="0" w:firstLine="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检测项目及要求：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容足空间净高</w:t>
            </w:r>
            <w:r>
              <w:rPr>
                <w:rFonts w:hint="eastAsia" w:ascii="宋体" w:hAnsi="宋体" w:eastAsia="宋体" w:cs="宋体"/>
                <w:color w:val="auto"/>
                <w:sz w:val="24"/>
                <w:szCs w:val="24"/>
                <w:highlight w:val="none"/>
              </w:rPr>
              <w:t xml:space="preserve">≥120mm;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容足空间净深</w:t>
            </w:r>
            <w:r>
              <w:rPr>
                <w:rFonts w:hint="eastAsia" w:ascii="宋体" w:hAnsi="宋体" w:eastAsia="宋体" w:cs="宋体"/>
                <w:color w:val="auto"/>
                <w:sz w:val="24"/>
                <w:szCs w:val="24"/>
                <w:highlight w:val="none"/>
              </w:rPr>
              <w:t xml:space="preserve">≥150mm;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抽屉下垂度</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mm；</w:t>
            </w:r>
            <w:r>
              <w:rPr>
                <w:rFonts w:hint="eastAsia" w:ascii="宋体" w:hAnsi="宋体" w:eastAsia="宋体" w:cs="宋体"/>
                <w:b/>
                <w:bCs/>
                <w:color w:val="auto"/>
                <w:sz w:val="24"/>
                <w:szCs w:val="24"/>
                <w:highlight w:val="none"/>
              </w:rPr>
              <w:t xml:space="preserve">抽屉摆动度</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着地平稳性</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mm；</w:t>
            </w:r>
            <w:r/>
          </w:p>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外观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台面不应有裂缝、渗透现象；台面不应有污物、杂质；</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人造板件外观：外表应无干花、湿花；同一板面外表，允许1处，面积在3mm²~30mm²内；外表应无明显划痕；外表应无明显压痕；外表应无明显色差；外表应无鼓泡、龟裂、分层；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金属件外观：管材应无裂缝、叠缝；外露管口端面应封闭；涂层应无漏喷、锈蚀和脱色、掉色现象；涂层应光滑均匀，色泽一致，应无流挂、疙瘩、皱皮、飞漆等缺陷</w:t>
            </w:r>
            <w:r>
              <w:rPr>
                <w:rFonts w:hint="eastAsia" w:ascii="宋体" w:hAnsi="宋体" w:cs="宋体"/>
                <w:color w:val="auto"/>
                <w:sz w:val="24"/>
                <w:szCs w:val="24"/>
                <w:highlight w:val="none"/>
                <w:lang w:eastAsia="zh-CN"/>
              </w:rPr>
              <w:t xml:space="preserve">。</w:t>
            </w:r>
            <w:r/>
          </w:p>
          <w:p>
            <w:pPr>
              <w:pStyle w:val="873"/>
              <w:ind w:left="0" w:right="0" w:firstLine="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安全性能</w:t>
            </w:r>
            <w:r>
              <w:rPr>
                <w:rFonts w:hint="eastAsia" w:ascii="宋体" w:hAnsi="宋体" w:eastAsia="宋体" w:cs="宋体"/>
                <w:color w:val="auto"/>
                <w:sz w:val="24"/>
                <w:szCs w:val="24"/>
                <w:highlight w:val="none"/>
              </w:rPr>
              <w:t xml:space="preserve">：实验台面接缝应平整、紧密，不应渗水、开缝。</w:t>
            </w:r>
            <w:r/>
          </w:p>
          <w:p>
            <w:pPr>
              <w:pStyle w:val="873"/>
              <w:ind w:left="0" w:right="0" w:firstLine="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满足以上要求的得</w:t>
            </w:r>
            <w:r>
              <w:rPr>
                <w:rFonts w:hint="eastAsia" w:ascii="宋体" w:hAnsi="宋体" w:cs="宋体"/>
                <w:b/>
                <w:color w:val="auto"/>
                <w:sz w:val="24"/>
                <w:szCs w:val="24"/>
                <w:highlight w:val="none"/>
                <w:lang w:val="en-US" w:eastAsia="zh-CN"/>
              </w:rPr>
              <w:t xml:space="preserve">0.5</w:t>
            </w:r>
            <w:r>
              <w:rPr>
                <w:rFonts w:hint="eastAsia" w:ascii="宋体" w:hAnsi="宋体" w:eastAsia="宋体" w:cs="宋体"/>
                <w:b/>
                <w:bCs/>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2934" w:type="dxa"/>
            <w:vAlign w:val="top"/>
            <w:textDirection w:val="lrTb"/>
            <w:noWrap w:val="false"/>
          </w:tcPr>
          <w:p>
            <w:pPr>
              <w:numPr>
                <w:ilvl w:val="-1"/>
                <w:numId w:val="0"/>
              </w:numPr>
              <w:ind w:left="0" w:right="0" w:firstLine="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检测项目及要求：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容足空间净高</w:t>
            </w:r>
            <w:r>
              <w:rPr>
                <w:rFonts w:hint="eastAsia" w:ascii="宋体" w:hAnsi="宋体" w:eastAsia="宋体" w:cs="宋体"/>
                <w:color w:val="auto"/>
                <w:sz w:val="24"/>
                <w:szCs w:val="24"/>
                <w:highlight w:val="none"/>
              </w:rPr>
              <w:t xml:space="preserve">≥120mm;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容足空间净深</w:t>
            </w:r>
            <w:r>
              <w:rPr>
                <w:rFonts w:hint="eastAsia" w:ascii="宋体" w:hAnsi="宋体" w:eastAsia="宋体" w:cs="宋体"/>
                <w:color w:val="auto"/>
                <w:sz w:val="24"/>
                <w:szCs w:val="24"/>
                <w:highlight w:val="none"/>
              </w:rPr>
              <w:t xml:space="preserve">≥150mm;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抽屉下垂度</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0mm；</w:t>
            </w:r>
            <w:r>
              <w:rPr>
                <w:rFonts w:hint="eastAsia" w:ascii="宋体" w:hAnsi="宋体" w:eastAsia="宋体" w:cs="宋体"/>
                <w:b/>
                <w:bCs/>
                <w:color w:val="auto"/>
                <w:sz w:val="24"/>
                <w:szCs w:val="24"/>
                <w:highlight w:val="none"/>
              </w:rPr>
              <w:t xml:space="preserve">抽屉摆动度</w:t>
            </w:r>
            <w:r>
              <w:rPr>
                <w:rFonts w:hint="eastAsia" w:ascii="宋体" w:hAnsi="宋体" w:eastAsia="宋体" w:cs="宋体"/>
                <w:color w:val="auto"/>
                <w:sz w:val="24"/>
                <w:szCs w:val="24"/>
                <w:highlight w:val="none"/>
              </w:rPr>
              <w:t xml:space="preserve">≤5mm；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着地平稳性</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.0mm；</w:t>
            </w:r>
            <w:r/>
          </w:p>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外观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台面不应有裂缝、渗透现象；台面不应有污物、杂质；</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人造板件外观：外表应无干花、湿花；同一板面外表，允许1处，面积在3mm²~30mm²内；外表应无明显划痕；外表应无明显压痕；外表应无明显色差；外表应无鼓泡、龟裂、分层；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金属件外观：管材应无裂缝、叠缝；外露管口端面应封闭；涂层应无漏喷、锈蚀和脱色、掉色现象；涂层应光滑均匀，色泽一致，应无流挂、疙瘩、皱皮、飞漆等缺陷</w:t>
            </w:r>
            <w:r>
              <w:rPr>
                <w:rFonts w:hint="eastAsia" w:ascii="宋体" w:hAnsi="宋体" w:cs="宋体"/>
                <w:color w:val="auto"/>
                <w:sz w:val="24"/>
                <w:szCs w:val="24"/>
                <w:highlight w:val="none"/>
                <w:lang w:eastAsia="zh-CN"/>
              </w:rPr>
              <w:t xml:space="preserve">。</w:t>
            </w:r>
            <w:r/>
          </w:p>
          <w:p>
            <w:pPr>
              <w:pStyle w:val="873"/>
              <w:ind w:left="0" w:right="0" w:firstLine="0"/>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安全性能</w:t>
            </w:r>
            <w:r>
              <w:rPr>
                <w:rFonts w:hint="eastAsia" w:ascii="宋体" w:hAnsi="宋体" w:eastAsia="宋体" w:cs="宋体"/>
                <w:color w:val="auto"/>
                <w:sz w:val="24"/>
                <w:szCs w:val="24"/>
                <w:highlight w:val="none"/>
              </w:rPr>
              <w:t xml:space="preserve">：实验台面接缝应平整、紧密，不应渗水、开缝。</w:t>
            </w:r>
            <w:r/>
          </w:p>
          <w:p>
            <w:pPr>
              <w:pStyle w:val="873"/>
              <w:ind w:left="0" w:right="0" w:firstLine="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满足以上要求的得</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分。</w:t>
            </w:r>
            <w:r/>
          </w:p>
        </w:tc>
      </w:tr>
    </w:tbl>
    <w:p>
      <w:pPr>
        <w:spacing w:line="440" w:lineRule="exact"/>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注：1</w:t>
      </w:r>
      <w:r>
        <w:rPr>
          <w:rFonts w:hint="eastAsia" w:ascii="宋体" w:hAnsi="宋体" w:cs="宋体"/>
          <w:b/>
          <w:bCs/>
          <w:color w:val="auto"/>
          <w:sz w:val="20"/>
          <w:szCs w:val="20"/>
          <w:highlight w:val="none"/>
          <w:lang w:val="en-US" w:eastAsia="zh-CN"/>
        </w:rPr>
        <w:t xml:space="preserve">.</w:t>
      </w:r>
      <w:r>
        <w:rPr>
          <w:rFonts w:hint="eastAsia" w:ascii="宋体" w:hAnsi="宋体" w:cs="宋体"/>
          <w:b/>
          <w:bCs/>
          <w:color w:val="auto"/>
          <w:sz w:val="20"/>
          <w:szCs w:val="20"/>
          <w:highlight w:val="none"/>
        </w:rPr>
        <w:t xml:space="preserve">投标文件中的检测报告材料必须清晰且完整含封底及封面，仅提供局部内容的检测报告视为无效，提供的检测报告上的检测项目名称与上述名称不同，但内容实际相同的视作等同。</w:t>
      </w:r>
      <w:r/>
    </w:p>
    <w:p>
      <w:pPr>
        <w:ind w:firstLine="48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4、视频演示（8分）</w:t>
      </w:r>
      <w:r/>
    </w:p>
    <w:p>
      <w:pPr>
        <w:ind w:firstLine="48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投标人根据以下要求通过录制视频方式进行展示演示，评审专家根据演示效果和功能点进行打分，本项最高得8分，演示视频时长总计不超过15分钟。（将视频文件压缩为zip文件上传，单个文件不得大于100M，总文件大小不得大于300M）。</w:t>
      </w:r>
      <w:r/>
    </w:p>
    <w:p>
      <w:pPr>
        <w:ind w:firstLine="48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1、录制的视频采用MP4格式（若视频为其他格式导致评审中不能正常播放的，责任自负）。未提供演示或使用其他方式（如软件Demo、PPT 演示、图片原型或方案等）演示，此项不得分。</w:t>
      </w:r>
      <w:r/>
    </w:p>
    <w:p>
      <w:pPr>
        <w:ind w:firstLine="48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2、投标人每组视频录制时必须采用一镜到底的方式，不允许剪辑，否则不得分。</w:t>
      </w:r>
      <w:r/>
    </w:p>
    <w:p>
      <w:pPr>
        <w:ind w:firstLine="480"/>
        <w:spacing w:line="440" w:lineRule="exact"/>
        <w:rPr>
          <w:rFonts w:hint="default"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演示一：多功能伸缩摇臂（5分）</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1、配合教师电源，成功演示摇臂自动折叠，且功能模块可电动垂直升降不少于150MM。</w:t>
      </w:r>
      <w:r>
        <w:rPr>
          <w:rFonts w:hint="eastAsia" w:ascii="宋体" w:hAnsi="宋体" w:cs="Times New Roman"/>
          <w:color w:val="auto"/>
          <w:sz w:val="24"/>
          <w:highlight w:val="none"/>
        </w:rPr>
        <w:t xml:space="preserve">视频演示实验结果满足以上要求得</w:t>
      </w:r>
      <w:r>
        <w:rPr>
          <w:rFonts w:hint="eastAsia" w:ascii="宋体" w:hAnsi="宋体" w:cs="Times New Roman"/>
          <w:color w:val="auto"/>
          <w:sz w:val="24"/>
          <w:highlight w:val="none"/>
          <w:lang w:val="en-US" w:eastAsia="zh-CN"/>
        </w:rPr>
        <w:t xml:space="preserve">1.5</w:t>
      </w:r>
      <w:r>
        <w:rPr>
          <w:rFonts w:hint="eastAsia" w:ascii="宋体" w:hAnsi="宋体" w:cs="Times New Roman"/>
          <w:color w:val="auto"/>
          <w:sz w:val="24"/>
          <w:highlight w:val="none"/>
        </w:rPr>
        <w:t xml:space="preserve">分，演示实验结果不满足以上要求或不提供视频演示不得分</w:t>
      </w:r>
      <w:r>
        <w:rPr>
          <w:rFonts w:hint="eastAsia" w:ascii="宋体" w:hAnsi="宋体" w:cs="Times New Roman"/>
          <w:color w:val="auto"/>
          <w:sz w:val="24"/>
          <w:highlight w:val="none"/>
          <w:lang w:eastAsia="zh-CN"/>
        </w:rPr>
        <w:t xml:space="preserve">。</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2、通风管束有专用接头能与学生桌活动式学生端抽风装置连接，可来回移动，满足桌面不同位置排风需求。</w:t>
      </w:r>
      <w:r>
        <w:rPr>
          <w:rFonts w:hint="eastAsia" w:ascii="宋体" w:hAnsi="宋体" w:cs="Times New Roman"/>
          <w:color w:val="auto"/>
          <w:sz w:val="24"/>
          <w:highlight w:val="none"/>
        </w:rPr>
        <w:t xml:space="preserve">视频演示实验结果满足以上要求得1分，演示实验结果不满足以上要求或不提供视频演示不得分</w:t>
      </w:r>
      <w:r>
        <w:rPr>
          <w:rFonts w:hint="eastAsia" w:ascii="宋体" w:hAnsi="宋体" w:cs="Times New Roman"/>
          <w:color w:val="auto"/>
          <w:sz w:val="24"/>
          <w:highlight w:val="none"/>
          <w:lang w:eastAsia="zh-CN"/>
        </w:rPr>
        <w:t xml:space="preserve">。</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3、风管束带有隐藏功能，不使用时能把风管隐藏到摇臂内。使用时拉出于活动式学生端抽风装置连接。</w:t>
      </w:r>
      <w:r>
        <w:rPr>
          <w:rFonts w:hint="eastAsia" w:ascii="宋体" w:hAnsi="宋体" w:cs="Times New Roman"/>
          <w:color w:val="auto"/>
          <w:sz w:val="24"/>
          <w:highlight w:val="none"/>
        </w:rPr>
        <w:t xml:space="preserve">视频演示实验结果满足以上要求得</w:t>
      </w:r>
      <w:r>
        <w:rPr>
          <w:rFonts w:hint="eastAsia" w:ascii="宋体" w:hAnsi="宋体" w:cs="Times New Roman"/>
          <w:color w:val="auto"/>
          <w:sz w:val="24"/>
          <w:highlight w:val="none"/>
          <w:lang w:val="en-US" w:eastAsia="zh-CN"/>
        </w:rPr>
        <w:t xml:space="preserve">1.5</w:t>
      </w:r>
      <w:r>
        <w:rPr>
          <w:rFonts w:hint="eastAsia" w:ascii="宋体" w:hAnsi="宋体" w:cs="Times New Roman"/>
          <w:color w:val="auto"/>
          <w:sz w:val="24"/>
          <w:highlight w:val="none"/>
        </w:rPr>
        <w:t xml:space="preserve">分，演示实验结果不满足以上要求或不提供视频演示不得分</w:t>
      </w:r>
      <w:r>
        <w:rPr>
          <w:rFonts w:hint="eastAsia" w:ascii="宋体" w:hAnsi="宋体" w:cs="Times New Roman"/>
          <w:color w:val="auto"/>
          <w:sz w:val="24"/>
          <w:highlight w:val="none"/>
          <w:lang w:eastAsia="zh-CN"/>
        </w:rPr>
        <w:t xml:space="preserve">。</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配合教师电源和APP，成功演示摇臂自动折叠。（可单个或分组进行控制，有全选及反选功能）要求：通过教室电源控制摇臂升降到停任意位置；当给排水管连接在摇臂上，摇臂不能升降,防止误操作，起保护作用。</w:t>
      </w:r>
      <w:r>
        <w:rPr>
          <w:rFonts w:hint="eastAsia" w:ascii="宋体" w:hAnsi="宋体" w:cs="Times New Roman"/>
          <w:color w:val="auto"/>
          <w:sz w:val="24"/>
          <w:highlight w:val="none"/>
        </w:rPr>
        <w:t xml:space="preserve">视频演示实验结果满足以上要求得1分，演示实验结果不满足以上要求或不提供视频演示不得分</w:t>
      </w:r>
      <w:r>
        <w:rPr>
          <w:rFonts w:hint="eastAsia" w:ascii="宋体" w:hAnsi="宋体" w:cs="Times New Roman"/>
          <w:color w:val="auto"/>
          <w:sz w:val="24"/>
          <w:highlight w:val="none"/>
          <w:lang w:eastAsia="zh-CN"/>
        </w:rPr>
        <w:t xml:space="preserve">。</w:t>
      </w:r>
      <w:r/>
    </w:p>
    <w:p>
      <w:pPr>
        <w:ind w:firstLine="480"/>
        <w:spacing w:line="440" w:lineRule="exact"/>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演示二：数码液晶显微镜（学生端）（3分）</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1、学生端数码显微镜带USB拔插式LED上光源，可以观察岩石、钱币等实体标本并具有辅助照明功能，可以作为体视显微镜使用。</w:t>
      </w:r>
      <w:r>
        <w:rPr>
          <w:rFonts w:hint="eastAsia" w:ascii="宋体" w:hAnsi="宋体" w:cs="Times New Roman"/>
          <w:color w:val="auto"/>
          <w:sz w:val="24"/>
          <w:highlight w:val="none"/>
        </w:rPr>
        <w:t xml:space="preserve">视频演示实验结果满足以上要求得1分，演示实验结果不满足以上要求或不提供视频演示不得分</w:t>
      </w:r>
      <w:r>
        <w:rPr>
          <w:rFonts w:hint="eastAsia" w:ascii="宋体" w:hAnsi="宋体" w:cs="Times New Roman"/>
          <w:color w:val="auto"/>
          <w:sz w:val="24"/>
          <w:highlight w:val="none"/>
          <w:lang w:eastAsia="zh-CN"/>
        </w:rPr>
        <w:t xml:space="preserve">。</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2、学生端数码显微镜主机上带液晶显示窗，可显示色温值，电池容量、侧光源、透射光源亮度等信息。</w:t>
      </w:r>
      <w:r>
        <w:rPr>
          <w:rFonts w:hint="eastAsia" w:ascii="宋体" w:hAnsi="宋体" w:cs="Times New Roman"/>
          <w:color w:val="auto"/>
          <w:sz w:val="24"/>
          <w:highlight w:val="none"/>
        </w:rPr>
        <w:t xml:space="preserve">视频演示实验结果满足以上要求得1分，演示实验结果不满足以上要求或不提供视频演示不得分</w:t>
      </w:r>
      <w:r>
        <w:rPr>
          <w:rFonts w:hint="eastAsia" w:ascii="宋体" w:hAnsi="宋体" w:cs="Times New Roman"/>
          <w:color w:val="auto"/>
          <w:sz w:val="24"/>
          <w:highlight w:val="none"/>
          <w:lang w:eastAsia="zh-CN"/>
        </w:rPr>
        <w:t xml:space="preserve">。</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3、学生端数码显微镜带触摸操作屏，可以拍照500万像素以上的图片并通过蓝牙传输到手机等终端显示。</w:t>
      </w:r>
      <w:r>
        <w:rPr>
          <w:rFonts w:hint="eastAsia" w:ascii="宋体" w:hAnsi="宋体" w:cs="Times New Roman"/>
          <w:color w:val="auto"/>
          <w:sz w:val="24"/>
          <w:highlight w:val="none"/>
        </w:rPr>
        <w:t xml:space="preserve">视频演示实验结果满足以上要求得1分，演示实验结果不满足以上要求或不提供视频演示不得分</w:t>
      </w:r>
      <w:r>
        <w:rPr>
          <w:rFonts w:hint="eastAsia" w:ascii="宋体" w:hAnsi="宋体" w:cs="Times New Roman"/>
          <w:color w:val="auto"/>
          <w:sz w:val="24"/>
          <w:highlight w:val="none"/>
          <w:lang w:eastAsia="zh-CN"/>
        </w:rPr>
        <w:t xml:space="preserve">。</w:t>
      </w:r>
      <w:r/>
    </w:p>
    <w:p>
      <w:pPr>
        <w:ind w:firstLine="482"/>
        <w:spacing w:line="440" w:lineRule="exact"/>
        <w:rPr>
          <w:rFonts w:hint="eastAsia" w:ascii="宋体" w:hAnsi="宋体" w:cs="宋体"/>
          <w:b/>
          <w:bCs/>
          <w:color w:val="auto"/>
          <w:sz w:val="24"/>
          <w:highlight w:val="none"/>
          <w:lang w:val="zh-CN"/>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rPr>
        <w:t xml:space="preserve">）政策加分（</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投标供应商所投产品属于节能产品政府采购品目清单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出具的、处于有效期之内的节能产品认证证书、环境标志产品认证证书。有1项得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分，最高得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注：同一产品同时具备节能产品认证证书、环境标志产品认证证书的，不重复计分。投标时提供认证证书扫描件。</w:t>
      </w:r>
      <w:r/>
    </w:p>
    <w:p>
      <w:pPr>
        <w:contextualSpacing/>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r>
        <w:rPr>
          <w:rFonts w:hint="eastAsia" w:ascii="宋体" w:hAnsi="宋体" w:eastAsia="宋体" w:cs="Times New Roman"/>
          <w:bCs/>
          <w:color w:val="auto"/>
          <w:sz w:val="24"/>
          <w:szCs w:val="24"/>
          <w:highlight w:val="none"/>
          <w:lang w:val="en-US" w:eastAsia="zh-CN"/>
        </w:rPr>
        <w:t xml:space="preserve">。</w:t>
      </w:r>
      <w:r/>
    </w:p>
    <w:p>
      <w:pPr>
        <w:ind w:firstLine="482"/>
        <w:spacing w:line="440" w:lineRule="exact"/>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暗标部分：</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）技术方案</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39</w:t>
      </w:r>
      <w:r>
        <w:rPr>
          <w:rFonts w:hint="eastAsia" w:ascii="宋体" w:hAnsi="宋体" w:cs="宋体"/>
          <w:b/>
          <w:bCs/>
          <w:color w:val="auto"/>
          <w:sz w:val="24"/>
          <w:highlight w:val="none"/>
        </w:rPr>
        <w:t xml:space="preserve">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项目实施</w:t>
      </w:r>
      <w:r>
        <w:rPr>
          <w:rFonts w:hint="eastAsia" w:ascii="宋体" w:hAnsi="宋体" w:cs="宋体"/>
          <w:color w:val="auto"/>
          <w:sz w:val="24"/>
          <w:highlight w:val="none"/>
          <w:lang w:val="en-US" w:eastAsia="zh-CN"/>
        </w:rPr>
        <w:t xml:space="preserve">方案</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分）：①前期对接、交货方案：至少包括前期样品确认</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项目实施</w:t>
      </w:r>
      <w:r>
        <w:rPr>
          <w:rFonts w:hint="eastAsia" w:ascii="宋体" w:hAnsi="宋体" w:cs="宋体"/>
          <w:color w:val="auto"/>
          <w:sz w:val="24"/>
          <w:highlight w:val="none"/>
        </w:rPr>
        <w:t xml:space="preserve">进度方案；②产品生产质量控制措施；③生产工艺及质量标准；④供货组织及运输安排；⑤应急方案。</w:t>
      </w:r>
      <w:r/>
    </w:p>
    <w:p>
      <w:pPr>
        <w:ind w:firstLine="480"/>
        <w:spacing w:line="44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投标供应商须针对上述①、②、③、④、⑤条评分内容分别进行阐述，阐述内容须满足采购需求。</w:t>
      </w:r>
      <w:r>
        <w:rPr>
          <w:rFonts w:hint="eastAsia" w:ascii="宋体" w:hAnsi="宋体" w:eastAsia="宋体" w:cs="宋体"/>
          <w:color w:val="auto"/>
          <w:sz w:val="24"/>
          <w:szCs w:val="24"/>
          <w:highlight w:val="none"/>
          <w:lang w:val="en-US" w:eastAsia="zh-CN"/>
        </w:rPr>
        <w:t xml:space="preserve">内容不存在瑕疵的该条得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分；内容存在</w:t>
      </w:r>
      <w:r>
        <w:rPr>
          <w:rFonts w:hint="eastAsia" w:ascii="宋体" w:hAnsi="宋体" w:cs="宋体"/>
          <w:color w:val="auto"/>
          <w:sz w:val="24"/>
          <w:szCs w:val="24"/>
          <w:highlight w:val="none"/>
          <w:lang w:val="en-US" w:eastAsia="zh-CN"/>
        </w:rPr>
        <w:t xml:space="preserve">1处</w:t>
      </w:r>
      <w:r>
        <w:rPr>
          <w:rFonts w:hint="eastAsia" w:ascii="宋体" w:hAnsi="宋体" w:eastAsia="宋体" w:cs="宋体"/>
          <w:color w:val="auto"/>
          <w:sz w:val="24"/>
          <w:szCs w:val="24"/>
          <w:highlight w:val="none"/>
          <w:lang w:val="en-US" w:eastAsia="zh-CN"/>
        </w:rPr>
        <w:t xml:space="preserve">瑕疵的该条得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分；未提供方案或不满足项目需求书要求或内容存在</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处及以上瑕疵的该条得0分</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本项满分10分。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安装、调试（</w:t>
      </w: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①进场</w:t>
      </w:r>
      <w:r>
        <w:rPr>
          <w:rFonts w:hint="eastAsia" w:ascii="宋体" w:hAnsi="宋体" w:eastAsia="宋体" w:cs="宋体"/>
          <w:color w:val="auto"/>
          <w:sz w:val="24"/>
          <w:szCs w:val="24"/>
          <w:highlight w:val="none"/>
        </w:rPr>
        <w:t xml:space="preserve">准备</w:t>
      </w:r>
      <w:r>
        <w:rPr>
          <w:rFonts w:hint="eastAsia" w:ascii="宋体" w:hAnsi="宋体" w:eastAsia="宋体" w:cs="宋体"/>
          <w:color w:val="auto"/>
          <w:sz w:val="24"/>
          <w:szCs w:val="24"/>
          <w:highlight w:val="none"/>
          <w:lang w:val="en-US" w:eastAsia="zh-CN"/>
        </w:rPr>
        <w:t xml:space="preserve">及进度</w:t>
      </w:r>
      <w:r>
        <w:rPr>
          <w:rFonts w:hint="eastAsia" w:ascii="宋体" w:hAnsi="宋体" w:eastAsia="宋体" w:cs="宋体"/>
          <w:color w:val="auto"/>
          <w:sz w:val="24"/>
          <w:szCs w:val="24"/>
          <w:highlight w:val="none"/>
        </w:rPr>
        <w:t xml:space="preserve">控制措施</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②</w:t>
      </w:r>
      <w:r>
        <w:rPr>
          <w:rFonts w:hint="eastAsia" w:ascii="宋体" w:hAnsi="宋体" w:eastAsia="宋体" w:cs="宋体"/>
          <w:color w:val="auto"/>
          <w:sz w:val="24"/>
          <w:szCs w:val="24"/>
          <w:highlight w:val="none"/>
        </w:rPr>
        <w:t xml:space="preserve">机械设备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材料投入计划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t xml:space="preserve">安装人员组织方案；</w:t>
      </w:r>
      <w:r>
        <w:rPr>
          <w:rFonts w:hint="eastAsia" w:ascii="宋体" w:hAnsi="宋体" w:cs="宋体"/>
          <w:color w:val="auto"/>
          <w:sz w:val="24"/>
          <w:szCs w:val="24"/>
          <w:highlight w:val="none"/>
          <w:lang w:val="en-US" w:eastAsia="zh-CN"/>
        </w:rPr>
        <w:t xml:space="preserve">④</w:t>
      </w:r>
      <w:r>
        <w:rPr>
          <w:rFonts w:hint="eastAsia" w:ascii="宋体" w:hAnsi="宋体" w:cs="宋体"/>
          <w:color w:val="auto"/>
          <w:sz w:val="24"/>
          <w:highlight w:val="none"/>
        </w:rPr>
        <w:t xml:space="preserve">产品安装与调试及技术支撑方案；</w:t>
      </w:r>
      <w:r>
        <w:rPr>
          <w:rFonts w:hint="eastAsia" w:ascii="宋体" w:hAnsi="宋体" w:cs="宋体"/>
          <w:color w:val="auto"/>
          <w:sz w:val="24"/>
          <w:highlight w:val="none"/>
          <w:lang w:val="en-US" w:eastAsia="zh-CN"/>
        </w:rPr>
        <w:t xml:space="preserve">⑤</w:t>
      </w:r>
      <w:r>
        <w:rPr>
          <w:rFonts w:hint="eastAsia" w:ascii="宋体" w:hAnsi="宋体" w:cs="宋体"/>
          <w:color w:val="auto"/>
          <w:sz w:val="24"/>
          <w:highlight w:val="none"/>
        </w:rPr>
        <w:t xml:space="preserve">安全文明安装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⑥</w:t>
      </w:r>
      <w:r>
        <w:rPr>
          <w:rFonts w:hint="eastAsia" w:ascii="宋体" w:hAnsi="宋体" w:cs="宋体"/>
          <w:color w:val="auto"/>
          <w:sz w:val="24"/>
          <w:highlight w:val="none"/>
        </w:rPr>
        <w:t xml:space="preserve">环境保护措施；</w:t>
      </w:r>
      <w:r>
        <w:rPr>
          <w:rFonts w:hint="eastAsia" w:ascii="宋体" w:hAnsi="宋体" w:cs="宋体"/>
          <w:color w:val="auto"/>
          <w:sz w:val="24"/>
          <w:highlight w:val="none"/>
          <w:lang w:val="en-US" w:eastAsia="zh-CN"/>
        </w:rPr>
        <w:t xml:space="preserve">⑦</w:t>
      </w:r>
      <w:r>
        <w:rPr>
          <w:rFonts w:hint="eastAsia" w:ascii="宋体" w:hAnsi="宋体" w:eastAsia="宋体" w:cs="宋体"/>
          <w:color w:val="auto"/>
          <w:sz w:val="24"/>
          <w:szCs w:val="24"/>
          <w:highlight w:val="none"/>
        </w:rPr>
        <w:t xml:space="preserve">质量保证措施跟确保工程质量</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措施</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投标供应商须针对上述①、②、③、④、⑤</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⑥、⑦</w:t>
      </w:r>
      <w:r>
        <w:rPr>
          <w:rFonts w:hint="eastAsia" w:ascii="宋体" w:hAnsi="宋体" w:cs="宋体"/>
          <w:color w:val="auto"/>
          <w:sz w:val="24"/>
          <w:highlight w:val="none"/>
        </w:rPr>
        <w:t xml:space="preserve">条评分内容分别进行阐述，阐述内容须满足采购需求。</w:t>
      </w:r>
      <w:r>
        <w:rPr>
          <w:rFonts w:hint="eastAsia" w:ascii="宋体" w:hAnsi="宋体" w:eastAsia="宋体" w:cs="宋体"/>
          <w:color w:val="auto"/>
          <w:sz w:val="24"/>
          <w:szCs w:val="24"/>
          <w:highlight w:val="none"/>
          <w:lang w:val="en-US" w:eastAsia="zh-CN"/>
        </w:rPr>
        <w:t xml:space="preserve">内容不存在瑕疵的该条得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分；内容存在</w:t>
      </w:r>
      <w:r>
        <w:rPr>
          <w:rFonts w:hint="eastAsia" w:ascii="宋体" w:hAnsi="宋体" w:cs="宋体"/>
          <w:color w:val="auto"/>
          <w:sz w:val="24"/>
          <w:szCs w:val="24"/>
          <w:highlight w:val="none"/>
          <w:lang w:val="en-US" w:eastAsia="zh-CN"/>
        </w:rPr>
        <w:t xml:space="preserve">1处</w:t>
      </w:r>
      <w:r>
        <w:rPr>
          <w:rFonts w:hint="eastAsia" w:ascii="宋体" w:hAnsi="宋体" w:eastAsia="宋体" w:cs="宋体"/>
          <w:color w:val="auto"/>
          <w:sz w:val="24"/>
          <w:szCs w:val="24"/>
          <w:highlight w:val="none"/>
          <w:lang w:val="en-US" w:eastAsia="zh-CN"/>
        </w:rPr>
        <w:t xml:space="preserve">瑕疵的该条得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分；未提供方案或不满足项目需求书要求或内容存在</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处及以上瑕疵的该条得0分</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本项满分14分。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质量管理方案及保障措施（</w:t>
      </w:r>
      <w:r>
        <w:rPr>
          <w:rFonts w:hint="eastAsia" w:ascii="宋体" w:hAnsi="宋体" w:cs="宋体"/>
          <w:color w:val="auto"/>
          <w:sz w:val="24"/>
          <w:highlight w:val="none"/>
          <w:lang w:val="en-US" w:eastAsia="zh-CN"/>
        </w:rPr>
        <w:t xml:space="preserve">7.5</w:t>
      </w:r>
      <w:r>
        <w:rPr>
          <w:rFonts w:hint="eastAsia" w:ascii="宋体" w:hAnsi="宋体" w:cs="宋体"/>
          <w:color w:val="auto"/>
          <w:sz w:val="24"/>
          <w:highlight w:val="none"/>
        </w:rPr>
        <w:t xml:space="preserve">分）：①产品质量保障方案及措施；②质量控制的方法、工具与重点；③本项目主要技术岗位人员框架与安排；④生产现场管理质量保障措施；⑤原材料采购及保障方案。</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投标供应商须针对上述①、②、③、④、⑤条评分内容分别进行阐述，阐述内容须满足采购需求。</w:t>
      </w:r>
      <w:r>
        <w:rPr>
          <w:rFonts w:hint="eastAsia" w:ascii="宋体" w:hAnsi="宋体" w:eastAsia="宋体" w:cs="宋体"/>
          <w:color w:val="auto"/>
          <w:sz w:val="24"/>
          <w:szCs w:val="24"/>
          <w:highlight w:val="none"/>
          <w:lang w:val="en-US" w:eastAsia="zh-CN"/>
        </w:rPr>
        <w:t xml:space="preserve">内容不存在瑕疵的该条得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分；内容存在</w:t>
      </w:r>
      <w:r>
        <w:rPr>
          <w:rFonts w:hint="eastAsia" w:ascii="宋体" w:hAnsi="宋体" w:cs="宋体"/>
          <w:color w:val="auto"/>
          <w:sz w:val="24"/>
          <w:szCs w:val="24"/>
          <w:highlight w:val="none"/>
          <w:lang w:val="en-US" w:eastAsia="zh-CN"/>
        </w:rPr>
        <w:t xml:space="preserve">1处</w:t>
      </w:r>
      <w:r>
        <w:rPr>
          <w:rFonts w:hint="eastAsia" w:ascii="宋体" w:hAnsi="宋体" w:eastAsia="宋体" w:cs="宋体"/>
          <w:color w:val="auto"/>
          <w:sz w:val="24"/>
          <w:szCs w:val="24"/>
          <w:highlight w:val="none"/>
          <w:lang w:val="en-US" w:eastAsia="zh-CN"/>
        </w:rPr>
        <w:t xml:space="preserve">瑕疵的该条得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分；未提供方案或不满足项目需求书要求或内容存在</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处及以上瑕疵的该条得0分</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本项满分7.5分</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售后服务管理及措施（</w:t>
      </w:r>
      <w:r>
        <w:rPr>
          <w:rFonts w:hint="eastAsia" w:ascii="宋体" w:hAnsi="宋体" w:cs="宋体"/>
          <w:color w:val="auto"/>
          <w:sz w:val="24"/>
          <w:highlight w:val="none"/>
          <w:lang w:val="en-US" w:eastAsia="zh-CN"/>
        </w:rPr>
        <w:t xml:space="preserve">7.5</w:t>
      </w:r>
      <w:r>
        <w:rPr>
          <w:rFonts w:hint="eastAsia" w:ascii="宋体" w:hAnsi="宋体" w:cs="宋体"/>
          <w:color w:val="auto"/>
          <w:sz w:val="24"/>
          <w:highlight w:val="none"/>
        </w:rPr>
        <w:t xml:space="preserve">分）：①售后服务承诺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包括</w:t>
      </w:r>
      <w:r>
        <w:rPr>
          <w:rFonts w:hint="eastAsia" w:ascii="宋体" w:hAnsi="宋体" w:eastAsia="宋体" w:cs="宋体"/>
          <w:color w:val="auto"/>
          <w:sz w:val="24"/>
          <w:szCs w:val="24"/>
          <w:highlight w:val="none"/>
        </w:rPr>
        <w:t xml:space="preserve">产品质量保证承诺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故障解决能力等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；②</w:t>
      </w:r>
      <w:r>
        <w:rPr>
          <w:rFonts w:hint="eastAsia" w:ascii="宋体" w:hAnsi="宋体" w:eastAsia="宋体" w:cs="宋体"/>
          <w:color w:val="auto"/>
          <w:sz w:val="24"/>
          <w:szCs w:val="24"/>
          <w:highlight w:val="none"/>
        </w:rPr>
        <w:t xml:space="preserve">应急服务响应时间</w:t>
      </w:r>
      <w:r>
        <w:rPr>
          <w:rFonts w:hint="eastAsia" w:ascii="宋体" w:hAnsi="宋体" w:cs="宋体"/>
          <w:color w:val="auto"/>
          <w:sz w:val="24"/>
          <w:highlight w:val="none"/>
        </w:rPr>
        <w:t xml:space="preserve">；③</w:t>
      </w:r>
      <w:r>
        <w:rPr>
          <w:rFonts w:hint="eastAsia" w:ascii="宋体" w:hAnsi="宋体" w:cs="宋体"/>
          <w:color w:val="auto"/>
          <w:sz w:val="24"/>
          <w:highlight w:val="none"/>
          <w:lang w:val="en-US" w:eastAsia="zh-CN"/>
        </w:rPr>
        <w:t xml:space="preserve">售后服务人员保障及管理体系；④</w:t>
      </w:r>
      <w:r>
        <w:rPr>
          <w:rFonts w:hint="eastAsia" w:ascii="宋体" w:hAnsi="宋体" w:eastAsia="宋体" w:cs="宋体"/>
          <w:color w:val="auto"/>
          <w:sz w:val="24"/>
          <w:szCs w:val="24"/>
          <w:highlight w:val="none"/>
        </w:rPr>
        <w:t xml:space="preserve">现场服务措施</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⑤</w:t>
      </w:r>
      <w:r>
        <w:rPr>
          <w:rFonts w:hint="eastAsia" w:ascii="宋体" w:hAnsi="宋体" w:eastAsia="宋体" w:cs="宋体"/>
          <w:color w:val="auto"/>
          <w:sz w:val="24"/>
          <w:szCs w:val="24"/>
          <w:highlight w:val="none"/>
        </w:rPr>
        <w:t xml:space="preserve">售后服务流程介绍</w:t>
      </w:r>
      <w:r>
        <w:rPr>
          <w:rFonts w:hint="eastAsia" w:ascii="宋体" w:hAnsi="宋体" w:cs="宋体"/>
          <w:color w:val="auto"/>
          <w:sz w:val="24"/>
          <w:highlight w:val="none"/>
        </w:rPr>
        <w:t xml:space="preserve">。</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投标供应商须针对上述①、②、③、④</w:t>
      </w:r>
      <w:r>
        <w:rPr>
          <w:rFonts w:hint="eastAsia" w:ascii="宋体" w:hAnsi="宋体" w:cs="宋体"/>
          <w:color w:val="auto"/>
          <w:sz w:val="24"/>
          <w:highlight w:val="none"/>
        </w:rPr>
        <w:t xml:space="preserve">、⑤</w:t>
      </w:r>
      <w:r>
        <w:rPr>
          <w:rFonts w:hint="eastAsia" w:ascii="宋体" w:hAnsi="宋体" w:eastAsia="宋体" w:cs="宋体"/>
          <w:color w:val="auto"/>
          <w:sz w:val="24"/>
          <w:highlight w:val="none"/>
        </w:rPr>
        <w:t xml:space="preserve">条评分内容分别进行阐述，阐述内容须满足采购需求。</w:t>
      </w:r>
      <w:r>
        <w:rPr>
          <w:rFonts w:hint="eastAsia" w:ascii="宋体" w:hAnsi="宋体" w:eastAsia="宋体" w:cs="宋体"/>
          <w:color w:val="auto"/>
          <w:sz w:val="24"/>
          <w:highlight w:val="none"/>
          <w:lang w:val="en-US" w:eastAsia="zh-CN"/>
        </w:rPr>
        <w:t xml:space="preserve">内容不存在瑕疵的该条得</w:t>
      </w: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lang w:val="en-US" w:eastAsia="zh-CN"/>
        </w:rPr>
        <w:t xml:space="preserve">分；内容存在1处瑕疵的该条得1分；未提供方案或不满足项目需求书要求或内容存在2处及以上瑕疵的该条得0分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本项满分</w:t>
      </w:r>
      <w:r>
        <w:rPr>
          <w:rFonts w:hint="eastAsia" w:ascii="宋体" w:hAnsi="宋体" w:cs="宋体"/>
          <w:color w:val="auto"/>
          <w:sz w:val="24"/>
          <w:highlight w:val="none"/>
          <w:lang w:val="en-US" w:eastAsia="zh-CN"/>
        </w:rPr>
        <w:t xml:space="preserve">7.5</w:t>
      </w:r>
      <w:r>
        <w:rPr>
          <w:rFonts w:hint="eastAsia" w:ascii="宋体" w:hAnsi="宋体" w:eastAsia="宋体" w:cs="宋体"/>
          <w:color w:val="auto"/>
          <w:sz w:val="24"/>
          <w:highlight w:val="none"/>
          <w:lang w:val="en-US" w:eastAsia="zh-CN"/>
        </w:rPr>
        <w:t xml:space="preserve">分。</w:t>
      </w:r>
      <w:r/>
    </w:p>
    <w:p>
      <w:pPr>
        <w:ind w:firstLine="482"/>
        <w:spacing w:line="440" w:lineRule="exact"/>
        <w:rPr>
          <w:rFonts w:hint="eastAsia"/>
          <w:color w:val="auto"/>
          <w:highlight w:val="none"/>
        </w:rPr>
      </w:pPr>
      <w:r>
        <w:rPr>
          <w:rFonts w:hint="eastAsia" w:ascii="宋体" w:hAnsi="宋体" w:eastAsia="宋体" w:cs="宋体"/>
          <w:b/>
          <w:bCs/>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pStyle w:val="1060"/>
        <w:ind w:left="0" w:righ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未列入本评分细则的其他条件不作为评分内容。</w:t>
      </w:r>
      <w:r/>
    </w:p>
    <w:p>
      <w:pPr>
        <w:ind w:firstLine="480"/>
        <w:rPr>
          <w:rFonts w:ascii="宋体" w:hAnsi="宋体"/>
          <w:b/>
          <w:color w:val="auto"/>
          <w:sz w:val="24"/>
          <w:szCs w:val="24"/>
          <w:highlight w:val="none"/>
        </w:rPr>
      </w:pPr>
      <w:r>
        <w:rPr>
          <w:rFonts w:hint="eastAsia" w:ascii="黑体"/>
          <w:bCs/>
          <w:color w:val="auto"/>
          <w:sz w:val="24"/>
          <w:szCs w:val="24"/>
          <w:highlight w:val="none"/>
        </w:rPr>
        <w:br w:type="page" w:clear="all"/>
      </w:r>
      <w:r>
        <w:rPr>
          <w:rFonts w:hint="eastAsia" w:ascii="黑体"/>
          <w:bCs/>
          <w:color w:val="auto"/>
          <w:sz w:val="24"/>
          <w:szCs w:val="24"/>
          <w:highlight w:val="none"/>
        </w:rPr>
        <w:t xml:space="preserve">附件二：投标文件格式</w:t>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投</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标</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文</w:t>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件</w:t>
      </w:r>
      <w:r/>
    </w:p>
    <w:p>
      <w:pPr>
        <w:ind w:firstLine="840"/>
        <w:rPr>
          <w:rFonts w:eastAsia="黑体"/>
          <w:color w:val="auto"/>
          <w:sz w:val="28"/>
          <w:szCs w:val="28"/>
          <w:highlight w:val="none"/>
        </w:rPr>
      </w:pPr>
      <w:r>
        <w:rPr>
          <w:rFonts w:eastAsia="黑体"/>
          <w:color w:val="auto"/>
          <w:sz w:val="28"/>
          <w:szCs w:val="28"/>
          <w:highlight w:val="none"/>
        </w:rPr>
      </w:r>
      <w:r/>
    </w:p>
    <w:p>
      <w:pPr>
        <w:ind w:firstLine="840"/>
        <w:rPr>
          <w:rFonts w:eastAsia="黑体"/>
          <w:color w:val="auto"/>
          <w:sz w:val="28"/>
          <w:szCs w:val="28"/>
          <w:highlight w:val="none"/>
        </w:rPr>
      </w:pPr>
      <w:r>
        <w:rPr>
          <w:rFonts w:eastAsia="黑体"/>
          <w:color w:val="auto"/>
          <w:sz w:val="28"/>
          <w:szCs w:val="28"/>
          <w:highlight w:val="none"/>
        </w:rPr>
        <w:t xml:space="preserve">政府采购编号：</w:t>
      </w:r>
      <w:r/>
    </w:p>
    <w:p>
      <w:pPr>
        <w:ind w:firstLine="840"/>
        <w:rPr>
          <w:rFonts w:eastAsia="黑体"/>
          <w:color w:val="auto"/>
          <w:sz w:val="28"/>
          <w:szCs w:val="28"/>
          <w:highlight w:val="none"/>
        </w:rPr>
      </w:pPr>
      <w:r>
        <w:rPr>
          <w:rFonts w:eastAsia="黑体"/>
          <w:bCs/>
          <w:color w:val="auto"/>
          <w:sz w:val="28"/>
          <w:szCs w:val="28"/>
          <w:highlight w:val="none"/>
        </w:rPr>
        <w:t xml:space="preserve">采购项目名称：</w:t>
      </w:r>
      <w:r/>
    </w:p>
    <w:p>
      <w:pPr>
        <w:ind w:firstLine="840"/>
        <w:rPr>
          <w:rFonts w:eastAsia="黑体"/>
          <w:bCs/>
          <w:color w:val="auto"/>
          <w:sz w:val="28"/>
          <w:szCs w:val="28"/>
          <w:highlight w:val="none"/>
        </w:rPr>
      </w:pPr>
      <w:r>
        <w:rPr>
          <w:rFonts w:hint="eastAsia" w:eastAsia="黑体"/>
          <w:bCs/>
          <w:color w:val="auto"/>
          <w:sz w:val="28"/>
          <w:szCs w:val="28"/>
          <w:highlight w:val="none"/>
        </w:rPr>
        <w:t xml:space="preserve">投标供应商</w:t>
      </w:r>
      <w:r>
        <w:rPr>
          <w:rFonts w:eastAsia="黑体"/>
          <w:bCs/>
          <w:color w:val="auto"/>
          <w:sz w:val="28"/>
          <w:szCs w:val="28"/>
          <w:highlight w:val="none"/>
        </w:rPr>
        <w:t xml:space="preserve">：</w:t>
      </w:r>
      <w:r/>
    </w:p>
    <w:p>
      <w:pPr>
        <w:jc w:val="center"/>
        <w:rPr>
          <w:rFonts w:eastAsia="黑体"/>
          <w:bCs/>
          <w:color w:val="auto"/>
          <w:sz w:val="24"/>
          <w:szCs w:val="24"/>
          <w:highlight w:val="none"/>
        </w:rPr>
      </w:pPr>
      <w:r>
        <w:rPr>
          <w:rFonts w:hint="eastAsia" w:ascii="黑体" w:hAnsi="黑体" w:eastAsia="黑体" w:cs="黑体"/>
          <w:bCs/>
          <w:color w:val="auto"/>
          <w:sz w:val="36"/>
          <w:szCs w:val="36"/>
          <w:highlight w:val="none"/>
        </w:rPr>
        <w:t xml:space="preserve">二〇二六</w:t>
      </w:r>
      <w:r>
        <w:rPr>
          <w:rFonts w:eastAsia="黑体"/>
          <w:bCs/>
          <w:color w:val="auto"/>
          <w:sz w:val="36"/>
          <w:szCs w:val="36"/>
          <w:highlight w:val="none"/>
        </w:rPr>
        <w:t xml:space="preserve">年</w:t>
      </w:r>
      <w:r>
        <w:rPr>
          <w:rFonts w:hint="eastAsia" w:eastAsia="黑体"/>
          <w:bCs/>
          <w:color w:val="auto"/>
          <w:sz w:val="36"/>
          <w:szCs w:val="36"/>
          <w:highlight w:val="none"/>
        </w:rPr>
        <w:t xml:space="preserve">  </w:t>
      </w:r>
      <w:r>
        <w:rPr>
          <w:rFonts w:eastAsia="黑体"/>
          <w:bCs/>
          <w:color w:val="auto"/>
          <w:sz w:val="36"/>
          <w:szCs w:val="36"/>
          <w:highlight w:val="none"/>
        </w:rPr>
        <w:t xml:space="preserve">月</w:t>
      </w:r>
      <w:r>
        <w:rPr>
          <w:rFonts w:hint="eastAsia" w:eastAsia="黑体"/>
          <w:bCs/>
          <w:color w:val="auto"/>
          <w:sz w:val="36"/>
          <w:szCs w:val="36"/>
          <w:highlight w:val="none"/>
        </w:rPr>
        <w:t xml:space="preserve">  </w:t>
      </w:r>
      <w:r>
        <w:rPr>
          <w:rFonts w:eastAsia="黑体"/>
          <w:bCs/>
          <w:color w:val="auto"/>
          <w:sz w:val="36"/>
          <w:szCs w:val="36"/>
          <w:highlight w:val="none"/>
        </w:rPr>
        <w:t xml:space="preserve">日</w:t>
      </w:r>
      <w:bookmarkStart w:id="10" w:name="一．报价函（格式）"/>
      <w:r/>
      <w:bookmarkEnd w:id="10"/>
      <w:r/>
      <w:r/>
    </w:p>
    <w:p>
      <w:pPr>
        <w:pStyle w:val="1382"/>
        <w:rPr>
          <w:color w:val="auto"/>
          <w:highlight w:val="none"/>
        </w:rPr>
      </w:pPr>
      <w:r>
        <w:rPr>
          <w:color w:val="auto"/>
          <w:highlight w:val="none"/>
        </w:rPr>
      </w:r>
      <w:r/>
    </w:p>
    <w:p>
      <w:pPr>
        <w:ind w:left="0" w:right="0"/>
        <w:jc w:val="both"/>
        <w:keepLines w:val="0"/>
        <w:keepNext w:val="0"/>
        <w:spacing w:before="0" w:beforeAutospacing="0" w:after="0" w:afterAutospacing="0"/>
        <w:widowControl w:val="off"/>
        <w:rPr>
          <w:rFonts w:hint="eastAsia" w:ascii="黑体" w:hAnsi="宋体" w:eastAsia="黑体" w:cs="Times New Roman"/>
          <w:bCs/>
          <w:color w:val="auto"/>
          <w:sz w:val="24"/>
          <w:szCs w:val="24"/>
          <w:highlight w:val="none"/>
        </w:rPr>
        <w:outlineLvl w:val="2"/>
        <w:suppressLineNumbers w:val="0"/>
      </w:pPr>
      <w:r>
        <w:rPr>
          <w:rFonts w:eastAsia="黑体"/>
          <w:bCs/>
          <w:color w:val="auto"/>
          <w:sz w:val="24"/>
          <w:szCs w:val="24"/>
          <w:highlight w:val="none"/>
        </w:rPr>
        <w:br w:type="page" w:clear="all"/>
      </w:r>
      <w:r>
        <w:rPr>
          <w:rFonts w:eastAsia="黑体"/>
          <w:bCs/>
          <w:color w:val="auto"/>
          <w:sz w:val="28"/>
          <w:szCs w:val="28"/>
          <w:highlight w:val="none"/>
        </w:rPr>
        <w:t xml:space="preserve"> </w:t>
      </w:r>
      <w:r>
        <w:rPr>
          <w:rFonts w:hint="eastAsia" w:ascii="黑体" w:hAnsi="宋体" w:eastAsia="黑体" w:cs="黑体"/>
          <w:bCs/>
          <w:color w:val="auto"/>
          <w:sz w:val="24"/>
          <w:szCs w:val="24"/>
          <w:highlight w:val="none"/>
          <w:lang w:val="en-US" w:eastAsia="zh-CN" w:bidi="ar"/>
        </w:rPr>
        <w:t xml:space="preserve">（一）投标函（格式）：</w:t>
      </w:r>
      <w:r/>
    </w:p>
    <w:p>
      <w:pPr>
        <w:ind w:left="0" w:right="0"/>
        <w:jc w:val="center"/>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rPr>
        <w:suppressLineNumbers w:val="0"/>
      </w:pPr>
      <w:r>
        <w:rPr>
          <w:rFonts w:hint="eastAsia" w:ascii="黑体" w:hAnsi="宋体" w:eastAsia="黑体" w:cs="黑体"/>
          <w:bCs/>
          <w:color w:val="auto"/>
          <w:sz w:val="28"/>
          <w:szCs w:val="28"/>
          <w:highlight w:val="none"/>
          <w:lang w:val="en-US" w:eastAsia="zh-CN" w:bidi="ar"/>
        </w:rPr>
        <w:t xml:space="preserve">投标函</w:t>
      </w:r>
      <w:r/>
    </w:p>
    <w:p>
      <w:pPr>
        <w:ind w:left="0" w:right="0"/>
        <w:jc w:val="both"/>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致江苏新桂工程咨询有限公司：</w:t>
      </w:r>
      <w:r/>
    </w:p>
    <w:p>
      <w:pPr>
        <w:ind w:left="0" w:right="0" w:firstLine="480"/>
        <w:jc w:val="both"/>
        <w:keepLines w:val="0"/>
        <w:keepNext w:val="0"/>
        <w:pageBreakBefore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我方收到贵方编号</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招标文件，经仔细阅读和研究，我方决定参加此项目的投标。</w:t>
      </w:r>
      <w:r/>
    </w:p>
    <w:p>
      <w:pPr>
        <w:numPr>
          <w:ilvl w:val="0"/>
          <w:numId w:val="17"/>
        </w:numPr>
        <w:ind w:left="0" w:right="0" w:firstLine="525"/>
        <w:jc w:val="both"/>
        <w:keepLines w:val="0"/>
        <w:keepNext w:val="0"/>
        <w:pageBreakBefore w:val="0"/>
        <w:spacing w:before="0" w:beforeAutospacing="0" w:after="0" w:afterAutospacing="0" w:line="360" w:lineRule="auto"/>
        <w:widowControl w:val="off"/>
        <w:tabs>
          <w:tab w:val="left" w:pos="315" w:leader="none"/>
          <w:tab w:val="left" w:pos="840" w:leader="none"/>
          <w:tab w:val="left" w:pos="945" w:leader="none"/>
          <w:tab w:val="left" w:pos="105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我方愿意按照招标文件的一切要求，提供本项目的投标，投标总价见《开标一览表》。</w:t>
      </w:r>
      <w:r/>
    </w:p>
    <w:p>
      <w:pPr>
        <w:numPr>
          <w:ilvl w:val="0"/>
          <w:numId w:val="17"/>
        </w:numPr>
        <w:ind w:left="0" w:right="0" w:firstLine="523"/>
        <w:jc w:val="both"/>
        <w:keepLines w:val="0"/>
        <w:keepNext w:val="0"/>
        <w:pageBreakBefore w:val="0"/>
        <w:spacing w:before="0" w:beforeAutospacing="0" w:after="0" w:afterAutospacing="0" w:line="360" w:lineRule="auto"/>
        <w:widowControl w:val="off"/>
        <w:tabs>
          <w:tab w:val="left" w:pos="0" w:leader="none"/>
          <w:tab w:val="left" w:pos="315" w:leader="none"/>
          <w:tab w:val="left" w:pos="525" w:leader="none"/>
          <w:tab w:val="left" w:pos="840" w:leader="none"/>
          <w:tab w:val="left" w:pos="945" w:leader="none"/>
          <w:tab w:val="left" w:pos="1050"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我方愿意提供江苏新桂工程咨询有限公司在招标文件中要求的文件、资料。</w:t>
      </w:r>
      <w:r/>
    </w:p>
    <w:p>
      <w:pPr>
        <w:numPr>
          <w:ilvl w:val="0"/>
          <w:numId w:val="17"/>
        </w:numPr>
        <w:ind w:left="0" w:right="0" w:firstLine="523"/>
        <w:jc w:val="both"/>
        <w:keepLines w:val="0"/>
        <w:keepNext w:val="0"/>
        <w:pageBreakBefore w:val="0"/>
        <w:spacing w:before="0" w:beforeAutospacing="0" w:after="0" w:afterAutospacing="0" w:line="360" w:lineRule="auto"/>
        <w:widowControl w:val="off"/>
        <w:tabs>
          <w:tab w:val="left" w:pos="0" w:leader="none"/>
          <w:tab w:val="left" w:pos="315" w:leader="none"/>
          <w:tab w:val="left" w:pos="525" w:leader="none"/>
          <w:tab w:val="left" w:pos="945" w:leader="none"/>
          <w:tab w:val="left" w:pos="105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我方同意按招标文件中的规定，本投标文件投标的有效期限为开标之日起</w:t>
      </w:r>
      <w:r>
        <w:rPr>
          <w:rFonts w:hint="eastAsia" w:ascii="宋体" w:hAnsi="宋体" w:eastAsia="宋体" w:cs="Times New Roman"/>
          <w:bCs/>
          <w:color w:val="auto"/>
          <w:sz w:val="24"/>
          <w:szCs w:val="24"/>
          <w:highlight w:val="none"/>
          <w:lang w:val="en-US" w:eastAsia="zh-CN" w:bidi="ar"/>
        </w:rPr>
        <w:t xml:space="preserve">90</w:t>
      </w:r>
      <w:r>
        <w:rPr>
          <w:rFonts w:hint="eastAsia" w:ascii="宋体" w:hAnsi="宋体" w:eastAsia="宋体" w:cs="宋体"/>
          <w:bCs/>
          <w:color w:val="auto"/>
          <w:sz w:val="24"/>
          <w:szCs w:val="24"/>
          <w:highlight w:val="none"/>
          <w:lang w:val="en-US" w:eastAsia="zh-CN" w:bidi="ar"/>
        </w:rPr>
        <w:t xml:space="preserve">天。</w:t>
      </w:r>
      <w:r/>
    </w:p>
    <w:p>
      <w:pPr>
        <w:numPr>
          <w:ilvl w:val="0"/>
          <w:numId w:val="17"/>
        </w:numPr>
        <w:ind w:left="0" w:right="0" w:firstLine="523"/>
        <w:jc w:val="both"/>
        <w:keepLines w:val="0"/>
        <w:keepNext w:val="0"/>
        <w:pageBreakBefore w:val="0"/>
        <w:spacing w:before="0" w:beforeAutospacing="0" w:after="0" w:afterAutospacing="0" w:line="360" w:lineRule="auto"/>
        <w:widowControl w:val="off"/>
        <w:tabs>
          <w:tab w:val="left" w:pos="0" w:leader="none"/>
          <w:tab w:val="left" w:pos="315" w:leader="none"/>
          <w:tab w:val="left" w:pos="525" w:leader="none"/>
          <w:tab w:val="left" w:pos="945" w:leader="none"/>
          <w:tab w:val="left" w:pos="105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如果我方的投标文件被接受，我方将履行招标文件中规定的每一项要求，按期、按质、按量，完成交货任务。</w:t>
      </w:r>
      <w:r/>
    </w:p>
    <w:p>
      <w:pPr>
        <w:numPr>
          <w:ilvl w:val="0"/>
          <w:numId w:val="17"/>
        </w:numPr>
        <w:ind w:left="0" w:right="0" w:firstLine="523"/>
        <w:jc w:val="both"/>
        <w:keepLines w:val="0"/>
        <w:keepNext w:val="0"/>
        <w:pageBreakBefore w:val="0"/>
        <w:spacing w:before="0" w:beforeAutospacing="0" w:after="0" w:afterAutospacing="0" w:line="360" w:lineRule="auto"/>
        <w:widowControl w:val="off"/>
        <w:tabs>
          <w:tab w:val="left" w:pos="0" w:leader="none"/>
          <w:tab w:val="left" w:pos="315" w:leader="none"/>
          <w:tab w:val="left" w:pos="525" w:leader="none"/>
          <w:tab w:val="left" w:pos="945" w:leader="none"/>
          <w:tab w:val="left" w:pos="105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我方认为贵中心有权决定中标者。</w:t>
      </w:r>
      <w:r/>
    </w:p>
    <w:p>
      <w:pPr>
        <w:numPr>
          <w:ilvl w:val="0"/>
          <w:numId w:val="17"/>
        </w:numPr>
        <w:ind w:left="0" w:right="0" w:firstLine="523"/>
        <w:jc w:val="both"/>
        <w:keepLines w:val="0"/>
        <w:keepNext w:val="0"/>
        <w:pageBreakBefore w:val="0"/>
        <w:spacing w:before="0" w:beforeAutospacing="0" w:after="0" w:afterAutospacing="0" w:line="360" w:lineRule="auto"/>
        <w:widowControl w:val="off"/>
        <w:tabs>
          <w:tab w:val="left" w:pos="0" w:leader="none"/>
          <w:tab w:val="left" w:pos="315" w:leader="none"/>
          <w:tab w:val="left" w:pos="525" w:leader="none"/>
          <w:tab w:val="left" w:pos="945" w:leader="none"/>
          <w:tab w:val="left" w:pos="105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lang w:val="en-US" w:eastAsia="zh-CN" w:bidi="ar"/>
        </w:rPr>
        <w:t xml:space="preserve">和</w:t>
      </w:r>
      <w:r>
        <w:rPr>
          <w:rFonts w:hint="eastAsia" w:ascii="宋体" w:hAnsi="宋体" w:eastAsia="宋体" w:cs="宋体"/>
          <w:bCs/>
          <w:color w:val="auto"/>
          <w:sz w:val="24"/>
          <w:szCs w:val="24"/>
          <w:highlight w:val="none"/>
          <w:lang w:val="en-US" w:eastAsia="zh-CN" w:bidi="ar"/>
        </w:rPr>
        <w:t xml:space="preserve">合同条款履行自己的全部责任。</w:t>
      </w:r>
      <w:r/>
    </w:p>
    <w:p>
      <w:pPr>
        <w:numPr>
          <w:ilvl w:val="0"/>
          <w:numId w:val="17"/>
        </w:numPr>
        <w:ind w:left="0" w:right="0" w:firstLine="523"/>
        <w:jc w:val="both"/>
        <w:keepLines w:val="0"/>
        <w:keepNext w:val="0"/>
        <w:pageBreakBefore w:val="0"/>
        <w:spacing w:before="0" w:beforeAutospacing="0" w:after="0" w:afterAutospacing="0" w:line="360" w:lineRule="auto"/>
        <w:widowControl w:val="off"/>
        <w:tabs>
          <w:tab w:val="left" w:pos="0" w:leader="none"/>
          <w:tab w:val="left" w:pos="315" w:leader="none"/>
          <w:tab w:val="left" w:pos="525" w:leader="none"/>
          <w:tab w:val="left" w:pos="945" w:leader="none"/>
          <w:tab w:val="left" w:pos="105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我方认可并遵守招标文件的所有规定，放弃对招标文件提出质疑的权利。</w:t>
      </w:r>
      <w:r/>
    </w:p>
    <w:p>
      <w:pPr>
        <w:numPr>
          <w:ilvl w:val="0"/>
          <w:numId w:val="17"/>
        </w:numPr>
        <w:ind w:left="0" w:right="0" w:firstLine="523"/>
        <w:jc w:val="both"/>
        <w:keepLines w:val="0"/>
        <w:keepNext w:val="0"/>
        <w:pageBreakBefore w:val="0"/>
        <w:spacing w:before="0" w:beforeAutospacing="0" w:after="0" w:afterAutospacing="0" w:line="360" w:lineRule="auto"/>
        <w:widowControl w:val="off"/>
        <w:tabs>
          <w:tab w:val="left" w:pos="0" w:leader="none"/>
          <w:tab w:val="left" w:pos="315" w:leader="none"/>
          <w:tab w:val="left" w:pos="525" w:leader="none"/>
          <w:tab w:val="left" w:pos="945" w:leader="none"/>
          <w:tab w:val="left" w:pos="105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7"/>
        </w:numPr>
        <w:ind w:left="0" w:right="0" w:firstLine="523"/>
        <w:jc w:val="both"/>
        <w:keepLines w:val="0"/>
        <w:keepNext w:val="0"/>
        <w:pageBreakBefore w:val="0"/>
        <w:spacing w:before="0" w:beforeAutospacing="0" w:after="0" w:afterAutospacing="0" w:line="360" w:lineRule="auto"/>
        <w:widowControl w:val="off"/>
        <w:tabs>
          <w:tab w:val="left" w:pos="0" w:leader="none"/>
          <w:tab w:val="left" w:pos="315" w:leader="none"/>
          <w:tab w:val="left" w:pos="525" w:leader="none"/>
          <w:tab w:val="left" w:pos="945" w:leader="none"/>
          <w:tab w:val="left" w:pos="105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如果我方被确定为中标供应商，我方愿意</w:t>
      </w:r>
      <w:r>
        <w:rPr>
          <w:rFonts w:hint="eastAsia" w:ascii="宋体" w:hAnsi="宋体" w:eastAsia="宋体" w:cs="宋体"/>
          <w:color w:val="auto"/>
          <w:sz w:val="24"/>
          <w:szCs w:val="24"/>
          <w:highlight w:val="none"/>
          <w:lang w:val="en-US" w:eastAsia="zh-CN" w:bidi="ar"/>
        </w:rPr>
        <w:t xml:space="preserve">向</w:t>
      </w:r>
      <w:r>
        <w:rPr>
          <w:rFonts w:hint="eastAsia" w:ascii="宋体" w:hAnsi="宋体" w:eastAsia="宋体" w:cs="宋体"/>
          <w:bCs/>
          <w:color w:val="auto"/>
          <w:sz w:val="24"/>
          <w:szCs w:val="24"/>
          <w:highlight w:val="none"/>
          <w:lang w:val="en-US" w:eastAsia="zh-CN" w:bidi="ar"/>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right="0" w:firstLine="523"/>
        <w:jc w:val="both"/>
        <w:keepLines w:val="0"/>
        <w:keepNext w:val="0"/>
        <w:pageBreakBefore w:val="0"/>
        <w:spacing w:before="0" w:beforeAutospacing="0" w:after="0" w:afterAutospacing="0" w:line="360" w:lineRule="auto"/>
        <w:widowControl w:val="off"/>
        <w:tabs>
          <w:tab w:val="left" w:pos="0" w:leader="none"/>
          <w:tab w:val="left" w:pos="315" w:leader="none"/>
          <w:tab w:val="left" w:pos="525" w:leader="none"/>
          <w:tab w:val="left" w:pos="945" w:leader="none"/>
          <w:tab w:val="left" w:pos="105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left="0" w:right="0" w:firstLine="720"/>
        <w:jc w:val="both"/>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rPr>
        <w:suppressLineNumbers w:val="0"/>
      </w:pPr>
      <w:r>
        <w:rPr>
          <w:rFonts w:hint="eastAsia" w:ascii="宋体" w:hAnsi="Times New Roman" w:eastAsia="宋体" w:cs="Times New Roman"/>
          <w:bCs/>
          <w:color w:val="auto"/>
          <w:sz w:val="24"/>
          <w:szCs w:val="24"/>
          <w:highlight w:val="none"/>
          <w:lang w:val="en-US" w:eastAsia="zh-CN" w:bidi="ar"/>
        </w:rPr>
        <w:t xml:space="preserve"> </w:t>
      </w:r>
      <w:r/>
    </w:p>
    <w:p>
      <w:pPr>
        <w:ind w:left="0" w:right="0" w:firstLine="480"/>
        <w:jc w:val="both"/>
        <w:keepLines w:val="0"/>
        <w:keepNext w:val="0"/>
        <w:spacing w:before="0" w:beforeAutospacing="0" w:after="0" w:afterAutospacing="0" w:line="400" w:lineRule="exact"/>
        <w:widowControl w:val="off"/>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投标供应商（盖章）：</w:t>
      </w:r>
      <w:r>
        <w:rPr>
          <w:rFonts w:hint="eastAsia" w:ascii="宋体" w:hAnsi="宋体" w:eastAsia="宋体" w:cs="Times New Roman"/>
          <w:bCs/>
          <w:color w:val="auto"/>
          <w:sz w:val="24"/>
          <w:szCs w:val="24"/>
          <w:highlight w:val="none"/>
          <w:lang w:val="en-US" w:eastAsia="zh-CN" w:bidi="ar"/>
        </w:rPr>
        <w:t xml:space="preserve">     </w:t>
      </w:r>
      <w:r/>
    </w:p>
    <w:p>
      <w:pPr>
        <w:ind w:left="0" w:right="0" w:firstLine="480"/>
        <w:jc w:val="both"/>
        <w:keepLines w:val="0"/>
        <w:keepNext w:val="0"/>
        <w:spacing w:before="0" w:beforeAutospacing="0" w:after="0" w:afterAutospacing="0" w:line="400" w:lineRule="exact"/>
        <w:widowControl w:val="off"/>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法定代表人或法定代表人授权代表签字或盖章：</w:t>
      </w:r>
      <w:r/>
    </w:p>
    <w:p>
      <w:pPr>
        <w:ind w:left="0" w:right="0" w:firstLine="480"/>
        <w:jc w:val="both"/>
        <w:keepLines w:val="0"/>
        <w:keepNext w:val="0"/>
        <w:spacing w:before="0" w:beforeAutospacing="0" w:after="0" w:afterAutospacing="0" w:line="400" w:lineRule="exact"/>
        <w:widowControl w:val="off"/>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电话：</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传真：</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通讯地址：</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邮编：</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lang w:val="en-US" w:eastAsia="zh-CN" w:bidi="ar"/>
        </w:rPr>
        <w:t xml:space="preserve"> </w:t>
      </w:r>
      <w:r/>
    </w:p>
    <w:p>
      <w:pPr>
        <w:rPr>
          <w:rFonts w:hint="eastAsia" w:ascii="黑体" w:hAnsi="宋体" w:eastAsia="黑体" w:cs="Times New Roman"/>
          <w:bCs/>
          <w:color w:val="auto"/>
          <w:sz w:val="24"/>
          <w:szCs w:val="24"/>
          <w:highlight w:val="none"/>
        </w:rPr>
        <w:sectPr>
          <w:headerReference w:type="default" r:id="rId10"/>
          <w:footerReference w:type="default" r:id="rId13"/>
          <w:footnotePr/>
          <w:endnotePr/>
          <w:type w:val="nextPage"/>
          <w:pgSz w:w="11906" w:h="16838" w:orient="portrait"/>
          <w:pgMar w:top="567" w:right="851" w:bottom="567" w:left="1134" w:header="624" w:footer="907" w:gutter="0"/>
          <w:cols w:num="1" w:sep="0" w:space="1701" w:equalWidth="1"/>
          <w:docGrid w:linePitch="360"/>
        </w:sectPr>
      </w:pPr>
      <w:r>
        <w:rPr>
          <w:rFonts w:hint="eastAsia" w:ascii="黑体" w:hAnsi="宋体" w:eastAsia="黑体" w:cs="Times New Roman"/>
          <w:bCs/>
          <w:color w:val="auto"/>
          <w:sz w:val="24"/>
          <w:szCs w:val="24"/>
          <w:highlight w:val="none"/>
        </w:rPr>
      </w:r>
      <w:r/>
    </w:p>
    <w:p>
      <w:pPr>
        <w:ind w:left="0" w:right="0"/>
        <w:jc w:val="both"/>
        <w:keepLines w:val="0"/>
        <w:keepNext w:val="0"/>
        <w:spacing w:before="0" w:beforeAutospacing="0" w:after="0" w:afterAutospacing="0"/>
        <w:widowControl w:val="off"/>
        <w:rPr>
          <w:rFonts w:hint="eastAsia" w:ascii="黑体" w:hAnsi="宋体" w:eastAsia="黑体" w:cs="Times New Roman"/>
          <w:bCs/>
          <w:color w:val="auto"/>
          <w:sz w:val="24"/>
          <w:szCs w:val="24"/>
          <w:highlight w:val="none"/>
        </w:rPr>
        <w:outlineLvl w:val="2"/>
        <w:suppressLineNumbers w:val="0"/>
      </w:pPr>
      <w:r>
        <w:rPr>
          <w:rFonts w:hint="eastAsia" w:ascii="黑体" w:hAnsi="宋体" w:eastAsia="黑体" w:cs="黑体"/>
          <w:bCs/>
          <w:color w:val="auto"/>
          <w:sz w:val="24"/>
          <w:szCs w:val="24"/>
          <w:highlight w:val="none"/>
          <w:lang w:val="en-US" w:eastAsia="zh-CN" w:bidi="ar"/>
        </w:rPr>
        <w:t xml:space="preserve">（二）（投标供应商）关于资格的声明函（格式）：</w:t>
      </w:r>
      <w:r/>
    </w:p>
    <w:p>
      <w:pPr>
        <w:ind w:left="0" w:right="0"/>
        <w:jc w:val="both"/>
        <w:keepLines w:val="0"/>
        <w:keepNext w:val="0"/>
        <w:spacing w:before="0" w:beforeAutospacing="0" w:after="0" w:afterAutospacing="0" w:line="360" w:lineRule="auto"/>
        <w:widowControl w:val="off"/>
        <w:rPr>
          <w:rFonts w:hint="eastAsia" w:ascii="黑体" w:hAnsi="Times New Roman" w:eastAsia="黑体" w:cs="Times New Roman"/>
          <w:bCs/>
          <w:color w:val="auto"/>
          <w:sz w:val="36"/>
          <w:szCs w:val="36"/>
          <w:highlight w:val="none"/>
        </w:rPr>
        <w:suppressLineNumbers w:val="0"/>
      </w:pPr>
      <w:r>
        <w:rPr>
          <w:rFonts w:hint="eastAsia" w:ascii="黑体" w:hAnsi="Times New Roman" w:eastAsia="黑体" w:cs="Times New Roman"/>
          <w:bCs/>
          <w:color w:val="auto"/>
          <w:sz w:val="36"/>
          <w:szCs w:val="36"/>
          <w:highlight w:val="none"/>
          <w:lang w:val="en-US" w:eastAsia="zh-CN" w:bidi="ar"/>
        </w:rPr>
        <w:t xml:space="preserve"> </w:t>
      </w:r>
      <w:r/>
    </w:p>
    <w:p>
      <w:pPr>
        <w:ind w:left="0" w:right="0"/>
        <w:jc w:val="center"/>
        <w:keepLines w:val="0"/>
        <w:keepNext w:val="0"/>
        <w:spacing w:before="0" w:beforeAutospacing="0" w:after="0" w:afterAutospacing="0"/>
        <w:widowControl w:val="off"/>
        <w:rPr>
          <w:rFonts w:hint="eastAsia" w:ascii="黑体" w:hAnsi="Times New Roman" w:eastAsia="黑体" w:cs="Times New Roman"/>
          <w:bCs/>
          <w:color w:val="auto"/>
          <w:sz w:val="28"/>
          <w:szCs w:val="28"/>
          <w:highlight w:val="none"/>
        </w:rPr>
        <w:suppressLineNumbers w:val="0"/>
      </w:pPr>
      <w:r>
        <w:rPr>
          <w:rFonts w:hint="eastAsia" w:ascii="黑体" w:hAnsi="宋体" w:eastAsia="黑体" w:cs="黑体"/>
          <w:bCs/>
          <w:color w:val="auto"/>
          <w:sz w:val="28"/>
          <w:szCs w:val="28"/>
          <w:highlight w:val="none"/>
          <w:lang w:val="en-US" w:eastAsia="zh-CN" w:bidi="ar"/>
        </w:rPr>
        <w:t xml:space="preserve">关于资格的声明函</w:t>
      </w:r>
      <w:r/>
    </w:p>
    <w:p>
      <w:pPr>
        <w:ind w:left="0" w:right="0"/>
        <w:jc w:val="center"/>
        <w:keepLines w:val="0"/>
        <w:keepNext w:val="0"/>
        <w:spacing w:before="0" w:beforeAutospacing="0" w:after="0" w:afterAutospacing="0" w:line="480" w:lineRule="auto"/>
        <w:widowControl w:val="off"/>
        <w:rPr>
          <w:rFonts w:hint="eastAsia" w:ascii="宋体" w:hAnsi="Times New Roman"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采购项目编号：</w:t>
      </w:r>
      <w:r/>
    </w:p>
    <w:p>
      <w:pPr>
        <w:ind w:left="0" w:right="0"/>
        <w:jc w:val="center"/>
        <w:keepLines w:val="0"/>
        <w:keepNext w:val="0"/>
        <w:spacing w:before="0" w:beforeAutospacing="0" w:after="0" w:afterAutospacing="0" w:line="480" w:lineRule="auto"/>
        <w:widowControl w:val="off"/>
        <w:tabs>
          <w:tab w:val="left" w:pos="630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日期：</w:t>
      </w:r>
      <w:r/>
    </w:p>
    <w:p>
      <w:pPr>
        <w:ind w:left="0" w:right="0"/>
        <w:jc w:val="both"/>
        <w:keepLines w:val="0"/>
        <w:keepNext w:val="0"/>
        <w:spacing w:before="0" w:beforeAutospacing="0" w:after="0" w:afterAutospacing="0" w:line="480" w:lineRule="auto"/>
        <w:widowControl w:val="off"/>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江苏新桂工程咨询有限公司：</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我公司（单位）愿针对本次</w:t>
      </w:r>
      <w:r>
        <w:rPr>
          <w:rFonts w:hint="eastAsia" w:ascii="宋体" w:hAnsi="宋体" w:eastAsia="宋体" w:cs="宋体"/>
          <w:bCs/>
          <w:color w:val="auto"/>
          <w:sz w:val="24"/>
          <w:szCs w:val="24"/>
          <w:highlight w:val="none"/>
          <w:u w:val="single"/>
          <w:lang w:val="en-US" w:eastAsia="zh-CN" w:bidi="ar"/>
        </w:rPr>
        <w:t xml:space="preserve">                   项目</w:t>
      </w:r>
      <w:r>
        <w:rPr>
          <w:rFonts w:hint="eastAsia" w:ascii="宋体" w:hAnsi="宋体" w:eastAsia="宋体" w:cs="宋体"/>
          <w:bCs/>
          <w:color w:val="auto"/>
          <w:sz w:val="24"/>
          <w:szCs w:val="24"/>
          <w:highlight w:val="none"/>
          <w:lang w:val="en-US" w:eastAsia="zh-CN" w:bidi="ar"/>
        </w:rPr>
        <w:t xml:space="preserve">进行投标。</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我公司符合《中华人民共和国政府采购法》第二十二条的规定，在此郑重承诺具备以下条件：</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（一）具有独立承担民事责任的能力；</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（二）具有良好的商业信誉和健全的财务会计制度；</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（三）具有履行合同所必需的设备和专业技术能力；</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（四）有依法缴纳税收和社会保障资金的良好记录；</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（五）近三年内，在经营活动中没有重大违法记录；</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（六）投标文件中所有关于投标资格的文件、证明、陈述均是真实的、准确的。</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若有违背，我公司（单位）愿意承担由此而产生的一切后果。</w:t>
      </w:r>
      <w:r/>
    </w:p>
    <w:p>
      <w:pPr>
        <w:ind w:left="0" w:right="0"/>
        <w:jc w:val="both"/>
        <w:keepLines w:val="0"/>
        <w:keepNext w:val="0"/>
        <w:spacing w:before="0" w:beforeAutospacing="0" w:after="0" w:afterAutospacing="0" w:line="46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 </w:t>
      </w:r>
      <w:r/>
    </w:p>
    <w:p>
      <w:pPr>
        <w:pStyle w:val="828"/>
        <w:ind w:left="0" w:right="0" w:firstLine="480"/>
        <w:jc w:val="both"/>
        <w:keepLines w:val="0"/>
        <w:keepNext w:val="0"/>
        <w:spacing w:before="0" w:beforeAutospacing="0" w:after="0" w:afterAutospacing="0" w:line="46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 </w:t>
      </w:r>
      <w:r/>
    </w:p>
    <w:p>
      <w:pPr>
        <w:pStyle w:val="828"/>
        <w:ind w:left="0" w:right="0" w:firstLine="480"/>
        <w:jc w:val="both"/>
        <w:keepLines w:val="0"/>
        <w:keepNext w:val="0"/>
        <w:spacing w:before="0" w:beforeAutospacing="0" w:after="0" w:afterAutospacing="0" w:line="46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p>
      <w:pPr>
        <w:ind w:left="0" w:right="0"/>
        <w:jc w:val="both"/>
        <w:keepLines w:val="0"/>
        <w:keepNext w:val="0"/>
        <w:spacing w:before="0" w:beforeAutospacing="0" w:after="0" w:afterAutospacing="0" w:line="46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投标供应商（盖章）：</w:t>
      </w:r>
      <w:r/>
    </w:p>
    <w:p>
      <w:pPr>
        <w:ind w:left="0" w:right="0"/>
        <w:jc w:val="both"/>
        <w:keepLines w:val="0"/>
        <w:keepNext w:val="0"/>
        <w:spacing w:before="0" w:beforeAutospacing="0" w:after="0" w:afterAutospacing="0" w:line="46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法定代表人或法定代表人授权代表签字或盖章：</w:t>
      </w:r>
      <w:r/>
    </w:p>
    <w:p>
      <w:pPr>
        <w:ind w:left="0" w:right="0"/>
        <w:jc w:val="both"/>
        <w:keepLines w:val="0"/>
        <w:keepNext w:val="0"/>
        <w:spacing w:before="0" w:beforeAutospacing="0" w:after="0" w:afterAutospacing="0" w:line="46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日期：</w:t>
      </w:r>
      <w:r/>
    </w:p>
    <w:p>
      <w:pPr>
        <w:ind w:left="0" w:right="0" w:firstLine="480"/>
        <w:jc w:val="both"/>
        <w:keepLines w:val="0"/>
        <w:keepNext w:val="0"/>
        <w:spacing w:before="0" w:beforeAutospacing="0" w:after="0" w:afterAutospacing="0"/>
        <w:widowControl w:val="off"/>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lang w:val="en-US" w:eastAsia="zh-CN" w:bidi="ar"/>
        </w:rPr>
        <w:t xml:space="preserve"> </w:t>
      </w:r>
      <w:r/>
    </w:p>
    <w:p>
      <w:pPr>
        <w:ind w:left="0" w:right="0" w:firstLine="480"/>
        <w:jc w:val="both"/>
        <w:keepLines w:val="0"/>
        <w:keepNext w:val="0"/>
        <w:spacing w:before="0" w:beforeAutospacing="0" w:after="0" w:afterAutospacing="0"/>
        <w:widowControl w:val="off"/>
        <w:rPr>
          <w:rFonts w:hint="eastAsia" w:ascii="黑体" w:hAnsi="宋体" w:eastAsia="黑体" w:cs="Times New Roman"/>
          <w:bCs/>
          <w:color w:val="auto"/>
          <w:sz w:val="24"/>
          <w:szCs w:val="24"/>
          <w:highlight w:val="none"/>
        </w:rPr>
        <w:suppressLineNumbers w:val="0"/>
      </w:pPr>
      <w:r>
        <w:rPr>
          <w:rFonts w:hint="eastAsia" w:ascii="黑体" w:hAnsi="宋体" w:eastAsia="黑体" w:cs="Times New Roman"/>
          <w:bCs/>
          <w:color w:val="auto"/>
          <w:sz w:val="24"/>
          <w:szCs w:val="24"/>
          <w:highlight w:val="none"/>
          <w:lang w:val="en-US" w:eastAsia="zh-CN" w:bidi="ar"/>
        </w:rPr>
        <w:t xml:space="preserve"> </w:t>
      </w:r>
      <w:r/>
    </w:p>
    <w:p>
      <w:pPr>
        <w:ind w:left="0" w:right="0" w:firstLine="480"/>
        <w:jc w:val="both"/>
        <w:keepLines w:val="0"/>
        <w:keepNext w:val="0"/>
        <w:spacing w:before="0" w:beforeAutospacing="0" w:after="0" w:afterAutospacing="0"/>
        <w:widowControl w:val="off"/>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hint="eastAsia" w:ascii="黑体" w:hAnsi="宋体" w:eastAsia="黑体" w:cs="Times New Roman"/>
          <w:bCs/>
          <w:color w:val="auto"/>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pPr>
      <w:r>
        <w:rPr>
          <w:rFonts w:hint="eastAsia" w:ascii="黑体" w:hAnsi="宋体" w:eastAsia="黑体" w:cs="Times New Roman"/>
          <w:bCs/>
          <w:color w:val="auto"/>
          <w:sz w:val="24"/>
          <w:szCs w:val="24"/>
          <w:highlight w:val="none"/>
        </w:rPr>
      </w:r>
      <w:r/>
    </w:p>
    <w:p>
      <w:pPr>
        <w:ind w:left="0" w:right="0"/>
        <w:jc w:val="both"/>
        <w:keepLines w:val="0"/>
        <w:keepNext w:val="0"/>
        <w:spacing w:before="0" w:beforeAutospacing="0" w:after="0" w:afterAutospacing="0"/>
        <w:widowControl w:val="off"/>
        <w:rPr>
          <w:rFonts w:hint="eastAsia" w:ascii="黑体" w:hAnsi="Times New Roman" w:eastAsia="黑体" w:cs="Times New Roman"/>
          <w:bCs/>
          <w:color w:val="auto"/>
          <w:sz w:val="28"/>
          <w:szCs w:val="28"/>
          <w:highlight w:val="none"/>
        </w:rPr>
        <w:outlineLvl w:val="2"/>
        <w:suppressLineNumbers w:val="0"/>
      </w:pPr>
      <w:r>
        <w:rPr>
          <w:rFonts w:hint="eastAsia" w:ascii="黑体" w:hAnsi="宋体" w:eastAsia="黑体" w:cs="黑体"/>
          <w:bCs/>
          <w:color w:val="auto"/>
          <w:sz w:val="24"/>
          <w:szCs w:val="24"/>
          <w:highlight w:val="none"/>
          <w:lang w:val="en-US" w:eastAsia="zh-CN" w:bidi="ar"/>
        </w:rPr>
        <w:t xml:space="preserve">（三）（投标供应商）法定代表人授权委托书（格式）：</w:t>
      </w:r>
      <w:r/>
    </w:p>
    <w:p>
      <w:pPr>
        <w:ind w:left="0" w:right="0"/>
        <w:jc w:val="center"/>
        <w:keepLines w:val="0"/>
        <w:keepNext w:val="0"/>
        <w:spacing w:before="0" w:beforeAutospacing="0" w:after="0" w:afterAutospacing="0"/>
        <w:widowControl w:val="off"/>
        <w:rPr>
          <w:rFonts w:hint="eastAsia" w:ascii="宋体" w:hAnsi="宋体" w:eastAsia="宋体" w:cs="Times New Roman"/>
          <w:bCs/>
          <w:color w:val="auto"/>
          <w:sz w:val="24"/>
          <w:szCs w:val="24"/>
          <w:highlight w:val="none"/>
        </w:rPr>
        <w:suppressLineNumbers w:val="0"/>
      </w:pPr>
      <w:r>
        <w:rPr>
          <w:rFonts w:hint="eastAsia" w:ascii="黑体" w:hAnsi="宋体" w:eastAsia="黑体" w:cs="黑体"/>
          <w:bCs/>
          <w:color w:val="auto"/>
          <w:sz w:val="28"/>
          <w:szCs w:val="28"/>
          <w:highlight w:val="none"/>
          <w:lang w:val="en-US" w:eastAsia="zh-CN" w:bidi="ar"/>
        </w:rPr>
        <w:t xml:space="preserve">法定代表人授权委托书</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采购项目编号：</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日期：</w:t>
      </w:r>
      <w:r/>
    </w:p>
    <w:p>
      <w:pPr>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lang w:eastAsia="zh-CN"/>
        </w:rPr>
        <w:t xml:space="preserve">江苏新桂工程咨询有限公司</w:t>
      </w:r>
      <w:r>
        <w:rPr>
          <w:rFonts w:hint="eastAsia" w:ascii="宋体" w:hAnsi="宋体"/>
          <w:bCs/>
          <w:color w:val="auto"/>
          <w:sz w:val="24"/>
          <w:highlight w:val="none"/>
        </w:rPr>
        <w:t xml:space="preserve">：</w:t>
      </w:r>
      <w:r/>
    </w:p>
    <w:p>
      <w:pPr>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u w:val="single"/>
        </w:rPr>
        <w:t xml:space="preserve">   （投标人单位名称）          </w:t>
      </w:r>
      <w:r>
        <w:rPr>
          <w:rFonts w:hint="eastAsia" w:ascii="宋体" w:hAnsi="宋体"/>
          <w:bCs/>
          <w:color w:val="auto"/>
          <w:sz w:val="24"/>
          <w:highlight w:val="none"/>
        </w:rPr>
        <w:t xml:space="preserve">系中华人民共和国合法企业，</w:t>
      </w:r>
      <w:r/>
    </w:p>
    <w:p>
      <w:pPr>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法定地址：</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，特授权</w:t>
      </w:r>
      <w:r>
        <w:rPr>
          <w:rFonts w:hint="eastAsia" w:ascii="宋体" w:hAnsi="宋体"/>
          <w:bCs/>
          <w:color w:val="auto"/>
          <w:sz w:val="24"/>
          <w:highlight w:val="none"/>
          <w:u w:val="single"/>
        </w:rPr>
        <w:t xml:space="preserve">    （姓名）   </w:t>
      </w:r>
      <w:r>
        <w:rPr>
          <w:rFonts w:hint="eastAsia" w:ascii="宋体" w:hAnsi="宋体"/>
          <w:bCs/>
          <w:color w:val="auto"/>
          <w:sz w:val="24"/>
          <w:highlight w:val="none"/>
        </w:rPr>
        <w:t xml:space="preserve">代表我公司（单位）全权办理针对本项目（</w:t>
      </w:r>
      <w:r>
        <w:rPr>
          <w:rFonts w:hint="eastAsia" w:ascii="宋体" w:hAnsi="宋体"/>
          <w:b/>
          <w:bCs/>
          <w:color w:val="auto"/>
          <w:sz w:val="24"/>
          <w:highlight w:val="none"/>
        </w:rPr>
        <w:t xml:space="preserve">采购编号：</w:t>
      </w:r>
      <w:r>
        <w:rPr>
          <w:rFonts w:hint="eastAsia" w:ascii="宋体" w:hAnsi="宋体"/>
          <w:b/>
          <w:bCs/>
          <w:color w:val="auto"/>
          <w:sz w:val="24"/>
          <w:highlight w:val="none"/>
          <w:lang w:val="en-US" w:eastAsia="zh-CN"/>
        </w:rPr>
        <w:t xml:space="preserve">    </w:t>
      </w:r>
      <w:r>
        <w:rPr>
          <w:rFonts w:hint="eastAsia" w:ascii="黑体" w:eastAsia="黑体"/>
          <w:bCs/>
          <w:color w:val="auto"/>
          <w:sz w:val="24"/>
          <w:highlight w:val="none"/>
        </w:rPr>
        <w:t xml:space="preserve">）</w:t>
      </w:r>
      <w:r>
        <w:rPr>
          <w:rFonts w:hint="eastAsia" w:ascii="宋体" w:hAnsi="宋体"/>
          <w:bCs/>
          <w:color w:val="auto"/>
          <w:sz w:val="24"/>
          <w:highlight w:val="none"/>
        </w:rPr>
        <w:t xml:space="preserve">的投标，参与谈判、签约等具体工作，并签署全部有关的文件、协议及合同。</w:t>
      </w:r>
      <w:r/>
    </w:p>
    <w:p>
      <w:pPr>
        <w:ind w:firstLine="525"/>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我公司（单位）对被授权人的签名负全部责任。</w:t>
      </w:r>
      <w:r/>
    </w:p>
    <w:p>
      <w:pPr>
        <w:ind w:firstLine="523"/>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在撤销授权的书面通知送达你处以前，本授权书一直有效，被授权人签署的所有文件（在授权书有效期内签署的）不因授权的撤销而失效。被授权人无转委托权。</w:t>
      </w:r>
      <w:r/>
    </w:p>
    <w:p>
      <w:pPr>
        <w:ind w:firstLine="525"/>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被授权人情况：</w:t>
      </w:r>
      <w:r/>
    </w:p>
    <w:p>
      <w:pPr>
        <w:ind w:firstLine="525"/>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姓名：         性别：       年龄：       职务：</w:t>
      </w:r>
      <w:r/>
    </w:p>
    <w:p>
      <w:pPr>
        <w:ind w:firstLine="525"/>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身份证号码：                电话：</w:t>
      </w:r>
      <w:r/>
    </w:p>
    <w:p>
      <w:pPr>
        <w:ind w:firstLine="525"/>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通讯地址：</w:t>
      </w:r>
      <w:r/>
    </w:p>
    <w:p>
      <w:pPr>
        <w:ind w:firstLine="525"/>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被授权人签名：                单位名称（盖章）：</w:t>
      </w:r>
      <w:r/>
    </w:p>
    <w:p>
      <w:pPr>
        <w:ind w:firstLine="42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                       法定代表人（签字或盖章）：</w:t>
      </w:r>
      <w:r/>
    </w:p>
    <w:p>
      <w:pPr>
        <w:ind w:firstLine="420"/>
        <w:spacing w:line="480" w:lineRule="auto"/>
        <w:rPr>
          <w:rFonts w:hint="eastAsia" w:ascii="宋体" w:hAnsi="宋体"/>
          <w:bCs/>
          <w:color w:val="auto"/>
          <w:sz w:val="24"/>
          <w:highlight w:val="none"/>
        </w:rPr>
      </w:pPr>
      <w:r>
        <w:rPr>
          <w:rFonts w:hint="eastAsia" w:ascii="宋体" w:hAnsi="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3086100</wp:posOffset>
                </wp:positionH>
                <wp:positionV relativeFrom="paragraph">
                  <wp:posOffset>0</wp:posOffset>
                </wp:positionV>
                <wp:extent cx="2867025" cy="1584960"/>
                <wp:effectExtent l="4445" t="4445" r="8890" b="10795"/>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授权代表身份证复印件</w:t>
                            </w:r>
                            <w:r/>
                          </w:p>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243.0pt;mso-position-horizontal:absolute;mso-position-vertical-relative:text;margin-top:0.0pt;mso-position-vertical:absolute;width:225.8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授权代表身份证复印件</w:t>
                      </w:r>
                      <w:r/>
                    </w:p>
                    <w:p>
                      <w:r/>
                      <w:r/>
                    </w:p>
                  </w:txbxContent>
                </v:textbox>
              </v:shape>
            </w:pict>
          </mc:Fallback>
        </mc:AlternateContent>
      </w:r>
      <w:r>
        <w:rPr>
          <w:rFonts w:hint="eastAsia" w:ascii="宋体" w:hAnsi="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2867025" cy="1584960"/>
                <wp:effectExtent l="4445" t="4445" r="8890" b="10795"/>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法定代表人身份证复印件</w:t>
                            </w:r>
                            <w:r/>
                          </w:p>
                          <w:p>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9.0pt;mso-position-horizontal:absolute;mso-position-vertical-relative:text;margin-top:0.0pt;mso-position-vertical:absolute;width:225.8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法定代表人身份证复印件</w:t>
                      </w:r>
                      <w:r/>
                    </w:p>
                    <w:p>
                      <w:r/>
                      <w:r/>
                    </w:p>
                  </w:txbxContent>
                </v:textbox>
              </v:shape>
            </w:pict>
          </mc:Fallback>
        </mc:AlternateContent>
      </w:r>
      <w:r/>
    </w:p>
    <w:p>
      <w:pPr>
        <w:ind w:firstLine="420"/>
        <w:spacing w:line="480" w:lineRule="auto"/>
        <w:rPr>
          <w:rFonts w:hint="eastAsia" w:ascii="宋体" w:hAnsi="宋体"/>
          <w:bCs/>
          <w:color w:val="auto"/>
          <w:sz w:val="24"/>
          <w:highlight w:val="none"/>
        </w:rPr>
      </w:pPr>
      <w:r>
        <w:rPr>
          <w:rFonts w:hint="eastAsia" w:ascii="宋体" w:hAnsi="宋体"/>
          <w:bCs/>
          <w:color w:val="auto"/>
          <w:sz w:val="24"/>
          <w:highlight w:val="none"/>
        </w:rPr>
      </w:r>
      <w:r/>
    </w:p>
    <w:p>
      <w:pPr>
        <w:ind w:firstLine="420"/>
        <w:spacing w:line="480" w:lineRule="auto"/>
        <w:rPr>
          <w:rFonts w:hint="eastAsia" w:ascii="宋体" w:hAnsi="宋体"/>
          <w:bCs/>
          <w:color w:val="auto"/>
          <w:sz w:val="24"/>
          <w:highlight w:val="none"/>
        </w:rPr>
      </w:pPr>
      <w:r>
        <w:rPr>
          <w:rFonts w:hint="eastAsia" w:ascii="宋体" w:hAnsi="宋体"/>
          <w:bCs/>
          <w:color w:val="auto"/>
          <w:sz w:val="24"/>
          <w:highlight w:val="none"/>
        </w:rPr>
      </w:r>
      <w:r/>
    </w:p>
    <w:p>
      <w:pPr>
        <w:ind w:firstLine="420"/>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jc w:val="lef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pStyle w:val="835"/>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pStyle w:val="835"/>
        <w:ind w:left="0" w:firstLine="0"/>
        <w:rPr>
          <w:rFonts w:hint="eastAsia"/>
          <w:color w:val="auto"/>
          <w:highlight w:val="none"/>
        </w:rPr>
      </w:pPr>
      <w:r>
        <w:rPr>
          <w:rFonts w:hint="eastAsia"/>
          <w:color w:val="auto"/>
          <w:highlight w:val="none"/>
        </w:rPr>
      </w:r>
      <w:r/>
    </w:p>
    <w:p>
      <w:pPr>
        <w:jc w:val="left"/>
        <w:rPr>
          <w:rFonts w:ascii="宋体" w:hAnsi="宋体"/>
          <w:b/>
          <w:color w:val="auto"/>
          <w:sz w:val="28"/>
          <w:szCs w:val="28"/>
          <w:highlight w:val="none"/>
        </w:rPr>
      </w:pPr>
      <w:r>
        <w:rPr>
          <w:rFonts w:hint="eastAsia" w:ascii="黑体" w:hAnsi="黑体" w:eastAsia="黑体"/>
          <w:color w:val="auto"/>
          <w:sz w:val="28"/>
          <w:szCs w:val="28"/>
          <w:highlight w:val="none"/>
        </w:rPr>
        <w:t xml:space="preserve">法定代表人亲自参加投标的需提供：</w:t>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610"/>
        <w:keepLines w:val="0"/>
        <w:keepNext w:val="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610"/>
        <w:keepLines w:val="0"/>
        <w:keepNext w:val="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61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成立时间：年月日</w:t>
      </w:r>
      <w:r/>
    </w:p>
    <w:p>
      <w:pPr>
        <w:ind w:firstLine="61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610"/>
        <w:keepLines w:val="0"/>
        <w:keepNext w:val="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610"/>
        <w:keepLines w:val="0"/>
        <w:keepNext w:val="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姓    名： 性别：年龄： 职务：</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61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系的法定代表人。</w:t>
      </w:r>
      <w:r/>
    </w:p>
    <w:p>
      <w:pPr>
        <w:ind w:firstLine="61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61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tabs>
          <w:tab w:val="left" w:pos="720" w:leader="none"/>
          <w:tab w:val="left" w:pos="900" w:leader="none"/>
        </w:tabs>
        <w:rPr>
          <w:rFonts w:ascii="宋体" w:hAnsi="宋体"/>
          <w:color w:val="auto"/>
          <w:sz w:val="24"/>
          <w:szCs w:val="24"/>
          <w:highlight w:val="none"/>
        </w:rPr>
      </w:pPr>
      <w:r>
        <w:rPr>
          <w:rFonts w:ascii="宋体" w:hAnsi="宋体"/>
          <w:color w:val="auto"/>
          <w:sz w:val="24"/>
          <w:szCs w:val="24"/>
          <w:highlight w:val="none"/>
        </w:rPr>
      </w:r>
      <w:r/>
    </w:p>
    <w:p>
      <w:pPr>
        <w:ind w:firstLine="480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tbl>
      <w:tblPr>
        <w:tblStyle w:val="808"/>
        <w:tblW w:w="104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Borders>
              <w:right w:val="single" w:color="auto" w:sz="4" w:space="0"/>
            </w:tcBorders>
            <w:tcW w:w="4680" w:type="dxa"/>
            <w:vAlign w:val="top"/>
            <w:textDirection w:val="lrTb"/>
            <w:noWrap w:val="false"/>
          </w:tcPr>
          <w:p>
            <w:pPr>
              <w:ind w:left="0" w:right="0"/>
              <w:keepLines w:val="0"/>
              <w:keepNext w:val="0"/>
              <w:spacing w:before="4" w:beforeAutospacing="0" w:after="0" w:afterAutospacing="0" w:line="360" w:lineRule="auto"/>
              <w:widowControl/>
              <w:rPr>
                <w:rFonts w:ascii="宋体" w:hAnsi="宋体"/>
                <w:color w:val="auto"/>
                <w:sz w:val="24"/>
                <w:szCs w:val="20"/>
                <w:highlight w:val="none"/>
              </w:rPr>
              <w:suppressLineNumbers w:val="0"/>
            </w:pPr>
            <w:r>
              <w:rPr>
                <w:rFonts w:ascii="宋体" w:hAnsi="宋体"/>
                <w:color w:val="auto"/>
                <w:sz w:val="24"/>
                <w:szCs w:val="20"/>
                <w:highlight w:val="none"/>
              </w:rPr>
            </w:r>
            <w:r/>
          </w:p>
          <w:p>
            <w:pPr>
              <w:ind w:left="0" w:right="0"/>
              <w:keepLines w:val="0"/>
              <w:keepNext w:val="0"/>
              <w:spacing w:before="4" w:beforeAutospacing="0" w:after="0" w:afterAutospacing="0" w:line="360" w:lineRule="auto"/>
              <w:widowControl/>
              <w:rPr>
                <w:rFonts w:ascii="宋体" w:hAnsi="宋体"/>
                <w:color w:val="auto"/>
                <w:sz w:val="24"/>
                <w:szCs w:val="20"/>
                <w:highlight w:val="none"/>
              </w:rPr>
              <w:suppressLineNumbers w:val="0"/>
            </w:pPr>
            <w:r>
              <w:rPr>
                <w:rFonts w:ascii="宋体" w:hAnsi="宋体"/>
                <w:color w:val="auto"/>
                <w:sz w:val="24"/>
                <w:szCs w:val="20"/>
                <w:highlight w:val="none"/>
              </w:rPr>
            </w:r>
            <w:r/>
          </w:p>
          <w:p>
            <w:pPr>
              <w:ind w:left="0" w:right="0"/>
              <w:jc w:val="center"/>
              <w:keepLines w:val="0"/>
              <w:keepNext w:val="0"/>
              <w:spacing w:before="4" w:beforeAutospacing="0" w:after="0" w:afterAutospacing="0" w:line="360" w:lineRule="auto"/>
              <w:widowControl/>
              <w:rPr>
                <w:rFonts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widowControl/>
              <w:rPr>
                <w:rFonts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left w:val="single" w:color="auto" w:sz="4" w:space="0"/>
              <w:bottom w:val="none" w:color="000000" w:sz="4" w:space="0"/>
              <w:right w:val="single" w:color="auto" w:sz="4" w:space="0"/>
            </w:tcBorders>
            <w:tcW w:w="720" w:type="dxa"/>
            <w:vAlign w:val="top"/>
            <w:textDirection w:val="lrTb"/>
            <w:noWrap w:val="false"/>
          </w:tcPr>
          <w:p>
            <w:pPr>
              <w:ind w:left="0" w:right="0"/>
              <w:jc w:val="left"/>
              <w:keepLines w:val="0"/>
              <w:keepNext w:val="0"/>
              <w:spacing w:before="0" w:beforeAutospacing="0" w:after="0" w:afterAutospacing="0"/>
              <w:widowControl/>
              <w:rPr>
                <w:rFonts w:ascii="宋体" w:hAnsi="宋体"/>
                <w:color w:val="auto"/>
                <w:sz w:val="24"/>
                <w:szCs w:val="20"/>
                <w:highlight w:val="none"/>
              </w:rPr>
              <w:suppressLineNumbers w:val="0"/>
            </w:pPr>
            <w:r>
              <w:rPr>
                <w:rFonts w:ascii="宋体" w:hAnsi="宋体"/>
                <w:color w:val="auto"/>
                <w:sz w:val="24"/>
                <w:szCs w:val="20"/>
                <w:highlight w:val="none"/>
              </w:rPr>
            </w:r>
            <w:r/>
          </w:p>
        </w:tc>
        <w:tc>
          <w:tcPr>
            <w:tcBorders>
              <w:left w:val="single" w:color="auto" w:sz="4" w:space="0"/>
            </w:tcBorders>
            <w:tcW w:w="5040" w:type="dxa"/>
            <w:vAlign w:val="top"/>
            <w:textDirection w:val="lrTb"/>
            <w:noWrap w:val="false"/>
          </w:tcPr>
          <w:p>
            <w:pPr>
              <w:ind w:left="0" w:right="0"/>
              <w:keepLines w:val="0"/>
              <w:keepNext w:val="0"/>
              <w:spacing w:before="4" w:beforeAutospacing="0" w:after="0" w:afterAutospacing="0" w:line="360" w:lineRule="auto"/>
              <w:widowControl/>
              <w:rPr>
                <w:rFonts w:ascii="宋体" w:hAnsi="宋体"/>
                <w:color w:val="auto"/>
                <w:sz w:val="24"/>
                <w:szCs w:val="20"/>
                <w:highlight w:val="none"/>
              </w:rPr>
              <w:suppressLineNumbers w:val="0"/>
            </w:pPr>
            <w:r>
              <w:rPr>
                <w:rFonts w:ascii="宋体" w:hAnsi="宋体"/>
                <w:color w:val="auto"/>
                <w:sz w:val="24"/>
                <w:szCs w:val="20"/>
                <w:highlight w:val="none"/>
              </w:rPr>
            </w:r>
            <w:r/>
          </w:p>
          <w:p>
            <w:pPr>
              <w:ind w:left="0" w:right="0"/>
              <w:keepLines w:val="0"/>
              <w:keepNext w:val="0"/>
              <w:spacing w:before="4" w:beforeAutospacing="0" w:after="0" w:afterAutospacing="0" w:line="360" w:lineRule="auto"/>
              <w:widowControl/>
              <w:rPr>
                <w:rFonts w:ascii="宋体" w:hAnsi="宋体"/>
                <w:color w:val="auto"/>
                <w:sz w:val="24"/>
                <w:szCs w:val="20"/>
                <w:highlight w:val="none"/>
              </w:rPr>
              <w:suppressLineNumbers w:val="0"/>
            </w:pPr>
            <w:r>
              <w:rPr>
                <w:rFonts w:ascii="宋体" w:hAnsi="宋体"/>
                <w:color w:val="auto"/>
                <w:sz w:val="24"/>
                <w:szCs w:val="20"/>
                <w:highlight w:val="none"/>
              </w:rPr>
            </w:r>
            <w:r/>
          </w:p>
          <w:p>
            <w:pPr>
              <w:ind w:left="0" w:right="0"/>
              <w:jc w:val="center"/>
              <w:keepLines w:val="0"/>
              <w:keepNext w:val="0"/>
              <w:spacing w:before="4" w:beforeAutospacing="0" w:after="0" w:afterAutospacing="0" w:line="360" w:lineRule="auto"/>
              <w:widowControl/>
              <w:rPr>
                <w:rFonts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widowControl/>
              <w:rPr>
                <w:rFonts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ind w:left="0" w:right="0"/>
        <w:jc w:val="both"/>
        <w:keepLines w:val="0"/>
        <w:keepNext w:val="0"/>
        <w:spacing w:before="0" w:beforeAutospacing="0" w:after="0" w:afterAutospacing="0"/>
        <w:widowControl w:val="off"/>
        <w:rPr>
          <w:rFonts w:hint="eastAsia" w:ascii="黑体" w:hAnsi="Times New Roman" w:eastAsia="黑体" w:cs="Times New Roman"/>
          <w:bCs/>
          <w:color w:val="auto"/>
          <w:sz w:val="28"/>
          <w:szCs w:val="28"/>
          <w:highlight w:val="none"/>
        </w:rPr>
        <w:outlineLvl w:val="2"/>
        <w:suppressLineNumbers w:val="0"/>
      </w:pPr>
      <w:r>
        <w:rPr>
          <w:rFonts w:hint="eastAsia" w:ascii="黑体" w:hAnsi="宋体" w:eastAsia="黑体" w:cs="黑体"/>
          <w:bCs/>
          <w:color w:val="auto"/>
          <w:sz w:val="24"/>
          <w:szCs w:val="24"/>
          <w:highlight w:val="none"/>
          <w:lang w:val="en-US" w:eastAsia="zh-CN" w:bidi="ar"/>
        </w:rPr>
        <w:t xml:space="preserve">（四）（投标供应商）中小企业声明函（格式）：</w:t>
      </w:r>
      <w:r/>
    </w:p>
    <w:p>
      <w:pPr>
        <w:ind w:left="0" w:right="0"/>
        <w:jc w:val="center"/>
        <w:keepLines w:val="0"/>
        <w:keepNext w:val="0"/>
        <w:spacing w:before="0" w:beforeAutospacing="0" w:after="0" w:afterAutospacing="0"/>
        <w:widowControl w:val="off"/>
        <w:rPr>
          <w:rFonts w:hint="eastAsia" w:ascii="黑体" w:hAnsi="Times New Roman" w:eastAsia="黑体" w:cs="Times New Roman"/>
          <w:bCs/>
          <w:color w:val="auto"/>
          <w:sz w:val="28"/>
          <w:szCs w:val="28"/>
          <w:highlight w:val="none"/>
        </w:rPr>
        <w:suppressLineNumbers w:val="0"/>
      </w:pPr>
      <w:r>
        <w:rPr>
          <w:rFonts w:hint="eastAsia" w:ascii="黑体" w:hAnsi="宋体" w:eastAsia="黑体" w:cs="黑体"/>
          <w:bCs/>
          <w:color w:val="auto"/>
          <w:sz w:val="28"/>
          <w:szCs w:val="28"/>
          <w:highlight w:val="none"/>
          <w:lang w:val="en-US" w:eastAsia="zh-CN" w:bidi="ar"/>
        </w:rPr>
        <w:t xml:space="preserve">中小企业声明函（货物）</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本</w:t>
      </w:r>
      <w:r>
        <w:rPr>
          <w:rFonts w:hint="eastAsia" w:ascii="宋体" w:hAnsi="宋体" w:eastAsia="宋体" w:cs="宋体"/>
          <w:color w:val="auto"/>
          <w:sz w:val="24"/>
          <w:szCs w:val="24"/>
          <w:highlight w:val="none"/>
          <w:lang w:val="en-US" w:eastAsia="zh-CN" w:bidi="ar"/>
        </w:rPr>
        <w:t xml:space="preserve">公司（联合体）郑重声明，根据《政府采购促进中小企业发展管理办法》（财库﹝2020﹞46 号）的规定，本公司</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参加</w:t>
      </w:r>
      <w:r>
        <w:rPr>
          <w:rFonts w:hint="eastAsia" w:ascii="宋体" w:hAnsi="宋体" w:eastAsia="宋体" w:cs="宋体"/>
          <w:i/>
          <w:iCs w:val="0"/>
          <w:color w:val="auto"/>
          <w:sz w:val="24"/>
          <w:szCs w:val="24"/>
          <w:highlight w:val="none"/>
          <w:u w:val="single"/>
          <w:lang w:val="en-US" w:eastAsia="zh-CN" w:bidi="ar"/>
        </w:rPr>
        <w:t xml:space="preserve">（单位名称）</w:t>
      </w:r>
      <w:r>
        <w:rPr>
          <w:rFonts w:hint="eastAsia" w:ascii="宋体" w:hAnsi="宋体" w:eastAsia="宋体" w:cs="宋体"/>
          <w:color w:val="auto"/>
          <w:sz w:val="24"/>
          <w:szCs w:val="24"/>
          <w:highlight w:val="none"/>
          <w:lang w:val="en-US" w:eastAsia="zh-CN" w:bidi="ar"/>
        </w:rPr>
        <w:t xml:space="preserve">的</w:t>
      </w:r>
      <w:r>
        <w:rPr>
          <w:rFonts w:hint="eastAsia" w:ascii="宋体" w:hAnsi="宋体" w:eastAsia="宋体" w:cs="宋体"/>
          <w:i/>
          <w:iCs w:val="0"/>
          <w:color w:val="auto"/>
          <w:sz w:val="24"/>
          <w:szCs w:val="24"/>
          <w:highlight w:val="none"/>
          <w:u w:val="single"/>
          <w:lang w:val="en-US" w:eastAsia="zh-CN" w:bidi="ar"/>
        </w:rPr>
        <w:t xml:space="preserve">（项目名称）</w:t>
      </w:r>
      <w:r>
        <w:rPr>
          <w:rFonts w:hint="eastAsia" w:ascii="宋体" w:hAnsi="宋体" w:eastAsia="宋体" w:cs="宋体"/>
          <w:color w:val="auto"/>
          <w:sz w:val="24"/>
          <w:szCs w:val="24"/>
          <w:highlight w:val="none"/>
          <w:lang w:val="en-US" w:eastAsia="zh-CN" w:bidi="ar"/>
        </w:rPr>
        <w:t xml:space="preserve">采购活动，提供的货物全部由符合政策要求的中小企业制造。企业的具体情况如下：</w:t>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u w:val="single"/>
          <w:lang w:val="en-US" w:eastAsia="zh-CN" w:bidi="ar"/>
        </w:rPr>
        <w:t xml:space="preserve">    （标的名称）</w:t>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（采购文件中明确的所属行业）行业；制造商为</w:t>
      </w:r>
      <w:r>
        <w:rPr>
          <w:rFonts w:hint="eastAsia" w:ascii="宋体" w:hAnsi="宋体" w:eastAsia="宋体" w:cs="宋体"/>
          <w:color w:val="auto"/>
          <w:sz w:val="24"/>
          <w:szCs w:val="24"/>
          <w:highlight w:val="none"/>
          <w:u w:val="single"/>
          <w:lang w:val="en-US" w:eastAsia="zh-CN" w:bidi="ar"/>
        </w:rPr>
        <w:t xml:space="preserve">        </w:t>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（企业名称），从业人员</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人，营业收入为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万元，资产总额为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 ，属于</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（中型企业、小型企业、微型企业）；</w:t>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u w:val="single"/>
          <w:lang w:val="en-US" w:eastAsia="zh-CN" w:bidi="ar"/>
        </w:rPr>
        <w:t xml:space="preserve">    （标的名称</w:t>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（采购文件中明确的所属行业）行业；制造商为</w:t>
      </w:r>
      <w:r>
        <w:rPr>
          <w:rFonts w:hint="eastAsia" w:ascii="宋体" w:hAnsi="宋体" w:eastAsia="宋体" w:cs="宋体"/>
          <w:color w:val="auto"/>
          <w:sz w:val="24"/>
          <w:szCs w:val="24"/>
          <w:highlight w:val="none"/>
          <w:u w:val="single"/>
          <w:lang w:val="en-US" w:eastAsia="zh-CN" w:bidi="ar"/>
        </w:rPr>
        <w:t xml:space="preserve">        </w:t>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（企业名称），从业人员</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人，营业收入为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万元，资产总额为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 ，属于</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（中型企业、小型企业、微型企业）；</w:t>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u w:val="single"/>
          <w:lang w:val="en-US" w:eastAsia="zh-CN" w:bidi="ar"/>
        </w:rPr>
        <w:t xml:space="preserve">    （标的名称），属于    （采购文件中明确的所属行业）行业；制造商为        </w:t>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（企业名称），从业人员</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人，营业收入为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万元，资产总额为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 ，属于</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（中型企业、小型企业、微型企业）；</w:t>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以上企业，不属于大企业的分支机构，不存在控股股东为大企业的情形，也不存在与大企业的负责人为同一人的情形。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本企业对上述声明内容的真实性负责。如有虚假，将依法承担相 应责任。  </w:t>
      </w:r>
      <w:r/>
    </w:p>
    <w:p>
      <w:pPr>
        <w:ind w:left="0" w:right="0" w:firstLine="576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576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企业名称（盖章）： </w:t>
      </w:r>
      <w:r/>
    </w:p>
    <w:p>
      <w:pPr>
        <w:ind w:left="0" w:right="0" w:firstLine="672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日    期：</w:t>
      </w:r>
      <w:r/>
    </w:p>
    <w:p>
      <w:pPr>
        <w:pStyle w:val="828"/>
        <w:ind w:left="0" w:right="0"/>
        <w:jc w:val="left"/>
        <w:keepLines w:val="0"/>
        <w:keepNext w:val="0"/>
        <w:spacing w:before="0" w:beforeAutospacing="0" w:after="0" w:afterAutospacing="0"/>
        <w:widowControl/>
        <w:rPr>
          <w:rFonts w:hint="eastAsia" w:ascii="宋体" w:hAnsi="宋体" w:eastAsia="宋体" w:cs="宋体"/>
          <w:color w:val="auto"/>
          <w:sz w:val="32"/>
          <w:szCs w:val="32"/>
          <w:highlight w:val="none"/>
        </w:rPr>
        <w:suppressLineNumbers w:val="0"/>
      </w:pPr>
      <w:r>
        <w:rPr>
          <w:rFonts w:hint="eastAsia" w:ascii="宋体" w:hAnsi="宋体" w:eastAsia="宋体" w:cs="宋体"/>
          <w:color w:val="auto"/>
          <w:sz w:val="32"/>
          <w:szCs w:val="32"/>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说明： </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bidi="ar"/>
        </w:rPr>
        <w:t xml:space="preserve">（1）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bidi="ar"/>
        </w:rPr>
        <w:t xml:space="preserve">（2）从业人员、营业收入、资产总额填报上一年度数据，无上一年度数据的新成立企业可不填报。</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bidi="ar"/>
        </w:rPr>
        <w:t xml:space="preserve">（3）在货物采购项目中，供应商提供的货物既有中小企业制造货物，也有大型企业制造货物的，不享受本办法规定的中小企业扶持政策。</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bidi="ar"/>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auto"/>
          <w:sz w:val="18"/>
          <w:szCs w:val="18"/>
          <w:highlight w:val="none"/>
        </w:rPr>
        <w:suppressLineNumbers w:val="0"/>
      </w:pPr>
      <w:r>
        <w:rPr>
          <w:rFonts w:hint="eastAsia" w:ascii="宋体" w:hAnsi="宋体" w:eastAsia="宋体" w:cs="宋体"/>
          <w:color w:val="auto"/>
          <w:sz w:val="18"/>
          <w:szCs w:val="18"/>
          <w:highlight w:val="none"/>
          <w:lang w:val="en-US" w:eastAsia="zh-CN" w:bidi="ar"/>
        </w:rPr>
        <w:t xml:space="preserve">（5）货物类项目涉及多个采购标的，供应商应当根据每个采购标的所属行业的划型标准，判断所有标的制造商是否属于中小企业，然后根据招标文件“项目要求和有关说明”中明确的采购标的逐项声明，不得多填，而且要和报价明细表等的相关内容相互保持一致。漏填标的、填写的制造商名称与报价明细表不一致、未按采购标的逐项声明等情形，可能会导致《中小企业声明函》被作无效处理，由此带来的后果由供应商自行承担。</w:t>
      </w:r>
      <w:r/>
    </w:p>
    <w:p>
      <w:pPr>
        <w:rPr>
          <w:rFonts w:hint="eastAsia" w:ascii="Times New Roman" w:hAnsi="Times New Roman" w:eastAsia="宋体" w:cs="Times New Roman"/>
          <w:color w:val="auto"/>
          <w:sz w:val="21"/>
          <w:szCs w:val="21"/>
          <w:highlight w:val="none"/>
        </w:rPr>
        <w:sectPr>
          <w:footnotePr/>
          <w:endnotePr/>
          <w:type w:val="nextPage"/>
          <w:pgSz w:w="11906" w:h="16838" w:orient="portrait"/>
          <w:pgMar w:top="567" w:right="851" w:bottom="567" w:left="1134" w:header="624" w:footer="907" w:gutter="0"/>
          <w:cols w:num="1" w:sep="0" w:space="1701" w:equalWidth="1"/>
          <w:docGrid w:linePitch="360"/>
        </w:sectPr>
      </w:pPr>
      <w:r>
        <w:rPr>
          <w:rFonts w:hint="eastAsia" w:ascii="Times New Roman" w:hAnsi="Times New Roman" w:eastAsia="宋体" w:cs="Times New Roman"/>
          <w:color w:val="auto"/>
          <w:sz w:val="21"/>
          <w:szCs w:val="21"/>
          <w:highlight w:val="none"/>
        </w:rPr>
      </w:r>
      <w:r/>
    </w:p>
    <w:p>
      <w:pPr>
        <w:ind w:left="0" w:right="0"/>
        <w:jc w:val="both"/>
        <w:keepLines w:val="0"/>
        <w:keepNext w:val="0"/>
        <w:spacing w:before="0" w:beforeAutospacing="0" w:after="0" w:afterAutospacing="0"/>
        <w:widowControl w:val="off"/>
        <w:rPr>
          <w:rFonts w:hint="eastAsia" w:ascii="黑体" w:hAnsi="宋体" w:eastAsia="黑体" w:cs="Times New Roman"/>
          <w:bCs/>
          <w:color w:val="auto"/>
          <w:sz w:val="24"/>
          <w:szCs w:val="24"/>
          <w:highlight w:val="none"/>
        </w:rPr>
        <w:outlineLvl w:val="2"/>
        <w:suppressLineNumbers w:val="0"/>
      </w:pPr>
      <w:r>
        <w:rPr>
          <w:rFonts w:hint="eastAsia" w:ascii="黑体" w:hAnsi="宋体" w:eastAsia="黑体" w:cs="黑体"/>
          <w:bCs/>
          <w:color w:val="auto"/>
          <w:sz w:val="24"/>
          <w:szCs w:val="24"/>
          <w:highlight w:val="none"/>
          <w:lang w:val="en-US" w:eastAsia="zh-CN" w:bidi="ar"/>
        </w:rPr>
        <w:t xml:space="preserve">（五）（投标供应商）残疾人福利性单位声明函（格式）：</w:t>
      </w:r>
      <w:r/>
    </w:p>
    <w:p>
      <w:pPr>
        <w:ind w:left="0" w:right="0"/>
        <w:jc w:val="both"/>
        <w:keepLines w:val="0"/>
        <w:keepNext w:val="0"/>
        <w:spacing w:before="0" w:beforeAutospacing="0" w:after="0" w:afterAutospacing="0" w:line="480" w:lineRule="auto"/>
        <w:widowControl w:val="off"/>
        <w:rPr>
          <w:rFonts w:hint="eastAsia" w:ascii="宋体" w:hAnsi="Times New Roman" w:eastAsia="宋体" w:cs="Times New Roman"/>
          <w:bCs/>
          <w:color w:val="auto"/>
          <w:sz w:val="24"/>
          <w:szCs w:val="24"/>
          <w:highlight w:val="none"/>
        </w:rPr>
        <w:suppressLineNumbers w:val="0"/>
      </w:pPr>
      <w:r>
        <w:rPr>
          <w:rFonts w:hint="eastAsia" w:ascii="宋体" w:hAnsi="Times New Roman" w:eastAsia="宋体" w:cs="Times New Roman"/>
          <w:bCs/>
          <w:color w:val="auto"/>
          <w:sz w:val="24"/>
          <w:szCs w:val="24"/>
          <w:highlight w:val="none"/>
          <w:lang w:val="en-US" w:eastAsia="zh-CN" w:bidi="ar"/>
        </w:rPr>
        <w:t xml:space="preserve"> </w:t>
      </w:r>
      <w:r/>
    </w:p>
    <w:p>
      <w:pPr>
        <w:ind w:left="0" w:right="0"/>
        <w:jc w:val="center"/>
        <w:keepLines w:val="0"/>
        <w:keepNext w:val="0"/>
        <w:spacing w:before="0" w:beforeAutospacing="0" w:after="0" w:afterAutospacing="0"/>
        <w:widowControl w:val="off"/>
        <w:rPr>
          <w:rFonts w:hint="eastAsia" w:ascii="黑体" w:hAnsi="Times New Roman" w:eastAsia="黑体" w:cs="Times New Roman"/>
          <w:bCs/>
          <w:color w:val="auto"/>
          <w:sz w:val="28"/>
          <w:szCs w:val="28"/>
          <w:highlight w:val="none"/>
        </w:rPr>
        <w:suppressLineNumbers w:val="0"/>
      </w:pPr>
      <w:r>
        <w:rPr>
          <w:rFonts w:hint="eastAsia" w:ascii="黑体" w:hAnsi="宋体" w:eastAsia="黑体" w:cs="黑体"/>
          <w:bCs/>
          <w:color w:val="auto"/>
          <w:sz w:val="28"/>
          <w:szCs w:val="28"/>
          <w:highlight w:val="none"/>
          <w:lang w:val="en-US" w:eastAsia="zh-CN" w:bidi="ar"/>
        </w:rPr>
        <w:t xml:space="preserve">残疾人福利性单位声明函</w:t>
      </w:r>
      <w:r/>
    </w:p>
    <w:p>
      <w:pPr>
        <w:ind w:left="0" w:right="0"/>
        <w:jc w:val="center"/>
        <w:keepLines w:val="0"/>
        <w:keepNext w:val="0"/>
        <w:spacing w:before="0" w:beforeAutospacing="0" w:after="0" w:afterAutospacing="0"/>
        <w:widowControl w:val="off"/>
        <w:rPr>
          <w:rFonts w:hint="eastAsia" w:ascii="黑体" w:hAnsi="Times New Roman" w:eastAsia="黑体" w:cs="Times New Roman"/>
          <w:bCs/>
          <w:color w:val="auto"/>
          <w:sz w:val="28"/>
          <w:szCs w:val="28"/>
          <w:highlight w:val="none"/>
        </w:rPr>
        <w:suppressLineNumbers w:val="0"/>
      </w:pPr>
      <w:r>
        <w:rPr>
          <w:rFonts w:hint="eastAsia" w:ascii="黑体" w:hAnsi="Times New Roman" w:eastAsia="黑体" w:cs="Times New Roman"/>
          <w:bCs/>
          <w:color w:val="auto"/>
          <w:sz w:val="28"/>
          <w:szCs w:val="28"/>
          <w:highlight w:val="none"/>
          <w:lang w:val="en-US" w:eastAsia="zh-CN" w:bidi="ar"/>
        </w:rPr>
        <w:t xml:space="preserve"> </w:t>
      </w:r>
      <w:r/>
    </w:p>
    <w:p>
      <w:pPr>
        <w:ind w:left="0" w:right="0" w:firstLine="480"/>
        <w:jc w:val="both"/>
        <w:keepLines w:val="0"/>
        <w:keepNext w:val="0"/>
        <w:spacing w:before="0" w:beforeAutospacing="0" w:after="0" w:afterAutospacing="0" w:line="580" w:lineRule="exact"/>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本单位郑重声明，根据《财政部</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民政部</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中国残疾人联合会关于促进残疾人就业政府采购政策的通知》（财库〔2017〕141号）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left="0" w:right="0" w:firstLine="480"/>
        <w:jc w:val="both"/>
        <w:keepLines w:val="0"/>
        <w:keepNext w:val="0"/>
        <w:spacing w:before="0" w:beforeAutospacing="0" w:after="0" w:afterAutospacing="0" w:line="580" w:lineRule="exact"/>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本单位对上述声明的真实性负责。如有虚假，将依法承担相应责任。</w:t>
      </w:r>
      <w:r/>
    </w:p>
    <w:p>
      <w:pPr>
        <w:ind w:left="0" w:right="0" w:firstLine="480"/>
        <w:jc w:val="both"/>
        <w:keepLines w:val="0"/>
        <w:keepNext w:val="0"/>
        <w:spacing w:before="0" w:beforeAutospacing="0" w:after="0" w:afterAutospacing="0" w:line="580" w:lineRule="exact"/>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lang w:val="en-US" w:eastAsia="zh-CN" w:bidi="ar"/>
        </w:rPr>
        <w:t xml:space="preserve"> </w:t>
      </w:r>
      <w:r/>
    </w:p>
    <w:p>
      <w:pPr>
        <w:ind w:left="0" w:right="0" w:firstLine="480"/>
        <w:jc w:val="both"/>
        <w:keepLines w:val="0"/>
        <w:keepNext w:val="0"/>
        <w:spacing w:before="0" w:beforeAutospacing="0" w:after="0" w:afterAutospacing="0" w:line="580" w:lineRule="exact"/>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lang w:val="en-US" w:eastAsia="zh-CN" w:bidi="ar"/>
        </w:rPr>
        <w:t xml:space="preserve"> </w:t>
      </w:r>
      <w:r/>
    </w:p>
    <w:p>
      <w:pPr>
        <w:ind w:left="0" w:right="0" w:firstLine="480"/>
        <w:jc w:val="both"/>
        <w:keepLines w:val="0"/>
        <w:keepNext w:val="0"/>
        <w:spacing w:before="0" w:beforeAutospacing="0" w:after="0" w:afterAutospacing="0" w:line="580" w:lineRule="exact"/>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单位名称（盖章）：</w:t>
      </w:r>
      <w:r/>
    </w:p>
    <w:p>
      <w:pPr>
        <w:ind w:left="0" w:right="0" w:firstLine="480"/>
        <w:jc w:val="both"/>
        <w:keepLines w:val="0"/>
        <w:keepNext w:val="0"/>
        <w:spacing w:before="0" w:beforeAutospacing="0" w:after="0" w:afterAutospacing="0" w:line="580" w:lineRule="exact"/>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日</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期：</w:t>
      </w:r>
      <w:r/>
    </w:p>
    <w:p>
      <w:pPr>
        <w:ind w:left="0" w:right="0" w:firstLine="480"/>
        <w:jc w:val="both"/>
        <w:keepLines w:val="0"/>
        <w:keepNext w:val="0"/>
        <w:spacing w:before="0" w:beforeAutospacing="0" w:after="0" w:afterAutospacing="0"/>
        <w:widowControl w:val="off"/>
        <w:rPr>
          <w:rFonts w:hint="eastAsia" w:ascii="黑体" w:hAnsi="宋体" w:eastAsia="黑体" w:cs="Times New Roman"/>
          <w:bCs/>
          <w:color w:val="auto"/>
          <w:sz w:val="24"/>
          <w:szCs w:val="24"/>
          <w:highlight w:val="none"/>
        </w:rPr>
        <w:suppressLineNumbers w:val="0"/>
      </w:pPr>
      <w:r>
        <w:rPr>
          <w:rFonts w:hint="eastAsia" w:ascii="黑体" w:hAnsi="宋体" w:eastAsia="黑体" w:cs="Times New Roman"/>
          <w:bCs/>
          <w:color w:val="auto"/>
          <w:sz w:val="24"/>
          <w:szCs w:val="24"/>
          <w:highlight w:val="none"/>
          <w:lang w:val="en-US" w:eastAsia="zh-CN" w:bidi="ar"/>
        </w:rPr>
        <w:t xml:space="preserve"> </w:t>
      </w:r>
      <w:r/>
    </w:p>
    <w:p>
      <w:pPr>
        <w:ind w:left="0" w:right="0" w:firstLine="480"/>
        <w:jc w:val="both"/>
        <w:keepLines w:val="0"/>
        <w:keepNext w:val="0"/>
        <w:spacing w:before="0" w:beforeAutospacing="0" w:after="0" w:afterAutospacing="0"/>
        <w:widowControl w:val="off"/>
        <w:rPr>
          <w:rFonts w:hint="eastAsia" w:ascii="黑体" w:hAnsi="宋体" w:eastAsia="黑体" w:cs="Times New Roman"/>
          <w:bCs/>
          <w:color w:val="auto"/>
          <w:sz w:val="24"/>
          <w:szCs w:val="24"/>
          <w:highlight w:val="none"/>
        </w:rPr>
        <w:suppressLineNumbers w:val="0"/>
      </w:pPr>
      <w:r>
        <w:rPr>
          <w:rFonts w:hint="eastAsia" w:ascii="黑体" w:hAnsi="宋体" w:eastAsia="黑体" w:cs="Times New Roman"/>
          <w:bCs/>
          <w:color w:val="auto"/>
          <w:sz w:val="24"/>
          <w:szCs w:val="24"/>
          <w:highlight w:val="none"/>
          <w:lang w:val="en-US" w:eastAsia="zh-CN" w:bidi="ar"/>
        </w:rPr>
        <w:t xml:space="preserve"> </w:t>
      </w:r>
      <w:r/>
    </w:p>
    <w:p>
      <w:pPr>
        <w:rPr>
          <w:rFonts w:hint="eastAsia" w:ascii="黑体" w:hAnsi="宋体" w:eastAsia="黑体" w:cs="Times New Roman"/>
          <w:bCs/>
          <w:color w:val="auto"/>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pPr>
      <w:r>
        <w:rPr>
          <w:rFonts w:hint="eastAsia" w:ascii="黑体" w:hAnsi="宋体" w:eastAsia="黑体" w:cs="Times New Roman"/>
          <w:bCs/>
          <w:color w:val="auto"/>
          <w:sz w:val="24"/>
          <w:szCs w:val="24"/>
          <w:highlight w:val="none"/>
        </w:rPr>
      </w:r>
      <w:r/>
    </w:p>
    <w:p>
      <w:pPr>
        <w:ind w:left="0" w:right="0"/>
        <w:jc w:val="both"/>
        <w:keepLines w:val="0"/>
        <w:keepNext w:val="0"/>
        <w:spacing w:before="0" w:beforeAutospacing="0" w:after="0" w:afterAutospacing="0"/>
        <w:widowControl w:val="off"/>
        <w:rPr>
          <w:rFonts w:hint="eastAsia" w:ascii="黑体" w:hAnsi="宋体" w:eastAsia="黑体" w:cs="Times New Roman"/>
          <w:bCs/>
          <w:color w:val="auto"/>
          <w:sz w:val="24"/>
          <w:szCs w:val="24"/>
          <w:highlight w:val="none"/>
        </w:rPr>
        <w:outlineLvl w:val="2"/>
        <w:suppressLineNumbers w:val="0"/>
      </w:pPr>
      <w:r>
        <w:rPr>
          <w:rFonts w:hint="eastAsia" w:ascii="黑体" w:hAnsi="宋体" w:eastAsia="黑体" w:cs="黑体"/>
          <w:bCs/>
          <w:color w:val="auto"/>
          <w:sz w:val="24"/>
          <w:szCs w:val="24"/>
          <w:highlight w:val="none"/>
          <w:lang w:val="en-US" w:eastAsia="zh-CN" w:bidi="ar"/>
        </w:rPr>
        <w:t xml:space="preserve">（六）服务保障承诺书（格式）：</w:t>
      </w:r>
      <w:r/>
    </w:p>
    <w:p>
      <w:pPr>
        <w:ind w:left="0" w:right="0"/>
        <w:jc w:val="center"/>
        <w:keepLines w:val="0"/>
        <w:keepNext w:val="0"/>
        <w:spacing w:before="0" w:beforeAutospacing="0" w:after="0" w:afterAutospacing="0"/>
        <w:widowControl w:val="off"/>
        <w:rPr>
          <w:rFonts w:hint="eastAsia" w:ascii="黑体" w:hAnsi="Times New Roman" w:eastAsia="黑体" w:cs="Times New Roman"/>
          <w:bCs/>
          <w:color w:val="auto"/>
          <w:sz w:val="28"/>
          <w:szCs w:val="28"/>
          <w:highlight w:val="none"/>
        </w:rPr>
        <w:suppressLineNumbers w:val="0"/>
      </w:pPr>
      <w:r>
        <w:rPr>
          <w:rFonts w:hint="eastAsia" w:ascii="黑体" w:hAnsi="宋体" w:eastAsia="黑体" w:cs="黑体"/>
          <w:bCs/>
          <w:color w:val="auto"/>
          <w:sz w:val="28"/>
          <w:szCs w:val="28"/>
          <w:highlight w:val="none"/>
          <w:lang w:val="en-US" w:eastAsia="zh-CN" w:bidi="ar"/>
        </w:rPr>
        <w:t xml:space="preserve">服务保障承诺书</w:t>
      </w:r>
      <w:r>
        <w:rPr>
          <w:rFonts w:hint="eastAsia" w:ascii="黑体" w:hAnsi="Times New Roman" w:eastAsia="黑体" w:cs="Times New Roman"/>
          <w:bCs/>
          <w:color w:val="auto"/>
          <w:sz w:val="28"/>
          <w:szCs w:val="28"/>
          <w:highlight w:val="none"/>
          <w:lang w:val="en-US" w:eastAsia="zh-CN" w:bidi="ar"/>
        </w:rPr>
        <w:t xml:space="preserve"> </w:t>
      </w:r>
      <w:r/>
    </w:p>
    <w:p>
      <w:pPr>
        <w:ind w:left="0" w:right="0"/>
        <w:jc w:val="both"/>
        <w:keepLines w:val="0"/>
        <w:keepNext w:val="0"/>
        <w:spacing w:before="0" w:beforeAutospacing="0" w:after="0" w:afterAutospacing="0" w:line="48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（投标供应商名称）针</w:t>
      </w:r>
      <w:r>
        <w:rPr>
          <w:rFonts w:hint="eastAsia" w:ascii="宋体" w:hAnsi="宋体" w:eastAsia="宋体" w:cs="宋体"/>
          <w:bCs/>
          <w:color w:val="auto"/>
          <w:sz w:val="24"/>
          <w:szCs w:val="24"/>
          <w:highlight w:val="none"/>
          <w:lang w:val="en-US" w:eastAsia="zh-CN" w:bidi="ar"/>
        </w:rPr>
        <w:t xml:space="preserve">对本项目（采购项目编号</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在此承诺：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1、本公司（单位）</w:t>
      </w:r>
      <w:r>
        <w:rPr>
          <w:rFonts w:hint="eastAsia" w:ascii="宋体" w:hAnsi="宋体" w:eastAsia="宋体" w:cs="宋体"/>
          <w:bCs/>
          <w:color w:val="auto"/>
          <w:sz w:val="24"/>
          <w:szCs w:val="24"/>
          <w:highlight w:val="none"/>
          <w:lang w:val="en-US" w:eastAsia="zh-CN" w:bidi="ar"/>
        </w:rPr>
        <w:t xml:space="preserve">对本项目（采购项目编号</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）所提供的服务符合招标文件要求；</w:t>
      </w:r>
      <w:r/>
    </w:p>
    <w:p>
      <w:pPr>
        <w:ind w:left="0" w:right="0" w:firstLine="465"/>
        <w:jc w:val="both"/>
        <w:keepLines w:val="0"/>
        <w:keepNext w:val="0"/>
        <w:spacing w:before="0" w:beforeAutospacing="0" w:after="0" w:afterAutospacing="0" w:line="360" w:lineRule="auto"/>
        <w:widowControl w:val="off"/>
        <w:tabs>
          <w:tab w:val="left" w:pos="945"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2、本公司（单位）</w:t>
      </w:r>
      <w:r>
        <w:rPr>
          <w:rFonts w:hint="eastAsia" w:ascii="宋体" w:hAnsi="宋体" w:eastAsia="宋体" w:cs="宋体"/>
          <w:bCs/>
          <w:color w:val="auto"/>
          <w:sz w:val="24"/>
          <w:szCs w:val="24"/>
          <w:highlight w:val="none"/>
          <w:lang w:val="en-US" w:eastAsia="zh-CN" w:bidi="ar"/>
        </w:rPr>
        <w:t xml:space="preserve">具备履行合同所必需的人员、设备和专业技术能力；</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3、本公司未被“</w:t>
      </w:r>
      <w:r>
        <w:rPr>
          <w:rFonts w:hint="eastAsia" w:ascii="宋体" w:hAnsi="宋体" w:eastAsia="宋体" w:cs="宋体"/>
          <w:bCs/>
          <w:color w:val="auto"/>
          <w:sz w:val="24"/>
          <w:szCs w:val="24"/>
          <w:highlight w:val="none"/>
          <w:lang w:val="en-US" w:eastAsia="zh-CN" w:bidi="ar"/>
        </w:rPr>
        <w:t xml:space="preserve">信用中国</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bCs/>
          <w:color w:val="auto"/>
          <w:sz w:val="24"/>
          <w:szCs w:val="24"/>
          <w:highlight w:val="none"/>
          <w:lang w:val="en-US" w:eastAsia="zh-CN" w:bidi="ar"/>
        </w:rPr>
        <w:t xml:space="preserve">网站（www.creditchina.gov.cn）、</w:t>
      </w:r>
      <w:r>
        <w:rPr>
          <w:rFonts w:hint="eastAsia" w:ascii="宋体" w:hAnsi="宋体" w:eastAsia="宋体" w:cs="宋体"/>
          <w:color w:val="auto"/>
          <w:sz w:val="24"/>
          <w:szCs w:val="24"/>
          <w:highlight w:val="none"/>
          <w:lang w:val="en-US" w:eastAsia="zh-CN" w:bidi="ar"/>
        </w:rPr>
        <w:t xml:space="preserve">中国政府采购网(www.ccgp.gov.cn)列入失信被执行人、重大税收违法案件当事人名单、政府采购严重违法失信行为记录名单</w:t>
      </w:r>
      <w:r>
        <w:rPr>
          <w:rFonts w:hint="eastAsia" w:ascii="宋体" w:hAnsi="宋体" w:eastAsia="宋体" w:cs="宋体"/>
          <w:bCs/>
          <w:color w:val="auto"/>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r/>
    </w:p>
    <w:p>
      <w:pPr>
        <w:ind w:left="0" w:right="0" w:firstLine="465"/>
        <w:jc w:val="both"/>
        <w:keepLines w:val="0"/>
        <w:keepNext w:val="0"/>
        <w:spacing w:before="0" w:beforeAutospacing="0" w:after="0" w:afterAutospacing="0" w:line="360" w:lineRule="auto"/>
        <w:widowControl w:val="off"/>
        <w:tabs>
          <w:tab w:val="left" w:pos="945"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w:t>
      </w:r>
      <w:r/>
    </w:p>
    <w:p>
      <w:pPr>
        <w:ind w:left="0" w:right="0" w:firstLine="960"/>
        <w:jc w:val="both"/>
        <w:keepLines w:val="0"/>
        <w:keepNext w:val="0"/>
        <w:spacing w:before="0" w:beforeAutospacing="0" w:after="0" w:afterAutospacing="0" w:line="48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w:t>
      </w:r>
      <w:r/>
    </w:p>
    <w:p>
      <w:pPr>
        <w:ind w:left="0" w:right="0" w:firstLine="960"/>
        <w:jc w:val="both"/>
        <w:keepLines w:val="0"/>
        <w:keepNext w:val="0"/>
        <w:spacing w:before="0" w:beforeAutospacing="0" w:after="0" w:afterAutospacing="0" w:line="48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如违背上述承诺，本公司</w:t>
      </w:r>
      <w:r>
        <w:rPr>
          <w:rFonts w:hint="eastAsia" w:ascii="宋体" w:hAnsi="宋体" w:eastAsia="宋体" w:cs="宋体"/>
          <w:color w:val="auto"/>
          <w:sz w:val="24"/>
          <w:szCs w:val="24"/>
          <w:highlight w:val="none"/>
          <w:lang w:val="en-US" w:eastAsia="zh-CN" w:bidi="ar"/>
        </w:rPr>
        <w:t xml:space="preserve">（单位）</w:t>
      </w:r>
      <w:r>
        <w:rPr>
          <w:rFonts w:hint="eastAsia" w:ascii="宋体" w:hAnsi="宋体" w:eastAsia="宋体" w:cs="宋体"/>
          <w:bCs/>
          <w:color w:val="auto"/>
          <w:sz w:val="24"/>
          <w:szCs w:val="24"/>
          <w:highlight w:val="none"/>
          <w:lang w:val="en-US" w:eastAsia="zh-CN" w:bidi="ar"/>
        </w:rPr>
        <w:t xml:space="preserve">将承担一切法律责任。</w:t>
      </w:r>
      <w:r/>
    </w:p>
    <w:p>
      <w:pPr>
        <w:ind w:left="0" w:right="0"/>
        <w:jc w:val="both"/>
        <w:keepLines w:val="0"/>
        <w:keepNext w:val="0"/>
        <w:spacing w:before="0" w:beforeAutospacing="0" w:after="0" w:afterAutospacing="0" w:line="48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lang w:val="en-US" w:eastAsia="zh-CN" w:bidi="ar"/>
        </w:rPr>
        <w:t xml:space="preserve"> </w:t>
      </w:r>
      <w:r/>
    </w:p>
    <w:p>
      <w:pPr>
        <w:ind w:left="0" w:right="0" w:firstLine="3720"/>
        <w:jc w:val="both"/>
        <w:keepLines w:val="0"/>
        <w:keepNext w:val="0"/>
        <w:spacing w:before="0" w:beforeAutospacing="0" w:after="0" w:afterAutospacing="0" w:line="48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投标供应商</w:t>
      </w:r>
      <w:r>
        <w:rPr>
          <w:rFonts w:hint="eastAsia" w:ascii="宋体" w:hAnsi="宋体" w:eastAsia="宋体" w:cs="宋体"/>
          <w:bCs/>
          <w:color w:val="auto"/>
          <w:sz w:val="24"/>
          <w:szCs w:val="24"/>
          <w:highlight w:val="none"/>
          <w:lang w:val="en-US" w:eastAsia="zh-CN" w:bidi="ar"/>
        </w:rPr>
        <w:t xml:space="preserve">（盖章）：</w:t>
      </w:r>
      <w:r/>
    </w:p>
    <w:p>
      <w:pPr>
        <w:ind w:left="0" w:right="0" w:firstLine="480"/>
        <w:jc w:val="both"/>
        <w:keepLines w:val="0"/>
        <w:keepNext w:val="0"/>
        <w:spacing w:before="0" w:beforeAutospacing="0" w:after="0" w:afterAutospacing="0" w:line="48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法定代表人或法定代表人授权代表签字或盖章：</w:t>
      </w:r>
      <w:r/>
    </w:p>
    <w:p>
      <w:pPr>
        <w:ind w:left="0" w:right="0" w:firstLine="4862"/>
        <w:jc w:val="both"/>
        <w:keepLines w:val="0"/>
        <w:keepNext w:val="0"/>
        <w:spacing w:before="0" w:beforeAutospacing="0" w:after="0" w:afterAutospacing="0" w:line="48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日期：</w:t>
      </w:r>
      <w:r/>
    </w:p>
    <w:p>
      <w:pPr>
        <w:ind w:left="0" w:right="0" w:firstLine="480"/>
        <w:jc w:val="both"/>
        <w:keepLines w:val="0"/>
        <w:keepNext w:val="0"/>
        <w:spacing w:before="0" w:beforeAutospacing="0" w:after="0" w:afterAutospacing="0" w:line="48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lang w:val="en-US" w:eastAsia="zh-CN" w:bidi="ar"/>
        </w:rPr>
        <w:t xml:space="preserve"> </w:t>
      </w:r>
      <w:r/>
    </w:p>
    <w:p>
      <w:pPr>
        <w:ind w:left="0" w:right="0" w:firstLine="480"/>
        <w:jc w:val="both"/>
        <w:keepLines w:val="0"/>
        <w:keepNext w:val="0"/>
        <w:spacing w:before="0" w:beforeAutospacing="0" w:after="0" w:afterAutospacing="0" w:line="48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注：以上内容由投标单位根据采购要求可自行完善。</w:t>
      </w:r>
      <w:r/>
    </w:p>
    <w:p>
      <w:pPr>
        <w:ind w:left="0" w:right="0"/>
        <w:jc w:val="both"/>
        <w:keepLines w:val="0"/>
        <w:keepNext w:val="0"/>
        <w:spacing w:before="0" w:beforeAutospacing="0" w:after="0" w:afterAutospacing="0"/>
        <w:widowControl w:val="off"/>
        <w:rPr>
          <w:rFonts w:hint="eastAsia" w:ascii="黑体" w:hAnsi="宋体" w:eastAsia="黑体" w:cs="Times New Roman"/>
          <w:bCs/>
          <w:color w:val="auto"/>
          <w:sz w:val="24"/>
          <w:szCs w:val="24"/>
          <w:highlight w:val="none"/>
        </w:rPr>
        <w:outlineLvl w:val="2"/>
        <w:suppressLineNumbers w:val="0"/>
      </w:pPr>
      <w:r>
        <w:rPr>
          <w:rFonts w:hint="eastAsia" w:ascii="黑体" w:hAnsi="宋体" w:eastAsia="黑体" w:cs="黑体"/>
          <w:bCs/>
          <w:color w:val="auto"/>
          <w:sz w:val="24"/>
          <w:szCs w:val="24"/>
          <w:highlight w:val="none"/>
          <w:lang w:val="en-US" w:eastAsia="zh-CN" w:bidi="ar"/>
        </w:rPr>
        <w:t xml:space="preserve">（七）开标一览表（格式）：</w:t>
      </w:r>
      <w:r/>
    </w:p>
    <w:p>
      <w:pPr>
        <w:ind w:left="0" w:right="0"/>
        <w:jc w:val="center"/>
        <w:keepLines w:val="0"/>
        <w:keepNext w:val="0"/>
        <w:spacing w:before="0" w:beforeAutospacing="0" w:after="0" w:afterAutospacing="0"/>
        <w:widowControl w:val="off"/>
        <w:rPr>
          <w:rFonts w:hint="eastAsia" w:ascii="黑体" w:hAnsi="Times New Roman" w:eastAsia="黑体" w:cs="Times New Roman"/>
          <w:bCs/>
          <w:color w:val="auto"/>
          <w:sz w:val="28"/>
          <w:szCs w:val="28"/>
          <w:highlight w:val="none"/>
        </w:rPr>
        <w:suppressLineNumbers w:val="0"/>
      </w:pPr>
      <w:r>
        <w:rPr>
          <w:rFonts w:hint="eastAsia" w:ascii="黑体" w:hAnsi="宋体" w:eastAsia="黑体" w:cs="黑体"/>
          <w:bCs/>
          <w:color w:val="auto"/>
          <w:sz w:val="28"/>
          <w:szCs w:val="28"/>
          <w:highlight w:val="none"/>
          <w:lang w:val="en-US" w:eastAsia="zh-CN" w:bidi="ar"/>
        </w:rPr>
        <w:t xml:space="preserve">开标一览表</w:t>
      </w:r>
      <w:r>
        <w:rPr>
          <w:rFonts w:hint="eastAsia" w:ascii="黑体" w:hAnsi="Times New Roman" w:eastAsia="黑体" w:cs="Times New Roman"/>
          <w:bCs/>
          <w:color w:val="auto"/>
          <w:sz w:val="28"/>
          <w:szCs w:val="28"/>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黑体" w:hAnsi="Times New Roman" w:eastAsia="黑体" w:cs="Times New Roman"/>
          <w:bCs/>
          <w:color w:val="auto"/>
          <w:sz w:val="24"/>
          <w:szCs w:val="24"/>
          <w:highlight w:val="none"/>
        </w:rPr>
        <w:suppressLineNumbers w:val="0"/>
      </w:pPr>
      <w:r>
        <w:rPr>
          <w:rFonts w:hint="eastAsia" w:ascii="黑体" w:hAnsi="Times New Roman" w:eastAsia="黑体" w:cs="Times New Roman"/>
          <w:bCs/>
          <w:color w:val="auto"/>
          <w:sz w:val="24"/>
          <w:szCs w:val="24"/>
          <w:highlight w:val="none"/>
          <w:lang w:val="en-US" w:eastAsia="zh-CN" w:bidi="ar"/>
        </w:rPr>
        <w:t xml:space="preserve"> </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投标人全称（盖章）：</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项目名称：</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项目编号：</w:t>
      </w:r>
      <w:r/>
    </w:p>
    <w:tbl>
      <w:tblPr>
        <w:tblStyle w:val="808"/>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trHeight w:val="567"/>
        </w:trPr>
        <w:tc>
          <w:tcPr>
            <w:tcW w:w="5565" w:type="dxa"/>
            <w:vAlign w:val="center"/>
            <w:textDirection w:val="lrTb"/>
            <w:noWrap w:val="false"/>
          </w:tcPr>
          <w:p>
            <w:pPr>
              <w:ind w:left="0" w:right="0"/>
              <w:jc w:val="center"/>
              <w:keepLines w:val="0"/>
              <w:keepNext w:val="0"/>
              <w:spacing w:before="0" w:beforeAutospacing="0" w:after="0" w:afterAutospacing="0"/>
              <w:rPr>
                <w:rFonts w:ascii="宋体"/>
                <w:b/>
                <w:bCs/>
                <w:color w:val="auto"/>
                <w:sz w:val="24"/>
                <w:szCs w:val="20"/>
                <w:highlight w:val="none"/>
              </w:rPr>
              <w:suppressLineNumbers w:val="0"/>
            </w:pPr>
            <w:r>
              <w:rPr>
                <w:rFonts w:hint="eastAsia" w:ascii="宋体" w:hAnsi="宋体"/>
                <w:b/>
                <w:bCs/>
                <w:color w:val="auto"/>
                <w:sz w:val="24"/>
                <w:szCs w:val="20"/>
                <w:highlight w:val="none"/>
              </w:rPr>
              <w:t xml:space="preserve">项目名称</w:t>
            </w:r>
            <w:r/>
          </w:p>
        </w:tc>
        <w:tc>
          <w:tcPr>
            <w:tcW w:w="4515" w:type="dxa"/>
            <w:vAlign w:val="center"/>
            <w:textDirection w:val="lrTb"/>
            <w:noWrap w:val="false"/>
          </w:tcPr>
          <w:p>
            <w:pPr>
              <w:ind w:left="0" w:right="0"/>
              <w:jc w:val="center"/>
              <w:keepLines w:val="0"/>
              <w:keepNext w:val="0"/>
              <w:spacing w:before="0" w:beforeAutospacing="0" w:after="0" w:afterAutospacing="0"/>
              <w:rPr>
                <w:rFonts w:ascii="宋体"/>
                <w:b/>
                <w:bCs/>
                <w:color w:val="auto"/>
                <w:sz w:val="24"/>
                <w:szCs w:val="20"/>
                <w:highlight w:val="none"/>
              </w:rPr>
              <w:suppressLineNumbers w:val="0"/>
            </w:pPr>
            <w:r>
              <w:rPr>
                <w:rFonts w:hint="eastAsia" w:ascii="宋体" w:hAnsi="宋体"/>
                <w:b/>
                <w:bCs/>
                <w:color w:val="auto"/>
                <w:sz w:val="24"/>
                <w:szCs w:val="20"/>
                <w:highlight w:val="none"/>
              </w:rPr>
              <w:t xml:space="preserve">投标总报价</w:t>
            </w:r>
            <w:r>
              <w:rPr>
                <w:rFonts w:ascii="宋体" w:hAnsi="宋体"/>
                <w:b/>
                <w:bCs/>
                <w:color w:val="auto"/>
                <w:sz w:val="24"/>
                <w:szCs w:val="20"/>
                <w:highlight w:val="none"/>
              </w:rPr>
              <w:t xml:space="preserve">(</w:t>
            </w:r>
            <w:r>
              <w:rPr>
                <w:rFonts w:hint="eastAsia" w:ascii="宋体" w:hAnsi="宋体"/>
                <w:b/>
                <w:bCs/>
                <w:color w:val="auto"/>
                <w:sz w:val="24"/>
                <w:szCs w:val="20"/>
                <w:highlight w:val="none"/>
              </w:rPr>
              <w:t xml:space="preserve">小写</w:t>
            </w:r>
            <w:r>
              <w:rPr>
                <w:rFonts w:ascii="宋体" w:hAnsi="宋体"/>
                <w:b/>
                <w:bCs/>
                <w:color w:val="auto"/>
                <w:sz w:val="24"/>
                <w:szCs w:val="20"/>
                <w:highlight w:val="none"/>
              </w:rPr>
              <w:t xml:space="preserve">)</w:t>
            </w:r>
            <w:r/>
          </w:p>
        </w:tc>
      </w:tr>
      <w:tr>
        <w:trPr>
          <w:cantSplit/>
          <w:trHeight w:val="1630"/>
        </w:trPr>
        <w:tc>
          <w:tcPr>
            <w:tcW w:w="5565" w:type="dxa"/>
            <w:vAlign w:val="center"/>
            <w:textDirection w:val="lrTb"/>
            <w:noWrap w:val="false"/>
          </w:tcPr>
          <w:p>
            <w:pPr>
              <w:pStyle w:val="1315"/>
              <w:ind w:left="0" w:right="0"/>
              <w:jc w:val="center"/>
              <w:keepLines w:val="0"/>
              <w:keepNext w:val="0"/>
              <w:spacing w:before="0" w:beforeAutospacing="0" w:after="0" w:afterAutospacing="0" w:line="400" w:lineRule="exact"/>
              <w:rPr>
                <w:rFonts w:hAnsi="宋体"/>
                <w:bCs/>
                <w:color w:val="auto"/>
                <w:sz w:val="28"/>
                <w:szCs w:val="28"/>
                <w:highlight w:val="none"/>
              </w:rPr>
              <w:suppressLineNumbers w:val="0"/>
            </w:pPr>
            <w:r>
              <w:rPr>
                <w:rFonts w:hAnsi="宋体"/>
                <w:bCs/>
                <w:color w:val="auto"/>
                <w:sz w:val="28"/>
                <w:szCs w:val="28"/>
                <w:highlight w:val="none"/>
              </w:rPr>
            </w:r>
            <w:r/>
          </w:p>
        </w:tc>
        <w:tc>
          <w:tcPr>
            <w:tcW w:w="4515" w:type="dxa"/>
            <w:vAlign w:val="center"/>
            <w:textDirection w:val="lrTb"/>
            <w:noWrap w:val="false"/>
          </w:tcPr>
          <w:p>
            <w:pPr>
              <w:pStyle w:val="1315"/>
              <w:ind w:left="0" w:right="0"/>
              <w:keepLines w:val="0"/>
              <w:keepNext w:val="0"/>
              <w:spacing w:before="0" w:beforeAutospacing="0" w:after="0" w:afterAutospacing="0"/>
              <w:rPr>
                <w:rFonts w:hAnsi="宋体"/>
                <w:b/>
                <w:color w:val="auto"/>
                <w:szCs w:val="20"/>
                <w:highlight w:val="none"/>
              </w:rPr>
              <w:suppressLineNumbers w:val="0"/>
            </w:pPr>
            <w:r>
              <w:rPr>
                <w:rFonts w:hAnsi="宋体"/>
                <w:b/>
                <w:color w:val="auto"/>
                <w:szCs w:val="20"/>
                <w:highlight w:val="none"/>
              </w:rPr>
            </w:r>
            <w:r/>
          </w:p>
        </w:tc>
      </w:tr>
      <w:tr>
        <w:trPr>
          <w:cantSplit/>
          <w:trHeight w:val="780"/>
        </w:trPr>
        <w:tc>
          <w:tcPr>
            <w:gridSpan w:val="2"/>
            <w:tcW w:w="10080" w:type="dxa"/>
            <w:vAlign w:val="center"/>
            <w:textDirection w:val="lrTb"/>
            <w:noWrap w:val="false"/>
          </w:tcPr>
          <w:p>
            <w:pPr>
              <w:ind w:left="0" w:right="0"/>
              <w:keepLines w:val="0"/>
              <w:keepNext w:val="0"/>
              <w:spacing w:before="0" w:beforeAutospacing="0" w:after="0" w:afterAutospacing="0"/>
              <w:rPr>
                <w:rFonts w:ascii="宋体"/>
                <w:bCs/>
                <w:color w:val="auto"/>
                <w:sz w:val="24"/>
                <w:szCs w:val="20"/>
                <w:highlight w:val="none"/>
              </w:rPr>
              <w:suppressLineNumbers w:val="0"/>
            </w:pPr>
            <w:r>
              <w:rPr>
                <w:rFonts w:hint="eastAsia" w:ascii="黑体" w:eastAsia="黑体"/>
                <w:color w:val="auto"/>
                <w:sz w:val="24"/>
                <w:szCs w:val="20"/>
                <w:highlight w:val="none"/>
              </w:rPr>
              <w:t xml:space="preserve">投标总报价（大写）</w:t>
            </w:r>
            <w:r>
              <w:rPr>
                <w:rFonts w:hint="eastAsia" w:ascii="宋体" w:hAnsi="宋体"/>
                <w:bCs/>
                <w:color w:val="auto"/>
                <w:sz w:val="24"/>
                <w:szCs w:val="20"/>
                <w:highlight w:val="none"/>
              </w:rPr>
              <w:t xml:space="preserve">：　　　</w:t>
            </w:r>
            <w:r/>
          </w:p>
        </w:tc>
      </w:tr>
    </w:tbl>
    <w:p>
      <w:pPr>
        <w:spacing w:line="300" w:lineRule="auto"/>
        <w:rPr>
          <w:rFonts w:ascii="宋体" w:hAnsi="宋体"/>
          <w:color w:val="auto"/>
          <w:sz w:val="24"/>
          <w:highlight w:val="none"/>
        </w:rPr>
      </w:pPr>
      <w:r>
        <w:rPr>
          <w:rFonts w:ascii="宋体" w:hAnsi="宋体"/>
          <w:color w:val="auto"/>
          <w:sz w:val="24"/>
          <w:highlight w:val="none"/>
        </w:rPr>
      </w:r>
      <w:r/>
    </w:p>
    <w:p>
      <w:pPr>
        <w:spacing w:line="300" w:lineRule="auto"/>
        <w:rPr>
          <w:rFonts w:ascii="宋体" w:hAnsi="宋体" w:cs="宋体"/>
          <w:color w:val="auto"/>
          <w:sz w:val="24"/>
          <w:szCs w:val="28"/>
          <w:highlight w:val="none"/>
        </w:rPr>
      </w:pPr>
      <w:r>
        <w:rPr>
          <w:rFonts w:ascii="宋体" w:hAnsi="宋体" w:cs="宋体"/>
          <w:color w:val="auto"/>
          <w:sz w:val="24"/>
          <w:szCs w:val="28"/>
          <w:highlight w:val="none"/>
        </w:rPr>
      </w:r>
      <w:r/>
    </w:p>
    <w:p>
      <w:pPr>
        <w:jc w:val="right"/>
        <w:rPr>
          <w:rFonts w:ascii="宋体" w:hAnsi="宋体"/>
          <w:color w:val="auto"/>
          <w:sz w:val="24"/>
          <w:highlight w:val="none"/>
        </w:rPr>
      </w:pPr>
      <w:r>
        <w:rPr>
          <w:rFonts w:hint="eastAsia" w:ascii="宋体" w:hAnsi="宋体"/>
          <w:color w:val="auto"/>
          <w:sz w:val="24"/>
          <w:highlight w:val="none"/>
        </w:rPr>
        <w:t xml:space="preserve">                       日期：   年   月   日</w:t>
      </w:r>
      <w:r/>
    </w:p>
    <w:p>
      <w:pPr>
        <w:ind w:firstLine="562"/>
        <w:jc w:val="center"/>
        <w:rPr>
          <w:rFonts w:hint="eastAsia" w:ascii="黑体" w:eastAsia="黑体" w:cs="宋体"/>
          <w:b/>
          <w:color w:val="auto"/>
          <w:sz w:val="32"/>
          <w:szCs w:val="32"/>
          <w:highlight w:val="none"/>
        </w:rPr>
        <w:outlineLvl w:val="0"/>
      </w:pPr>
      <w:r>
        <w:rPr>
          <w:rFonts w:hint="eastAsia" w:ascii="黑体" w:eastAsia="黑体" w:cs="宋体"/>
          <w:b/>
          <w:color w:val="auto"/>
          <w:sz w:val="32"/>
          <w:szCs w:val="32"/>
          <w:highlight w:val="none"/>
        </w:rPr>
      </w:r>
      <w:r/>
    </w:p>
    <w:p>
      <w:pPr>
        <w:ind w:firstLine="562"/>
        <w:jc w:val="left"/>
        <w:rPr>
          <w:rFonts w:hint="eastAsia" w:ascii="黑体" w:eastAsia="黑体" w:cs="宋体"/>
          <w:b/>
          <w:color w:val="auto"/>
          <w:sz w:val="32"/>
          <w:szCs w:val="32"/>
          <w:highlight w:val="none"/>
          <w:lang w:eastAsia="zh-CN"/>
        </w:rPr>
        <w:outlineLvl w:val="0"/>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auto"/>
          <w:sz w:val="24"/>
          <w:szCs w:val="24"/>
          <w:highlight w:val="none"/>
          <w:lang w:eastAsia="zh-CN"/>
        </w:rPr>
        <w:t xml:space="preserve">。</w:t>
      </w:r>
      <w:r/>
    </w:p>
    <w:p>
      <w:pPr>
        <w:ind w:left="0" w:right="0"/>
        <w:jc w:val="both"/>
        <w:keepLines w:val="0"/>
        <w:keepNext w:val="0"/>
        <w:spacing w:before="0" w:beforeAutospacing="0" w:after="0" w:afterAutospacing="0" w:line="400" w:lineRule="exact"/>
        <w:widowControl w:val="off"/>
        <w:rPr>
          <w:rFonts w:hint="eastAsia" w:ascii="黑体" w:hAnsi="Times New Roman" w:eastAsia="黑体" w:cs="Times New Roman"/>
          <w:bCs/>
          <w:color w:val="auto"/>
          <w:sz w:val="32"/>
          <w:szCs w:val="32"/>
          <w:highlight w:val="none"/>
        </w:rPr>
        <w:suppressLineNumbers w:val="0"/>
      </w:pPr>
      <w:r>
        <w:rPr>
          <w:rFonts w:hint="eastAsia" w:ascii="黑体" w:hAnsi="Times New Roman" w:eastAsia="黑体" w:cs="Times New Roman"/>
          <w:bCs/>
          <w:color w:val="auto"/>
          <w:sz w:val="32"/>
          <w:szCs w:val="32"/>
          <w:highlight w:val="none"/>
          <w:lang w:val="en-US" w:eastAsia="zh-CN" w:bidi="ar"/>
        </w:rPr>
        <w:t xml:space="preserve"> </w:t>
      </w:r>
      <w:r/>
    </w:p>
    <w:p>
      <w:pPr>
        <w:rPr>
          <w:rFonts w:hint="eastAsia" w:ascii="黑体" w:hAnsi="宋体" w:eastAsia="黑体" w:cs="Times New Roman"/>
          <w:bCs/>
          <w:color w:val="auto"/>
          <w:sz w:val="24"/>
          <w:szCs w:val="24"/>
          <w:highlight w:val="none"/>
          <w:u w:val="single"/>
        </w:rPr>
        <w:sectPr>
          <w:footnotePr/>
          <w:endnotePr/>
          <w:type w:val="nextPage"/>
          <w:pgSz w:w="11906" w:h="16838" w:orient="portrait"/>
          <w:pgMar w:top="567" w:right="851" w:bottom="567" w:left="1134" w:header="624" w:footer="907" w:gutter="0"/>
          <w:cols w:num="1" w:sep="0" w:space="1701" w:equalWidth="1"/>
          <w:docGrid w:linePitch="360"/>
        </w:sectPr>
      </w:pPr>
      <w:r>
        <w:rPr>
          <w:rFonts w:hint="eastAsia" w:ascii="黑体" w:hAnsi="宋体" w:eastAsia="黑体" w:cs="Times New Roman"/>
          <w:bCs/>
          <w:color w:val="auto"/>
          <w:sz w:val="24"/>
          <w:szCs w:val="24"/>
          <w:highlight w:val="none"/>
          <w:u w:val="single"/>
        </w:rPr>
      </w:r>
      <w:r/>
    </w:p>
    <w:p>
      <w:pPr>
        <w:ind w:left="0" w:right="0"/>
        <w:jc w:val="both"/>
        <w:keepLines w:val="0"/>
        <w:keepNext w:val="0"/>
        <w:spacing w:before="0" w:beforeAutospacing="0" w:after="0" w:afterAutospacing="0"/>
        <w:widowControl w:val="off"/>
        <w:rPr>
          <w:rFonts w:hint="eastAsia" w:ascii="黑体" w:hAnsi="Times New Roman" w:eastAsia="黑体" w:cs="Times New Roman"/>
          <w:bCs/>
          <w:color w:val="auto"/>
          <w:sz w:val="24"/>
          <w:szCs w:val="24"/>
          <w:highlight w:val="none"/>
        </w:rPr>
        <w:outlineLvl w:val="2"/>
        <w:suppressLineNumbers w:val="0"/>
      </w:pPr>
      <w:r>
        <w:rPr>
          <w:rFonts w:hint="eastAsia" w:ascii="黑体" w:hAnsi="宋体" w:eastAsia="黑体" w:cs="黑体"/>
          <w:bCs/>
          <w:color w:val="auto"/>
          <w:sz w:val="24"/>
          <w:szCs w:val="24"/>
          <w:highlight w:val="none"/>
          <w:lang w:val="en-US" w:eastAsia="zh-CN" w:bidi="ar"/>
        </w:rPr>
        <w:t xml:space="preserve">（八）投标报价明细表（格式）：</w:t>
      </w:r>
      <w:r>
        <w:rPr>
          <w:rFonts w:hint="eastAsia" w:ascii="黑体" w:hAnsi="Times New Roman" w:eastAsia="黑体" w:cs="Times New Roman"/>
          <w:bCs/>
          <w:color w:val="auto"/>
          <w:sz w:val="24"/>
          <w:szCs w:val="24"/>
          <w:highlight w:val="none"/>
          <w:lang w:val="en-US" w:eastAsia="zh-CN" w:bidi="ar"/>
        </w:rPr>
        <w:t xml:space="preserve"> </w:t>
      </w:r>
      <w:r/>
    </w:p>
    <w:p>
      <w:pPr>
        <w:ind w:left="0" w:right="0"/>
        <w:jc w:val="center"/>
        <w:keepLines w:val="0"/>
        <w:keepNext w:val="0"/>
        <w:spacing w:before="0" w:beforeAutospacing="0" w:after="0" w:afterAutospacing="0" w:line="400" w:lineRule="exact"/>
        <w:widowControl w:val="off"/>
        <w:rPr>
          <w:rFonts w:hint="eastAsia" w:ascii="黑体" w:hAnsi="Times New Roman" w:eastAsia="黑体" w:cs="Times New Roman"/>
          <w:bCs/>
          <w:color w:val="auto"/>
          <w:sz w:val="24"/>
          <w:szCs w:val="24"/>
          <w:highlight w:val="none"/>
        </w:rPr>
        <w:suppressLineNumbers w:val="0"/>
      </w:pPr>
      <w:r>
        <w:rPr>
          <w:rFonts w:hint="eastAsia" w:ascii="黑体" w:hAnsi="宋体" w:eastAsia="黑体" w:cs="黑体"/>
          <w:bCs/>
          <w:color w:val="auto"/>
          <w:sz w:val="24"/>
          <w:szCs w:val="24"/>
          <w:highlight w:val="none"/>
          <w:lang w:val="en-US" w:eastAsia="zh-CN" w:bidi="ar"/>
        </w:rPr>
        <w:t xml:space="preserve">报价明细表</w:t>
      </w:r>
      <w:r/>
    </w:p>
    <w:p>
      <w:pPr>
        <w:ind w:left="0" w:right="0"/>
        <w:jc w:val="both"/>
        <w:keepLines w:val="0"/>
        <w:keepNext w:val="0"/>
        <w:spacing w:before="0" w:beforeAutospacing="0" w:after="0" w:afterAutospacing="0" w:line="400" w:lineRule="exact"/>
        <w:widowControl w:val="off"/>
        <w:rPr>
          <w:rFonts w:hint="eastAsia" w:ascii="黑体" w:hAnsi="Times New Roman" w:eastAsia="黑体" w:cs="Times New Roman"/>
          <w:bCs/>
          <w:color w:val="auto"/>
          <w:sz w:val="24"/>
          <w:szCs w:val="24"/>
          <w:highlight w:val="none"/>
        </w:rPr>
        <w:suppressLineNumbers w:val="0"/>
      </w:pPr>
      <w:r>
        <w:rPr>
          <w:rFonts w:hint="eastAsia" w:ascii="黑体" w:hAnsi="宋体" w:eastAsia="黑体" w:cs="黑体"/>
          <w:bCs/>
          <w:color w:val="auto"/>
          <w:sz w:val="24"/>
          <w:szCs w:val="24"/>
          <w:highlight w:val="none"/>
          <w:lang w:val="en-US" w:eastAsia="zh-CN" w:bidi="ar"/>
        </w:rPr>
        <w:t xml:space="preserve">投标供应商名称（盖章）</w:t>
      </w:r>
      <w:r>
        <w:rPr>
          <w:rFonts w:hint="eastAsia" w:ascii="黑体" w:hAnsi="Times New Roman" w:eastAsia="黑体" w:cs="Times New Roman"/>
          <w:bCs/>
          <w:color w:val="auto"/>
          <w:sz w:val="24"/>
          <w:szCs w:val="24"/>
          <w:highlight w:val="none"/>
          <w:lang w:val="en-US" w:eastAsia="zh-CN" w:bidi="ar"/>
        </w:rPr>
        <w:t xml:space="preserve">                      </w:t>
      </w:r>
      <w:r>
        <w:rPr>
          <w:rFonts w:hint="eastAsia" w:ascii="黑体" w:hAnsi="宋体" w:eastAsia="黑体" w:cs="黑体"/>
          <w:bCs/>
          <w:color w:val="auto"/>
          <w:sz w:val="24"/>
          <w:szCs w:val="24"/>
          <w:highlight w:val="none"/>
          <w:lang w:val="en-US" w:eastAsia="zh-CN" w:bidi="ar"/>
        </w:rPr>
        <w:t xml:space="preserve">项目编号：</w:t>
      </w:r>
      <w:r/>
    </w:p>
    <w:p>
      <w:pPr>
        <w:pStyle w:val="828"/>
        <w:ind w:left="0" w:right="0" w:firstLine="0"/>
        <w:jc w:val="left"/>
        <w:keepLines w:val="0"/>
        <w:keepNext w:val="0"/>
        <w:spacing w:before="0" w:beforeAutospacing="0" w:after="0" w:afterAutospacing="0"/>
        <w:widowControl/>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 </w:t>
      </w:r>
      <w:r/>
    </w:p>
    <w:tbl>
      <w:tblPr>
        <w:tblStyle w:val="808"/>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25"/>
        <w:gridCol w:w="1860"/>
        <w:gridCol w:w="1043"/>
        <w:gridCol w:w="1837"/>
        <w:gridCol w:w="900"/>
        <w:gridCol w:w="1170"/>
        <w:gridCol w:w="1215"/>
        <w:gridCol w:w="1080"/>
      </w:tblGrid>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bidi="ar"/>
              </w:rPr>
              <w:t xml:space="preserve">名称</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4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bidi="ar"/>
              </w:rPr>
              <w:t xml:space="preserve">品牌、型号</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8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bidi="ar"/>
              </w:rPr>
              <w:t xml:space="preserve">性能指标</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bidi="ar"/>
              </w:rPr>
              <w:t xml:space="preserve">制造商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bidi="ar"/>
              </w:rPr>
              <w:t xml:space="preserve">数量</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bidi="ar"/>
              </w:rPr>
              <w:t xml:space="preserve">单报价</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b/>
                <w:bCs w:val="0"/>
                <w:color w:val="auto"/>
                <w:sz w:val="22"/>
                <w:szCs w:val="22"/>
                <w:highlight w:val="none"/>
              </w:rPr>
              <w:suppressLineNumbers w:val="0"/>
            </w:pPr>
            <w:r>
              <w:rPr>
                <w:rFonts w:hint="eastAsia" w:ascii="宋体" w:hAnsi="宋体" w:eastAsia="宋体" w:cs="宋体"/>
                <w:color w:val="auto"/>
                <w:sz w:val="18"/>
                <w:szCs w:val="18"/>
                <w:highlight w:val="none"/>
                <w:lang w:val="en-US" w:eastAsia="zh-CN" w:bidi="ar"/>
              </w:rPr>
              <w:t xml:space="preserve">分项</w:t>
            </w:r>
            <w:r>
              <w:rPr>
                <w:rStyle w:val="1470"/>
                <w:rFonts w:hint="eastAsia" w:ascii="微软雅黑" w:hAnsi="微软雅黑" w:eastAsia="微软雅黑" w:cs="微软雅黑"/>
                <w:b/>
                <w:bCs w:val="0"/>
                <w:color w:val="auto"/>
                <w:sz w:val="22"/>
                <w:szCs w:val="22"/>
                <w:highlight w:val="none"/>
                <w:lang w:val="en-US" w:eastAsia="zh-CN" w:bidi="ar"/>
              </w:rPr>
              <w:t xml:space="preserve">  </w:t>
            </w:r>
            <w:r/>
          </w:p>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Style w:val="1470"/>
                <w:rFonts w:hint="eastAsia" w:ascii="微软雅黑" w:hAnsi="微软雅黑" w:eastAsia="微软雅黑" w:cs="微软雅黑"/>
                <w:b/>
                <w:bCs w:val="0"/>
                <w:color w:val="auto"/>
                <w:sz w:val="22"/>
                <w:szCs w:val="22"/>
                <w:highlight w:val="none"/>
                <w:lang w:val="en-US" w:eastAsia="zh-CN" w:bidi="ar"/>
              </w:rPr>
              <w:t xml:space="preserve"> </w:t>
            </w:r>
            <w:r>
              <w:rPr>
                <w:rFonts w:hint="eastAsia" w:ascii="宋体" w:hAnsi="宋体" w:eastAsia="宋体" w:cs="宋体"/>
                <w:color w:val="auto"/>
                <w:sz w:val="18"/>
                <w:szCs w:val="18"/>
                <w:highlight w:val="none"/>
                <w:lang w:val="en-US" w:eastAsia="zh-CN" w:bidi="ar"/>
              </w:rPr>
              <w:t xml:space="preserve">总报价</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4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8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4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000000" w:sz="4" w:space="0"/>
              <w:left w:val="none" w:color="000000" w:sz="4" w:space="0"/>
              <w:bottom w:val="single" w:color="auto" w:sz="4" w:space="0"/>
              <w:right w:val="single" w:color="000000" w:sz="4" w:space="0"/>
            </w:tcBorders>
            <w:tcMar>
              <w:left w:w="15" w:type="dxa"/>
              <w:top w:w="15" w:type="dxa"/>
              <w:right w:w="15" w:type="dxa"/>
            </w:tcMar>
            <w:tcW w:w="18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1"/>
                <w:szCs w:val="21"/>
                <w:highlight w:val="none"/>
              </w:rPr>
              <w:suppressLineNumbers w:val="0"/>
            </w:pPr>
            <w:r>
              <w:rPr>
                <w:rFonts w:hint="eastAsia" w:ascii="黑体" w:hAnsi="宋体" w:eastAsia="黑体" w:cs="黑体"/>
                <w:b/>
                <w:bCs w:val="0"/>
                <w:color w:val="auto"/>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r>
      <w:tr>
        <w:trPr>
          <w:trHeight w:val="41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auto" w:sz="4" w:space="0"/>
            </w:tcBorders>
            <w:tcMar>
              <w:left w:w="15" w:type="dxa"/>
              <w:top w:w="15" w:type="dxa"/>
              <w:right w:w="15" w:type="dxa"/>
            </w:tcMar>
            <w:tcW w:w="104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Mar>
              <w:left w:w="15" w:type="dxa"/>
              <w:top w:w="15" w:type="dxa"/>
              <w:right w:w="15" w:type="dxa"/>
            </w:tcMar>
            <w:tcW w:w="18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r>
      <w:tr>
        <w:trPr>
          <w:trHeight w:val="43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auto" w:sz="4" w:space="0"/>
            </w:tcBorders>
            <w:tcMar>
              <w:left w:w="15" w:type="dxa"/>
              <w:top w:w="15" w:type="dxa"/>
              <w:right w:w="15" w:type="dxa"/>
            </w:tcMar>
            <w:tcW w:w="104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Mar>
              <w:left w:w="15" w:type="dxa"/>
              <w:top w:w="15" w:type="dxa"/>
              <w:right w:w="15" w:type="dxa"/>
            </w:tcMar>
            <w:tcW w:w="18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r>
      <w:tr>
        <w:trPr>
          <w:trHeight w:val="43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auto" w:sz="4" w:space="0"/>
            </w:tcBorders>
            <w:tcMar>
              <w:left w:w="15" w:type="dxa"/>
              <w:top w:w="15" w:type="dxa"/>
              <w:right w:w="15" w:type="dxa"/>
            </w:tcMar>
            <w:tcW w:w="104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Mar>
              <w:left w:w="15" w:type="dxa"/>
              <w:top w:w="15" w:type="dxa"/>
              <w:right w:w="15" w:type="dxa"/>
            </w:tcMar>
            <w:tcW w:w="18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r>
      <w:tr>
        <w:trPr>
          <w:trHeight w:val="43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auto" w:sz="4" w:space="0"/>
            </w:tcBorders>
            <w:tcMar>
              <w:left w:w="15" w:type="dxa"/>
              <w:top w:w="15" w:type="dxa"/>
              <w:right w:w="15" w:type="dxa"/>
            </w:tcMar>
            <w:tcW w:w="10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Mar>
              <w:left w:w="15" w:type="dxa"/>
              <w:top w:w="15" w:type="dxa"/>
              <w:right w:w="15" w:type="dxa"/>
            </w:tcMar>
            <w:tcW w:w="18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1"/>
                <w:szCs w:val="21"/>
                <w:highlight w:val="none"/>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auto" w:sz="4" w:space="0"/>
            </w:tcBorders>
            <w:tcMar>
              <w:left w:w="15" w:type="dxa"/>
              <w:top w:w="15" w:type="dxa"/>
              <w:right w:w="15" w:type="dxa"/>
            </w:tcMar>
            <w:tcW w:w="104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Mar>
              <w:left w:w="15" w:type="dxa"/>
              <w:top w:w="15" w:type="dxa"/>
              <w:right w:w="15" w:type="dxa"/>
            </w:tcMar>
            <w:tcW w:w="18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r>
      <w:tr>
        <w:trPr>
          <w:trHeight w:val="500"/>
        </w:trPr>
        <w:tc>
          <w:tcPr>
            <w:gridSpan w:val="3"/>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3428"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合计（元）</w:t>
            </w:r>
            <w:r/>
          </w:p>
        </w:tc>
        <w:tc>
          <w:tcPr>
            <w:gridSpan w:val="5"/>
            <w:shd w:val="clear" w:color="auto" w:fill="auto"/>
            <w:tcBorders>
              <w:top w:val="single" w:color="auto" w:sz="4" w:space="0"/>
              <w:left w:val="none" w:color="000000" w:sz="4" w:space="0"/>
              <w:bottom w:val="single" w:color="auto" w:sz="4" w:space="0"/>
              <w:right w:val="single" w:color="000000" w:sz="4" w:space="0"/>
            </w:tcBorders>
            <w:tcMar>
              <w:left w:w="15" w:type="dxa"/>
              <w:top w:w="15" w:type="dxa"/>
              <w:right w:w="15" w:type="dxa"/>
            </w:tcMar>
            <w:tcW w:w="6202" w:type="dxa"/>
            <w:vAlign w:val="center"/>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r>
      <w:tr>
        <w:trPr>
          <w:trHeight w:val="500"/>
        </w:trPr>
        <w:tc>
          <w:tcPr>
            <w:gridSpan w:val="3"/>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3428" w:type="dxa"/>
            <w:vAlign w:val="center"/>
            <w:textDirection w:val="lrTb"/>
            <w:noWrap/>
          </w:tcPr>
          <w:p>
            <w:pPr>
              <w:pStyle w:val="828"/>
              <w:ind w:left="0" w:right="57" w:firstLine="420"/>
              <w:jc w:val="center"/>
              <w:keepLines w:val="0"/>
              <w:keepNext w:val="0"/>
              <w:spacing w:before="0" w:beforeAutospacing="1" w:after="20" w:afterAutospacing="0" w:line="240" w:lineRule="atLeast"/>
              <w:widowControl w:val="off"/>
              <w:tabs>
                <w:tab w:val="left" w:pos="420" w:leader="none"/>
              </w:tabs>
              <w:rPr>
                <w:rFonts w:hint="eastAsia" w:ascii="宋体" w:hAnsi="宋体" w:eastAsia="宋体" w:cs="宋体"/>
                <w:b/>
                <w:bCs/>
                <w:color w:val="auto"/>
                <w:sz w:val="24"/>
                <w:szCs w:val="24"/>
                <w:highlight w:val="none"/>
              </w:rPr>
              <w:pBdr>
                <w:top w:val="none" w:color="auto" w:sz="0" w:space="0"/>
                <w:left w:val="none" w:color="auto" w:sz="0" w:space="0"/>
                <w:bottom w:val="single" w:color="000000" w:sz="6" w:space="1"/>
                <w:right w:val="none" w:color="auto" w:sz="0" w:space="0"/>
              </w:pBdr>
              <w:suppressLineNumbers w:val="0"/>
            </w:pPr>
            <w:r>
              <w:rPr>
                <w:rFonts w:hint="eastAsia" w:ascii="宋体" w:hAnsi="宋体" w:eastAsia="宋体" w:cs="宋体"/>
                <w:b/>
                <w:bCs/>
                <w:color w:val="auto"/>
                <w:sz w:val="24"/>
                <w:szCs w:val="24"/>
                <w:highlight w:val="none"/>
                <w:lang w:val="en-US" w:eastAsia="zh-CN" w:bidi="ar"/>
              </w:rPr>
              <w:t xml:space="preserve">完工期</w:t>
            </w:r>
            <w:r/>
          </w:p>
        </w:tc>
        <w:tc>
          <w:tcPr>
            <w:gridSpan w:val="5"/>
            <w:shd w:val="clear" w:color="auto" w:fill="auto"/>
            <w:tcBorders>
              <w:top w:val="single" w:color="auto" w:sz="4" w:space="0"/>
              <w:left w:val="none" w:color="000000" w:sz="4" w:space="0"/>
              <w:bottom w:val="single" w:color="auto" w:sz="4" w:space="0"/>
              <w:right w:val="single" w:color="000000" w:sz="4" w:space="0"/>
            </w:tcBorders>
            <w:tcMar>
              <w:left w:w="15" w:type="dxa"/>
              <w:top w:w="15" w:type="dxa"/>
              <w:right w:w="15" w:type="dxa"/>
            </w:tcMar>
            <w:tcW w:w="620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color w:val="auto"/>
                <w:sz w:val="24"/>
                <w:szCs w:val="24"/>
                <w:highlight w:val="none"/>
                <w:u w:val="single"/>
              </w:rPr>
              <w:suppressLineNumbers w:val="0"/>
            </w:pPr>
            <w:r>
              <w:rPr>
                <w:rFonts w:hint="eastAsia" w:ascii="宋体" w:hAnsi="宋体" w:eastAsia="宋体" w:cs="宋体"/>
                <w:bCs/>
                <w:color w:val="auto"/>
                <w:sz w:val="24"/>
                <w:szCs w:val="24"/>
                <w:highlight w:val="none"/>
                <w:lang w:val="en-US" w:eastAsia="zh-CN" w:bidi="ar"/>
              </w:rPr>
              <w:t xml:space="preserve">合同签订生效之日起</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日历日内交货并安装调试完毕</w:t>
            </w:r>
            <w:r/>
          </w:p>
        </w:tc>
      </w:tr>
      <w:tr>
        <w:trPr>
          <w:trHeight w:val="500"/>
        </w:trPr>
        <w:tc>
          <w:tcPr>
            <w:gridSpan w:val="3"/>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3428" w:type="dxa"/>
            <w:vAlign w:val="center"/>
            <w:textDirection w:val="lrTb"/>
            <w:noWrap/>
          </w:tcPr>
          <w:p>
            <w:pPr>
              <w:pStyle w:val="828"/>
              <w:ind w:left="0" w:right="57" w:firstLine="420"/>
              <w:jc w:val="center"/>
              <w:keepLines w:val="0"/>
              <w:keepNext w:val="0"/>
              <w:spacing w:before="0" w:beforeAutospacing="1" w:after="20" w:afterAutospacing="0" w:line="240" w:lineRule="atLeast"/>
              <w:widowControl w:val="off"/>
              <w:tabs>
                <w:tab w:val="left" w:pos="420" w:leader="none"/>
              </w:tabs>
              <w:rPr>
                <w:rFonts w:hint="eastAsia" w:ascii="宋体" w:hAnsi="宋体" w:eastAsia="宋体" w:cs="宋体"/>
                <w:b/>
                <w:bCs/>
                <w:color w:val="auto"/>
                <w:sz w:val="24"/>
                <w:szCs w:val="24"/>
                <w:highlight w:val="none"/>
              </w:rPr>
              <w:pBdr>
                <w:top w:val="none" w:color="auto" w:sz="0" w:space="0"/>
                <w:left w:val="none" w:color="auto" w:sz="0" w:space="0"/>
                <w:bottom w:val="single" w:color="000000" w:sz="6" w:space="1"/>
                <w:right w:val="none" w:color="auto" w:sz="0" w:space="0"/>
              </w:pBdr>
              <w:suppressLineNumbers w:val="0"/>
            </w:pPr>
            <w:r>
              <w:rPr>
                <w:rFonts w:hint="eastAsia" w:ascii="宋体" w:hAnsi="宋体" w:eastAsia="宋体" w:cs="宋体"/>
                <w:b/>
                <w:bCs/>
                <w:color w:val="auto"/>
                <w:sz w:val="24"/>
                <w:szCs w:val="24"/>
                <w:highlight w:val="none"/>
                <w:lang w:val="en-US" w:eastAsia="zh-CN" w:bidi="ar"/>
              </w:rPr>
              <w:t xml:space="preserve">项目整体免费质保期</w:t>
            </w:r>
            <w:r/>
          </w:p>
        </w:tc>
        <w:tc>
          <w:tcPr>
            <w:gridSpan w:val="5"/>
            <w:shd w:val="clear" w:color="auto" w:fill="auto"/>
            <w:tcBorders>
              <w:top w:val="single" w:color="auto" w:sz="4" w:space="0"/>
              <w:left w:val="none" w:color="000000" w:sz="4" w:space="0"/>
              <w:bottom w:val="single" w:color="auto" w:sz="4" w:space="0"/>
              <w:right w:val="single" w:color="000000" w:sz="4" w:space="0"/>
            </w:tcBorders>
            <w:tcMar>
              <w:left w:w="15" w:type="dxa"/>
              <w:top w:w="15" w:type="dxa"/>
              <w:right w:w="15" w:type="dxa"/>
            </w:tcMar>
            <w:tcW w:w="620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项目经最终验收合格之日起____年</w:t>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30" w:type="dxa"/>
            <w:vAlign w:val="center"/>
            <w:textDirection w:val="lrTb"/>
            <w:noWrap/>
          </w:tcPr>
          <w:p>
            <w:pPr>
              <w:ind w:left="0" w:right="0"/>
              <w:jc w:val="left"/>
              <w:keepLines w:val="0"/>
              <w:keepNext w:val="0"/>
              <w:spacing w:before="0" w:beforeAutospacing="0" w:after="0" w:afterAutospacing="0" w:line="288" w:lineRule="auto"/>
              <w:widowControl w:val="off"/>
              <w:rPr>
                <w:rFonts w:hint="eastAsia" w:ascii="宋体" w:hAnsi="宋体" w:eastAsia="宋体" w:cs="宋体"/>
                <w:bCs/>
                <w:color w:val="auto"/>
                <w:sz w:val="28"/>
                <w:szCs w:val="28"/>
                <w:highlight w:val="none"/>
              </w:rPr>
              <w:suppressLineNumbers w:val="0"/>
            </w:pPr>
            <w:r>
              <w:rPr>
                <w:rFonts w:hint="eastAsia" w:ascii="宋体" w:hAnsi="宋体" w:eastAsia="宋体" w:cs="宋体"/>
                <w:bCs/>
                <w:color w:val="auto"/>
                <w:sz w:val="28"/>
                <w:szCs w:val="28"/>
                <w:highlight w:val="none"/>
                <w:lang w:val="en-US" w:eastAsia="zh-CN" w:bidi="ar"/>
              </w:rPr>
              <w:t xml:space="preserve">投标人承诺：</w:t>
            </w:r>
            <w:r/>
          </w:p>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Cs/>
                <w:color w:val="auto"/>
                <w:sz w:val="28"/>
                <w:szCs w:val="28"/>
                <w:highlight w:val="none"/>
                <w:lang w:val="en-US" w:eastAsia="zh-CN" w:bidi="ar"/>
              </w:rPr>
              <w:t xml:space="preserve">本采购项目或采购包中提供的符合本国产品标准的产品</w:t>
            </w:r>
            <w:r>
              <w:rPr>
                <w:rFonts w:hint="eastAsia" w:ascii="宋体" w:hAnsi="宋体" w:eastAsia="宋体" w:cs="宋体"/>
                <w:b/>
                <w:bCs/>
                <w:color w:val="auto"/>
                <w:sz w:val="28"/>
                <w:szCs w:val="28"/>
                <w:highlight w:val="none"/>
                <w:lang w:val="en-US" w:eastAsia="zh-CN" w:bidi="ar"/>
              </w:rPr>
              <w:t xml:space="preserve">成本之和</w:t>
            </w:r>
            <w:r>
              <w:rPr>
                <w:rFonts w:hint="eastAsia" w:ascii="宋体" w:hAnsi="宋体" w:eastAsia="宋体" w:cs="宋体"/>
                <w:bCs/>
                <w:color w:val="auto"/>
                <w:sz w:val="28"/>
                <w:szCs w:val="28"/>
                <w:highlight w:val="none"/>
                <w:lang w:val="en-US" w:eastAsia="zh-CN" w:bidi="ar"/>
              </w:rPr>
              <w:t xml:space="preserve">占提供的全部产品</w:t>
            </w:r>
            <w:r>
              <w:rPr>
                <w:rFonts w:hint="eastAsia" w:ascii="宋体" w:hAnsi="宋体" w:eastAsia="宋体" w:cs="宋体"/>
                <w:b/>
                <w:bCs/>
                <w:color w:val="auto"/>
                <w:sz w:val="28"/>
                <w:szCs w:val="28"/>
                <w:highlight w:val="none"/>
                <w:lang w:val="en-US" w:eastAsia="zh-CN" w:bidi="ar"/>
              </w:rPr>
              <w:t xml:space="preserve">成本之和</w:t>
            </w:r>
            <w:r>
              <w:rPr>
                <w:rFonts w:hint="eastAsia" w:ascii="宋体" w:hAnsi="宋体" w:eastAsia="宋体" w:cs="宋体"/>
                <w:bCs/>
                <w:color w:val="auto"/>
                <w:sz w:val="28"/>
                <w:szCs w:val="28"/>
                <w:highlight w:val="none"/>
                <w:lang w:val="en-US" w:eastAsia="zh-CN" w:bidi="ar"/>
              </w:rPr>
              <w:t xml:space="preserve">的比例：</w:t>
            </w:r>
            <w:r>
              <w:rPr>
                <w:rFonts w:hint="eastAsia" w:ascii="宋体" w:hAnsi="宋体" w:eastAsia="宋体" w:cs="宋体"/>
                <w:bCs/>
                <w:color w:val="auto"/>
                <w:sz w:val="28"/>
                <w:szCs w:val="28"/>
                <w:highlight w:val="none"/>
                <w:u w:val="single"/>
                <w:lang w:val="en-US" w:eastAsia="zh-CN" w:bidi="ar"/>
              </w:rPr>
              <w:t xml:space="preserve">      </w:t>
            </w:r>
            <w:r>
              <w:rPr>
                <w:rFonts w:hint="eastAsia" w:ascii="宋体" w:hAnsi="宋体" w:eastAsia="宋体" w:cs="宋体"/>
                <w:bCs/>
                <w:color w:val="auto"/>
                <w:sz w:val="28"/>
                <w:szCs w:val="28"/>
                <w:highlight w:val="none"/>
                <w:lang w:val="en-US" w:eastAsia="zh-CN" w:bidi="ar"/>
              </w:rPr>
              <w:t xml:space="preserve">%</w:t>
            </w:r>
            <w:r/>
          </w:p>
        </w:tc>
      </w:tr>
    </w:tbl>
    <w:p>
      <w:pPr>
        <w:ind w:left="0" w:right="-511"/>
        <w:jc w:val="both"/>
        <w:keepLines w:val="0"/>
        <w:keepNext w:val="0"/>
        <w:spacing w:before="0" w:beforeAutospacing="0" w:after="120" w:afterAutospacing="0" w:line="420" w:lineRule="exact"/>
        <w:widowControl w:val="off"/>
        <w:tabs>
          <w:tab w:val="left" w:pos="0" w:leader="none"/>
        </w:tabs>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法定代表人或法定代表人授权代表签字或盖章：</w:t>
      </w:r>
      <w:r/>
    </w:p>
    <w:p>
      <w:pPr>
        <w:ind w:left="0" w:right="-511"/>
        <w:jc w:val="both"/>
        <w:keepLines w:val="0"/>
        <w:keepNext w:val="0"/>
        <w:spacing w:before="0" w:beforeAutospacing="0" w:after="120" w:afterAutospacing="0" w:line="420" w:lineRule="exact"/>
        <w:widowControl w:val="off"/>
        <w:tabs>
          <w:tab w:val="left" w:pos="0" w:leader="none"/>
        </w:tabs>
        <w:rPr>
          <w:rFonts w:hint="default" w:ascii="Times New Roman" w:hAnsi="Times New Roman" w:eastAsia="宋体" w:cs="Times New Roman"/>
          <w:b/>
          <w:bCs/>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日期：</w:t>
      </w:r>
      <w:r/>
    </w:p>
    <w:p>
      <w:pPr>
        <w:ind w:left="0" w:right="0" w:firstLine="527"/>
        <w:jc w:val="both"/>
        <w:keepLines w:val="0"/>
        <w:keepNext w:val="0"/>
        <w:spacing w:before="0" w:beforeAutospacing="0" w:after="0" w:afterAutospacing="0" w:line="400" w:lineRule="exact"/>
        <w:widowControl w:val="off"/>
        <w:rPr>
          <w:rFonts w:hint="eastAsia" w:ascii="宋体" w:hAnsi="宋体" w:eastAsia="宋体" w:cs="Times New Roman"/>
          <w:bCs/>
          <w:color w:val="auto"/>
          <w:sz w:val="21"/>
          <w:szCs w:val="21"/>
          <w:highlight w:val="none"/>
        </w:rPr>
        <w:outlineLvl w:val="0"/>
        <w:suppressLineNumbers w:val="0"/>
      </w:pPr>
      <w:r>
        <w:rPr>
          <w:rFonts w:hint="eastAsia" w:ascii="宋体" w:hAnsi="宋体" w:eastAsia="宋体" w:cs="宋体"/>
          <w:b/>
          <w:bCs w:val="0"/>
          <w:color w:val="auto"/>
          <w:sz w:val="21"/>
          <w:szCs w:val="21"/>
          <w:highlight w:val="none"/>
          <w:lang w:val="en-US" w:eastAsia="zh-CN" w:bidi="ar"/>
        </w:rPr>
        <w:t xml:space="preserve">注：</w:t>
      </w:r>
      <w:r>
        <w:rPr>
          <w:rFonts w:hint="eastAsia" w:ascii="宋体" w:hAnsi="宋体" w:eastAsia="宋体" w:cs="宋体"/>
          <w:bCs/>
          <w:color w:val="auto"/>
          <w:sz w:val="21"/>
          <w:szCs w:val="21"/>
          <w:highlight w:val="none"/>
          <w:lang w:val="en-US" w:eastAsia="zh-CN" w:bidi="ar"/>
        </w:rPr>
        <w:t xml:space="preserve">上述报价表不限于此，结合第三章项目要求和有关说明详细清单自行编制。</w:t>
      </w:r>
      <w:r/>
    </w:p>
    <w:p>
      <w:pPr>
        <w:ind w:left="0" w:right="0" w:firstLine="525"/>
        <w:jc w:val="both"/>
        <w:keepLines w:val="0"/>
        <w:keepNext w:val="0"/>
        <w:spacing w:before="0" w:beforeAutospacing="0" w:after="0" w:afterAutospacing="0" w:line="400" w:lineRule="exact"/>
        <w:widowControl w:val="off"/>
        <w:rPr>
          <w:rFonts w:hint="eastAsia" w:ascii="宋体" w:hAnsi="宋体" w:eastAsia="宋体" w:cs="Times New Roman"/>
          <w:bCs/>
          <w:color w:val="auto"/>
          <w:sz w:val="21"/>
          <w:szCs w:val="21"/>
          <w:highlight w:val="none"/>
        </w:rPr>
        <w:outlineLvl w:val="0"/>
        <w:suppressLineNumbers w:val="0"/>
      </w:pPr>
      <w:r>
        <w:rPr>
          <w:rFonts w:hint="eastAsia" w:ascii="宋体" w:hAnsi="宋体" w:eastAsia="宋体" w:cs="宋体"/>
          <w:bCs/>
          <w:color w:val="auto"/>
          <w:sz w:val="21"/>
          <w:szCs w:val="21"/>
          <w:highlight w:val="none"/>
          <w:lang w:val="en-US" w:eastAsia="zh-CN" w:bidi="ar"/>
        </w:rPr>
        <w:t xml:space="preserve">（1）投标供应商应当根据“项目技术要求和有关说明”的内容在上表中详细填写；</w:t>
      </w:r>
      <w:r/>
    </w:p>
    <w:p>
      <w:pPr>
        <w:ind w:left="0" w:right="0" w:firstLine="525"/>
        <w:jc w:val="both"/>
        <w:keepLines w:val="0"/>
        <w:keepNext w:val="0"/>
        <w:spacing w:before="0" w:beforeAutospacing="0" w:after="0" w:afterAutospacing="0" w:line="400" w:lineRule="exact"/>
        <w:widowControl w:val="off"/>
        <w:rPr>
          <w:rFonts w:hint="eastAsia" w:ascii="宋体" w:hAnsi="宋体" w:eastAsia="宋体" w:cs="Times New Roman"/>
          <w:bCs/>
          <w:color w:val="auto"/>
          <w:sz w:val="21"/>
          <w:szCs w:val="21"/>
          <w:highlight w:val="none"/>
        </w:rPr>
        <w:outlineLvl w:val="0"/>
        <w:suppressLineNumbers w:val="0"/>
      </w:pPr>
      <w:r>
        <w:rPr>
          <w:rFonts w:hint="eastAsia" w:ascii="宋体" w:hAnsi="宋体" w:eastAsia="宋体" w:cs="宋体"/>
          <w:bCs/>
          <w:color w:val="auto"/>
          <w:sz w:val="21"/>
          <w:szCs w:val="21"/>
          <w:highlight w:val="none"/>
          <w:lang w:val="en-US" w:eastAsia="zh-CN" w:bidi="ar"/>
        </w:rPr>
        <w:t xml:space="preserve">（2）表格不够可自行延长，但不得改变文本格式；</w:t>
      </w:r>
      <w:r/>
    </w:p>
    <w:p>
      <w:pPr>
        <w:ind w:left="0" w:right="0" w:firstLine="525"/>
        <w:jc w:val="both"/>
        <w:keepLines w:val="0"/>
        <w:keepNext w:val="0"/>
        <w:spacing w:before="0" w:beforeAutospacing="0" w:after="0" w:afterAutospacing="0" w:line="400" w:lineRule="exact"/>
        <w:widowControl w:val="off"/>
        <w:rPr>
          <w:rFonts w:hint="eastAsia" w:ascii="宋体" w:hAnsi="宋体" w:eastAsia="宋体" w:cs="Times New Roman"/>
          <w:bCs/>
          <w:color w:val="auto"/>
          <w:sz w:val="21"/>
          <w:szCs w:val="21"/>
          <w:highlight w:val="none"/>
        </w:rPr>
        <w:outlineLvl w:val="0"/>
        <w:suppressLineNumbers w:val="0"/>
      </w:pPr>
      <w:r>
        <w:rPr>
          <w:rFonts w:hint="eastAsia" w:ascii="宋体" w:hAnsi="宋体" w:eastAsia="宋体" w:cs="宋体"/>
          <w:bCs/>
          <w:color w:val="auto"/>
          <w:sz w:val="21"/>
          <w:szCs w:val="21"/>
          <w:highlight w:val="none"/>
          <w:lang w:val="en-US" w:eastAsia="zh-CN" w:bidi="ar"/>
        </w:rPr>
        <w:t xml:space="preserve">（3）投标供应商对所报相关数据的真实性负责；</w:t>
      </w:r>
      <w:r/>
    </w:p>
    <w:p>
      <w:pPr>
        <w:ind w:left="0" w:right="0" w:firstLine="525"/>
        <w:jc w:val="both"/>
        <w:keepLines w:val="0"/>
        <w:keepNext w:val="0"/>
        <w:spacing w:before="0" w:beforeAutospacing="0" w:after="0" w:afterAutospacing="0" w:line="400" w:lineRule="exact"/>
        <w:widowControl w:val="off"/>
        <w:rPr>
          <w:rFonts w:hint="eastAsia" w:ascii="宋体" w:hAnsi="宋体" w:eastAsia="宋体" w:cs="Times New Roman"/>
          <w:bCs/>
          <w:color w:val="auto"/>
          <w:sz w:val="21"/>
          <w:szCs w:val="21"/>
          <w:highlight w:val="none"/>
        </w:rPr>
        <w:outlineLvl w:val="0"/>
        <w:suppressLineNumbers w:val="0"/>
      </w:pPr>
      <w:r>
        <w:rPr>
          <w:rFonts w:hint="eastAsia" w:ascii="宋体" w:hAnsi="宋体" w:eastAsia="宋体" w:cs="宋体"/>
          <w:bCs/>
          <w:color w:val="auto"/>
          <w:sz w:val="21"/>
          <w:szCs w:val="21"/>
          <w:highlight w:val="none"/>
          <w:lang w:val="en-US" w:eastAsia="zh-CN" w:bidi="ar"/>
        </w:rPr>
        <w:t xml:space="preserve">（4）该报价包括实施本项目所需的全部设备、辅助材料、人工费、服务费、运输费、税金、安装调试费及其他一切费用。如有漏项，均由中标人承担；以上报价为含税价</w:t>
      </w:r>
      <w:r/>
    </w:p>
    <w:p>
      <w:pPr>
        <w:ind w:left="0" w:right="0" w:firstLine="525"/>
        <w:jc w:val="both"/>
        <w:keepLines w:val="0"/>
        <w:keepNext w:val="0"/>
        <w:spacing w:before="0" w:beforeAutospacing="0" w:after="0" w:afterAutospacing="0" w:line="400" w:lineRule="exact"/>
        <w:widowControl w:val="off"/>
        <w:rPr>
          <w:rFonts w:hint="eastAsia" w:ascii="宋体" w:hAnsi="宋体" w:eastAsia="宋体" w:cs="Times New Roman"/>
          <w:bCs/>
          <w:color w:val="auto"/>
          <w:sz w:val="21"/>
          <w:szCs w:val="21"/>
          <w:highlight w:val="none"/>
        </w:rPr>
        <w:outlineLvl w:val="0"/>
        <w:suppressLineNumbers w:val="0"/>
      </w:pPr>
      <w:r>
        <w:rPr>
          <w:rFonts w:hint="eastAsia" w:ascii="宋体" w:hAnsi="宋体" w:eastAsia="宋体" w:cs="宋体"/>
          <w:bCs/>
          <w:color w:val="auto"/>
          <w:sz w:val="21"/>
          <w:szCs w:val="21"/>
          <w:highlight w:val="none"/>
          <w:lang w:val="en-US" w:eastAsia="zh-CN" w:bidi="ar"/>
        </w:rPr>
        <w:t xml:space="preserve">（5）当采</w:t>
      </w:r>
      <w:r>
        <w:rPr>
          <w:rFonts w:hint="eastAsia" w:ascii="宋体" w:hAnsi="宋体" w:eastAsia="宋体" w:cs="宋体"/>
          <w:bCs/>
          <w:color w:val="auto"/>
          <w:sz w:val="21"/>
          <w:szCs w:val="21"/>
          <w:highlight w:val="none"/>
          <w:lang w:val="en-US" w:eastAsia="zh-CN" w:bidi="ar"/>
        </w:rPr>
        <w:t xml:space="preserve">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二章第五条第三点“对本国产品的支持政策”）</w:t>
      </w:r>
      <w:r/>
    </w:p>
    <w:p>
      <w:pPr>
        <w:ind w:left="0" w:right="0" w:firstLine="525"/>
        <w:jc w:val="both"/>
        <w:keepLines w:val="0"/>
        <w:keepNext w:val="0"/>
        <w:spacing w:before="0" w:beforeAutospacing="0" w:after="0" w:afterAutospacing="0" w:line="400" w:lineRule="exact"/>
        <w:widowControl w:val="off"/>
        <w:rPr>
          <w:rFonts w:hint="eastAsia" w:ascii="宋体" w:hAnsi="Times New Roman" w:eastAsia="宋体" w:cs="Times New Roman"/>
          <w:bCs/>
          <w:color w:val="auto"/>
          <w:sz w:val="21"/>
          <w:szCs w:val="21"/>
          <w:highlight w:val="none"/>
        </w:rPr>
        <w:outlineLvl w:val="0"/>
        <w:suppressLineNumbers w:val="0"/>
      </w:pPr>
      <w:r>
        <w:rPr>
          <w:rFonts w:hint="eastAsia" w:ascii="宋体" w:hAnsi="宋体" w:eastAsia="宋体" w:cs="宋体"/>
          <w:bCs/>
          <w:color w:val="auto"/>
          <w:sz w:val="21"/>
          <w:szCs w:val="21"/>
          <w:highlight w:val="none"/>
          <w:lang w:val="en-US" w:eastAsia="zh-CN" w:bidi="ar"/>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ind w:left="0" w:right="0" w:firstLine="5280"/>
        <w:jc w:val="both"/>
        <w:keepLines w:val="0"/>
        <w:keepNext w:val="0"/>
        <w:spacing w:before="0" w:beforeAutospacing="0" w:after="0" w:afterAutospacing="0" w:line="360" w:lineRule="auto"/>
        <w:widowControl w:val="off"/>
        <w:rPr>
          <w:rFonts w:hint="eastAsia" w:ascii="黑体" w:hAnsi="宋体" w:eastAsia="黑体" w:cs="Times New Roman"/>
          <w:bCs/>
          <w:color w:val="auto"/>
          <w:sz w:val="24"/>
          <w:szCs w:val="24"/>
          <w:highlight w:val="none"/>
        </w:rPr>
        <w:suppressLineNumbers w:val="0"/>
      </w:pPr>
      <w:r>
        <w:rPr>
          <w:rFonts w:hint="eastAsia" w:ascii="黑体" w:hAnsi="宋体" w:eastAsia="黑体" w:cs="Times New Roman"/>
          <w:bCs/>
          <w:color w:val="auto"/>
          <w:sz w:val="24"/>
          <w:szCs w:val="24"/>
          <w:highlight w:val="none"/>
          <w:lang w:val="en-US" w:eastAsia="zh-CN" w:bidi="ar"/>
        </w:rPr>
        <w:t xml:space="preserve"> </w:t>
      </w:r>
      <w:r/>
    </w:p>
    <w:p>
      <w:pPr>
        <w:ind w:left="0" w:right="0"/>
        <w:jc w:val="left"/>
        <w:keepLines w:val="0"/>
        <w:keepNext w:val="0"/>
        <w:spacing w:before="0" w:beforeAutospacing="0" w:after="0" w:afterAutospacing="0"/>
        <w:widowControl w:val="off"/>
        <w:rPr>
          <w:rFonts w:hint="eastAsia" w:ascii="黑体" w:hAnsi="宋体" w:eastAsia="黑体" w:cs="Times New Roman"/>
          <w:bCs/>
          <w:color w:val="auto"/>
          <w:sz w:val="24"/>
          <w:szCs w:val="24"/>
          <w:highlight w:val="none"/>
        </w:rPr>
        <w:suppressLineNumbers w:val="0"/>
      </w:pPr>
      <w:r>
        <w:rPr>
          <w:rFonts w:hint="eastAsia" w:ascii="黑体" w:hAnsi="宋体" w:eastAsia="黑体" w:cs="Times New Roman"/>
          <w:bCs/>
          <w:color w:val="auto"/>
          <w:sz w:val="24"/>
          <w:szCs w:val="24"/>
          <w:highlight w:val="none"/>
          <w:lang w:val="en-US" w:eastAsia="zh-CN" w:bidi="ar"/>
        </w:rPr>
        <w:t xml:space="preserve"> </w:t>
      </w:r>
      <w:r/>
    </w:p>
    <w:p>
      <w:pPr>
        <w:rPr>
          <w:rFonts w:hint="eastAsia" w:ascii="黑体" w:hAnsi="宋体" w:eastAsia="黑体" w:cs="Times New Roman"/>
          <w:bCs/>
          <w:color w:val="auto"/>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pPr>
      <w:r>
        <w:rPr>
          <w:rFonts w:hint="eastAsia" w:ascii="黑体" w:hAnsi="宋体" w:eastAsia="黑体" w:cs="Times New Roman"/>
          <w:bCs/>
          <w:color w:val="auto"/>
          <w:sz w:val="24"/>
          <w:szCs w:val="24"/>
          <w:highlight w:val="none"/>
        </w:rPr>
      </w:r>
      <w:r/>
    </w:p>
    <w:p>
      <w:pPr>
        <w:ind w:left="0" w:right="0"/>
        <w:jc w:val="both"/>
        <w:keepLines w:val="0"/>
        <w:keepNext w:val="0"/>
        <w:spacing w:before="0" w:beforeAutospacing="0" w:after="0" w:afterAutospacing="0"/>
        <w:widowControl w:val="off"/>
        <w:rPr>
          <w:rFonts w:hint="eastAsia" w:ascii="黑体" w:hAnsi="宋体" w:eastAsia="黑体" w:cs="Times New Roman"/>
          <w:bCs/>
          <w:color w:val="auto"/>
          <w:sz w:val="24"/>
          <w:szCs w:val="24"/>
          <w:highlight w:val="none"/>
        </w:rPr>
        <w:outlineLvl w:val="2"/>
        <w:suppressLineNumbers w:val="0"/>
      </w:pPr>
      <w:r>
        <w:rPr>
          <w:rFonts w:hint="eastAsia" w:ascii="黑体" w:hAnsi="宋体" w:eastAsia="黑体" w:cs="黑体"/>
          <w:bCs/>
          <w:color w:val="auto"/>
          <w:sz w:val="24"/>
          <w:szCs w:val="24"/>
          <w:highlight w:val="none"/>
          <w:lang w:val="en-US" w:eastAsia="zh-CN" w:bidi="ar"/>
        </w:rPr>
        <w:t xml:space="preserve">（九）投标偏离表（格式）：</w:t>
      </w:r>
      <w:r/>
    </w:p>
    <w:p>
      <w:pPr>
        <w:ind w:left="0" w:right="0"/>
        <w:jc w:val="center"/>
        <w:keepLines w:val="0"/>
        <w:keepNext w:val="0"/>
        <w:spacing w:before="0" w:beforeAutospacing="0" w:after="0" w:afterAutospacing="0" w:line="400" w:lineRule="exact"/>
        <w:widowControl w:val="off"/>
        <w:rPr>
          <w:rFonts w:hint="eastAsia" w:ascii="黑体" w:hAnsi="Times New Roman" w:eastAsia="黑体" w:cs="Times New Roman"/>
          <w:bCs/>
          <w:color w:val="auto"/>
          <w:sz w:val="28"/>
          <w:szCs w:val="28"/>
          <w:highlight w:val="none"/>
        </w:rPr>
        <w:outlineLvl w:val="0"/>
        <w:suppressLineNumbers w:val="0"/>
      </w:pPr>
      <w:r>
        <w:rPr>
          <w:rFonts w:hint="eastAsia" w:ascii="黑体" w:hAnsi="Times New Roman" w:eastAsia="黑体" w:cs="Times New Roman"/>
          <w:bCs/>
          <w:color w:val="auto"/>
          <w:sz w:val="28"/>
          <w:szCs w:val="28"/>
          <w:highlight w:val="none"/>
          <w:lang w:val="en-US" w:eastAsia="zh-CN" w:bidi="ar"/>
        </w:rPr>
        <w:t xml:space="preserve"> </w:t>
      </w:r>
      <w:r/>
    </w:p>
    <w:p>
      <w:pPr>
        <w:ind w:left="0" w:right="0"/>
        <w:jc w:val="center"/>
        <w:keepLines w:val="0"/>
        <w:keepNext w:val="0"/>
        <w:spacing w:before="0" w:beforeAutospacing="0" w:after="0" w:afterAutospacing="0" w:line="400" w:lineRule="exact"/>
        <w:widowControl w:val="off"/>
        <w:rPr>
          <w:rFonts w:hint="eastAsia" w:ascii="宋体" w:hAnsi="宋体" w:eastAsia="宋体" w:cs="Times New Roman"/>
          <w:b/>
          <w:bCs w:val="0"/>
          <w:color w:val="auto"/>
          <w:sz w:val="24"/>
          <w:szCs w:val="24"/>
          <w:highlight w:val="none"/>
        </w:rPr>
        <w:outlineLvl w:val="0"/>
        <w:suppressLineNumbers w:val="0"/>
      </w:pPr>
      <w:r>
        <w:rPr>
          <w:rFonts w:hint="eastAsia" w:ascii="黑体" w:hAnsi="宋体" w:eastAsia="黑体" w:cs="黑体"/>
          <w:bCs/>
          <w:color w:val="auto"/>
          <w:sz w:val="28"/>
          <w:szCs w:val="28"/>
          <w:highlight w:val="none"/>
          <w:lang w:val="en-US" w:eastAsia="zh-CN" w:bidi="ar"/>
        </w:rPr>
        <w:t xml:space="preserve">投标偏离表</w:t>
      </w:r>
      <w:r/>
    </w:p>
    <w:p>
      <w:pPr>
        <w:ind w:left="0" w:right="0"/>
        <w:jc w:val="both"/>
        <w:keepLines w:val="0"/>
        <w:keepNext w:val="0"/>
        <w:spacing w:before="0" w:beforeAutospacing="0" w:after="0" w:afterAutospacing="0" w:line="400" w:lineRule="exact"/>
        <w:widowControl w:val="off"/>
        <w:rPr>
          <w:rFonts w:hint="eastAsia" w:ascii="黑体" w:hAnsi="Times New Roman" w:eastAsia="黑体" w:cs="Times New Roman"/>
          <w:bCs/>
          <w:color w:val="auto"/>
          <w:sz w:val="24"/>
          <w:szCs w:val="24"/>
          <w:highlight w:val="none"/>
        </w:rPr>
        <w:suppressLineNumbers w:val="0"/>
      </w:pPr>
      <w:r>
        <w:rPr>
          <w:rFonts w:hint="eastAsia" w:ascii="黑体" w:hAnsi="Times New Roman" w:eastAsia="黑体" w:cs="Times New Roman"/>
          <w:bCs/>
          <w:color w:val="auto"/>
          <w:sz w:val="24"/>
          <w:szCs w:val="24"/>
          <w:highlight w:val="none"/>
          <w:lang w:val="en-US" w:eastAsia="zh-CN" w:bidi="ar"/>
        </w:rPr>
        <w:t xml:space="preserve"> </w:t>
      </w:r>
      <w:r/>
    </w:p>
    <w:p>
      <w:pPr>
        <w:pStyle w:val="828"/>
        <w:ind w:left="0" w:right="0" w:firstLine="0"/>
        <w:jc w:val="both"/>
        <w:keepLines w:val="0"/>
        <w:keepNext w:val="0"/>
        <w:spacing w:before="0" w:beforeAutospacing="1" w:after="0" w:afterAutospacing="1"/>
        <w:widowControl w:val="off"/>
        <w:rPr>
          <w:rFonts w:hint="eastAsia" w:ascii="黑体" w:hAnsi="Times New Roman" w:eastAsia="黑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投标人名称（公章）：                            采购编号：</w:t>
      </w:r>
      <w:r/>
    </w:p>
    <w:p>
      <w:pPr>
        <w:ind w:left="0" w:right="0"/>
        <w:jc w:val="both"/>
        <w:keepLines w:val="0"/>
        <w:keepNext w:val="0"/>
        <w:spacing w:before="0" w:beforeAutospacing="0" w:after="0" w:afterAutospacing="0" w:line="400" w:lineRule="exact"/>
        <w:widowControl w:val="off"/>
        <w:rPr>
          <w:rFonts w:hint="eastAsia" w:ascii="黑体" w:hAnsi="Times New Roman" w:eastAsia="黑体" w:cs="Times New Roman"/>
          <w:bCs/>
          <w:color w:val="auto"/>
          <w:sz w:val="28"/>
          <w:szCs w:val="28"/>
          <w:highlight w:val="none"/>
        </w:rPr>
        <w:outlineLvl w:val="0"/>
        <w:suppressLineNumbers w:val="0"/>
      </w:pPr>
      <w:r>
        <w:rPr>
          <w:rFonts w:hint="eastAsia" w:ascii="黑体" w:hAnsi="Times New Roman" w:eastAsia="黑体" w:cs="Times New Roman"/>
          <w:bCs/>
          <w:color w:val="auto"/>
          <w:sz w:val="28"/>
          <w:szCs w:val="28"/>
          <w:highlight w:val="none"/>
          <w:lang w:val="en-US" w:eastAsia="zh-CN" w:bidi="ar"/>
        </w:rPr>
        <w:t xml:space="preserve"> </w:t>
      </w:r>
      <w:r/>
    </w:p>
    <w:tbl>
      <w:tblPr>
        <w:tblStyle w:val="808"/>
        <w:tblW w:w="9070" w:type="dxa"/>
        <w:tblInd w:w="13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0" w:type="dxa"/>
        </w:tblCellMar>
        <w:tblLook w:val="04A0" w:firstRow="1" w:lastRow="0" w:firstColumn="1" w:lastColumn="0" w:noHBand="0" w:noVBand="1"/>
      </w:tblPr>
      <w:tblGrid>
        <w:gridCol w:w="1852"/>
        <w:gridCol w:w="2339"/>
        <w:gridCol w:w="2249"/>
        <w:gridCol w:w="2630"/>
      </w:tblGrid>
      <w:tr>
        <w:trPr>
          <w:cantSplit/>
          <w:trHeight w:val="555"/>
        </w:trPr>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名称</w:t>
            </w:r>
            <w:r/>
          </w:p>
        </w:tc>
        <w:tc>
          <w:tcPr>
            <w:shd w:val="clear" w:color="auto" w:fill="auto"/>
            <w:tcBorders>
              <w:top w:val="single" w:color="000000" w:sz="4" w:space="0"/>
              <w:left w:val="none" w:color="000000" w:sz="4" w:space="0"/>
              <w:bottom w:val="single" w:color="000000" w:sz="4" w:space="0"/>
              <w:right w:val="single" w:color="000000" w:sz="4" w:space="0"/>
            </w:tcBorders>
            <w:tcW w:w="233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采购要求</w:t>
            </w:r>
            <w:r/>
          </w:p>
        </w:tc>
        <w:tc>
          <w:tcPr>
            <w:shd w:val="clear" w:color="auto" w:fill="auto"/>
            <w:tcBorders>
              <w:top w:val="single" w:color="000000" w:sz="4" w:space="0"/>
              <w:left w:val="none" w:color="000000" w:sz="4" w:space="0"/>
              <w:bottom w:val="single" w:color="000000" w:sz="4" w:space="0"/>
              <w:right w:val="single" w:color="000000" w:sz="4" w:space="0"/>
            </w:tcBorders>
            <w:tcW w:w="224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实报内容</w:t>
            </w:r>
            <w:r/>
          </w:p>
        </w:tc>
        <w:tc>
          <w:tcPr>
            <w:shd w:val="clear" w:color="auto" w:fill="auto"/>
            <w:tcBorders>
              <w:top w:val="single" w:color="000000" w:sz="4" w:space="0"/>
              <w:left w:val="none" w:color="000000" w:sz="4" w:space="0"/>
              <w:bottom w:val="single" w:color="000000" w:sz="4" w:space="0"/>
              <w:right w:val="single" w:color="000000" w:sz="4" w:space="0"/>
            </w:tcBorders>
            <w:tcW w:w="26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偏离说明</w:t>
            </w:r>
            <w:r/>
          </w:p>
        </w:tc>
      </w:tr>
      <w:tr>
        <w:trPr>
          <w:cantSplit/>
          <w:trHeight w:val="510"/>
        </w:trPr>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技术部分</w:t>
            </w:r>
            <w:r/>
          </w:p>
        </w:tc>
        <w:tc>
          <w:tcPr>
            <w:shd w:val="clear" w:color="auto" w:fill="auto"/>
            <w:tcBorders>
              <w:top w:val="single" w:color="000000" w:sz="4" w:space="0"/>
              <w:left w:val="none" w:color="000000" w:sz="4" w:space="0"/>
              <w:bottom w:val="single" w:color="000000" w:sz="4" w:space="0"/>
              <w:right w:val="single" w:color="000000" w:sz="4" w:space="0"/>
            </w:tcBorders>
            <w:tcW w:w="233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224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26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r>
      <w:tr>
        <w:trPr>
          <w:cantSplit/>
          <w:trHeight w:val="510"/>
        </w:trPr>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233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224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26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r>
      <w:tr>
        <w:trPr>
          <w:cantSplit/>
          <w:trHeight w:val="510"/>
        </w:trPr>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商务部分</w:t>
            </w:r>
            <w:r/>
          </w:p>
        </w:tc>
        <w:tc>
          <w:tcPr>
            <w:shd w:val="clear" w:color="auto" w:fill="auto"/>
            <w:tcBorders>
              <w:top w:val="single" w:color="000000" w:sz="4" w:space="0"/>
              <w:left w:val="none" w:color="000000" w:sz="4" w:space="0"/>
              <w:bottom w:val="single" w:color="000000" w:sz="4" w:space="0"/>
              <w:right w:val="single" w:color="000000" w:sz="4" w:space="0"/>
            </w:tcBorders>
            <w:tcW w:w="233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224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响应第三章项目要求和有关说明中商务部分</w:t>
            </w:r>
            <w:r/>
          </w:p>
        </w:tc>
        <w:tc>
          <w:tcPr>
            <w:shd w:val="clear" w:color="auto" w:fill="auto"/>
            <w:tcBorders>
              <w:top w:val="single" w:color="000000" w:sz="4" w:space="0"/>
              <w:left w:val="none" w:color="000000" w:sz="4" w:space="0"/>
              <w:bottom w:val="single" w:color="000000" w:sz="4" w:space="0"/>
              <w:right w:val="single" w:color="000000" w:sz="4" w:space="0"/>
            </w:tcBorders>
            <w:tcW w:w="26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r>
    </w:tbl>
    <w:p>
      <w:pPr>
        <w:ind w:left="0" w:right="0"/>
        <w:jc w:val="both"/>
        <w:keepLines w:val="0"/>
        <w:keepNext w:val="0"/>
        <w:spacing w:before="0" w:beforeAutospacing="0" w:after="0" w:afterAutospacing="0"/>
        <w:widowControl w:val="off"/>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lang w:val="en-US" w:eastAsia="zh-CN" w:bidi="ar"/>
        </w:rPr>
        <w:t xml:space="preserve">注：（1）本表不得删除；</w:t>
      </w:r>
      <w:r/>
    </w:p>
    <w:p>
      <w:pPr>
        <w:ind w:left="0" w:right="0" w:firstLine="480"/>
        <w:jc w:val="both"/>
        <w:keepLines w:val="0"/>
        <w:keepNext w:val="0"/>
        <w:spacing w:before="0" w:beforeAutospacing="0" w:after="0" w:afterAutospacing="0"/>
        <w:widowControl w:val="off"/>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lang w:val="en-US" w:eastAsia="zh-CN" w:bidi="ar"/>
        </w:rPr>
        <w:t xml:space="preserve">（2）如无任何偏离，请于本表 “偏离说明”中注明“无偏离”；</w:t>
      </w:r>
      <w:r/>
    </w:p>
    <w:p>
      <w:pPr>
        <w:ind w:left="0" w:right="0" w:firstLine="480"/>
        <w:jc w:val="both"/>
        <w:keepLines w:val="0"/>
        <w:keepNext w:val="0"/>
        <w:spacing w:before="0" w:beforeAutospacing="0" w:after="0" w:afterAutospacing="0"/>
        <w:widowControl w:val="off"/>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lang w:val="en-US" w:eastAsia="zh-CN" w:bidi="ar"/>
        </w:rPr>
        <w:t xml:space="preserve">（3）如有偏离项，请于本表中列明偏离内容，如需要可自行延长，其余无偏离内容无需赘述；</w:t>
      </w:r>
      <w:r/>
    </w:p>
    <w:p>
      <w:pPr>
        <w:ind w:left="0" w:right="0" w:firstLine="480"/>
        <w:jc w:val="both"/>
        <w:keepLines w:val="0"/>
        <w:keepNext w:val="0"/>
        <w:spacing w:before="0" w:beforeAutospacing="0" w:after="0" w:afterAutospacing="0"/>
        <w:widowControl w:val="off"/>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lang w:val="en-US" w:eastAsia="zh-CN" w:bidi="ar"/>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left="0" w:right="0" w:firstLine="480"/>
        <w:jc w:val="both"/>
        <w:keepLines w:val="0"/>
        <w:keepNext w:val="0"/>
        <w:spacing w:before="0" w:beforeAutospacing="0" w:after="0" w:afterAutospacing="0"/>
        <w:widowControl w:val="off"/>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lang w:val="en-US" w:eastAsia="zh-CN" w:bidi="ar"/>
        </w:rPr>
        <w:t xml:space="preserve">（5）表格不够可自行延长，但不得改变文本格式。</w:t>
      </w:r>
      <w:r/>
    </w:p>
    <w:p>
      <w:pPr>
        <w:ind w:left="0" w:right="0"/>
        <w:jc w:val="center"/>
        <w:keepLines w:val="0"/>
        <w:keepNext w:val="0"/>
        <w:spacing w:before="0" w:beforeAutospacing="0" w:after="0" w:afterAutospacing="0" w:line="400" w:lineRule="exact"/>
        <w:widowControl w:val="off"/>
        <w:rPr>
          <w:rFonts w:hint="eastAsia" w:ascii="黑体" w:hAnsi="Times New Roman" w:eastAsia="黑体" w:cs="Times New Roman"/>
          <w:bCs/>
          <w:color w:val="auto"/>
          <w:sz w:val="28"/>
          <w:szCs w:val="28"/>
          <w:highlight w:val="none"/>
        </w:rPr>
        <w:outlineLvl w:val="0"/>
        <w:suppressLineNumbers w:val="0"/>
      </w:pPr>
      <w:r>
        <w:rPr>
          <w:rFonts w:hint="eastAsia" w:ascii="黑体" w:hAnsi="Times New Roman" w:eastAsia="黑体" w:cs="Times New Roman"/>
          <w:bCs/>
          <w:color w:val="auto"/>
          <w:sz w:val="28"/>
          <w:szCs w:val="28"/>
          <w:highlight w:val="none"/>
          <w:lang w:val="en-US" w:eastAsia="zh-CN" w:bidi="ar"/>
        </w:rPr>
        <w:t xml:space="preserve"> </w:t>
      </w:r>
      <w:r/>
    </w:p>
    <w:p>
      <w:pPr>
        <w:ind w:left="0" w:right="0"/>
        <w:jc w:val="center"/>
        <w:keepLines w:val="0"/>
        <w:keepNext w:val="0"/>
        <w:spacing w:before="0" w:beforeAutospacing="0" w:after="0" w:afterAutospacing="0" w:line="400" w:lineRule="exact"/>
        <w:widowControl w:val="off"/>
        <w:rPr>
          <w:rFonts w:hint="eastAsia" w:ascii="黑体" w:hAnsi="Times New Roman" w:eastAsia="黑体" w:cs="Times New Roman"/>
          <w:bCs/>
          <w:color w:val="auto"/>
          <w:sz w:val="28"/>
          <w:szCs w:val="28"/>
          <w:highlight w:val="none"/>
        </w:rPr>
        <w:outlineLvl w:val="0"/>
        <w:suppressLineNumbers w:val="0"/>
      </w:pPr>
      <w:r>
        <w:rPr>
          <w:rFonts w:hint="eastAsia" w:ascii="黑体" w:hAnsi="Times New Roman" w:eastAsia="黑体" w:cs="Times New Roman"/>
          <w:bCs/>
          <w:color w:val="auto"/>
          <w:sz w:val="28"/>
          <w:szCs w:val="28"/>
          <w:highlight w:val="none"/>
          <w:lang w:val="en-US" w:eastAsia="zh-CN" w:bidi="ar"/>
        </w:rPr>
        <w:t xml:space="preserve"> </w:t>
      </w:r>
      <w:r/>
    </w:p>
    <w:p>
      <w:pPr>
        <w:ind w:left="0" w:right="0"/>
        <w:jc w:val="center"/>
        <w:keepLines w:val="0"/>
        <w:keepNext w:val="0"/>
        <w:spacing w:before="0" w:beforeAutospacing="0" w:after="0" w:afterAutospacing="0" w:line="400" w:lineRule="exact"/>
        <w:widowControl w:val="off"/>
        <w:rPr>
          <w:rFonts w:hint="eastAsia" w:ascii="黑体" w:hAnsi="Times New Roman" w:eastAsia="黑体" w:cs="Times New Roman"/>
          <w:bCs/>
          <w:color w:val="auto"/>
          <w:sz w:val="28"/>
          <w:szCs w:val="28"/>
          <w:highlight w:val="none"/>
        </w:rPr>
        <w:outlineLvl w:val="0"/>
        <w:suppressLineNumbers w:val="0"/>
      </w:pPr>
      <w:r>
        <w:rPr>
          <w:rFonts w:hint="eastAsia" w:ascii="黑体" w:hAnsi="Times New Roman" w:eastAsia="黑体" w:cs="Times New Roman"/>
          <w:bCs/>
          <w:color w:val="auto"/>
          <w:sz w:val="28"/>
          <w:szCs w:val="28"/>
          <w:highlight w:val="none"/>
          <w:lang w:val="en-US" w:eastAsia="zh-CN" w:bidi="ar"/>
        </w:rPr>
        <w:t xml:space="preserve"> </w:t>
      </w:r>
      <w:r/>
    </w:p>
    <w:p>
      <w:pPr>
        <w:ind w:left="0" w:right="0"/>
        <w:jc w:val="center"/>
        <w:keepLines w:val="0"/>
        <w:keepNext w:val="0"/>
        <w:spacing w:before="0" w:beforeAutospacing="0" w:after="0" w:afterAutospacing="0" w:line="400" w:lineRule="exact"/>
        <w:widowControl w:val="off"/>
        <w:rPr>
          <w:rFonts w:hint="eastAsia" w:ascii="黑体" w:hAnsi="Times New Roman" w:eastAsia="黑体" w:cs="Times New Roman"/>
          <w:bCs/>
          <w:color w:val="auto"/>
          <w:sz w:val="28"/>
          <w:szCs w:val="28"/>
          <w:highlight w:val="none"/>
        </w:rPr>
        <w:outlineLvl w:val="0"/>
        <w:suppressLineNumbers w:val="0"/>
      </w:pPr>
      <w:r>
        <w:rPr>
          <w:rFonts w:hint="eastAsia" w:ascii="黑体" w:hAnsi="Times New Roman" w:eastAsia="黑体" w:cs="Times New Roman"/>
          <w:bCs/>
          <w:color w:val="auto"/>
          <w:sz w:val="28"/>
          <w:szCs w:val="28"/>
          <w:highlight w:val="none"/>
          <w:lang w:val="en-US" w:eastAsia="zh-CN" w:bidi="ar"/>
        </w:rPr>
        <w:t xml:space="preserve"> </w:t>
      </w:r>
      <w:r/>
    </w:p>
    <w:p>
      <w:pPr>
        <w:rPr>
          <w:rFonts w:hint="eastAsia" w:ascii="黑体" w:hAnsi="宋体" w:eastAsia="黑体" w:cs="Times New Roman"/>
          <w:bCs/>
          <w:color w:val="auto"/>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pPr>
      <w:r>
        <w:rPr>
          <w:rFonts w:hint="eastAsia" w:ascii="黑体" w:hAnsi="宋体" w:eastAsia="黑体" w:cs="Times New Roman"/>
          <w:bCs/>
          <w:color w:val="auto"/>
          <w:sz w:val="24"/>
          <w:szCs w:val="24"/>
          <w:highlight w:val="none"/>
        </w:rPr>
      </w:r>
      <w:r/>
    </w:p>
    <w:p>
      <w:pPr>
        <w:ind w:left="0" w:right="0"/>
        <w:jc w:val="both"/>
        <w:keepLines w:val="0"/>
        <w:keepNext w:val="0"/>
        <w:spacing w:before="0" w:beforeAutospacing="0" w:after="0" w:afterAutospacing="0"/>
        <w:widowControl w:val="off"/>
        <w:rPr>
          <w:rFonts w:hint="eastAsia" w:ascii="黑体" w:hAnsi="宋体" w:eastAsia="黑体" w:cs="Times New Roman"/>
          <w:bCs/>
          <w:color w:val="auto"/>
          <w:sz w:val="24"/>
          <w:szCs w:val="24"/>
          <w:highlight w:val="none"/>
        </w:rPr>
        <w:outlineLvl w:val="2"/>
        <w:suppressLineNumbers w:val="0"/>
      </w:pPr>
      <w:r>
        <w:rPr>
          <w:rFonts w:hint="eastAsia" w:ascii="黑体" w:hAnsi="宋体" w:eastAsia="黑体" w:cs="黑体"/>
          <w:bCs/>
          <w:color w:val="auto"/>
          <w:sz w:val="24"/>
          <w:szCs w:val="24"/>
          <w:highlight w:val="none"/>
          <w:lang w:val="en-US" w:eastAsia="zh-CN" w:bidi="ar"/>
        </w:rPr>
        <w:t xml:space="preserve">（十）投标供应商基本情况表（格式）</w:t>
      </w:r>
      <w:r/>
    </w:p>
    <w:p>
      <w:pPr>
        <w:pStyle w:val="828"/>
        <w:ind w:left="0" w:right="0" w:firstLine="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黑体" w:hAnsi="宋体" w:eastAsia="黑体" w:cs="黑体"/>
          <w:bCs/>
          <w:color w:val="auto"/>
          <w:sz w:val="28"/>
          <w:szCs w:val="28"/>
          <w:highlight w:val="none"/>
          <w:lang w:val="en-US" w:eastAsia="zh-CN" w:bidi="ar"/>
        </w:rPr>
        <w:t xml:space="preserve">投标供应商基本情况表</w:t>
      </w:r>
      <w:r/>
    </w:p>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4"/>
          <w:szCs w:val="24"/>
          <w:highlight w:val="none"/>
          <w:lang w:val="en-US" w:eastAsia="zh-CN" w:bidi="ar"/>
        </w:rPr>
        <w:t xml:space="preserve">单位名称：（公章）</w:t>
      </w:r>
      <w:r>
        <w:rPr>
          <w:rFonts w:hint="eastAsia" w:ascii="宋体" w:hAnsi="宋体" w:eastAsia="宋体" w:cs="宋体"/>
          <w:color w:val="auto"/>
          <w:sz w:val="21"/>
          <w:szCs w:val="21"/>
          <w:highlight w:val="none"/>
          <w:lang w:val="en-US" w:eastAsia="zh-CN" w:bidi="ar"/>
        </w:rPr>
        <w:t xml:space="preserve"> </w:t>
      </w:r>
      <w:r/>
    </w:p>
    <w:tbl>
      <w:tblPr>
        <w:tblStyle w:val="808"/>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法定代表人</w:t>
            </w:r>
            <w:r/>
          </w:p>
        </w:tc>
        <w:tc>
          <w:tcPr>
            <w:shd w:val="clear" w:color="auto" w:fill="auto"/>
            <w:tcBorders>
              <w:top w:val="single" w:color="000000" w:sz="6" w:space="0"/>
              <w:left w:val="single" w:color="000000" w:sz="6" w:space="0"/>
              <w:bottom w:val="single" w:color="000000" w:sz="6" w:space="0"/>
              <w:right w:val="single" w:color="000000" w:sz="6" w:space="0"/>
            </w:tcBorders>
            <w:tcW w:w="1925"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1537"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成立日期</w:t>
            </w:r>
            <w:r/>
          </w:p>
        </w:tc>
        <w:tc>
          <w:tcPr>
            <w:shd w:val="clear" w:color="auto" w:fill="auto"/>
            <w:tcBorders>
              <w:top w:val="single" w:color="000000" w:sz="6" w:space="0"/>
              <w:left w:val="single" w:color="000000" w:sz="6" w:space="0"/>
              <w:bottom w:val="single" w:color="000000" w:sz="6" w:space="0"/>
              <w:right w:val="single" w:color="000000" w:sz="6" w:space="0"/>
            </w:tcBorders>
            <w:tcW w:w="3216"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cantSplit/>
          <w:jc w:val="center"/>
          <w:trHeight w:val="503"/>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企业地址</w:t>
            </w:r>
            <w:r/>
          </w:p>
        </w:tc>
        <w:tc>
          <w:tcPr>
            <w:shd w:val="clear" w:color="auto" w:fill="auto"/>
            <w:tcBorders>
              <w:top w:val="single" w:color="000000" w:sz="6" w:space="0"/>
              <w:left w:val="single" w:color="000000" w:sz="6" w:space="0"/>
              <w:bottom w:val="single" w:color="000000" w:sz="6" w:space="0"/>
              <w:right w:val="single" w:color="000000" w:sz="6" w:space="0"/>
            </w:tcBorders>
            <w:tcW w:w="1925"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1537"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注册资本</w:t>
            </w:r>
            <w:r/>
          </w:p>
        </w:tc>
        <w:tc>
          <w:tcPr>
            <w:shd w:val="clear" w:color="auto" w:fill="auto"/>
            <w:tcBorders>
              <w:top w:val="single" w:color="000000" w:sz="6" w:space="0"/>
              <w:left w:val="single" w:color="000000" w:sz="6" w:space="0"/>
              <w:bottom w:val="single" w:color="000000" w:sz="6" w:space="0"/>
              <w:right w:val="single" w:color="000000" w:sz="6" w:space="0"/>
            </w:tcBorders>
            <w:tcW w:w="3216" w:type="dxa"/>
            <w:vAlign w:val="top"/>
            <w:textDirection w:val="lrTb"/>
            <w:noWrap w:val="false"/>
          </w:tcPr>
          <w:p>
            <w:pPr>
              <w:ind w:left="0" w:right="0" w:firstLine="216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万元</w:t>
            </w:r>
            <w:r/>
          </w:p>
        </w:tc>
      </w:tr>
      <w:tr>
        <w:trPr>
          <w:cantSplit/>
          <w:jc w:val="center"/>
          <w:trHeight w:val="528"/>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经营范围</w:t>
            </w:r>
            <w:r/>
          </w:p>
        </w:tc>
        <w:tc>
          <w:tcPr>
            <w:gridSpan w:val="3"/>
            <w:shd w:val="clear" w:color="auto" w:fill="auto"/>
            <w:tcBorders>
              <w:top w:val="single" w:color="000000" w:sz="6" w:space="0"/>
              <w:left w:val="single" w:color="000000" w:sz="6" w:space="0"/>
              <w:bottom w:val="single" w:color="000000" w:sz="6" w:space="0"/>
              <w:right w:val="single" w:color="000000" w:sz="6" w:space="0"/>
            </w:tcBorders>
            <w:tcW w:w="6678"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cantSplit/>
          <w:jc w:val="center"/>
          <w:trHeight w:val="541"/>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开户行</w:t>
            </w:r>
            <w:r/>
          </w:p>
        </w:tc>
        <w:tc>
          <w:tcPr>
            <w:shd w:val="clear" w:color="auto" w:fill="auto"/>
            <w:tcBorders>
              <w:top w:val="single" w:color="000000" w:sz="6" w:space="0"/>
              <w:left w:val="single" w:color="000000" w:sz="6" w:space="0"/>
              <w:bottom w:val="single" w:color="000000" w:sz="6" w:space="0"/>
              <w:right w:val="single" w:color="000000" w:sz="6" w:space="0"/>
            </w:tcBorders>
            <w:tcW w:w="1925"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1537"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银行账号</w:t>
            </w:r>
            <w:r/>
          </w:p>
        </w:tc>
        <w:tc>
          <w:tcPr>
            <w:shd w:val="clear" w:color="auto" w:fill="auto"/>
            <w:tcBorders>
              <w:top w:val="single" w:color="000000" w:sz="6" w:space="0"/>
              <w:left w:val="single" w:color="000000" w:sz="6" w:space="0"/>
              <w:bottom w:val="single" w:color="000000" w:sz="6" w:space="0"/>
              <w:right w:val="single" w:color="000000" w:sz="6" w:space="0"/>
            </w:tcBorders>
            <w:tcW w:w="3216"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cantSplit/>
          <w:jc w:val="center"/>
          <w:trHeight w:val="541"/>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center"/>
            <w:textDirection w:val="lrTb"/>
            <w:noWrap w:val="false"/>
          </w:tcPr>
          <w:p>
            <w:pPr>
              <w:ind w:left="0" w:right="0"/>
              <w:jc w:val="both"/>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资产总计</w:t>
            </w:r>
            <w:r/>
          </w:p>
        </w:tc>
        <w:tc>
          <w:tcPr>
            <w:shd w:val="clear" w:color="auto" w:fill="auto"/>
            <w:tcBorders>
              <w:top w:val="single" w:color="000000" w:sz="6" w:space="0"/>
              <w:left w:val="single" w:color="000000" w:sz="6" w:space="0"/>
              <w:bottom w:val="single" w:color="000000" w:sz="6" w:space="0"/>
              <w:right w:val="single" w:color="000000" w:sz="6" w:space="0"/>
            </w:tcBorders>
            <w:tcW w:w="1925" w:type="dxa"/>
            <w:vAlign w:val="center"/>
            <w:textDirection w:val="lrTb"/>
            <w:noWrap w:val="false"/>
          </w:tcPr>
          <w:p>
            <w:pPr>
              <w:ind w:left="0" w:right="0"/>
              <w:jc w:val="center"/>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      万元</w:t>
            </w:r>
            <w:r/>
          </w:p>
        </w:tc>
        <w:tc>
          <w:tcPr>
            <w:shd w:val="clear" w:color="auto" w:fill="auto"/>
            <w:tcBorders>
              <w:top w:val="single" w:color="000000" w:sz="6" w:space="0"/>
              <w:left w:val="single" w:color="000000" w:sz="6" w:space="0"/>
              <w:bottom w:val="single" w:color="000000" w:sz="6" w:space="0"/>
              <w:right w:val="single" w:color="000000" w:sz="6" w:space="0"/>
            </w:tcBorders>
            <w:tcW w:w="1537" w:type="dxa"/>
            <w:vAlign w:val="center"/>
            <w:textDirection w:val="lrTb"/>
            <w:noWrap w:val="false"/>
          </w:tcPr>
          <w:p>
            <w:pPr>
              <w:ind w:left="0" w:right="0"/>
              <w:jc w:val="both"/>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净资产</w:t>
            </w:r>
            <w:r/>
          </w:p>
        </w:tc>
        <w:tc>
          <w:tcPr>
            <w:shd w:val="clear" w:color="auto" w:fill="auto"/>
            <w:tcBorders>
              <w:top w:val="single" w:color="000000" w:sz="6" w:space="0"/>
              <w:left w:val="single" w:color="000000" w:sz="6" w:space="0"/>
              <w:bottom w:val="single" w:color="000000" w:sz="6" w:space="0"/>
              <w:right w:val="single" w:color="000000" w:sz="6" w:space="0"/>
            </w:tcBorders>
            <w:tcW w:w="3216" w:type="dxa"/>
            <w:vAlign w:val="center"/>
            <w:textDirection w:val="lrTb"/>
            <w:noWrap w:val="false"/>
          </w:tcPr>
          <w:p>
            <w:pPr>
              <w:ind w:left="0" w:right="0"/>
              <w:jc w:val="center"/>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万元</w:t>
            </w:r>
            <w:r/>
          </w:p>
        </w:tc>
      </w:tr>
      <w:tr>
        <w:trPr>
          <w:cantSplit/>
          <w:jc w:val="center"/>
          <w:trHeight w:val="515"/>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center"/>
            <w:textDirection w:val="lrTb"/>
            <w:noWrap w:val="false"/>
          </w:tcPr>
          <w:p>
            <w:pPr>
              <w:ind w:left="0" w:right="0"/>
              <w:jc w:val="both"/>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股东权益</w:t>
            </w:r>
            <w:r/>
          </w:p>
        </w:tc>
        <w:tc>
          <w:tcPr>
            <w:shd w:val="clear" w:color="auto" w:fill="auto"/>
            <w:tcBorders>
              <w:top w:val="single" w:color="000000" w:sz="6" w:space="0"/>
              <w:left w:val="single" w:color="000000" w:sz="6" w:space="0"/>
              <w:bottom w:val="single" w:color="000000" w:sz="6" w:space="0"/>
              <w:right w:val="single" w:color="000000" w:sz="6" w:space="0"/>
            </w:tcBorders>
            <w:tcW w:w="1925" w:type="dxa"/>
            <w:vAlign w:val="center"/>
            <w:textDirection w:val="lrTb"/>
            <w:noWrap w:val="false"/>
          </w:tcPr>
          <w:p>
            <w:pPr>
              <w:ind w:left="0" w:right="0"/>
              <w:jc w:val="center"/>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     万元</w:t>
            </w:r>
            <w:r/>
          </w:p>
        </w:tc>
        <w:tc>
          <w:tcPr>
            <w:shd w:val="clear" w:color="auto" w:fill="auto"/>
            <w:tcBorders>
              <w:top w:val="single" w:color="000000" w:sz="6" w:space="0"/>
              <w:left w:val="single" w:color="000000" w:sz="6" w:space="0"/>
              <w:bottom w:val="single" w:color="000000" w:sz="6" w:space="0"/>
              <w:right w:val="single" w:color="000000" w:sz="6" w:space="0"/>
            </w:tcBorders>
            <w:tcW w:w="1537" w:type="dxa"/>
            <w:vAlign w:val="center"/>
            <w:textDirection w:val="lrTb"/>
            <w:noWrap w:val="false"/>
          </w:tcPr>
          <w:p>
            <w:pPr>
              <w:ind w:left="0" w:right="0"/>
              <w:jc w:val="both"/>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主营收入</w:t>
            </w:r>
            <w:r/>
          </w:p>
        </w:tc>
        <w:tc>
          <w:tcPr>
            <w:shd w:val="clear" w:color="auto" w:fill="auto"/>
            <w:tcBorders>
              <w:top w:val="single" w:color="000000" w:sz="6" w:space="0"/>
              <w:left w:val="single" w:color="000000" w:sz="6" w:space="0"/>
              <w:bottom w:val="single" w:color="000000" w:sz="6" w:space="0"/>
              <w:right w:val="single" w:color="000000" w:sz="6" w:space="0"/>
            </w:tcBorders>
            <w:tcW w:w="3216" w:type="dxa"/>
            <w:vAlign w:val="center"/>
            <w:textDirection w:val="lrTb"/>
            <w:noWrap w:val="false"/>
          </w:tcPr>
          <w:p>
            <w:pPr>
              <w:ind w:left="0" w:right="0"/>
              <w:jc w:val="center"/>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2025年     万元</w:t>
            </w:r>
            <w:r/>
          </w:p>
        </w:tc>
      </w:tr>
      <w:tr>
        <w:trPr>
          <w:cantSplit/>
          <w:jc w:val="center"/>
          <w:trHeight w:val="564"/>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实现利润</w:t>
            </w:r>
            <w:r/>
          </w:p>
        </w:tc>
        <w:tc>
          <w:tcPr>
            <w:shd w:val="clear" w:color="auto" w:fill="auto"/>
            <w:tcBorders>
              <w:top w:val="single" w:color="000000" w:sz="6" w:space="0"/>
              <w:left w:val="single" w:color="000000" w:sz="6" w:space="0"/>
              <w:bottom w:val="single" w:color="000000" w:sz="6" w:space="0"/>
              <w:right w:val="single" w:color="000000" w:sz="6" w:space="0"/>
            </w:tcBorders>
            <w:tcW w:w="1925"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2025年     万元</w:t>
            </w:r>
            <w:r/>
          </w:p>
        </w:tc>
        <w:tc>
          <w:tcPr>
            <w:shd w:val="clear" w:color="auto" w:fill="auto"/>
            <w:tcBorders>
              <w:top w:val="single" w:color="000000" w:sz="6" w:space="0"/>
              <w:left w:val="single" w:color="000000" w:sz="6" w:space="0"/>
              <w:bottom w:val="single" w:color="000000" w:sz="6" w:space="0"/>
              <w:right w:val="single" w:color="000000" w:sz="6" w:space="0"/>
            </w:tcBorders>
            <w:tcW w:w="1537"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3216"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cantSplit/>
          <w:jc w:val="center"/>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营业面积</w:t>
            </w:r>
            <w:r/>
          </w:p>
        </w:tc>
        <w:tc>
          <w:tcPr>
            <w:shd w:val="clear" w:color="auto" w:fill="auto"/>
            <w:tcBorders>
              <w:top w:val="single" w:color="000000" w:sz="6" w:space="0"/>
              <w:left w:val="single" w:color="000000" w:sz="6" w:space="0"/>
              <w:bottom w:val="single" w:color="000000" w:sz="6" w:space="0"/>
              <w:right w:val="single" w:color="000000" w:sz="6" w:space="0"/>
            </w:tcBorders>
            <w:tcW w:w="1925" w:type="dxa"/>
            <w:vAlign w:val="center"/>
            <w:textDirection w:val="lrTb"/>
            <w:noWrap w:val="false"/>
          </w:tcPr>
          <w:p>
            <w:pPr>
              <w:ind w:left="0" w:right="0"/>
              <w:jc w:val="both"/>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         平方米</w:t>
            </w:r>
            <w:r/>
          </w:p>
        </w:tc>
        <w:tc>
          <w:tcPr>
            <w:shd w:val="clear" w:color="auto" w:fill="auto"/>
            <w:tcBorders>
              <w:top w:val="single" w:color="000000" w:sz="6" w:space="0"/>
              <w:left w:val="single" w:color="000000" w:sz="6" w:space="0"/>
              <w:bottom w:val="single" w:color="000000" w:sz="6" w:space="0"/>
              <w:right w:val="single" w:color="000000" w:sz="6" w:space="0"/>
            </w:tcBorders>
            <w:tcW w:w="1537"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其中：</w:t>
            </w:r>
            <w:r/>
          </w:p>
        </w:tc>
        <w:tc>
          <w:tcPr>
            <w:shd w:val="clear" w:color="auto" w:fill="auto"/>
            <w:tcBorders>
              <w:top w:val="single" w:color="000000" w:sz="6" w:space="0"/>
              <w:left w:val="single" w:color="000000" w:sz="6" w:space="0"/>
              <w:bottom w:val="single" w:color="000000" w:sz="6" w:space="0"/>
              <w:right w:val="single" w:color="000000" w:sz="6" w:space="0"/>
            </w:tcBorders>
            <w:tcW w:w="3216"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自有面积平方米</w:t>
            </w:r>
            <w:r/>
          </w:p>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承租面积平方米</w:t>
            </w:r>
            <w:r/>
          </w:p>
        </w:tc>
      </w:tr>
      <w:tr>
        <w:trPr>
          <w:cantSplit/>
          <w:jc w:val="center"/>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单位简历及内设机构情况</w:t>
            </w:r>
            <w:r/>
          </w:p>
        </w:tc>
        <w:tc>
          <w:tcPr>
            <w:gridSpan w:val="3"/>
            <w:shd w:val="clear" w:color="auto" w:fill="auto"/>
            <w:tcBorders>
              <w:top w:val="single" w:color="000000" w:sz="6" w:space="0"/>
              <w:left w:val="single" w:color="000000" w:sz="6" w:space="0"/>
              <w:bottom w:val="single" w:color="000000" w:sz="6" w:space="0"/>
              <w:right w:val="single" w:color="000000" w:sz="6" w:space="0"/>
            </w:tcBorders>
            <w:tcW w:w="6678"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cantSplit/>
          <w:jc w:val="center"/>
          <w:trHeight w:val="703"/>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单位优势及特长</w:t>
            </w:r>
            <w:r/>
          </w:p>
        </w:tc>
        <w:tc>
          <w:tcPr>
            <w:gridSpan w:val="3"/>
            <w:shd w:val="clear" w:color="auto" w:fill="auto"/>
            <w:tcBorders>
              <w:top w:val="single" w:color="000000" w:sz="6" w:space="0"/>
              <w:left w:val="single" w:color="000000" w:sz="6" w:space="0"/>
              <w:bottom w:val="single" w:color="000000" w:sz="6" w:space="0"/>
              <w:right w:val="single" w:color="000000" w:sz="6" w:space="0"/>
            </w:tcBorders>
            <w:tcW w:w="6678"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cantSplit/>
          <w:jc w:val="center"/>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近三年来完成或正在履行的重大合同情况</w:t>
            </w:r>
            <w:r/>
          </w:p>
        </w:tc>
        <w:tc>
          <w:tcPr>
            <w:gridSpan w:val="3"/>
            <w:shd w:val="clear" w:color="auto" w:fill="auto"/>
            <w:tcBorders>
              <w:top w:val="single" w:color="000000" w:sz="6" w:space="0"/>
              <w:left w:val="single" w:color="000000" w:sz="6" w:space="0"/>
              <w:bottom w:val="single" w:color="000000" w:sz="6" w:space="0"/>
              <w:right w:val="single" w:color="000000" w:sz="6" w:space="0"/>
            </w:tcBorders>
            <w:tcW w:w="6678"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cantSplit/>
          <w:jc w:val="center"/>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最近2年内在经营过程中受到何种奖励或处分</w:t>
            </w:r>
            <w:r/>
          </w:p>
        </w:tc>
        <w:tc>
          <w:tcPr>
            <w:gridSpan w:val="3"/>
            <w:shd w:val="clear" w:color="auto" w:fill="auto"/>
            <w:tcBorders>
              <w:top w:val="single" w:color="000000" w:sz="6" w:space="0"/>
              <w:left w:val="single" w:color="000000" w:sz="6" w:space="0"/>
              <w:bottom w:val="single" w:color="000000" w:sz="6" w:space="0"/>
              <w:right w:val="single" w:color="000000" w:sz="6" w:space="0"/>
            </w:tcBorders>
            <w:tcW w:w="6678"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（包括财政、工商、税务、物价、技监部门稽查情况和结果）</w:t>
            </w:r>
            <w:r/>
          </w:p>
        </w:tc>
      </w:tr>
      <w:tr>
        <w:trPr>
          <w:cantSplit/>
          <w:jc w:val="center"/>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最近3年内有无因售假、售劣或是其他原因被消费者投诉或起诉的情况及说明</w:t>
            </w:r>
            <w:r/>
          </w:p>
        </w:tc>
        <w:tc>
          <w:tcPr>
            <w:gridSpan w:val="3"/>
            <w:shd w:val="clear" w:color="auto" w:fill="auto"/>
            <w:tcBorders>
              <w:top w:val="single" w:color="000000" w:sz="6" w:space="0"/>
              <w:left w:val="single" w:color="000000" w:sz="6" w:space="0"/>
              <w:bottom w:val="single" w:color="000000" w:sz="6" w:space="0"/>
              <w:right w:val="single" w:color="000000" w:sz="6" w:space="0"/>
            </w:tcBorders>
            <w:tcW w:w="6678"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（包括解决方式和结果）</w:t>
            </w:r>
            <w:r/>
          </w:p>
        </w:tc>
      </w:tr>
      <w:tr>
        <w:trPr>
          <w:cantSplit/>
          <w:jc w:val="center"/>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参加政府采购活动前三年内，在经营活动中有无重大违法记录情况及说明</w:t>
            </w:r>
            <w:r/>
          </w:p>
        </w:tc>
        <w:tc>
          <w:tcPr>
            <w:gridSpan w:val="3"/>
            <w:shd w:val="clear" w:color="auto" w:fill="auto"/>
            <w:tcBorders>
              <w:top w:val="single" w:color="000000" w:sz="6" w:space="0"/>
              <w:left w:val="single" w:color="000000" w:sz="6" w:space="0"/>
              <w:bottom w:val="single" w:color="000000" w:sz="6" w:space="0"/>
              <w:right w:val="single" w:color="000000" w:sz="6" w:space="0"/>
            </w:tcBorders>
            <w:tcW w:w="6678"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cantSplit/>
          <w:jc w:val="center"/>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获得技术认证的工程师及简介</w:t>
            </w:r>
            <w:r/>
          </w:p>
        </w:tc>
        <w:tc>
          <w:tcPr>
            <w:gridSpan w:val="3"/>
            <w:shd w:val="clear" w:color="auto" w:fill="auto"/>
            <w:tcBorders>
              <w:top w:val="single" w:color="000000" w:sz="6" w:space="0"/>
              <w:left w:val="single" w:color="000000" w:sz="6" w:space="0"/>
              <w:bottom w:val="single" w:color="000000" w:sz="6" w:space="0"/>
              <w:right w:val="single" w:color="000000" w:sz="6" w:space="0"/>
            </w:tcBorders>
            <w:tcW w:w="6678"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cantSplit/>
          <w:jc w:val="center"/>
          <w:trHeight w:val="947"/>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其他需要说明的情况</w:t>
            </w:r>
            <w:r/>
          </w:p>
        </w:tc>
        <w:tc>
          <w:tcPr>
            <w:gridSpan w:val="3"/>
            <w:shd w:val="clear" w:color="auto" w:fill="auto"/>
            <w:tcBorders>
              <w:top w:val="single" w:color="000000" w:sz="6" w:space="0"/>
              <w:left w:val="single" w:color="000000" w:sz="6" w:space="0"/>
              <w:bottom w:val="single" w:color="000000" w:sz="6" w:space="0"/>
              <w:right w:val="single" w:color="000000" w:sz="6" w:space="0"/>
            </w:tcBorders>
            <w:tcW w:w="6678"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bl>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w:t>
      </w:r>
      <w:r/>
    </w:p>
    <w:p>
      <w:pPr>
        <w:pStyle w:val="828"/>
        <w:ind w:left="0" w:right="0" w:firstLine="0"/>
        <w:jc w:val="both"/>
        <w:keepLines w:val="0"/>
        <w:keepNext w:val="0"/>
        <w:spacing w:before="0" w:beforeAutospacing="1" w:after="120" w:afterAutospacing="0"/>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黑体" w:hAnsi="宋体" w:eastAsia="黑体" w:cs="Times New Roman"/>
          <w:bCs/>
          <w:color w:val="auto"/>
          <w:sz w:val="24"/>
          <w:szCs w:val="24"/>
          <w:highlight w:val="none"/>
        </w:rPr>
        <w:outlineLvl w:val="2"/>
        <w:suppressLineNumbers w:val="0"/>
      </w:pPr>
      <w:r>
        <w:rPr>
          <w:rFonts w:hint="eastAsia" w:ascii="黑体" w:hAnsi="宋体" w:eastAsia="黑体" w:cs="黑体"/>
          <w:bCs/>
          <w:color w:val="auto"/>
          <w:sz w:val="24"/>
          <w:szCs w:val="24"/>
          <w:highlight w:val="none"/>
          <w:lang w:val="en-US" w:eastAsia="zh-CN" w:bidi="ar"/>
        </w:rPr>
        <w:t xml:space="preserve">（十一）关于符合本国产品标准的声明函（格式）：</w:t>
      </w:r>
      <w:r/>
    </w:p>
    <w:p>
      <w:pPr>
        <w:ind w:left="0" w:right="0" w:firstLine="0"/>
        <w:jc w:val="center"/>
        <w:keepLines w:val="0"/>
        <w:keepNext w:val="0"/>
        <w:spacing w:before="0" w:beforeAutospacing="0" w:after="0" w:afterAutospacing="0"/>
        <w:widowControl w:val="off"/>
        <w:rPr>
          <w:rFonts w:hint="eastAsia" w:ascii="宋体" w:hAnsi="宋体" w:eastAsia="宋体" w:cs="宋体"/>
          <w:bCs/>
          <w:color w:val="auto"/>
          <w:sz w:val="24"/>
          <w:szCs w:val="24"/>
          <w:highlight w:val="none"/>
          <w:shd w:val="clear" w:color="auto" w:fill="ffffff"/>
        </w:rPr>
        <w:suppressLineNumbers w:val="0"/>
      </w:pPr>
      <w:r>
        <w:rPr>
          <w:rFonts w:hint="eastAsia" w:ascii="黑体" w:hAnsi="宋体" w:eastAsia="黑体" w:cs="黑体"/>
          <w:bCs/>
          <w:color w:val="auto"/>
          <w:sz w:val="28"/>
          <w:szCs w:val="28"/>
          <w:highlight w:val="none"/>
          <w:lang w:val="en-US" w:eastAsia="zh-CN" w:bidi="ar"/>
        </w:rPr>
        <w:t xml:space="preserve">关于符合本国产品标准的声明函</w:t>
      </w:r>
      <w:r/>
    </w:p>
    <w:p>
      <w:pPr>
        <w:pStyle w:val="828"/>
        <w:ind w:left="0" w:right="0" w:firstLine="420"/>
        <w:jc w:val="left"/>
        <w:keepLines w:val="0"/>
        <w:keepNext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shd w:val="clear" w:color="auto" w:fill="ffffff"/>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8"/>
        <w:ind w:left="0" w:right="0" w:firstLine="420"/>
        <w:jc w:val="left"/>
        <w:keepLines w:val="0"/>
        <w:keepNext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shd w:val="clear" w:color="auto" w:fill="ffffff"/>
          <w:lang w:val="en-US" w:eastAsia="zh-CN" w:bidi="ar"/>
        </w:rPr>
        <w:t xml:space="preserve">1.（产品名称1）¹，生产厂为（厂名）²，厂址为（生产厂址）。（产品名称1）的中国境内生产的组件成本占比≥（规定比例）³。（产品名称1）的（关键组件）⁴在中国境内生产。（产品名称1）的（关键工序）⁵在中国境内完成。</w:t>
      </w:r>
      <w:r/>
    </w:p>
    <w:p>
      <w:pPr>
        <w:pStyle w:val="828"/>
        <w:ind w:left="0" w:right="0" w:firstLine="420"/>
        <w:jc w:val="left"/>
        <w:keepLines w:val="0"/>
        <w:keepNext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shd w:val="clear" w:color="auto" w:fill="ffffff"/>
          <w:lang w:val="en-US" w:eastAsia="zh-CN" w:bidi="ar"/>
        </w:rPr>
        <w:t xml:space="preserve">2.（产品名称2），生产厂为（厂名），厂址为（生产厂址）。（产品名称2）的中国境内生产的组件成本占比≥（规定比例）。（产品名称2）的（关键组件）在中国境内生产。（产品名称2）的（关键工序）在中国境内完成。</w:t>
      </w:r>
      <w:r/>
    </w:p>
    <w:p>
      <w:pPr>
        <w:pStyle w:val="828"/>
        <w:ind w:left="0" w:right="0" w:firstLine="420"/>
        <w:jc w:val="left"/>
        <w:keepLines w:val="0"/>
        <w:keepNext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shd w:val="clear" w:color="auto" w:fill="ffffff"/>
          <w:lang w:val="en-US" w:eastAsia="zh-CN" w:bidi="ar"/>
        </w:rPr>
        <w:t xml:space="preserve">……</w:t>
      </w:r>
      <w:r/>
    </w:p>
    <w:p>
      <w:pPr>
        <w:pStyle w:val="828"/>
        <w:ind w:left="0" w:right="0" w:firstLine="420"/>
        <w:jc w:val="left"/>
        <w:keepLines w:val="0"/>
        <w:keepNext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shd w:val="clear" w:color="auto" w:fill="ffffff"/>
          <w:lang w:val="en-US" w:eastAsia="zh-CN" w:bidi="ar"/>
        </w:rPr>
        <w:t xml:space="preserve">本公司（单位）对上述声明内容的真实性负责。如有虚假，愿承担相应法律责任。</w:t>
      </w:r>
      <w:r/>
    </w:p>
    <w:p>
      <w:pPr>
        <w:pStyle w:val="828"/>
        <w:ind w:left="0" w:right="0" w:firstLine="420"/>
        <w:jc w:val="right"/>
        <w:keepLines w:val="0"/>
        <w:keepNext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shd w:val="clear" w:color="auto" w:fill="ffffff"/>
          <w:lang w:val="en-US" w:eastAsia="zh-CN" w:bidi="ar"/>
        </w:rPr>
        <w:t xml:space="preserve">公司（单位）名称（盖章）：      </w:t>
      </w:r>
      <w:r/>
    </w:p>
    <w:p>
      <w:pPr>
        <w:pStyle w:val="828"/>
        <w:ind w:left="0" w:right="0" w:firstLine="420"/>
        <w:jc w:val="right"/>
        <w:keepLines w:val="0"/>
        <w:keepNext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shd w:val="clear" w:color="auto" w:fill="ffffff"/>
          <w:lang w:val="en-US" w:eastAsia="zh-CN" w:bidi="ar"/>
        </w:rPr>
        <w:t xml:space="preserve">日期：     年  月 日</w:t>
      </w:r>
      <w:r/>
    </w:p>
    <w:p>
      <w:pPr>
        <w:ind w:left="0" w:right="0"/>
        <w:jc w:val="both"/>
        <w:keepLines w:val="0"/>
        <w:keepNext w:val="0"/>
        <w:spacing w:before="0" w:beforeAutospacing="0" w:after="0" w:afterAutospacing="0"/>
        <w:widowControl w:val="off"/>
        <w:tabs>
          <w:tab w:val="center" w:pos="487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widowControl w:val="off"/>
        <w:tabs>
          <w:tab w:val="center" w:pos="487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lang w:val="en-US" w:eastAsia="zh-CN" w:bidi="ar"/>
        </w:rPr>
        <w:t xml:space="preserve"> </w:t>
      </w:r>
      <w:r/>
    </w:p>
    <w:p>
      <w:pPr>
        <w:pStyle w:val="828"/>
        <w:ind w:left="440" w:right="0" w:hanging="440"/>
        <w:jc w:val="both"/>
        <w:keepLines w:val="0"/>
        <w:keepNext w:val="0"/>
        <w:spacing w:before="0" w:beforeAutospacing="1" w:after="0" w:afterAutospacing="1"/>
        <w:widowControl/>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bidi="ar"/>
        </w:rPr>
        <w:t xml:space="preserve">注：</w:t>
      </w:r>
      <w:r/>
    </w:p>
    <w:p>
      <w:pPr>
        <w:pStyle w:val="828"/>
        <w:ind w:left="440" w:right="0" w:hanging="440"/>
        <w:jc w:val="both"/>
        <w:keepLines w:val="0"/>
        <w:keepNext w:val="0"/>
        <w:spacing w:before="0" w:beforeAutospacing="1" w:after="0" w:afterAutospacing="1"/>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1.产品如有型号，请在“产品名称”栏一并填写。</w:t>
      </w:r>
      <w:r/>
    </w:p>
    <w:p>
      <w:pPr>
        <w:pStyle w:val="828"/>
        <w:ind w:left="440" w:right="0" w:hanging="440"/>
        <w:jc w:val="both"/>
        <w:keepLines w:val="0"/>
        <w:keepNext w:val="0"/>
        <w:spacing w:before="0" w:beforeAutospacing="1" w:after="0" w:afterAutospacing="1"/>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2.生产厂名与厂址应与生产厂营业执照载明的相关信息保持一致。</w:t>
      </w:r>
      <w:r/>
    </w:p>
    <w:p>
      <w:pPr>
        <w:pStyle w:val="828"/>
        <w:ind w:left="440" w:right="0" w:hanging="440"/>
        <w:jc w:val="both"/>
        <w:keepLines w:val="0"/>
        <w:keepNext w:val="0"/>
        <w:spacing w:before="0" w:beforeAutospacing="1" w:after="0" w:afterAutospacing="1"/>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3.该产品的中国境内生产的组件成本占比相关要求实施前，“规定比例”栏可不填，下同。</w:t>
      </w:r>
      <w:r/>
    </w:p>
    <w:p>
      <w:pPr>
        <w:pStyle w:val="828"/>
        <w:ind w:left="0" w:right="0" w:firstLine="0"/>
        <w:jc w:val="both"/>
        <w:keepLines w:val="0"/>
        <w:keepNext w:val="0"/>
        <w:spacing w:before="0" w:beforeAutospacing="1" w:after="0" w:afterAutospacing="1"/>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（在分产品确定的中国境内生产组件成本占比要求正式实施前，只要产品符合“在中华人民共和国关境内完成制造、加工或组装”的基本条件，即可视同为本国产品，无需填写具体的比例数值）</w:t>
      </w:r>
      <w:r/>
    </w:p>
    <w:p>
      <w:pPr>
        <w:pStyle w:val="828"/>
        <w:ind w:left="440" w:right="0" w:hanging="440"/>
        <w:jc w:val="both"/>
        <w:keepLines w:val="0"/>
        <w:keepNext w:val="0"/>
        <w:spacing w:before="0" w:beforeAutospacing="1" w:after="0" w:afterAutospacing="1"/>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4.该产品的关键组件要求实施前，“关键组件”栏可不填，下同。</w:t>
      </w:r>
      <w:r/>
    </w:p>
    <w:p>
      <w:pPr>
        <w:pStyle w:val="828"/>
        <w:ind w:left="440" w:right="0" w:hanging="440"/>
        <w:jc w:val="both"/>
        <w:keepLines w:val="0"/>
        <w:keepNext w:val="0"/>
        <w:spacing w:before="0" w:beforeAutospacing="1" w:after="0" w:afterAutospacing="1"/>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5.该产品的关键工序要求实施前，“关键工序”栏可不填，下同。</w:t>
      </w:r>
      <w:r/>
    </w:p>
    <w:p>
      <w:pPr>
        <w:ind w:left="0" w:right="0"/>
        <w:jc w:val="both"/>
        <w:keepLines w:val="0"/>
        <w:keepNext w:val="0"/>
        <w:spacing w:before="0" w:beforeAutospacing="0" w:after="0" w:afterAutospacing="0"/>
        <w:widowControl w:val="off"/>
        <w:rPr>
          <w:rFonts w:hint="eastAsia" w:ascii="黑体" w:hAnsi="宋体" w:eastAsia="黑体" w:cs="Times New Roman"/>
          <w:bCs/>
          <w:color w:val="auto"/>
          <w:sz w:val="24"/>
          <w:szCs w:val="24"/>
          <w:highlight w:val="none"/>
        </w:rPr>
        <w:outlineLvl w:val="2"/>
        <w:suppressLineNumbers w:val="0"/>
      </w:pPr>
      <w:r>
        <w:rPr>
          <w:rFonts w:hint="eastAsia" w:ascii="黑体" w:hAnsi="宋体" w:eastAsia="黑体" w:cs="Times New Roman"/>
          <w:bCs/>
          <w:color w:val="auto"/>
          <w:sz w:val="24"/>
          <w:szCs w:val="24"/>
          <w:highlight w:val="none"/>
        </w:rPr>
      </w:r>
      <w:r/>
    </w:p>
    <w:p>
      <w:pPr>
        <w:pStyle w:val="1382"/>
        <w:rPr>
          <w:color w:val="auto"/>
          <w:highlight w:val="none"/>
        </w:rPr>
      </w:pPr>
      <w:r>
        <w:rPr>
          <w:color w:val="auto"/>
          <w:highlight w:val="none"/>
        </w:rPr>
      </w:r>
      <w:r/>
    </w:p>
    <w:sectPr>
      <w:footnotePr/>
      <w:endnotePr/>
      <w:type w:val="nextPage"/>
      <w:pgSz w:w="11905" w:h="16838" w:orient="portrait"/>
      <w:pgMar w:top="1417" w:right="1134" w:bottom="1134" w:left="1134"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楷体_GB2312">
    <w:panose1 w:val="02010609060101010101"/>
  </w:font>
  <w:font w:name="华文楷体">
    <w:panose1 w:val="02010600040101010101"/>
  </w:font>
  <w:font w:name="Wingdings">
    <w:panose1 w:val="05000000000000000000"/>
  </w:font>
  <w:font w:name="Arial Unicode MS">
    <w:panose1 w:val="020B0604020202020204"/>
  </w:font>
  <w:font w:name="方正小标宋_GBK">
    <w:panose1 w:val="020B0503020202020204"/>
  </w:font>
  <w:font w:name="Symbol">
    <w:panose1 w:val="05050102010706020507"/>
  </w:font>
  <w:font w:name="新宋体">
    <w:panose1 w:val="02010609030101010101"/>
  </w:font>
  <w:font w:name="MingLiU">
    <w:panose1 w:val="02020500000000000000"/>
  </w:font>
  <w:font w:name="PMingLiU">
    <w:panose1 w:val="02020500000000000000"/>
  </w:font>
  <w:font w:name="华文细黑">
    <w:panose1 w:val="02010600040101010101"/>
  </w:font>
  <w:font w:name="Tahoma">
    <w:panose1 w:val="020B0604030504040204"/>
  </w:font>
  <w:font w:name="等线">
    <w:panose1 w:val="02010600030101010101"/>
  </w:font>
  <w:font w:name="仿宋">
    <w:panose1 w:val="02010609060101010101"/>
  </w:font>
  <w:font w:name="Cambria">
    <w:panose1 w:val="02040503050406030204"/>
  </w:font>
  <w:font w:name="Helvetica Neue">
    <w:panose1 w:val="020B0503020202020204"/>
  </w:font>
  <w:font w:name="微软雅黑">
    <w:panose1 w:val="020B0503020204020204"/>
  </w:font>
  <w:font w:name="Calibri">
    <w:panose1 w:val="020F0502020204030204"/>
  </w:font>
  <w:font w:name="文鼎小标宋简">
    <w:panose1 w:val="020B0503020202020204"/>
  </w:font>
  <w:font w:name="Courier New">
    <w:panose1 w:val="02070309020205020404"/>
  </w:font>
  <w:font w:name="Gungsuh">
    <w:panose1 w:val="02010600040101010101"/>
  </w:font>
  <w:font w:name=".PingFang SC">
    <w:panose1 w:val="020B0503020202020204"/>
  </w:font>
  <w:font w:name="MS Sans Serif">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1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18"/>
                          </w:pPr>
                          <w:r>
                            <w:fldChar w:fldCharType="begin"/>
                          </w:r>
                          <w:r>
                            <w:instrText xml:space="preserve"> PAGE  \* MERGEFORMAT </w:instrText>
                          </w:r>
                          <w:r>
                            <w:fldChar w:fldCharType="separate"/>
                          </w:r>
                          <w:r>
                            <w:t xml:space="preserve">20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18"/>
                          </w:pPr>
                          <w:r>
                            <w:fldChar w:fldCharType="begin"/>
                          </w:r>
                          <w:r>
                            <w:instrText xml:space="preserve"> PAGE  \* MERGEFORMAT </w:instrText>
                          </w:r>
                          <w:r>
                            <w:fldChar w:fldCharType="separate"/>
                          </w:r>
                          <w:r>
                            <w:t xml:space="preserve">32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center"/>
      <w:spacing w:line="240" w:lineRule="auto"/>
      <w:rPr>
        <w:rFonts w:hint="eastAsia" w:eastAsia="楷体_GB2312"/>
        <w:lang w:eastAsia="zh-CN"/>
      </w:rPr>
    </w:pPr>
    <w:r>
      <w:rPr>
        <w:rFonts w:hint="eastAsia" w:eastAsia="楷体_GB2312" w:cs="Times New Roman"/>
        <w:i w:val="0"/>
        <w:iCs w:val="0"/>
        <w:caps w:val="0"/>
        <w:spacing w:val="0"/>
        <w:sz w:val="22"/>
        <w:szCs w:val="21"/>
        <w:shd w:val="clear" w:color="auto"/>
        <w:lang w:eastAsia="zh-CN"/>
      </w:rPr>
      <w:t xml:space="preserve">JSZC-320205-WXXG-G2026-0010</w:t>
    </w:r>
    <w:r>
      <w:rPr>
        <w:rFonts w:hint="eastAsia" w:eastAsia="楷体_GB2312"/>
        <w:sz w:val="22"/>
        <w:szCs w:val="21"/>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szCs w:val="21"/>
        <w:lang w:eastAsia="zh-CN"/>
      </w:rPr>
      <w:t xml:space="preserve">江苏省锡东高级中学大成分校实验室采购项目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ind w:left="5520" w:hanging="5520"/>
      <w:jc w:val="both"/>
      <w:spacing w:line="240" w:lineRule="auto"/>
      <w:rPr>
        <w:rFonts w:hint="eastAsia" w:eastAsia="楷体_GB2312"/>
        <w:sz w:val="20"/>
        <w:lang w:eastAsia="zh-CN"/>
      </w:rPr>
    </w:pPr>
    <w:r>
      <w:rPr>
        <w:rFonts w:hint="eastAsia" w:eastAsia="楷体_GB2312"/>
        <w:sz w:val="24"/>
        <w:szCs w:val="16"/>
        <w:lang w:eastAsia="zh-CN"/>
      </w:rPr>
      <w:t xml:space="preserve">JSZC-320205-WXXG-G2026-0010</w:t>
    </w:r>
    <w:r>
      <w:rPr>
        <w:rFonts w:eastAsia="楷体_GB2312"/>
        <w:sz w:val="28"/>
      </w:rPr>
      <w:t xml:space="preserve"> </w:t>
    </w:r>
    <w:r>
      <w:rPr>
        <w:rFonts w:hint="eastAsia" w:eastAsia="楷体_GB2312"/>
        <w:sz w:val="22"/>
      </w:rPr>
      <w:t xml:space="preserve">                </w:t>
    </w:r>
    <w:r>
      <w:rPr>
        <w:rFonts w:hint="eastAsia" w:eastAsia="楷体_GB2312"/>
        <w:sz w:val="22"/>
        <w:szCs w:val="21"/>
        <w:lang w:eastAsia="zh-CN"/>
      </w:rPr>
      <w:t xml:space="preserve">江苏省锡东高级中学大成分校实验室采购项目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552" w:hanging="420"/>
        <w:tabs>
          <w:tab w:val="left" w:pos="552" w:leader="none"/>
        </w:tabs>
      </w:pPr>
      <w:rPr>
        <w:rFonts w:hint="default" w:ascii="Times New Roman" w:hAnsi="Times New Roman" w:cs="Times New Roman"/>
        <w:color w:val="000000"/>
      </w:rPr>
    </w:lvl>
    <w:lvl w:ilvl="1">
      <w:start w:val="1"/>
      <w:numFmt w:val="lowerLetter"/>
      <w:isLgl w:val="false"/>
      <w:suff w:val="tab"/>
      <w:lvlText w:val="%2)"/>
      <w:lvlJc w:val="left"/>
      <w:pPr>
        <w:ind w:left="840" w:hanging="420"/>
        <w:tabs>
          <w:tab w:val="left" w:pos="840" w:leader="none"/>
        </w:tabs>
      </w:pPr>
      <w:rPr>
        <w:rFonts w:hint="default" w:ascii="Times New Roman" w:hAnsi="Times New Roman" w:cs="Times New Roman"/>
      </w:rPr>
    </w:lvl>
    <w:lvl w:ilvl="2">
      <w:start w:val="10"/>
      <w:numFmt w:val="decimal"/>
      <w:isLgl w:val="false"/>
      <w:suff w:val="tab"/>
      <w:lvlText w:val="%3."/>
      <w:lvlJc w:val="left"/>
      <w:pPr>
        <w:ind w:left="1200" w:hanging="360"/>
        <w:tabs>
          <w:tab w:val="left" w:pos="1200" w:leader="none"/>
        </w:tabs>
      </w:pPr>
      <w:rPr>
        <w:rFonts w:hint="default" w:ascii="Times New Roman" w:hAnsi="Times New Roman" w:cs="Times New Roman"/>
      </w:rPr>
    </w:lvl>
    <w:lvl w:ilvl="3">
      <w:start w:val="1"/>
      <w:numFmt w:val="decimal"/>
      <w:isLgl w:val="false"/>
      <w:suff w:val="tab"/>
      <w:lvlText w:val="%4."/>
      <w:lvlJc w:val="left"/>
      <w:pPr>
        <w:ind w:left="1680" w:hanging="420"/>
        <w:tabs>
          <w:tab w:val="left" w:pos="1680" w:leader="none"/>
        </w:tabs>
      </w:pPr>
      <w:rPr>
        <w:rFonts w:hint="default" w:ascii="Times New Roman" w:hAnsi="Times New Roman" w:cs="Times New Roman"/>
      </w:rPr>
    </w:lvl>
    <w:lvl w:ilvl="4">
      <w:start w:val="1"/>
      <w:numFmt w:val="lowerLetter"/>
      <w:isLgl w:val="false"/>
      <w:suff w:val="tab"/>
      <w:lvlText w:val="%5)"/>
      <w:lvlJc w:val="left"/>
      <w:pPr>
        <w:ind w:left="2100" w:hanging="420"/>
        <w:tabs>
          <w:tab w:val="left" w:pos="2100" w:leader="none"/>
        </w:tabs>
      </w:pPr>
      <w:rPr>
        <w:rFonts w:hint="default" w:ascii="Times New Roman" w:hAnsi="Times New Roman" w:cs="Times New Roman"/>
      </w:rPr>
    </w:lvl>
    <w:lvl w:ilvl="5">
      <w:start w:val="1"/>
      <w:numFmt w:val="lowerRoman"/>
      <w:isLgl w:val="false"/>
      <w:suff w:val="tab"/>
      <w:lvlText w:val="%6."/>
      <w:lvlJc w:val="right"/>
      <w:pPr>
        <w:ind w:left="2520" w:hanging="420"/>
        <w:tabs>
          <w:tab w:val="left" w:pos="2520" w:leader="none"/>
        </w:tabs>
      </w:pPr>
      <w:rPr>
        <w:rFonts w:hint="default" w:ascii="Times New Roman" w:hAnsi="Times New Roman" w:cs="Times New Roman"/>
      </w:rPr>
    </w:lvl>
    <w:lvl w:ilvl="6">
      <w:start w:val="1"/>
      <w:numFmt w:val="decimal"/>
      <w:isLgl w:val="false"/>
      <w:suff w:val="tab"/>
      <w:lvlText w:val="%7."/>
      <w:lvlJc w:val="left"/>
      <w:pPr>
        <w:ind w:left="2940" w:hanging="420"/>
        <w:tabs>
          <w:tab w:val="left" w:pos="2940" w:leader="none"/>
        </w:tabs>
      </w:pPr>
      <w:rPr>
        <w:rFonts w:hint="default" w:ascii="Times New Roman" w:hAnsi="Times New Roman" w:cs="Times New Roman"/>
      </w:rPr>
    </w:lvl>
    <w:lvl w:ilvl="7">
      <w:start w:val="1"/>
      <w:numFmt w:val="lowerLetter"/>
      <w:isLgl w:val="false"/>
      <w:suff w:val="tab"/>
      <w:lvlText w:val="%8)"/>
      <w:lvlJc w:val="left"/>
      <w:pPr>
        <w:ind w:left="3360" w:hanging="420"/>
        <w:tabs>
          <w:tab w:val="left" w:pos="3360" w:leader="none"/>
        </w:tabs>
      </w:pPr>
      <w:rPr>
        <w:rFonts w:hint="default" w:ascii="Times New Roman" w:hAnsi="Times New Roman" w:cs="Times New Roman"/>
      </w:rPr>
    </w:lvl>
    <w:lvl w:ilvl="8">
      <w:start w:val="1"/>
      <w:numFmt w:val="lowerRoman"/>
      <w:isLgl w:val="false"/>
      <w:suff w:val="tab"/>
      <w:lvlText w:val="%9."/>
      <w:lvlJc w:val="right"/>
      <w:pPr>
        <w:ind w:left="3780" w:hanging="420"/>
        <w:tabs>
          <w:tab w:val="left" w:pos="3780" w:leader="none"/>
        </w:tabs>
      </w:pPr>
      <w:rPr>
        <w:rFonts w:hint="default" w:ascii="Times New Roman" w:hAnsi="Times New Roman" w:cs="Times New Roman"/>
      </w:rPr>
    </w:lvl>
  </w:abstractNum>
  <w:abstractNum w:abstractNumId="2">
    <w:multiLevelType w:val="hybridMultilevel"/>
    <w:lvl w:ilvl="0">
      <w:start w:val="447"/>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442"/>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1"/>
      <w:numFmt w:val="decimal"/>
      <w:pStyle w:val="1264"/>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1"/>
      <w:numFmt w:val="decimal"/>
      <w:isLgl w:val="false"/>
      <w:suff w:val="space"/>
      <w:lvlText w:val="%1."/>
      <w:lvlJc w:val="left"/>
      <w:pPr>
        <w:ind w:left="900" w:hanging="420"/>
      </w:pPr>
      <w:rPr>
        <w:rFonts w:hint="default" w:ascii="宋体" w:hAnsi="宋体" w:eastAsia="宋体" w:cs="宋体"/>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pStyle w:val="1242"/>
      <w:isLgl w:val="false"/>
      <w:suff w:val="tab"/>
      <w:lvlText w:val="%1)"/>
      <w:lvlJc w:val="left"/>
      <w:pPr>
        <w:ind w:left="420" w:firstLine="0"/>
      </w:pPr>
      <w:rPr>
        <w:rFonts w:hint="eastAsia"/>
      </w:r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8">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chineseCounting"/>
      <w:isLgl w:val="false"/>
      <w:suff w:val="nothing"/>
      <w:lvlText w:val="（%1）"/>
      <w:lvlJc w:val="left"/>
      <w:pPr>
        <w:ind w:left="60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2">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378"/>
      <w:isLgl w:val="false"/>
      <w:suff w:val="tab"/>
      <w:lvlText w:val="%1、"/>
      <w:lvlJc w:val="left"/>
      <w:pPr>
        <w:ind w:left="360" w:hanging="360"/>
        <w:tabs>
          <w:tab w:val="left" w:pos="360" w:leader="none"/>
        </w:tabs>
      </w:pPr>
    </w:lvl>
    <w:lvl w:ilvl="1">
      <w:start w:val="1"/>
      <w:numFmt w:val="lowerLetter"/>
      <w:pStyle w:val="1467"/>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5"/>
  </w:num>
  <w:num w:numId="4">
    <w:abstractNumId w:val="3"/>
  </w:num>
  <w:num w:numId="5">
    <w:abstractNumId w:val="9"/>
  </w:num>
  <w:num w:numId="6">
    <w:abstractNumId w:val="11"/>
  </w:num>
  <w:num w:numId="7">
    <w:abstractNumId w:val="5"/>
  </w:num>
  <w:num w:numId="8">
    <w:abstractNumId w:val="8"/>
  </w:num>
  <w:num w:numId="9">
    <w:abstractNumId w:val="12"/>
  </w:num>
  <w:num w:numId="10">
    <w:abstractNumId w:val="2"/>
  </w:num>
  <w:num w:numId="11">
    <w:abstractNumId w:val="16"/>
  </w:num>
  <w:num w:numId="12">
    <w:abstractNumId w:val="10"/>
  </w:num>
  <w:num w:numId="13">
    <w:abstractNumId w:val="14"/>
  </w:num>
  <w:num w:numId="14">
    <w:abstractNumId w:val="6"/>
  </w:num>
  <w:num w:numId="15">
    <w:abstractNumId w:val="0"/>
  </w:num>
  <w:num w:numId="16">
    <w:abstractNumId w:val="13"/>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7" w:default="1">
    <w:name w:val="Normal"/>
    <w:uiPriority w:val="0"/>
    <w:qFormat/>
    <w:pPr>
      <w:jc w:val="both"/>
      <w:spacing w:line="360" w:lineRule="auto"/>
      <w:widowControl w:val="off"/>
    </w:pPr>
    <w:rPr>
      <w:rFonts w:hint="default" w:ascii="Times New Roman" w:hAnsi="Times New Roman" w:eastAsia="宋体" w:cs="Times New Roman"/>
      <w:sz w:val="21"/>
      <w:lang w:val="en-US" w:eastAsia="zh-CN" w:bidi="ar-SA"/>
    </w:rPr>
  </w:style>
  <w:style w:type="paragraph" w:styleId="798">
    <w:name w:val="Heading 1"/>
    <w:basedOn w:val="797"/>
    <w:next w:val="797"/>
    <w:link w:val="874"/>
    <w:uiPriority w:val="9"/>
    <w:qFormat/>
    <w:pPr>
      <w:keepLines/>
      <w:keepNext/>
      <w:spacing w:before="480" w:after="200"/>
      <w:outlineLvl w:val="0"/>
    </w:pPr>
    <w:rPr>
      <w:rFonts w:ascii="Arial" w:hAnsi="Arial" w:eastAsia="Arial" w:cs="Arial"/>
      <w:sz w:val="40"/>
      <w:szCs w:val="40"/>
    </w:rPr>
  </w:style>
  <w:style w:type="paragraph" w:styleId="799">
    <w:name w:val="Heading 2"/>
    <w:basedOn w:val="797"/>
    <w:next w:val="797"/>
    <w:link w:val="875"/>
    <w:uiPriority w:val="9"/>
    <w:unhideWhenUsed/>
    <w:qFormat/>
    <w:pPr>
      <w:keepLines/>
      <w:keepNext/>
      <w:spacing w:before="360" w:after="200"/>
      <w:outlineLvl w:val="1"/>
    </w:pPr>
    <w:rPr>
      <w:rFonts w:ascii="Arial" w:hAnsi="Arial" w:eastAsia="Arial" w:cs="Arial"/>
      <w:sz w:val="34"/>
    </w:rPr>
  </w:style>
  <w:style w:type="paragraph" w:styleId="800">
    <w:name w:val="Heading 3"/>
    <w:basedOn w:val="797"/>
    <w:next w:val="797"/>
    <w:link w:val="876"/>
    <w:uiPriority w:val="9"/>
    <w:unhideWhenUsed/>
    <w:qFormat/>
    <w:pPr>
      <w:keepLines/>
      <w:keepNext/>
      <w:spacing w:before="320" w:after="200"/>
      <w:outlineLvl w:val="2"/>
    </w:pPr>
    <w:rPr>
      <w:rFonts w:ascii="Arial" w:hAnsi="Arial" w:eastAsia="Arial" w:cs="Arial"/>
      <w:sz w:val="30"/>
      <w:szCs w:val="30"/>
    </w:rPr>
  </w:style>
  <w:style w:type="paragraph" w:styleId="801">
    <w:name w:val="Heading 4"/>
    <w:basedOn w:val="797"/>
    <w:next w:val="797"/>
    <w:link w:val="877"/>
    <w:uiPriority w:val="9"/>
    <w:unhideWhenUsed/>
    <w:qFormat/>
    <w:pPr>
      <w:keepLines/>
      <w:keepNext/>
      <w:spacing w:before="320" w:after="200"/>
      <w:outlineLvl w:val="3"/>
    </w:pPr>
    <w:rPr>
      <w:rFonts w:ascii="Arial" w:hAnsi="Arial" w:eastAsia="Arial" w:cs="Arial"/>
      <w:b/>
      <w:bCs/>
      <w:sz w:val="26"/>
      <w:szCs w:val="26"/>
    </w:rPr>
  </w:style>
  <w:style w:type="paragraph" w:styleId="802">
    <w:name w:val="Heading 5"/>
    <w:basedOn w:val="797"/>
    <w:next w:val="797"/>
    <w:link w:val="878"/>
    <w:uiPriority w:val="9"/>
    <w:unhideWhenUsed/>
    <w:qFormat/>
    <w:pPr>
      <w:keepLines/>
      <w:keepNext/>
      <w:spacing w:before="320" w:after="200"/>
      <w:outlineLvl w:val="4"/>
    </w:pPr>
    <w:rPr>
      <w:rFonts w:ascii="Arial" w:hAnsi="Arial" w:eastAsia="Arial" w:cs="Arial"/>
      <w:b/>
      <w:bCs/>
      <w:sz w:val="24"/>
      <w:szCs w:val="24"/>
    </w:rPr>
  </w:style>
  <w:style w:type="paragraph" w:styleId="803">
    <w:name w:val="Heading 6"/>
    <w:basedOn w:val="797"/>
    <w:next w:val="797"/>
    <w:link w:val="879"/>
    <w:uiPriority w:val="9"/>
    <w:unhideWhenUsed/>
    <w:qFormat/>
    <w:pPr>
      <w:keepLines/>
      <w:keepNext/>
      <w:spacing w:before="320" w:after="200"/>
      <w:outlineLvl w:val="5"/>
    </w:pPr>
    <w:rPr>
      <w:rFonts w:ascii="Arial" w:hAnsi="Arial" w:eastAsia="Arial" w:cs="Arial"/>
      <w:b/>
      <w:bCs/>
      <w:sz w:val="22"/>
      <w:szCs w:val="22"/>
    </w:rPr>
  </w:style>
  <w:style w:type="paragraph" w:styleId="804">
    <w:name w:val="Heading 7"/>
    <w:basedOn w:val="797"/>
    <w:next w:val="797"/>
    <w:link w:val="880"/>
    <w:uiPriority w:val="9"/>
    <w:unhideWhenUsed/>
    <w:qFormat/>
    <w:pPr>
      <w:keepLines/>
      <w:keepNext/>
      <w:spacing w:before="320" w:after="200"/>
      <w:outlineLvl w:val="6"/>
    </w:pPr>
    <w:rPr>
      <w:rFonts w:ascii="Arial" w:hAnsi="Arial" w:eastAsia="Arial" w:cs="Arial"/>
      <w:b/>
      <w:bCs/>
      <w:i/>
      <w:iCs/>
      <w:sz w:val="22"/>
      <w:szCs w:val="22"/>
    </w:rPr>
  </w:style>
  <w:style w:type="paragraph" w:styleId="805">
    <w:name w:val="Heading 8"/>
    <w:basedOn w:val="797"/>
    <w:next w:val="797"/>
    <w:link w:val="881"/>
    <w:uiPriority w:val="9"/>
    <w:unhideWhenUsed/>
    <w:qFormat/>
    <w:pPr>
      <w:keepLines/>
      <w:keepNext/>
      <w:spacing w:before="320" w:after="200"/>
      <w:outlineLvl w:val="7"/>
    </w:pPr>
    <w:rPr>
      <w:rFonts w:ascii="Arial" w:hAnsi="Arial" w:eastAsia="Arial" w:cs="Arial"/>
      <w:i/>
      <w:iCs/>
      <w:sz w:val="22"/>
      <w:szCs w:val="22"/>
    </w:rPr>
  </w:style>
  <w:style w:type="paragraph" w:styleId="806">
    <w:name w:val="Heading 9"/>
    <w:basedOn w:val="797"/>
    <w:next w:val="797"/>
    <w:link w:val="882"/>
    <w:uiPriority w:val="9"/>
    <w:unhideWhenUsed/>
    <w:qFormat/>
    <w:pPr>
      <w:keepLines/>
      <w:keepNext/>
      <w:spacing w:before="320" w:after="200"/>
      <w:outlineLvl w:val="8"/>
    </w:pPr>
    <w:rPr>
      <w:rFonts w:ascii="Arial" w:hAnsi="Arial" w:eastAsia="Arial" w:cs="Arial"/>
      <w:i/>
      <w:iCs/>
      <w:szCs w:val="21"/>
    </w:rPr>
  </w:style>
  <w:style w:type="character" w:styleId="807" w:default="1">
    <w:name w:val="Default Paragraph Font"/>
    <w:uiPriority w:val="1"/>
    <w:semiHidden/>
    <w:unhideWhenUsed/>
    <w:qFormat/>
  </w:style>
  <w:style w:type="table" w:styleId="808"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09">
    <w:name w:val="toc 7"/>
    <w:basedOn w:val="797"/>
    <w:next w:val="797"/>
    <w:uiPriority w:val="39"/>
    <w:unhideWhenUsed/>
    <w:qFormat/>
    <w:pPr>
      <w:ind w:left="1701"/>
      <w:spacing w:after="57"/>
    </w:pPr>
  </w:style>
  <w:style w:type="paragraph" w:styleId="810">
    <w:name w:val="Caption"/>
    <w:basedOn w:val="797"/>
    <w:next w:val="797"/>
    <w:uiPriority w:val="35"/>
    <w:semiHidden/>
    <w:unhideWhenUsed/>
    <w:qFormat/>
    <w:pPr>
      <w:spacing w:line="276" w:lineRule="auto"/>
    </w:pPr>
    <w:rPr>
      <w:b/>
      <w:bCs/>
      <w:color w:val="4f81bd"/>
      <w:sz w:val="18"/>
      <w:szCs w:val="18"/>
    </w:rPr>
  </w:style>
  <w:style w:type="paragraph" w:styleId="811">
    <w:name w:val="annotation text"/>
    <w:basedOn w:val="797"/>
    <w:uiPriority w:val="99"/>
    <w:semiHidden/>
    <w:unhideWhenUsed/>
    <w:qFormat/>
    <w:pPr>
      <w:jc w:val="left"/>
    </w:pPr>
  </w:style>
  <w:style w:type="paragraph" w:styleId="812">
    <w:name w:val="Body Text"/>
    <w:basedOn w:val="797"/>
    <w:next w:val="797"/>
    <w:uiPriority w:val="99"/>
    <w:qFormat/>
    <w:rPr>
      <w:rFonts w:ascii="华文中宋" w:eastAsia="华文中宋"/>
      <w:bCs/>
      <w:sz w:val="28"/>
    </w:rPr>
  </w:style>
  <w:style w:type="paragraph" w:styleId="813">
    <w:name w:val="index 4"/>
    <w:basedOn w:val="797"/>
    <w:next w:val="797"/>
    <w:uiPriority w:val="99"/>
    <w:qFormat/>
    <w:pPr>
      <w:ind w:left="600"/>
    </w:pPr>
    <w:rPr>
      <w:szCs w:val="24"/>
    </w:rPr>
  </w:style>
  <w:style w:type="paragraph" w:styleId="814">
    <w:name w:val="toc 5"/>
    <w:basedOn w:val="797"/>
    <w:next w:val="797"/>
    <w:uiPriority w:val="39"/>
    <w:unhideWhenUsed/>
    <w:qFormat/>
    <w:pPr>
      <w:ind w:left="1134"/>
      <w:spacing w:after="57"/>
    </w:pPr>
  </w:style>
  <w:style w:type="paragraph" w:styleId="815">
    <w:name w:val="toc 3"/>
    <w:basedOn w:val="797"/>
    <w:next w:val="797"/>
    <w:uiPriority w:val="39"/>
    <w:unhideWhenUsed/>
    <w:qFormat/>
    <w:pPr>
      <w:ind w:left="567"/>
      <w:spacing w:after="57"/>
    </w:pPr>
  </w:style>
  <w:style w:type="paragraph" w:styleId="816">
    <w:name w:val="toc 8"/>
    <w:basedOn w:val="797"/>
    <w:next w:val="797"/>
    <w:uiPriority w:val="39"/>
    <w:unhideWhenUsed/>
    <w:qFormat/>
    <w:pPr>
      <w:ind w:left="1984"/>
      <w:spacing w:after="57"/>
    </w:pPr>
  </w:style>
  <w:style w:type="paragraph" w:styleId="817">
    <w:name w:val="endnote text"/>
    <w:basedOn w:val="797"/>
    <w:link w:val="1019"/>
    <w:uiPriority w:val="99"/>
    <w:semiHidden/>
    <w:unhideWhenUsed/>
    <w:qFormat/>
    <w:pPr>
      <w:spacing w:line="240" w:lineRule="auto"/>
    </w:pPr>
    <w:rPr>
      <w:sz w:val="20"/>
    </w:rPr>
  </w:style>
  <w:style w:type="paragraph" w:styleId="818">
    <w:name w:val="Footer"/>
    <w:basedOn w:val="797"/>
    <w:next w:val="797"/>
    <w:link w:val="892"/>
    <w:uiPriority w:val="99"/>
    <w:unhideWhenUsed/>
    <w:qFormat/>
    <w:pPr>
      <w:spacing w:line="240" w:lineRule="auto"/>
      <w:tabs>
        <w:tab w:val="center" w:pos="7143" w:leader="none"/>
        <w:tab w:val="right" w:pos="14287" w:leader="none"/>
      </w:tabs>
    </w:pPr>
  </w:style>
  <w:style w:type="paragraph" w:styleId="819">
    <w:name w:val="Header"/>
    <w:basedOn w:val="797"/>
    <w:link w:val="890"/>
    <w:uiPriority w:val="99"/>
    <w:unhideWhenUsed/>
    <w:qFormat/>
    <w:pPr>
      <w:spacing w:line="240" w:lineRule="auto"/>
      <w:tabs>
        <w:tab w:val="center" w:pos="7143" w:leader="none"/>
        <w:tab w:val="right" w:pos="14287" w:leader="none"/>
      </w:tabs>
    </w:pPr>
  </w:style>
  <w:style w:type="paragraph" w:styleId="820">
    <w:name w:val="toc 1"/>
    <w:basedOn w:val="797"/>
    <w:next w:val="797"/>
    <w:uiPriority w:val="39"/>
    <w:unhideWhenUsed/>
    <w:qFormat/>
    <w:pPr>
      <w:spacing w:after="57"/>
    </w:pPr>
  </w:style>
  <w:style w:type="paragraph" w:styleId="821">
    <w:name w:val="toc 4"/>
    <w:basedOn w:val="797"/>
    <w:next w:val="797"/>
    <w:uiPriority w:val="39"/>
    <w:unhideWhenUsed/>
    <w:qFormat/>
    <w:pPr>
      <w:ind w:left="850"/>
      <w:spacing w:after="57"/>
    </w:pPr>
  </w:style>
  <w:style w:type="paragraph" w:styleId="822">
    <w:name w:val="Subtitle"/>
    <w:basedOn w:val="797"/>
    <w:next w:val="797"/>
    <w:link w:val="885"/>
    <w:uiPriority w:val="11"/>
    <w:qFormat/>
    <w:pPr>
      <w:spacing w:before="200" w:after="200"/>
    </w:pPr>
    <w:rPr>
      <w:sz w:val="24"/>
      <w:szCs w:val="24"/>
    </w:rPr>
  </w:style>
  <w:style w:type="paragraph" w:styleId="823">
    <w:name w:val="footnote text"/>
    <w:basedOn w:val="797"/>
    <w:link w:val="1018"/>
    <w:uiPriority w:val="99"/>
    <w:semiHidden/>
    <w:unhideWhenUsed/>
    <w:qFormat/>
    <w:pPr>
      <w:spacing w:after="40" w:line="240" w:lineRule="auto"/>
    </w:pPr>
    <w:rPr>
      <w:sz w:val="18"/>
    </w:rPr>
  </w:style>
  <w:style w:type="paragraph" w:styleId="824">
    <w:name w:val="toc 6"/>
    <w:basedOn w:val="797"/>
    <w:next w:val="797"/>
    <w:uiPriority w:val="39"/>
    <w:unhideWhenUsed/>
    <w:qFormat/>
    <w:pPr>
      <w:ind w:left="1417"/>
      <w:spacing w:after="57"/>
    </w:pPr>
  </w:style>
  <w:style w:type="paragraph" w:styleId="825">
    <w:name w:val="table of figures"/>
    <w:basedOn w:val="797"/>
    <w:next w:val="797"/>
    <w:uiPriority w:val="99"/>
    <w:unhideWhenUsed/>
    <w:qFormat/>
  </w:style>
  <w:style w:type="paragraph" w:styleId="826">
    <w:name w:val="toc 2"/>
    <w:basedOn w:val="797"/>
    <w:next w:val="797"/>
    <w:uiPriority w:val="39"/>
    <w:unhideWhenUsed/>
    <w:qFormat/>
    <w:pPr>
      <w:ind w:left="283"/>
      <w:spacing w:after="57"/>
    </w:pPr>
  </w:style>
  <w:style w:type="paragraph" w:styleId="827">
    <w:name w:val="toc 9"/>
    <w:basedOn w:val="797"/>
    <w:next w:val="797"/>
    <w:uiPriority w:val="39"/>
    <w:unhideWhenUsed/>
    <w:qFormat/>
    <w:pPr>
      <w:ind w:left="2268"/>
      <w:spacing w:after="57"/>
    </w:pPr>
  </w:style>
  <w:style w:type="paragraph" w:styleId="828">
    <w:name w:val="Normal (Web)"/>
    <w:basedOn w:val="797"/>
    <w:uiPriority w:val="99"/>
    <w:qFormat/>
    <w:pPr>
      <w:ind w:firstLine="420"/>
      <w:jc w:val="left"/>
      <w:spacing w:beforeAutospacing="1" w:afterAutospacing="1" w:line="288" w:lineRule="auto"/>
      <w:widowControl/>
    </w:pPr>
    <w:rPr>
      <w:rFonts w:ascii="宋体" w:hAnsi="宋体"/>
      <w:sz w:val="24"/>
    </w:rPr>
  </w:style>
  <w:style w:type="paragraph" w:styleId="829">
    <w:name w:val="Title"/>
    <w:basedOn w:val="797"/>
    <w:next w:val="797"/>
    <w:link w:val="884"/>
    <w:uiPriority w:val="10"/>
    <w:qFormat/>
    <w:pPr>
      <w:contextualSpacing/>
      <w:spacing w:before="300" w:after="200"/>
    </w:pPr>
    <w:rPr>
      <w:sz w:val="48"/>
      <w:szCs w:val="48"/>
    </w:rPr>
  </w:style>
  <w:style w:type="table" w:styleId="8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1">
    <w:name w:val="endnote reference"/>
    <w:uiPriority w:val="99"/>
    <w:semiHidden/>
    <w:unhideWhenUsed/>
    <w:qFormat/>
    <w:rPr>
      <w:vertAlign w:val="superscript"/>
    </w:rPr>
  </w:style>
  <w:style w:type="character" w:styleId="832">
    <w:name w:val="Hyperlink"/>
    <w:uiPriority w:val="99"/>
    <w:unhideWhenUsed/>
    <w:qFormat/>
    <w:rPr>
      <w:color w:val="0000ff"/>
      <w:u w:val="single"/>
    </w:rPr>
  </w:style>
  <w:style w:type="character" w:styleId="833">
    <w:name w:val="annotation reference"/>
    <w:basedOn w:val="807"/>
    <w:uiPriority w:val="99"/>
    <w:semiHidden/>
    <w:unhideWhenUsed/>
    <w:qFormat/>
    <w:rPr>
      <w:sz w:val="21"/>
      <w:szCs w:val="21"/>
    </w:rPr>
  </w:style>
  <w:style w:type="character" w:styleId="834">
    <w:name w:val="footnote reference"/>
    <w:uiPriority w:val="99"/>
    <w:unhideWhenUsed/>
    <w:qFormat/>
    <w:rPr>
      <w:vertAlign w:val="superscript"/>
    </w:rPr>
  </w:style>
  <w:style w:type="paragraph" w:styleId="835" w:customStyle="1">
    <w:name w:val="索引 41"/>
    <w:basedOn w:val="797"/>
    <w:next w:val="797"/>
    <w:uiPriority w:val="99"/>
    <w:qFormat/>
    <w:pPr>
      <w:ind w:left="600"/>
    </w:pPr>
    <w:rPr>
      <w:szCs w:val="24"/>
    </w:rPr>
  </w:style>
  <w:style w:type="character" w:styleId="836" w:customStyle="1">
    <w:name w:val="Heading 1 Char"/>
    <w:basedOn w:val="807"/>
    <w:uiPriority w:val="9"/>
    <w:qFormat/>
    <w:rPr>
      <w:rFonts w:ascii="Arial" w:hAnsi="Arial" w:eastAsia="Arial" w:cs="Arial"/>
      <w:sz w:val="40"/>
      <w:szCs w:val="40"/>
    </w:rPr>
  </w:style>
  <w:style w:type="character" w:styleId="837" w:customStyle="1">
    <w:name w:val="Heading 2 Char"/>
    <w:basedOn w:val="807"/>
    <w:uiPriority w:val="9"/>
    <w:qFormat/>
    <w:rPr>
      <w:rFonts w:ascii="Arial" w:hAnsi="Arial" w:eastAsia="Arial" w:cs="Arial"/>
      <w:sz w:val="34"/>
    </w:rPr>
  </w:style>
  <w:style w:type="character" w:styleId="838" w:customStyle="1">
    <w:name w:val="Heading 3 Char"/>
    <w:basedOn w:val="807"/>
    <w:uiPriority w:val="9"/>
    <w:qFormat/>
    <w:rPr>
      <w:rFonts w:ascii="Arial" w:hAnsi="Arial" w:eastAsia="Arial" w:cs="Arial"/>
      <w:sz w:val="30"/>
      <w:szCs w:val="30"/>
    </w:rPr>
  </w:style>
  <w:style w:type="character" w:styleId="839" w:customStyle="1">
    <w:name w:val="Heading 4 Char"/>
    <w:basedOn w:val="807"/>
    <w:uiPriority w:val="9"/>
    <w:qFormat/>
    <w:rPr>
      <w:rFonts w:ascii="Arial" w:hAnsi="Arial" w:eastAsia="Arial" w:cs="Arial"/>
      <w:b/>
      <w:bCs/>
      <w:sz w:val="26"/>
      <w:szCs w:val="26"/>
    </w:rPr>
  </w:style>
  <w:style w:type="character" w:styleId="840" w:customStyle="1">
    <w:name w:val="Heading 5 Char"/>
    <w:basedOn w:val="807"/>
    <w:uiPriority w:val="9"/>
    <w:qFormat/>
    <w:rPr>
      <w:rFonts w:ascii="Arial" w:hAnsi="Arial" w:eastAsia="Arial" w:cs="Arial"/>
      <w:b/>
      <w:bCs/>
      <w:sz w:val="24"/>
      <w:szCs w:val="24"/>
    </w:rPr>
  </w:style>
  <w:style w:type="character" w:styleId="841" w:customStyle="1">
    <w:name w:val="Heading 6 Char"/>
    <w:basedOn w:val="807"/>
    <w:uiPriority w:val="9"/>
    <w:qFormat/>
    <w:rPr>
      <w:rFonts w:ascii="Arial" w:hAnsi="Arial" w:eastAsia="Arial" w:cs="Arial"/>
      <w:b/>
      <w:bCs/>
      <w:sz w:val="22"/>
      <w:szCs w:val="22"/>
    </w:rPr>
  </w:style>
  <w:style w:type="character" w:styleId="842" w:customStyle="1">
    <w:name w:val="Heading 7 Char"/>
    <w:basedOn w:val="807"/>
    <w:uiPriority w:val="9"/>
    <w:qFormat/>
    <w:rPr>
      <w:rFonts w:ascii="Arial" w:hAnsi="Arial" w:eastAsia="Arial" w:cs="Arial"/>
      <w:b/>
      <w:bCs/>
      <w:i/>
      <w:iCs/>
      <w:sz w:val="22"/>
      <w:szCs w:val="22"/>
    </w:rPr>
  </w:style>
  <w:style w:type="character" w:styleId="843" w:customStyle="1">
    <w:name w:val="Heading 8 Char"/>
    <w:basedOn w:val="807"/>
    <w:uiPriority w:val="9"/>
    <w:qFormat/>
    <w:rPr>
      <w:rFonts w:ascii="Arial" w:hAnsi="Arial" w:eastAsia="Arial" w:cs="Arial"/>
      <w:i/>
      <w:iCs/>
      <w:sz w:val="22"/>
      <w:szCs w:val="22"/>
    </w:rPr>
  </w:style>
  <w:style w:type="character" w:styleId="844" w:customStyle="1">
    <w:name w:val="Heading 9 Char"/>
    <w:basedOn w:val="807"/>
    <w:uiPriority w:val="9"/>
    <w:qFormat/>
    <w:rPr>
      <w:rFonts w:ascii="Arial" w:hAnsi="Arial" w:eastAsia="Arial" w:cs="Arial"/>
      <w:i/>
      <w:iCs/>
      <w:sz w:val="21"/>
      <w:szCs w:val="21"/>
    </w:rPr>
  </w:style>
  <w:style w:type="character" w:styleId="845" w:customStyle="1">
    <w:name w:val="Title Char"/>
    <w:basedOn w:val="807"/>
    <w:uiPriority w:val="10"/>
    <w:qFormat/>
    <w:rPr>
      <w:sz w:val="48"/>
      <w:szCs w:val="48"/>
    </w:rPr>
  </w:style>
  <w:style w:type="character" w:styleId="846" w:customStyle="1">
    <w:name w:val="Subtitle Char"/>
    <w:basedOn w:val="807"/>
    <w:uiPriority w:val="11"/>
    <w:qFormat/>
    <w:rPr>
      <w:sz w:val="24"/>
      <w:szCs w:val="24"/>
    </w:rPr>
  </w:style>
  <w:style w:type="character" w:styleId="847" w:customStyle="1">
    <w:name w:val="Quote Char"/>
    <w:uiPriority w:val="29"/>
    <w:qFormat/>
    <w:rPr>
      <w:i/>
    </w:rPr>
  </w:style>
  <w:style w:type="character" w:styleId="848" w:customStyle="1">
    <w:name w:val="Intense Quote Char"/>
    <w:uiPriority w:val="30"/>
    <w:qFormat/>
    <w:rPr>
      <w:i/>
    </w:rPr>
  </w:style>
  <w:style w:type="character" w:styleId="849" w:customStyle="1">
    <w:name w:val="Header Char"/>
    <w:basedOn w:val="807"/>
    <w:uiPriority w:val="99"/>
    <w:qFormat/>
  </w:style>
  <w:style w:type="character" w:styleId="850" w:customStyle="1">
    <w:name w:val="Caption Char"/>
    <w:uiPriority w:val="99"/>
    <w:qFormat/>
  </w:style>
  <w:style w:type="table" w:styleId="851" w:customStyle="1">
    <w:name w:val="Plain Table 1"/>
    <w:basedOn w:val="8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2"/>
    <w:basedOn w:val="80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3"/>
    <w:basedOn w:val="8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Plain Table 4"/>
    <w:basedOn w:val="8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Plain Table 5"/>
    <w:basedOn w:val="8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Grid Table 1 Light"/>
    <w:basedOn w:val="80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2"/>
    <w:basedOn w:val="8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Grid Table 3"/>
    <w:basedOn w:val="8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basedOn w:val="80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5 Dark"/>
    <w:basedOn w:val="8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6 Colorful"/>
    <w:basedOn w:val="80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7 Colorful"/>
    <w:basedOn w:val="80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1 Light"/>
    <w:basedOn w:val="80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2"/>
    <w:basedOn w:val="80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3"/>
    <w:basedOn w:val="8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w:basedOn w:val="8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5 Dark"/>
    <w:basedOn w:val="80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w:basedOn w:val="80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7 Colorful"/>
    <w:basedOn w:val="80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0" w:customStyle="1">
    <w:name w:val="Footnote Text Char"/>
    <w:uiPriority w:val="99"/>
    <w:qFormat/>
    <w:rPr>
      <w:sz w:val="18"/>
    </w:rPr>
  </w:style>
  <w:style w:type="character" w:styleId="871" w:customStyle="1">
    <w:name w:val="Endnote Text Char"/>
    <w:uiPriority w:val="99"/>
    <w:qFormat/>
    <w:rPr>
      <w:sz w:val="20"/>
    </w:rPr>
  </w:style>
  <w:style w:type="paragraph" w:styleId="872" w:customStyle="1">
    <w:name w:val="TOC Heading"/>
    <w:uiPriority w:val="39"/>
    <w:unhideWhenUsed/>
    <w:qFormat/>
    <w:rPr>
      <w:rFonts w:hint="default" w:ascii="Times New Roman" w:hAnsi="Times New Roman" w:eastAsia="宋体" w:cs="Times New Roman"/>
    </w:rPr>
  </w:style>
  <w:style w:type="paragraph" w:styleId="873" w:customStyle="1">
    <w:name w:val="列出段落1"/>
    <w:basedOn w:val="797"/>
    <w:uiPriority w:val="0"/>
    <w:qFormat/>
    <w:pPr>
      <w:ind w:firstLine="420"/>
    </w:pPr>
    <w:rPr>
      <w:szCs w:val="21"/>
    </w:rPr>
  </w:style>
  <w:style w:type="character" w:styleId="874" w:customStyle="1">
    <w:name w:val="标题 1 字符1"/>
    <w:link w:val="798"/>
    <w:uiPriority w:val="9"/>
    <w:qFormat/>
    <w:rPr>
      <w:rFonts w:ascii="Arial" w:hAnsi="Arial" w:eastAsia="Arial" w:cs="Arial"/>
      <w:sz w:val="40"/>
      <w:szCs w:val="40"/>
    </w:rPr>
  </w:style>
  <w:style w:type="character" w:styleId="875" w:customStyle="1">
    <w:name w:val="标题 2 字符1"/>
    <w:link w:val="799"/>
    <w:uiPriority w:val="9"/>
    <w:qFormat/>
    <w:rPr>
      <w:rFonts w:ascii="Arial" w:hAnsi="Arial" w:eastAsia="Arial" w:cs="Arial"/>
      <w:sz w:val="34"/>
    </w:rPr>
  </w:style>
  <w:style w:type="character" w:styleId="876" w:customStyle="1">
    <w:name w:val="标题 3 字符1"/>
    <w:link w:val="800"/>
    <w:uiPriority w:val="9"/>
    <w:qFormat/>
    <w:rPr>
      <w:rFonts w:ascii="Arial" w:hAnsi="Arial" w:eastAsia="Arial" w:cs="Arial"/>
      <w:sz w:val="30"/>
      <w:szCs w:val="30"/>
    </w:rPr>
  </w:style>
  <w:style w:type="character" w:styleId="877" w:customStyle="1">
    <w:name w:val="标题 4 字符1"/>
    <w:link w:val="801"/>
    <w:uiPriority w:val="9"/>
    <w:qFormat/>
    <w:rPr>
      <w:rFonts w:ascii="Arial" w:hAnsi="Arial" w:eastAsia="Arial" w:cs="Arial"/>
      <w:b/>
      <w:bCs/>
      <w:sz w:val="26"/>
      <w:szCs w:val="26"/>
    </w:rPr>
  </w:style>
  <w:style w:type="character" w:styleId="878" w:customStyle="1">
    <w:name w:val="标题 5 字符1"/>
    <w:link w:val="802"/>
    <w:uiPriority w:val="9"/>
    <w:qFormat/>
    <w:rPr>
      <w:rFonts w:ascii="Arial" w:hAnsi="Arial" w:eastAsia="Arial" w:cs="Arial"/>
      <w:b/>
      <w:bCs/>
      <w:sz w:val="24"/>
      <w:szCs w:val="24"/>
    </w:rPr>
  </w:style>
  <w:style w:type="character" w:styleId="879" w:customStyle="1">
    <w:name w:val="标题 6 字符1"/>
    <w:link w:val="803"/>
    <w:uiPriority w:val="9"/>
    <w:qFormat/>
    <w:rPr>
      <w:rFonts w:ascii="Arial" w:hAnsi="Arial" w:eastAsia="Arial" w:cs="Arial"/>
      <w:b/>
      <w:bCs/>
      <w:sz w:val="22"/>
      <w:szCs w:val="22"/>
    </w:rPr>
  </w:style>
  <w:style w:type="character" w:styleId="880" w:customStyle="1">
    <w:name w:val="标题 7 字符1"/>
    <w:link w:val="804"/>
    <w:uiPriority w:val="9"/>
    <w:qFormat/>
    <w:rPr>
      <w:rFonts w:ascii="Arial" w:hAnsi="Arial" w:eastAsia="Arial" w:cs="Arial"/>
      <w:b/>
      <w:bCs/>
      <w:i/>
      <w:iCs/>
      <w:sz w:val="22"/>
      <w:szCs w:val="22"/>
    </w:rPr>
  </w:style>
  <w:style w:type="character" w:styleId="881" w:customStyle="1">
    <w:name w:val="标题 8 字符1"/>
    <w:link w:val="805"/>
    <w:uiPriority w:val="9"/>
    <w:qFormat/>
    <w:rPr>
      <w:rFonts w:ascii="Arial" w:hAnsi="Arial" w:eastAsia="Arial" w:cs="Arial"/>
      <w:i/>
      <w:iCs/>
      <w:sz w:val="22"/>
      <w:szCs w:val="22"/>
    </w:rPr>
  </w:style>
  <w:style w:type="character" w:styleId="882" w:customStyle="1">
    <w:name w:val="标题 9 字符1"/>
    <w:link w:val="806"/>
    <w:uiPriority w:val="9"/>
    <w:qFormat/>
    <w:rPr>
      <w:rFonts w:ascii="Arial" w:hAnsi="Arial" w:eastAsia="Arial" w:cs="Arial"/>
      <w:i/>
      <w:iCs/>
      <w:sz w:val="21"/>
      <w:szCs w:val="21"/>
    </w:rPr>
  </w:style>
  <w:style w:type="paragraph" w:styleId="883">
    <w:name w:val="No Spacing"/>
    <w:uiPriority w:val="1"/>
    <w:qFormat/>
    <w:rPr>
      <w:rFonts w:hint="default" w:ascii="Times New Roman" w:hAnsi="Times New Roman" w:eastAsia="宋体" w:cs="Times New Roman"/>
      <w:lang w:val="en-US" w:eastAsia="zh-CN" w:bidi="ar-SA"/>
    </w:rPr>
  </w:style>
  <w:style w:type="character" w:styleId="884" w:customStyle="1">
    <w:name w:val="标题 字符"/>
    <w:link w:val="829"/>
    <w:uiPriority w:val="10"/>
    <w:qFormat/>
    <w:rPr>
      <w:sz w:val="48"/>
      <w:szCs w:val="48"/>
    </w:rPr>
  </w:style>
  <w:style w:type="character" w:styleId="885" w:customStyle="1">
    <w:name w:val="副标题 字符"/>
    <w:link w:val="822"/>
    <w:uiPriority w:val="11"/>
    <w:qFormat/>
    <w:rPr>
      <w:sz w:val="24"/>
      <w:szCs w:val="24"/>
    </w:rPr>
  </w:style>
  <w:style w:type="paragraph" w:styleId="886">
    <w:name w:val="Quote"/>
    <w:basedOn w:val="797"/>
    <w:next w:val="797"/>
    <w:link w:val="887"/>
    <w:uiPriority w:val="29"/>
    <w:qFormat/>
    <w:pPr>
      <w:ind w:left="720" w:right="720"/>
    </w:pPr>
    <w:rPr>
      <w:i/>
    </w:rPr>
  </w:style>
  <w:style w:type="character" w:styleId="887" w:customStyle="1">
    <w:name w:val="引用 字符"/>
    <w:link w:val="886"/>
    <w:uiPriority w:val="29"/>
    <w:qFormat/>
    <w:rPr>
      <w:i/>
    </w:rPr>
  </w:style>
  <w:style w:type="paragraph" w:styleId="888">
    <w:name w:val="Intense Quote"/>
    <w:basedOn w:val="797"/>
    <w:next w:val="797"/>
    <w:link w:val="8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customStyle="1">
    <w:name w:val="明显引用 字符"/>
    <w:link w:val="888"/>
    <w:uiPriority w:val="30"/>
    <w:qFormat/>
    <w:rPr>
      <w:i/>
    </w:rPr>
  </w:style>
  <w:style w:type="character" w:styleId="890" w:customStyle="1">
    <w:name w:val="页眉 字符1"/>
    <w:link w:val="819"/>
    <w:uiPriority w:val="99"/>
    <w:qFormat/>
  </w:style>
  <w:style w:type="character" w:styleId="891" w:customStyle="1">
    <w:name w:val="Footer Char"/>
    <w:uiPriority w:val="99"/>
    <w:qFormat/>
  </w:style>
  <w:style w:type="character" w:styleId="892" w:customStyle="1">
    <w:name w:val="页脚 字符1"/>
    <w:link w:val="818"/>
    <w:uiPriority w:val="99"/>
    <w:qFormat/>
  </w:style>
  <w:style w:type="table" w:styleId="89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6" w:customStyle="1">
    <w:name w:val="无格式表格 31"/>
    <w:uiPriority w:val="99"/>
    <w:qFormat/>
    <w:tblPr>
      <w:tblCellMar>
        <w:left w:w="0" w:type="dxa"/>
        <w:top w:w="0" w:type="dxa"/>
        <w:right w:w="0" w:type="dxa"/>
        <w:bottom w:w="0" w:type="dxa"/>
      </w:tblCellMar>
    </w:tblPr>
  </w:style>
  <w:style w:type="table" w:styleId="897" w:customStyle="1">
    <w:name w:val="无格式表格 41"/>
    <w:uiPriority w:val="99"/>
    <w:qFormat/>
    <w:tblPr>
      <w:tblCellMar>
        <w:left w:w="0" w:type="dxa"/>
        <w:top w:w="0" w:type="dxa"/>
        <w:right w:w="0" w:type="dxa"/>
        <w:bottom w:w="0" w:type="dxa"/>
      </w:tblCellMar>
    </w:tblPr>
  </w:style>
  <w:style w:type="table" w:styleId="898" w:customStyle="1">
    <w:name w:val="无格式表格 51"/>
    <w:uiPriority w:val="99"/>
    <w:qFormat/>
    <w:tblPr>
      <w:tblCellMar>
        <w:left w:w="0" w:type="dxa"/>
        <w:top w:w="0" w:type="dxa"/>
        <w:right w:w="0" w:type="dxa"/>
        <w:bottom w:w="0" w:type="dxa"/>
      </w:tblCellMar>
    </w:tblPr>
  </w:style>
  <w:style w:type="table" w:styleId="89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0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8" w:customStyle="1">
    <w:name w:val="清单表 1 浅色1"/>
    <w:uiPriority w:val="99"/>
    <w:qFormat/>
    <w:tblPr>
      <w:tblCellMar>
        <w:left w:w="0" w:type="dxa"/>
        <w:top w:w="0" w:type="dxa"/>
        <w:right w:w="0" w:type="dxa"/>
        <w:bottom w:w="0" w:type="dxa"/>
      </w:tblCellMar>
    </w:tblPr>
  </w:style>
  <w:style w:type="table" w:styleId="949" w:customStyle="1">
    <w:name w:val="List Table 1 Light - Accent 1"/>
    <w:uiPriority w:val="99"/>
    <w:qFormat/>
    <w:tblPr>
      <w:tblCellMar>
        <w:left w:w="0" w:type="dxa"/>
        <w:top w:w="0" w:type="dxa"/>
        <w:right w:w="0" w:type="dxa"/>
        <w:bottom w:w="0" w:type="dxa"/>
      </w:tblCellMar>
    </w:tblPr>
  </w:style>
  <w:style w:type="table" w:styleId="950" w:customStyle="1">
    <w:name w:val="List Table 1 Light - Accent 2"/>
    <w:uiPriority w:val="99"/>
    <w:qFormat/>
    <w:tblPr>
      <w:tblCellMar>
        <w:left w:w="0" w:type="dxa"/>
        <w:top w:w="0" w:type="dxa"/>
        <w:right w:w="0" w:type="dxa"/>
        <w:bottom w:w="0" w:type="dxa"/>
      </w:tblCellMar>
    </w:tblPr>
  </w:style>
  <w:style w:type="table" w:styleId="951" w:customStyle="1">
    <w:name w:val="List Table 1 Light - Accent 3"/>
    <w:uiPriority w:val="99"/>
    <w:qFormat/>
    <w:tblPr>
      <w:tblCellMar>
        <w:left w:w="0" w:type="dxa"/>
        <w:top w:w="0" w:type="dxa"/>
        <w:right w:w="0" w:type="dxa"/>
        <w:bottom w:w="0" w:type="dxa"/>
      </w:tblCellMar>
    </w:tblPr>
  </w:style>
  <w:style w:type="table" w:styleId="952" w:customStyle="1">
    <w:name w:val="List Table 1 Light - Accent 4"/>
    <w:uiPriority w:val="99"/>
    <w:qFormat/>
    <w:tblPr>
      <w:tblCellMar>
        <w:left w:w="0" w:type="dxa"/>
        <w:top w:w="0" w:type="dxa"/>
        <w:right w:w="0" w:type="dxa"/>
        <w:bottom w:w="0" w:type="dxa"/>
      </w:tblCellMar>
    </w:tblPr>
  </w:style>
  <w:style w:type="table" w:styleId="953" w:customStyle="1">
    <w:name w:val="List Table 1 Light - Accent 5"/>
    <w:uiPriority w:val="99"/>
    <w:qFormat/>
    <w:tblPr>
      <w:tblCellMar>
        <w:left w:w="0" w:type="dxa"/>
        <w:top w:w="0" w:type="dxa"/>
        <w:right w:w="0" w:type="dxa"/>
        <w:bottom w:w="0" w:type="dxa"/>
      </w:tblCellMar>
    </w:tblPr>
  </w:style>
  <w:style w:type="table" w:styleId="954" w:customStyle="1">
    <w:name w:val="List Table 1 Light - Accent 6"/>
    <w:uiPriority w:val="99"/>
    <w:qFormat/>
    <w:tblPr>
      <w:tblCellMar>
        <w:left w:w="0" w:type="dxa"/>
        <w:top w:w="0" w:type="dxa"/>
        <w:right w:w="0" w:type="dxa"/>
        <w:bottom w:w="0" w:type="dxa"/>
      </w:tblCellMar>
    </w:tblPr>
  </w:style>
  <w:style w:type="table" w:styleId="95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9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7" w:customStyle="1">
    <w:name w:val="Lined - Accent"/>
    <w:uiPriority w:val="99"/>
    <w:qFormat/>
    <w:rPr>
      <w:color w:val="404040"/>
    </w:rPr>
    <w:tblPr>
      <w:tblCellMar>
        <w:left w:w="0" w:type="dxa"/>
        <w:top w:w="0" w:type="dxa"/>
        <w:right w:w="0" w:type="dxa"/>
        <w:bottom w:w="0" w:type="dxa"/>
      </w:tblCellMar>
    </w:tblPr>
  </w:style>
  <w:style w:type="table" w:styleId="998" w:customStyle="1">
    <w:name w:val="Lined - Accent 1"/>
    <w:uiPriority w:val="99"/>
    <w:qFormat/>
    <w:rPr>
      <w:color w:val="404040"/>
    </w:rPr>
    <w:tblPr>
      <w:tblCellMar>
        <w:left w:w="0" w:type="dxa"/>
        <w:top w:w="0" w:type="dxa"/>
        <w:right w:w="0" w:type="dxa"/>
        <w:bottom w:w="0" w:type="dxa"/>
      </w:tblCellMar>
    </w:tblPr>
  </w:style>
  <w:style w:type="table" w:styleId="999" w:customStyle="1">
    <w:name w:val="Lined - Accent 2"/>
    <w:uiPriority w:val="99"/>
    <w:qFormat/>
    <w:rPr>
      <w:color w:val="404040"/>
    </w:rPr>
    <w:tblPr>
      <w:tblCellMar>
        <w:left w:w="0" w:type="dxa"/>
        <w:top w:w="0" w:type="dxa"/>
        <w:right w:w="0" w:type="dxa"/>
        <w:bottom w:w="0" w:type="dxa"/>
      </w:tblCellMar>
    </w:tblPr>
  </w:style>
  <w:style w:type="table" w:styleId="1000" w:customStyle="1">
    <w:name w:val="Lined - Accent 3"/>
    <w:uiPriority w:val="99"/>
    <w:qFormat/>
    <w:rPr>
      <w:color w:val="404040"/>
    </w:rPr>
    <w:tblPr>
      <w:tblCellMar>
        <w:left w:w="0" w:type="dxa"/>
        <w:top w:w="0" w:type="dxa"/>
        <w:right w:w="0" w:type="dxa"/>
        <w:bottom w:w="0" w:type="dxa"/>
      </w:tblCellMar>
    </w:tblPr>
  </w:style>
  <w:style w:type="table" w:styleId="1001" w:customStyle="1">
    <w:name w:val="Lined - Accent 4"/>
    <w:uiPriority w:val="99"/>
    <w:qFormat/>
    <w:rPr>
      <w:color w:val="404040"/>
    </w:rPr>
    <w:tblPr>
      <w:tblCellMar>
        <w:left w:w="0" w:type="dxa"/>
        <w:top w:w="0" w:type="dxa"/>
        <w:right w:w="0" w:type="dxa"/>
        <w:bottom w:w="0" w:type="dxa"/>
      </w:tblCellMar>
    </w:tblPr>
  </w:style>
  <w:style w:type="table" w:styleId="1002" w:customStyle="1">
    <w:name w:val="Lined - Accent 5"/>
    <w:uiPriority w:val="99"/>
    <w:qFormat/>
    <w:rPr>
      <w:color w:val="404040"/>
    </w:rPr>
    <w:tblPr>
      <w:tblCellMar>
        <w:left w:w="0" w:type="dxa"/>
        <w:top w:w="0" w:type="dxa"/>
        <w:right w:w="0" w:type="dxa"/>
        <w:bottom w:w="0" w:type="dxa"/>
      </w:tblCellMar>
    </w:tblPr>
  </w:style>
  <w:style w:type="table" w:styleId="1003" w:customStyle="1">
    <w:name w:val="Lined - Accent 6"/>
    <w:uiPriority w:val="99"/>
    <w:qFormat/>
    <w:rPr>
      <w:color w:val="404040"/>
    </w:rPr>
    <w:tblPr>
      <w:tblCellMar>
        <w:left w:w="0" w:type="dxa"/>
        <w:top w:w="0" w:type="dxa"/>
        <w:right w:w="0" w:type="dxa"/>
        <w:bottom w:w="0" w:type="dxa"/>
      </w:tblCellMar>
    </w:tblPr>
  </w:style>
  <w:style w:type="table" w:styleId="100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8" w:customStyle="1">
    <w:name w:val="脚注文本 字符"/>
    <w:link w:val="823"/>
    <w:uiPriority w:val="99"/>
    <w:qFormat/>
    <w:rPr>
      <w:sz w:val="18"/>
    </w:rPr>
  </w:style>
  <w:style w:type="character" w:styleId="1019" w:customStyle="1">
    <w:name w:val="尾注文本 字符"/>
    <w:link w:val="817"/>
    <w:uiPriority w:val="99"/>
    <w:qFormat/>
    <w:rPr>
      <w:sz w:val="20"/>
    </w:rPr>
  </w:style>
  <w:style w:type="paragraph" w:styleId="1020" w:customStyle="1">
    <w:name w:val="TOC 标题1"/>
    <w:uiPriority w:val="39"/>
    <w:unhideWhenUsed/>
    <w:qFormat/>
    <w:rPr>
      <w:rFonts w:hint="default" w:ascii="Times New Roman" w:hAnsi="Times New Roman" w:eastAsia="宋体" w:cs="Times New Roman"/>
      <w:lang w:val="en-US" w:eastAsia="zh-CN" w:bidi="ar-SA"/>
    </w:rPr>
  </w:style>
  <w:style w:type="paragraph" w:styleId="1021" w:customStyle="1">
    <w:name w:val="标题 111"/>
    <w:basedOn w:val="797"/>
    <w:next w:val="797"/>
    <w:link w:val="1033"/>
    <w:uiPriority w:val="99"/>
    <w:qFormat/>
    <w:pPr>
      <w:ind w:left="432" w:hanging="432"/>
      <w:jc w:val="center"/>
      <w:keepNext/>
      <w:widowControl/>
      <w:tabs>
        <w:tab w:val="left" w:pos="432" w:leader="none"/>
      </w:tabs>
      <w:outlineLvl w:val="0"/>
    </w:pPr>
    <w:rPr>
      <w:rFonts w:ascii="黑体" w:eastAsia="黑体"/>
      <w:sz w:val="52"/>
    </w:rPr>
  </w:style>
  <w:style w:type="paragraph" w:styleId="1022" w:customStyle="1">
    <w:name w:val="标题 21"/>
    <w:basedOn w:val="797"/>
    <w:next w:val="797"/>
    <w:link w:val="1034"/>
    <w:uiPriority w:val="99"/>
    <w:qFormat/>
    <w:pPr>
      <w:keepLines/>
      <w:keepNext/>
      <w:spacing w:before="260" w:after="260" w:line="413" w:lineRule="auto"/>
      <w:outlineLvl w:val="1"/>
    </w:pPr>
    <w:rPr>
      <w:rFonts w:ascii="Arial" w:hAnsi="Arial" w:eastAsia="黑体"/>
      <w:b/>
      <w:bCs/>
      <w:sz w:val="32"/>
      <w:szCs w:val="32"/>
    </w:rPr>
  </w:style>
  <w:style w:type="paragraph" w:styleId="1023" w:customStyle="1">
    <w:name w:val="标题 31"/>
    <w:basedOn w:val="797"/>
    <w:next w:val="1024"/>
    <w:link w:val="1035"/>
    <w:uiPriority w:val="9"/>
    <w:qFormat/>
    <w:pPr>
      <w:ind w:left="720" w:hanging="720"/>
      <w:jc w:val="center"/>
      <w:keepLines/>
      <w:keepNext/>
      <w:spacing w:before="120" w:after="120"/>
      <w:widowControl/>
      <w:tabs>
        <w:tab w:val="left" w:pos="720" w:leader="none"/>
      </w:tabs>
      <w:outlineLvl w:val="2"/>
    </w:pPr>
    <w:rPr>
      <w:b/>
      <w:sz w:val="32"/>
    </w:rPr>
  </w:style>
  <w:style w:type="paragraph" w:styleId="1024" w:customStyle="1">
    <w:name w:val="正文缩进1"/>
    <w:basedOn w:val="797"/>
    <w:link w:val="1036"/>
    <w:uiPriority w:val="99"/>
    <w:qFormat/>
    <w:pPr>
      <w:ind w:firstLine="420"/>
    </w:pPr>
  </w:style>
  <w:style w:type="paragraph" w:styleId="1025" w:customStyle="1">
    <w:name w:val="标题 41"/>
    <w:basedOn w:val="797"/>
    <w:next w:val="797"/>
    <w:link w:val="1037"/>
    <w:uiPriority w:val="99"/>
    <w:qFormat/>
    <w:pPr>
      <w:jc w:val="center"/>
      <w:keepLines/>
      <w:keepNext/>
      <w:spacing w:before="120" w:after="120"/>
      <w:widowControl/>
      <w:outlineLvl w:val="3"/>
    </w:pPr>
    <w:rPr>
      <w:rFonts w:ascii="Arial" w:hAnsi="Arial" w:eastAsia="黑体"/>
      <w:sz w:val="28"/>
    </w:rPr>
  </w:style>
  <w:style w:type="paragraph" w:styleId="1026" w:customStyle="1">
    <w:name w:val="标题 51"/>
    <w:basedOn w:val="797"/>
    <w:next w:val="797"/>
    <w:link w:val="1038"/>
    <w:uiPriority w:val="99"/>
    <w:qFormat/>
    <w:pPr>
      <w:ind w:firstLine="499"/>
      <w:jc w:val="left"/>
      <w:keepLines/>
      <w:keepNext/>
      <w:spacing w:before="120" w:after="120"/>
      <w:widowControl/>
      <w:outlineLvl w:val="4"/>
    </w:pPr>
    <w:rPr>
      <w:rFonts w:ascii="宋体" w:hAnsi="宋体"/>
      <w:b/>
      <w:sz w:val="24"/>
    </w:rPr>
  </w:style>
  <w:style w:type="paragraph" w:styleId="1027" w:customStyle="1">
    <w:name w:val="标题 61"/>
    <w:basedOn w:val="797"/>
    <w:next w:val="797"/>
    <w:link w:val="1039"/>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028" w:customStyle="1">
    <w:name w:val="标题 71"/>
    <w:basedOn w:val="797"/>
    <w:next w:val="797"/>
    <w:link w:val="1040"/>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1029" w:customStyle="1">
    <w:name w:val="标题 81"/>
    <w:basedOn w:val="797"/>
    <w:next w:val="797"/>
    <w:link w:val="1041"/>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030" w:customStyle="1">
    <w:name w:val="标题 91"/>
    <w:basedOn w:val="797"/>
    <w:next w:val="797"/>
    <w:link w:val="1042"/>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031" w:customStyle="1">
    <w:name w:val="默认段落字体1"/>
    <w:uiPriority w:val="1"/>
    <w:unhideWhenUsed/>
    <w:qFormat/>
  </w:style>
  <w:style w:type="table" w:styleId="1032" w:customStyle="1">
    <w:name w:val="普通表格1"/>
    <w:uiPriority w:val="99"/>
    <w:unhideWhenUsed/>
    <w:qFormat/>
    <w:tblPr>
      <w:tblCellMar>
        <w:left w:w="0" w:type="dxa"/>
        <w:top w:w="0" w:type="dxa"/>
        <w:right w:w="0" w:type="dxa"/>
        <w:bottom w:w="0" w:type="dxa"/>
      </w:tblCellMar>
    </w:tblPr>
  </w:style>
  <w:style w:type="character" w:styleId="1033" w:customStyle="1">
    <w:name w:val="标题 1 Char"/>
    <w:link w:val="1021"/>
    <w:uiPriority w:val="99"/>
    <w:qFormat/>
    <w:rPr>
      <w:rFonts w:ascii="黑体" w:eastAsia="黑体"/>
      <w:sz w:val="52"/>
    </w:rPr>
  </w:style>
  <w:style w:type="character" w:styleId="1034" w:customStyle="1">
    <w:name w:val="标题 2 Char"/>
    <w:link w:val="1022"/>
    <w:uiPriority w:val="99"/>
    <w:qFormat/>
    <w:rPr>
      <w:rFonts w:ascii="Arial" w:hAnsi="Arial" w:eastAsia="黑体"/>
      <w:b/>
      <w:bCs/>
      <w:sz w:val="32"/>
      <w:szCs w:val="32"/>
      <w:lang w:val="en-US" w:eastAsia="zh-CN" w:bidi="ar-SA"/>
    </w:rPr>
  </w:style>
  <w:style w:type="character" w:styleId="1035" w:customStyle="1">
    <w:name w:val="标题 3 Char"/>
    <w:link w:val="1023"/>
    <w:uiPriority w:val="9"/>
    <w:qFormat/>
    <w:rPr>
      <w:rFonts w:eastAsia="宋体"/>
      <w:b/>
      <w:sz w:val="32"/>
      <w:lang w:val="en-US" w:eastAsia="zh-CN" w:bidi="ar-SA"/>
    </w:rPr>
  </w:style>
  <w:style w:type="character" w:styleId="1036" w:customStyle="1">
    <w:name w:val="正文缩进 Char"/>
    <w:link w:val="1024"/>
    <w:uiPriority w:val="99"/>
    <w:qFormat/>
    <w:rPr>
      <w:rFonts w:eastAsia="宋体"/>
      <w:sz w:val="21"/>
      <w:lang w:val="en-US" w:eastAsia="zh-CN" w:bidi="ar-SA"/>
    </w:rPr>
  </w:style>
  <w:style w:type="character" w:styleId="1037" w:customStyle="1">
    <w:name w:val="标题 4 Char"/>
    <w:link w:val="1025"/>
    <w:uiPriority w:val="99"/>
    <w:qFormat/>
    <w:rPr>
      <w:rFonts w:ascii="Arial" w:hAnsi="Arial" w:eastAsia="黑体"/>
      <w:sz w:val="28"/>
    </w:rPr>
  </w:style>
  <w:style w:type="character" w:styleId="1038" w:customStyle="1">
    <w:name w:val="标题 5 Char"/>
    <w:link w:val="1026"/>
    <w:uiPriority w:val="99"/>
    <w:qFormat/>
    <w:rPr>
      <w:rFonts w:ascii="宋体" w:hAnsi="宋体"/>
      <w:b/>
      <w:sz w:val="24"/>
    </w:rPr>
  </w:style>
  <w:style w:type="character" w:styleId="1039" w:customStyle="1">
    <w:name w:val="标题 6 Char"/>
    <w:link w:val="1027"/>
    <w:uiPriority w:val="99"/>
    <w:qFormat/>
    <w:rPr>
      <w:rFonts w:ascii="Arial" w:hAnsi="Arial" w:eastAsia="黑体"/>
      <w:b/>
      <w:bCs/>
      <w:sz w:val="24"/>
      <w:szCs w:val="24"/>
    </w:rPr>
  </w:style>
  <w:style w:type="character" w:styleId="1040" w:customStyle="1">
    <w:name w:val="标题 7 Char"/>
    <w:link w:val="1028"/>
    <w:uiPriority w:val="99"/>
    <w:qFormat/>
    <w:rPr>
      <w:b/>
      <w:bCs/>
      <w:sz w:val="24"/>
      <w:szCs w:val="24"/>
    </w:rPr>
  </w:style>
  <w:style w:type="character" w:styleId="1041" w:customStyle="1">
    <w:name w:val="标题 8 Char"/>
    <w:link w:val="1029"/>
    <w:uiPriority w:val="99"/>
    <w:qFormat/>
    <w:rPr>
      <w:rFonts w:ascii="Arial" w:hAnsi="Arial" w:eastAsia="黑体"/>
      <w:sz w:val="24"/>
      <w:szCs w:val="24"/>
    </w:rPr>
  </w:style>
  <w:style w:type="character" w:styleId="1042" w:customStyle="1">
    <w:name w:val="标题 9 Char"/>
    <w:link w:val="1030"/>
    <w:uiPriority w:val="99"/>
    <w:qFormat/>
    <w:rPr>
      <w:rFonts w:ascii="Arial" w:hAnsi="Arial" w:eastAsia="黑体"/>
      <w:sz w:val="21"/>
      <w:szCs w:val="21"/>
    </w:rPr>
  </w:style>
  <w:style w:type="paragraph" w:styleId="1043" w:customStyle="1">
    <w:name w:val="目录 71"/>
    <w:basedOn w:val="797"/>
    <w:next w:val="797"/>
    <w:uiPriority w:val="99"/>
    <w:qFormat/>
    <w:pPr>
      <w:ind w:firstLine="505"/>
      <w:jc w:val="left"/>
      <w:spacing w:line="240" w:lineRule="auto"/>
      <w:tabs>
        <w:tab w:val="right" w:pos="9241" w:leader="dot"/>
      </w:tabs>
    </w:pPr>
    <w:rPr>
      <w:rFonts w:ascii="宋体"/>
      <w:szCs w:val="21"/>
    </w:rPr>
  </w:style>
  <w:style w:type="paragraph" w:styleId="1044" w:customStyle="1">
    <w:name w:val="索引 81"/>
    <w:basedOn w:val="797"/>
    <w:next w:val="797"/>
    <w:uiPriority w:val="99"/>
    <w:qFormat/>
    <w:pPr>
      <w:ind w:left="1680" w:hanging="210"/>
      <w:jc w:val="left"/>
      <w:spacing w:line="240" w:lineRule="auto"/>
    </w:pPr>
    <w:rPr>
      <w:sz w:val="20"/>
    </w:rPr>
  </w:style>
  <w:style w:type="paragraph" w:styleId="1045" w:customStyle="1">
    <w:name w:val="题注1"/>
    <w:basedOn w:val="797"/>
    <w:next w:val="797"/>
    <w:uiPriority w:val="35"/>
    <w:qFormat/>
    <w:pPr>
      <w:spacing w:before="152" w:after="160" w:line="240" w:lineRule="auto"/>
    </w:pPr>
    <w:rPr>
      <w:rFonts w:ascii="Arial" w:hAnsi="Arial" w:eastAsia="黑体" w:cs="Arial"/>
      <w:sz w:val="20"/>
    </w:rPr>
  </w:style>
  <w:style w:type="paragraph" w:styleId="1046" w:customStyle="1">
    <w:name w:val="索引 51"/>
    <w:basedOn w:val="797"/>
    <w:next w:val="797"/>
    <w:uiPriority w:val="99"/>
    <w:qFormat/>
    <w:pPr>
      <w:ind w:left="1050" w:hanging="210"/>
      <w:jc w:val="left"/>
      <w:spacing w:line="240" w:lineRule="auto"/>
    </w:pPr>
    <w:rPr>
      <w:sz w:val="20"/>
    </w:rPr>
  </w:style>
  <w:style w:type="paragraph" w:styleId="1047" w:customStyle="1">
    <w:name w:val="文档结构图1"/>
    <w:basedOn w:val="797"/>
    <w:link w:val="1048"/>
    <w:uiPriority w:val="99"/>
    <w:qFormat/>
    <w:pPr>
      <w:shd w:val="clear" w:color="auto" w:fill="000080"/>
    </w:pPr>
  </w:style>
  <w:style w:type="character" w:styleId="1048" w:customStyle="1">
    <w:name w:val="文档结构图 Char"/>
    <w:link w:val="1047"/>
    <w:uiPriority w:val="99"/>
    <w:qFormat/>
    <w:rPr>
      <w:sz w:val="21"/>
      <w:shd w:val="clear" w:color="auto" w:fill="000080"/>
    </w:rPr>
  </w:style>
  <w:style w:type="paragraph" w:styleId="1049" w:customStyle="1">
    <w:name w:val="批注文字1"/>
    <w:basedOn w:val="797"/>
    <w:link w:val="1050"/>
    <w:uiPriority w:val="99"/>
    <w:qFormat/>
    <w:pPr>
      <w:jc w:val="left"/>
      <w:spacing w:line="360" w:lineRule="atLeast"/>
    </w:pPr>
    <w:rPr>
      <w:sz w:val="24"/>
    </w:rPr>
  </w:style>
  <w:style w:type="character" w:styleId="1050" w:customStyle="1">
    <w:name w:val="批注文字 Char"/>
    <w:link w:val="1049"/>
    <w:uiPriority w:val="99"/>
    <w:qFormat/>
    <w:rPr>
      <w:sz w:val="24"/>
    </w:rPr>
  </w:style>
  <w:style w:type="paragraph" w:styleId="1051" w:customStyle="1">
    <w:name w:val="索引 61"/>
    <w:basedOn w:val="797"/>
    <w:next w:val="797"/>
    <w:uiPriority w:val="99"/>
    <w:qFormat/>
    <w:pPr>
      <w:ind w:left="1260" w:hanging="210"/>
      <w:jc w:val="left"/>
      <w:spacing w:line="240" w:lineRule="auto"/>
    </w:pPr>
    <w:rPr>
      <w:sz w:val="20"/>
    </w:rPr>
  </w:style>
  <w:style w:type="paragraph" w:styleId="1052" w:customStyle="1">
    <w:name w:val="正文文本 31"/>
    <w:basedOn w:val="797"/>
    <w:link w:val="1053"/>
    <w:uiPriority w:val="99"/>
    <w:qFormat/>
    <w:pPr>
      <w:spacing w:line="240" w:lineRule="auto"/>
    </w:pPr>
    <w:rPr>
      <w:rFonts w:ascii="宋体"/>
      <w:sz w:val="24"/>
    </w:rPr>
  </w:style>
  <w:style w:type="character" w:styleId="1053" w:customStyle="1">
    <w:name w:val="正文文本 3 Char"/>
    <w:link w:val="1052"/>
    <w:uiPriority w:val="99"/>
    <w:qFormat/>
    <w:rPr>
      <w:rFonts w:ascii="宋体" w:hAnsi="Times New Roman"/>
      <w:sz w:val="24"/>
    </w:rPr>
  </w:style>
  <w:style w:type="paragraph" w:styleId="1054" w:customStyle="1">
    <w:name w:val="正文文本1"/>
    <w:basedOn w:val="797"/>
    <w:next w:val="1055"/>
    <w:link w:val="1056"/>
    <w:uiPriority w:val="99"/>
    <w:qFormat/>
    <w:rPr>
      <w:rFonts w:ascii="华文中宋" w:eastAsia="华文中宋"/>
      <w:bCs/>
      <w:sz w:val="28"/>
    </w:rPr>
  </w:style>
  <w:style w:type="paragraph" w:styleId="1055" w:customStyle="1">
    <w:name w:val="正文首行缩进1"/>
    <w:basedOn w:val="1054"/>
    <w:uiPriority w:val="99"/>
    <w:unhideWhenUsed/>
    <w:qFormat/>
    <w:pPr>
      <w:ind w:firstLine="420"/>
      <w:jc w:val="both"/>
      <w:spacing w:after="120"/>
      <w:widowControl w:val="off"/>
    </w:pPr>
    <w:rPr>
      <w:rFonts w:hint="default" w:ascii="Times New Roman" w:hAnsi="Times New Roman" w:eastAsia="华文中宋" w:cs="Times New Roman"/>
      <w:sz w:val="21"/>
      <w:lang w:val="en-US" w:eastAsia="zh-CN" w:bidi="ar-SA"/>
    </w:rPr>
  </w:style>
  <w:style w:type="character" w:styleId="1056" w:customStyle="1">
    <w:name w:val="正文文本 Char"/>
    <w:link w:val="1054"/>
    <w:uiPriority w:val="99"/>
    <w:qFormat/>
    <w:rPr>
      <w:rFonts w:ascii="华文中宋" w:eastAsia="华文中宋"/>
      <w:bCs/>
      <w:sz w:val="28"/>
    </w:rPr>
  </w:style>
  <w:style w:type="paragraph" w:styleId="1057" w:customStyle="1">
    <w:name w:val="正文文本缩进1"/>
    <w:basedOn w:val="797"/>
    <w:next w:val="1058"/>
    <w:link w:val="1059"/>
    <w:uiPriority w:val="99"/>
    <w:qFormat/>
    <w:pPr>
      <w:ind w:firstLine="540"/>
      <w:widowControl/>
    </w:pPr>
    <w:rPr>
      <w:rFonts w:ascii="宋体" w:hAnsi="MS Sans Serif"/>
      <w:spacing w:val="12"/>
      <w:sz w:val="24"/>
    </w:rPr>
  </w:style>
  <w:style w:type="paragraph" w:styleId="1058" w:customStyle="1">
    <w:name w:val="寄信人地址1"/>
    <w:basedOn w:val="797"/>
    <w:uiPriority w:val="0"/>
    <w:qFormat/>
    <w:rPr>
      <w:rFonts w:ascii="Arial" w:hAnsi="Arial"/>
    </w:rPr>
  </w:style>
  <w:style w:type="character" w:styleId="1059" w:customStyle="1">
    <w:name w:val="正文文本缩进 Char1"/>
    <w:link w:val="1057"/>
    <w:uiPriority w:val="99"/>
    <w:qFormat/>
    <w:rPr>
      <w:rFonts w:ascii="宋体" w:hAnsi="MS Sans Serif"/>
      <w:spacing w:val="12"/>
      <w:sz w:val="24"/>
    </w:rPr>
  </w:style>
  <w:style w:type="paragraph" w:styleId="1060" w:customStyle="1">
    <w:name w:val="文本块1"/>
    <w:basedOn w:val="797"/>
    <w:uiPriority w:val="0"/>
    <w:qFormat/>
    <w:pPr>
      <w:ind w:left="420" w:right="33"/>
      <w:jc w:val="left"/>
    </w:pPr>
    <w:rPr>
      <w:sz w:val="24"/>
    </w:rPr>
  </w:style>
  <w:style w:type="paragraph" w:styleId="1061" w:customStyle="1">
    <w:name w:val="索引 411"/>
    <w:basedOn w:val="797"/>
    <w:next w:val="797"/>
    <w:uiPriority w:val="99"/>
    <w:qFormat/>
    <w:pPr>
      <w:ind w:left="840" w:hanging="210"/>
      <w:jc w:val="left"/>
      <w:spacing w:line="240" w:lineRule="auto"/>
    </w:pPr>
    <w:rPr>
      <w:sz w:val="20"/>
    </w:rPr>
  </w:style>
  <w:style w:type="paragraph" w:styleId="1062" w:customStyle="1">
    <w:name w:val="目录 51"/>
    <w:basedOn w:val="797"/>
    <w:next w:val="797"/>
    <w:uiPriority w:val="99"/>
    <w:qFormat/>
    <w:pPr>
      <w:ind w:firstLine="300"/>
      <w:jc w:val="left"/>
      <w:spacing w:line="240" w:lineRule="auto"/>
      <w:tabs>
        <w:tab w:val="right" w:pos="9241" w:leader="dot"/>
      </w:tabs>
    </w:pPr>
    <w:rPr>
      <w:rFonts w:ascii="宋体"/>
      <w:szCs w:val="21"/>
    </w:rPr>
  </w:style>
  <w:style w:type="paragraph" w:styleId="1063" w:customStyle="1">
    <w:name w:val="目录 31"/>
    <w:basedOn w:val="797"/>
    <w:next w:val="797"/>
    <w:uiPriority w:val="39"/>
    <w:qFormat/>
    <w:pPr>
      <w:ind w:firstLine="102"/>
      <w:jc w:val="left"/>
      <w:spacing w:line="240" w:lineRule="auto"/>
      <w:tabs>
        <w:tab w:val="right" w:pos="9241" w:leader="dot"/>
      </w:tabs>
    </w:pPr>
    <w:rPr>
      <w:rFonts w:ascii="宋体"/>
      <w:szCs w:val="21"/>
    </w:rPr>
  </w:style>
  <w:style w:type="paragraph" w:styleId="1064" w:customStyle="1">
    <w:name w:val="纯文本1"/>
    <w:basedOn w:val="797"/>
    <w:link w:val="1065"/>
    <w:uiPriority w:val="0"/>
    <w:qFormat/>
    <w:rPr>
      <w:rFonts w:ascii="宋体" w:hAnsi="Courier New"/>
    </w:rPr>
  </w:style>
  <w:style w:type="character" w:styleId="1065" w:customStyle="1">
    <w:name w:val="纯文本 Char"/>
    <w:link w:val="1064"/>
    <w:uiPriority w:val="0"/>
    <w:qFormat/>
    <w:rPr>
      <w:rFonts w:ascii="宋体" w:hAnsi="Courier New" w:eastAsia="宋体"/>
      <w:sz w:val="21"/>
      <w:lang w:val="en-US" w:eastAsia="zh-CN" w:bidi="ar-SA"/>
    </w:rPr>
  </w:style>
  <w:style w:type="paragraph" w:styleId="1066" w:customStyle="1">
    <w:name w:val="目录 81"/>
    <w:basedOn w:val="797"/>
    <w:next w:val="797"/>
    <w:uiPriority w:val="99"/>
    <w:qFormat/>
    <w:pPr>
      <w:ind w:left="71"/>
    </w:pPr>
  </w:style>
  <w:style w:type="paragraph" w:styleId="1067" w:customStyle="1">
    <w:name w:val="索引 31"/>
    <w:basedOn w:val="797"/>
    <w:next w:val="797"/>
    <w:uiPriority w:val="99"/>
    <w:qFormat/>
    <w:pPr>
      <w:ind w:left="630" w:hanging="210"/>
      <w:jc w:val="left"/>
      <w:spacing w:line="240" w:lineRule="auto"/>
    </w:pPr>
    <w:rPr>
      <w:sz w:val="20"/>
    </w:rPr>
  </w:style>
  <w:style w:type="paragraph" w:styleId="1068" w:customStyle="1">
    <w:name w:val="日期1"/>
    <w:basedOn w:val="797"/>
    <w:next w:val="797"/>
    <w:link w:val="1069"/>
    <w:uiPriority w:val="99"/>
    <w:qFormat/>
    <w:rPr>
      <w:sz w:val="24"/>
    </w:rPr>
  </w:style>
  <w:style w:type="character" w:styleId="1069" w:customStyle="1">
    <w:name w:val="日期 Char"/>
    <w:link w:val="1068"/>
    <w:uiPriority w:val="99"/>
    <w:qFormat/>
    <w:rPr>
      <w:sz w:val="24"/>
    </w:rPr>
  </w:style>
  <w:style w:type="paragraph" w:styleId="1070" w:customStyle="1">
    <w:name w:val="正文文本缩进 21"/>
    <w:basedOn w:val="797"/>
    <w:link w:val="1071"/>
    <w:uiPriority w:val="99"/>
    <w:qFormat/>
    <w:pPr>
      <w:ind w:left="420"/>
      <w:spacing w:after="120" w:line="480" w:lineRule="auto"/>
    </w:pPr>
    <w:rPr>
      <w:szCs w:val="24"/>
    </w:rPr>
  </w:style>
  <w:style w:type="character" w:styleId="1071" w:customStyle="1">
    <w:name w:val="正文文本缩进 2 Char"/>
    <w:link w:val="1070"/>
    <w:uiPriority w:val="99"/>
    <w:qFormat/>
    <w:rPr>
      <w:sz w:val="21"/>
      <w:szCs w:val="24"/>
    </w:rPr>
  </w:style>
  <w:style w:type="paragraph" w:styleId="1072" w:customStyle="1">
    <w:name w:val="尾注文本1"/>
    <w:basedOn w:val="797"/>
    <w:link w:val="1073"/>
    <w:uiPriority w:val="99"/>
    <w:qFormat/>
    <w:pPr>
      <w:jc w:val="left"/>
      <w:spacing w:line="240" w:lineRule="auto"/>
    </w:pPr>
    <w:rPr>
      <w:sz w:val="24"/>
    </w:rPr>
  </w:style>
  <w:style w:type="character" w:styleId="1073" w:customStyle="1">
    <w:name w:val="尾注文本 Char"/>
    <w:link w:val="1072"/>
    <w:uiPriority w:val="99"/>
    <w:qFormat/>
    <w:rPr>
      <w:rFonts w:ascii="Times New Roman" w:hAnsi="Times New Roman"/>
      <w:sz w:val="24"/>
    </w:rPr>
  </w:style>
  <w:style w:type="paragraph" w:styleId="1074" w:customStyle="1">
    <w:name w:val="批注框文本1"/>
    <w:basedOn w:val="797"/>
    <w:link w:val="1075"/>
    <w:uiPriority w:val="99"/>
    <w:qFormat/>
    <w:rPr>
      <w:sz w:val="18"/>
      <w:szCs w:val="18"/>
    </w:rPr>
  </w:style>
  <w:style w:type="character" w:styleId="1075" w:customStyle="1">
    <w:name w:val="批注框文本 Char"/>
    <w:link w:val="1074"/>
    <w:uiPriority w:val="99"/>
    <w:qFormat/>
    <w:rPr>
      <w:sz w:val="18"/>
      <w:szCs w:val="18"/>
    </w:rPr>
  </w:style>
  <w:style w:type="paragraph" w:styleId="1076" w:customStyle="1">
    <w:name w:val="页脚1"/>
    <w:basedOn w:val="797"/>
    <w:link w:val="1077"/>
    <w:uiPriority w:val="99"/>
    <w:qFormat/>
    <w:pPr>
      <w:jc w:val="left"/>
      <w:tabs>
        <w:tab w:val="center" w:pos="4153" w:leader="none"/>
        <w:tab w:val="right" w:pos="8306" w:leader="none"/>
      </w:tabs>
    </w:pPr>
    <w:rPr>
      <w:sz w:val="18"/>
      <w:szCs w:val="18"/>
    </w:rPr>
  </w:style>
  <w:style w:type="character" w:styleId="1077" w:customStyle="1">
    <w:name w:val="页脚 Char"/>
    <w:link w:val="1076"/>
    <w:uiPriority w:val="99"/>
    <w:qFormat/>
    <w:rPr>
      <w:sz w:val="18"/>
      <w:szCs w:val="18"/>
    </w:rPr>
  </w:style>
  <w:style w:type="paragraph" w:styleId="1078" w:customStyle="1">
    <w:name w:val="页眉1"/>
    <w:basedOn w:val="797"/>
    <w:link w:val="1079"/>
    <w:uiPriority w:val="99"/>
    <w:qFormat/>
    <w:pPr>
      <w:jc w:val="center"/>
      <w:tabs>
        <w:tab w:val="center" w:pos="4153" w:leader="none"/>
        <w:tab w:val="right" w:pos="8306" w:leader="none"/>
      </w:tabs>
      <w:pBdr>
        <w:bottom w:val="single" w:color="000000" w:sz="6" w:space="1"/>
      </w:pBdr>
    </w:pPr>
    <w:rPr>
      <w:sz w:val="18"/>
      <w:szCs w:val="18"/>
    </w:rPr>
  </w:style>
  <w:style w:type="character" w:styleId="1079" w:customStyle="1">
    <w:name w:val="页眉 Char"/>
    <w:link w:val="1078"/>
    <w:uiPriority w:val="99"/>
    <w:qFormat/>
    <w:rPr>
      <w:sz w:val="18"/>
      <w:szCs w:val="18"/>
    </w:rPr>
  </w:style>
  <w:style w:type="paragraph" w:styleId="1080" w:customStyle="1">
    <w:name w:val="目录 11"/>
    <w:basedOn w:val="797"/>
    <w:next w:val="797"/>
    <w:uiPriority w:val="39"/>
    <w:qFormat/>
    <w:pPr>
      <w:jc w:val="center"/>
      <w:spacing w:before="120" w:after="120"/>
      <w:tabs>
        <w:tab w:val="right" w:pos="9170" w:leader="dot"/>
      </w:tabs>
    </w:pPr>
    <w:rPr>
      <w:rFonts w:eastAsia="文鼎小标宋简"/>
      <w:caps/>
      <w:sz w:val="32"/>
      <w:szCs w:val="32"/>
    </w:rPr>
  </w:style>
  <w:style w:type="paragraph" w:styleId="1081" w:customStyle="1">
    <w:name w:val="目录 41"/>
    <w:basedOn w:val="797"/>
    <w:next w:val="797"/>
    <w:uiPriority w:val="99"/>
    <w:qFormat/>
    <w:pPr>
      <w:ind w:firstLine="198"/>
      <w:jc w:val="left"/>
      <w:spacing w:line="240" w:lineRule="auto"/>
      <w:tabs>
        <w:tab w:val="right" w:pos="9241" w:leader="dot"/>
      </w:tabs>
    </w:pPr>
    <w:rPr>
      <w:rFonts w:ascii="宋体"/>
      <w:szCs w:val="21"/>
    </w:rPr>
  </w:style>
  <w:style w:type="paragraph" w:styleId="1082" w:customStyle="1">
    <w:name w:val="索引标题1"/>
    <w:basedOn w:val="797"/>
    <w:next w:val="1083"/>
    <w:uiPriority w:val="99"/>
    <w:qFormat/>
    <w:pPr>
      <w:jc w:val="center"/>
      <w:spacing w:before="120" w:after="120" w:line="240" w:lineRule="auto"/>
    </w:pPr>
    <w:rPr>
      <w:b/>
      <w:bCs/>
      <w:iCs/>
    </w:rPr>
  </w:style>
  <w:style w:type="paragraph" w:styleId="1083" w:customStyle="1">
    <w:name w:val="索引 11"/>
    <w:basedOn w:val="797"/>
    <w:next w:val="797"/>
    <w:uiPriority w:val="99"/>
    <w:unhideWhenUsed/>
    <w:qFormat/>
    <w:pPr>
      <w:spacing w:line="240" w:lineRule="auto"/>
    </w:pPr>
  </w:style>
  <w:style w:type="paragraph" w:styleId="1084" w:customStyle="1">
    <w:name w:val="副标题11"/>
    <w:basedOn w:val="797"/>
    <w:next w:val="797"/>
    <w:link w:val="1085"/>
    <w:uiPriority w:val="99"/>
    <w:qFormat/>
    <w:pPr>
      <w:jc w:val="center"/>
      <w:spacing w:before="240" w:after="60" w:line="312" w:lineRule="auto"/>
      <w:outlineLvl w:val="1"/>
    </w:pPr>
    <w:rPr>
      <w:rFonts w:ascii="Cambria" w:hAnsi="Cambria"/>
      <w:b/>
      <w:sz w:val="32"/>
    </w:rPr>
  </w:style>
  <w:style w:type="character" w:styleId="1085" w:customStyle="1">
    <w:name w:val="副标题 Char"/>
    <w:link w:val="1084"/>
    <w:uiPriority w:val="99"/>
    <w:qFormat/>
    <w:rPr>
      <w:rFonts w:ascii="Cambria" w:hAnsi="Cambria"/>
      <w:b/>
      <w:sz w:val="32"/>
    </w:rPr>
  </w:style>
  <w:style w:type="paragraph" w:styleId="1086" w:customStyle="1">
    <w:name w:val="列表1"/>
    <w:basedOn w:val="797"/>
    <w:uiPriority w:val="99"/>
    <w:qFormat/>
    <w:pPr>
      <w:contextualSpacing/>
      <w:ind w:left="200" w:hanging="200"/>
      <w:spacing w:line="240" w:lineRule="auto"/>
    </w:pPr>
  </w:style>
  <w:style w:type="paragraph" w:styleId="1087" w:customStyle="1">
    <w:name w:val="脚注文本1"/>
    <w:basedOn w:val="797"/>
    <w:next w:val="1046"/>
    <w:link w:val="1088"/>
    <w:uiPriority w:val="99"/>
    <w:qFormat/>
    <w:pPr>
      <w:ind w:left="720" w:hanging="357"/>
      <w:jc w:val="left"/>
      <w:spacing w:line="240" w:lineRule="auto"/>
      <w:tabs>
        <w:tab w:val="left" w:pos="0" w:leader="none"/>
      </w:tabs>
    </w:pPr>
    <w:rPr>
      <w:rFonts w:ascii="宋体"/>
      <w:sz w:val="18"/>
      <w:lang w:val="zh-CN"/>
    </w:rPr>
  </w:style>
  <w:style w:type="character" w:styleId="1088" w:customStyle="1">
    <w:name w:val="脚注文本 Char"/>
    <w:link w:val="1087"/>
    <w:uiPriority w:val="99"/>
    <w:qFormat/>
    <w:rPr>
      <w:rFonts w:ascii="宋体" w:hAnsi="Times New Roman"/>
      <w:sz w:val="18"/>
      <w:lang w:val="zh-CN"/>
    </w:rPr>
  </w:style>
  <w:style w:type="paragraph" w:styleId="1089" w:customStyle="1">
    <w:name w:val="目录 611"/>
    <w:basedOn w:val="797"/>
    <w:next w:val="797"/>
    <w:uiPriority w:val="99"/>
    <w:qFormat/>
    <w:pPr>
      <w:ind w:firstLine="403"/>
      <w:jc w:val="left"/>
      <w:spacing w:line="240" w:lineRule="auto"/>
      <w:tabs>
        <w:tab w:val="right" w:pos="9241" w:leader="dot"/>
      </w:tabs>
    </w:pPr>
    <w:rPr>
      <w:rFonts w:ascii="宋体"/>
      <w:szCs w:val="21"/>
    </w:rPr>
  </w:style>
  <w:style w:type="paragraph" w:styleId="1090" w:customStyle="1">
    <w:name w:val="正文文本缩进 31"/>
    <w:basedOn w:val="797"/>
    <w:link w:val="1091"/>
    <w:uiPriority w:val="99"/>
    <w:qFormat/>
    <w:pPr>
      <w:ind w:firstLine="540"/>
      <w:widowControl/>
    </w:pPr>
    <w:rPr>
      <w:rFonts w:ascii="宋体" w:hAnsi="MS Sans Serif"/>
      <w:color w:val="000000"/>
      <w:sz w:val="24"/>
    </w:rPr>
  </w:style>
  <w:style w:type="character" w:styleId="1091" w:customStyle="1">
    <w:name w:val="正文文本缩进 3 Char"/>
    <w:link w:val="1090"/>
    <w:uiPriority w:val="99"/>
    <w:qFormat/>
    <w:rPr>
      <w:rFonts w:ascii="宋体" w:hAnsi="MS Sans Serif"/>
      <w:color w:val="000000"/>
      <w:sz w:val="24"/>
    </w:rPr>
  </w:style>
  <w:style w:type="paragraph" w:styleId="1092" w:customStyle="1">
    <w:name w:val="索引 71"/>
    <w:basedOn w:val="797"/>
    <w:next w:val="797"/>
    <w:uiPriority w:val="99"/>
    <w:qFormat/>
    <w:pPr>
      <w:ind w:left="1470" w:hanging="210"/>
      <w:jc w:val="left"/>
      <w:spacing w:line="240" w:lineRule="auto"/>
    </w:pPr>
    <w:rPr>
      <w:sz w:val="20"/>
    </w:rPr>
  </w:style>
  <w:style w:type="paragraph" w:styleId="1093" w:customStyle="1">
    <w:name w:val="索引 91"/>
    <w:basedOn w:val="797"/>
    <w:next w:val="797"/>
    <w:uiPriority w:val="99"/>
    <w:qFormat/>
    <w:pPr>
      <w:ind w:left="1890" w:hanging="210"/>
      <w:jc w:val="left"/>
      <w:spacing w:line="240" w:lineRule="auto"/>
    </w:pPr>
    <w:rPr>
      <w:sz w:val="20"/>
    </w:rPr>
  </w:style>
  <w:style w:type="paragraph" w:styleId="1094" w:customStyle="1">
    <w:name w:val="图表目录1"/>
    <w:basedOn w:val="797"/>
    <w:next w:val="797"/>
    <w:uiPriority w:val="99"/>
    <w:qFormat/>
    <w:pPr>
      <w:ind w:left="200" w:hanging="200"/>
      <w:spacing w:line="240" w:lineRule="auto"/>
    </w:pPr>
    <w:rPr>
      <w:szCs w:val="21"/>
    </w:rPr>
  </w:style>
  <w:style w:type="paragraph" w:styleId="1095" w:customStyle="1">
    <w:name w:val="目录 21"/>
    <w:basedOn w:val="797"/>
    <w:next w:val="797"/>
    <w:uiPriority w:val="39"/>
    <w:qFormat/>
    <w:pPr>
      <w:ind w:left="210" w:firstLine="150"/>
      <w:jc w:val="left"/>
      <w:tabs>
        <w:tab w:val="right" w:pos="9170" w:leader="dot"/>
      </w:tabs>
    </w:pPr>
    <w:rPr>
      <w:smallCaps/>
      <w:sz w:val="20"/>
    </w:rPr>
  </w:style>
  <w:style w:type="paragraph" w:styleId="1096" w:customStyle="1">
    <w:name w:val="目录 91"/>
    <w:basedOn w:val="797"/>
    <w:next w:val="797"/>
    <w:uiPriority w:val="99"/>
    <w:qFormat/>
    <w:pPr>
      <w:ind w:left="1470"/>
      <w:jc w:val="left"/>
      <w:spacing w:line="240" w:lineRule="auto"/>
    </w:pPr>
    <w:rPr>
      <w:sz w:val="20"/>
    </w:rPr>
  </w:style>
  <w:style w:type="paragraph" w:styleId="1097" w:customStyle="1">
    <w:name w:val="正文文本 21"/>
    <w:basedOn w:val="797"/>
    <w:link w:val="1098"/>
    <w:uiPriority w:val="99"/>
    <w:qFormat/>
    <w:pPr>
      <w:spacing w:after="120" w:line="480" w:lineRule="auto"/>
    </w:pPr>
  </w:style>
  <w:style w:type="character" w:styleId="1098" w:customStyle="1">
    <w:name w:val="正文文本 2 Char"/>
    <w:link w:val="1097"/>
    <w:uiPriority w:val="99"/>
    <w:qFormat/>
    <w:rPr>
      <w:sz w:val="21"/>
    </w:rPr>
  </w:style>
  <w:style w:type="paragraph" w:styleId="1099" w:customStyle="1">
    <w:name w:val="HTML 预设格式1"/>
    <w:basedOn w:val="797"/>
    <w:link w:val="1100"/>
    <w:uiPriority w:val="99"/>
    <w:qFormat/>
    <w:pPr>
      <w:spacing w:line="240" w:lineRule="auto"/>
    </w:pPr>
    <w:rPr>
      <w:rFonts w:ascii="Courier New" w:hAnsi="Courier New"/>
      <w:sz w:val="20"/>
    </w:rPr>
  </w:style>
  <w:style w:type="character" w:styleId="1100" w:customStyle="1">
    <w:name w:val="HTML 预设格式 Char"/>
    <w:link w:val="1099"/>
    <w:uiPriority w:val="99"/>
    <w:qFormat/>
    <w:rPr>
      <w:rFonts w:ascii="Courier New" w:hAnsi="Courier New"/>
    </w:rPr>
  </w:style>
  <w:style w:type="paragraph" w:styleId="1101" w:customStyle="1">
    <w:name w:val="普通(网站)1"/>
    <w:basedOn w:val="797"/>
    <w:uiPriority w:val="99"/>
    <w:qFormat/>
    <w:pPr>
      <w:jc w:val="left"/>
      <w:spacing w:before="100" w:beforeAutospacing="1" w:after="100" w:afterAutospacing="1"/>
      <w:widowControl/>
    </w:pPr>
    <w:rPr>
      <w:rFonts w:ascii="宋体" w:hAnsi="宋体" w:cs="宋体"/>
      <w:sz w:val="24"/>
      <w:szCs w:val="24"/>
    </w:rPr>
  </w:style>
  <w:style w:type="paragraph" w:styleId="1102" w:customStyle="1">
    <w:name w:val="索引 21"/>
    <w:basedOn w:val="797"/>
    <w:next w:val="797"/>
    <w:uiPriority w:val="99"/>
    <w:qFormat/>
    <w:pPr>
      <w:ind w:left="420" w:hanging="210"/>
      <w:jc w:val="left"/>
      <w:spacing w:line="240" w:lineRule="auto"/>
    </w:pPr>
    <w:rPr>
      <w:sz w:val="20"/>
    </w:rPr>
  </w:style>
  <w:style w:type="paragraph" w:styleId="1103" w:customStyle="1">
    <w:name w:val="标题1"/>
    <w:basedOn w:val="797"/>
    <w:next w:val="797"/>
    <w:link w:val="1104"/>
    <w:uiPriority w:val="0"/>
    <w:qFormat/>
    <w:pPr>
      <w:jc w:val="center"/>
      <w:spacing w:before="240" w:after="60" w:line="240" w:lineRule="auto"/>
      <w:outlineLvl w:val="0"/>
    </w:pPr>
    <w:rPr>
      <w:rFonts w:ascii="Cambria" w:hAnsi="Cambria" w:eastAsia="黑体"/>
      <w:bCs/>
      <w:sz w:val="28"/>
      <w:szCs w:val="32"/>
    </w:rPr>
  </w:style>
  <w:style w:type="character" w:styleId="1104" w:customStyle="1">
    <w:name w:val="标题 Char"/>
    <w:link w:val="1103"/>
    <w:uiPriority w:val="0"/>
    <w:qFormat/>
    <w:rPr>
      <w:rFonts w:ascii="Cambria" w:hAnsi="Cambria" w:eastAsia="黑体"/>
      <w:bCs/>
      <w:sz w:val="28"/>
      <w:szCs w:val="32"/>
    </w:rPr>
  </w:style>
  <w:style w:type="paragraph" w:styleId="1105" w:customStyle="1">
    <w:name w:val="批注主题1"/>
    <w:basedOn w:val="1049"/>
    <w:next w:val="1049"/>
    <w:link w:val="1106"/>
    <w:uiPriority w:val="99"/>
    <w:qFormat/>
    <w:pPr>
      <w:spacing w:line="240" w:lineRule="auto"/>
    </w:pPr>
  </w:style>
  <w:style w:type="character" w:styleId="1106" w:customStyle="1">
    <w:name w:val="批注主题 Char"/>
    <w:link w:val="1105"/>
    <w:uiPriority w:val="99"/>
    <w:qFormat/>
    <w:rPr>
      <w:sz w:val="24"/>
    </w:rPr>
  </w:style>
  <w:style w:type="paragraph" w:styleId="1107" w:customStyle="1">
    <w:name w:val="正文首行缩进11"/>
    <w:basedOn w:val="1108"/>
    <w:link w:val="1109"/>
    <w:uiPriority w:val="99"/>
    <w:qFormat/>
    <w:pPr>
      <w:ind w:firstLine="420"/>
      <w:spacing w:after="120" w:line="240" w:lineRule="auto"/>
    </w:pPr>
    <w:rPr>
      <w:rFonts w:ascii="Times New Roman" w:eastAsia="宋体"/>
      <w:b/>
      <w:bCs w:val="0"/>
      <w:sz w:val="21"/>
      <w:szCs w:val="24"/>
    </w:rPr>
  </w:style>
  <w:style w:type="paragraph" w:styleId="1108" w:customStyle="1">
    <w:name w:val="正文文本11"/>
    <w:next w:val="1055"/>
    <w:uiPriority w:val="99"/>
    <w:qFormat/>
    <w:pPr>
      <w:jc w:val="both"/>
      <w:widowControl w:val="off"/>
    </w:pPr>
    <w:rPr>
      <w:rFonts w:hint="default" w:ascii="华文中宋" w:hAnsi="Times New Roman" w:eastAsia="华文中宋" w:cs="Times New Roman"/>
      <w:bCs/>
      <w:sz w:val="28"/>
      <w:lang w:val="en-US" w:eastAsia="zh-CN" w:bidi="ar-SA"/>
    </w:rPr>
  </w:style>
  <w:style w:type="character" w:styleId="1109" w:customStyle="1">
    <w:name w:val="正文首行缩进 Char"/>
    <w:link w:val="1107"/>
    <w:uiPriority w:val="99"/>
    <w:qFormat/>
    <w:rPr>
      <w:b/>
      <w:sz w:val="21"/>
      <w:szCs w:val="24"/>
    </w:rPr>
  </w:style>
  <w:style w:type="paragraph" w:styleId="1110" w:customStyle="1">
    <w:name w:val="正文首行缩进 21"/>
    <w:basedOn w:val="1057"/>
    <w:next w:val="797"/>
    <w:link w:val="1111"/>
    <w:uiPriority w:val="99"/>
    <w:qFormat/>
    <w:pPr>
      <w:ind w:left="420" w:firstLine="420"/>
      <w:spacing w:after="120" w:line="240" w:lineRule="auto"/>
      <w:widowControl w:val="off"/>
    </w:pPr>
    <w:rPr>
      <w:rFonts w:ascii="Times New Roman" w:hAnsi="Times New Roman"/>
      <w:spacing w:val="0"/>
      <w:sz w:val="21"/>
    </w:rPr>
  </w:style>
  <w:style w:type="character" w:styleId="1111" w:customStyle="1">
    <w:name w:val="正文首行缩进 2 Char"/>
    <w:link w:val="1110"/>
    <w:uiPriority w:val="99"/>
    <w:qFormat/>
    <w:rPr>
      <w:rFonts w:ascii="Times New Roman" w:hAnsi="Times New Roman"/>
      <w:sz w:val="21"/>
    </w:rPr>
  </w:style>
  <w:style w:type="table" w:styleId="1112" w:customStyle="1">
    <w:name w:val="网格型11"/>
    <w:basedOn w:val="1032"/>
    <w:uiPriority w:val="39"/>
    <w:qFormat/>
    <w:tblPr/>
  </w:style>
  <w:style w:type="character" w:styleId="1113" w:customStyle="1">
    <w:name w:val="要点1"/>
    <w:uiPriority w:val="99"/>
    <w:qFormat/>
    <w:rPr>
      <w:rFonts w:cs="Times New Roman"/>
      <w:b/>
    </w:rPr>
  </w:style>
  <w:style w:type="character" w:styleId="1114" w:customStyle="1">
    <w:name w:val="页码1"/>
    <w:uiPriority w:val="99"/>
    <w:qFormat/>
  </w:style>
  <w:style w:type="character" w:styleId="1115" w:customStyle="1">
    <w:name w:val="已访问的超链接11"/>
    <w:uiPriority w:val="99"/>
    <w:qFormat/>
    <w:rPr>
      <w:color w:val="800080"/>
      <w:u w:val="single"/>
    </w:rPr>
  </w:style>
  <w:style w:type="character" w:styleId="1116" w:customStyle="1">
    <w:name w:val="强调1"/>
    <w:uiPriority w:val="99"/>
    <w:qFormat/>
    <w:rPr>
      <w:rFonts w:cs="Times New Roman"/>
      <w:i/>
    </w:rPr>
  </w:style>
  <w:style w:type="character" w:styleId="1117" w:customStyle="1">
    <w:name w:val="HTML 打字机1"/>
    <w:uiPriority w:val="99"/>
    <w:qFormat/>
    <w:rPr>
      <w:rFonts w:ascii="宋体" w:hAnsi="宋体" w:eastAsia="宋体" w:cs="宋体"/>
      <w:sz w:val="24"/>
      <w:szCs w:val="24"/>
    </w:rPr>
  </w:style>
  <w:style w:type="character" w:styleId="1118" w:customStyle="1">
    <w:name w:val="超链接1"/>
    <w:uiPriority w:val="99"/>
    <w:qFormat/>
    <w:rPr>
      <w:color w:val="0000ff"/>
      <w:u w:val="single"/>
    </w:rPr>
  </w:style>
  <w:style w:type="character" w:styleId="1119" w:customStyle="1">
    <w:name w:val="批注引用1"/>
    <w:uiPriority w:val="99"/>
    <w:qFormat/>
    <w:rPr>
      <w:sz w:val="21"/>
      <w:szCs w:val="21"/>
    </w:rPr>
  </w:style>
  <w:style w:type="paragraph" w:styleId="1120" w:customStyle="1">
    <w:name w:val="toc 11"/>
    <w:next w:val="797"/>
    <w:uiPriority w:val="0"/>
    <w:qFormat/>
    <w:pPr>
      <w:jc w:val="both"/>
    </w:pPr>
    <w:rPr>
      <w:rFonts w:hint="default" w:ascii="Calibri" w:hAnsi="Calibri" w:eastAsia="宋体" w:cs="Times New Roman"/>
      <w:sz w:val="21"/>
      <w:lang w:val="en-US" w:eastAsia="zh-CN" w:bidi="ar-SA"/>
    </w:rPr>
  </w:style>
  <w:style w:type="paragraph" w:styleId="1121" w:customStyle="1">
    <w:name w:val="_Style 1"/>
    <w:basedOn w:val="797"/>
    <w:uiPriority w:val="0"/>
    <w:qFormat/>
    <w:pPr>
      <w:ind w:firstLine="420"/>
    </w:pPr>
  </w:style>
  <w:style w:type="character" w:styleId="1122" w:customStyle="1">
    <w:name w:val="标题5 Char Char"/>
    <w:link w:val="1123"/>
    <w:uiPriority w:val="99"/>
    <w:qFormat/>
    <w:rPr>
      <w:rFonts w:ascii="Arial" w:hAnsi="Arial"/>
      <w:b/>
      <w:sz w:val="32"/>
    </w:rPr>
  </w:style>
  <w:style w:type="paragraph" w:styleId="1123" w:customStyle="1">
    <w:name w:val="标题5"/>
    <w:basedOn w:val="1023"/>
    <w:link w:val="1122"/>
    <w:uiPriority w:val="99"/>
    <w:qFormat/>
    <w:pPr>
      <w:ind w:left="0" w:firstLine="0"/>
      <w:jc w:val="both"/>
      <w:spacing w:before="260" w:after="260" w:line="413" w:lineRule="auto"/>
      <w:widowControl w:val="off"/>
      <w:tabs>
        <w:tab w:val="clear" w:pos="720" w:leader="none"/>
      </w:tabs>
    </w:pPr>
    <w:rPr>
      <w:rFonts w:ascii="Arial" w:hAnsi="Arial"/>
    </w:rPr>
  </w:style>
  <w:style w:type="character" w:styleId="1124" w:customStyle="1">
    <w:name w:val="页脚 字符"/>
    <w:uiPriority w:val="0"/>
    <w:qFormat/>
    <w:rPr>
      <w:rFonts w:ascii="仿宋" w:hAnsi="仿宋" w:eastAsia="仿宋" w:cs="仿宋"/>
      <w:sz w:val="18"/>
      <w:szCs w:val="24"/>
    </w:rPr>
  </w:style>
  <w:style w:type="character" w:styleId="1125" w:customStyle="1">
    <w:name w:val="Variable"/>
    <w:uiPriority w:val="99"/>
    <w:qFormat/>
    <w:rPr>
      <w:i/>
    </w:rPr>
  </w:style>
  <w:style w:type="character" w:styleId="1126" w:customStyle="1">
    <w:name w:val="Char Char33"/>
    <w:uiPriority w:val="99"/>
    <w:qFormat/>
    <w:rPr>
      <w:rFonts w:ascii="Tahoma" w:hAnsi="Tahoma" w:eastAsia="幼圆"/>
      <w:sz w:val="21"/>
    </w:rPr>
  </w:style>
  <w:style w:type="character" w:styleId="1127" w:customStyle="1">
    <w:name w:val="普通文字 Char1"/>
    <w:uiPriority w:val="0"/>
    <w:qFormat/>
    <w:rPr>
      <w:rFonts w:ascii="宋体" w:hAnsi="Courier New" w:eastAsia="宋体"/>
      <w:sz w:val="21"/>
      <w:lang w:val="en-US" w:eastAsia="zh-CN" w:bidi="ar-SA"/>
    </w:rPr>
  </w:style>
  <w:style w:type="character" w:styleId="1128" w:customStyle="1">
    <w:name w:val="font101"/>
    <w:uiPriority w:val="0"/>
    <w:qFormat/>
    <w:rPr>
      <w:rFonts w:hint="eastAsia" w:ascii="宋体" w:hAnsi="宋体" w:eastAsia="宋体" w:cs="宋体"/>
      <w:color w:val="000000"/>
      <w:sz w:val="20"/>
      <w:szCs w:val="20"/>
      <w:u w:val="none"/>
    </w:rPr>
  </w:style>
  <w:style w:type="character" w:styleId="1129" w:customStyle="1">
    <w:name w:val="qowt-font2"/>
    <w:uiPriority w:val="0"/>
    <w:qFormat/>
  </w:style>
  <w:style w:type="character" w:styleId="1130" w:customStyle="1">
    <w:name w:val="Char Char39"/>
    <w:uiPriority w:val="99"/>
    <w:qFormat/>
    <w:rPr>
      <w:rFonts w:ascii="华文细黑" w:hAnsi="华文细黑" w:eastAsia="幼圆"/>
      <w:b/>
      <w:sz w:val="30"/>
    </w:rPr>
  </w:style>
  <w:style w:type="character" w:styleId="1131" w:customStyle="1">
    <w:name w:val="font61"/>
    <w:uiPriority w:val="0"/>
    <w:qFormat/>
    <w:rPr>
      <w:rFonts w:hint="eastAsia" w:ascii="宋体" w:hAnsi="宋体" w:eastAsia="宋体" w:cs="宋体"/>
      <w:color w:val="000000"/>
      <w:sz w:val="20"/>
      <w:szCs w:val="20"/>
      <w:u w:val="none"/>
    </w:rPr>
  </w:style>
  <w:style w:type="character" w:styleId="1132" w:customStyle="1">
    <w:name w:val="Char Char3"/>
    <w:uiPriority w:val="99"/>
    <w:qFormat/>
    <w:rPr>
      <w:rFonts w:ascii="黑体" w:hAnsi="宋体" w:eastAsia="黑体"/>
      <w:b/>
      <w:sz w:val="24"/>
      <w:lang w:val="en-US" w:eastAsia="zh-CN"/>
    </w:rPr>
  </w:style>
  <w:style w:type="character" w:styleId="1133" w:customStyle="1">
    <w:name w:val="正文文本 Char1"/>
    <w:uiPriority w:val="99"/>
    <w:qFormat/>
    <w:rPr>
      <w:rFonts w:ascii="华文中宋" w:eastAsia="华文中宋"/>
      <w:sz w:val="28"/>
    </w:rPr>
  </w:style>
  <w:style w:type="character" w:styleId="1134" w:customStyle="1">
    <w:name w:val="标题 3 字符"/>
    <w:uiPriority w:val="99"/>
    <w:qFormat/>
    <w:rPr>
      <w:rFonts w:ascii="宋体" w:hAnsi="宋体" w:eastAsia="宋体" w:cs="宋体"/>
      <w:b/>
      <w:bCs/>
      <w:sz w:val="30"/>
      <w:szCs w:val="30"/>
    </w:rPr>
  </w:style>
  <w:style w:type="character" w:styleId="1135" w:customStyle="1">
    <w:name w:val="明显参考1"/>
    <w:uiPriority w:val="99"/>
    <w:qFormat/>
    <w:rPr>
      <w:b/>
      <w:smallCaps/>
      <w:color w:val="c0504d"/>
      <w:spacing w:val="5"/>
      <w:u w:val="single"/>
    </w:rPr>
  </w:style>
  <w:style w:type="character" w:styleId="1136" w:customStyle="1">
    <w:name w:val="已访问的超链接1"/>
    <w:uiPriority w:val="99"/>
    <w:qFormat/>
    <w:rPr>
      <w:color w:val="800080"/>
      <w:u w:val="single"/>
    </w:rPr>
  </w:style>
  <w:style w:type="character" w:styleId="1137" w:customStyle="1">
    <w:name w:val="正文文本首行缩进 2 字符"/>
    <w:uiPriority w:val="0"/>
    <w:qFormat/>
  </w:style>
  <w:style w:type="character" w:styleId="1138" w:customStyle="1">
    <w:name w:val="标题 6 字符"/>
    <w:uiPriority w:val="9"/>
    <w:semiHidden/>
    <w:qFormat/>
    <w:rPr>
      <w:rFonts w:ascii="Cambria" w:hAnsi="Cambria" w:eastAsia="宋体" w:cs="Times New Roman"/>
      <w:b/>
      <w:bCs/>
      <w:sz w:val="24"/>
      <w:szCs w:val="24"/>
    </w:rPr>
  </w:style>
  <w:style w:type="character" w:styleId="1139" w:customStyle="1">
    <w:name w:val="正文文本 + 间距 0 pt14"/>
    <w:uiPriority w:val="99"/>
    <w:qFormat/>
    <w:rPr>
      <w:rFonts w:ascii="MingLiU" w:eastAsia="MingLiU"/>
      <w:color w:val="0000fd"/>
      <w:spacing w:val="10"/>
      <w:sz w:val="19"/>
      <w:u w:val="none"/>
      <w:lang w:val="en-US" w:eastAsia="zh-CN"/>
    </w:rPr>
  </w:style>
  <w:style w:type="character" w:styleId="1140" w:customStyle="1">
    <w:name w:val="标题 4 字符"/>
    <w:uiPriority w:val="0"/>
    <w:qFormat/>
    <w:rPr>
      <w:rFonts w:ascii="Cambria" w:hAnsi="Cambria" w:eastAsia="宋体" w:cs="Times New Roman"/>
      <w:b/>
      <w:bCs/>
      <w:sz w:val="28"/>
      <w:szCs w:val="28"/>
    </w:rPr>
  </w:style>
  <w:style w:type="character" w:styleId="1141" w:customStyle="1">
    <w:name w:val="页眉 字符"/>
    <w:uiPriority w:val="0"/>
    <w:qFormat/>
    <w:rPr>
      <w:rFonts w:ascii="仿宋" w:hAnsi="仿宋" w:eastAsia="仿宋" w:cs="仿宋"/>
      <w:sz w:val="18"/>
      <w:szCs w:val="24"/>
    </w:rPr>
  </w:style>
  <w:style w:type="character" w:styleId="1142" w:customStyle="1">
    <w:name w:val="font81"/>
    <w:uiPriority w:val="0"/>
    <w:qFormat/>
    <w:rPr>
      <w:rFonts w:hint="eastAsia" w:ascii="宋体" w:hAnsi="宋体" w:eastAsia="宋体" w:cs="宋体"/>
      <w:color w:val="000000"/>
      <w:sz w:val="20"/>
      <w:szCs w:val="20"/>
      <w:u w:val="none"/>
    </w:rPr>
  </w:style>
  <w:style w:type="character" w:styleId="1143" w:customStyle="1">
    <w:name w:val="textcontents"/>
    <w:uiPriority w:val="99"/>
    <w:qFormat/>
  </w:style>
  <w:style w:type="character" w:styleId="1144" w:customStyle="1">
    <w:name w:val="Char Char38"/>
    <w:uiPriority w:val="99"/>
    <w:qFormat/>
    <w:rPr>
      <w:rFonts w:ascii="Tahoma" w:hAnsi="Tahoma" w:eastAsia="幼圆"/>
      <w:b/>
      <w:sz w:val="28"/>
    </w:rPr>
  </w:style>
  <w:style w:type="character" w:styleId="1145" w:customStyle="1">
    <w:name w:val="Char Char2"/>
    <w:uiPriority w:val="99"/>
    <w:semiHidden/>
    <w:qFormat/>
    <w:rPr>
      <w:rFonts w:eastAsia="宋体"/>
      <w:sz w:val="24"/>
      <w:lang w:val="en-US" w:eastAsia="zh-CN"/>
    </w:rPr>
  </w:style>
  <w:style w:type="character" w:styleId="1146" w:customStyle="1">
    <w:name w:val="副标题 Char1"/>
    <w:uiPriority w:val="99"/>
    <w:qFormat/>
    <w:rPr>
      <w:rFonts w:ascii="Cambria" w:hAnsi="Cambria"/>
      <w:b/>
      <w:sz w:val="32"/>
    </w:rPr>
  </w:style>
  <w:style w:type="character" w:styleId="1147" w:customStyle="1">
    <w:name w:val="Para head"/>
    <w:uiPriority w:val="0"/>
    <w:qFormat/>
    <w:rPr>
      <w:rFonts w:ascii="Arial" w:hAnsi="Arial" w:eastAsia="Times New Roman"/>
      <w:sz w:val="20"/>
    </w:rPr>
  </w:style>
  <w:style w:type="character" w:styleId="1148" w:customStyle="1">
    <w:name w:val="标题 1 字符"/>
    <w:uiPriority w:val="99"/>
    <w:qFormat/>
    <w:rPr>
      <w:rFonts w:ascii="宋体" w:hAnsi="宋体" w:eastAsia="宋体" w:cs="宋体"/>
      <w:b/>
      <w:sz w:val="30"/>
      <w:szCs w:val="30"/>
    </w:rPr>
  </w:style>
  <w:style w:type="character" w:styleId="1149" w:customStyle="1">
    <w:name w:val="不明显参考1"/>
    <w:uiPriority w:val="99"/>
    <w:qFormat/>
    <w:rPr>
      <w:smallCaps/>
      <w:color w:val="c0504d"/>
      <w:u w:val="single"/>
    </w:rPr>
  </w:style>
  <w:style w:type="character" w:styleId="1150" w:customStyle="1">
    <w:name w:val="font112"/>
    <w:basedOn w:val="807"/>
    <w:uiPriority w:val="0"/>
    <w:qFormat/>
    <w:rPr>
      <w:rFonts w:ascii="Calibri" w:hAnsi="Calibri" w:cs="Calibri"/>
      <w:color w:val="000000"/>
      <w:sz w:val="22"/>
      <w:szCs w:val="22"/>
      <w:u w:val="none"/>
    </w:rPr>
  </w:style>
  <w:style w:type="character" w:styleId="1151" w:customStyle="1">
    <w:name w:val="正文文本缩进 Char"/>
    <w:uiPriority w:val="99"/>
    <w:qFormat/>
    <w:rPr>
      <w:rFonts w:ascii="Times New Roman" w:hAnsi="Times New Roman" w:eastAsia="宋体" w:cs="Times New Roman"/>
      <w:szCs w:val="20"/>
    </w:rPr>
  </w:style>
  <w:style w:type="character" w:styleId="1152" w:customStyle="1">
    <w:name w:val="CITE"/>
    <w:uiPriority w:val="99"/>
    <w:qFormat/>
    <w:rPr>
      <w:i/>
    </w:rPr>
  </w:style>
  <w:style w:type="character" w:styleId="1153" w:customStyle="1">
    <w:name w:val="明显强调1"/>
    <w:uiPriority w:val="99"/>
    <w:qFormat/>
    <w:rPr>
      <w:b/>
      <w:i/>
      <w:color w:val="4f81bd"/>
    </w:rPr>
  </w:style>
  <w:style w:type="character" w:styleId="1154" w:customStyle="1">
    <w:name w:val="正文文本缩进 字符"/>
    <w:uiPriority w:val="0"/>
    <w:qFormat/>
    <w:rPr>
      <w:rFonts w:ascii="仿宋" w:hAnsi="仿宋" w:eastAsia="仿宋" w:cs="仿宋"/>
      <w:sz w:val="24"/>
      <w:szCs w:val="24"/>
    </w:rPr>
  </w:style>
  <w:style w:type="character" w:styleId="1155" w:customStyle="1">
    <w:name w:val="标题 2 字符"/>
    <w:uiPriority w:val="99"/>
    <w:qFormat/>
    <w:rPr>
      <w:rFonts w:ascii="Cambria" w:hAnsi="Cambria" w:eastAsia="宋体" w:cs="Times New Roman"/>
      <w:b/>
      <w:bCs/>
      <w:sz w:val="32"/>
      <w:szCs w:val="32"/>
    </w:rPr>
  </w:style>
  <w:style w:type="character" w:styleId="1156" w:customStyle="1">
    <w:name w:val="页眉 Char1"/>
    <w:uiPriority w:val="99"/>
    <w:qFormat/>
    <w:rPr>
      <w:sz w:val="18"/>
    </w:rPr>
  </w:style>
  <w:style w:type="character" w:styleId="1157" w:customStyle="1">
    <w:name w:val="批注主题 字符"/>
    <w:uiPriority w:val="99"/>
    <w:semiHidden/>
    <w:qFormat/>
    <w:rPr>
      <w:rFonts w:ascii="Times New Roman" w:hAnsi="Times New Roman" w:eastAsia="宋体" w:cs="Times New Roman"/>
      <w:b/>
      <w:bCs/>
      <w:sz w:val="24"/>
      <w:szCs w:val="20"/>
    </w:rPr>
  </w:style>
  <w:style w:type="character" w:styleId="1158" w:customStyle="1">
    <w:name w:val="标题 7 字符"/>
    <w:uiPriority w:val="0"/>
    <w:semiHidden/>
    <w:qFormat/>
    <w:rPr>
      <w:rFonts w:ascii="仿宋" w:hAnsi="仿宋" w:eastAsia="仿宋" w:cs="仿宋"/>
      <w:b/>
      <w:sz w:val="24"/>
      <w:szCs w:val="24"/>
    </w:rPr>
  </w:style>
  <w:style w:type="character" w:styleId="1159" w:customStyle="1">
    <w:name w:val="引用 Char1"/>
    <w:uiPriority w:val="99"/>
    <w:qFormat/>
    <w:rPr>
      <w:i/>
      <w:color w:val="000000"/>
      <w:sz w:val="21"/>
    </w:rPr>
  </w:style>
  <w:style w:type="character" w:styleId="1160" w:customStyle="1">
    <w:name w:val="正文文本 + Gungsuh"/>
    <w:uiPriority w:val="99"/>
    <w:qFormat/>
    <w:rPr>
      <w:rFonts w:ascii="Gungsuh" w:eastAsia="Gungsuh"/>
      <w:b/>
      <w:sz w:val="16"/>
      <w:lang w:val="en-US" w:eastAsia="en-US"/>
    </w:rPr>
  </w:style>
  <w:style w:type="character" w:styleId="1161" w:customStyle="1">
    <w:name w:val="Keyboard"/>
    <w:uiPriority w:val="99"/>
    <w:qFormat/>
    <w:rPr>
      <w:rFonts w:ascii="Courier New" w:hAnsi="Courier New"/>
      <w:b/>
      <w:sz w:val="20"/>
    </w:rPr>
  </w:style>
  <w:style w:type="character" w:styleId="1162" w:customStyle="1">
    <w:name w:val="表正文 Char1"/>
    <w:uiPriority w:val="0"/>
    <w:qFormat/>
    <w:rPr>
      <w:rFonts w:eastAsia="宋体"/>
      <w:sz w:val="21"/>
      <w:lang w:val="en-US" w:eastAsia="zh-CN" w:bidi="ar-SA"/>
    </w:rPr>
  </w:style>
  <w:style w:type="character" w:styleId="1163" w:customStyle="1">
    <w:name w:val="Char Char4"/>
    <w:uiPriority w:val="99"/>
    <w:qFormat/>
    <w:rPr>
      <w:rFonts w:ascii="宋体" w:hAnsi="宋体" w:eastAsia="黑体"/>
      <w:b/>
      <w:sz w:val="32"/>
      <w:lang w:val="en-US" w:eastAsia="zh-CN"/>
    </w:rPr>
  </w:style>
  <w:style w:type="character" w:styleId="1164" w:customStyle="1">
    <w:name w:val="批注文字 Char Char"/>
    <w:uiPriority w:val="99"/>
    <w:qFormat/>
    <w:rPr>
      <w:rFonts w:ascii="宋体" w:hAnsi="Times New Roman" w:eastAsia="宋体"/>
      <w:sz w:val="20"/>
    </w:rPr>
  </w:style>
  <w:style w:type="character" w:styleId="1165" w:customStyle="1">
    <w:name w:val="批注主题 Char1"/>
    <w:uiPriority w:val="99"/>
    <w:qFormat/>
    <w:rPr>
      <w:b/>
      <w:sz w:val="22"/>
    </w:rPr>
  </w:style>
  <w:style w:type="character" w:styleId="1166" w:customStyle="1">
    <w:name w:val="font41"/>
    <w:uiPriority w:val="0"/>
    <w:qFormat/>
    <w:rPr>
      <w:rFonts w:ascii="Times New Roman" w:hAnsi="Times New Roman" w:cs="Times New Roman"/>
      <w:color w:val="000000"/>
      <w:sz w:val="20"/>
      <w:szCs w:val="20"/>
      <w:u w:val="none"/>
    </w:rPr>
  </w:style>
  <w:style w:type="character" w:styleId="1167" w:customStyle="1">
    <w:name w:val="日期 Char1"/>
    <w:uiPriority w:val="99"/>
    <w:qFormat/>
    <w:rPr>
      <w:sz w:val="22"/>
    </w:rPr>
  </w:style>
  <w:style w:type="character" w:styleId="1168" w:customStyle="1">
    <w:name w:val="标题 Char1"/>
    <w:uiPriority w:val="0"/>
    <w:qFormat/>
    <w:rPr>
      <w:rFonts w:ascii="Cambria" w:hAnsi="Cambria" w:cs="Times New Roman"/>
      <w:b/>
      <w:bCs/>
      <w:sz w:val="32"/>
      <w:szCs w:val="32"/>
    </w:rPr>
  </w:style>
  <w:style w:type="character" w:styleId="1169" w:customStyle="1">
    <w:name w:val="发布"/>
    <w:uiPriority w:val="99"/>
    <w:qFormat/>
    <w:rPr>
      <w:rFonts w:ascii="黑体" w:eastAsia="黑体"/>
      <w:spacing w:val="85"/>
      <w:position w:val="3"/>
      <w:sz w:val="28"/>
    </w:rPr>
  </w:style>
  <w:style w:type="character" w:styleId="1170" w:customStyle="1">
    <w:name w:val="font31"/>
    <w:uiPriority w:val="0"/>
    <w:qFormat/>
    <w:rPr>
      <w:rFonts w:ascii="Times New Roman" w:hAnsi="Times New Roman" w:cs="Times New Roman"/>
      <w:b/>
      <w:color w:val="000000"/>
      <w:sz w:val="20"/>
      <w:szCs w:val="20"/>
      <w:u w:val="none"/>
    </w:rPr>
  </w:style>
  <w:style w:type="character" w:styleId="1171" w:customStyle="1">
    <w:name w:val="页眉 Char2"/>
    <w:uiPriority w:val="99"/>
    <w:qFormat/>
    <w:rPr>
      <w:rFonts w:eastAsia="宋体"/>
      <w:sz w:val="18"/>
      <w:lang w:val="en-US" w:eastAsia="zh-CN"/>
    </w:rPr>
  </w:style>
  <w:style w:type="character" w:styleId="1172" w:customStyle="1">
    <w:name w:val="font91"/>
    <w:uiPriority w:val="0"/>
    <w:qFormat/>
    <w:rPr>
      <w:rFonts w:ascii="Calibri" w:hAnsi="Calibri" w:cs="Calibri"/>
      <w:color w:val="000000"/>
      <w:sz w:val="20"/>
      <w:szCs w:val="20"/>
      <w:u w:val="none"/>
    </w:rPr>
  </w:style>
  <w:style w:type="character" w:styleId="1173" w:customStyle="1">
    <w:name w:val="明显引用字符"/>
    <w:link w:val="1174"/>
    <w:uiPriority w:val="99"/>
    <w:qFormat/>
    <w:rPr>
      <w:b/>
      <w:i/>
      <w:color w:val="4f81bd"/>
      <w:sz w:val="22"/>
    </w:rPr>
  </w:style>
  <w:style w:type="paragraph" w:styleId="1174" w:customStyle="1">
    <w:name w:val="明显引用1"/>
    <w:basedOn w:val="797"/>
    <w:next w:val="797"/>
    <w:link w:val="1173"/>
    <w:uiPriority w:val="99"/>
    <w:qFormat/>
    <w:pPr>
      <w:ind w:left="936" w:right="936"/>
      <w:spacing w:before="200" w:after="280" w:line="240" w:lineRule="auto"/>
      <w:pBdr>
        <w:bottom w:val="single" w:color="4F81BD" w:sz="4" w:space="4"/>
      </w:pBdr>
    </w:pPr>
    <w:rPr>
      <w:b/>
      <w:i/>
      <w:color w:val="4f81bd"/>
      <w:sz w:val="22"/>
    </w:rPr>
  </w:style>
  <w:style w:type="character" w:styleId="1175" w:customStyle="1">
    <w:name w:val="font111"/>
    <w:uiPriority w:val="99"/>
    <w:qFormat/>
    <w:rPr>
      <w:rFonts w:ascii="宋体" w:hAnsi="宋体" w:eastAsia="宋体" w:cs="宋体"/>
      <w:color w:val="000000"/>
      <w:sz w:val="18"/>
      <w:szCs w:val="18"/>
      <w:u w:val="none"/>
    </w:rPr>
  </w:style>
  <w:style w:type="character" w:styleId="1176" w:customStyle="1">
    <w:name w:val="正文文本 + Gungsuh13"/>
    <w:uiPriority w:val="99"/>
    <w:qFormat/>
    <w:rPr>
      <w:rFonts w:ascii="Gungsuh" w:eastAsia="Gungsuh"/>
      <w:b/>
      <w:color w:val="0000fd"/>
      <w:spacing w:val="10"/>
      <w:sz w:val="16"/>
      <w:u w:val="none"/>
      <w:lang w:val="en-US" w:eastAsia="en-US"/>
    </w:rPr>
  </w:style>
  <w:style w:type="character" w:styleId="1177" w:customStyle="1">
    <w:name w:val="Char Char61"/>
    <w:uiPriority w:val="99"/>
    <w:qFormat/>
    <w:rPr>
      <w:rFonts w:eastAsia="宋体"/>
      <w:b/>
      <w:sz w:val="32"/>
      <w:lang w:val="en-US" w:eastAsia="zh-CN"/>
    </w:rPr>
  </w:style>
  <w:style w:type="character" w:styleId="1178" w:customStyle="1">
    <w:name w:val="Char Char1"/>
    <w:uiPriority w:val="99"/>
    <w:qFormat/>
    <w:rPr>
      <w:rFonts w:ascii="黑体" w:hAnsi="Arial" w:eastAsia="黑体"/>
      <w:b/>
      <w:sz w:val="32"/>
      <w:lang w:val="en-US" w:eastAsia="zh-CN"/>
    </w:rPr>
  </w:style>
  <w:style w:type="character" w:styleId="1179" w:customStyle="1">
    <w:name w:val="font21"/>
    <w:uiPriority w:val="0"/>
    <w:qFormat/>
    <w:rPr>
      <w:rFonts w:hint="eastAsia" w:ascii="宋体" w:hAnsi="宋体" w:eastAsia="宋体" w:cs="宋体"/>
      <w:color w:val="000000"/>
      <w:sz w:val="16"/>
      <w:szCs w:val="16"/>
      <w:u w:val="none"/>
    </w:rPr>
  </w:style>
  <w:style w:type="character" w:styleId="1180" w:customStyle="1">
    <w:name w:val="书籍标题1"/>
    <w:uiPriority w:val="99"/>
    <w:qFormat/>
    <w:rPr>
      <w:b/>
      <w:smallCaps/>
      <w:spacing w:val="5"/>
    </w:rPr>
  </w:style>
  <w:style w:type="character" w:styleId="1181" w:customStyle="1">
    <w:name w:val="font11"/>
    <w:uiPriority w:val="0"/>
    <w:qFormat/>
    <w:rPr>
      <w:rFonts w:hint="eastAsia" w:ascii="宋体" w:hAnsi="宋体" w:eastAsia="宋体" w:cs="宋体"/>
      <w:b/>
      <w:color w:val="ff0000"/>
      <w:sz w:val="20"/>
      <w:szCs w:val="20"/>
      <w:u w:val="none"/>
    </w:rPr>
  </w:style>
  <w:style w:type="character" w:styleId="1182" w:customStyle="1">
    <w:name w:val="font121"/>
    <w:basedOn w:val="807"/>
    <w:uiPriority w:val="0"/>
    <w:qFormat/>
    <w:rPr>
      <w:rFonts w:ascii="Arial" w:hAnsi="Arial" w:cs="Arial"/>
      <w:color w:val="000000"/>
      <w:sz w:val="20"/>
      <w:szCs w:val="20"/>
      <w:u w:val="none"/>
    </w:rPr>
  </w:style>
  <w:style w:type="character" w:styleId="1183" w:customStyle="1">
    <w:name w:val="CODE"/>
    <w:uiPriority w:val="99"/>
    <w:qFormat/>
    <w:rPr>
      <w:rFonts w:ascii="Courier New" w:hAnsi="Courier New"/>
      <w:sz w:val="20"/>
    </w:rPr>
  </w:style>
  <w:style w:type="character" w:styleId="1184" w:customStyle="1">
    <w:name w:val="正文文本 + 间距 0 pt"/>
    <w:uiPriority w:val="99"/>
    <w:qFormat/>
    <w:rPr>
      <w:rFonts w:ascii="MingLiU" w:eastAsia="MingLiU"/>
      <w:spacing w:val="10"/>
      <w:sz w:val="19"/>
      <w:u w:val="none"/>
      <w:lang w:val="en-US" w:eastAsia="zh-CN"/>
    </w:rPr>
  </w:style>
  <w:style w:type="character" w:styleId="1185" w:customStyle="1">
    <w:name w:val="正文文本 + Gungsuh14"/>
    <w:uiPriority w:val="99"/>
    <w:qFormat/>
    <w:rPr>
      <w:rFonts w:ascii="Gungsuh" w:eastAsia="Gungsuh"/>
      <w:b/>
      <w:color w:val="0000fd"/>
      <w:spacing w:val="10"/>
      <w:sz w:val="16"/>
      <w:u w:val="single"/>
      <w:lang w:val="en-US" w:eastAsia="en-US"/>
    </w:rPr>
  </w:style>
  <w:style w:type="character" w:styleId="1186" w:customStyle="1">
    <w:name w:val="首示例 Char"/>
    <w:link w:val="1187"/>
    <w:uiPriority w:val="99"/>
    <w:qFormat/>
    <w:rPr>
      <w:rFonts w:ascii="宋体" w:hAnsi="宋体"/>
      <w:sz w:val="18"/>
      <w:szCs w:val="18"/>
      <w:lang w:val="en-US" w:eastAsia="zh-CN" w:bidi="ar-SA"/>
    </w:rPr>
  </w:style>
  <w:style w:type="paragraph" w:styleId="1187" w:customStyle="1">
    <w:name w:val="首示例"/>
    <w:next w:val="1188"/>
    <w:link w:val="1186"/>
    <w:uiPriority w:val="99"/>
    <w:qFormat/>
    <w:pPr>
      <w:tabs>
        <w:tab w:val="left" w:pos="360" w:leader="none"/>
      </w:tabs>
    </w:pPr>
    <w:rPr>
      <w:rFonts w:hint="default" w:ascii="宋体" w:hAnsi="宋体" w:eastAsia="宋体" w:cs="Times New Roman"/>
      <w:sz w:val="18"/>
      <w:szCs w:val="18"/>
      <w:lang w:val="en-US" w:eastAsia="zh-CN" w:bidi="ar-SA"/>
    </w:rPr>
  </w:style>
  <w:style w:type="paragraph" w:styleId="1188" w:customStyle="1">
    <w:name w:val="段"/>
    <w:next w:val="797"/>
    <w:link w:val="1189"/>
    <w:uiPriority w:val="99"/>
    <w:qFormat/>
    <w:pPr>
      <w:ind w:firstLine="200"/>
      <w:jc w:val="both"/>
    </w:pPr>
    <w:rPr>
      <w:rFonts w:hint="default" w:ascii="宋体" w:hAnsi="Times New Roman" w:eastAsia="Times New Roman" w:cs="Times New Roman"/>
      <w:sz w:val="21"/>
      <w:lang w:val="en-US" w:eastAsia="zh-CN" w:bidi="ar-SA"/>
    </w:rPr>
  </w:style>
  <w:style w:type="character" w:styleId="1189" w:customStyle="1">
    <w:name w:val="段 Char"/>
    <w:link w:val="1188"/>
    <w:uiPriority w:val="99"/>
    <w:qFormat/>
    <w:rPr>
      <w:rFonts w:ascii="宋体" w:eastAsia="Times New Roman"/>
      <w:sz w:val="21"/>
      <w:lang w:val="en-US" w:eastAsia="zh-CN" w:bidi="ar-SA"/>
    </w:rPr>
  </w:style>
  <w:style w:type="character" w:styleId="1190" w:customStyle="1">
    <w:name w:val="附录公式 Char"/>
    <w:link w:val="1191"/>
    <w:uiPriority w:val="99"/>
    <w:qFormat/>
    <w:rPr>
      <w:rFonts w:ascii="宋体"/>
    </w:rPr>
  </w:style>
  <w:style w:type="paragraph" w:styleId="1191" w:customStyle="1">
    <w:name w:val="附录公式"/>
    <w:basedOn w:val="1188"/>
    <w:next w:val="1188"/>
    <w:link w:val="1190"/>
    <w:uiPriority w:val="99"/>
    <w:qFormat/>
    <w:pPr>
      <w:ind w:firstLine="420"/>
      <w:tabs>
        <w:tab w:val="center" w:pos="4201" w:leader="none"/>
        <w:tab w:val="right" w:pos="9298" w:leader="dot"/>
      </w:tabs>
    </w:pPr>
    <w:rPr>
      <w:rFonts w:eastAsia="宋体"/>
      <w:sz w:val="20"/>
    </w:rPr>
  </w:style>
  <w:style w:type="character" w:styleId="1192" w:customStyle="1">
    <w:name w:val="Char Char37"/>
    <w:uiPriority w:val="99"/>
    <w:qFormat/>
    <w:rPr>
      <w:rFonts w:ascii="仿宋_GB2312" w:eastAsia="仿宋_GB2312"/>
      <w:b/>
      <w:sz w:val="28"/>
    </w:rPr>
  </w:style>
  <w:style w:type="character" w:styleId="1193" w:customStyle="1">
    <w:name w:val="正文文本 + 间距 0 pt12"/>
    <w:uiPriority w:val="99"/>
    <w:qFormat/>
    <w:rPr>
      <w:rFonts w:ascii="MingLiU" w:eastAsia="MingLiU"/>
      <w:color w:val="0000ce"/>
      <w:spacing w:val="10"/>
      <w:sz w:val="19"/>
      <w:u w:val="none"/>
      <w:lang w:val="en-US" w:eastAsia="zh-CN"/>
    </w:rPr>
  </w:style>
  <w:style w:type="character" w:styleId="1194" w:customStyle="1">
    <w:name w:val="纯文本 Char1"/>
    <w:uiPriority w:val="99"/>
    <w:qFormat/>
    <w:rPr>
      <w:rFonts w:ascii="宋体" w:hAnsi="Courier New"/>
      <w:sz w:val="21"/>
    </w:rPr>
  </w:style>
  <w:style w:type="character" w:styleId="1195" w:customStyle="1">
    <w:name w:val="Body text|2 + 10 pt"/>
    <w:uiPriority w:val="99"/>
    <w:semiHidden/>
    <w:qFormat/>
    <w:rPr>
      <w:rFonts w:ascii="PMingLiU" w:hAnsi="PMingLiU" w:eastAsia="PMingLiU" w:cs="PMingLiU"/>
      <w:color w:val="000000"/>
      <w:spacing w:val="0"/>
      <w:position w:val="0"/>
      <w:sz w:val="20"/>
      <w:szCs w:val="20"/>
      <w:u w:val="none"/>
      <w:lang w:val="zh-CN" w:eastAsia="zh-CN"/>
    </w:rPr>
  </w:style>
  <w:style w:type="character" w:styleId="1196" w:customStyle="1">
    <w:name w:val="HTML Markup"/>
    <w:uiPriority w:val="99"/>
    <w:qFormat/>
    <w:rPr>
      <w:vanish/>
      <w:color w:val="ff0000"/>
    </w:rPr>
  </w:style>
  <w:style w:type="character" w:styleId="1197" w:customStyle="1">
    <w:name w:val="Definition"/>
    <w:uiPriority w:val="99"/>
    <w:qFormat/>
    <w:rPr>
      <w:i/>
    </w:rPr>
  </w:style>
  <w:style w:type="character" w:styleId="1198" w:customStyle="1">
    <w:name w:val="标题 8 字符"/>
    <w:uiPriority w:val="0"/>
    <w:semiHidden/>
    <w:qFormat/>
    <w:rPr>
      <w:rFonts w:ascii="Arial" w:hAnsi="Arial" w:eastAsia="黑体" w:cs="仿宋"/>
      <w:sz w:val="24"/>
      <w:szCs w:val="24"/>
    </w:rPr>
  </w:style>
  <w:style w:type="character" w:styleId="1199" w:customStyle="1">
    <w:name w:val="Char Char34"/>
    <w:uiPriority w:val="99"/>
    <w:qFormat/>
    <w:rPr>
      <w:rFonts w:ascii="Tahoma" w:hAnsi="Tahoma" w:eastAsia="幼圆"/>
      <w:sz w:val="24"/>
    </w:rPr>
  </w:style>
  <w:style w:type="character" w:styleId="1200" w:customStyle="1">
    <w:name w:val="正文文本 + Gungsuh32"/>
    <w:uiPriority w:val="99"/>
    <w:qFormat/>
    <w:rPr>
      <w:rFonts w:ascii="Gungsuh" w:eastAsia="Gungsuh"/>
      <w:b/>
      <w:color w:val="0000fd"/>
      <w:sz w:val="16"/>
      <w:u w:val="none"/>
      <w:lang w:val="en-US" w:eastAsia="en-US"/>
    </w:rPr>
  </w:style>
  <w:style w:type="character" w:styleId="1201" w:customStyle="1">
    <w:name w:val="批注文字 字符"/>
    <w:uiPriority w:val="99"/>
    <w:qFormat/>
    <w:rPr>
      <w:rFonts w:ascii="仿宋" w:hAnsi="仿宋" w:eastAsia="仿宋" w:cs="仿宋"/>
      <w:sz w:val="24"/>
      <w:szCs w:val="24"/>
    </w:rPr>
  </w:style>
  <w:style w:type="character" w:styleId="1202" w:customStyle="1">
    <w:name w:val="Char Char"/>
    <w:uiPriority w:val="99"/>
    <w:qFormat/>
    <w:rPr>
      <w:rFonts w:eastAsia="宋体"/>
      <w:b/>
      <w:sz w:val="32"/>
      <w:lang w:val="en-US" w:eastAsia="zh-CN" w:bidi="ar-SA"/>
    </w:rPr>
  </w:style>
  <w:style w:type="character" w:styleId="1203" w:customStyle="1">
    <w:name w:val="Char Char6"/>
    <w:uiPriority w:val="99"/>
    <w:qFormat/>
    <w:rPr>
      <w:rFonts w:eastAsia="宋体"/>
      <w:b/>
      <w:sz w:val="32"/>
      <w:lang w:val="en-US" w:eastAsia="zh-CN"/>
    </w:rPr>
  </w:style>
  <w:style w:type="character" w:styleId="1204" w:customStyle="1">
    <w:name w:val="批注框文本 字符"/>
    <w:uiPriority w:val="99"/>
    <w:qFormat/>
    <w:rPr>
      <w:rFonts w:ascii="仿宋" w:hAnsi="仿宋" w:eastAsia="仿宋" w:cs="仿宋"/>
      <w:sz w:val="18"/>
      <w:szCs w:val="18"/>
    </w:rPr>
  </w:style>
  <w:style w:type="character" w:styleId="1205" w:customStyle="1">
    <w:name w:val="Char Char40"/>
    <w:uiPriority w:val="99"/>
    <w:qFormat/>
    <w:rPr>
      <w:rFonts w:ascii="幼圆" w:hAnsi="华文细黑" w:eastAsia="幼圆"/>
      <w:b/>
      <w:color w:val="ff0000"/>
      <w:sz w:val="30"/>
    </w:rPr>
  </w:style>
  <w:style w:type="character" w:styleId="1206" w:customStyle="1">
    <w:name w:val="页眉 字符2"/>
    <w:uiPriority w:val="99"/>
    <w:qFormat/>
    <w:rPr>
      <w:sz w:val="18"/>
      <w:szCs w:val="18"/>
    </w:rPr>
  </w:style>
  <w:style w:type="character" w:styleId="1207" w:customStyle="1">
    <w:name w:val="Comment"/>
    <w:uiPriority w:val="99"/>
    <w:qFormat/>
    <w:rPr>
      <w:vanish/>
    </w:rPr>
  </w:style>
  <w:style w:type="character" w:styleId="1208" w:customStyle="1">
    <w:name w:val="不明显强调1"/>
    <w:uiPriority w:val="99"/>
    <w:qFormat/>
    <w:rPr>
      <w:i/>
      <w:color w:val="808080"/>
    </w:rPr>
  </w:style>
  <w:style w:type="character" w:styleId="1209" w:customStyle="1">
    <w:name w:val="标题 3 Char Char"/>
    <w:uiPriority w:val="0"/>
    <w:qFormat/>
    <w:rPr>
      <w:rFonts w:eastAsia="宋体"/>
      <w:b/>
      <w:sz w:val="32"/>
      <w:lang w:val="en-US" w:eastAsia="zh-CN" w:bidi="ar-SA"/>
    </w:rPr>
  </w:style>
  <w:style w:type="character" w:styleId="1210" w:customStyle="1">
    <w:name w:val="font131"/>
    <w:uiPriority w:val="0"/>
    <w:qFormat/>
    <w:rPr>
      <w:rFonts w:ascii="Calibri" w:hAnsi="Calibri" w:cs="Calibri"/>
      <w:color w:val="000000"/>
      <w:sz w:val="22"/>
      <w:szCs w:val="22"/>
      <w:u w:val="none"/>
    </w:rPr>
  </w:style>
  <w:style w:type="character" w:styleId="1211" w:customStyle="1">
    <w:name w:val="标题 9 字符"/>
    <w:uiPriority w:val="0"/>
    <w:semiHidden/>
    <w:qFormat/>
    <w:rPr>
      <w:rFonts w:ascii="Arial" w:hAnsi="Arial" w:eastAsia="黑体" w:cs="仿宋"/>
      <w:szCs w:val="24"/>
    </w:rPr>
  </w:style>
  <w:style w:type="character" w:styleId="1212" w:customStyle="1">
    <w:name w:val="正文文本 + 间距 0 pt10"/>
    <w:uiPriority w:val="99"/>
    <w:qFormat/>
    <w:rPr>
      <w:rFonts w:ascii="MingLiU" w:eastAsia="MingLiU"/>
      <w:color w:val="0000fd"/>
      <w:spacing w:val="10"/>
      <w:sz w:val="19"/>
      <w:u w:val="single"/>
      <w:lang w:val="en-US" w:eastAsia="zh-CN"/>
    </w:rPr>
  </w:style>
  <w:style w:type="character" w:styleId="1213" w:customStyle="1">
    <w:name w:val="Typewriter"/>
    <w:uiPriority w:val="99"/>
    <w:qFormat/>
    <w:rPr>
      <w:rFonts w:ascii="Courier New" w:hAnsi="Courier New"/>
      <w:sz w:val="20"/>
    </w:rPr>
  </w:style>
  <w:style w:type="character" w:styleId="1214" w:customStyle="1">
    <w:name w:val="font51"/>
    <w:uiPriority w:val="0"/>
    <w:qFormat/>
    <w:rPr>
      <w:rFonts w:hint="eastAsia" w:ascii="宋体" w:hAnsi="宋体" w:eastAsia="宋体" w:cs="宋体"/>
      <w:b/>
      <w:color w:val="000000"/>
      <w:sz w:val="20"/>
      <w:szCs w:val="20"/>
      <w:u w:val="none"/>
    </w:rPr>
  </w:style>
  <w:style w:type="character" w:styleId="1215" w:customStyle="1">
    <w:name w:val="文档结构图 Char1"/>
    <w:uiPriority w:val="99"/>
    <w:qFormat/>
    <w:rPr>
      <w:rFonts w:ascii="宋体"/>
      <w:sz w:val="18"/>
    </w:rPr>
  </w:style>
  <w:style w:type="character" w:styleId="1216" w:customStyle="1">
    <w:name w:val="列出段落 Char"/>
    <w:link w:val="1217"/>
    <w:uiPriority w:val="0"/>
    <w:qFormat/>
    <w:rPr>
      <w:sz w:val="21"/>
    </w:rPr>
  </w:style>
  <w:style w:type="paragraph" w:styleId="1217" w:customStyle="1">
    <w:name w:val="列出段落"/>
    <w:basedOn w:val="797"/>
    <w:link w:val="1216"/>
    <w:uiPriority w:val="0"/>
    <w:qFormat/>
    <w:pPr>
      <w:ind w:firstLine="420"/>
    </w:pPr>
  </w:style>
  <w:style w:type="character" w:styleId="1218" w:customStyle="1">
    <w:name w:val="正文文本 (5) Exact"/>
    <w:link w:val="1219"/>
    <w:uiPriority w:val="99"/>
    <w:qFormat/>
    <w:rPr>
      <w:rFonts w:ascii="仿宋" w:eastAsia="仿宋"/>
      <w:sz w:val="19"/>
      <w:shd w:val="clear" w:color="auto" w:fill="ffffff"/>
      <w:lang w:eastAsia="en-US"/>
    </w:rPr>
  </w:style>
  <w:style w:type="paragraph" w:styleId="1219" w:customStyle="1">
    <w:name w:val="正文文本 (5)"/>
    <w:basedOn w:val="797"/>
    <w:link w:val="1218"/>
    <w:uiPriority w:val="99"/>
    <w:qFormat/>
    <w:pPr>
      <w:jc w:val="left"/>
      <w:spacing w:line="240" w:lineRule="atLeast"/>
      <w:shd w:val="clear" w:color="auto" w:fill="ffffff"/>
    </w:pPr>
    <w:rPr>
      <w:rFonts w:ascii="仿宋" w:eastAsia="仿宋"/>
      <w:sz w:val="19"/>
      <w:lang w:eastAsia="en-US"/>
    </w:rPr>
  </w:style>
  <w:style w:type="character" w:styleId="1220" w:customStyle="1">
    <w:name w:val="引用字符"/>
    <w:link w:val="1221"/>
    <w:uiPriority w:val="99"/>
    <w:qFormat/>
    <w:rPr>
      <w:i/>
      <w:color w:val="000000"/>
      <w:sz w:val="22"/>
    </w:rPr>
  </w:style>
  <w:style w:type="paragraph" w:styleId="1221" w:customStyle="1">
    <w:name w:val="引用1"/>
    <w:basedOn w:val="797"/>
    <w:next w:val="797"/>
    <w:link w:val="1220"/>
    <w:uiPriority w:val="99"/>
    <w:qFormat/>
    <w:pPr>
      <w:spacing w:line="240" w:lineRule="auto"/>
    </w:pPr>
    <w:rPr>
      <w:i/>
      <w:color w:val="000000"/>
      <w:sz w:val="22"/>
    </w:rPr>
  </w:style>
  <w:style w:type="character" w:styleId="1222" w:customStyle="1">
    <w:name w:val="Char Char41"/>
    <w:uiPriority w:val="99"/>
    <w:qFormat/>
    <w:rPr>
      <w:rFonts w:ascii="幼圆" w:hAnsi="华文细黑" w:eastAsia="幼圆"/>
      <w:b/>
      <w:sz w:val="24"/>
      <w:lang w:val="en-US" w:eastAsia="zh-CN"/>
    </w:rPr>
  </w:style>
  <w:style w:type="character" w:styleId="1223" w:customStyle="1">
    <w:name w:val="正文首行缩进 Char1"/>
    <w:uiPriority w:val="99"/>
    <w:qFormat/>
    <w:rPr>
      <w:sz w:val="21"/>
    </w:rPr>
  </w:style>
  <w:style w:type="character" w:styleId="1224" w:customStyle="1">
    <w:name w:val="Char Char35"/>
    <w:uiPriority w:val="99"/>
    <w:qFormat/>
    <w:rPr>
      <w:b/>
      <w:sz w:val="24"/>
    </w:rPr>
  </w:style>
  <w:style w:type="character" w:styleId="1225" w:customStyle="1">
    <w:name w:val="font14181"/>
    <w:uiPriority w:val="0"/>
    <w:qFormat/>
    <w:rPr>
      <w:sz w:val="21"/>
      <w:szCs w:val="21"/>
    </w:rPr>
  </w:style>
  <w:style w:type="character" w:styleId="1226" w:customStyle="1">
    <w:name w:val="样式 标题 3 + (中文) 黑体 小四 非加粗 段前: 7.8 磅 段后: 0 磅 行距: 固定值 20 磅 Char"/>
    <w:uiPriority w:val="99"/>
    <w:qFormat/>
    <w:rPr>
      <w:rFonts w:ascii="黑体" w:hAnsi="宋体" w:eastAsia="黑体"/>
      <w:b/>
      <w:sz w:val="24"/>
      <w:lang w:val="en-US" w:eastAsia="zh-CN"/>
    </w:rPr>
  </w:style>
  <w:style w:type="character" w:styleId="1227" w:customStyle="1">
    <w:name w:val="页脚 Char1"/>
    <w:uiPriority w:val="99"/>
    <w:qFormat/>
    <w:rPr>
      <w:sz w:val="18"/>
    </w:rPr>
  </w:style>
  <w:style w:type="character" w:styleId="1228" w:customStyle="1">
    <w:name w:val="正文文本 + 间距 0 pt5"/>
    <w:uiPriority w:val="99"/>
    <w:qFormat/>
    <w:rPr>
      <w:rFonts w:ascii="MingLiU" w:eastAsia="MingLiU"/>
      <w:spacing w:val="10"/>
      <w:sz w:val="19"/>
      <w:u w:val="single"/>
      <w:lang w:val="en-US" w:eastAsia="zh-CN"/>
    </w:rPr>
  </w:style>
  <w:style w:type="character" w:styleId="1229" w:customStyle="1">
    <w:name w:val="Sample"/>
    <w:uiPriority w:val="99"/>
    <w:qFormat/>
    <w:rPr>
      <w:rFonts w:ascii="Courier New" w:hAnsi="Courier New"/>
    </w:rPr>
  </w:style>
  <w:style w:type="character" w:styleId="1230" w:customStyle="1">
    <w:name w:val="Char Char36"/>
    <w:uiPriority w:val="99"/>
    <w:qFormat/>
    <w:rPr>
      <w:rFonts w:ascii="Tahoma" w:hAnsi="Tahoma" w:eastAsia="幼圆"/>
      <w:b/>
      <w:sz w:val="24"/>
    </w:rPr>
  </w:style>
  <w:style w:type="character" w:styleId="1231" w:customStyle="1">
    <w:name w:val="font71"/>
    <w:uiPriority w:val="0"/>
    <w:qFormat/>
    <w:rPr>
      <w:rFonts w:hint="eastAsia" w:ascii="仿宋" w:hAnsi="仿宋" w:eastAsia="仿宋" w:cs="仿宋"/>
      <w:color w:val="000000"/>
      <w:sz w:val="20"/>
      <w:szCs w:val="20"/>
      <w:u w:val="none"/>
    </w:rPr>
  </w:style>
  <w:style w:type="character" w:styleId="1232" w:customStyle="1">
    <w:name w:val="标题 5 字符"/>
    <w:uiPriority w:val="99"/>
    <w:qFormat/>
    <w:rPr>
      <w:rFonts w:ascii="Times New Roman" w:hAnsi="Times New Roman" w:eastAsia="宋体" w:cs="Times New Roman"/>
      <w:b/>
      <w:bCs/>
      <w:sz w:val="28"/>
      <w:szCs w:val="28"/>
    </w:rPr>
  </w:style>
  <w:style w:type="character" w:styleId="1233" w:customStyle="1">
    <w:name w:val="font01"/>
    <w:uiPriority w:val="0"/>
    <w:qFormat/>
    <w:rPr>
      <w:rFonts w:ascii="Times New Roman" w:hAnsi="Times New Roman" w:cs="Times New Roman"/>
      <w:color w:val="000000"/>
      <w:sz w:val="16"/>
      <w:szCs w:val="16"/>
      <w:u w:val="none"/>
    </w:rPr>
  </w:style>
  <w:style w:type="character" w:styleId="1234" w:customStyle="1">
    <w:name w:val="font132"/>
    <w:uiPriority w:val="99"/>
    <w:qFormat/>
    <w:rPr>
      <w:rFonts w:ascii="宋体" w:hAnsi="宋体" w:eastAsia="宋体" w:cs="宋体"/>
      <w:color w:val="000000"/>
      <w:sz w:val="18"/>
      <w:szCs w:val="18"/>
      <w:u w:val="none"/>
    </w:rPr>
  </w:style>
  <w:style w:type="character" w:styleId="1235" w:customStyle="1">
    <w:name w:val="批注框文本 Char1"/>
    <w:uiPriority w:val="99"/>
    <w:qFormat/>
    <w:rPr>
      <w:sz w:val="18"/>
    </w:rPr>
  </w:style>
  <w:style w:type="character" w:styleId="1236" w:customStyle="1">
    <w:name w:val="明显引用 Char1"/>
    <w:uiPriority w:val="99"/>
    <w:qFormat/>
    <w:rPr>
      <w:b/>
      <w:i/>
      <w:color w:val="4f81bd"/>
      <w:sz w:val="21"/>
    </w:rPr>
  </w:style>
  <w:style w:type="paragraph" w:styleId="1237" w:customStyle="1">
    <w:name w:val="TOC Heading1"/>
    <w:next w:val="797"/>
    <w:uiPriority w:val="0"/>
    <w:qFormat/>
    <w:rPr>
      <w:rFonts w:hint="default" w:ascii="Times New Roman" w:hAnsi="Times New Roman" w:eastAsia="宋体" w:cs="Times New Roman"/>
      <w:sz w:val="32"/>
      <w:lang w:val="en-US" w:eastAsia="zh-CN" w:bidi="ar-SA"/>
    </w:rPr>
  </w:style>
  <w:style w:type="paragraph" w:styleId="1238" w:customStyle="1">
    <w:name w:val="2"/>
    <w:basedOn w:val="797"/>
    <w:next w:val="1217"/>
    <w:uiPriority w:val="0"/>
    <w:qFormat/>
    <w:pPr>
      <w:ind w:firstLine="420"/>
    </w:pPr>
    <w:rPr>
      <w:szCs w:val="24"/>
    </w:rPr>
  </w:style>
  <w:style w:type="paragraph" w:styleId="1239" w:customStyle="1">
    <w:name w:val="TOC 标题2"/>
    <w:basedOn w:val="1021"/>
    <w:next w:val="797"/>
    <w:uiPriority w:val="39"/>
    <w:qFormat/>
    <w:pPr>
      <w:ind w:left="0" w:firstLine="0"/>
      <w:jc w:val="left"/>
      <w:keepLines/>
      <w:spacing w:before="480" w:line="276" w:lineRule="auto"/>
      <w:tabs>
        <w:tab w:val="clear" w:pos="432" w:leader="none"/>
      </w:tabs>
      <w:outlineLvl w:val="9"/>
    </w:pPr>
    <w:rPr>
      <w:rFonts w:ascii="Cambria" w:hAnsi="Cambria" w:eastAsia="宋体"/>
      <w:b/>
      <w:bCs/>
      <w:color w:val="365f91"/>
      <w:sz w:val="28"/>
      <w:szCs w:val="28"/>
    </w:rPr>
  </w:style>
  <w:style w:type="paragraph" w:styleId="1240" w:customStyle="1">
    <w:name w:val="_Style 435"/>
    <w:uiPriority w:val="99"/>
    <w:qFormat/>
    <w:pPr>
      <w:jc w:val="both"/>
      <w:spacing w:line="360" w:lineRule="auto"/>
      <w:widowControl w:val="off"/>
    </w:pPr>
    <w:rPr>
      <w:rFonts w:hint="default" w:ascii="Times New Roman" w:hAnsi="Times New Roman" w:eastAsia="宋体" w:cs="Times New Roman"/>
      <w:sz w:val="21"/>
      <w:lang w:val="en-US" w:eastAsia="zh-CN" w:bidi="ar-SA"/>
    </w:rPr>
  </w:style>
  <w:style w:type="paragraph" w:styleId="1241" w:customStyle="1">
    <w:name w:val="彩色列表1"/>
    <w:basedOn w:val="797"/>
    <w:uiPriority w:val="99"/>
    <w:qFormat/>
    <w:pPr>
      <w:ind w:firstLine="420"/>
    </w:pPr>
    <w:rPr>
      <w:szCs w:val="24"/>
    </w:rPr>
  </w:style>
  <w:style w:type="paragraph" w:styleId="1242" w:customStyle="1">
    <w:name w:val="编号，小四"/>
    <w:basedOn w:val="797"/>
    <w:uiPriority w:val="0"/>
    <w:qFormat/>
    <w:pPr>
      <w:numPr>
        <w:ilvl w:val="0"/>
        <w:numId w:val="1"/>
      </w:numPr>
      <w:ind w:firstLine="200"/>
    </w:pPr>
    <w:rPr>
      <w:rFonts w:ascii="Arial" w:hAnsi="Arial" w:eastAsia="仿宋" w:cs="宋体"/>
      <w:sz w:val="24"/>
      <w:szCs w:val="24"/>
    </w:rPr>
  </w:style>
  <w:style w:type="paragraph" w:styleId="1243" w:customStyle="1">
    <w:name w:val="Header or footer|2"/>
    <w:basedOn w:val="797"/>
    <w:uiPriority w:val="0"/>
    <w:qFormat/>
    <w:pPr>
      <w:ind w:firstLine="883"/>
    </w:pPr>
    <w:rPr>
      <w:rFonts w:ascii="仿宋" w:hAnsi="仿宋" w:eastAsia="仿宋" w:cs="仿宋"/>
      <w:sz w:val="20"/>
    </w:rPr>
  </w:style>
  <w:style w:type="paragraph" w:styleId="1244" w:customStyle="1">
    <w:name w:val="*正文"/>
    <w:basedOn w:val="797"/>
    <w:uiPriority w:val="0"/>
    <w:qFormat/>
    <w:pPr>
      <w:ind w:firstLine="200"/>
      <w:spacing w:line="440" w:lineRule="exact"/>
    </w:pPr>
    <w:rPr>
      <w:rFonts w:ascii="宋体" w:hAnsi="宋体"/>
      <w:sz w:val="20"/>
    </w:rPr>
  </w:style>
  <w:style w:type="paragraph" w:styleId="1245" w:customStyle="1">
    <w:name w:val="五级无"/>
    <w:basedOn w:val="1246"/>
    <w:uiPriority w:val="99"/>
    <w:qFormat/>
    <w:pPr>
      <w:tabs>
        <w:tab w:val="left" w:pos="1140" w:leader="none"/>
        <w:tab w:val="left" w:pos="1259" w:leader="none"/>
      </w:tabs>
    </w:pPr>
    <w:rPr>
      <w:rFonts w:ascii="宋体" w:eastAsia="宋体"/>
    </w:rPr>
  </w:style>
  <w:style w:type="paragraph" w:styleId="1246" w:customStyle="1">
    <w:name w:val="五级条标题"/>
    <w:basedOn w:val="1247"/>
    <w:next w:val="1188"/>
    <w:uiPriority w:val="99"/>
    <w:qFormat/>
    <w:pPr>
      <w:tabs>
        <w:tab w:val="left" w:pos="1140" w:leader="none"/>
        <w:tab w:val="left" w:pos="1259" w:leader="none"/>
      </w:tabs>
      <w:outlineLvl w:val="6"/>
    </w:pPr>
  </w:style>
  <w:style w:type="paragraph" w:styleId="1247" w:customStyle="1">
    <w:name w:val="四级条标题"/>
    <w:basedOn w:val="1248"/>
    <w:next w:val="1188"/>
    <w:uiPriority w:val="99"/>
    <w:qFormat/>
    <w:pPr>
      <w:tabs>
        <w:tab w:val="left" w:pos="1259" w:leader="none"/>
      </w:tabs>
      <w:outlineLvl w:val="5"/>
    </w:pPr>
  </w:style>
  <w:style w:type="paragraph" w:styleId="1248" w:customStyle="1">
    <w:name w:val="三级条标题"/>
    <w:basedOn w:val="1249"/>
    <w:next w:val="1188"/>
    <w:uiPriority w:val="99"/>
    <w:qFormat/>
    <w:pPr>
      <w:ind w:left="0"/>
      <w:tabs>
        <w:tab w:val="left" w:pos="1259" w:leader="none"/>
      </w:tabs>
      <w:outlineLvl w:val="4"/>
    </w:pPr>
  </w:style>
  <w:style w:type="paragraph" w:styleId="1249" w:customStyle="1">
    <w:name w:val="二级条标题"/>
    <w:basedOn w:val="1250"/>
    <w:next w:val="1188"/>
    <w:uiPriority w:val="99"/>
    <w:qFormat/>
    <w:pPr>
      <w:ind w:left="735"/>
      <w:spacing w:before="50" w:after="50"/>
      <w:outlineLvl w:val="3"/>
    </w:pPr>
  </w:style>
  <w:style w:type="paragraph" w:styleId="1250" w:customStyle="1">
    <w:name w:val="一级条标题"/>
    <w:next w:val="1188"/>
    <w:uiPriority w:val="99"/>
    <w:qFormat/>
    <w:pPr>
      <w:outlineLvl w:val="2"/>
    </w:pPr>
    <w:rPr>
      <w:rFonts w:hint="default" w:ascii="黑体" w:hAnsi="Times New Roman" w:eastAsia="黑体" w:cs="Times New Roman"/>
      <w:sz w:val="21"/>
      <w:szCs w:val="21"/>
      <w:lang w:val="en-US" w:eastAsia="zh-CN" w:bidi="ar-SA"/>
    </w:rPr>
  </w:style>
  <w:style w:type="paragraph" w:styleId="1251" w:customStyle="1">
    <w:name w:val="GP正文(无首行缩进)"/>
    <w:basedOn w:val="797"/>
    <w:uiPriority w:val="0"/>
    <w:qFormat/>
    <w:pPr>
      <w:ind w:firstLine="480"/>
      <w:jc w:val="left"/>
    </w:pPr>
    <w:rPr>
      <w:rFonts w:ascii="Arial" w:hAnsi="宋体" w:eastAsia="仿宋" w:cs="宋体"/>
      <w:sz w:val="24"/>
      <w:szCs w:val="24"/>
    </w:rPr>
  </w:style>
  <w:style w:type="paragraph" w:styleId="1252" w:customStyle="1">
    <w:name w:val="Char"/>
    <w:basedOn w:val="797"/>
    <w:uiPriority w:val="99"/>
    <w:qFormat/>
    <w:pPr>
      <w:jc w:val="left"/>
      <w:spacing w:after="160" w:line="240" w:lineRule="exact"/>
      <w:widowControl/>
    </w:pPr>
  </w:style>
  <w:style w:type="paragraph" w:styleId="1253" w:customStyle="1">
    <w:name w:val="二级无"/>
    <w:basedOn w:val="1249"/>
    <w:uiPriority w:val="99"/>
    <w:qFormat/>
    <w:pPr>
      <w:ind w:left="0"/>
    </w:pPr>
    <w:rPr>
      <w:rFonts w:ascii="宋体" w:eastAsia="宋体"/>
    </w:rPr>
  </w:style>
  <w:style w:type="paragraph" w:styleId="1254" w:customStyle="1">
    <w:name w:val="样式 (西文) 仿宋_GB2312 居中 行距: 1.5 倍行距"/>
    <w:basedOn w:val="797"/>
    <w:uiPriority w:val="99"/>
    <w:qFormat/>
    <w:pPr>
      <w:jc w:val="center"/>
    </w:pPr>
    <w:rPr>
      <w:rFonts w:ascii="宋体" w:hAnsi="宋体" w:cs="宋体"/>
    </w:rPr>
  </w:style>
  <w:style w:type="paragraph" w:styleId="1255" w:customStyle="1">
    <w:name w:val="图表脚注说明"/>
    <w:basedOn w:val="797"/>
    <w:uiPriority w:val="99"/>
    <w:qFormat/>
    <w:pPr>
      <w:ind w:left="544" w:hanging="181"/>
      <w:spacing w:line="240" w:lineRule="auto"/>
    </w:pPr>
    <w:rPr>
      <w:rFonts w:ascii="宋体"/>
      <w:sz w:val="18"/>
      <w:szCs w:val="18"/>
    </w:rPr>
  </w:style>
  <w:style w:type="paragraph" w:styleId="1256" w:customStyle="1">
    <w:name w:val="编号列项（三级）"/>
    <w:uiPriority w:val="99"/>
    <w:qFormat/>
    <w:pPr>
      <w:ind w:left="1678" w:hanging="419"/>
      <w:tabs>
        <w:tab w:val="left" w:pos="0" w:leader="none"/>
      </w:tabs>
    </w:pPr>
    <w:rPr>
      <w:rFonts w:hint="default" w:ascii="宋体" w:hAnsi="Times New Roman" w:eastAsia="宋体" w:cs="Times New Roman"/>
      <w:sz w:val="21"/>
      <w:lang w:val="en-US" w:eastAsia="zh-CN" w:bidi="ar-SA"/>
    </w:rPr>
  </w:style>
  <w:style w:type="paragraph" w:styleId="1257" w:customStyle="1">
    <w:name w:val="xl70"/>
    <w:basedOn w:val="797"/>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258" w:customStyle="1">
    <w:name w:val="附录字母编号列项（一级）"/>
    <w:uiPriority w:val="99"/>
    <w:qFormat/>
    <w:pPr>
      <w:ind w:left="839" w:hanging="419"/>
      <w:tabs>
        <w:tab w:val="left" w:pos="839" w:leader="none"/>
      </w:tabs>
    </w:pPr>
    <w:rPr>
      <w:rFonts w:hint="default" w:ascii="宋体" w:hAnsi="Times New Roman" w:eastAsia="宋体" w:cs="Times New Roman"/>
      <w:sz w:val="21"/>
      <w:lang w:val="en-US" w:eastAsia="zh-CN" w:bidi="ar-SA"/>
    </w:rPr>
  </w:style>
  <w:style w:type="paragraph" w:styleId="1259" w:customStyle="1">
    <w:name w:val="封面标准号2"/>
    <w:uiPriority w:val="99"/>
    <w:qFormat/>
    <w:pPr>
      <w:jc w:val="right"/>
      <w:spacing w:before="357" w:line="280" w:lineRule="exact"/>
      <w:framePr w:w="9140" w:h="1242" w:hSpace="284" w:wrap="around" w:vAnchor="page" w:hAnchor="page" w:x="1644" w:y="2909" w:hRule="exact"/>
    </w:pPr>
    <w:rPr>
      <w:rFonts w:hint="default" w:ascii="黑体" w:hAnsi="Times New Roman" w:eastAsia="黑体" w:cs="Times New Roman"/>
      <w:sz w:val="28"/>
      <w:szCs w:val="28"/>
      <w:lang w:val="en-US" w:eastAsia="zh-CN" w:bidi="ar-SA"/>
    </w:rPr>
  </w:style>
  <w:style w:type="paragraph" w:styleId="1260" w:customStyle="1">
    <w:name w:val="列项——（一级）"/>
    <w:uiPriority w:val="99"/>
    <w:qFormat/>
    <w:pPr>
      <w:ind w:left="833" w:hanging="408"/>
      <w:jc w:val="both"/>
      <w:widowControl w:val="off"/>
    </w:pPr>
    <w:rPr>
      <w:rFonts w:hint="default" w:ascii="宋体" w:hAnsi="Times New Roman" w:eastAsia="宋体" w:cs="Times New Roman"/>
      <w:sz w:val="21"/>
      <w:lang w:val="en-US" w:eastAsia="zh-CN" w:bidi="ar-SA"/>
    </w:rPr>
  </w:style>
  <w:style w:type="paragraph" w:styleId="1261" w:customStyle="1">
    <w:name w:val="Heading #2|1"/>
    <w:basedOn w:val="797"/>
    <w:uiPriority w:val="0"/>
    <w:qFormat/>
    <w:pPr>
      <w:ind w:firstLine="883"/>
      <w:spacing w:after="220"/>
      <w:outlineLvl w:val="1"/>
    </w:pPr>
    <w:rPr>
      <w:rFonts w:ascii="宋体" w:hAnsi="宋体" w:cs="宋体"/>
      <w:b/>
      <w:bCs/>
      <w:sz w:val="30"/>
      <w:szCs w:val="30"/>
      <w:lang w:val="zh-TW" w:eastAsia="zh-TW" w:bidi="zh-TW"/>
    </w:rPr>
  </w:style>
  <w:style w:type="paragraph" w:styleId="1262" w:customStyle="1">
    <w:name w:val="示例×："/>
    <w:basedOn w:val="1263"/>
    <w:uiPriority w:val="99"/>
    <w:qFormat/>
    <w:pPr>
      <w:ind w:firstLine="363"/>
      <w:outlineLvl w:val="9"/>
    </w:pPr>
    <w:rPr>
      <w:rFonts w:ascii="宋体" w:eastAsia="宋体"/>
      <w:sz w:val="18"/>
      <w:szCs w:val="18"/>
    </w:rPr>
  </w:style>
  <w:style w:type="paragraph" w:styleId="1263" w:customStyle="1">
    <w:name w:val="章标题"/>
    <w:next w:val="797"/>
    <w:uiPriority w:val="99"/>
    <w:qFormat/>
    <w:pPr>
      <w:jc w:val="both"/>
      <w:outlineLvl w:val="1"/>
    </w:pPr>
    <w:rPr>
      <w:rFonts w:hint="default" w:ascii="黑体" w:hAnsi="Times New Roman" w:eastAsia="黑体" w:cs="Times New Roman"/>
      <w:sz w:val="21"/>
      <w:lang w:val="en-US" w:eastAsia="zh-CN" w:bidi="ar-SA"/>
    </w:rPr>
  </w:style>
  <w:style w:type="paragraph" w:styleId="1264" w:customStyle="1">
    <w:name w:val="表1"/>
    <w:basedOn w:val="797"/>
    <w:uiPriority w:val="0"/>
    <w:qFormat/>
    <w:pPr>
      <w:numPr>
        <w:ilvl w:val="0"/>
        <w:numId w:val="2"/>
      </w:numPr>
      <w:ind w:firstLine="200"/>
      <w:jc w:val="center"/>
    </w:pPr>
    <w:rPr>
      <w:rFonts w:ascii="Arial" w:hAnsi="Arial" w:eastAsia="仿宋" w:cs="宋体"/>
      <w:szCs w:val="24"/>
    </w:rPr>
  </w:style>
  <w:style w:type="paragraph" w:styleId="1265" w:customStyle="1">
    <w:name w:val="附录五级无"/>
    <w:basedOn w:val="1266"/>
    <w:uiPriority w:val="99"/>
    <w:qFormat/>
    <w:pPr>
      <w:tabs>
        <w:tab w:val="left" w:pos="0" w:leader="none"/>
        <w:tab w:val="left" w:pos="839" w:leader="none"/>
      </w:tabs>
    </w:pPr>
    <w:rPr>
      <w:rFonts w:ascii="宋体" w:eastAsia="宋体"/>
      <w:szCs w:val="21"/>
    </w:rPr>
  </w:style>
  <w:style w:type="paragraph" w:styleId="1266" w:customStyle="1">
    <w:name w:val="附录五级条标题"/>
    <w:basedOn w:val="1267"/>
    <w:next w:val="1188"/>
    <w:uiPriority w:val="99"/>
    <w:qFormat/>
    <w:pPr>
      <w:tabs>
        <w:tab w:val="left" w:pos="839" w:leader="none"/>
      </w:tabs>
      <w:outlineLvl w:val="6"/>
    </w:pPr>
  </w:style>
  <w:style w:type="paragraph" w:styleId="1267" w:customStyle="1">
    <w:name w:val="附录四级条标题"/>
    <w:basedOn w:val="1268"/>
    <w:next w:val="1188"/>
    <w:uiPriority w:val="99"/>
    <w:qFormat/>
    <w:pPr>
      <w:outlineLvl w:val="5"/>
    </w:pPr>
  </w:style>
  <w:style w:type="paragraph" w:styleId="1268" w:customStyle="1">
    <w:name w:val="附录三级条标题"/>
    <w:basedOn w:val="1269"/>
    <w:next w:val="1188"/>
    <w:uiPriority w:val="99"/>
    <w:qFormat/>
    <w:pPr>
      <w:outlineLvl w:val="4"/>
    </w:pPr>
  </w:style>
  <w:style w:type="paragraph" w:styleId="1269" w:customStyle="1">
    <w:name w:val="附录二级条标题"/>
    <w:basedOn w:val="797"/>
    <w:next w:val="1188"/>
    <w:uiPriority w:val="99"/>
    <w:qFormat/>
    <w:pPr>
      <w:spacing w:line="240" w:lineRule="auto"/>
      <w:widowControl/>
      <w:outlineLvl w:val="3"/>
    </w:pPr>
    <w:rPr>
      <w:rFonts w:ascii="黑体" w:eastAsia="黑体"/>
    </w:rPr>
  </w:style>
  <w:style w:type="paragraph" w:styleId="1270" w:customStyle="1">
    <w:name w:val="Body text|1"/>
    <w:basedOn w:val="797"/>
    <w:uiPriority w:val="0"/>
    <w:qFormat/>
    <w:pPr>
      <w:ind w:firstLine="400"/>
      <w:spacing w:after="200"/>
    </w:pPr>
    <w:rPr>
      <w:rFonts w:ascii="宋体" w:hAnsi="宋体" w:cs="宋体"/>
      <w:sz w:val="30"/>
      <w:szCs w:val="30"/>
      <w:lang w:val="zh-TW" w:eastAsia="zh-TW" w:bidi="zh-TW"/>
    </w:rPr>
  </w:style>
  <w:style w:type="paragraph" w:styleId="1271" w:customStyle="1">
    <w:name w:val="ugc"/>
    <w:basedOn w:val="797"/>
    <w:uiPriority w:val="99"/>
    <w:qFormat/>
    <w:pPr>
      <w:jc w:val="left"/>
      <w:spacing w:before="100" w:beforeAutospacing="1" w:after="100" w:afterAutospacing="1" w:line="240" w:lineRule="auto"/>
      <w:widowControl/>
    </w:pPr>
    <w:rPr>
      <w:rFonts w:ascii="宋体" w:hAnsi="宋体" w:cs="宋体"/>
      <w:szCs w:val="21"/>
    </w:rPr>
  </w:style>
  <w:style w:type="paragraph" w:styleId="1272" w:customStyle="1">
    <w:name w:val="封面标准号1"/>
    <w:uiPriority w:val="99"/>
    <w:qFormat/>
    <w:pPr>
      <w:jc w:val="right"/>
      <w:spacing w:before="308"/>
      <w:widowControl w:val="off"/>
    </w:pPr>
    <w:rPr>
      <w:rFonts w:hint="default" w:ascii="Times New Roman" w:hAnsi="Times New Roman" w:eastAsia="宋体" w:cs="Times New Roman"/>
      <w:sz w:val="28"/>
      <w:lang w:val="en-US" w:eastAsia="zh-CN" w:bidi="ar-SA"/>
    </w:rPr>
  </w:style>
  <w:style w:type="paragraph" w:styleId="1273" w:customStyle="1">
    <w:name w:val="xl71"/>
    <w:basedOn w:val="797"/>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274" w:customStyle="1">
    <w:name w:val="无间隔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275" w:customStyle="1">
    <w:name w:val="GP正文(首行缩进)"/>
    <w:basedOn w:val="797"/>
    <w:uiPriority w:val="0"/>
    <w:qFormat/>
    <w:pPr>
      <w:ind w:firstLine="200"/>
      <w:jc w:val="left"/>
    </w:pPr>
    <w:rPr>
      <w:rFonts w:eastAsia="仿宋" w:cs="仿宋"/>
      <w:szCs w:val="21"/>
    </w:rPr>
  </w:style>
  <w:style w:type="paragraph" w:styleId="1276" w:customStyle="1">
    <w:name w:val="标准书脚_偶数页"/>
    <w:uiPriority w:val="99"/>
    <w:qFormat/>
    <w:pPr>
      <w:ind w:left="221"/>
      <w:spacing w:before="120"/>
    </w:pPr>
    <w:rPr>
      <w:rFonts w:hint="default" w:ascii="宋体" w:hAnsi="Times New Roman" w:eastAsia="宋体" w:cs="Times New Roman"/>
      <w:sz w:val="18"/>
      <w:szCs w:val="18"/>
      <w:lang w:val="en-US" w:eastAsia="zh-CN" w:bidi="ar-SA"/>
    </w:rPr>
  </w:style>
  <w:style w:type="paragraph" w:styleId="1277" w:customStyle="1">
    <w:name w:val="封面标准英文名称2"/>
    <w:basedOn w:val="1278"/>
    <w:uiPriority w:val="99"/>
    <w:qFormat/>
    <w:pPr>
      <w:framePr w:wrap="around" w:y="4468"/>
    </w:pPr>
  </w:style>
  <w:style w:type="paragraph" w:styleId="1278" w:customStyle="1">
    <w:name w:val="封面标准英文名称"/>
    <w:basedOn w:val="1279"/>
    <w:uiPriority w:val="99"/>
    <w:qFormat/>
    <w:pPr>
      <w:spacing w:before="370" w:line="400" w:lineRule="exact"/>
      <w:framePr w:wrap="around"/>
    </w:pPr>
    <w:rPr>
      <w:rFonts w:ascii="Times New Roman"/>
      <w:sz w:val="28"/>
      <w:szCs w:val="28"/>
    </w:rPr>
  </w:style>
  <w:style w:type="paragraph" w:styleId="1279" w:customStyle="1">
    <w:name w:val="封面标准名称"/>
    <w:uiPriority w:val="99"/>
    <w:qFormat/>
    <w:pPr>
      <w:jc w:val="center"/>
      <w:spacing w:line="680" w:lineRule="exact"/>
      <w:widowControl w:val="off"/>
      <w:framePr w:w="9639" w:h="6917" w:wrap="around" w:vAnchor="page" w:hAnchor="page" w:xAlign="center" w:y="6407" w:hRule="exact"/>
    </w:pPr>
    <w:rPr>
      <w:rFonts w:hint="default" w:ascii="黑体" w:hAnsi="Times New Roman" w:eastAsia="黑体" w:cs="Times New Roman"/>
      <w:sz w:val="52"/>
      <w:lang w:val="en-US" w:eastAsia="zh-CN" w:bidi="ar-SA"/>
    </w:rPr>
  </w:style>
  <w:style w:type="paragraph" w:styleId="1280" w:customStyle="1">
    <w:name w:val="封面标准文稿编辑信息2"/>
    <w:basedOn w:val="1281"/>
    <w:uiPriority w:val="99"/>
    <w:qFormat/>
    <w:pPr>
      <w:tabs>
        <w:tab w:val="left" w:pos="0" w:leader="none"/>
      </w:tabs>
      <w:framePr w:wrap="around" w:y="4468"/>
    </w:pPr>
  </w:style>
  <w:style w:type="paragraph" w:styleId="1281" w:customStyle="1">
    <w:name w:val="封面标准文稿编辑信息"/>
    <w:basedOn w:val="1282"/>
    <w:uiPriority w:val="99"/>
    <w:qFormat/>
    <w:pPr>
      <w:spacing w:before="180" w:line="180" w:lineRule="exact"/>
      <w:tabs>
        <w:tab w:val="left" w:pos="0" w:leader="none"/>
      </w:tabs>
      <w:framePr w:wrap="around"/>
    </w:pPr>
    <w:rPr>
      <w:sz w:val="21"/>
    </w:rPr>
  </w:style>
  <w:style w:type="paragraph" w:styleId="1282" w:customStyle="1">
    <w:name w:val="封面标准文稿类别"/>
    <w:basedOn w:val="1283"/>
    <w:uiPriority w:val="99"/>
    <w:qFormat/>
    <w:pPr>
      <w:spacing w:after="160" w:line="240" w:lineRule="auto"/>
      <w:tabs>
        <w:tab w:val="left" w:pos="0" w:leader="none"/>
      </w:tabs>
      <w:framePr w:wrap="around"/>
    </w:pPr>
    <w:rPr>
      <w:sz w:val="24"/>
    </w:rPr>
  </w:style>
  <w:style w:type="paragraph" w:styleId="1283" w:customStyle="1">
    <w:name w:val="封面一致性程度标识"/>
    <w:basedOn w:val="1278"/>
    <w:uiPriority w:val="99"/>
    <w:qFormat/>
    <w:pPr>
      <w:spacing w:before="440"/>
      <w:framePr w:wrap="around"/>
    </w:pPr>
    <w:rPr>
      <w:rFonts w:ascii="宋体" w:eastAsia="宋体"/>
    </w:rPr>
  </w:style>
  <w:style w:type="paragraph" w:styleId="1284" w:customStyle="1">
    <w:name w:val="List Paragraph1"/>
    <w:basedOn w:val="797"/>
    <w:uiPriority w:val="99"/>
    <w:qFormat/>
    <w:pPr>
      <w:ind w:firstLine="420"/>
      <w:spacing w:line="240" w:lineRule="auto"/>
    </w:pPr>
    <w:rPr>
      <w:szCs w:val="22"/>
    </w:rPr>
  </w:style>
  <w:style w:type="paragraph" w:styleId="1285" w:customStyle="1">
    <w:name w:val="正文SONG"/>
    <w:basedOn w:val="797"/>
    <w:uiPriority w:val="99"/>
    <w:qFormat/>
    <w:pPr>
      <w:ind w:firstLine="210"/>
    </w:pPr>
    <w:rPr>
      <w:rFonts w:ascii="仿宋_GB2312" w:hAnsi="宋体" w:eastAsia="仿宋_GB2312"/>
      <w:sz w:val="30"/>
      <w:szCs w:val="30"/>
    </w:rPr>
  </w:style>
  <w:style w:type="paragraph" w:styleId="1286" w:customStyle="1">
    <w:name w:val="表格正文"/>
    <w:basedOn w:val="797"/>
    <w:uiPriority w:val="0"/>
    <w:qFormat/>
    <w:pPr>
      <w:ind w:firstLine="883"/>
      <w:jc w:val="left"/>
    </w:pPr>
    <w:rPr>
      <w:rFonts w:ascii="Arial" w:hAnsi="Arial" w:eastAsia="仿宋" w:cs="宋体"/>
      <w:szCs w:val="24"/>
    </w:rPr>
  </w:style>
  <w:style w:type="paragraph" w:styleId="1287" w:customStyle="1">
    <w:name w:val="z-Top of Form1"/>
    <w:next w:val="797"/>
    <w:uiPriority w:val="99"/>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88" w:customStyle="1">
    <w:name w:val="终结线"/>
    <w:basedOn w:val="797"/>
    <w:uiPriority w:val="99"/>
    <w:qFormat/>
    <w:pPr>
      <w:spacing w:line="240" w:lineRule="auto"/>
      <w:framePr w:vSpace="181" w:hSpace="181" w:wrap="around" w:vAnchor="text" w:hAnchor="margin" w:xAlign="center" w:y="284"/>
    </w:pPr>
    <w:rPr>
      <w:szCs w:val="24"/>
    </w:rPr>
  </w:style>
  <w:style w:type="paragraph" w:styleId="1289" w:customStyle="1">
    <w:name w:val="默认段落字体 Para Char Char Char1 Char"/>
    <w:basedOn w:val="797"/>
    <w:uiPriority w:val="99"/>
    <w:qFormat/>
    <w:pPr>
      <w:ind w:left="420" w:firstLine="420"/>
    </w:pPr>
    <w:rPr>
      <w:sz w:val="24"/>
      <w:szCs w:val="21"/>
    </w:rPr>
  </w:style>
  <w:style w:type="paragraph" w:styleId="1290" w:customStyle="1">
    <w:name w:val="H6"/>
    <w:basedOn w:val="797"/>
    <w:next w:val="797"/>
    <w:uiPriority w:val="99"/>
    <w:qFormat/>
    <w:pPr>
      <w:jc w:val="left"/>
      <w:keepNext/>
      <w:spacing w:before="100" w:after="100" w:line="240" w:lineRule="auto"/>
      <w:outlineLvl w:val="6"/>
    </w:pPr>
    <w:rPr>
      <w:b/>
      <w:sz w:val="16"/>
    </w:rPr>
  </w:style>
  <w:style w:type="paragraph" w:styleId="1291" w:customStyle="1">
    <w:name w:val="Body text|3"/>
    <w:basedOn w:val="797"/>
    <w:uiPriority w:val="0"/>
    <w:qFormat/>
    <w:pPr>
      <w:ind w:firstLine="300"/>
      <w:spacing w:after="200"/>
    </w:pPr>
    <w:rPr>
      <w:rFonts w:ascii="仿宋" w:hAnsi="仿宋" w:eastAsia="仿宋" w:cs="仿宋"/>
      <w:sz w:val="28"/>
      <w:szCs w:val="28"/>
    </w:rPr>
  </w:style>
  <w:style w:type="paragraph" w:styleId="1292" w:customStyle="1">
    <w:name w:val="列出段落5"/>
    <w:basedOn w:val="797"/>
    <w:uiPriority w:val="99"/>
    <w:qFormat/>
    <w:pPr>
      <w:ind w:firstLine="420"/>
      <w:spacing w:line="240" w:lineRule="auto"/>
    </w:pPr>
    <w:rPr>
      <w:szCs w:val="21"/>
    </w:rPr>
  </w:style>
  <w:style w:type="paragraph" w:styleId="1293" w:customStyle="1">
    <w:name w:val="xl76"/>
    <w:basedOn w:val="797"/>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94" w:customStyle="1">
    <w:name w:val="封面标准文稿类别2"/>
    <w:basedOn w:val="1282"/>
    <w:uiPriority w:val="99"/>
    <w:qFormat/>
    <w:pPr>
      <w:framePr w:wrap="around" w:y="4468"/>
    </w:pPr>
  </w:style>
  <w:style w:type="paragraph" w:styleId="1295" w:customStyle="1">
    <w:name w:val="附录标题"/>
    <w:basedOn w:val="1188"/>
    <w:next w:val="1188"/>
    <w:uiPriority w:val="99"/>
    <w:qFormat/>
    <w:pPr>
      <w:ind w:firstLine="0"/>
      <w:jc w:val="center"/>
      <w:tabs>
        <w:tab w:val="center" w:pos="4201" w:leader="none"/>
        <w:tab w:val="right" w:pos="9298" w:leader="dot"/>
      </w:tabs>
    </w:pPr>
    <w:rPr>
      <w:rFonts w:ascii="黑体" w:eastAsia="黑体"/>
      <w:szCs w:val="22"/>
    </w:rPr>
  </w:style>
  <w:style w:type="paragraph" w:styleId="1296" w:customStyle="1">
    <w:name w:val="目次、标准名称标题"/>
    <w:basedOn w:val="797"/>
    <w:next w:val="1188"/>
    <w:uiPriority w:val="99"/>
    <w:qFormat/>
    <w:pPr>
      <w:jc w:val="center"/>
      <w:keepNext/>
      <w:pageBreakBefore/>
      <w:spacing w:before="640" w:after="560" w:line="460" w:lineRule="exact"/>
      <w:shd w:val="clear" w:color="ffffff" w:fill="ffffff"/>
      <w:widowControl/>
      <w:outlineLvl w:val="0"/>
    </w:pPr>
    <w:rPr>
      <w:rFonts w:ascii="黑体" w:eastAsia="黑体"/>
      <w:sz w:val="32"/>
    </w:rPr>
  </w:style>
  <w:style w:type="paragraph" w:styleId="1297" w:customStyle="1">
    <w:name w:val="font7"/>
    <w:basedOn w:val="797"/>
    <w:uiPriority w:val="0"/>
    <w:qFormat/>
    <w:pPr>
      <w:jc w:val="left"/>
      <w:spacing w:before="100" w:beforeAutospacing="1" w:after="100" w:afterAutospacing="1" w:line="240" w:lineRule="auto"/>
      <w:widowControl/>
    </w:pPr>
    <w:rPr>
      <w:sz w:val="20"/>
    </w:rPr>
  </w:style>
  <w:style w:type="paragraph" w:styleId="1298" w:customStyle="1">
    <w:name w:val="xl67"/>
    <w:basedOn w:val="79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99" w:customStyle="1">
    <w:name w:val="xl85"/>
    <w:basedOn w:val="79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300" w:customStyle="1">
    <w:name w:val="xl88"/>
    <w:basedOn w:val="79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301" w:customStyle="1">
    <w:name w:val="封面正文"/>
    <w:uiPriority w:val="99"/>
    <w:qFormat/>
    <w:pPr>
      <w:jc w:val="both"/>
    </w:pPr>
    <w:rPr>
      <w:rFonts w:hint="default" w:ascii="Times New Roman" w:hAnsi="Times New Roman" w:eastAsia="宋体" w:cs="Times New Roman"/>
      <w:lang w:val="en-US" w:eastAsia="zh-CN" w:bidi="ar-SA"/>
    </w:rPr>
  </w:style>
  <w:style w:type="paragraph" w:styleId="1302" w:customStyle="1">
    <w:name w:val="字母编号列项（一级）"/>
    <w:uiPriority w:val="99"/>
    <w:qFormat/>
    <w:pPr>
      <w:ind w:left="839" w:hanging="419"/>
      <w:jc w:val="both"/>
      <w:tabs>
        <w:tab w:val="left" w:pos="839" w:leader="none"/>
      </w:tabs>
    </w:pPr>
    <w:rPr>
      <w:rFonts w:hint="default" w:ascii="宋体" w:hAnsi="Times New Roman" w:eastAsia="宋体" w:cs="Times New Roman"/>
      <w:sz w:val="21"/>
      <w:lang w:val="en-US" w:eastAsia="zh-CN" w:bidi="ar-SA"/>
    </w:rPr>
  </w:style>
  <w:style w:type="paragraph" w:styleId="1303" w:customStyle="1">
    <w:name w:val="附录二级无"/>
    <w:basedOn w:val="1269"/>
    <w:uiPriority w:val="99"/>
    <w:qFormat/>
    <w:rPr>
      <w:rFonts w:ascii="宋体" w:eastAsia="宋体"/>
      <w:szCs w:val="21"/>
    </w:rPr>
  </w:style>
  <w:style w:type="paragraph" w:styleId="1304" w:customStyle="1">
    <w:name w:val="xl65"/>
    <w:basedOn w:val="797"/>
    <w:uiPriority w:val="0"/>
    <w:qFormat/>
    <w:pPr>
      <w:jc w:val="center"/>
      <w:spacing w:before="100" w:beforeAutospacing="1" w:after="100" w:afterAutospacing="1" w:line="240" w:lineRule="auto"/>
      <w:widowControl/>
    </w:pPr>
    <w:rPr>
      <w:rFonts w:ascii="宋体" w:hAnsi="宋体" w:cs="宋体"/>
      <w:sz w:val="24"/>
      <w:szCs w:val="24"/>
    </w:rPr>
  </w:style>
  <w:style w:type="paragraph" w:styleId="1305" w:customStyle="1">
    <w:name w:val="☆ 正文"/>
    <w:basedOn w:val="797"/>
    <w:uiPriority w:val="99"/>
    <w:qFormat/>
    <w:pPr>
      <w:spacing w:line="240" w:lineRule="auto"/>
    </w:pPr>
  </w:style>
  <w:style w:type="paragraph" w:styleId="1306" w:customStyle="1">
    <w:name w:val="空半行"/>
    <w:basedOn w:val="797"/>
    <w:uiPriority w:val="99"/>
    <w:qFormat/>
    <w:pPr>
      <w:spacing w:line="120" w:lineRule="exact"/>
    </w:pPr>
    <w:rPr>
      <w:rFonts w:eastAsia="仿宋_GB2312"/>
      <w:color w:val="ffffff"/>
      <w:sz w:val="30"/>
    </w:rPr>
  </w:style>
  <w:style w:type="paragraph" w:styleId="1307" w:customStyle="1">
    <w:name w:val="附录图标题"/>
    <w:basedOn w:val="797"/>
    <w:next w:val="1188"/>
    <w:uiPriority w:val="99"/>
    <w:qFormat/>
    <w:pPr>
      <w:jc w:val="center"/>
      <w:spacing w:line="240" w:lineRule="auto"/>
      <w:tabs>
        <w:tab w:val="left" w:pos="363" w:leader="none"/>
      </w:tabs>
    </w:pPr>
    <w:rPr>
      <w:rFonts w:ascii="黑体" w:eastAsia="黑体"/>
      <w:szCs w:val="21"/>
    </w:rPr>
  </w:style>
  <w:style w:type="paragraph" w:styleId="1308" w:customStyle="1">
    <w:name w:val="目次、索引正文"/>
    <w:uiPriority w:val="99"/>
    <w:qFormat/>
    <w:pPr>
      <w:jc w:val="both"/>
      <w:spacing w:line="320" w:lineRule="exact"/>
    </w:pPr>
    <w:rPr>
      <w:rFonts w:hint="default" w:ascii="宋体" w:hAnsi="Times New Roman" w:eastAsia="宋体" w:cs="Times New Roman"/>
      <w:sz w:val="21"/>
      <w:lang w:val="en-US" w:eastAsia="zh-CN" w:bidi="ar-SA"/>
    </w:rPr>
  </w:style>
  <w:style w:type="paragraph" w:styleId="1309" w:customStyle="1">
    <w:name w:val="参考文献"/>
    <w:basedOn w:val="797"/>
    <w:next w:val="1188"/>
    <w:uiPriority w:val="99"/>
    <w:qFormat/>
    <w:pPr>
      <w:jc w:val="center"/>
      <w:keepNext/>
      <w:pageBreakBefore/>
      <w:spacing w:before="640" w:after="200" w:line="240" w:lineRule="auto"/>
      <w:shd w:val="clear" w:color="ffffff" w:fill="ffffff"/>
      <w:widowControl/>
      <w:outlineLvl w:val="0"/>
    </w:pPr>
    <w:rPr>
      <w:rFonts w:ascii="黑体" w:eastAsia="黑体"/>
    </w:rPr>
  </w:style>
  <w:style w:type="paragraph" w:styleId="1310" w:customStyle="1">
    <w:name w:val="+标题4"/>
    <w:basedOn w:val="1025"/>
    <w:uiPriority w:val="99"/>
    <w:qFormat/>
    <w:pPr>
      <w:jc w:val="both"/>
      <w:spacing w:line="500" w:lineRule="exact"/>
      <w:widowControl w:val="off"/>
    </w:pPr>
    <w:rPr>
      <w:rFonts w:ascii="Times New Roman" w:hAnsi="Times New Roman" w:eastAsia="宋体"/>
      <w:b/>
      <w:sz w:val="24"/>
    </w:rPr>
  </w:style>
  <w:style w:type="paragraph" w:styleId="1311" w:customStyle="1">
    <w:name w:val="示例后文字"/>
    <w:basedOn w:val="1188"/>
    <w:next w:val="1188"/>
    <w:uiPriority w:val="99"/>
    <w:qFormat/>
    <w:pPr>
      <w:ind w:firstLine="360"/>
      <w:tabs>
        <w:tab w:val="center" w:pos="4201" w:leader="none"/>
        <w:tab w:val="right" w:pos="9298" w:leader="dot"/>
      </w:tabs>
    </w:pPr>
    <w:rPr>
      <w:rFonts w:eastAsia="宋体"/>
      <w:sz w:val="18"/>
      <w:szCs w:val="22"/>
    </w:rPr>
  </w:style>
  <w:style w:type="paragraph" w:styleId="1312" w:customStyle="1">
    <w:name w:val="三级无"/>
    <w:basedOn w:val="1248"/>
    <w:uiPriority w:val="99"/>
    <w:qFormat/>
    <w:rPr>
      <w:rFonts w:ascii="宋体" w:eastAsia="宋体"/>
    </w:rPr>
  </w:style>
  <w:style w:type="paragraph" w:styleId="1313" w:customStyle="1">
    <w:name w:val="xl83"/>
    <w:basedOn w:val="797"/>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14" w:customStyle="1">
    <w:name w:val="H1"/>
    <w:basedOn w:val="797"/>
    <w:next w:val="797"/>
    <w:uiPriority w:val="99"/>
    <w:qFormat/>
    <w:pPr>
      <w:jc w:val="left"/>
      <w:keepNext/>
      <w:spacing w:before="100" w:after="100" w:line="240" w:lineRule="auto"/>
      <w:outlineLvl w:val="1"/>
    </w:pPr>
    <w:rPr>
      <w:b/>
      <w:sz w:val="48"/>
    </w:rPr>
  </w:style>
  <w:style w:type="paragraph" w:styleId="1315" w:customStyle="1">
    <w:name w:val="普通文字"/>
    <w:basedOn w:val="797"/>
    <w:next w:val="797"/>
    <w:uiPriority w:val="99"/>
    <w:qFormat/>
    <w:pPr>
      <w:spacing w:line="240" w:lineRule="auto"/>
    </w:pPr>
    <w:rPr>
      <w:rFonts w:ascii="宋体"/>
      <w:sz w:val="24"/>
    </w:rPr>
  </w:style>
  <w:style w:type="paragraph" w:styleId="1316" w:customStyle="1">
    <w:name w:val="标准称谓"/>
    <w:next w:val="797"/>
    <w:uiPriority w:val="99"/>
    <w:qFormat/>
    <w:pPr>
      <w:jc w:val="both"/>
      <w:spacing w:line="240" w:lineRule="atLeast"/>
      <w:widowControl w:val="off"/>
      <w:framePr w:w="9639" w:h="624" w:vSpace="181" w:hSpace="181" w:wrap="around" w:vAnchor="page" w:hAnchor="page" w:x="1418" w:y="2285" w:hRule="exact"/>
    </w:pPr>
    <w:rPr>
      <w:rFonts w:hint="default" w:ascii="宋体" w:hAnsi="Times New Roman" w:eastAsia="宋体" w:cs="Times New Roman"/>
      <w:b/>
      <w:bCs/>
      <w:spacing w:val="20"/>
      <w:sz w:val="48"/>
      <w:lang w:val="en-US" w:eastAsia="zh-CN" w:bidi="ar-SA"/>
    </w:rPr>
  </w:style>
  <w:style w:type="paragraph" w:styleId="1317" w:customStyle="1">
    <w:name w:val="xl82"/>
    <w:basedOn w:val="797"/>
    <w:uiPriority w:val="0"/>
    <w:qFormat/>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318" w:customStyle="1">
    <w:name w:val="tableheading"/>
    <w:basedOn w:val="797"/>
    <w:uiPriority w:val="99"/>
    <w:qFormat/>
    <w:pPr>
      <w:jc w:val="left"/>
      <w:spacing w:before="100" w:beforeAutospacing="1" w:after="100" w:afterAutospacing="1" w:line="240" w:lineRule="auto"/>
      <w:widowControl/>
    </w:pPr>
    <w:rPr>
      <w:rFonts w:ascii="宋体" w:hAnsi="宋体" w:cs="宋体"/>
      <w:sz w:val="24"/>
      <w:szCs w:val="24"/>
    </w:rPr>
  </w:style>
  <w:style w:type="paragraph" w:styleId="1319" w:customStyle="1">
    <w:name w:val="标题 11"/>
    <w:basedOn w:val="797"/>
    <w:uiPriority w:val="99"/>
    <w:qFormat/>
    <w:pPr>
      <w:ind w:left="102"/>
      <w:jc w:val="left"/>
      <w:spacing w:line="240" w:lineRule="auto"/>
      <w:outlineLvl w:val="1"/>
    </w:pPr>
    <w:rPr>
      <w:rFonts w:ascii="宋体" w:hAnsi="宋体"/>
      <w:sz w:val="31"/>
      <w:szCs w:val="31"/>
      <w:lang w:eastAsia="en-US"/>
    </w:rPr>
  </w:style>
  <w:style w:type="paragraph" w:styleId="1320" w:customStyle="1">
    <w:name w:val="xl78"/>
    <w:basedOn w:val="797"/>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321" w:customStyle="1">
    <w:name w:val="条文脚注"/>
    <w:basedOn w:val="1087"/>
    <w:uiPriority w:val="99"/>
    <w:qFormat/>
    <w:pPr>
      <w:ind w:left="0" w:firstLine="0"/>
      <w:jc w:val="both"/>
    </w:pPr>
  </w:style>
  <w:style w:type="paragraph" w:styleId="1322" w:customStyle="1">
    <w:name w:val="列项说明"/>
    <w:basedOn w:val="797"/>
    <w:uiPriority w:val="99"/>
    <w:qFormat/>
    <w:pPr>
      <w:ind w:left="400" w:hanging="200"/>
      <w:jc w:val="left"/>
      <w:spacing w:line="320" w:lineRule="exact"/>
    </w:pPr>
    <w:rPr>
      <w:rFonts w:ascii="宋体"/>
    </w:rPr>
  </w:style>
  <w:style w:type="paragraph" w:styleId="1323" w:customStyle="1">
    <w:name w:val="样式 标题 3 + (中文) 黑体 小四 非加粗 段前: 7.8 磅 段后: 0 磅 行距: 固定值 20 磅"/>
    <w:basedOn w:val="1023"/>
    <w:uiPriority w:val="99"/>
    <w:qFormat/>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324" w:customStyle="1">
    <w:name w:val="列项说明数字编号"/>
    <w:uiPriority w:val="99"/>
    <w:qFormat/>
    <w:pPr>
      <w:ind w:left="600" w:hanging="200"/>
    </w:pPr>
    <w:rPr>
      <w:rFonts w:hint="default" w:ascii="宋体" w:hAnsi="Times New Roman" w:eastAsia="宋体" w:cs="Times New Roman"/>
      <w:sz w:val="21"/>
      <w:lang w:val="en-US" w:eastAsia="zh-CN" w:bidi="ar-SA"/>
    </w:rPr>
  </w:style>
  <w:style w:type="paragraph" w:styleId="1325" w:customStyle="1">
    <w:name w:val="正文表标题"/>
    <w:next w:val="1188"/>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326" w:customStyle="1">
    <w:name w:val="附录图标号"/>
    <w:basedOn w:val="797"/>
    <w:uiPriority w:val="99"/>
    <w:qFormat/>
    <w:pPr>
      <w:ind w:firstLine="363"/>
      <w:jc w:val="center"/>
      <w:keepNext/>
      <w:pageBreakBefore/>
      <w:spacing w:line="14" w:lineRule="exact"/>
      <w:widowControl/>
      <w:outlineLvl w:val="0"/>
    </w:pPr>
    <w:rPr>
      <w:color w:val="ffffff"/>
      <w:szCs w:val="24"/>
    </w:rPr>
  </w:style>
  <w:style w:type="paragraph" w:styleId="1327" w:customStyle="1">
    <w:name w:val="附录四级无"/>
    <w:basedOn w:val="1267"/>
    <w:uiPriority w:val="99"/>
    <w:qFormat/>
    <w:rPr>
      <w:rFonts w:ascii="宋体" w:eastAsia="宋体"/>
      <w:szCs w:val="21"/>
    </w:rPr>
  </w:style>
  <w:style w:type="paragraph" w:styleId="1328" w:customStyle="1">
    <w:name w:val="xl68"/>
    <w:basedOn w:val="797"/>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329" w:customStyle="1">
    <w:name w:val="图的脚注"/>
    <w:next w:val="1188"/>
    <w:uiPriority w:val="99"/>
    <w:qFormat/>
    <w:pPr>
      <w:ind w:left="840" w:hanging="420"/>
      <w:jc w:val="both"/>
      <w:widowControl w:val="off"/>
    </w:pPr>
    <w:rPr>
      <w:rFonts w:hint="default" w:ascii="宋体" w:hAnsi="Times New Roman" w:eastAsia="宋体" w:cs="Times New Roman"/>
      <w:sz w:val="18"/>
      <w:lang w:val="en-US" w:eastAsia="zh-CN" w:bidi="ar-SA"/>
    </w:rPr>
  </w:style>
  <w:style w:type="paragraph" w:styleId="1330" w:customStyle="1">
    <w:name w:val="标准标志"/>
    <w:next w:val="797"/>
    <w:uiPriority w:val="99"/>
    <w:qFormat/>
    <w:pPr>
      <w:jc w:val="right"/>
      <w:spacing w:line="240" w:lineRule="atLeast"/>
      <w:shd w:val="solid" w:color="ffffff" w:fill="ffffff"/>
      <w:framePr w:w="2546" w:h="1389" w:vSpace="181" w:hSpace="181" w:wrap="around" w:vAnchor="margin" w:hAnchor="margin" w:x="6521" w:y="397" w:hRule="exact"/>
    </w:pPr>
    <w:rPr>
      <w:rFonts w:hint="default" w:ascii="Times New Roman" w:hAnsi="Times New Roman" w:eastAsia="宋体" w:cs="Times New Roman"/>
      <w:b/>
      <w:sz w:val="96"/>
      <w:szCs w:val="96"/>
      <w:lang w:val="en-US" w:eastAsia="zh-CN" w:bidi="ar-SA"/>
    </w:rPr>
  </w:style>
  <w:style w:type="paragraph" w:styleId="1331" w:customStyle="1">
    <w:name w:val="Definition List"/>
    <w:basedOn w:val="797"/>
    <w:next w:val="1332"/>
    <w:uiPriority w:val="99"/>
    <w:qFormat/>
    <w:pPr>
      <w:ind w:left="360"/>
      <w:jc w:val="left"/>
      <w:spacing w:line="240" w:lineRule="auto"/>
    </w:pPr>
    <w:rPr>
      <w:sz w:val="24"/>
    </w:rPr>
  </w:style>
  <w:style w:type="paragraph" w:styleId="1332" w:customStyle="1">
    <w:name w:val="Definition Term"/>
    <w:basedOn w:val="797"/>
    <w:next w:val="1331"/>
    <w:uiPriority w:val="99"/>
    <w:qFormat/>
    <w:pPr>
      <w:jc w:val="left"/>
      <w:spacing w:line="240" w:lineRule="auto"/>
    </w:pPr>
    <w:rPr>
      <w:sz w:val="24"/>
    </w:rPr>
  </w:style>
  <w:style w:type="paragraph" w:styleId="1333" w:customStyle="1">
    <w:name w:val="表格"/>
    <w:basedOn w:val="797"/>
    <w:next w:val="1054"/>
    <w:uiPriority w:val="99"/>
    <w:qFormat/>
    <w:pPr>
      <w:jc w:val="center"/>
      <w:spacing w:line="240" w:lineRule="auto"/>
    </w:pPr>
    <w:rPr>
      <w:rFonts w:ascii="华文细黑" w:hAnsi="华文细黑"/>
    </w:rPr>
  </w:style>
  <w:style w:type="paragraph" w:styleId="1334" w:customStyle="1">
    <w:name w:val="示例"/>
    <w:next w:val="1335"/>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335" w:customStyle="1">
    <w:name w:val="示例内容"/>
    <w:uiPriority w:val="99"/>
    <w:qFormat/>
    <w:pPr>
      <w:ind w:firstLine="200"/>
    </w:pPr>
    <w:rPr>
      <w:rFonts w:hint="default" w:ascii="宋体" w:hAnsi="Times New Roman" w:eastAsia="宋体" w:cs="Times New Roman"/>
      <w:sz w:val="18"/>
      <w:szCs w:val="18"/>
      <w:lang w:val="en-US" w:eastAsia="zh-CN" w:bidi="ar-SA"/>
    </w:rPr>
  </w:style>
  <w:style w:type="paragraph" w:styleId="1336" w:customStyle="1">
    <w:name w:val="列项●（二级）"/>
    <w:uiPriority w:val="99"/>
    <w:qFormat/>
    <w:pPr>
      <w:ind w:left="726" w:hanging="363"/>
      <w:jc w:val="both"/>
      <w:tabs>
        <w:tab w:val="left" w:pos="840" w:leader="none"/>
        <w:tab w:val="left" w:pos="1140" w:leader="none"/>
      </w:tabs>
    </w:pPr>
    <w:rPr>
      <w:rFonts w:hint="default" w:ascii="宋体" w:hAnsi="Times New Roman" w:eastAsia="宋体" w:cs="Times New Roman"/>
      <w:sz w:val="21"/>
      <w:lang w:val="en-US" w:eastAsia="zh-CN" w:bidi="ar-SA"/>
    </w:rPr>
  </w:style>
  <w:style w:type="paragraph" w:styleId="1337" w:customStyle="1">
    <w:name w:val="p17"/>
    <w:basedOn w:val="797"/>
    <w:uiPriority w:val="99"/>
    <w:qFormat/>
    <w:pPr>
      <w:ind w:firstLine="420"/>
      <w:spacing w:line="240" w:lineRule="auto"/>
      <w:widowControl/>
    </w:pPr>
    <w:rPr>
      <w:rFonts w:ascii="仿宋_GB2312" w:hAnsi="宋体" w:eastAsia="仿宋_GB2312" w:cs="宋体"/>
      <w:sz w:val="24"/>
      <w:szCs w:val="24"/>
    </w:rPr>
  </w:style>
  <w:style w:type="paragraph" w:styleId="1338" w:customStyle="1">
    <w:name w:val="附录三级无"/>
    <w:basedOn w:val="1268"/>
    <w:uiPriority w:val="99"/>
    <w:qFormat/>
    <w:rPr>
      <w:rFonts w:ascii="宋体" w:eastAsia="宋体"/>
      <w:szCs w:val="21"/>
    </w:rPr>
  </w:style>
  <w:style w:type="paragraph" w:styleId="1339" w:customStyle="1">
    <w:name w:val="tabletext"/>
    <w:basedOn w:val="797"/>
    <w:uiPriority w:val="99"/>
    <w:qFormat/>
    <w:pPr>
      <w:jc w:val="left"/>
      <w:spacing w:before="100" w:beforeAutospacing="1" w:after="100" w:afterAutospacing="1" w:line="240" w:lineRule="auto"/>
      <w:widowControl/>
    </w:pPr>
    <w:rPr>
      <w:rFonts w:ascii="宋体" w:hAnsi="宋体" w:cs="宋体"/>
      <w:sz w:val="24"/>
      <w:szCs w:val="24"/>
    </w:rPr>
  </w:style>
  <w:style w:type="paragraph" w:styleId="1340" w:customStyle="1">
    <w:name w:val="列项◆（三级）"/>
    <w:basedOn w:val="797"/>
    <w:uiPriority w:val="99"/>
    <w:qFormat/>
    <w:pPr>
      <w:ind w:left="1678" w:hanging="414"/>
      <w:spacing w:line="240" w:lineRule="auto"/>
      <w:tabs>
        <w:tab w:val="left" w:pos="1678" w:leader="none"/>
      </w:tabs>
    </w:pPr>
    <w:rPr>
      <w:rFonts w:ascii="宋体"/>
      <w:szCs w:val="21"/>
    </w:rPr>
  </w:style>
  <w:style w:type="paragraph" w:styleId="1341" w:customStyle="1">
    <w:name w:val="文献分类号"/>
    <w:uiPriority w:val="99"/>
    <w:qFormat/>
    <w:pPr>
      <w:widowControl w:val="off"/>
      <w:framePr w:vSpace="180" w:hSpace="180" w:wrap="around" w:vAnchor="margin" w:hAnchor="margin" w:y="1"/>
    </w:pPr>
    <w:rPr>
      <w:rFonts w:hint="default" w:ascii="黑体" w:hAnsi="Times New Roman" w:eastAsia="黑体" w:cs="Times New Roman"/>
      <w:sz w:val="21"/>
      <w:szCs w:val="21"/>
      <w:lang w:val="en-US" w:eastAsia="zh-CN" w:bidi="ar-SA"/>
    </w:rPr>
  </w:style>
  <w:style w:type="paragraph" w:styleId="1342" w:customStyle="1">
    <w:name w:val="xl63"/>
    <w:basedOn w:val="797"/>
    <w:uiPriority w:val="0"/>
    <w:qFormat/>
    <w:pPr>
      <w:jc w:val="left"/>
      <w:spacing w:before="100" w:beforeAutospacing="1" w:after="100" w:afterAutospacing="1" w:line="240" w:lineRule="auto"/>
      <w:widowControl/>
    </w:pPr>
    <w:rPr>
      <w:rFonts w:ascii="黑体" w:hAnsi="黑体" w:eastAsia="黑体" w:cs="宋体"/>
      <w:color w:val="000000"/>
      <w:szCs w:val="21"/>
    </w:rPr>
  </w:style>
  <w:style w:type="paragraph" w:styleId="1343" w:customStyle="1">
    <w:name w:val="附录标识"/>
    <w:basedOn w:val="797"/>
    <w:next w:val="1188"/>
    <w:uiPriority w:val="99"/>
    <w:qFormat/>
    <w:pPr>
      <w:jc w:val="center"/>
      <w:keepNext/>
      <w:spacing w:before="640" w:after="280" w:line="240" w:lineRule="auto"/>
      <w:shd w:val="clear" w:color="ffffff" w:fill="ffffff"/>
      <w:widowControl/>
      <w:tabs>
        <w:tab w:val="left" w:pos="6405" w:leader="none"/>
      </w:tabs>
      <w:outlineLvl w:val="0"/>
    </w:pPr>
    <w:rPr>
      <w:rFonts w:ascii="黑体" w:eastAsia="黑体"/>
    </w:rPr>
  </w:style>
  <w:style w:type="paragraph" w:styleId="1344" w:customStyle="1">
    <w:name w:val="Char1"/>
    <w:basedOn w:val="797"/>
    <w:uiPriority w:val="99"/>
    <w:qFormat/>
    <w:rPr>
      <w:sz w:val="20"/>
    </w:rPr>
  </w:style>
  <w:style w:type="paragraph" w:styleId="1345" w:customStyle="1">
    <w:name w:val="正文公式编号制表符"/>
    <w:basedOn w:val="1188"/>
    <w:next w:val="1188"/>
    <w:uiPriority w:val="99"/>
    <w:qFormat/>
    <w:pPr>
      <w:ind w:firstLine="0"/>
      <w:tabs>
        <w:tab w:val="center" w:pos="4201" w:leader="none"/>
        <w:tab w:val="right" w:pos="9298" w:leader="dot"/>
      </w:tabs>
    </w:pPr>
    <w:rPr>
      <w:rFonts w:eastAsia="宋体"/>
      <w:szCs w:val="22"/>
    </w:rPr>
  </w:style>
  <w:style w:type="paragraph" w:styleId="1346" w:customStyle="1">
    <w:name w:val="正文内容"/>
    <w:basedOn w:val="797"/>
    <w:uiPriority w:val="99"/>
    <w:qFormat/>
    <w:pPr>
      <w:ind w:firstLine="480"/>
      <w:jc w:val="left"/>
    </w:pPr>
    <w:rPr>
      <w:rFonts w:ascii="Arial" w:hAnsi="Arial"/>
      <w:sz w:val="24"/>
      <w:szCs w:val="21"/>
    </w:rPr>
  </w:style>
  <w:style w:type="paragraph" w:styleId="1347" w:customStyle="1">
    <w:name w:val="附录表标题"/>
    <w:basedOn w:val="797"/>
    <w:next w:val="1188"/>
    <w:uiPriority w:val="99"/>
    <w:qFormat/>
    <w:pPr>
      <w:jc w:val="center"/>
      <w:spacing w:line="240" w:lineRule="auto"/>
      <w:tabs>
        <w:tab w:val="left" w:pos="180" w:leader="none"/>
      </w:tabs>
    </w:pPr>
    <w:rPr>
      <w:rFonts w:ascii="黑体" w:eastAsia="黑体"/>
      <w:szCs w:val="21"/>
    </w:rPr>
  </w:style>
  <w:style w:type="paragraph" w:styleId="1348" w:customStyle="1">
    <w:name w:val="xl66"/>
    <w:basedOn w:val="79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349" w:customStyle="1">
    <w:name w:val="前言、引言标题"/>
    <w:next w:val="1188"/>
    <w:uiPriority w:val="99"/>
    <w:qFormat/>
    <w:pPr>
      <w:jc w:val="center"/>
      <w:keepNext/>
      <w:pageBreakBefore/>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350" w:customStyle="1">
    <w:name w:val="xl81"/>
    <w:basedOn w:val="797"/>
    <w:uiPriority w:val="0"/>
    <w:qFormat/>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351" w:customStyle="1">
    <w:name w:val="xl72"/>
    <w:basedOn w:val="797"/>
    <w:uiPriority w:val="0"/>
    <w:qFormat/>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352" w:customStyle="1">
    <w:name w:val="附录数字编号列项（二级）"/>
    <w:uiPriority w:val="99"/>
    <w:qFormat/>
    <w:pPr>
      <w:ind w:left="839" w:hanging="419"/>
      <w:tabs>
        <w:tab w:val="left" w:pos="840" w:leader="none"/>
      </w:tabs>
    </w:pPr>
    <w:rPr>
      <w:rFonts w:hint="default" w:ascii="宋体" w:hAnsi="Times New Roman" w:eastAsia="宋体" w:cs="Times New Roman"/>
      <w:sz w:val="21"/>
      <w:lang w:val="en-US" w:eastAsia="zh-CN" w:bidi="ar-SA"/>
    </w:rPr>
  </w:style>
  <w:style w:type="paragraph" w:styleId="1353" w:customStyle="1">
    <w:name w:val="xl69"/>
    <w:basedOn w:val="797"/>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354" w:customStyle="1">
    <w:name w:val="xl86"/>
    <w:basedOn w:val="79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355" w:customStyle="1">
    <w:name w:val="1"/>
    <w:basedOn w:val="797"/>
    <w:uiPriority w:val="99"/>
    <w:qFormat/>
    <w:pPr>
      <w:ind w:firstLine="200"/>
    </w:pPr>
    <w:rPr>
      <w:rFonts w:ascii="宋体" w:hAnsi="宋体" w:cs="宋体"/>
      <w:sz w:val="24"/>
      <w:szCs w:val="24"/>
    </w:rPr>
  </w:style>
  <w:style w:type="paragraph" w:styleId="1356" w:customStyle="1">
    <w:name w:val="注×："/>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357" w:customStyle="1">
    <w:name w:val="标准书眉一"/>
    <w:uiPriority w:val="99"/>
    <w:qFormat/>
    <w:pPr>
      <w:jc w:val="both"/>
    </w:pPr>
    <w:rPr>
      <w:rFonts w:hint="default" w:ascii="Times New Roman" w:hAnsi="Times New Roman" w:eastAsia="宋体" w:cs="Times New Roman"/>
      <w:lang w:val="en-US" w:eastAsia="zh-CN" w:bidi="ar-SA"/>
    </w:rPr>
  </w:style>
  <w:style w:type="paragraph" w:styleId="1358" w:customStyle="1">
    <w:name w:val="xl89"/>
    <w:basedOn w:val="797"/>
    <w:uiPriority w:val="0"/>
    <w:qFormat/>
    <w:pPr>
      <w:jc w:val="center"/>
      <w:spacing w:before="100" w:beforeAutospacing="1" w:after="100" w:afterAutospacing="1" w:line="240" w:lineRule="auto"/>
      <w:widowControl/>
    </w:pPr>
    <w:rPr>
      <w:rFonts w:ascii="宋体" w:hAnsi="宋体" w:cs="宋体"/>
      <w:color w:val="000000"/>
      <w:sz w:val="20"/>
    </w:rPr>
  </w:style>
  <w:style w:type="paragraph" w:styleId="1359" w:customStyle="1">
    <w:name w:val="xl77"/>
    <w:basedOn w:val="797"/>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360" w:customStyle="1">
    <w:name w:val="font5"/>
    <w:basedOn w:val="797"/>
    <w:uiPriority w:val="0"/>
    <w:qFormat/>
    <w:pPr>
      <w:jc w:val="left"/>
      <w:spacing w:before="100" w:beforeAutospacing="1" w:after="100" w:afterAutospacing="1" w:line="240" w:lineRule="auto"/>
      <w:widowControl/>
    </w:pPr>
    <w:rPr>
      <w:rFonts w:ascii="宋体" w:hAnsi="宋体" w:cs="宋体"/>
      <w:sz w:val="18"/>
      <w:szCs w:val="18"/>
    </w:rPr>
  </w:style>
  <w:style w:type="paragraph" w:styleId="1361" w:customStyle="1">
    <w:name w:val="xl73"/>
    <w:basedOn w:val="79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362" w:customStyle="1">
    <w:name w:val="xl84"/>
    <w:basedOn w:val="79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63" w:customStyle="1">
    <w:name w:val="封面标准名称2"/>
    <w:basedOn w:val="1279"/>
    <w:uiPriority w:val="99"/>
    <w:qFormat/>
    <w:pPr>
      <w:framePr w:wrap="around" w:y="4468"/>
    </w:pPr>
  </w:style>
  <w:style w:type="paragraph" w:styleId="1364" w:customStyle="1">
    <w:name w:val="附录公式编号制表符"/>
    <w:basedOn w:val="797"/>
    <w:next w:val="1188"/>
    <w:uiPriority w:val="99"/>
    <w:qFormat/>
    <w:pPr>
      <w:spacing w:line="240" w:lineRule="auto"/>
      <w:widowControl/>
      <w:tabs>
        <w:tab w:val="center" w:pos="4201" w:leader="none"/>
        <w:tab w:val="right" w:pos="9298" w:leader="dot"/>
      </w:tabs>
    </w:pPr>
    <w:rPr>
      <w:rFonts w:ascii="宋体"/>
    </w:rPr>
  </w:style>
  <w:style w:type="paragraph" w:styleId="1365" w:customStyle="1">
    <w:name w:val="Address"/>
    <w:basedOn w:val="797"/>
    <w:next w:val="797"/>
    <w:uiPriority w:val="99"/>
    <w:qFormat/>
    <w:pPr>
      <w:jc w:val="left"/>
      <w:spacing w:line="240" w:lineRule="auto"/>
    </w:pPr>
    <w:rPr>
      <w:i/>
      <w:sz w:val="24"/>
    </w:rPr>
  </w:style>
  <w:style w:type="paragraph" w:styleId="1366" w:customStyle="1">
    <w:name w:val="标准书眉_奇数页"/>
    <w:next w:val="797"/>
    <w:uiPriority w:val="99"/>
    <w:qFormat/>
    <w:pPr>
      <w:jc w:val="right"/>
      <w:spacing w:after="220"/>
      <w:tabs>
        <w:tab w:val="center" w:pos="4154" w:leader="none"/>
        <w:tab w:val="right" w:pos="8306" w:leader="none"/>
      </w:tabs>
    </w:pPr>
    <w:rPr>
      <w:rFonts w:hint="default" w:ascii="黑体" w:hAnsi="Times New Roman" w:eastAsia="黑体" w:cs="Times New Roman"/>
      <w:sz w:val="21"/>
      <w:szCs w:val="21"/>
      <w:lang w:val="en-US" w:eastAsia="zh-CN" w:bidi="ar-SA"/>
    </w:rPr>
  </w:style>
  <w:style w:type="paragraph" w:styleId="1367" w:customStyle="1">
    <w:name w:val="xl90"/>
    <w:basedOn w:val="797"/>
    <w:uiPriority w:val="0"/>
    <w:qFormat/>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368" w:customStyle="1">
    <w:name w:val="Blockquote"/>
    <w:basedOn w:val="797"/>
    <w:uiPriority w:val="0"/>
    <w:qFormat/>
    <w:pPr>
      <w:ind w:left="360" w:right="360"/>
      <w:jc w:val="left"/>
      <w:spacing w:before="100" w:after="100" w:line="240" w:lineRule="auto"/>
    </w:pPr>
    <w:rPr>
      <w:sz w:val="24"/>
    </w:rPr>
  </w:style>
  <w:style w:type="paragraph" w:styleId="1369" w:customStyle="1">
    <w:name w:val="H5"/>
    <w:basedOn w:val="797"/>
    <w:next w:val="797"/>
    <w:uiPriority w:val="99"/>
    <w:qFormat/>
    <w:pPr>
      <w:jc w:val="left"/>
      <w:keepNext/>
      <w:spacing w:before="100" w:after="100" w:line="240" w:lineRule="auto"/>
      <w:outlineLvl w:val="5"/>
    </w:pPr>
    <w:rPr>
      <w:b/>
      <w:sz w:val="20"/>
    </w:rPr>
  </w:style>
  <w:style w:type="paragraph" w:styleId="1370" w:customStyle="1">
    <w:name w:val="a2"/>
    <w:basedOn w:val="797"/>
    <w:uiPriority w:val="99"/>
    <w:qFormat/>
    <w:pPr>
      <w:jc w:val="left"/>
      <w:spacing w:before="100" w:beforeAutospacing="1" w:after="100" w:afterAutospacing="1" w:line="240" w:lineRule="auto"/>
      <w:widowControl/>
    </w:pPr>
    <w:rPr>
      <w:rFonts w:ascii="宋体" w:hAnsi="宋体" w:cs="宋体"/>
      <w:sz w:val="24"/>
      <w:szCs w:val="24"/>
    </w:rPr>
  </w:style>
  <w:style w:type="paragraph" w:styleId="1371" w:customStyle="1">
    <w:name w:val="xl80"/>
    <w:basedOn w:val="797"/>
    <w:uiPriority w:val="0"/>
    <w:qFormat/>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372" w:customStyle="1">
    <w:name w:val="注："/>
    <w:next w:val="1188"/>
    <w:uiPriority w:val="99"/>
    <w:qFormat/>
    <w:pPr>
      <w:jc w:val="both"/>
      <w:widowControl w:val="off"/>
    </w:pPr>
    <w:rPr>
      <w:rFonts w:hint="default" w:ascii="宋体" w:hAnsi="Times New Roman" w:eastAsia="宋体" w:cs="Times New Roman"/>
      <w:sz w:val="18"/>
      <w:szCs w:val="18"/>
      <w:lang w:val="en-US" w:eastAsia="zh-CN" w:bidi="ar-SA"/>
    </w:rPr>
  </w:style>
  <w:style w:type="paragraph" w:styleId="1373" w:customStyle="1">
    <w:name w:val="注：（正文）"/>
    <w:basedOn w:val="1372"/>
    <w:next w:val="1188"/>
    <w:uiPriority w:val="99"/>
    <w:qFormat/>
  </w:style>
  <w:style w:type="paragraph" w:styleId="1374" w:customStyle="1">
    <w:name w:val="Table Paragraph"/>
    <w:basedOn w:val="797"/>
    <w:uiPriority w:val="99"/>
    <w:qFormat/>
    <w:pPr>
      <w:jc w:val="left"/>
      <w:spacing w:line="240" w:lineRule="auto"/>
    </w:pPr>
    <w:rPr>
      <w:sz w:val="24"/>
      <w:szCs w:val="24"/>
    </w:rPr>
  </w:style>
  <w:style w:type="paragraph" w:styleId="1375" w:customStyle="1">
    <w:name w:val="G正文"/>
    <w:basedOn w:val="797"/>
    <w:uiPriority w:val="99"/>
    <w:qFormat/>
    <w:pPr>
      <w:ind w:firstLine="480"/>
      <w:widowControl/>
    </w:pPr>
    <w:rPr>
      <w:rFonts w:eastAsia="仿宋_GB2312" w:cs="宋体"/>
      <w:sz w:val="24"/>
    </w:rPr>
  </w:style>
  <w:style w:type="paragraph" w:styleId="1376" w:customStyle="1">
    <w:name w:val="xl79"/>
    <w:basedOn w:val="797"/>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377" w:customStyle="1">
    <w:name w:val="参考文献、索引标题"/>
    <w:basedOn w:val="797"/>
    <w:next w:val="1188"/>
    <w:uiPriority w:val="99"/>
    <w:qFormat/>
    <w:pPr>
      <w:jc w:val="center"/>
      <w:keepNext/>
      <w:pageBreakBefore/>
      <w:spacing w:before="640" w:after="200" w:line="240" w:lineRule="auto"/>
      <w:shd w:val="clear" w:color="ffffff" w:fill="ffffff"/>
      <w:widowControl/>
      <w:outlineLvl w:val="0"/>
    </w:pPr>
    <w:rPr>
      <w:rFonts w:ascii="黑体" w:eastAsia="黑体"/>
    </w:rPr>
  </w:style>
  <w:style w:type="paragraph" w:styleId="1378" w:customStyle="1">
    <w:name w:val="项目编号3"/>
    <w:basedOn w:val="797"/>
    <w:next w:val="797"/>
    <w:uiPriority w:val="0"/>
    <w:qFormat/>
    <w:pPr>
      <w:numPr>
        <w:ilvl w:val="0"/>
        <w:numId w:val="3"/>
      </w:numPr>
      <w:ind w:left="0" w:firstLine="200"/>
      <w:jc w:val="left"/>
    </w:pPr>
    <w:rPr>
      <w:rFonts w:ascii="宋体"/>
      <w:sz w:val="24"/>
      <w:szCs w:val="24"/>
    </w:rPr>
  </w:style>
  <w:style w:type="paragraph" w:styleId="1379" w:customStyle="1">
    <w:name w:val="2 Char Char Char Char Char Char Char"/>
    <w:basedOn w:val="797"/>
    <w:uiPriority w:val="0"/>
    <w:qFormat/>
    <w:pPr>
      <w:spacing w:line="240" w:lineRule="auto"/>
    </w:pPr>
    <w:rPr>
      <w:rFonts w:ascii="Tahoma" w:hAnsi="Tahoma"/>
      <w:sz w:val="24"/>
    </w:rPr>
  </w:style>
  <w:style w:type="paragraph" w:styleId="1380" w:customStyle="1">
    <w:name w:val="Char Char Char Char Char Char Char Char Char Char"/>
    <w:basedOn w:val="797"/>
    <w:uiPriority w:val="0"/>
    <w:qFormat/>
    <w:pPr>
      <w:ind w:left="883" w:hanging="315"/>
      <w:spacing w:line="240" w:lineRule="auto"/>
      <w:tabs>
        <w:tab w:val="left" w:pos="883" w:leader="none"/>
      </w:tabs>
    </w:pPr>
    <w:rPr>
      <w:sz w:val="24"/>
      <w:szCs w:val="24"/>
    </w:rPr>
  </w:style>
  <w:style w:type="paragraph" w:styleId="1381" w:customStyle="1">
    <w:name w:val="样式1"/>
    <w:basedOn w:val="797"/>
    <w:uiPriority w:val="99"/>
    <w:qFormat/>
    <w:pPr>
      <w:spacing w:before="120" w:after="120" w:line="300" w:lineRule="auto"/>
    </w:pPr>
    <w:rPr>
      <w:rFonts w:ascii="宋体" w:hAnsi="宋体"/>
      <w:b/>
      <w:sz w:val="24"/>
    </w:rPr>
  </w:style>
  <w:style w:type="paragraph" w:styleId="1382">
    <w:name w:val="List Paragraph"/>
    <w:basedOn w:val="797"/>
    <w:uiPriority w:val="0"/>
    <w:qFormat/>
    <w:pPr>
      <w:ind w:firstLine="420"/>
    </w:pPr>
    <w:rPr>
      <w:szCs w:val="21"/>
    </w:rPr>
  </w:style>
  <w:style w:type="paragraph" w:styleId="1383" w:customStyle="1">
    <w:name w:val="菲页(卷)"/>
    <w:basedOn w:val="1021"/>
    <w:next w:val="1384"/>
    <w:uiPriority w:val="0"/>
    <w:qFormat/>
    <w:pPr>
      <w:ind w:left="1380" w:hanging="855"/>
      <w:tabs>
        <w:tab w:val="left" w:pos="1380" w:leader="none"/>
      </w:tabs>
      <w:outlineLvl w:val="1"/>
    </w:pPr>
  </w:style>
  <w:style w:type="paragraph" w:styleId="1384"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85" w:customStyle="1">
    <w:name w:val="p0"/>
    <w:basedOn w:val="797"/>
    <w:uiPriority w:val="99"/>
    <w:qFormat/>
    <w:pPr>
      <w:widowControl/>
    </w:pPr>
    <w:rPr>
      <w:szCs w:val="21"/>
    </w:rPr>
  </w:style>
  <w:style w:type="paragraph" w:styleId="1386" w:customStyle="1">
    <w:name w:val="样式 小四 段前: 5 磅 段后: 5 磅 首行缩进:  2 字符"/>
    <w:basedOn w:val="797"/>
    <w:uiPriority w:val="0"/>
    <w:qFormat/>
    <w:rPr>
      <w:rFonts w:ascii="宋体" w:hAnsi="宋体"/>
      <w:szCs w:val="21"/>
    </w:rPr>
  </w:style>
  <w:style w:type="paragraph" w:styleId="1387" w:customStyle="1">
    <w:name w:val="默认段落字体 Para Char Char Char"/>
    <w:basedOn w:val="797"/>
    <w:uiPriority w:val="99"/>
    <w:qFormat/>
    <w:pPr>
      <w:spacing w:line="240" w:lineRule="auto"/>
    </w:pPr>
    <w:rPr>
      <w:szCs w:val="24"/>
    </w:rPr>
  </w:style>
  <w:style w:type="paragraph" w:styleId="1388" w:customStyle="1">
    <w:name w:val="标准书脚_奇数页"/>
    <w:uiPriority w:val="99"/>
    <w:qFormat/>
    <w:pPr>
      <w:ind w:right="198"/>
      <w:jc w:val="right"/>
      <w:spacing w:before="120"/>
    </w:pPr>
    <w:rPr>
      <w:rFonts w:hint="default" w:ascii="宋体" w:hAnsi="Times New Roman" w:eastAsia="宋体" w:cs="Times New Roman"/>
      <w:sz w:val="18"/>
      <w:szCs w:val="18"/>
      <w:lang w:val="en-US" w:eastAsia="zh-CN" w:bidi="ar-SA"/>
    </w:rPr>
  </w:style>
  <w:style w:type="paragraph" w:styleId="1389" w:customStyle="1">
    <w:name w:val="目录"/>
    <w:basedOn w:val="797"/>
    <w:uiPriority w:val="0"/>
    <w:qFormat/>
    <w:pPr>
      <w:jc w:val="center"/>
      <w:widowControl/>
    </w:pPr>
    <w:rPr>
      <w:rFonts w:ascii="宋体"/>
      <w:b/>
      <w:sz w:val="36"/>
    </w:rPr>
  </w:style>
  <w:style w:type="paragraph" w:styleId="1390" w:customStyle="1">
    <w:name w:val="qowt-stl-110"/>
    <w:basedOn w:val="797"/>
    <w:uiPriority w:val="0"/>
    <w:qFormat/>
    <w:pPr>
      <w:jc w:val="left"/>
      <w:spacing w:before="100" w:beforeAutospacing="1" w:after="100" w:afterAutospacing="1"/>
      <w:widowControl/>
    </w:pPr>
    <w:rPr>
      <w:rFonts w:ascii="宋体" w:hAnsi="宋体" w:cs="宋体"/>
      <w:sz w:val="24"/>
      <w:szCs w:val="24"/>
    </w:rPr>
  </w:style>
  <w:style w:type="paragraph" w:styleId="1391" w:customStyle="1">
    <w:name w:val="Char Char Char Char1"/>
    <w:basedOn w:val="797"/>
    <w:uiPriority w:val="0"/>
    <w:qFormat/>
    <w:pPr>
      <w:jc w:val="left"/>
      <w:spacing w:after="160" w:line="240" w:lineRule="exact"/>
      <w:widowControl/>
    </w:pPr>
    <w:rPr>
      <w:rFonts w:ascii="Verdana" w:hAnsi="Verdana"/>
      <w:sz w:val="20"/>
      <w:lang w:eastAsia="en-US"/>
    </w:rPr>
  </w:style>
  <w:style w:type="paragraph" w:styleId="1392" w:customStyle="1">
    <w:name w:val="副标题1"/>
    <w:next w:val="1384"/>
    <w:uiPriority w:val="0"/>
    <w:qFormat/>
    <w:pPr>
      <w:keepNext/>
    </w:pPr>
    <w:rPr>
      <w:rFonts w:hint="default" w:ascii="Arial Unicode MS" w:hAnsi="Arial Unicode MS" w:eastAsia="Helvetica Neue" w:cs="Arial Unicode MS"/>
      <w:color w:val="000000"/>
      <w:sz w:val="40"/>
      <w:szCs w:val="40"/>
      <w:lang w:val="zh-CN" w:eastAsia="zh-CN" w:bidi="ar-SA"/>
    </w:rPr>
  </w:style>
  <w:style w:type="paragraph" w:styleId="1393" w:customStyle="1">
    <w:name w:val="样式 首行缩进:  0 字符"/>
    <w:basedOn w:val="797"/>
    <w:uiPriority w:val="0"/>
    <w:qFormat/>
    <w:pPr>
      <w:ind w:firstLine="480"/>
      <w:spacing w:line="240" w:lineRule="auto"/>
    </w:pPr>
    <w:rPr>
      <w:rFonts w:ascii="Arial" w:hAnsi="Arial" w:cs="宋体"/>
    </w:rPr>
  </w:style>
  <w:style w:type="paragraph" w:styleId="1394" w:customStyle="1">
    <w:name w:val="目录文字"/>
    <w:basedOn w:val="797"/>
    <w:uiPriority w:val="0"/>
    <w:qFormat/>
    <w:pPr>
      <w:jc w:val="left"/>
      <w:spacing w:line="480" w:lineRule="auto"/>
      <w:widowControl/>
    </w:pPr>
    <w:rPr>
      <w:rFonts w:ascii="宋体" w:hAnsi="宋体"/>
      <w:sz w:val="24"/>
    </w:rPr>
  </w:style>
  <w:style w:type="paragraph" w:styleId="1395" w:customStyle="1">
    <w:name w:val="正文图标题"/>
    <w:next w:val="1188"/>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396" w:customStyle="1">
    <w:name w:val="菲页1"/>
    <w:basedOn w:val="1022"/>
    <w:uiPriority w:val="0"/>
    <w:qFormat/>
    <w:pPr>
      <w:jc w:val="center"/>
      <w:spacing w:line="360" w:lineRule="auto"/>
      <w:widowControl/>
    </w:pPr>
    <w:rPr>
      <w:rFonts w:ascii="黑体" w:hAnsi="宋体"/>
      <w:b w:val="0"/>
      <w:color w:val="000000"/>
      <w:sz w:val="52"/>
      <w:szCs w:val="20"/>
    </w:rPr>
  </w:style>
  <w:style w:type="paragraph" w:styleId="1397" w:customStyle="1">
    <w:name w:val="TOC 标题11"/>
    <w:basedOn w:val="1021"/>
    <w:next w:val="797"/>
    <w:uiPriority w:val="99"/>
    <w:qFormat/>
    <w:pPr>
      <w:ind w:left="0" w:firstLine="0"/>
      <w:jc w:val="both"/>
      <w:keepLines/>
      <w:spacing w:before="340" w:after="330" w:line="576" w:lineRule="auto"/>
      <w:widowControl w:val="off"/>
      <w:tabs>
        <w:tab w:val="clear" w:pos="432" w:leader="none"/>
      </w:tabs>
      <w:outlineLvl w:val="9"/>
    </w:pPr>
    <w:rPr>
      <w:rFonts w:ascii="Times New Roman" w:eastAsia="宋体"/>
      <w:b/>
      <w:sz w:val="44"/>
    </w:rPr>
  </w:style>
  <w:style w:type="paragraph" w:styleId="1398" w:customStyle="1">
    <w:name w:val="Char Char Char Char"/>
    <w:basedOn w:val="1047"/>
    <w:uiPriority w:val="99"/>
    <w:qFormat/>
    <w:rPr>
      <w:rFonts w:ascii="Tahoma" w:hAnsi="Tahoma"/>
      <w:sz w:val="24"/>
      <w:szCs w:val="24"/>
    </w:rPr>
  </w:style>
  <w:style w:type="paragraph" w:styleId="1399" w:customStyle="1">
    <w:name w:val="Char Char1 Char"/>
    <w:basedOn w:val="797"/>
    <w:uiPriority w:val="0"/>
    <w:qFormat/>
    <w:pPr>
      <w:jc w:val="left"/>
      <w:spacing w:after="160" w:line="240" w:lineRule="exact"/>
      <w:widowControl/>
    </w:pPr>
  </w:style>
  <w:style w:type="paragraph" w:styleId="1400" w:customStyle="1">
    <w:name w:val="文档正文"/>
    <w:basedOn w:val="797"/>
    <w:uiPriority w:val="0"/>
    <w:qFormat/>
    <w:pPr>
      <w:ind w:left="315" w:hanging="315"/>
      <w:spacing w:line="300" w:lineRule="auto"/>
      <w:tabs>
        <w:tab w:val="left" w:pos="315" w:leader="none"/>
        <w:tab w:val="left" w:pos="980" w:leader="none"/>
      </w:tabs>
    </w:pPr>
    <w:rPr>
      <w:rFonts w:ascii="仿宋_GB2312" w:hAnsi="宋体"/>
      <w:sz w:val="24"/>
    </w:rPr>
  </w:style>
  <w:style w:type="paragraph" w:styleId="1401" w:customStyle="1">
    <w:name w:val="菲页2"/>
    <w:basedOn w:val="1023"/>
    <w:uiPriority w:val="0"/>
    <w:qFormat/>
    <w:pPr>
      <w:ind w:left="2265" w:hanging="900"/>
      <w:tabs>
        <w:tab w:val="left" w:pos="2265" w:leader="none"/>
      </w:tabs>
    </w:pPr>
    <w:rPr>
      <w:rFonts w:ascii="黑体" w:hAnsi="宋体" w:eastAsia="黑体"/>
      <w:b w:val="0"/>
      <w:sz w:val="44"/>
    </w:rPr>
  </w:style>
  <w:style w:type="paragraph" w:styleId="1402" w:customStyle="1">
    <w:name w:val="xl87"/>
    <w:basedOn w:val="79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403" w:customStyle="1">
    <w:name w:val="font6"/>
    <w:basedOn w:val="797"/>
    <w:uiPriority w:val="0"/>
    <w:qFormat/>
    <w:pPr>
      <w:jc w:val="left"/>
      <w:spacing w:before="100" w:beforeAutospacing="1" w:after="100" w:afterAutospacing="1" w:line="240" w:lineRule="auto"/>
      <w:widowControl/>
    </w:pPr>
    <w:rPr>
      <w:rFonts w:ascii="宋体" w:hAnsi="宋体" w:cs="宋体"/>
      <w:sz w:val="20"/>
    </w:rPr>
  </w:style>
  <w:style w:type="paragraph" w:styleId="1404" w:customStyle="1">
    <w:name w:val="Char Char Char Char Char Char Char Char Char Char Char Char Char Char Char Char Char Char Char Char Char Char Char Char Char Char Char Char Char Char Char Char Char"/>
    <w:basedOn w:val="797"/>
    <w:uiPriority w:val="0"/>
    <w:qFormat/>
    <w:pPr>
      <w:jc w:val="left"/>
      <w:spacing w:after="160" w:line="240" w:lineRule="exact"/>
      <w:widowControl/>
    </w:pPr>
  </w:style>
  <w:style w:type="paragraph" w:styleId="1405" w:customStyle="1">
    <w:name w:val="附录章标题"/>
    <w:next w:val="1188"/>
    <w:uiPriority w:val="99"/>
    <w:qFormat/>
    <w:pPr>
      <w:ind w:left="3060"/>
      <w:jc w:val="both"/>
      <w:outlineLvl w:val="1"/>
    </w:pPr>
    <w:rPr>
      <w:rFonts w:hint="default" w:ascii="黑体" w:hAnsi="Times New Roman" w:eastAsia="黑体" w:cs="Times New Roman"/>
      <w:sz w:val="21"/>
      <w:lang w:val="en-US" w:eastAsia="zh-CN" w:bidi="ar-SA"/>
    </w:rPr>
  </w:style>
  <w:style w:type="paragraph" w:styleId="1406" w:customStyle="1">
    <w:name w:val="附录一级条标题"/>
    <w:basedOn w:val="1405"/>
    <w:next w:val="1188"/>
    <w:uiPriority w:val="99"/>
    <w:qFormat/>
    <w:pPr>
      <w:outlineLvl w:val="2"/>
    </w:pPr>
  </w:style>
  <w:style w:type="paragraph" w:styleId="1407" w:customStyle="1">
    <w:name w:val="附录一级无"/>
    <w:basedOn w:val="1406"/>
    <w:uiPriority w:val="99"/>
    <w:qFormat/>
    <w:rPr>
      <w:rFonts w:ascii="宋体" w:eastAsia="宋体"/>
      <w:szCs w:val="21"/>
    </w:rPr>
  </w:style>
  <w:style w:type="paragraph" w:styleId="1408" w:customStyle="1">
    <w:name w:val="发布部门"/>
    <w:next w:val="1188"/>
    <w:uiPriority w:val="99"/>
    <w:qFormat/>
    <w:pPr>
      <w:jc w:val="center"/>
      <w:framePr w:w="7938" w:h="1134" w:vSpace="181" w:hSpace="125" w:wrap="around" w:vAnchor="page" w:hAnchor="page" w:x="2149" w:y="14629" w:hRule="exact"/>
    </w:pPr>
    <w:rPr>
      <w:rFonts w:hint="default" w:ascii="宋体" w:hAnsi="Times New Roman" w:eastAsia="宋体" w:cs="Times New Roman"/>
      <w:b/>
      <w:spacing w:val="20"/>
      <w:sz w:val="28"/>
      <w:lang w:val="en-US" w:eastAsia="zh-CN" w:bidi="ar-SA"/>
    </w:rPr>
  </w:style>
  <w:style w:type="paragraph" w:styleId="1409" w:customStyle="1">
    <w:name w:val="列出段落2"/>
    <w:basedOn w:val="797"/>
    <w:uiPriority w:val="34"/>
    <w:qFormat/>
    <w:pPr>
      <w:ind w:firstLine="420"/>
      <w:spacing w:line="240" w:lineRule="auto"/>
    </w:pPr>
    <w:rPr>
      <w:rFonts w:cs="Calibri"/>
      <w:szCs w:val="21"/>
    </w:rPr>
  </w:style>
  <w:style w:type="paragraph" w:styleId="1410" w:customStyle="1">
    <w:name w:val="默认段落字体 Para Char Char Char Char Char Char Char"/>
    <w:basedOn w:val="797"/>
    <w:uiPriority w:val="99"/>
    <w:qFormat/>
    <w:pPr>
      <w:spacing w:line="240" w:lineRule="auto"/>
    </w:pPr>
    <w:rPr>
      <w:rFonts w:ascii="Tahoma" w:hAnsi="Tahoma"/>
      <w:sz w:val="24"/>
    </w:rPr>
  </w:style>
  <w:style w:type="paragraph" w:styleId="1411" w:customStyle="1">
    <w:name w:val="其他标准标志"/>
    <w:basedOn w:val="1330"/>
    <w:uiPriority w:val="99"/>
    <w:qFormat/>
    <w:pPr>
      <w:framePr w:w="6101" w:wrap="around" w:vAnchor="page" w:hAnchor="page" w:x="4672" w:y="941"/>
    </w:pPr>
  </w:style>
  <w:style w:type="paragraph" w:styleId="1412" w:customStyle="1">
    <w:name w:val="默认段落字体 Para Char"/>
    <w:basedOn w:val="797"/>
    <w:uiPriority w:val="99"/>
    <w:qFormat/>
    <w:pPr>
      <w:ind w:firstLine="200"/>
    </w:pPr>
    <w:rPr>
      <w:rFonts w:ascii="宋体" w:hAnsi="宋体" w:cs="宋体"/>
      <w:sz w:val="24"/>
      <w:szCs w:val="24"/>
    </w:rPr>
  </w:style>
  <w:style w:type="paragraph" w:styleId="1413" w:customStyle="1">
    <w:name w:val="Default"/>
    <w:uiPriority w:val="99"/>
    <w:qFormat/>
    <w:pPr>
      <w:widowControl w:val="off"/>
    </w:pPr>
    <w:rPr>
      <w:rFonts w:hint="default" w:ascii="Arial" w:hAnsi="Arial" w:eastAsia="宋体" w:cs="Arial"/>
      <w:color w:val="000000"/>
      <w:sz w:val="24"/>
      <w:szCs w:val="24"/>
      <w:lang w:val="en-US" w:eastAsia="zh-CN" w:bidi="ar-SA"/>
    </w:rPr>
  </w:style>
  <w:style w:type="paragraph" w:styleId="1414" w:customStyle="1">
    <w:name w:val="标准正文"/>
    <w:basedOn w:val="797"/>
    <w:uiPriority w:val="0"/>
    <w:qFormat/>
    <w:pPr>
      <w:ind w:firstLine="480"/>
      <w:spacing w:before="156" w:after="156"/>
    </w:pPr>
    <w:rPr>
      <w:rFonts w:eastAsia="仿宋" w:cs="宋体"/>
      <w:sz w:val="24"/>
      <w:szCs w:val="24"/>
    </w:rPr>
  </w:style>
  <w:style w:type="paragraph" w:styleId="1415" w:customStyle="1">
    <w:name w:val="其他实施日期"/>
    <w:basedOn w:val="1416"/>
    <w:uiPriority w:val="99"/>
    <w:qFormat/>
    <w:pPr>
      <w:framePr w:wrap="around"/>
    </w:pPr>
  </w:style>
  <w:style w:type="paragraph" w:styleId="1416" w:customStyle="1">
    <w:name w:val="实施日期"/>
    <w:basedOn w:val="1417"/>
    <w:uiPriority w:val="99"/>
    <w:qFormat/>
    <w:pPr>
      <w:jc w:val="right"/>
      <w:framePr w:wrap="around" w:vAnchor="page" w:hAnchor="text"/>
    </w:pPr>
  </w:style>
  <w:style w:type="paragraph" w:styleId="1417" w:customStyle="1">
    <w:name w:val="发布日期"/>
    <w:uiPriority w:val="99"/>
    <w:qFormat/>
    <w:pPr>
      <w:framePr w:w="3997" w:h="471" w:vSpace="181" w:wrap="around" w:vAnchor="margin" w:hAnchor="page" w:x="7088" w:y="14096" w:hRule="exact"/>
    </w:pPr>
    <w:rPr>
      <w:rFonts w:hint="default" w:ascii="Times New Roman" w:hAnsi="Times New Roman" w:eastAsia="黑体" w:cs="Times New Roman"/>
      <w:sz w:val="28"/>
      <w:lang w:val="en-US" w:eastAsia="zh-CN" w:bidi="ar-SA"/>
    </w:rPr>
  </w:style>
  <w:style w:type="paragraph" w:styleId="1418" w:customStyle="1">
    <w:name w:val="xl74"/>
    <w:basedOn w:val="797"/>
    <w:uiPriority w:val="0"/>
    <w:qFormat/>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419" w:customStyle="1">
    <w:name w:val="Table Text"/>
    <w:uiPriority w:val="99"/>
    <w:qFormat/>
    <w:pPr>
      <w:spacing w:before="80" w:after="80"/>
    </w:pPr>
    <w:rPr>
      <w:rFonts w:hint="default" w:ascii="Arial" w:hAnsi="Arial" w:eastAsia="宋体" w:cs="Arial Narrow"/>
      <w:sz w:val="18"/>
      <w:szCs w:val="18"/>
      <w:lang w:val="en-US" w:eastAsia="zh-CN" w:bidi="ar-SA"/>
    </w:rPr>
  </w:style>
  <w:style w:type="paragraph" w:styleId="1420" w:customStyle="1">
    <w:name w:val="封面一致性程度标识2"/>
    <w:basedOn w:val="1283"/>
    <w:uiPriority w:val="99"/>
    <w:qFormat/>
    <w:pPr>
      <w:framePr w:wrap="around" w:y="4468"/>
    </w:pPr>
  </w:style>
  <w:style w:type="paragraph" w:styleId="1421" w:customStyle="1">
    <w:name w:val="列出段落112"/>
    <w:basedOn w:val="797"/>
    <w:uiPriority w:val="99"/>
    <w:qFormat/>
    <w:pPr>
      <w:ind w:firstLine="420"/>
      <w:spacing w:line="240" w:lineRule="auto"/>
    </w:pPr>
    <w:rPr>
      <w:szCs w:val="21"/>
    </w:rPr>
  </w:style>
  <w:style w:type="paragraph" w:styleId="1422" w:customStyle="1">
    <w:name w:val="xl75"/>
    <w:basedOn w:val="797"/>
    <w:uiPriority w:val="0"/>
    <w:qFormat/>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423" w:customStyle="1">
    <w:name w:val="数字编号列项（二级）"/>
    <w:uiPriority w:val="99"/>
    <w:qFormat/>
    <w:pPr>
      <w:ind w:left="1259" w:hanging="420"/>
      <w:jc w:val="both"/>
      <w:tabs>
        <w:tab w:val="left" w:pos="1259" w:leader="none"/>
      </w:tabs>
    </w:pPr>
    <w:rPr>
      <w:rFonts w:hint="default" w:ascii="宋体" w:hAnsi="Times New Roman" w:eastAsia="宋体" w:cs="Times New Roman"/>
      <w:sz w:val="21"/>
      <w:lang w:val="en-US" w:eastAsia="zh-CN" w:bidi="ar-SA"/>
    </w:rPr>
  </w:style>
  <w:style w:type="paragraph" w:styleId="1424" w:customStyle="1">
    <w:name w:val="其他发布日期"/>
    <w:basedOn w:val="1417"/>
    <w:uiPriority w:val="99"/>
    <w:qFormat/>
    <w:pPr>
      <w:framePr w:wrap="around" w:vAnchor="page" w:hAnchor="text" w:x="1418"/>
    </w:pPr>
  </w:style>
  <w:style w:type="paragraph" w:styleId="1425" w:customStyle="1">
    <w:name w:val="H2"/>
    <w:basedOn w:val="797"/>
    <w:next w:val="797"/>
    <w:uiPriority w:val="99"/>
    <w:qFormat/>
    <w:pPr>
      <w:jc w:val="left"/>
      <w:keepNext/>
      <w:spacing w:before="100" w:after="100" w:line="240" w:lineRule="auto"/>
      <w:outlineLvl w:val="2"/>
    </w:pPr>
    <w:rPr>
      <w:b/>
      <w:sz w:val="36"/>
    </w:rPr>
  </w:style>
  <w:style w:type="paragraph" w:styleId="1426" w:customStyle="1">
    <w:name w:val="封面标准代替信息"/>
    <w:uiPriority w:val="99"/>
    <w:qFormat/>
    <w:pPr>
      <w:jc w:val="right"/>
      <w:spacing w:before="57" w:line="280" w:lineRule="exact"/>
      <w:framePr w:w="9140" w:h="1242" w:hSpace="284" w:wrap="around" w:vAnchor="page" w:hAnchor="page" w:x="1644" w:y="2909" w:hRule="exact"/>
    </w:pPr>
    <w:rPr>
      <w:rFonts w:hint="default" w:ascii="宋体" w:hAnsi="Times New Roman" w:eastAsia="宋体" w:cs="Times New Roman"/>
      <w:sz w:val="21"/>
      <w:szCs w:val="21"/>
      <w:lang w:val="en-US" w:eastAsia="zh-CN" w:bidi="ar-SA"/>
    </w:rPr>
  </w:style>
  <w:style w:type="paragraph" w:styleId="1427" w:customStyle="1">
    <w:name w:val="列出段落11"/>
    <w:basedOn w:val="797"/>
    <w:uiPriority w:val="99"/>
    <w:qFormat/>
    <w:pPr>
      <w:ind w:firstLine="420"/>
      <w:spacing w:line="240" w:lineRule="auto"/>
    </w:pPr>
    <w:rPr>
      <w:rFonts w:cs="Calibri"/>
      <w:szCs w:val="21"/>
    </w:rPr>
  </w:style>
  <w:style w:type="paragraph" w:styleId="1428" w:customStyle="1">
    <w:name w:val="_Style 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429" w:customStyle="1">
    <w:name w:val="修订1"/>
    <w:uiPriority w:val="99"/>
    <w:qFormat/>
    <w:rPr>
      <w:rFonts w:hint="default" w:ascii="Times New Roman" w:hAnsi="Times New Roman" w:eastAsia="宋体" w:cs="Times New Roman"/>
      <w:sz w:val="21"/>
      <w:szCs w:val="24"/>
      <w:lang w:val="en-US" w:eastAsia="zh-CN" w:bidi="ar-SA"/>
    </w:rPr>
  </w:style>
  <w:style w:type="paragraph" w:styleId="1430" w:customStyle="1">
    <w:name w:val="内容文本"/>
    <w:basedOn w:val="873"/>
    <w:uiPriority w:val="99"/>
    <w:qFormat/>
    <w:pPr>
      <w:contextualSpacing/>
      <w:ind w:firstLine="200"/>
      <w:jc w:val="left"/>
    </w:pPr>
    <w:rPr>
      <w:rFonts w:ascii="宋体" w:hAnsi="宋体"/>
      <w:sz w:val="24"/>
      <w:lang w:eastAsia="en-US"/>
    </w:rPr>
  </w:style>
  <w:style w:type="paragraph" w:styleId="1431" w:customStyle="1">
    <w:name w:val="Char Char Char Char Char Char"/>
    <w:basedOn w:val="797"/>
    <w:uiPriority w:val="99"/>
    <w:qFormat/>
    <w:pPr>
      <w:jc w:val="left"/>
      <w:spacing w:after="160" w:line="240" w:lineRule="exact"/>
      <w:widowControl/>
    </w:pPr>
    <w:rPr>
      <w:rFonts w:ascii="宋体"/>
      <w:sz w:val="34"/>
    </w:rPr>
  </w:style>
  <w:style w:type="paragraph" w:styleId="1432" w:customStyle="1">
    <w:name w:val="其他标准称谓"/>
    <w:next w:val="797"/>
    <w:uiPriority w:val="99"/>
    <w:qFormat/>
    <w:pPr>
      <w:jc w:val="both"/>
      <w:spacing w:line="240" w:lineRule="atLeast"/>
      <w:framePr w:vSpace="181" w:hSpace="181" w:wrap="around" w:vAnchor="page" w:hAnchor="page" w:x="1418" w:y="2285"/>
    </w:pPr>
    <w:rPr>
      <w:rFonts w:hint="default" w:ascii="黑体" w:hAnsi="宋体" w:eastAsia="黑体" w:cs="Times New Roman"/>
      <w:spacing w:val="-40"/>
      <w:sz w:val="48"/>
      <w:szCs w:val="52"/>
      <w:lang w:val="en-US" w:eastAsia="zh-CN" w:bidi="ar-SA"/>
    </w:rPr>
  </w:style>
  <w:style w:type="paragraph" w:styleId="1433" w:customStyle="1">
    <w:name w:val="附录表标号"/>
    <w:basedOn w:val="797"/>
    <w:next w:val="1188"/>
    <w:uiPriority w:val="99"/>
    <w:qFormat/>
    <w:pPr>
      <w:ind w:left="811" w:hanging="448"/>
      <w:jc w:val="center"/>
      <w:spacing w:line="14" w:lineRule="exact"/>
      <w:tabs>
        <w:tab w:val="left" w:pos="0" w:leader="none"/>
      </w:tabs>
      <w:outlineLvl w:val="0"/>
    </w:pPr>
    <w:rPr>
      <w:color w:val="ffffff"/>
      <w:szCs w:val="24"/>
    </w:rPr>
  </w:style>
  <w:style w:type="paragraph" w:styleId="1434" w:customStyle="1">
    <w:name w:val="H3"/>
    <w:basedOn w:val="797"/>
    <w:next w:val="797"/>
    <w:uiPriority w:val="99"/>
    <w:qFormat/>
    <w:pPr>
      <w:jc w:val="left"/>
      <w:keepNext/>
      <w:spacing w:before="100" w:after="100" w:line="240" w:lineRule="auto"/>
      <w:outlineLvl w:val="3"/>
    </w:pPr>
    <w:rPr>
      <w:b/>
      <w:sz w:val="28"/>
    </w:rPr>
  </w:style>
  <w:style w:type="paragraph" w:styleId="1435" w:customStyle="1">
    <w:name w:val="font8"/>
    <w:basedOn w:val="797"/>
    <w:uiPriority w:val="0"/>
    <w:qFormat/>
    <w:pPr>
      <w:jc w:val="left"/>
      <w:spacing w:before="100" w:beforeAutospacing="1" w:after="100" w:afterAutospacing="1" w:line="240" w:lineRule="auto"/>
      <w:widowControl/>
    </w:pPr>
    <w:rPr>
      <w:rFonts w:ascii="宋体" w:hAnsi="宋体" w:cs="宋体"/>
      <w:color w:val="000000"/>
      <w:sz w:val="20"/>
    </w:rPr>
  </w:style>
  <w:style w:type="paragraph" w:styleId="1436" w:customStyle="1">
    <w:name w:val="引文目录1"/>
    <w:basedOn w:val="797"/>
    <w:next w:val="797"/>
    <w:uiPriority w:val="0"/>
    <w:qFormat/>
    <w:pPr>
      <w:ind w:left="420" w:firstLine="883"/>
    </w:pPr>
    <w:rPr>
      <w:rFonts w:ascii="仿宋" w:hAnsi="仿宋" w:eastAsia="仿宋" w:cs="仿宋"/>
      <w:sz w:val="24"/>
      <w:szCs w:val="24"/>
    </w:rPr>
  </w:style>
  <w:style w:type="paragraph" w:styleId="1437" w:customStyle="1">
    <w:name w:val="列出段落4"/>
    <w:basedOn w:val="797"/>
    <w:uiPriority w:val="99"/>
    <w:qFormat/>
    <w:pPr>
      <w:ind w:firstLine="420"/>
      <w:spacing w:line="240" w:lineRule="auto"/>
    </w:pPr>
    <w:rPr>
      <w:szCs w:val="21"/>
    </w:rPr>
  </w:style>
  <w:style w:type="paragraph" w:styleId="1438" w:customStyle="1">
    <w:name w:val="样式 标题 2 + Times New Roman 四号 非加粗 段前: 5 磅 段后: 0 磅 行距: 固定值 20..."/>
    <w:basedOn w:val="1022"/>
    <w:uiPriority w:val="99"/>
    <w:qFormat/>
    <w:pPr>
      <w:spacing w:before="100" w:after="0" w:line="400" w:lineRule="exact"/>
    </w:pPr>
    <w:rPr>
      <w:rFonts w:ascii="Times New Roman" w:hAnsi="Times New Roman" w:cs="宋体"/>
      <w:b w:val="0"/>
      <w:bCs w:val="0"/>
      <w:color w:val="ff0000"/>
      <w:sz w:val="30"/>
      <w:szCs w:val="20"/>
    </w:rPr>
  </w:style>
  <w:style w:type="paragraph" w:styleId="1439" w:customStyle="1">
    <w:name w:val="样式 标题 1 + 黑体 三号 非加粗 居中 段前: 6 磅 段后: 6 磅 行距: 固定值 20 磅"/>
    <w:basedOn w:val="1021"/>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440" w:customStyle="1">
    <w:name w:val="列出段落111"/>
    <w:basedOn w:val="797"/>
    <w:uiPriority w:val="99"/>
    <w:qFormat/>
    <w:pPr>
      <w:ind w:firstLine="420"/>
      <w:spacing w:line="240" w:lineRule="auto"/>
    </w:pPr>
    <w:rPr>
      <w:rFonts w:cs="Calibri"/>
      <w:szCs w:val="21"/>
    </w:rPr>
  </w:style>
  <w:style w:type="paragraph" w:styleId="1441" w:customStyle="1">
    <w:name w:val="z-Bottom of Form1"/>
    <w:next w:val="797"/>
    <w:uiPriority w:val="99"/>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442" w:customStyle="1">
    <w:name w:val="Item List in Table"/>
    <w:basedOn w:val="797"/>
    <w:uiPriority w:val="0"/>
    <w:qFormat/>
    <w:pPr>
      <w:numPr>
        <w:ilvl w:val="0"/>
        <w:numId w:val="4"/>
      </w:numPr>
      <w:spacing w:before="80" w:after="80" w:line="240" w:lineRule="atLeast"/>
      <w:widowControl/>
    </w:pPr>
    <w:rPr>
      <w:rFonts w:hint="eastAsia" w:ascii="Calibri" w:hAnsi="Calibri" w:cs="Arial"/>
      <w:szCs w:val="21"/>
    </w:rPr>
  </w:style>
  <w:style w:type="paragraph" w:styleId="1443" w:customStyle="1">
    <w:name w:val="图标脚注说明"/>
    <w:basedOn w:val="1188"/>
    <w:uiPriority w:val="99"/>
    <w:qFormat/>
    <w:pPr>
      <w:ind w:left="840" w:hanging="420"/>
      <w:tabs>
        <w:tab w:val="center" w:pos="4201" w:leader="none"/>
        <w:tab w:val="right" w:pos="9298" w:leader="dot"/>
      </w:tabs>
    </w:pPr>
    <w:rPr>
      <w:rFonts w:eastAsia="宋体"/>
      <w:sz w:val="18"/>
      <w:szCs w:val="18"/>
    </w:rPr>
  </w:style>
  <w:style w:type="paragraph" w:styleId="1444" w:customStyle="1">
    <w:name w:val="其他发布部门"/>
    <w:basedOn w:val="1408"/>
    <w:uiPriority w:val="99"/>
    <w:qFormat/>
    <w:pPr>
      <w:spacing w:line="240" w:lineRule="atLeast"/>
      <w:framePr w:wrap="around" w:y="15309"/>
    </w:pPr>
    <w:rPr>
      <w:rFonts w:ascii="黑体" w:eastAsia="黑体"/>
      <w:b w:val="0"/>
    </w:rPr>
  </w:style>
  <w:style w:type="paragraph" w:styleId="1445" w:customStyle="1">
    <w:name w:val="xl64"/>
    <w:basedOn w:val="797"/>
    <w:uiPriority w:val="0"/>
    <w:qFormat/>
    <w:pPr>
      <w:jc w:val="right"/>
      <w:spacing w:before="100" w:beforeAutospacing="1" w:after="100" w:afterAutospacing="1" w:line="240" w:lineRule="auto"/>
      <w:widowControl/>
    </w:pPr>
    <w:rPr>
      <w:rFonts w:ascii="黑体" w:hAnsi="黑体" w:eastAsia="黑体" w:cs="宋体"/>
      <w:color w:val="000000"/>
      <w:szCs w:val="21"/>
    </w:rPr>
  </w:style>
  <w:style w:type="paragraph" w:styleId="1446" w:customStyle="1">
    <w:name w:val="qowt-stl-style1"/>
    <w:basedOn w:val="797"/>
    <w:uiPriority w:val="0"/>
    <w:qFormat/>
    <w:pPr>
      <w:jc w:val="left"/>
      <w:spacing w:before="100" w:beforeAutospacing="1" w:after="100" w:afterAutospacing="1"/>
      <w:widowControl/>
    </w:pPr>
    <w:rPr>
      <w:rFonts w:ascii="宋体" w:hAnsi="宋体" w:cs="宋体"/>
      <w:sz w:val="24"/>
      <w:szCs w:val="24"/>
    </w:rPr>
  </w:style>
  <w:style w:type="paragraph" w:styleId="1447" w:customStyle="1">
    <w:name w:val="一级无"/>
    <w:basedOn w:val="1250"/>
    <w:uiPriority w:val="99"/>
    <w:qFormat/>
    <w:rPr>
      <w:rFonts w:ascii="宋体" w:eastAsia="宋体"/>
    </w:rPr>
  </w:style>
  <w:style w:type="paragraph" w:styleId="1448" w:customStyle="1">
    <w:name w:val="flNote"/>
    <w:basedOn w:val="797"/>
    <w:uiPriority w:val="99"/>
    <w:qFormat/>
    <w:pPr>
      <w:jc w:val="center"/>
      <w:spacing w:before="320" w:after="160" w:line="360" w:lineRule="atLeast"/>
    </w:pPr>
    <w:rPr>
      <w:rFonts w:ascii="Arial" w:eastAsia="黑体"/>
      <w:sz w:val="30"/>
    </w:rPr>
  </w:style>
  <w:style w:type="paragraph" w:styleId="1449" w:customStyle="1">
    <w:name w:val="标准书眉_偶数页"/>
    <w:basedOn w:val="1366"/>
    <w:next w:val="797"/>
    <w:uiPriority w:val="99"/>
    <w:qFormat/>
    <w:pPr>
      <w:jc w:val="left"/>
    </w:pPr>
  </w:style>
  <w:style w:type="paragraph" w:styleId="1450" w:customStyle="1">
    <w:name w:val="注×：（正文）"/>
    <w:uiPriority w:val="99"/>
    <w:qFormat/>
    <w:pPr>
      <w:ind w:left="811" w:hanging="448"/>
      <w:jc w:val="both"/>
    </w:pPr>
    <w:rPr>
      <w:rFonts w:hint="default" w:ascii="宋体" w:hAnsi="Times New Roman" w:eastAsia="宋体" w:cs="Times New Roman"/>
      <w:sz w:val="18"/>
      <w:szCs w:val="18"/>
      <w:lang w:val="en-US" w:eastAsia="zh-CN" w:bidi="ar-SA"/>
    </w:rPr>
  </w:style>
  <w:style w:type="paragraph" w:styleId="1451" w:customStyle="1">
    <w:name w:val="列出段落6"/>
    <w:basedOn w:val="797"/>
    <w:uiPriority w:val="99"/>
    <w:qFormat/>
    <w:pPr>
      <w:ind w:firstLine="420"/>
      <w:spacing w:line="240" w:lineRule="auto"/>
    </w:pPr>
    <w:rPr>
      <w:szCs w:val="21"/>
    </w:rPr>
  </w:style>
  <w:style w:type="paragraph" w:styleId="1452" w:customStyle="1">
    <w:name w:val="四级无"/>
    <w:basedOn w:val="1247"/>
    <w:uiPriority w:val="99"/>
    <w:qFormat/>
    <w:rPr>
      <w:rFonts w:ascii="宋体" w:eastAsia="宋体"/>
    </w:rPr>
  </w:style>
  <w:style w:type="paragraph" w:styleId="1453" w:customStyle="1">
    <w:name w:val="列出段落3"/>
    <w:basedOn w:val="797"/>
    <w:uiPriority w:val="99"/>
    <w:qFormat/>
    <w:pPr>
      <w:ind w:firstLine="420"/>
      <w:spacing w:line="240" w:lineRule="auto"/>
    </w:pPr>
    <w:rPr>
      <w:rFonts w:eastAsia="等线"/>
      <w:szCs w:val="22"/>
    </w:rPr>
  </w:style>
  <w:style w:type="paragraph" w:styleId="1454" w:customStyle="1">
    <w:name w:val="H4"/>
    <w:basedOn w:val="797"/>
    <w:next w:val="797"/>
    <w:uiPriority w:val="99"/>
    <w:qFormat/>
    <w:pPr>
      <w:jc w:val="left"/>
      <w:keepNext/>
      <w:spacing w:before="100" w:after="100" w:line="240" w:lineRule="auto"/>
      <w:outlineLvl w:val="4"/>
    </w:pPr>
    <w:rPr>
      <w:b/>
      <w:sz w:val="24"/>
    </w:rPr>
  </w:style>
  <w:style w:type="paragraph" w:styleId="1455" w:customStyle="1">
    <w:name w:val="Preformatted"/>
    <w:basedOn w:val="797"/>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456" w:customStyle="1">
    <w:name w:val="首行缩进"/>
    <w:basedOn w:val="797"/>
    <w:uiPriority w:val="0"/>
    <w:qFormat/>
    <w:pPr>
      <w:ind w:firstLine="480"/>
    </w:pPr>
    <w:rPr>
      <w:lang w:val="zh-CN"/>
    </w:rPr>
  </w:style>
  <w:style w:type="table" w:styleId="1457" w:customStyle="1">
    <w:name w:val="网格型1"/>
    <w:uiPriority w:val="99"/>
    <w:qFormat/>
    <w:pPr>
      <w:jc w:val="both"/>
      <w:widowControl w:val="off"/>
    </w:pPr>
    <w:tblPr>
      <w:tblCellMar>
        <w:left w:w="0" w:type="dxa"/>
        <w:top w:w="0" w:type="dxa"/>
        <w:right w:w="0" w:type="dxa"/>
        <w:bottom w:w="0" w:type="dxa"/>
      </w:tblCellMar>
    </w:tblPr>
  </w:style>
  <w:style w:type="table" w:styleId="1458" w:customStyle="1">
    <w:name w:val="Table Normal1"/>
    <w:uiPriority w:val="99"/>
    <w:qFormat/>
    <w:pPr>
      <w:widowControl w:val="off"/>
    </w:pPr>
    <w:rPr>
      <w:sz w:val="22"/>
      <w:szCs w:val="22"/>
      <w:lang w:eastAsia="en-US"/>
    </w:rPr>
    <w:tblPr>
      <w:tblCellMar>
        <w:left w:w="0" w:type="dxa"/>
        <w:top w:w="0" w:type="dxa"/>
        <w:right w:w="0" w:type="dxa"/>
        <w:bottom w:w="0" w:type="dxa"/>
      </w:tblCellMar>
    </w:tblPr>
  </w:style>
  <w:style w:type="table" w:styleId="1459" w:customStyle="1">
    <w:name w:val="网格型2"/>
    <w:basedOn w:val="1032"/>
    <w:uiPriority w:val="0"/>
    <w:qFormat/>
    <w:rPr>
      <w:sz w:val="21"/>
      <w:szCs w:val="22"/>
    </w:rPr>
    <w:tblPr/>
  </w:style>
  <w:style w:type="paragraph" w:styleId="1460" w:customStyle="1">
    <w:name w:val="修订2"/>
    <w:uiPriority w:val="99"/>
    <w:unhideWhenUsed/>
    <w:qFormat/>
    <w:rPr>
      <w:rFonts w:hint="default" w:ascii="Times New Roman" w:hAnsi="Times New Roman" w:eastAsia="宋体" w:cs="Times New Roman"/>
      <w:sz w:val="21"/>
      <w:lang w:val="en-US" w:eastAsia="zh-CN" w:bidi="ar-SA"/>
    </w:rPr>
  </w:style>
  <w:style w:type="paragraph" w:styleId="1461" w:customStyle="1">
    <w:name w:val="p1"/>
    <w:uiPriority w:val="0"/>
    <w:qFormat/>
    <w:pPr>
      <w:jc w:val="both"/>
      <w:widowControl w:val="off"/>
    </w:pPr>
    <w:rPr>
      <w:rFonts w:hint="default" w:ascii=".PingFang SC" w:hAnsi=".PingFang SC" w:eastAsia="宋体" w:cs="Times New Roman"/>
      <w:sz w:val="26"/>
      <w:szCs w:val="26"/>
      <w:lang w:val="en-US" w:eastAsia="zh-CN" w:bidi="ar-SA"/>
    </w:rPr>
  </w:style>
  <w:style w:type="paragraph" w:styleId="1462" w:customStyle="1">
    <w:name w:val="行文"/>
    <w:uiPriority w:val="0"/>
    <w:qFormat/>
    <w:pPr>
      <w:ind w:firstLine="624"/>
      <w:jc w:val="both"/>
      <w:spacing w:line="480" w:lineRule="exact"/>
      <w:widowControl w:val="off"/>
    </w:pPr>
    <w:rPr>
      <w:rFonts w:hint="default" w:ascii="宋体" w:hAnsi="Times New Roman" w:eastAsia="仿宋_GB2312" w:cs="Times New Roman"/>
      <w:sz w:val="30"/>
      <w:lang w:val="en-US" w:eastAsia="zh-CN" w:bidi="ar-SA"/>
    </w:rPr>
  </w:style>
  <w:style w:type="paragraph" w:styleId="1463"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Times New Roman" w:cs="Arial Unicode MS"/>
      <w:color w:val="000000"/>
      <w:sz w:val="21"/>
      <w:szCs w:val="21"/>
      <w:lang w:val="en-US" w:eastAsia="zh-CN" w:bidi="ar-SA"/>
    </w:rPr>
  </w:style>
  <w:style w:type="paragraph" w:styleId="1464" w:customStyle="1">
    <w:name w:val="目录 61"/>
    <w:next w:val="797"/>
    <w:uiPriority w:val="99"/>
    <w:qFormat/>
    <w:pPr>
      <w:ind w:left="1050" w:firstLine="420"/>
      <w:spacing w:line="288" w:lineRule="auto"/>
      <w:widowControl w:val="off"/>
    </w:pPr>
    <w:rPr>
      <w:rFonts w:hint="default" w:ascii="Times New Roman" w:hAnsi="Times New Roman" w:eastAsia="宋体" w:cs="Times New Roman"/>
      <w:sz w:val="18"/>
      <w:szCs w:val="18"/>
      <w:lang w:val="en-US" w:eastAsia="zh-CN" w:bidi="ar-SA"/>
    </w:rPr>
  </w:style>
  <w:style w:type="paragraph" w:styleId="1465" w:customStyle="1">
    <w:name w:val="页脚11"/>
    <w:next w:val="797"/>
    <w:uiPriority w:val="0"/>
    <w:unhideWhenUsed/>
    <w:qFormat/>
    <w:pPr>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1466" w:customStyle="1">
    <w:name w:val="页眉11"/>
    <w:uiPriority w:val="0"/>
    <w:unhideWhenUsed/>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1467" w:customStyle="1">
    <w:name w:val="02-标书-标题2"/>
    <w:uiPriority w:val="0"/>
    <w:qFormat/>
    <w:pPr>
      <w:numPr>
        <w:ilvl w:val="1"/>
        <w:numId w:val="3"/>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1468" w:customStyle="1">
    <w:name w:val="10"/>
    <w:basedOn w:val="807"/>
    <w:uiPriority w:val="0"/>
    <w:qFormat/>
    <w:rPr>
      <w:rFonts w:hint="default" w:ascii="Times New Roman" w:hAnsi="Times New Roman" w:cs="Times New Roman"/>
    </w:rPr>
  </w:style>
  <w:style w:type="character" w:styleId="1469" w:customStyle="1">
    <w:name w:val="15"/>
    <w:basedOn w:val="807"/>
    <w:uiPriority w:val="0"/>
    <w:qFormat/>
    <w:rPr>
      <w:rFonts w:hint="eastAsia" w:ascii="宋体" w:hAnsi="宋体" w:eastAsia="宋体" w:cs="宋体"/>
      <w:sz w:val="24"/>
      <w:szCs w:val="24"/>
    </w:rPr>
  </w:style>
  <w:style w:type="character" w:styleId="1470" w:customStyle="1">
    <w:name w:val="16"/>
    <w:basedOn w:val="807"/>
    <w:uiPriority w:val="0"/>
    <w:qFormat/>
    <w:rPr>
      <w:rFonts w:hint="eastAsia" w:ascii="微软雅黑" w:hAnsi="微软雅黑" w:eastAsia="微软雅黑" w:cs="微软雅黑"/>
      <w:b/>
      <w:color w:val="ff0000"/>
      <w:sz w:val="22"/>
      <w:szCs w:val="22"/>
    </w:rPr>
  </w:style>
  <w:style w:type="numbering" w:styleId="883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3bc5494e-28a5-40cb-92ea-de060d367fa5</errorID>
      <errorWord>城市设计及概念规划</errorWord>
      <group>L1_Grammar</group>
      <groupName>语法问题</groupName>
      <ability>L2_Order</ability>
      <abilityName>语序不当</abilityName>
      <candidateList>
        <item>概念规划及城市设计</item>
      </candidateList>
      <explain>句子可能没有遵循时空、逻辑顺序，或者介词、关联词等位置不当。</explain>
      <paraID>5CDE91F3</paraID>
      <start>89</start>
      <end>98</end>
      <status>unmodified</status>
      <modifiedWord/>
      <trackRevisions>false</trackRevisions>
    </reviewItem>
    <reviewItem>
      <errorID>ab122bfd-37ea-4d02-8d75-256372024a91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16899C1F</paraID>
      <start>0</start>
      <end>2</end>
      <status>unmodified</status>
      <modifiedWord/>
      <trackRevisions>false</trackRevisions>
    </reviewItem>
    <reviewItem>
      <errorID>9936686b-afd5-43c7-bcd4-792631a37d1a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C6326DA</paraID>
      <start>0</start>
      <end>2</end>
      <status>unmodified</status>
      <modifiedWord/>
      <trackRevisions>false</trackRevisions>
    </reviewItem>
    <reviewItem>
      <errorID>3428d849-2d20-4bba-ba6c-612de2833a52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575405AF</paraID>
      <start>0</start>
      <end>2</end>
      <status>unmodified</status>
      <modifiedWord/>
      <trackRevisions>false</trackRevisions>
    </reviewItem>
    <reviewItem>
      <errorID>dba5cb89-fec2-4645-8348-b473ca018d78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4D1C1864</paraID>
      <start>0</start>
      <end>2</end>
      <status>unmodified</status>
      <modifiedWord/>
      <trackRevisions>false</trackRevisions>
    </reviewItem>
    <reviewItem>
      <errorID>01d14206-4c0d-4d42-8440-05da5c6def64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740CD831</paraID>
      <start>0</start>
      <end>2</end>
      <status>unmodified</status>
      <modifiedWord/>
      <trackRevisions>false</trackRevisions>
    </reviewItem>
    <reviewItem>
      <errorID>b8fdc110-43de-44ec-9a4f-0d0799873b80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12FB7AD5</paraID>
      <start>0</start>
      <end>2</end>
      <status>unmodified</status>
      <modifiedWord/>
      <trackRevisions>false</trackRevisions>
    </reviewItem>
    <reviewItem>
      <errorID>9d4ae92f-6032-46b9-abf3-9435d2ce2f08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496A60F8</paraID>
      <start>0</start>
      <end>2</end>
      <status>unmodified</status>
      <modifiedWord/>
      <trackRevisions>false</trackRevisions>
    </reviewItem>
    <reviewItem>
      <errorID>68d65b3f-63ea-4aab-aec0-c8b673a2314d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63DDB1FB</paraID>
      <start>0</start>
      <end>2</end>
      <status>unmodified</status>
      <modifiedWord/>
      <trackRevisions>false</trackRevisions>
    </reviewItem>
    <reviewItem>
      <errorID>c2e2b886-b540-46de-94f1-ac0e17fbc4fc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351EA281</paraID>
      <start>0</start>
      <end>2</end>
      <status>unmodified</status>
      <modifiedWord/>
      <trackRevisions>false</trackRevisions>
    </reviewItem>
    <reviewItem>
      <errorID>e78b0ace-c66e-444d-9610-eaec1efafcee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4A288CB1</paraID>
      <start>67</start>
      <end>68</end>
      <status>unmodified</status>
      <modifiedWord/>
      <trackRevisions>false</trackRevisions>
    </reviewItem>
    <reviewItem>
      <errorID>bdd0142c-bf41-435d-8d0d-f432b4fef65f</errorID>
      <errorWord>-</errorWord>
      <group>L1_Format</group>
      <groupName>格式问题</groupName>
      <ability>L2_HalfPunc</ability>
      <abilityName>全半角检查</abilityName>
      <candidateList>
        <item>－</item>
      </candidateList>
      <explain>文本全半角错误。</explain>
      <paraID>2A73A26B</paraID>
      <start>33</start>
      <end>34</end>
      <status>modified</status>
      <modifiedWord>－</modifiedWord>
      <trackRevisions>false</trackRevisions>
    </reviewItem>
    <reviewItem>
      <errorID>e65647cd-8575-4c26-95c9-86e7d996b76a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28B8996</paraID>
      <start>0</start>
      <end>2</end>
      <status>unmodified</status>
      <modifiedWord/>
      <trackRevisions>false</trackRevisions>
    </reviewItem>
    <reviewItem>
      <errorID>6f74718d-78cc-48a8-87b7-e6108cc5ddde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33A318C7</paraID>
      <start>0</start>
      <end>2</end>
      <status>unmodified</status>
      <modifiedWord/>
      <trackRevisions>false</trackRevisions>
    </reviewItem>
    <reviewItem>
      <errorID>9cc82762-666f-4f0a-b50d-4cef8ca50c62</errorID>
      <errorWord>-</errorWord>
      <group>L1_Format</group>
      <groupName>格式问题</groupName>
      <ability>L2_HalfPunc</ability>
      <abilityName>全半角检查</abilityName>
      <candidateList>
        <item>－</item>
      </candidateList>
      <explain>文本全半角错误。</explain>
      <paraID>3A2A8B26</paraID>
      <start>33</start>
      <end>34</end>
      <status>modified</status>
      <modifiedWord>－</modifiedWord>
      <trackRevisions>false</trackRevisions>
    </reviewItem>
    <reviewItem>
      <errorID>fc94e367-a3f6-4588-ad5f-70d7c37d2e05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5FA76DDD</paraID>
      <start>0</start>
      <end>2</end>
      <status>unmodified</status>
      <modifiedWord/>
      <trackRevisions>false</trackRevisions>
    </reviewItem>
    <reviewItem>
      <errorID>372635a8-8873-4d92-a9ba-39958d162868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577B4EC8</paraID>
      <start>0</start>
      <end>2</end>
      <status>unmodified</status>
      <modifiedWord/>
      <trackRevisions>false</trackRevisions>
    </reviewItem>
    <reviewItem>
      <errorID>31312076-5d11-454a-a7dd-5827c5586319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5BDCE6E5</paraID>
      <start>0</start>
      <end>2</end>
      <status>unmodified</status>
      <modifiedWord/>
      <trackRevisions>false</trackRevisions>
    </reviewItem>
    <reviewItem>
      <errorID>c001f955-b245-48ae-a9b8-4343df011e1e</errorID>
      <errorWord>（</errorWord>
      <group>L1_Punc</group>
      <groupName>标点问题</groupName>
      <ability>L2_Punc</ability>
      <abilityName>标点符号检查</abilityName>
      <candidateList/>
      <explain>同一形式括号套用。</explain>
      <paraID>7EACA43D</paraID>
      <start>50</start>
      <end>51</end>
      <status>unmodified</status>
      <modifiedWord/>
      <trackRevisions>false</trackRevisions>
    </reviewItem>
    <reviewItem>
      <errorID>6af336ac-1cc4-40ac-b798-763803717a5b</errorID>
      <errorWord>）</errorWord>
      <group>L1_Punc</group>
      <groupName>标点问题</groupName>
      <ability>L2_Punc</ability>
      <abilityName>标点符号检查</abilityName>
      <candidateList/>
      <explain>同一形式括号套用。</explain>
      <paraID>7EACA43D</paraID>
      <start>52</start>
      <end>53</end>
      <status>unmodified</status>
      <modifiedWord/>
      <trackRevisions>false</trackRevisions>
    </reviewItem>
    <reviewItem>
      <errorID>78c5dd68-8f37-414e-a6ee-6014c093a767</errorID>
      <errorWord>（</errorWord>
      <group>L1_Punc</group>
      <groupName>标点问题</groupName>
      <ability>L2_Punc</ability>
      <abilityName>标点符号检查</abilityName>
      <candidateList/>
      <explain>同一形式括号套用。</explain>
      <paraID>7EACA43D</paraID>
      <start>53</start>
      <end>54</end>
      <status>unmodified</status>
      <modifiedWord/>
      <trackRevisions>false</trackRevisions>
    </reviewItem>
    <reviewItem>
      <errorID>82637eb9-0fe7-45cd-849e-5eafe07a0bb8</errorID>
      <errorWord>）</errorWord>
      <group>L1_Punc</group>
      <groupName>标点问题</groupName>
      <ability>L2_Punc</ability>
      <abilityName>标点符号检查</abilityName>
      <candidateList/>
      <explain>同一形式括号套用。</explain>
      <paraID>7EACA43D</paraID>
      <start>55</start>
      <end>56</end>
      <status>unmodified</status>
      <modifiedWord/>
      <trackRevisions>false</trackRevisions>
    </reviewItem>
    <reviewItem>
      <errorID>f5431ace-d383-44e6-aae7-8c250e5845db</errorID>
      <errorWord>（</errorWord>
      <group>L1_Punc</group>
      <groupName>标点问题</groupName>
      <ability>L2_Punc</ability>
      <abilityName>标点符号检查</abilityName>
      <candidateList/>
      <explain>同一形式括号套用。</explain>
      <paraID>7EACA43D</paraID>
      <start>56</start>
      <end>57</end>
      <status>unmodified</status>
      <modifiedWord/>
      <trackRevisions>false</trackRevisions>
    </reviewItem>
    <reviewItem>
      <errorID>62d4ba55-8b47-4935-9d12-d1eb13abde33</errorID>
      <errorWord>）</errorWord>
      <group>L1_Punc</group>
      <groupName>标点问题</groupName>
      <ability>L2_Punc</ability>
      <abilityName>标点符号检查</abilityName>
      <candidateList/>
      <explain>同一形式括号套用。</explain>
      <paraID>7EACA43D</paraID>
      <start>58</start>
      <end>59</end>
      <status>unmodified</status>
      <modifiedWord/>
      <trackRevisions>false</trackRevisions>
    </reviewItem>
    <reviewItem>
      <errorID>933e75b0-808a-4baf-83e1-7fb7a3265434</errorID>
      <errorWord>（</errorWord>
      <group>L1_Punc</group>
      <groupName>标点问题</groupName>
      <ability>L2_Punc</ability>
      <abilityName>标点符号检查</abilityName>
      <candidateList/>
      <explain>同一形式括号套用。</explain>
      <paraID>7EACA43D</paraID>
      <start>59</start>
      <end>60</end>
      <status>unmodified</status>
      <modifiedWord/>
      <trackRevisions>false</trackRevisions>
    </reviewItem>
    <reviewItem>
      <errorID>bc28ef5a-4133-48aa-979e-c0fde40fb973</errorID>
      <errorWord>）</errorWord>
      <group>L1_Punc</group>
      <groupName>标点问题</groupName>
      <ability>L2_Punc</ability>
      <abilityName>标点符号检查</abilityName>
      <candidateList/>
      <explain>同一形式括号套用。</explain>
      <paraID>7EACA43D</paraID>
      <start>61</start>
      <end>62</end>
      <status>unmodified</status>
      <modifiedWord/>
      <trackRevisions>false</trackRevisions>
    </reviewItem>
    <reviewItem>
      <errorID>2016d2eb-f560-44a2-b964-1fa43185babe</errorID>
      <errorWord>（</errorWord>
      <group>L1_Punc</group>
      <groupName>标点问题</groupName>
      <ability>L2_Punc</ability>
      <abilityName>标点符号检查</abilityName>
      <candidateList/>
      <explain>同一形式括号套用。</explain>
      <paraID>7EACA43D</paraID>
      <start>62</start>
      <end>63</end>
      <status>unmodified</status>
      <modifiedWord/>
      <trackRevisions>false</trackRevisions>
    </reviewItem>
    <reviewItem>
      <errorID>c0aad001-2de6-4934-9303-c894afa07f45</errorID>
      <errorWord>）</errorWord>
      <group>L1_Punc</group>
      <groupName>标点问题</groupName>
      <ability>L2_Punc</ability>
      <abilityName>标点符号检查</abilityName>
      <candidateList/>
      <explain>同一形式括号套用。</explain>
      <paraID>7EACA43D</paraID>
      <start>64</start>
      <end>65</end>
      <status>unmodified</status>
      <modifiedWord/>
      <trackRevisions>false</trackRevisions>
    </reviewItem>
    <reviewItem>
      <errorID>db5c35f4-432e-481c-ac8e-93f7c0fa5c7b</errorID>
      <errorWord>（</errorWord>
      <group>L1_Punc</group>
      <groupName>标点问题</groupName>
      <ability>L2_Punc</ability>
      <abilityName>标点符号检查</abilityName>
      <candidateList/>
      <explain>同一形式括号套用。</explain>
      <paraID>7EACA43D</paraID>
      <start>65</start>
      <end>66</end>
      <status>unmodified</status>
      <modifiedWord/>
      <trackRevisions>false</trackRevisions>
    </reviewItem>
    <reviewItem>
      <errorID>44d1edbf-f51e-4da5-9fc9-99e8c5b74637</errorID>
      <errorWord>）</errorWord>
      <group>L1_Punc</group>
      <groupName>标点问题</groupName>
      <ability>L2_Punc</ability>
      <abilityName>标点符号检查</abilityName>
      <candidateList/>
      <explain>同一形式括号套用。</explain>
      <paraID>7EACA43D</paraID>
      <start>67</start>
      <end>68</end>
      <status>unmodified</status>
      <modifiedWord/>
      <trackRevisions>false</trackRevisions>
    </reviewItem>
    <reviewItem>
      <errorID>1461bf04-5182-4e48-a57e-4c42f5b0f05e</errorID>
      <errorWord>（</errorWord>
      <group>L1_Punc</group>
      <groupName>标点问题</groupName>
      <ability>L2_Punc</ability>
      <abilityName>标点符号检查</abilityName>
      <candidateList/>
      <explain>同一形式括号套用。</explain>
      <paraID>7EACA43D</paraID>
      <start>68</start>
      <end>69</end>
      <status>unmodified</status>
      <modifiedWord/>
      <trackRevisions>false</trackRevisions>
    </reviewItem>
    <reviewItem>
      <errorID>0e66b930-ea3a-494d-9d30-eeb977288001</errorID>
      <errorWord>）</errorWord>
      <group>L1_Punc</group>
      <groupName>标点问题</groupName>
      <ability>L2_Punc</ability>
      <abilityName>标点符号检查</abilityName>
      <candidateList/>
      <explain>同一形式括号套用。</explain>
      <paraID>7EACA43D</paraID>
      <start>71</start>
      <end>72</end>
      <status>unmodified</status>
      <modifiedWord/>
      <trackRevisions>false</trackRevisions>
    </reviewItem>
    <reviewItem>
      <errorID>4864b312-4578-4d91-b3a3-29c1c069b4ff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6B87BEA6</paraID>
      <start>48</start>
      <end>49</end>
      <status>unmodified</status>
      <modifiedWord/>
      <trackRevisions>false</trackRevisions>
    </reviewItem>
    <reviewItem>
      <errorID>8b503dd3-5a99-40cf-8fc9-1f5f699f48b3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64B3F68B</paraID>
      <start>48</start>
      <end>49</end>
      <status>unmodified</status>
      <modifiedWord/>
      <trackRevisions>false</trackRevisions>
    </reviewItem>
    <reviewItem>
      <errorID>db8dccd7-84f4-4bd0-bfc5-43c79d5104d6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8B5104D</paraID>
      <start>33</start>
      <end>34</end>
      <status>unmodified</status>
      <modifiedWord/>
      <trackRevisions>false</trackRevisions>
    </reviewItem>
    <reviewItem>
      <errorID>387cdea6-7ca8-47a6-a4e4-a24d4b009d65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6F162F79</paraID>
      <start>0</start>
      <end>2</end>
      <status>unmodified</status>
      <modifiedWord/>
      <trackRevisions>false</trackRevisions>
    </reviewItem>
    <reviewItem>
      <errorID>17ce9a8c-2c25-49c4-812c-2eadcedb9ac2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C8823C3</paraID>
      <start>0</start>
      <end>2</end>
      <status>unmodified</status>
      <modifiedWord/>
      <trackRevisions>false</trackRevisions>
    </reviewItem>
    <reviewItem>
      <errorID>50973d21-5d4a-4516-86c3-38eefcb2305b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5F3F5BF1</paraID>
      <start>0</start>
      <end>2</end>
      <status>unmodified</status>
      <modifiedWord/>
      <trackRevisions>false</trackRevisions>
    </reviewItem>
    <reviewItem>
      <errorID>1c2ea95a-91e0-4d1a-a544-46c7ef262af7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373AAB42</paraID>
      <start>0</start>
      <end>2</end>
      <status>unmodified</status>
      <modifiedWord/>
      <trackRevisions>false</trackRevisions>
    </reviewItem>
    <reviewItem>
      <errorID>ec5b76dc-d7a2-42f9-9871-af2412143082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5C7C349</paraID>
      <start>0</start>
      <end>2</end>
      <status>unmodified</status>
      <modifiedWord/>
      <trackRevisions>false</trackRevisions>
    </reviewItem>
    <reviewItem>
      <errorID>858ff580-6a87-4800-ba77-92b3a6d14a78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329B5949</paraID>
      <start>0</start>
      <end>2</end>
      <status>unmodified</status>
      <modifiedWord/>
      <trackRevisions>false</trackRevisions>
    </reviewItem>
    <reviewItem>
      <errorID>8af0c920-a503-45d8-bcdf-757ad5a1d660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238FA037</paraID>
      <start>0</start>
      <end>2</end>
      <status>unmodified</status>
      <modifiedWord/>
      <trackRevisions>false</trackRevisions>
    </reviewItem>
    <reviewItem>
      <errorID>9aaca767-bfa8-4555-b050-84326ccbcc66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6A247AC0</paraID>
      <start>0</start>
      <end>2</end>
      <status>unmodified</status>
      <modifiedWord/>
      <trackRevisions>false</trackRevisions>
    </reviewItem>
    <reviewItem>
      <errorID>2561465e-521f-4aef-9252-3777f2d7c0b2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7A365F29</paraID>
      <start>0</start>
      <end>2</end>
      <status>unmodified</status>
      <modifiedWord/>
      <trackRevisions>false</trackRevisions>
    </reviewItem>
    <reviewItem>
      <errorID>caddd36f-de90-4066-97a0-571cbc1f989e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624EFE4E</paraID>
      <start>0</start>
      <end>2</end>
      <status>unmodified</status>
      <modifiedWord/>
      <trackRevisions>false</trackRevisions>
    </reviewItem>
    <reviewItem>
      <errorID>e5de200d-fda7-4da2-aa83-ada2ce22ebff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1CA99DEF</paraID>
      <start>0</start>
      <end>2</end>
      <status>unmodified</status>
      <modifiedWord/>
      <trackRevisions>false</trackRevisions>
    </reviewItem>
    <reviewItem>
      <errorID>36a2f300-8cd2-4618-8451-d92dfe8cdead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850BA05</paraID>
      <start>0</start>
      <end>2</end>
      <status>unmodified</status>
      <modifiedWord/>
      <trackRevisions>false</trackRevisions>
    </reviewItem>
    <reviewItem>
      <errorID>72427c0a-1f4d-45b7-ba6d-f4ac82cd7b96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22D8F8D1</paraID>
      <start>0</start>
      <end>2</end>
      <status>unmodified</status>
      <modifiedWord/>
      <trackRevisions>false</trackRevisions>
    </reviewItem>
    <reviewItem>
      <errorID>e805c3f7-2d92-4cb4-8cc7-2ce2ee3747ed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54ADD43C</paraID>
      <start>0</start>
      <end>2</end>
      <status>unmodified</status>
      <modifiedWord/>
      <trackRevisions>false</trackRevisions>
    </reviewItem>
    <reviewItem>
      <errorID>e4fc59c8-0b94-46fd-a767-21d6a1a9646f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4D403A5B</paraID>
      <start>0</start>
      <end>2</end>
      <status>unmodified</status>
      <modifiedWord/>
      <trackRevisions>false</trackRevisions>
    </reviewItem>
    <reviewItem>
      <errorID>e29e13c6-8e49-4c27-8253-4ee8526a2bec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6F53A57B</paraID>
      <start>0</start>
      <end>2</end>
      <status>unmodified</status>
      <modifiedWord/>
      <trackRevisions>false</trackRevisions>
    </reviewItem>
    <reviewItem>
      <errorID>b100255e-f2ec-433b-8a73-eff1ab956b72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29AE3F88</paraID>
      <start>0</start>
      <end>2</end>
      <status>unmodified</status>
      <modifiedWord/>
      <trackRevisions>false</trackRevisions>
    </reviewItem>
    <reviewItem>
      <errorID>d1ec307c-bf3e-48bb-8f67-3a031763a62a</errorID>
      <errorWord>100万以下</errorWord>
      <group>L1_Word</group>
      <groupName>字词问题</groupName>
      <ability>L2_Typo</ability>
      <abilityName>字词错误</abilityName>
      <candidateList>
        <item>100万元以下</item>
      </candidateList>
      <explain/>
      <paraID>1E9B5435</paraID>
      <start>37</start>
      <end>44</end>
      <status>modified</status>
      <modifiedWord>100万元以下</modifiedWord>
      <trackRevisions>false</trackRevisions>
    </reviewItem>
    <reviewItem>
      <errorID>677a337a-51e8-45e8-b3d9-85a21c698224</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1E9B5435</paraID>
      <start>52</start>
      <end>61</end>
      <status>modified</status>
      <modifiedWord>100万—500万</modifiedWord>
      <trackRevisions>false</trackRevisions>
    </reviewItem>
    <reviewItem>
      <errorID>ce93647d-befa-4175-b963-51bcda7fe4d2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6BD53A0</paraID>
      <start>0</start>
      <end>2</end>
      <status>unmodified</status>
      <modifiedWord/>
      <trackRevisions>false</trackRevisions>
    </reviewItem>
    <reviewItem>
      <errorID>02d18c5a-54e8-462c-a974-439b74570b91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283DD1D5</paraID>
      <start>0</start>
      <end>2</end>
      <status>unmodified</status>
      <modifiedWord/>
      <trackRevisions>false</trackRevisions>
    </reviewItem>
    <reviewItem>
      <errorID>7d524e50-44a6-4158-80a6-d316b68ca9cd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450EDDD5</paraID>
      <start>0</start>
      <end>2</end>
      <status>unmodified</status>
      <modifiedWord/>
      <trackRevisions>false</trackRevisions>
    </reviewItem>
    <reviewItem>
      <errorID>a20a41c0-3a80-40cb-bcb8-ec9e4f9ef7f2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3659B5C6</paraID>
      <start>0</start>
      <end>2</end>
      <status>unmodified</status>
      <modifiedWord/>
      <trackRevisions>false</trackRevisions>
    </reviewItem>
    <reviewItem>
      <errorID>60ea968e-ed4b-4b8b-a195-5e81af58d572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726C32C1</paraID>
      <start>0</start>
      <end>2</end>
      <status>unmodified</status>
      <modifiedWord/>
      <trackRevisions>false</trackRevisions>
    </reviewItem>
    <reviewItem>
      <errorID>46156301-fb2d-461d-85e5-035dc2b26814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3BE40648</paraID>
      <start>0</start>
      <end>2</end>
      <status>unmodified</status>
      <modifiedWord/>
      <trackRevisions>false</trackRevisions>
    </reviewItem>
    <reviewItem>
      <errorID>4c648d07-55b1-442e-a0d5-9bac4d2a1f78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35D1CED9</paraID>
      <start>0</start>
      <end>2</end>
      <status>unmodified</status>
      <modifiedWord/>
      <trackRevisions>false</trackRevisions>
    </reviewItem>
    <reviewItem>
      <errorID>94a55165-2f2e-4e07-9eb0-1ef1f3ecc838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4CF93ABD</paraID>
      <start>0</start>
      <end>2</end>
      <status>unmodified</status>
      <modifiedWord/>
      <trackRevisions>false</trackRevisions>
    </reviewItem>
    <reviewItem>
      <errorID>46092b97-7d3a-495b-8be0-aca91be7b5e9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104F51AF</paraID>
      <start>0</start>
      <end>2</end>
      <status>unmodified</status>
      <modifiedWord/>
      <trackRevisions>false</trackRevisions>
    </reviewItem>
    <reviewItem>
      <errorID>d6bf7670-261b-41ce-96ba-1b09f054c330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4DFD6510</paraID>
      <start>0</start>
      <end>2</end>
      <status>unmodified</status>
      <modifiedWord/>
      <trackRevisions>false</trackRevisions>
    </reviewItem>
    <reviewItem>
      <errorID>0626b134-b86b-443d-a1b0-886980b91a05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D1B0363</paraID>
      <start>0</start>
      <end>2</end>
      <status>unmodified</status>
      <modifiedWord/>
      <trackRevisions>false</trackRevisions>
    </reviewItem>
    <reviewItem>
      <errorID>c63da42a-67a0-44b0-af7f-b557f5cc18ef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605DA802</paraID>
      <start>0</start>
      <end>2</end>
      <status>unmodified</status>
      <modifiedWord/>
      <trackRevisions>false</trackRevisions>
    </reviewItem>
    <reviewItem>
      <errorID>0db5cf10-11c2-4a5c-9392-8b52be45704a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40333AA</paraID>
      <start>0</start>
      <end>2</end>
      <status>unmodified</status>
      <modifiedWord/>
      <trackRevisions>false</trackRevisions>
    </reviewItem>
    <reviewItem>
      <errorID>4dac55d9-409a-48bc-b7fc-71550d073bdb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9E1B98F</paraID>
      <start>0</start>
      <end>3</end>
      <status>unmodified</status>
      <modifiedWord/>
      <trackRevisions>false</trackRevisions>
    </reviewItem>
    <reviewItem>
      <errorID>028476fc-b632-4dbd-8d61-a07d9ee418c9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2402DF2C</paraID>
      <start>20</start>
      <end>21</end>
      <status>modified</status>
      <modifiedWord>—</modifiedWord>
      <trackRevisions>false</trackRevisions>
    </reviewItem>
    <reviewItem>
      <errorID>e3ecd29b-67b3-474f-8ed4-c80caf42d1ed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58718E78</paraID>
      <start>0</start>
      <end>2</end>
      <status>unmodified</status>
      <modifiedWord/>
      <trackRevisions>false</trackRevisions>
    </reviewItem>
    <reviewItem>
      <errorID>c6e465dd-0094-49c1-a2d3-337a7ee59e49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4648A0D1</paraID>
      <start>0</start>
      <end>2</end>
      <status>unmodified</status>
      <modifiedWord/>
      <trackRevisions>false</trackRevisions>
    </reviewItem>
    <reviewItem>
      <errorID>d9995fd7-5c9f-4997-9361-87af2e244b99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37839B71</paraID>
      <start>0</start>
      <end>2</end>
      <status>unmodified</status>
      <modifiedWord/>
      <trackRevisions>false</trackRevisions>
    </reviewItem>
    <reviewItem>
      <errorID>31a341e1-e1b3-45cd-a117-cf2a3c7ed37b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458B5677</paraID>
      <start>0</start>
      <end>2</end>
      <status>unmodified</status>
      <modifiedWord/>
      <trackRevisions>false</trackRevisions>
    </reviewItem>
    <reviewItem>
      <errorID>0aef3d4c-05c5-4db9-8a26-3d11ebe3fa49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3B6C2D0</paraID>
      <start>0</start>
      <end>2</end>
      <status>unmodified</status>
      <modifiedWord/>
      <trackRevisions>false</trackRevisions>
    </reviewItem>
    <reviewItem>
      <errorID>202f06b8-6f51-402e-adda-aee129482f48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10CB3D96</paraID>
      <start>0</start>
      <end>2</end>
      <status>unmodified</status>
      <modifiedWord/>
      <trackRevisions>false</trackRevisions>
    </reviewItem>
    <reviewItem>
      <errorID>087de658-8df1-41fd-a7d7-82dfbf1e73bd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25B49772</paraID>
      <start>0</start>
      <end>2</end>
      <status>unmodified</status>
      <modifiedWord/>
      <trackRevisions>false</trackRevisions>
    </reviewItem>
    <reviewItem>
      <errorID>128c2ad0-abb0-4f32-92e3-c7681e2d61a0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79CD9E4A</paraID>
      <start>0</start>
      <end>2</end>
      <status>unmodified</status>
      <modifiedWord/>
      <trackRevisions>false</trackRevisions>
    </reviewItem>
    <reviewItem>
      <errorID>e58400ea-ae26-4c7e-9215-127fec96b9e1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54B3F062</paraID>
      <start>0</start>
      <end>2</end>
      <status>unmodified</status>
      <modifiedWord/>
      <trackRevisions>false</trackRevisions>
    </reviewItem>
    <reviewItem>
      <errorID>38351426-db26-401b-801b-84920f8579d0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728A65A0</paraID>
      <start>0</start>
      <end>3</end>
      <status>unmodified</status>
      <modifiedWord/>
      <trackRevisions>false</trackRevisions>
    </reviewItem>
    <reviewItem>
      <errorID>58037d39-ee7f-4ebc-a176-4caed01b7f90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6C069A04</paraID>
      <start>0</start>
      <end>3</end>
      <status>unmodified</status>
      <modifiedWord/>
      <trackRevisions>false</trackRevisions>
    </reviewItem>
    <reviewItem>
      <errorID>4dc5ba53-1587-44d7-ab81-6886c1eb0bbb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6944D10</paraID>
      <start>0</start>
      <end>3</end>
      <status>unmodified</status>
      <modifiedWord/>
      <trackRevisions>false</trackRevisions>
    </reviewItem>
    <reviewItem>
      <errorID>c29ac825-4296-4362-bab3-a765e87a85f4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450CAFA7</paraID>
      <start>0</start>
      <end>3</end>
      <status>unmodified</status>
      <modifiedWord/>
      <trackRevisions>false</trackRevisions>
    </reviewItem>
    <reviewItem>
      <errorID>5627b991-6ec7-4753-aa66-780d61f7541b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3D34006D</paraID>
      <start>0</start>
      <end>3</end>
      <status>unmodified</status>
      <modifiedWord/>
      <trackRevisions>false</trackRevisions>
    </reviewItem>
    <reviewItem>
      <errorID>d4e4aeeb-8d76-4614-a1ed-e37e1d618965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3BD069FF</paraID>
      <start>0</start>
      <end>3</end>
      <status>unmodified</status>
      <modifiedWord/>
      <trackRevisions>false</trackRevisions>
    </reviewItem>
    <reviewItem>
      <errorID>751c65f3-17b3-447d-adec-10dc2c73a7c2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3D52CE0F</paraID>
      <start>0</start>
      <end>3</end>
      <status>unmodified</status>
      <modifiedWord/>
      <trackRevisions>false</trackRevisions>
    </reviewItem>
    <reviewItem>
      <errorID>0caf13a0-6740-415c-a226-8adf2a7ff521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71537B3A</paraID>
      <start>0</start>
      <end>3</end>
      <status>unmodified</status>
      <modifiedWord/>
      <trackRevisions>false</trackRevisions>
    </reviewItem>
    <reviewItem>
      <errorID>602c5713-b64f-4e22-84f2-c2bb27149ad7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4E02DDD4</paraID>
      <start>0</start>
      <end>3</end>
      <status>unmodified</status>
      <modifiedWord/>
      <trackRevisions>false</trackRevisions>
    </reviewItem>
    <reviewItem>
      <errorID>ab80f9df-a3ea-4bc9-a6fb-2954e2f794d8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64F9DCEE</paraID>
      <start>0</start>
      <end>2</end>
      <status>unmodified</status>
      <modifiedWord/>
      <trackRevisions>false</trackRevisions>
    </reviewItem>
    <reviewItem>
      <errorID>cea32461-18ec-407f-90bb-34bb0ad35bb2</errorID>
      <errorWord>详实</errorWord>
      <group>L1_Word</group>
      <groupName>字词问题</groupName>
      <ability>L2_Typo</ability>
      <abilityName>字词错误</abilityName>
      <candidateList>
        <item>翔实</item>
      </candidateList>
      <explain/>
      <paraID>609D8AAC</paraID>
      <start>5</start>
      <end>7</end>
      <status>unmodified</status>
      <modifiedWord/>
      <trackRevisions>false</trackRevisions>
    </reviewItem>
    <reviewItem>
      <errorID>a0630da4-e587-4a39-9d47-0eeab2a93b8f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16DDDE20</paraID>
      <start>0</start>
      <end>2</end>
      <status>unmodified</status>
      <modifiedWord/>
      <trackRevisions>false</trackRevisions>
    </reviewItem>
    <reviewItem>
      <errorID>de2cdba9-3921-421f-b58e-a76dbb0b759c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6D61DC7A</paraID>
      <start>0</start>
      <end>2</end>
      <status>unmodified</status>
      <modifiedWord/>
      <trackRevisions>false</trackRevisions>
    </reviewItem>
    <reviewItem>
      <errorID>1b388d8d-f633-4ab1-b332-c56bb93e016f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5B87776E</paraID>
      <start>0</start>
      <end>2</end>
      <status>unmodified</status>
      <modifiedWord/>
      <trackRevisions>false</trackRevisions>
    </reviewItem>
    <reviewItem>
      <errorID>b7dd965e-2f99-46c1-84fe-ffd36116322e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7BD6558B</paraID>
      <start>0</start>
      <end>2</end>
      <status>unmodified</status>
      <modifiedWord/>
      <trackRevisions>false</trackRevisions>
    </reviewItem>
    <reviewItem>
      <errorID>373002f3-00b3-4c73-bdbd-39ccb0806fa6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44D16040</paraID>
      <start>0</start>
      <end>2</end>
      <status>unmodified</status>
      <modifiedWord/>
      <trackRevisions>false</trackRevisions>
    </reviewItem>
    <reviewItem>
      <errorID>09f6d8a0-2a07-4034-9db7-f7d856b17bab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9B4F8D</paraID>
      <start>0</start>
      <end>2</end>
      <status>unmodified</status>
      <modifiedWord/>
      <trackRevisions>false</trackRevisions>
    </reviewItem>
    <reviewItem>
      <errorID>8a8b864f-c39a-4149-8b03-b6dacc0c2fd6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1221D933</paraID>
      <start>0</start>
      <end>2</end>
      <status>unmodified</status>
      <modifiedWord/>
      <trackRevisions>false</trackRevisions>
    </reviewItem>
    <reviewItem>
      <errorID>35f1fcac-9c02-4dff-bf3b-1abf2626a8eb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1AB60998</paraID>
      <start>0</start>
      <end>2</end>
      <status>unmodified</status>
      <modifiedWord/>
      <trackRevisions>false</trackRevisions>
    </reviewItem>
    <reviewItem>
      <errorID>23e8a9f5-e05d-4a78-869c-e1921ad24144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51037276</paraID>
      <start>0</start>
      <end>2</end>
      <status>unmodified</status>
      <modifiedWord/>
      <trackRevisions>false</trackRevisions>
    </reviewItem>
    <reviewItem>
      <errorID>22ef2cea-c4f5-454e-a7fa-370f614b4514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35F41165</paraID>
      <start>0</start>
      <end>2</end>
      <status>unmodified</status>
      <modifiedWord/>
      <trackRevisions>false</trackRevisions>
    </reviewItem>
    <reviewItem>
      <errorID>414b66ae-b23f-4c9d-86a7-3e834473a2e0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47FF2803</paraID>
      <start>0</start>
      <end>2</end>
      <status>unmodified</status>
      <modifiedWord/>
      <trackRevisions>false</trackRevisions>
    </reviewItem>
    <reviewItem>
      <errorID>d29e1366-8df2-4ade-84f9-724b9b7c4b9c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2673B3EC</paraID>
      <start>0</start>
      <end>2</end>
      <status>unmodified</status>
      <modifiedWord/>
      <trackRevisions>false</trackRevisions>
    </reviewItem>
    <reviewItem>
      <errorID>dc1858b5-c896-467e-9dad-044cecafe9f0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403BE0A8</paraID>
      <start>0</start>
      <end>2</end>
      <status>unmodified</status>
      <modifiedWord/>
      <trackRevisions>false</trackRevisions>
    </reviewItem>
    <reviewItem>
      <errorID>7bd968fa-6d93-425e-abff-6dd4708c2cfe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5E9EBDB1</paraID>
      <start>0</start>
      <end>2</end>
      <status>unmodified</status>
      <modifiedWord/>
      <trackRevisions>false</trackRevisions>
    </reviewItem>
    <reviewItem>
      <errorID>b851dcb8-68a5-40a0-9383-ccaae9c51817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704E8A34</paraID>
      <start>0</start>
      <end>2</end>
      <status>unmodified</status>
      <modifiedWord/>
      <trackRevisions>false</trackRevisions>
    </reviewItem>
    <reviewItem>
      <errorID>4f45f9e0-b894-4096-8a74-9f15a3d5e93c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27552328</paraID>
      <start>0</start>
      <end>2</end>
      <status>unmodified</status>
      <modifiedWord/>
      <trackRevisions>false</trackRevisions>
    </reviewItem>
    <reviewItem>
      <errorID>00c7b09a-f910-4f2c-8036-b164e960035a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37518BAE</paraID>
      <start>0</start>
      <end>2</end>
      <status>unmodified</status>
      <modifiedWord/>
      <trackRevisions>false</trackRevisions>
    </reviewItem>
    <reviewItem>
      <errorID>39a1d7c2-5ecc-4e6f-9ff1-5bb2c69ab5cf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6490D0D8</paraID>
      <start>0</start>
      <end>2</end>
      <status>unmodified</status>
      <modifiedWord/>
      <trackRevisions>false</trackRevisions>
    </reviewItem>
    <reviewItem>
      <errorID>594e114b-7a66-4009-b041-9f8433832ad2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647A2CF6</paraID>
      <start>0</start>
      <end>2</end>
      <status>unmodified</status>
      <modifiedWord/>
      <trackRevisions>false</trackRevisions>
    </reviewItem>
    <reviewItem>
      <errorID>7afeb6c3-c8c1-4110-8737-d2c72afe298b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46E21A3E</paraID>
      <start>0</start>
      <end>2</end>
      <status>unmodified</status>
      <modifiedWord/>
      <trackRevisions>false</trackRevisions>
    </reviewItem>
    <reviewItem>
      <errorID>e08038db-9680-408b-93b4-6e9f3b3d0cc6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58C50EAA</paraID>
      <start>0</start>
      <end>2</end>
      <status>unmodified</status>
      <modifiedWord/>
      <trackRevisions>false</trackRevisions>
    </reviewItem>
    <reviewItem>
      <errorID>da5a6919-4c5f-47fa-af43-4f6770f78e52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5FDD61E9</paraID>
      <start>0</start>
      <end>2</end>
      <status>unmodified</status>
      <modifiedWord/>
      <trackRevisions>false</trackRevisions>
    </reviewItem>
    <reviewItem>
      <errorID>66762483-4837-46c9-a383-a78d0f5d9936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67D73E8F</paraID>
      <start>0</start>
      <end>2</end>
      <status>unmodified</status>
      <modifiedWord/>
      <trackRevisions>false</trackRevisions>
    </reviewItem>
    <reviewItem>
      <errorID>77a3d440-ab71-46d6-a6d6-d59e43328ee8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6343953B</paraID>
      <start>0</start>
      <end>2</end>
      <status>unmodified</status>
      <modifiedWord/>
      <trackRevisions>false</trackRevisions>
    </reviewItem>
    <reviewItem>
      <errorID>696fe74c-4269-428a-891c-722be5767497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5F84919B</paraID>
      <start>0</start>
      <end>2</end>
      <status>unmodified</status>
      <modifiedWord/>
      <trackRevisions>false</trackRevisions>
    </reviewItem>
    <reviewItem>
      <errorID>6b6fdf31-fb60-4c92-8238-69d876b5edf2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53BAA7D9</paraID>
      <start>0</start>
      <end>2</end>
      <status>unmodified</status>
      <modifiedWord/>
      <trackRevisions>false</trackRevisions>
    </reviewItem>
    <reviewItem>
      <errorID>9edfd0f8-3d67-4acd-a462-7cd0c2a69c3e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5647607C</paraID>
      <start>0</start>
      <end>2</end>
      <status>unmodified</status>
      <modifiedWord/>
      <trackRevisions>false</trackRevisions>
    </reviewItem>
    <reviewItem>
      <errorID>c5292f91-edbc-4674-af68-aad29b501cd8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5862E50B</paraID>
      <start>0</start>
      <end>3</end>
      <status>unmodified</status>
      <modifiedWord/>
      <trackRevisions>false</trackRevisions>
    </reviewItem>
    <reviewItem>
      <errorID>a39dd974-73ee-4d10-9a80-5a383ea9b591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37D85195</paraID>
      <start>0</start>
      <end>2</end>
      <status>unmodified</status>
      <modifiedWord/>
      <trackRevisions>false</trackRevisions>
    </reviewItem>
    <reviewItem>
      <errorID>57296663-442d-4e13-91b2-381a25f2116d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742F1AD1</paraID>
      <start>0</start>
      <end>2</end>
      <status>unmodified</status>
      <modifiedWord/>
      <trackRevisions>false</trackRevisions>
    </reviewItem>
    <reviewItem>
      <errorID>e1d64a65-a115-42dc-a4ef-54fd16d13b16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23CEB882</paraID>
      <start>0</start>
      <end>2</end>
      <status>unmodified</status>
      <modifiedWord/>
      <trackRevisions>false</trackRevisions>
    </reviewItem>
    <reviewItem>
      <errorID>7145dbda-465a-485a-843b-3d3b47f6cdb8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77CCFB21</paraID>
      <start>0</start>
      <end>2</end>
      <status>unmodified</status>
      <modifiedWord/>
      <trackRevisions>false</trackRevisions>
    </reviewItem>
    <reviewItem>
      <errorID>92cc83af-707b-401b-a1bf-1721d99f9eb5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6CB1F943</paraID>
      <start>0</start>
      <end>2</end>
      <status>unmodified</status>
      <modifiedWord/>
      <trackRevisions>false</trackRevisions>
    </reviewItem>
    <reviewItem>
      <errorID>4c65e54e-a816-45fa-b525-df00f2d0227d</errorID>
      <errorWord>详实</errorWord>
      <group>L1_Word</group>
      <groupName>字词问题</groupName>
      <ability>L2_Typo</ability>
      <abilityName>字词错误</abilityName>
      <candidateList>
        <item>翔实</item>
      </candidateList>
      <explain/>
      <paraID>5E890C3E</paraID>
      <start>5</start>
      <end>7</end>
      <status>unmodified</status>
      <modifiedWord/>
      <trackRevisions>false</trackRevisions>
    </reviewItem>
    <reviewItem>
      <errorID>e06bd36e-4d4b-4b4b-87f6-243256ef1bf5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34D9E644</paraID>
      <start>0</start>
      <end>2</end>
      <status>unmodified</status>
      <modifiedWord/>
      <trackRevisions>false</trackRevisions>
    </reviewItem>
    <reviewItem>
      <errorID>69aa2923-e4e2-4d11-8f81-f327190bcf9c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5109DC1F</paraID>
      <start>0</start>
      <end>2</end>
      <status>unmodified</status>
      <modifiedWord/>
      <trackRevisions>false</trackRevisions>
    </reviewItem>
    <reviewItem>
      <errorID>acc5df9d-b445-4e22-a0d0-8181bb538b3c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69938622</paraID>
      <start>0</start>
      <end>2</end>
      <status>unmodified</status>
      <modifiedWord/>
      <trackRevisions>false</trackRevisions>
    </reviewItem>
    <reviewItem>
      <errorID>e8152c96-99d7-4d16-ad0a-c29403c7ff80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487AABB1</paraID>
      <start>0</start>
      <end>2</end>
      <status>unmodified</status>
      <modifiedWord/>
      <trackRevisions>false</trackRevisions>
    </reviewItem>
    <reviewItem>
      <errorID>343e0444-4046-4e31-9ed1-1500220483e4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6A9C927D</paraID>
      <start>0</start>
      <end>2</end>
      <status>unmodified</status>
      <modifiedWord/>
      <trackRevisions>false</trackRevisions>
    </reviewItem>
    <reviewItem>
      <errorID>d3ee46c2-c50e-4bbc-a707-4a5372a316e7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160216CA</paraID>
      <start>0</start>
      <end>2</end>
      <status>unmodified</status>
      <modifiedWord/>
      <trackRevisions>false</trackRevisions>
    </reviewItem>
    <reviewItem>
      <errorID>e84ee5ff-ffa8-4878-b464-3a1308d67f7d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4C4FAF20</paraID>
      <start>0</start>
      <end>2</end>
      <status>unmodified</status>
      <modifiedWord/>
      <trackRevisions>false</trackRevisions>
    </reviewItem>
    <reviewItem>
      <errorID>8d8cc9df-0378-42be-ac0c-be24d4a063d1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2B4FB6A</paraID>
      <start>0</start>
      <end>2</end>
      <status>unmodified</status>
      <modifiedWord/>
      <trackRevisions>false</trackRevisions>
    </reviewItem>
    <reviewItem>
      <errorID>e71f299a-9cae-4545-b21a-24c31b666e69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14376F03</paraID>
      <start>0</start>
      <end>2</end>
      <status>unmodified</status>
      <modifiedWord/>
      <trackRevisions>false</trackRevisions>
    </reviewItem>
    <reviewItem>
      <errorID>8d9470d7-5e15-47bf-84e6-444a4f420793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4BA86958</paraID>
      <start>0</start>
      <end>2</end>
      <status>unmodified</status>
      <modifiedWord/>
      <trackRevisions>false</trackRevisions>
    </reviewItem>
    <reviewItem>
      <errorID>495a9cd0-e99f-4df4-aea1-98d91a94d70b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939B40A</paraID>
      <start>0</start>
      <end>3</end>
      <status>unmodified</status>
      <modifiedWord/>
      <trackRevisions>false</trackRevisions>
    </reviewItem>
    <reviewItem>
      <errorID>1962cd71-dc5b-4b72-a79a-f2f15ea4bfeb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760AB930</paraID>
      <start>0</start>
      <end>3</end>
      <status>unmodified</status>
      <modifiedWord/>
      <trackRevisions>false</trackRevisions>
    </reviewItem>
    <reviewItem>
      <errorID>752f9a62-c29d-4b92-9a61-a19efa173268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563B32C3</paraID>
      <start>0</start>
      <end>2</end>
      <status>unmodified</status>
      <modifiedWord/>
      <trackRevisions>false</trackRevisions>
    </reviewItem>
    <reviewItem>
      <errorID>c6c60cdd-fe5b-42a8-91d2-21595b42b2bc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4D9210</paraID>
      <start>0</start>
      <end>2</end>
      <status>unmodified</status>
      <modifiedWord/>
      <trackRevisions>false</trackRevisions>
    </reviewItem>
    <reviewItem>
      <errorID>79573e51-b3e8-495d-ba3c-ed4616c01e84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6C423E3B</paraID>
      <start>0</start>
      <end>2</end>
      <status>unmodified</status>
      <modifiedWord/>
      <trackRevisions>false</trackRevisions>
    </reviewItem>
    <reviewItem>
      <errorID>83204af0-06cb-46da-8b6c-79f66020d4ea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7FBFA960</paraID>
      <start>0</start>
      <end>2</end>
      <status>unmodified</status>
      <modifiedWord/>
      <trackRevisions>false</trackRevisions>
    </reviewItem>
    <reviewItem>
      <errorID>5f43b86a-c528-4355-8933-1cc9d3439f60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3B9D3463</paraID>
      <start>0</start>
      <end>2</end>
      <status>unmodified</status>
      <modifiedWord/>
      <trackRevisions>false</trackRevisions>
    </reviewItem>
    <reviewItem>
      <errorID>7ef3844e-3bf7-41b1-8b8a-611fff11295a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3EBCA5C3</paraID>
      <start>0</start>
      <end>2</end>
      <status>unmodified</status>
      <modifiedWord/>
      <trackRevisions>false</trackRevisions>
    </reviewItem>
    <reviewItem>
      <errorID>df4ef07f-0bfb-443f-bddc-cfceed55fe50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6DA4F89E</paraID>
      <start>0</start>
      <end>2</end>
      <status>unmodified</status>
      <modifiedWord/>
      <trackRevisions>false</trackRevisions>
    </reviewItem>
    <reviewItem>
      <errorID>399d24ff-3aa8-4e11-806b-2621b84c1a17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5B1743CE</paraID>
      <start>0</start>
      <end>2</end>
      <status>unmodified</status>
      <modifiedWord/>
      <trackRevisions>false</trackRevisions>
    </reviewItem>
    <reviewItem>
      <errorID>0d9b9bee-b2a8-4652-ae99-e8d0d15bda7d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4DF4E443</paraID>
      <start>0</start>
      <end>2</end>
      <status>unmodified</status>
      <modifiedWord/>
      <trackRevisions>false</trackRevisions>
    </reviewItem>
    <reviewItem>
      <errorID>c3d7dfa3-9ea8-411b-b7ab-e0b5e3a1d0ed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50FB980D</paraID>
      <start>0</start>
      <end>2</end>
      <status>unmodified</status>
      <modifiedWord/>
      <trackRevisions>false</trackRevisions>
    </reviewItem>
    <reviewItem>
      <errorID>ead290d1-1ac1-474a-9f49-40261e5401b3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3954DF3</paraID>
      <start>0</start>
      <end>2</end>
      <status>unmodified</status>
      <modifiedWord/>
      <trackRevisions>false</trackRevisions>
    </reviewItem>
    <reviewItem>
      <errorID>e6f6b6f6-20df-4b6b-bd5c-b78ef6c8081a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41E8B2C1</paraID>
      <start>0</start>
      <end>2</end>
      <status>unmodified</status>
      <modifiedWord/>
      <trackRevisions>false</trackRevisions>
    </reviewItem>
    <reviewItem>
      <errorID>021cca65-e1ea-4096-8d87-39e62c686ac9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1A07B54B</paraID>
      <start>0</start>
      <end>2</end>
      <status>unmodified</status>
      <modifiedWord/>
      <trackRevisions>false</trackRevisions>
    </reviewItem>
    <reviewItem>
      <errorID>d398ef2c-920b-4642-966e-0cadfd9e2ab0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33785DCC</paraID>
      <start>0</start>
      <end>2</end>
      <status>unmodified</status>
      <modifiedWord/>
      <trackRevisions>false</trackRevisions>
    </reviewItem>
    <reviewItem>
      <errorID>79c9bb28-b16f-4d94-ae03-41e0fbae22db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2AC5DF2A</paraID>
      <start>0</start>
      <end>2</end>
      <status>unmodified</status>
      <modifiedWord/>
      <trackRevisions>false</trackRevisions>
    </reviewItem>
    <reviewItem>
      <errorID>229b71ca-9acb-4054-8d8f-dad24e3a9e99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40E760FA</paraID>
      <start>0</start>
      <end>2</end>
      <status>unmodified</status>
      <modifiedWord/>
      <trackRevisions>false</trackRevisions>
    </reviewItem>
    <reviewItem>
      <errorID>673bbf82-de99-43d9-81f7-80999c2376aa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6870B1B0</paraID>
      <start>0</start>
      <end>2</end>
      <status>unmodified</status>
      <modifiedWord/>
      <trackRevisions>false</trackRevisions>
    </reviewItem>
    <reviewItem>
      <errorID>7e5847e7-a6d1-481f-a0ce-ac41300df41f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30A13016</paraID>
      <start>0</start>
      <end>2</end>
      <status>unmodified</status>
      <modifiedWord/>
      <trackRevisions>false</trackRevisions>
    </reviewItem>
    <reviewItem>
      <errorID>c33125ca-522b-4e83-b6e5-6475c64ba754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FFC6703</paraID>
      <start>0</start>
      <end>2</end>
      <status>unmodified</status>
      <modifiedWord/>
      <trackRevisions>false</trackRevisions>
    </reviewItem>
    <reviewItem>
      <errorID>3e20d19a-0f62-4afa-b8da-4ee1ac8d86cb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677D3E6B</paraID>
      <start>0</start>
      <end>2</end>
      <status>unmodified</status>
      <modifiedWord/>
      <trackRevisions>false</trackRevisions>
    </reviewItem>
    <reviewItem>
      <errorID>5a6c39f2-906b-40f7-879c-8b698582317a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23A4AD58</paraID>
      <start>0</start>
      <end>2</end>
      <status>unmodified</status>
      <modifiedWord/>
      <trackRevisions>false</trackRevisions>
    </reviewItem>
    <reviewItem>
      <errorID>97ee161d-3e11-4639-b112-f912286dfdd1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33B06DAA</paraID>
      <start>0</start>
      <end>2</end>
      <status>unmodified</status>
      <modifiedWord/>
      <trackRevisions>false</trackRevisions>
    </reviewItem>
    <reviewItem>
      <errorID>fdb52889-1b5d-4344-9639-ba8d4b811360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31D02DD4</paraID>
      <start>0</start>
      <end>2</end>
      <status>unmodified</status>
      <modifiedWord/>
      <trackRevisions>false</trackRevisions>
    </reviewItem>
    <reviewItem>
      <errorID>16333fa7-c6c7-40a2-88dd-31ed747f8c18</errorID>
      <errorWord>按《中华人民共和国</errorWord>
      <group>L1_Word</group>
      <groupName>字词问题</groupName>
      <ability>L2_Typo</ability>
      <abilityName>字词错误</abilityName>
      <candidateList>
        <item>按照《中华人民共和国</item>
      </candidateList>
      <explain/>
      <paraID>6208DFDC</paraID>
      <start>24</start>
      <end>34</end>
      <status>modified</status>
      <modifiedWord>按照《中华人民共和国</modifiedWord>
      <trackRevisions>false</trackRevisions>
    </reviewItem>
    <reviewItem>
      <errorID>c6fe3975-ef1b-46d3-a8b3-bf452d090d88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230B86E5</paraID>
      <start>0</start>
      <end>2</end>
      <status>unmodified</status>
      <modifiedWord/>
      <trackRevisions>false</trackRevisions>
    </reviewItem>
    <reviewItem>
      <errorID>6b6f3f67-013d-4e9d-97f1-a2c702bd25b7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1F4BD429</paraID>
      <start>0</start>
      <end>2</end>
      <status>unmodified</status>
      <modifiedWord/>
      <trackRevisions>false</trackRevisions>
    </reviewItem>
    <reviewItem>
      <errorID>943b744c-a02f-4d96-8516-647f5dcc7a7a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4FB5ADB2</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824CD3F-5D89-47CA-8E9C-06FF11E5E8D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宗玲</cp:lastModifiedBy>
  <cp:revision>2</cp:revision>
  <dcterms:created xsi:type="dcterms:W3CDTF">2023-05-22T00:29:00Z</dcterms:created>
  <dcterms:modified xsi:type="dcterms:W3CDTF">2026-05-25T03:08:23Z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eyJoZGlkIjoiODViY2JkMjU3NGYzZTEwMzZmMGFkZWViYmNkYWU3NDIiLCJ1c2VySWQiOiI1MDI5NjE2MTQifQ==</vt:lpwstr>
  </property>
  <property fmtid="{D5CDD505-2E9C-101B-9397-08002B2CF9AE}" pid="3" name="KSOProductBuildVer">
    <vt:lpwstr>2052-12.1.0.25865</vt:lpwstr>
  </property>
  <property fmtid="{D5CDD505-2E9C-101B-9397-08002B2CF9AE}" pid="4" name="ICV">
    <vt:lpwstr>888E6B6BBF8A4DFBAB5F00D458A68D19_13</vt:lpwstr>
  </property>
</Properties>
</file>