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塔山镇2026年村组道路户户通建设项目（政府采购工程）（专门面向中小企业）</w:t>
      </w:r>
      <w:r/>
    </w:p>
    <w:p>
      <w:pPr>
        <w:ind w:firstLine="1413"/>
        <w:jc w:val="both"/>
        <w:spacing w:line="720" w:lineRule="exact"/>
        <w:rPr>
          <w:rFonts w:hint="default"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编号：JSZC-320707-LYGH-C202</w:t>
      </w:r>
      <w:r>
        <w:rPr>
          <w:rFonts w:hint="eastAsia" w:cs="宋体"/>
          <w:b/>
          <w:bCs/>
          <w:spacing w:val="16"/>
          <w:sz w:val="32"/>
          <w:szCs w:val="32"/>
          <w:highlight w:val="none"/>
          <w:lang w:val="en-US" w:eastAsia="zh-CN"/>
        </w:rPr>
        <w:t xml:space="preserve">6</w:t>
      </w:r>
      <w:r>
        <w:rPr>
          <w:rFonts w:hint="eastAsia" w:ascii="宋体" w:hAnsi="宋体" w:eastAsia="宋体" w:cs="宋体"/>
          <w:b/>
          <w:bCs/>
          <w:spacing w:val="16"/>
          <w:sz w:val="32"/>
          <w:szCs w:val="32"/>
          <w:highlight w:val="none"/>
        </w:rPr>
        <w:t xml:space="preserve">-</w:t>
      </w:r>
      <w:r>
        <w:rPr>
          <w:rFonts w:hint="eastAsia" w:cs="宋体"/>
          <w:b/>
          <w:bCs/>
          <w:spacing w:val="16"/>
          <w:sz w:val="32"/>
          <w:szCs w:val="32"/>
          <w:highlight w:val="none"/>
          <w:lang w:val="en-US" w:eastAsia="zh-CN"/>
        </w:rPr>
        <w:t xml:space="preserve">0002</w:t>
      </w:r>
      <w:r/>
    </w:p>
    <w:p>
      <w:pPr>
        <w:pStyle w:val="75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5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56"/>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赣榆区塔山镇人民政府</w:t>
      </w:r>
      <w:r/>
    </w:p>
    <w:p>
      <w:pPr>
        <w:pStyle w:val="756"/>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江苏泓泉项目管理有限公司</w:t>
      </w:r>
      <w:r/>
    </w:p>
    <w:p>
      <w:pPr>
        <w:pStyle w:val="756"/>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56"/>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04</w:t>
      </w:r>
      <w:r>
        <w:rPr>
          <w:rFonts w:hint="eastAsia" w:ascii="宋体" w:hAnsi="宋体" w:eastAsia="宋体" w:cs="宋体"/>
          <w:b/>
          <w:bCs/>
          <w:sz w:val="32"/>
          <w:highlight w:val="none"/>
          <w:lang w:eastAsia="zh-CN"/>
        </w:rPr>
        <w:t xml:space="preserve">月</w:t>
      </w:r>
      <w:r/>
    </w:p>
    <w:p>
      <w:pPr>
        <w:pStyle w:val="793"/>
        <w:ind w:firstLine="480"/>
        <w:rPr>
          <w:rFonts w:hint="eastAsia" w:ascii="宋体" w:hAnsi="宋体" w:eastAsia="宋体" w:cs="宋体"/>
          <w:color w:val="auto"/>
          <w:highlight w:val="none"/>
        </w:rPr>
        <w:sectPr>
          <w:footerReference w:type="default" r:id="rId9"/>
          <w:footerReference w:type="first" r:id="rId10"/>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7"/>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塔山镇2026年村组道路户户通建设项目（政府采购工程）（专门面向中小企业）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05</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 08 </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标段编号：JSZC-320707-LYGH-C202</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0002</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塔山镇2026年村组道路户户通建设项目（政府采购工程）（专门面向中小企业）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246 </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2413360.39</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塔山镇2026年村组道路户户通建设项目</w:t>
      </w:r>
      <w:r>
        <w:rPr>
          <w:rFonts w:hint="eastAsia" w:ascii="宋体" w:hAnsi="宋体" w:eastAsia="宋体" w:cs="宋体"/>
          <w:color w:val="000000"/>
          <w:sz w:val="22"/>
          <w:highlight w:val="none"/>
          <w:lang w:val="en-US" w:eastAsia="zh-CN"/>
        </w:rPr>
        <w:t xml:space="preserve">，具体详见工程量清单。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塔山镇枣行村、前进村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30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cs="Times New Roman"/>
          <w:color w:val="000000" w:themeColor="text1"/>
          <w:sz w:val="21"/>
          <w:szCs w:val="21"/>
          <w:lang w:val="en-US"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cs="Times New Roman"/>
          <w:color w:val="000000" w:themeColor="text1"/>
          <w:sz w:val="21"/>
          <w:szCs w:val="21"/>
          <w:lang w:val="en-US"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cs="Times New Roman"/>
          <w:color w:val="000000" w:themeColor="text1"/>
          <w:sz w:val="21"/>
          <w:szCs w:val="21"/>
          <w:lang w:val="en-US" w:eastAsia="zh-CN"/>
          <w14:textFill>
            <w14:solidFill>
              <w14:schemeClr w14:val="tx1"/>
            </w14:solidFill>
          </w14:textFill>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cs="Times New Roman"/>
          <w:color w:val="000000" w:themeColor="text1"/>
          <w:sz w:val="21"/>
          <w:szCs w:val="21"/>
          <w:lang w:val="en-US" w:eastAsia="zh-CN"/>
          <w14:textFill>
            <w14:solidFill>
              <w14:schemeClr w14:val="tx1"/>
            </w14:solidFill>
          </w14:textFill>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rPr>
          <w:rFonts w:hint="eastAsia" w:cs="Times New Roman"/>
          <w:color w:val="000000" w:themeColor="text1"/>
          <w:sz w:val="21"/>
          <w:szCs w:val="21"/>
          <w:lang w:val="en-US" w:eastAsia="zh-CN"/>
          <w14:textFill>
            <w14:solidFill>
              <w14:schemeClr w14:val="tx1"/>
            </w14:solidFill>
          </w14:textFill>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ff0000"/>
          <w:sz w:val="22"/>
          <w:highlight w:val="none"/>
          <w:lang w:val="en-US" w:eastAsia="zh-CN"/>
        </w:rPr>
        <w:t xml:space="preserve">202</w:t>
      </w:r>
      <w:r>
        <w:rPr>
          <w:rFonts w:hint="eastAsia" w:cs="宋体"/>
          <w:b/>
          <w:bCs/>
          <w:color w:val="ff0000"/>
          <w:sz w:val="22"/>
          <w:highlight w:val="none"/>
          <w:lang w:val="en-US" w:eastAsia="zh-CN"/>
        </w:rPr>
        <w:t xml:space="preserve">5</w:t>
      </w:r>
      <w:r>
        <w:rPr>
          <w:rFonts w:hint="eastAsia" w:ascii="宋体" w:hAnsi="宋体" w:eastAsia="宋体" w:cs="宋体"/>
          <w:b/>
          <w:bCs/>
          <w:color w:val="ff0000"/>
          <w:sz w:val="22"/>
          <w:highlight w:val="none"/>
          <w:lang w:val="en-US" w:eastAsia="zh-CN"/>
        </w:rPr>
        <w:t xml:space="preserve">年</w:t>
      </w:r>
      <w:r>
        <w:rPr>
          <w:rFonts w:hint="eastAsia" w:cs="宋体"/>
          <w:b/>
          <w:bCs/>
          <w:color w:val="ff0000"/>
          <w:sz w:val="22"/>
          <w:highlight w:val="none"/>
          <w:u w:val="single"/>
          <w:lang w:val="en-US" w:eastAsia="zh-CN"/>
        </w:rPr>
        <w:t xml:space="preserve">10</w:t>
      </w:r>
      <w:r>
        <w:rPr>
          <w:rFonts w:hint="eastAsia" w:ascii="宋体" w:hAnsi="宋体" w:eastAsia="宋体" w:cs="宋体"/>
          <w:b/>
          <w:bCs/>
          <w:color w:val="ff0000"/>
          <w:sz w:val="22"/>
          <w:highlight w:val="none"/>
          <w:lang w:val="en-US" w:eastAsia="zh-CN"/>
        </w:rPr>
        <w:t xml:space="preserve">月</w:t>
      </w:r>
      <w:r>
        <w:rPr>
          <w:rFonts w:hint="eastAsia" w:cs="宋体"/>
          <w:b/>
          <w:bCs/>
          <w:color w:val="ff0000"/>
          <w:sz w:val="22"/>
          <w:highlight w:val="none"/>
          <w:lang w:val="en-US" w:eastAsia="zh-CN"/>
        </w:rPr>
        <w:t xml:space="preserve">以来</w:t>
      </w:r>
      <w:r>
        <w:rPr>
          <w:rFonts w:hint="eastAsia" w:ascii="宋体" w:hAnsi="宋体" w:eastAsia="宋体" w:cs="宋体"/>
          <w:b/>
          <w:bCs/>
          <w:color w:val="ff0000"/>
          <w:sz w:val="22"/>
          <w:highlight w:val="none"/>
          <w:lang w:val="en-US" w:eastAsia="zh-CN"/>
        </w:rPr>
        <w:t xml:space="preserve">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b w:val="0"/>
          <w:bCs w:val="0"/>
          <w:i w:val="0"/>
          <w:iCs w:val="0"/>
          <w:caps w:val="0"/>
          <w:color w:val="333333"/>
          <w:spacing w:val="0"/>
          <w:sz w:val="21"/>
          <w:szCs w:val="21"/>
          <w:shd w:val="clear" w:color="auto" w:fill="ffffff"/>
          <w:lang w:val="en-US" w:eastAsia="zh-CN" w:bidi="ar"/>
        </w:rPr>
        <w:t xml:space="preserve">（已退休仍在执业有效期内的必须提供退休证明及聘用合同）</w:t>
      </w:r>
      <w:r>
        <w:rPr>
          <w:rFonts w:hint="eastAsia" w:cs="宋体"/>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ff0000"/>
          <w:sz w:val="22"/>
          <w:highlight w:val="none"/>
        </w:rPr>
        <w:t xml:space="preserve">202</w:t>
      </w:r>
      <w:r>
        <w:rPr>
          <w:rFonts w:hint="eastAsia" w:cs="宋体"/>
          <w:b/>
          <w:color w:val="ff0000"/>
          <w:sz w:val="22"/>
          <w:highlight w:val="none"/>
          <w:lang w:val="en-US" w:eastAsia="zh-CN"/>
        </w:rPr>
        <w:t xml:space="preserve">6</w:t>
      </w:r>
      <w:r>
        <w:rPr>
          <w:rFonts w:hint="eastAsia" w:ascii="宋体" w:hAnsi="宋体" w:eastAsia="宋体" w:cs="宋体"/>
          <w:b/>
          <w:color w:val="ff0000"/>
          <w:sz w:val="22"/>
          <w:highlight w:val="none"/>
        </w:rPr>
        <w:t xml:space="preserve">年</w:t>
      </w:r>
      <w:r>
        <w:rPr>
          <w:rFonts w:hint="eastAsia" w:cs="宋体"/>
          <w:b/>
          <w:color w:val="ff0000"/>
          <w:sz w:val="22"/>
          <w:highlight w:val="none"/>
          <w:u w:val="single"/>
          <w:lang w:val="en-US" w:eastAsia="zh-CN"/>
        </w:rPr>
        <w:t xml:space="preserve"> 04 </w:t>
      </w:r>
      <w:r>
        <w:rPr>
          <w:rFonts w:hint="eastAsia" w:ascii="宋体" w:hAnsi="宋体" w:eastAsia="宋体" w:cs="宋体"/>
          <w:b/>
          <w:color w:val="ff0000"/>
          <w:sz w:val="22"/>
          <w:highlight w:val="none"/>
        </w:rPr>
        <w:t xml:space="preserve">月</w:t>
      </w:r>
      <w:r>
        <w:rPr>
          <w:rFonts w:hint="eastAsia" w:cs="宋体"/>
          <w:b/>
          <w:color w:val="ff0000"/>
          <w:sz w:val="22"/>
          <w:highlight w:val="none"/>
          <w:u w:val="single"/>
          <w:lang w:val="en-US" w:eastAsia="zh-CN"/>
        </w:rPr>
        <w:t xml:space="preserve"> 23 </w:t>
      </w:r>
      <w:r>
        <w:rPr>
          <w:rFonts w:hint="eastAsia" w:ascii="宋体" w:hAnsi="宋体" w:eastAsia="宋体" w:cs="宋体"/>
          <w:b/>
          <w:color w:val="ff0000"/>
          <w:sz w:val="22"/>
          <w:highlight w:val="none"/>
        </w:rPr>
        <w:t xml:space="preserve">日至202</w:t>
      </w:r>
      <w:r>
        <w:rPr>
          <w:rFonts w:hint="eastAsia" w:cs="宋体"/>
          <w:b/>
          <w:color w:val="ff0000"/>
          <w:sz w:val="22"/>
          <w:highlight w:val="none"/>
          <w:lang w:val="en-US" w:eastAsia="zh-CN"/>
        </w:rPr>
        <w:t xml:space="preserve">6</w:t>
      </w:r>
      <w:r>
        <w:rPr>
          <w:rFonts w:hint="eastAsia" w:ascii="宋体" w:hAnsi="宋体" w:eastAsia="宋体" w:cs="宋体"/>
          <w:b/>
          <w:color w:val="ff0000"/>
          <w:sz w:val="22"/>
          <w:highlight w:val="none"/>
        </w:rPr>
        <w:t xml:space="preserve">年</w:t>
      </w:r>
      <w:r>
        <w:rPr>
          <w:rFonts w:hint="eastAsia" w:cs="宋体"/>
          <w:b/>
          <w:color w:val="ff0000"/>
          <w:sz w:val="22"/>
          <w:highlight w:val="none"/>
          <w:u w:val="single"/>
          <w:lang w:val="en-US" w:eastAsia="zh-CN"/>
        </w:rPr>
        <w:t xml:space="preserve"> 04 </w:t>
      </w:r>
      <w:r>
        <w:rPr>
          <w:rFonts w:hint="eastAsia" w:ascii="宋体" w:hAnsi="宋体" w:eastAsia="宋体" w:cs="宋体"/>
          <w:b/>
          <w:color w:val="ff0000"/>
          <w:sz w:val="22"/>
          <w:highlight w:val="none"/>
        </w:rPr>
        <w:t xml:space="preserve">月</w:t>
      </w:r>
      <w:r>
        <w:rPr>
          <w:rFonts w:hint="eastAsia" w:cs="宋体"/>
          <w:b/>
          <w:color w:val="ff0000"/>
          <w:sz w:val="22"/>
          <w:highlight w:val="none"/>
          <w:u w:val="single"/>
          <w:lang w:val="en-US" w:eastAsia="zh-CN"/>
        </w:rPr>
        <w:t xml:space="preserve"> 30 </w:t>
      </w:r>
      <w:r>
        <w:rPr>
          <w:rFonts w:hint="eastAsia" w:ascii="宋体" w:hAnsi="宋体" w:eastAsia="宋体" w:cs="宋体"/>
          <w:b/>
          <w:color w:val="ff0000"/>
          <w:sz w:val="22"/>
          <w:highlight w:val="none"/>
        </w:rPr>
        <w:t xml:space="preserve">日</w:t>
      </w:r>
      <w:r>
        <w:rPr>
          <w:rFonts w:hint="eastAsia" w:ascii="宋体" w:hAnsi="宋体" w:eastAsia="宋体" w:cs="宋体"/>
          <w:color w:val="000000"/>
          <w:sz w:val="22"/>
          <w:highlight w:val="none"/>
        </w:rPr>
        <w:t xml:space="preserve">（北京时间）</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ff0000"/>
          <w:sz w:val="22"/>
          <w:highlight w:val="none"/>
          <w:lang w:eastAsia="zh-CN"/>
        </w:rPr>
        <w:t xml:space="preserve">202</w:t>
      </w:r>
      <w:r>
        <w:rPr>
          <w:rFonts w:hint="eastAsia" w:cs="宋体"/>
          <w:b/>
          <w:color w:val="ff0000"/>
          <w:sz w:val="22"/>
          <w:highlight w:val="none"/>
          <w:lang w:val="en-US" w:eastAsia="zh-CN"/>
        </w:rPr>
        <w:t xml:space="preserve">6</w:t>
      </w:r>
      <w:r>
        <w:rPr>
          <w:rFonts w:hint="eastAsia" w:ascii="宋体" w:hAnsi="宋体" w:eastAsia="宋体" w:cs="宋体"/>
          <w:b/>
          <w:color w:val="ff0000"/>
          <w:sz w:val="22"/>
          <w:highlight w:val="none"/>
          <w:lang w:eastAsia="zh-CN"/>
        </w:rPr>
        <w:t xml:space="preserve">年</w:t>
      </w:r>
      <w:r>
        <w:rPr>
          <w:rFonts w:hint="eastAsia" w:cs="宋体"/>
          <w:b/>
          <w:color w:val="ff0000"/>
          <w:sz w:val="22"/>
          <w:highlight w:val="none"/>
          <w:u w:val="single"/>
          <w:lang w:val="en-US" w:eastAsia="zh-CN"/>
        </w:rPr>
        <w:t xml:space="preserve">05</w:t>
      </w:r>
      <w:r>
        <w:rPr>
          <w:rFonts w:hint="eastAsia" w:ascii="宋体" w:hAnsi="宋体" w:eastAsia="宋体" w:cs="宋体"/>
          <w:b/>
          <w:color w:val="ff0000"/>
          <w:sz w:val="22"/>
          <w:highlight w:val="none"/>
          <w:lang w:eastAsia="zh-CN"/>
        </w:rPr>
        <w:t xml:space="preserve">月</w:t>
      </w:r>
      <w:r>
        <w:rPr>
          <w:rFonts w:hint="eastAsia" w:cs="宋体"/>
          <w:b/>
          <w:color w:val="ff0000"/>
          <w:sz w:val="22"/>
          <w:highlight w:val="none"/>
          <w:u w:val="single"/>
          <w:lang w:val="en-US" w:eastAsia="zh-CN"/>
        </w:rPr>
        <w:t xml:space="preserve"> 08 </w:t>
      </w:r>
      <w:r>
        <w:rPr>
          <w:rFonts w:hint="eastAsia" w:ascii="宋体" w:hAnsi="宋体" w:eastAsia="宋体" w:cs="宋体"/>
          <w:b/>
          <w:color w:val="ff0000"/>
          <w:sz w:val="22"/>
          <w:highlight w:val="none"/>
          <w:lang w:eastAsia="zh-CN"/>
        </w:rPr>
        <w:t xml:space="preserve">日</w:t>
      </w:r>
      <w:r>
        <w:rPr>
          <w:rFonts w:hint="eastAsia" w:ascii="宋体" w:hAnsi="宋体" w:eastAsia="宋体" w:cs="宋体"/>
          <w:b/>
          <w:color w:val="ff0000"/>
          <w:sz w:val="22"/>
          <w:highlight w:val="none"/>
          <w:lang w:val="en-US" w:eastAsia="zh-CN"/>
        </w:rPr>
        <w:t xml:space="preserve">上午9</w:t>
      </w:r>
      <w:r>
        <w:rPr>
          <w:rFonts w:hint="eastAsia" w:ascii="宋体" w:hAnsi="宋体" w:eastAsia="宋体" w:cs="宋体"/>
          <w:b/>
          <w:color w:val="ff0000"/>
          <w:sz w:val="22"/>
          <w:highlight w:val="none"/>
        </w:rPr>
        <w:t xml:space="preserve">点</w:t>
      </w:r>
      <w:r>
        <w:rPr>
          <w:rFonts w:hint="eastAsia" w:ascii="宋体" w:hAnsi="宋体" w:eastAsia="宋体" w:cs="宋体"/>
          <w:b/>
          <w:color w:val="ff0000"/>
          <w:sz w:val="21"/>
          <w:highlight w:val="none"/>
          <w:lang w:val="en-US" w:eastAsia="zh-CN"/>
        </w:rPr>
        <w:t xml:space="preserve">00</w:t>
      </w:r>
      <w:r>
        <w:rPr>
          <w:rFonts w:hint="eastAsia" w:ascii="宋体" w:hAnsi="宋体" w:eastAsia="宋体" w:cs="宋体"/>
          <w:b/>
          <w:color w:val="ff0000"/>
          <w:sz w:val="22"/>
          <w:highlight w:val="non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bookmarkStart w:id="94" w:name="_GoBack"/>
      <w:r/>
      <w:bookmarkEnd w:id="94"/>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赣榆区塔山镇人民政府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赣榆区塔山镇驻地</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u w:val="none"/>
          <w:lang w:val="en-US" w:eastAsia="zh-CN"/>
        </w:rPr>
        <w:t xml:space="preserve">李主任</w:t>
      </w:r>
      <w:r>
        <w:rPr>
          <w:rFonts w:hint="eastAsia" w:ascii="宋体" w:hAnsi="宋体" w:eastAsia="宋体" w:cs="宋体"/>
          <w:color w:val="000000"/>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bookmarkStart w:id="0" w:name="OLE_LINK1"/>
      <w:r>
        <w:rPr>
          <w:rFonts w:hint="eastAsia" w:cs="宋体"/>
          <w:color w:val="000000"/>
          <w:sz w:val="22"/>
          <w:highlight w:val="none"/>
          <w:u w:val="none"/>
          <w:lang w:val="en-US" w:eastAsia="zh-CN"/>
        </w:rPr>
        <w:t xml:space="preserve">17751819055</w:t>
      </w:r>
      <w:bookmarkEnd w:id="0"/>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江苏泓泉项目管理有限公司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ascii="宋体" w:hAnsi="宋体" w:eastAsia="宋体"/>
          <w:sz w:val="21"/>
          <w:szCs w:val="21"/>
          <w:lang w:eastAsia="zh-CN"/>
        </w:rPr>
        <w:t xml:space="preserve">赣榆区</w:t>
      </w:r>
      <w:r>
        <w:rPr>
          <w:rFonts w:hint="eastAsia" w:ascii="宋体" w:hAnsi="宋体" w:eastAsia="宋体"/>
          <w:sz w:val="21"/>
          <w:szCs w:val="21"/>
          <w:lang w:val="en-US" w:eastAsia="zh-CN"/>
        </w:rPr>
        <w:t xml:space="preserve">青口镇华中南路东侧鑫鑫精品装饰城5号楼104商铺</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ascii="宋体" w:hAnsi="宋体" w:eastAsia="宋体" w:cs="宋体"/>
          <w:color w:val="000000"/>
          <w:sz w:val="22"/>
          <w:highlight w:val="none"/>
          <w:lang w:val="en-US" w:eastAsia="zh-CN"/>
        </w:rPr>
        <w:t xml:space="preserve">刘工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15152180390</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ascii="宋体" w:hAnsi="宋体" w:eastAsia="宋体" w:cs="宋体"/>
          <w:color w:val="000000"/>
          <w:sz w:val="22"/>
          <w:highlight w:val="none"/>
          <w:lang w:val="en-US" w:eastAsia="zh-CN"/>
        </w:rPr>
        <w:t xml:space="preserve">刘工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15152180390</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1.根据省财政厅《关于更</w:t>
      </w:r>
      <w:r>
        <w:rPr>
          <w:rFonts w:hint="eastAsia" w:ascii="宋体" w:hAnsi="宋体" w:eastAsia="宋体" w:cs="宋体"/>
          <w:color w:val="000000"/>
          <w:sz w:val="22"/>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江苏泓泉项目管理有限公司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本工程的采购代理服务费按照苏政采协【2024】20号关于印发《江苏省政府采购代理服务收费指导意见》标准的65%计取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1" w:name="_Toc14577357"/>
      <w:r/>
      <w:bookmarkStart w:id="2" w:name="_Toc61149558"/>
      <w:r/>
      <w:bookmarkStart w:id="3" w:name="_Toc513029219"/>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1"/>
      <w:r/>
      <w:bookmarkEnd w:id="2"/>
      <w:r/>
      <w:bookmarkEnd w:id="3"/>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Hlt26668999"/>
      <w:r/>
      <w:bookmarkEnd w:id="4"/>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1.1磋商报价应是磋商文件所确定的采购范围内的全部工作内容的价格体现。其应包括施工设备、劳务、管理、材料、安装、维护、利润、税金及政策性文件规定的各项应有费用等。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val="en-US" w:eastAsia="zh-CN"/>
        </w:rPr>
        <w:t xml:space="preserve">1</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 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规费、风险、利润、税金等及政策性文件规定的一切费用。</w:t>
      </w:r>
      <w:r>
        <w:rPr>
          <w:rFonts w:hint="eastAsia" w:ascii="宋体" w:hAnsi="宋体" w:eastAsia="宋体" w:cs="宋体"/>
          <w:color w:val="000000"/>
          <w:sz w:val="22"/>
          <w:highlight w:val="none"/>
        </w:rPr>
        <w:t xml:space="preserve"> </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价差除计取税金外，其他费用不再计取。</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jc w:val="left"/>
        <w:spacing w:line="440" w:lineRule="exact"/>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jc w:val="left"/>
        <w:spacing w:line="440" w:lineRule="exact"/>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Cs w:val="21"/>
        </w:rPr>
        <w:t xml:space="preserve">(2) </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施工设备、劳务、管理、材料、检测、采购、运输、装卸、保管、制造、安装、协调费、措施费、规费、风险、利润、税金等及政策性文件规定的一切费用。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1.4可选用的工程预算、费用定额和政策性文件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(1)用于磋商报价可参考的依据为：</w:t>
      </w:r>
      <w:r>
        <w:rPr>
          <w:rFonts w:hint="eastAsia" w:ascii="宋体" w:hAnsi="宋体" w:eastAsia="宋体" w:cs="宋体"/>
          <w:color w:val="000000"/>
          <w:sz w:val="22"/>
          <w:highlight w:val="none"/>
          <w:lang w:val="en-US" w:eastAsia="zh-CN"/>
        </w:rPr>
        <w:t xml:space="preserve">《建设工程工程量清单计价规范》、《江苏省建设工程费用定额》、《江苏省市政工程计价定额》、近期的《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1.5经磋商后，最后报价低于磋商供应商在响应文件首次报价的分项报价同比例调整。最低报价不能作为成交的保证。</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本次采购采用竞争性磋商，因第二轮报价只报总价，结算时，以成交人提交的综合单价同比下浮【下浮率=（1-第二轮报价/第一轮报价）*100%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3.2下列费用为不可竞争费用，不可竞争费用应严格执行有关费用标准，不得降低标准进行磋商，否则作无效响应处理。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(1)规费：包括环境保护税、社会保障费及住房公积金，应按照有权部门规定计取。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(2)税金：包括按规定必须计入工程造价的营业税、城市维护建设税和教育费附加，按照不含税工程造价乘以工程所在地的税率计算。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(3)安全文明施工费：包括安全文明施工基本费、省级标化增加费、扬尘费，应按照有权部门规定计取。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3.5</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3.7因有工程变更造成的工程量清单增减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(1) 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按磋商报价的单价计算；(2) 新增加的近似子项参照相近的子项单价计算</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(3)无相同或近似的子项，由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3.8磋商供应商应当在响应文件中详细、定量地列出优惠让利的理由及所采取的技术措施。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315"/>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Toc513029234"/>
      <w:r/>
      <w:bookmarkStart w:id="6" w:name="_Toc20823306"/>
      <w:r/>
      <w:bookmarkStart w:id="7" w:name="_Toc16938550"/>
      <w:r>
        <w:rPr>
          <w:rFonts w:hint="eastAsia" w:ascii="宋体" w:hAnsi="宋体" w:eastAsia="宋体" w:cs="宋体"/>
          <w:color w:val="000000"/>
          <w:sz w:val="22"/>
          <w:highlight w:val="none"/>
        </w:rPr>
        <w:t xml:space="preserve">6、</w:t>
      </w:r>
      <w:bookmarkEnd w:id="5"/>
      <w:r/>
      <w:bookmarkEnd w:id="6"/>
      <w:r/>
      <w:bookmarkEnd w:id="7"/>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8" w:lineRule="atLeast"/>
        <w:rPr>
          <w:rFonts w:hint="eastAsia" w:ascii="宋体" w:hAnsi="宋体" w:eastAsia="宋体" w:cs="宋体"/>
          <w:b/>
          <w:bCs/>
          <w:color w:val="000000" w:themeColor="text1"/>
          <w:sz w:val="22"/>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ascii="宋体" w:hAnsi="宋体" w:eastAsia="宋体" w:cs="宋体"/>
          <w:b/>
          <w:bCs/>
          <w:color w:val="000000" w:themeColor="text1"/>
          <w:sz w:val="22"/>
          <w:u w:val="single"/>
          <w14:textFill>
            <w14:solidFill>
              <w14:schemeClr w14:val="tx1"/>
            </w14:solidFill>
          </w14:textFill>
        </w:rPr>
        <w:t xml:space="preserve">本项目执行苏财购【202</w:t>
      </w:r>
      <w:r>
        <w:rPr>
          <w:rFonts w:hint="eastAsia" w:cs="宋体"/>
          <w:b/>
          <w:bCs/>
          <w:color w:val="000000" w:themeColor="text1"/>
          <w:sz w:val="22"/>
          <w:u w:val="single"/>
          <w:lang w:val="en-US" w:eastAsia="zh-CN"/>
          <w14:textFill>
            <w14:solidFill>
              <w14:schemeClr w14:val="tx1"/>
            </w14:solidFill>
          </w14:textFill>
        </w:rPr>
        <w:t xml:space="preserve">6</w:t>
      </w:r>
      <w:r>
        <w:rPr>
          <w:rFonts w:ascii="宋体" w:hAnsi="宋体" w:eastAsia="宋体" w:cs="宋体"/>
          <w:b/>
          <w:bCs/>
          <w:color w:val="000000" w:themeColor="text1"/>
          <w:sz w:val="22"/>
          <w:u w:val="single"/>
          <w14:textFill>
            <w14:solidFill>
              <w14:schemeClr w14:val="tx1"/>
            </w14:solidFill>
          </w14:textFill>
        </w:rPr>
        <w:t xml:space="preserve">】</w:t>
      </w:r>
      <w:r>
        <w:rPr>
          <w:rFonts w:hint="eastAsia" w:cs="宋体"/>
          <w:b/>
          <w:bCs/>
          <w:color w:val="000000" w:themeColor="text1"/>
          <w:sz w:val="22"/>
          <w:u w:val="single"/>
          <w:lang w:val="en-US" w:eastAsia="zh-CN"/>
          <w14:textFill>
            <w14:solidFill>
              <w14:schemeClr w14:val="tx1"/>
            </w14:solidFill>
          </w14:textFill>
        </w:rPr>
        <w:t xml:space="preserve">36</w:t>
      </w:r>
      <w:r>
        <w:rPr>
          <w:rFonts w:ascii="宋体" w:hAnsi="宋体" w:eastAsia="宋体" w:cs="宋体"/>
          <w:b/>
          <w:bCs/>
          <w:color w:val="000000" w:themeColor="text1"/>
          <w:sz w:val="22"/>
          <w:u w:val="single"/>
          <w14:textFill>
            <w14:solidFill>
              <w14:schemeClr w14:val="tx1"/>
            </w14:solidFill>
          </w14:textFill>
        </w:rPr>
        <w:t xml:space="preserve">号文《</w:t>
      </w:r>
      <w:r>
        <w:rPr>
          <w:rFonts w:hint="eastAsia" w:ascii="宋体" w:hAnsi="宋体" w:eastAsia="宋体" w:cs="宋体"/>
          <w:b/>
          <w:bCs/>
          <w:color w:val="000000" w:themeColor="text1"/>
          <w:sz w:val="22"/>
          <w:u w:val="single"/>
          <w14:textFill>
            <w14:solidFill>
              <w14:schemeClr w14:val="tx1"/>
            </w14:solidFill>
          </w14:textFill>
        </w:rPr>
        <w:t xml:space="preserve">江苏省财政厅转发财政部关于推动解决政府采购异常低价问题的通知</w:t>
      </w:r>
      <w:r>
        <w:rPr>
          <w:rFonts w:ascii="宋体" w:hAnsi="宋体" w:eastAsia="宋体" w:cs="宋体"/>
          <w:b/>
          <w:bCs/>
          <w:color w:val="000000" w:themeColor="text1"/>
          <w:sz w:val="22"/>
          <w:u w:val="single"/>
          <w14:textFill>
            <w14:solidFill>
              <w14:schemeClr w14:val="tx1"/>
            </w14:solidFill>
          </w14:textFill>
        </w:rPr>
        <w:t xml:space="preserve">》</w:t>
      </w:r>
      <w:r>
        <w:rPr>
          <w:rFonts w:hint="eastAsia" w:ascii="宋体" w:hAnsi="宋体" w:eastAsia="宋体" w:cs="宋体"/>
          <w:b/>
          <w:bCs/>
          <w:color w:val="000000" w:themeColor="text1"/>
          <w:sz w:val="22"/>
          <w:u w:val="single"/>
          <w:lang w:eastAsia="zh-CN"/>
          <w14:textFill>
            <w14:solidFill>
              <w14:schemeClr w14:val="tx1"/>
            </w14:solidFill>
          </w14:textFill>
        </w:rPr>
        <w:t xml:space="preserve">，</w:t>
      </w:r>
      <w:r>
        <w:rPr>
          <w:rFonts w:ascii="宋体" w:hAnsi="宋体" w:eastAsia="宋体" w:cs="宋体"/>
          <w:b/>
          <w:bCs/>
          <w:color w:val="000000" w:themeColor="text1"/>
          <w:sz w:val="22"/>
          <w:u w:val="single"/>
          <w14:textFill>
            <w14:solidFill>
              <w14:schemeClr w14:val="tx1"/>
            </w14:solidFill>
          </w14:textFill>
        </w:rPr>
        <w:t xml:space="preserve">采购人应在采购文件中明确评审委员会启动异常低价投标</w:t>
      </w:r>
      <w:r>
        <w:rPr>
          <w:rFonts w:hint="eastAsia" w:ascii="宋体" w:hAnsi="宋体" w:eastAsia="宋体" w:cs="宋体"/>
          <w:b/>
          <w:bCs/>
          <w:color w:val="000000" w:themeColor="text1"/>
          <w:sz w:val="22"/>
          <w:u w:val="single"/>
          <w:lang w:eastAsia="zh-CN"/>
          <w14:textFill>
            <w14:solidFill>
              <w14:schemeClr w14:val="tx1"/>
            </w14:solidFill>
          </w14:textFill>
        </w:rPr>
        <w:t xml:space="preserve">（</w:t>
      </w:r>
      <w:r>
        <w:rPr>
          <w:rFonts w:hint="eastAsia" w:ascii="宋体" w:hAnsi="宋体" w:eastAsia="宋体" w:cs="宋体"/>
          <w:b/>
          <w:bCs/>
          <w:color w:val="000000" w:themeColor="text1"/>
          <w:sz w:val="22"/>
          <w:u w:val="single"/>
          <w:lang w:val="en-US" w:eastAsia="zh-CN"/>
          <w14:textFill>
            <w14:solidFill>
              <w14:schemeClr w14:val="tx1"/>
            </w14:solidFill>
          </w14:textFill>
        </w:rPr>
        <w:t xml:space="preserve">响应</w:t>
      </w:r>
      <w:r>
        <w:rPr>
          <w:rFonts w:hint="eastAsia" w:ascii="宋体" w:hAnsi="宋体" w:eastAsia="宋体" w:cs="宋体"/>
          <w:b/>
          <w:bCs/>
          <w:color w:val="000000" w:themeColor="text1"/>
          <w:sz w:val="22"/>
          <w:u w:val="single"/>
          <w:lang w:eastAsia="zh-CN"/>
          <w14:textFill>
            <w14:solidFill>
              <w14:schemeClr w14:val="tx1"/>
            </w14:solidFill>
          </w14:textFill>
        </w:rPr>
        <w:t xml:space="preserve">）</w:t>
      </w:r>
      <w:r>
        <w:rPr>
          <w:rFonts w:ascii="宋体" w:hAnsi="宋体" w:eastAsia="宋体" w:cs="宋体"/>
          <w:b/>
          <w:bCs/>
          <w:color w:val="000000" w:themeColor="text1"/>
          <w:sz w:val="22"/>
          <w:u w:val="single"/>
          <w14:textFill>
            <w14:solidFill>
              <w14:schemeClr w14:val="tx1"/>
            </w14:solidFill>
          </w14:textFill>
        </w:rPr>
        <w:t xml:space="preserve">审查的情形和具体要求，包括</w:t>
      </w:r>
      <w:r>
        <w:rPr>
          <w:rFonts w:hint="eastAsia" w:ascii="宋体" w:hAnsi="宋体" w:eastAsia="宋体" w:cs="宋体"/>
          <w:b/>
          <w:bCs/>
          <w:color w:val="000000" w:themeColor="text1"/>
          <w:sz w:val="22"/>
          <w:u w:val="singl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eastAsia="zh-CN"/>
          <w14:textFill>
            <w14:solidFill>
              <w14:schemeClr w14:val="tx1"/>
            </w14:solidFill>
          </w14:textFill>
        </w:rPr>
        <w:t xml:space="preserve">（</w:t>
      </w:r>
      <w:r>
        <w:rPr>
          <w:rFonts w:hint="eastAsia" w:ascii="宋体" w:hAnsi="宋体" w:eastAsia="宋体" w:cs="宋体"/>
          <w:b/>
          <w:bCs/>
          <w:color w:val="000000" w:themeColor="text1"/>
          <w:sz w:val="22"/>
          <w:u w:val="single"/>
          <w:lang w:val="en-US" w:eastAsia="zh-CN"/>
          <w14:textFill>
            <w14:solidFill>
              <w14:schemeClr w14:val="tx1"/>
            </w14:solidFill>
          </w14:textFill>
        </w:rPr>
        <w:t xml:space="preserve">一</w:t>
      </w:r>
      <w:r>
        <w:rPr>
          <w:rFonts w:hint="eastAsia" w:ascii="宋体" w:hAnsi="宋体" w:eastAsia="宋体" w:cs="宋体"/>
          <w:b/>
          <w:bCs/>
          <w:color w:val="000000" w:themeColor="text1"/>
          <w:sz w:val="22"/>
          <w:u w:val="singl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bCs/>
          <w:color w:val="000000" w:themeColor="text1"/>
          <w:sz w:val="22"/>
          <w:u w:val="single"/>
          <w14:textFill>
            <w14:solidFill>
              <w14:schemeClr w14:val="tx1"/>
            </w14:solidFill>
          </w14:textFill>
        </w:rPr>
        <w:t xml:space="preserve">响应</w:t>
      </w:r>
      <w:r>
        <w:rPr>
          <w:rFonts w:hint="eastAsia" w:ascii="宋体" w:hAnsi="宋体" w:eastAsia="宋体" w:cs="宋体"/>
          <w:b/>
          <w:bCs/>
          <w:color w:val="000000" w:themeColor="text1"/>
          <w:sz w:val="22"/>
          <w:u w:val="singl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bCs/>
          <w:color w:val="000000" w:themeColor="text1"/>
          <w:sz w:val="22"/>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000000" w:themeColor="text1"/>
          <w:sz w:val="22"/>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u w:val="single"/>
          <w:lang w:val="en-US" w:eastAsia="zh-CN"/>
          <w14:textFill>
            <w14:solidFill>
              <w14:schemeClr w14:val="tx1"/>
            </w14:solidFill>
          </w14:textFill>
        </w:rPr>
        <w:t xml:space="preserve">50%</w:t>
      </w:r>
      <w:r>
        <w:rPr>
          <w:rFonts w:hint="eastAsia" w:cs="宋体"/>
          <w:b/>
          <w:bCs/>
          <w:color w:val="000000" w:themeColor="text1"/>
          <w:sz w:val="22"/>
          <w:u w:val="singl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000000" w:themeColor="text1"/>
          <w:sz w:val="22"/>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u w:val="single"/>
          <w:lang w:val="en-US" w:eastAsia="zh-CN"/>
          <w14:textFill>
            <w14:solidFill>
              <w14:schemeClr w14:val="tx1"/>
            </w14:solidFill>
          </w14:textFill>
        </w:rPr>
        <w:t xml:space="preserve">50%</w:t>
      </w:r>
      <w:r>
        <w:rPr>
          <w:rFonts w:hint="eastAsia" w:cs="宋体"/>
          <w:b/>
          <w:bCs/>
          <w:color w:val="000000" w:themeColor="text1"/>
          <w:sz w:val="22"/>
          <w:u w:val="singl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bCs/>
          <w:color w:val="000000" w:themeColor="text1"/>
          <w:sz w:val="22"/>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u w:val="single"/>
          <w:lang w:val="en-US" w:eastAsia="zh-CN"/>
          <w14:textFill>
            <w14:solidFill>
              <w14:schemeClr w14:val="tx1"/>
            </w14:solidFill>
          </w14:textFill>
        </w:rPr>
        <w:t xml:space="preserve">45%</w:t>
      </w:r>
      <w:r>
        <w:rPr>
          <w:rFonts w:hint="eastAsia" w:cs="宋体"/>
          <w:b/>
          <w:bCs/>
          <w:color w:val="000000" w:themeColor="text1"/>
          <w:sz w:val="22"/>
          <w:u w:val="singl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bCs/>
          <w:color w:val="000000" w:themeColor="text1"/>
          <w:sz w:val="22"/>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bCs/>
          <w:color w:val="000000" w:themeColor="text1"/>
          <w:sz w:val="22"/>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bCs/>
          <w:color w:val="000000" w:themeColor="text1"/>
          <w:sz w:val="22"/>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bCs/>
          <w:color w:val="000000" w:themeColor="text1"/>
          <w:sz w:val="22"/>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eastAsia="zh-CN"/>
          <w14:textFill>
            <w14:solidFill>
              <w14:schemeClr w14:val="tx1"/>
            </w14:solidFill>
          </w14:textFill>
        </w:rPr>
        <w:t xml:space="preserve">（</w:t>
      </w:r>
      <w:r>
        <w:rPr>
          <w:rFonts w:hint="eastAsia" w:ascii="宋体" w:hAnsi="宋体" w:eastAsia="宋体" w:cs="宋体"/>
          <w:b/>
          <w:bCs/>
          <w:color w:val="000000" w:themeColor="text1"/>
          <w:sz w:val="22"/>
          <w:u w:val="single"/>
          <w:lang w:val="en-US" w:eastAsia="zh-CN"/>
          <w14:textFill>
            <w14:solidFill>
              <w14:schemeClr w14:val="tx1"/>
            </w14:solidFill>
          </w14:textFill>
        </w:rPr>
        <w:t xml:space="preserve">二</w:t>
      </w:r>
      <w:r>
        <w:rPr>
          <w:rFonts w:hint="eastAsia" w:ascii="宋体" w:hAnsi="宋体" w:eastAsia="宋体" w:cs="宋体"/>
          <w:b/>
          <w:bCs/>
          <w:color w:val="000000" w:themeColor="text1"/>
          <w:sz w:val="22"/>
          <w:u w:val="singl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bCs/>
          <w:color w:val="000000" w:themeColor="text1"/>
          <w:sz w:val="22"/>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bCs/>
          <w:color w:val="000000" w:themeColor="text1"/>
          <w:sz w:val="22"/>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u w:val="singl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8" w:name="_Toc513029238"/>
      <w:r/>
      <w:bookmarkStart w:id="9" w:name="_Toc20823310"/>
      <w:r/>
      <w:bookmarkStart w:id="10" w:name="_Toc16938554"/>
      <w:r>
        <w:rPr>
          <w:rFonts w:hint="eastAsia" w:ascii="宋体" w:hAnsi="宋体" w:eastAsia="宋体" w:cs="宋体"/>
          <w:color w:val="000000"/>
          <w:sz w:val="22"/>
          <w:highlight w:val="none"/>
        </w:rPr>
        <w:t xml:space="preserve">1、</w:t>
      </w:r>
      <w:bookmarkEnd w:id="8"/>
      <w:r>
        <w:rPr>
          <w:rFonts w:hint="eastAsia" w:ascii="宋体" w:hAnsi="宋体" w:eastAsia="宋体" w:cs="宋体"/>
          <w:color w:val="000000"/>
          <w:sz w:val="22"/>
          <w:highlight w:val="none"/>
        </w:rPr>
        <w:t xml:space="preserve">确定</w:t>
      </w:r>
      <w:bookmarkEnd w:id="9"/>
      <w:r/>
      <w:bookmarkEnd w:id="10"/>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 30 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93"/>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93"/>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960"/>
          <w:rFonts w:hint="eastAsia" w:ascii="宋体" w:hAnsi="宋体" w:eastAsia="宋体" w:cs="宋体"/>
          <w:color w:val="auto"/>
          <w:sz w:val="24"/>
        </w:rPr>
      </w:pPr>
      <w:r>
        <w:rPr>
          <w:rStyle w:val="960"/>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1" w:name="_Toc351203481"/>
      <w:r>
        <w:rPr>
          <w:rFonts w:hint="eastAsia" w:ascii="宋体" w:hAnsi="宋体" w:eastAsia="宋体" w:cs="宋体"/>
          <w:b w:val="0"/>
          <w:sz w:val="21"/>
          <w:szCs w:val="21"/>
        </w:rPr>
        <w:t xml:space="preserve">一、工程概况</w:t>
      </w:r>
      <w:bookmarkEnd w:id="11"/>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2" w:name="_Toc351203482"/>
      <w:r>
        <w:rPr>
          <w:rFonts w:hint="eastAsia" w:ascii="宋体" w:hAnsi="宋体" w:eastAsia="宋体" w:cs="宋体"/>
          <w:b w:val="0"/>
          <w:sz w:val="21"/>
          <w:szCs w:val="21"/>
        </w:rPr>
        <w:t xml:space="preserve">二、合同工期</w:t>
      </w:r>
      <w:bookmarkEnd w:id="12"/>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cs="宋体"/>
          <w:szCs w:val="21"/>
          <w:lang w:eastAsia="zh-CN"/>
        </w:rPr>
        <w:t xml:space="preserve">（具体开工日期以</w:t>
      </w:r>
      <w:r>
        <w:rPr>
          <w:rFonts w:hint="eastAsia" w:cs="宋体"/>
          <w:szCs w:val="21"/>
          <w:lang w:val="en-US" w:eastAsia="zh-CN"/>
        </w:rPr>
        <w:t xml:space="preserve">发包人</w:t>
      </w:r>
      <w:r>
        <w:rPr>
          <w:rFonts w:hint="eastAsia" w:cs="宋体"/>
          <w:szCs w:val="21"/>
          <w:lang w:eastAsia="zh-CN"/>
        </w:rPr>
        <w:t xml:space="preserve">发出的书面通知（开工令）为准）</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3"/>
      <w:r>
        <w:rPr>
          <w:rFonts w:hint="eastAsia" w:ascii="宋体" w:hAnsi="宋体" w:eastAsia="宋体" w:cs="宋体"/>
          <w:b w:val="0"/>
          <w:sz w:val="21"/>
          <w:szCs w:val="21"/>
        </w:rPr>
        <w:t xml:space="preserve">三、质量标准</w:t>
      </w:r>
      <w:bookmarkEnd w:id="13"/>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Theme="minorEastAsia" w:hAnsiTheme="minorEastAsia" w:eastAsiaTheme="minorEastAsia"/>
          <w:color w:val="auto"/>
          <w:szCs w:val="30"/>
        </w:rPr>
        <w:t xml:space="preserve">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4" w:name="_Toc351203484"/>
      <w:r>
        <w:rPr>
          <w:rFonts w:hint="eastAsia" w:ascii="宋体" w:hAnsi="宋体" w:eastAsia="宋体" w:cs="宋体"/>
          <w:b w:val="0"/>
          <w:sz w:val="21"/>
          <w:szCs w:val="21"/>
        </w:rPr>
        <w:t xml:space="preserve">四、签约合同价与合同价格形式</w:t>
      </w:r>
      <w:bookmarkEnd w:id="14"/>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其中：</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（1）安全文明施工费：</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（2）材料和工程设备暂估价金额：</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（3）专业工程暂估价金额：</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（4）暂列金额：</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5" w:name="_Toc351203485"/>
      <w:r>
        <w:rPr>
          <w:rFonts w:hint="eastAsia" w:ascii="宋体" w:hAnsi="宋体" w:eastAsia="宋体" w:cs="宋体"/>
          <w:b w:val="0"/>
          <w:sz w:val="21"/>
          <w:szCs w:val="21"/>
        </w:rPr>
        <w:t xml:space="preserve">五、</w:t>
      </w:r>
      <w:bookmarkEnd w:id="15"/>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6" w:name="_Toc351203486"/>
      <w:r>
        <w:rPr>
          <w:rFonts w:hint="eastAsia" w:ascii="宋体" w:hAnsi="宋体" w:eastAsia="宋体" w:cs="宋体"/>
          <w:b w:val="0"/>
          <w:sz w:val="21"/>
          <w:szCs w:val="21"/>
        </w:rPr>
        <w:t xml:space="preserve">六、合同文件构成</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7" w:name="_Toc351203487"/>
      <w:r>
        <w:rPr>
          <w:rFonts w:hint="eastAsia" w:ascii="宋体" w:hAnsi="宋体" w:eastAsia="宋体" w:cs="宋体"/>
          <w:b w:val="0"/>
          <w:sz w:val="21"/>
          <w:szCs w:val="21"/>
        </w:rPr>
        <w:t xml:space="preserve">七、承诺</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8" w:name="_Toc351203488"/>
      <w:r>
        <w:rPr>
          <w:rFonts w:hint="eastAsia" w:ascii="宋体" w:hAnsi="宋体" w:eastAsia="宋体" w:cs="宋体"/>
          <w:szCs w:val="21"/>
        </w:rPr>
        <w:t xml:space="preserve">八、词语含义</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89"/>
      <w:r>
        <w:rPr>
          <w:rFonts w:hint="eastAsia" w:ascii="宋体" w:hAnsi="宋体" w:eastAsia="宋体" w:cs="宋体"/>
          <w:b w:val="0"/>
          <w:sz w:val="21"/>
          <w:szCs w:val="21"/>
        </w:rPr>
        <w:t xml:space="preserve">九、签订时间</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0"/>
      <w:r>
        <w:rPr>
          <w:rFonts w:hint="eastAsia" w:ascii="宋体" w:hAnsi="宋体" w:eastAsia="宋体" w:cs="宋体"/>
          <w:b w:val="0"/>
          <w:sz w:val="21"/>
          <w:szCs w:val="21"/>
        </w:rPr>
        <w:t xml:space="preserve">十、签订地点</w:t>
      </w:r>
      <w:bookmarkEnd w:id="20"/>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1"/>
      <w:r>
        <w:rPr>
          <w:rFonts w:hint="eastAsia" w:ascii="宋体" w:hAnsi="宋体" w:eastAsia="宋体" w:cs="宋体"/>
          <w:b w:val="0"/>
          <w:sz w:val="21"/>
          <w:szCs w:val="21"/>
        </w:rPr>
        <w:t xml:space="preserve">十一、补充协议</w:t>
      </w:r>
      <w:bookmarkEnd w:id="21"/>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2"/>
      <w:r>
        <w:rPr>
          <w:rFonts w:hint="eastAsia" w:ascii="宋体" w:hAnsi="宋体" w:eastAsia="宋体" w:cs="宋体"/>
          <w:b w:val="0"/>
          <w:sz w:val="21"/>
          <w:szCs w:val="21"/>
        </w:rPr>
        <w:t xml:space="preserve">十二、合同生效</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738"/>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3" w:name="_Toc351203493"/>
      <w:r>
        <w:rPr>
          <w:rFonts w:hint="eastAsia" w:ascii="宋体" w:hAnsi="宋体" w:eastAsia="宋体" w:cs="宋体"/>
          <w:b w:val="0"/>
          <w:sz w:val="21"/>
          <w:szCs w:val="21"/>
        </w:rPr>
        <w:t xml:space="preserve">十三、合同份数</w:t>
      </w:r>
      <w:bookmarkEnd w:id="23"/>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960"/>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960"/>
          <w:rFonts w:hint="eastAsia" w:ascii="宋体" w:hAnsi="宋体" w:eastAsia="宋体" w:cs="宋体"/>
          <w:color w:val="auto"/>
          <w:sz w:val="21"/>
          <w:szCs w:val="21"/>
        </w:rPr>
        <w:t xml:space="preserve">  </w:t>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92"/>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960"/>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960"/>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60"/>
          <w:rFonts w:hint="eastAsia" w:ascii="宋体" w:hAnsi="宋体" w:eastAsia="宋体" w:cs="宋体"/>
          <w:b/>
          <w:color w:val="auto"/>
          <w:sz w:val="21"/>
          <w:szCs w:val="21"/>
        </w:rPr>
      </w:pPr>
      <w:r>
        <w:rPr>
          <w:rStyle w:val="960"/>
          <w:rFonts w:hint="eastAsia" w:ascii="宋体" w:hAnsi="宋体" w:eastAsia="宋体" w:cs="宋体"/>
          <w:b/>
          <w:color w:val="auto"/>
          <w:sz w:val="21"/>
          <w:szCs w:val="21"/>
        </w:rPr>
        <w:br w:type="page" w:clear="all"/>
      </w:r>
      <w:r/>
    </w:p>
    <w:p>
      <w:pPr>
        <w:jc w:val="center"/>
        <w:spacing w:line="460" w:lineRule="exact"/>
        <w:rPr>
          <w:rStyle w:val="960"/>
          <w:rFonts w:hint="eastAsia" w:ascii="宋体" w:hAnsi="宋体" w:eastAsia="宋体" w:cs="宋体"/>
          <w:b/>
          <w:color w:val="auto"/>
          <w:sz w:val="21"/>
          <w:szCs w:val="21"/>
        </w:rPr>
      </w:pPr>
      <w:r>
        <w:rPr>
          <w:rStyle w:val="960"/>
          <w:rFonts w:hint="eastAsia" w:ascii="宋体" w:hAnsi="宋体" w:eastAsia="宋体" w:cs="宋体"/>
          <w:b/>
          <w:color w:val="auto"/>
          <w:sz w:val="28"/>
          <w:szCs w:val="28"/>
        </w:rPr>
        <w:t xml:space="preserve">第三部分 专用合同条款</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3"/>
      <w:r>
        <w:rPr>
          <w:rFonts w:hint="eastAsia" w:ascii="宋体" w:hAnsi="宋体" w:cs="宋体"/>
          <w:b w:val="0"/>
          <w:szCs w:val="32"/>
          <w:highlight w:val="none"/>
          <w:shd w:val="clear" w:color="auto" w:fill="auto"/>
        </w:rPr>
        <w:t xml:space="preserve">1. 一般约定</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5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750"/>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75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40"/>
        <w:jc w:val="left"/>
        <w:pageBreakBefore w:val="0"/>
        <w:spacing w:line="360" w:lineRule="auto"/>
        <w:widowControl/>
        <w:tabs>
          <w:tab w:val="left" w:pos="3300" w:leader="none"/>
        </w:tabs>
        <w:rPr>
          <w:highlight w:val="none"/>
          <w:shd w:val="clear" w:color="auto" w:fill="auto"/>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ascii="宋体" w:hAnsi="宋体" w:cs="宋体"/>
          <w:color w:val="auto"/>
          <w:szCs w:val="21"/>
          <w:highlight w:val="none"/>
          <w:shd w:val="clear" w:color="auto" w:fill="auto"/>
          <w:lang w:bidi="ar"/>
        </w:rPr>
        <w:t xml:space="preserve">安全文明施工费应按照实际发生变化的措施项目执行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1.13.2 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 </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4"/>
      <w:r>
        <w:rPr>
          <w:rFonts w:hint="eastAsia" w:ascii="宋体" w:hAnsi="宋体" w:cs="宋体"/>
          <w:b w:val="0"/>
          <w:szCs w:val="32"/>
          <w:highlight w:val="none"/>
          <w:shd w:val="clear" w:color="auto" w:fill="auto"/>
        </w:rPr>
        <w:t xml:space="preserve">2. 发包人</w:t>
      </w:r>
      <w:bookmarkEnd w:id="25"/>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50"/>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5"/>
      <w:r>
        <w:rPr>
          <w:rFonts w:hint="eastAsia" w:ascii="宋体" w:hAnsi="宋体" w:cs="宋体"/>
          <w:b w:val="0"/>
          <w:szCs w:val="32"/>
          <w:highlight w:val="none"/>
          <w:shd w:val="clear" w:color="auto" w:fill="auto"/>
        </w:rPr>
        <w:t xml:space="preserve">3. 承包人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 xml:space="preserve">。</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w:t>
      </w:r>
      <w:r>
        <w:rPr>
          <w:rFonts w:hint="eastAsia" w:ascii="宋体" w:hAnsi="宋体" w:cs="宋体"/>
          <w:szCs w:val="32"/>
          <w:highlight w:val="none"/>
          <w:shd w:val="clear" w:color="auto" w:fill="auto"/>
        </w:rPr>
        <w:t xml:space="preserve">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w:t>
      </w:r>
      <w:r>
        <w:rPr>
          <w:rFonts w:hint="eastAsia" w:ascii="宋体" w:hAnsi="宋体" w:cs="宋体"/>
          <w:szCs w:val="32"/>
          <w:highlight w:val="none"/>
          <w:shd w:val="clear" w:color="auto" w:fill="auto"/>
        </w:rPr>
        <w:t xml:space="preserve">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w:t>
      </w:r>
      <w:r>
        <w:rPr>
          <w:rFonts w:hint="eastAsia" w:ascii="宋体" w:hAnsi="宋体" w:cs="宋体"/>
          <w:szCs w:val="32"/>
          <w:highlight w:val="none"/>
          <w:shd w:val="clear" w:color="auto" w:fill="auto"/>
        </w:rPr>
        <w:t xml:space="preserve">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750"/>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宋体" w:hAnsi="宋体" w:cs="宋体"/>
          <w:b w:val="0"/>
          <w:bCs/>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750"/>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否</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50"/>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750"/>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val="0"/>
          <w:bCs w:val="0"/>
          <w:color w:val="auto"/>
          <w:sz w:val="21"/>
          <w:szCs w:val="21"/>
          <w:u w:val="single"/>
        </w:rPr>
        <w:t xml:space="preserve"> </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bookmarkStart w:id="27" w:name="_Toc351203636"/>
      <w:r>
        <w:rPr>
          <w:rFonts w:hint="eastAsia" w:ascii="宋体" w:hAnsi="宋体" w:cs="宋体"/>
          <w:b w:val="0"/>
          <w:szCs w:val="32"/>
          <w:highlight w:val="none"/>
          <w:shd w:val="clear" w:color="auto" w:fill="auto"/>
        </w:rPr>
        <w:t xml:space="preserve">4. 监理人</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8"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cs="宋体"/>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9"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关于安全文明施工费支付比例和支付期限的约定：</w:t>
      </w:r>
      <w:r>
        <w:rPr>
          <w:rFonts w:hint="eastAsia" w:asciiTheme="minorEastAsia" w:hAnsiTheme="minorEastAsia" w:eastAsiaTheme="minorEastAsia"/>
          <w:b w:val="0"/>
          <w:bCs/>
          <w:color w:val="auto"/>
          <w:szCs w:val="21"/>
          <w:u w:val="single"/>
        </w:rPr>
        <w:t xml:space="preserve">现场安全文明施工措施费按照连建管【2025】40号文执行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30" w:name="_Toc351203639"/>
      <w:r>
        <w:rPr>
          <w:rFonts w:hint="eastAsia" w:ascii="宋体" w:hAnsi="宋体" w:eastAsia="宋体" w:cs="宋体"/>
          <w:sz w:val="32"/>
          <w:szCs w:val="32"/>
          <w:highlight w:val="none"/>
          <w:shd w:val="clear" w:color="auto" w:fill="auto"/>
        </w:rPr>
        <w:t xml:space="preserve">7.工期和进度</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1" w:name="_Toc351203640"/>
      <w:r>
        <w:rPr>
          <w:rFonts w:hint="eastAsia" w:ascii="宋体" w:hAnsi="宋体" w:eastAsia="宋体" w:cs="宋体"/>
          <w:sz w:val="32"/>
          <w:szCs w:val="32"/>
          <w:highlight w:val="none"/>
          <w:shd w:val="clear" w:color="auto" w:fill="auto"/>
        </w:rPr>
        <w:t xml:space="preserve">8.材料与设备</w:t>
      </w:r>
      <w:bookmarkEnd w:id="31"/>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2" w:name="_Toc296346674"/>
      <w:r/>
      <w:bookmarkStart w:id="33" w:name="_Toc267251428"/>
      <w:r/>
      <w:bookmarkStart w:id="34" w:name="_Toc267251427"/>
      <w:r/>
      <w:bookmarkStart w:id="35" w:name="_Toc296891213"/>
      <w:r/>
      <w:bookmarkStart w:id="36" w:name="_Toc297120473"/>
      <w:r/>
      <w:bookmarkStart w:id="37" w:name="_Toc296503173"/>
      <w:r/>
      <w:bookmarkStart w:id="38" w:name="_Toc297048359"/>
      <w:r/>
      <w:bookmarkStart w:id="39" w:name="_Toc296891001"/>
      <w:r/>
      <w:bookmarkStart w:id="40" w:name="_Toc296347172"/>
      <w:r/>
      <w:bookmarkStart w:id="41" w:name="_Toc296944512"/>
      <w:r/>
      <w:bookmarkStart w:id="42" w:name="_Toc292559378"/>
      <w:r/>
      <w:bookmarkStart w:id="43" w:name="_Toc292559883"/>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4" w:name="_Toc312678022"/>
      <w:r/>
      <w:bookmarkStart w:id="45" w:name="_Toc312677496"/>
      <w:r/>
      <w:bookmarkStart w:id="46" w:name="_Toc297216193"/>
      <w:r/>
      <w:bookmarkStart w:id="47" w:name="_Toc304295560"/>
      <w:r/>
      <w:bookmarkStart w:id="48" w:name="_Toc297123534"/>
      <w:r/>
      <w:bookmarkStart w:id="49" w:name="_Toc303539140"/>
      <w:r/>
      <w:bookmarkStart w:id="50" w:name="_Toc300934983"/>
      <w:r>
        <w:rPr>
          <w:rFonts w:hint="eastAsia" w:ascii="宋体" w:hAnsi="宋体" w:cs="宋体"/>
          <w:szCs w:val="21"/>
          <w:highlight w:val="none"/>
          <w:shd w:val="clear" w:color="auto" w:fill="auto"/>
        </w:rPr>
        <w:t xml:space="preserve">.1试验设备与试验人员</w:t>
      </w:r>
      <w:bookmarkEnd w:id="44"/>
      <w:bookmarkEnd w:id="45"/>
      <w:bookmarkEnd w:id="46"/>
      <w:bookmarkEnd w:id="47"/>
      <w:bookmarkEnd w:id="48"/>
      <w:bookmarkEnd w:id="49"/>
      <w:bookmarkEnd w:id="50"/>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1" w:name="_Toc300934984"/>
      <w:r/>
      <w:bookmarkStart w:id="52" w:name="_Toc312678023"/>
      <w:r/>
      <w:bookmarkStart w:id="53" w:name="_Toc297123535"/>
      <w:r/>
      <w:bookmarkStart w:id="54" w:name="_Toc303539141"/>
      <w:r/>
      <w:bookmarkStart w:id="55" w:name="_Toc312677497"/>
      <w:r/>
      <w:bookmarkStart w:id="56" w:name="_Toc297216194"/>
      <w:r/>
      <w:bookmarkStart w:id="57" w:name="_Toc304295561"/>
      <w:r/>
      <w:bookmarkStart w:id="58"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1"/>
      <w:r/>
      <w:bookmarkEnd w:id="52"/>
      <w:r/>
      <w:bookmarkEnd w:id="53"/>
      <w:r/>
      <w:bookmarkEnd w:id="54"/>
      <w:r/>
      <w:bookmarkEnd w:id="55"/>
      <w:r/>
      <w:bookmarkEnd w:id="56"/>
      <w:r/>
      <w:bookmarkEnd w:id="57"/>
      <w:r/>
      <w:bookmarkStart w:id="59" w:name="_Toc304295562"/>
      <w:r/>
      <w:bookmarkStart w:id="60" w:name="_Toc297216195"/>
      <w:r/>
      <w:bookmarkStart w:id="61" w:name="_Toc297123536"/>
      <w:r/>
      <w:bookmarkStart w:id="62" w:name="_Toc300934985"/>
      <w:r/>
      <w:bookmarkStart w:id="63" w:name="_Toc312678024"/>
      <w:r/>
      <w:bookmarkStart w:id="64" w:name="_Toc312677498"/>
      <w:r/>
      <w:bookmarkStart w:id="65" w:name="_Toc303539142"/>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8"/>
      <w:bookmarkEnd w:id="59"/>
      <w:bookmarkEnd w:id="60"/>
      <w:bookmarkEnd w:id="61"/>
      <w:bookmarkEnd w:id="62"/>
      <w:bookmarkEnd w:id="63"/>
      <w:bookmarkEnd w:id="64"/>
      <w:bookmarkEnd w:id="65"/>
      <w:r/>
    </w:p>
    <w:p>
      <w:pPr>
        <w:ind w:left="0" w:right="0"/>
        <w:pageBreakBefore w:val="0"/>
        <w:spacing w:line="360" w:lineRule="auto"/>
        <w:rPr>
          <w:rFonts w:hint="eastAsia" w:ascii="宋体" w:hAnsi="宋体" w:cs="宋体"/>
          <w:sz w:val="24"/>
          <w:highlight w:val="none"/>
          <w:shd w:val="clear" w:color="auto" w:fill="auto"/>
        </w:rPr>
      </w:pPr>
      <w:r/>
      <w:bookmarkStart w:id="66" w:name="_Toc351203642"/>
      <w:r>
        <w:rPr>
          <w:rFonts w:hint="eastAsia" w:ascii="宋体" w:hAnsi="宋体" w:eastAsia="宋体" w:cs="宋体"/>
          <w:sz w:val="32"/>
          <w:szCs w:val="32"/>
          <w:highlight w:val="none"/>
          <w:shd w:val="clear" w:color="auto" w:fill="auto"/>
        </w:rPr>
        <w:t xml:space="preserve">1</w:t>
      </w:r>
      <w:bookmarkEnd w:id="32"/>
      <w:r/>
      <w:bookmarkEnd w:id="33"/>
      <w:r/>
      <w:bookmarkEnd w:id="34"/>
      <w:r/>
      <w:bookmarkEnd w:id="35"/>
      <w:r/>
      <w:bookmarkEnd w:id="36"/>
      <w:r/>
      <w:bookmarkEnd w:id="37"/>
      <w:r/>
      <w:bookmarkEnd w:id="38"/>
      <w:r/>
      <w:bookmarkEnd w:id="39"/>
      <w:r/>
      <w:bookmarkEnd w:id="40"/>
      <w:r/>
      <w:bookmarkEnd w:id="41"/>
      <w:r/>
      <w:bookmarkEnd w:id="42"/>
      <w:r/>
      <w:bookmarkEnd w:id="43"/>
      <w:r>
        <w:rPr>
          <w:rFonts w:hint="eastAsia" w:ascii="宋体" w:hAnsi="宋体" w:eastAsia="宋体" w:cs="宋体"/>
          <w:sz w:val="32"/>
          <w:szCs w:val="32"/>
          <w:highlight w:val="none"/>
          <w:shd w:val="clear" w:color="auto" w:fill="auto"/>
        </w:rPr>
        <w:t xml:space="preserve">0.变更</w:t>
      </w:r>
      <w:bookmarkEnd w:id="66"/>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  暂列金额应按照发包人的要求使用 </w:t>
      </w:r>
      <w:r>
        <w:rPr>
          <w:rFonts w:hint="eastAsia" w:ascii="宋体" w:hAnsi="宋体" w:cs="宋体"/>
          <w:szCs w:val="21"/>
          <w:highlight w:val="none"/>
          <w:shd w:val="clear" w:color="auto" w:fill="auto"/>
        </w:rPr>
        <w:t xml:space="preserve">。</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ascii="宋体" w:hAnsi="宋体"/>
          <w:color w:val="auto"/>
          <w:sz w:val="24"/>
          <w:highlight w:val="none"/>
          <w:u w:val="single"/>
          <w:shd w:val="clear" w:color="auto" w:fill="auto"/>
        </w:rPr>
        <w:t xml:space="preserve"> </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bookmarkStart w:id="67"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ascii="宋体" w:hAnsi="宋体" w:cs="宋体"/>
          <w:szCs w:val="21"/>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ascii="宋体" w:hAnsi="宋体" w:cs="宋体"/>
          <w:szCs w:val="32"/>
          <w:highlight w:val="none"/>
          <w:u w:val="single"/>
          <w:shd w:val="clear" w:color="auto" w:fill="auto"/>
        </w:rPr>
        <w:t xml:space="preserve"> </w:t>
      </w:r>
      <w:r>
        <w:rPr>
          <w:rFonts w:hint="eastAsia" w:cs="宋体"/>
          <w:b/>
          <w:bCs/>
          <w:szCs w:val="32"/>
          <w:highlight w:val="none"/>
          <w:u w:val="single"/>
          <w:shd w:val="clear" w:color="auto" w:fill="auto"/>
          <w:lang w:val="en-US" w:eastAsia="zh-CN"/>
        </w:rPr>
        <w:t xml:space="preserve">发包人支付预付款7天前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工程量计算规则执行国家标准、现行计价定额及相关图集；承包人实际完成的工程量按约定的工程量计算规则和有合同约束力的图纸进行计量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w:t>
      </w:r>
      <w:r>
        <w:rPr>
          <w:rFonts w:hint="eastAsia" w:ascii="宋体" w:hAnsi="宋体" w:cs="宋体"/>
          <w:szCs w:val="32"/>
          <w:highlight w:val="none"/>
          <w:shd w:val="clear" w:color="auto" w:fill="auto"/>
        </w:rPr>
        <w:t xml:space="preserve">12.3.4 </w:t>
      </w:r>
      <w:r>
        <w:rPr>
          <w:rFonts w:hint="eastAsia" w:ascii="宋体" w:hAnsi="宋体" w:cs="宋体"/>
          <w:szCs w:val="32"/>
          <w:highlight w:val="none"/>
          <w:shd w:val="clear" w:color="auto" w:fill="auto"/>
        </w:rPr>
        <w:t xml:space="preserve">项</w:t>
      </w:r>
      <w:r>
        <w:rPr>
          <w:rFonts w:hint="eastAsia" w:ascii="宋体" w:hAnsi="宋体" w:cs="宋体"/>
          <w:szCs w:val="32"/>
          <w:highlight w:val="none"/>
          <w:shd w:val="clear" w:color="auto" w:fill="auto"/>
        </w:rPr>
        <w:t xml:space="preserve">〔总价合同的计量〕</w:t>
      </w:r>
      <w:r>
        <w:rPr>
          <w:rFonts w:hint="eastAsia" w:ascii="宋体" w:hAnsi="宋体" w:cs="宋体"/>
          <w:szCs w:val="32"/>
          <w:highlight w:val="none"/>
          <w:shd w:val="clear" w:color="auto" w:fill="auto"/>
        </w:rPr>
        <w:t xml:space="preserve">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b/>
          <w:color w:val="auto"/>
          <w:szCs w:val="32"/>
          <w:highlight w:val="yellow"/>
          <w:u w:val="none"/>
          <w:lang w:val="en-US" w:eastAsia="zh-CN"/>
        </w:rPr>
        <w:t xml:space="preserve">合同签订并进场后7个工作日内，</w:t>
      </w:r>
      <w:r>
        <w:rPr>
          <w:rFonts w:hint="eastAsia" w:cs="宋体"/>
          <w:b/>
          <w:bCs/>
          <w:color w:val="auto"/>
          <w:szCs w:val="21"/>
          <w:highlight w:val="yellow"/>
          <w:lang w:val="en-US" w:eastAsia="zh-CN"/>
        </w:rPr>
        <w:t xml:space="preserve">甲方支付合同金额的10%作为预付款，</w:t>
      </w:r>
      <w:r>
        <w:rPr>
          <w:rFonts w:hint="eastAsia" w:ascii="宋体" w:hAnsi="宋体"/>
          <w:b/>
          <w:color w:val="auto"/>
          <w:sz w:val="21"/>
          <w:szCs w:val="21"/>
          <w:highlight w:val="yellow"/>
          <w:u w:val="none"/>
          <w:lang w:val="en-US" w:eastAsia="zh-CN"/>
        </w:rPr>
        <w:t xml:space="preserve">工程完工</w:t>
      </w:r>
      <w:r>
        <w:rPr>
          <w:rFonts w:hint="eastAsia"/>
          <w:b/>
          <w:color w:val="auto"/>
          <w:sz w:val="21"/>
          <w:szCs w:val="21"/>
          <w:highlight w:val="yellow"/>
          <w:u w:val="none"/>
          <w:lang w:val="en-US" w:eastAsia="zh-CN"/>
        </w:rPr>
        <w:t xml:space="preserve">并</w:t>
      </w:r>
      <w:r>
        <w:rPr>
          <w:rFonts w:hint="eastAsia" w:ascii="宋体" w:hAnsi="宋体"/>
          <w:b/>
          <w:color w:val="auto"/>
          <w:sz w:val="21"/>
          <w:szCs w:val="21"/>
          <w:highlight w:val="yellow"/>
          <w:u w:val="none"/>
          <w:lang w:val="en-US" w:eastAsia="zh-CN"/>
        </w:rPr>
        <w:t xml:space="preserve">验收合格后付至已完合格工程量价款的80%，审计完成后付至审定价的97%；留3%质保金，待缺陷责任期满后支付到审计价款的100%</w:t>
      </w:r>
      <w:r>
        <w:rPr>
          <w:rFonts w:hint="eastAsia"/>
          <w:b/>
          <w:color w:val="auto"/>
          <w:sz w:val="21"/>
          <w:szCs w:val="21"/>
          <w:highlight w:val="yellow"/>
          <w:u w:val="none"/>
          <w:lang w:val="en-US" w:eastAsia="zh-CN"/>
        </w:rPr>
        <w:t xml:space="preserve">（无息）</w:t>
      </w:r>
      <w:r>
        <w:rPr>
          <w:rFonts w:hint="eastAsia" w:ascii="宋体" w:hAnsi="宋体"/>
          <w:b/>
          <w:color w:val="auto"/>
          <w:szCs w:val="32"/>
          <w:highlight w:val="none"/>
          <w:u w:val="none"/>
          <w:lang w:eastAsia="zh-CN"/>
        </w:rPr>
        <w:t xml:space="preserve">。</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775"/>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8" w:name="_Toc351203645"/>
      <w:r/>
      <w:bookmarkStart w:id="69"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w:t>
      </w:r>
      <w:r>
        <w:rPr>
          <w:rFonts w:hint="eastAsia" w:ascii="宋体" w:hAnsi="宋体" w:eastAsia="宋体" w:cs="宋体"/>
          <w:szCs w:val="32"/>
          <w:highlight w:val="none"/>
          <w:shd w:val="clear" w:color="auto" w:fill="auto"/>
          <w:lang w:val="en-US" w:eastAsia="zh-CN"/>
        </w:rPr>
        <w:t xml:space="preserve">  </w:t>
      </w:r>
      <w:r>
        <w:rPr>
          <w:rFonts w:hint="eastAsia" w:ascii="宋体" w:hAnsi="宋体" w:eastAsia="宋体" w:cs="宋体"/>
          <w:szCs w:val="32"/>
          <w:highlight w:val="none"/>
          <w:shd w:val="clear" w:color="auto" w:fill="auto"/>
        </w:rPr>
        <w:t xml:space="preserve">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70"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7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9"/>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738"/>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1"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1"/>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2"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 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 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 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2"/>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 </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738"/>
        <w:ind w:left="0" w:right="0"/>
        <w:jc w:val="both"/>
        <w:pageBreakBefore w:val="0"/>
        <w:spacing w:before="0" w:after="0" w:line="360" w:lineRule="auto"/>
        <w:rPr>
          <w:rFonts w:hint="eastAsia" w:ascii="宋体" w:hAnsi="宋体" w:cs="宋体"/>
          <w:b w:val="0"/>
          <w:szCs w:val="32"/>
          <w:highlight w:val="none"/>
          <w:shd w:val="clear" w:color="auto" w:fill="auto"/>
        </w:rPr>
      </w:pPr>
      <w:r/>
      <w:bookmarkStart w:id="73"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3"/>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rPr>
        <w:t xml:space="preserve">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4"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4"/>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rPr>
        <w:t xml:space="preserve">为防止承包人高估冒算，承包人送审结算核减率应小于5%（含5%），该部分的审计费用由发包人支付，若承包人送审结算核减率大于 5%，则超过部分的</w:t>
      </w:r>
      <w:r>
        <w:rPr>
          <w:rFonts w:hint="eastAsia" w:asciiTheme="minorEastAsia" w:hAnsiTheme="minorEastAsia" w:eastAsiaTheme="minorEastAsia"/>
          <w:b/>
          <w:color w:val="auto"/>
          <w:szCs w:val="21"/>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960"/>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960"/>
          <w:rFonts w:hint="eastAsia" w:ascii="宋体" w:hAnsi="宋体" w:eastAsia="宋体" w:cs="宋体"/>
          <w:b/>
          <w:color w:val="auto"/>
          <w:sz w:val="24"/>
          <w:szCs w:val="24"/>
        </w:rPr>
      </w:pPr>
      <w:r>
        <w:rPr>
          <w:rStyle w:val="960"/>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752"/>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745"/>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5" w:name="_Toc296347224"/>
      <w:r/>
      <w:bookmarkStart w:id="76" w:name="_Toc296944564"/>
      <w:r/>
      <w:bookmarkStart w:id="77" w:name="_Toc296891265"/>
      <w:r/>
      <w:bookmarkStart w:id="78" w:name="_Toc296503225"/>
      <w:r/>
      <w:bookmarkStart w:id="79" w:name="_Toc296346726"/>
      <w:r/>
      <w:bookmarkStart w:id="80" w:name="_Toc296891053"/>
      <w:r/>
      <w:bookmarkStart w:id="81" w:name="_Toc267261692"/>
      <w:r>
        <w:rPr>
          <w:rFonts w:hint="eastAsia" w:ascii="宋体" w:hAnsi="宋体" w:eastAsia="宋体" w:cs="宋体"/>
          <w:sz w:val="30"/>
          <w:szCs w:val="30"/>
          <w:highlight w:val="none"/>
          <w:shd w:val="clear" w:color="auto" w:fill="auto"/>
        </w:rPr>
        <w:t xml:space="preserve">件2：</w:t>
      </w:r>
      <w:bookmarkEnd w:id="75"/>
      <w:bookmarkEnd w:id="76"/>
      <w:bookmarkEnd w:id="77"/>
      <w:bookmarkEnd w:id="78"/>
      <w:bookmarkEnd w:id="79"/>
      <w:bookmarkEnd w:id="80"/>
      <w:bookmarkEnd w:id="81"/>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5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2" w:name="_Toc296891268"/>
      <w:r/>
      <w:bookmarkStart w:id="83" w:name="_Toc296503228"/>
      <w:r/>
      <w:bookmarkStart w:id="84" w:name="_Toc296944567"/>
      <w:r/>
      <w:bookmarkStart w:id="85" w:name="_Toc296347227"/>
      <w:r/>
      <w:bookmarkStart w:id="86" w:name="_Toc296346729"/>
      <w:r/>
      <w:bookmarkStart w:id="87" w:name="_Toc296891056"/>
      <w:r/>
      <w:bookmarkStart w:id="88" w:name="_Toc267261699"/>
      <w:r>
        <w:rPr>
          <w:rFonts w:hint="eastAsia" w:ascii="宋体" w:hAnsi="宋体" w:eastAsia="宋体" w:cs="宋体"/>
          <w:sz w:val="30"/>
          <w:szCs w:val="30"/>
          <w:highlight w:val="none"/>
          <w:shd w:val="clear" w:color="auto" w:fill="auto"/>
        </w:rPr>
        <w:t xml:space="preserve">件4：</w:t>
      </w:r>
      <w:bookmarkEnd w:id="82"/>
      <w:bookmarkEnd w:id="83"/>
      <w:bookmarkEnd w:id="84"/>
      <w:bookmarkEnd w:id="85"/>
      <w:bookmarkEnd w:id="86"/>
      <w:bookmarkEnd w:id="87"/>
      <w:bookmarkEnd w:id="88"/>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75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 《建设工程安全管理条例》；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970"/>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5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960"/>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7"/>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7"/>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7"/>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cs="宋体" w:asciiTheme="majorEastAsia" w:hAnsiTheme="majorEastAsia" w:eastAsiaTheme="majorEastAsia"/>
          <w:color w:val="auto"/>
          <w:sz w:val="24"/>
          <w:highlight w:val="none"/>
          <w:lang w:bidi="ar"/>
        </w:rPr>
        <w:t xml:space="preserve">预算定额</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val="en-US" w:eastAsia="zh-CN" w:bidi="ar"/>
        </w:rPr>
        <w:t xml:space="preserve">赣榆区塔山镇枣行村、前进村。</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塔山镇2026年村组道路户户通建设项目</w:t>
      </w:r>
      <w:r>
        <w:rPr>
          <w:rFonts w:hint="eastAsia" w:ascii="宋体" w:hAnsi="宋体" w:eastAsia="宋体" w:cs="宋体"/>
          <w:sz w:val="24"/>
          <w:highlight w:val="none"/>
          <w:lang w:val="en-US" w:eastAsia="zh-CN" w:bidi="ar"/>
        </w:rPr>
        <w:t xml:space="preserve">，具体详见工程量清单。</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30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本项目不收取履约保证金。</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ascii="宋体" w:hAnsi="宋体"/>
          <w:b/>
          <w:color w:val="auto"/>
          <w:sz w:val="24"/>
          <w:szCs w:val="24"/>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2"/>
          <w:highlight w:val="none"/>
        </w:rPr>
        <w:t xml:space="preserve">  </w:t>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5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5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br w:type="page" w:clear="all"/>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7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793"/>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6"/>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93"/>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0"/>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92"/>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793"/>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9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777"/>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75"/>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75"/>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4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93"/>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793"/>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56"/>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1、总体概述</w:t>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Theme="minorEastAsia" w:hAnsiTheme="minorEastAsia" w:eastAsiaTheme="minorEastAsia" w:cstheme="minorEastAsia"/>
          <w:color w:val="000000"/>
          <w:sz w:val="21"/>
          <w:szCs w:val="21"/>
          <w:highlight w:val="none"/>
          <w:lang w:val="en-US" w:eastAsia="zh-CN" w:bidi="ar"/>
        </w:rPr>
        <w:t xml:space="preserve">施工现场平面布置和临时设施、临时道路布置</w:t>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关键施工技术、工艺及工程项目实施的重点、难点和解决方案</w:t>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cs="宋体"/>
          <w:szCs w:val="21"/>
          <w:highlight w:val="none"/>
        </w:rPr>
        <w:t xml:space="preserve">工程的施工方案及质量保证措施</w:t>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安全文明施工及环境保护措施</w:t>
      </w:r>
      <w:r/>
    </w:p>
    <w:p>
      <w:pPr>
        <w:pStyle w:val="756"/>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cs="宋体"/>
          <w:szCs w:val="21"/>
          <w:highlight w:val="none"/>
        </w:rPr>
        <w:t xml:space="preserve">冬雨季施工、已有设施、管线的加固、保护等特殊情况下的施工措施</w:t>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4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45"/>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56"/>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756"/>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756"/>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793"/>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793"/>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3"/>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93"/>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rPr>
          <w:rFonts w:hint="eastAsia" w:ascii="宋体" w:hAnsi="宋体" w:eastAsia="宋体" w:cs="宋体"/>
          <w:highlight w:val="none"/>
        </w:rPr>
      </w:pPr>
      <w:r>
        <w:rPr>
          <w:rFonts w:hint="eastAsia" w:ascii="宋体" w:hAnsi="宋体" w:eastAsia="宋体" w:cs="宋体"/>
          <w:highlight w:val="none"/>
        </w:rPr>
      </w:r>
      <w:r/>
    </w:p>
    <w:p>
      <w:pPr>
        <w:pStyle w:val="737"/>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36"/>
        <w:ind w:left="0" w:firstLine="0"/>
        <w:jc w:val="center"/>
        <w:spacing w:before="0" w:line="288" w:lineRule="auto"/>
        <w:rPr>
          <w:rFonts w:hint="eastAsia" w:ascii="宋体" w:hAnsi="宋体" w:eastAsia="宋体" w:cs="宋体"/>
          <w:highlight w:val="none"/>
        </w:rPr>
      </w:pPr>
      <w:r/>
      <w:bookmarkStart w:id="89" w:name="_Toc7552"/>
      <w:r/>
      <w:bookmarkStart w:id="90" w:name="_Toc11060"/>
      <w:r>
        <w:rPr>
          <w:rFonts w:hint="eastAsia" w:ascii="宋体" w:hAnsi="宋体" w:eastAsia="宋体" w:cs="宋体"/>
          <w:highlight w:val="none"/>
        </w:rPr>
        <w:t xml:space="preserve">评标办法前附表</w:t>
      </w:r>
      <w:bookmarkEnd w:id="89"/>
      <w:r/>
      <w:bookmarkEnd w:id="90"/>
      <w:r/>
      <w:r/>
    </w:p>
    <w:tbl>
      <w:tblPr>
        <w:tblStyle w:val="745"/>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1" w:name="_Toc12629"/>
            <w:r/>
            <w:bookmarkStart w:id="92" w:name="_Toc184635093"/>
            <w:r/>
            <w:bookmarkStart w:id="93"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bottom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40"/>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塔山镇2026年村组道路户户通建设项目（政府采购工程）（专门面向中小企业）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ff0000"/>
                <w:szCs w:val="21"/>
                <w:highlight w:val="none"/>
                <w:u w:val="single"/>
                <w:lang w:val="en-US" w:eastAsia="zh-CN"/>
              </w:rPr>
              <w:t xml:space="preserve"> 30 </w:t>
            </w:r>
            <w:r>
              <w:rPr>
                <w:rFonts w:hint="eastAsia" w:ascii="宋体" w:hAnsi="宋体" w:eastAsia="宋体" w:cs="宋体"/>
                <w:color w:val="ff0000"/>
                <w:szCs w:val="21"/>
                <w:highlight w:val="none"/>
                <w:lang w:val="en-US" w:eastAsia="zh-CN"/>
              </w:rPr>
              <w:t xml:space="preserve">日历天</w:t>
            </w:r>
            <w:r>
              <w:rPr>
                <w:rFonts w:hint="eastAsia" w:ascii="宋体" w:hAnsi="宋体" w:eastAsia="宋体" w:cs="宋体"/>
                <w:color w:val="ff0000"/>
                <w:szCs w:val="21"/>
                <w:highlight w:val="none"/>
              </w:rPr>
              <w:t xml:space="preserve">（以实际开工令为准），竣工日期相应</w:t>
            </w:r>
            <w:r>
              <w:rPr>
                <w:rFonts w:hint="eastAsia" w:ascii="宋体" w:hAnsi="宋体" w:eastAsia="宋体" w:cs="宋体"/>
                <w:color w:val="ff0000"/>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37"/>
              <w:ind w:firstLine="103"/>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56"/>
              <w:jc w:val="left"/>
              <w:keepLines w:val="0"/>
              <w:keepNext w:val="0"/>
              <w:pageBreakBefore w:val="0"/>
              <w:spacing w:line="312"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评标基准分：</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w:t>
            </w:r>
            <w:r>
              <w:rPr>
                <w:rFonts w:hint="eastAsia" w:hAnsi="宋体" w:cs="宋体"/>
                <w:color w:val="000000"/>
                <w:szCs w:val="21"/>
                <w:lang w:eastAsia="zh-CN"/>
              </w:rPr>
              <w:t xml:space="preserve">。</w:t>
            </w:r>
            <w:r/>
          </w:p>
          <w:p>
            <w:pPr>
              <w:pStyle w:val="75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5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磋商报价得分=（磋商基准价/最后磋商报价）× </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 分（四舍五入后保留小数点后两位）</w:t>
            </w:r>
            <w:r/>
          </w:p>
          <w:p>
            <w:pPr>
              <w:pStyle w:val="75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r/>
          </w:p>
        </w:tc>
      </w:tr>
      <w:tr>
        <w:trPr>
          <w:jc w:val="center"/>
          <w:trHeight w:val="2007"/>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793"/>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51</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color w:val="000000"/>
                <w:sz w:val="21"/>
                <w:szCs w:val="21"/>
                <w:highlight w:val="none"/>
                <w:lang w:val="en-US" w:eastAsia="zh-CN" w:bidi="ar"/>
              </w:rPr>
              <w:t xml:space="preserve">总体概述：施工组织总体设想、方案针对性及施工标段划分。 </w:t>
            </w:r>
            <w:r/>
          </w:p>
          <w:p>
            <w:pPr>
              <w:ind w:firstLine="440"/>
              <w:jc w:val="both"/>
              <w:keepLines w:val="0"/>
              <w:keepNext w:val="0"/>
              <w:pageBreakBefore w:val="0"/>
              <w:spacing w:line="288" w:lineRule="auto"/>
              <w:widowControl/>
              <w:rPr>
                <w:rFonts w:hint="eastAsia" w:ascii="宋体" w:hAnsi="宋体" w:eastAsia="宋体" w:cs="宋体"/>
                <w:color w:val="000000"/>
                <w:szCs w:val="21"/>
              </w:rPr>
            </w:pPr>
            <w:r>
              <w:rPr>
                <w:rFonts w:hint="eastAsia" w:asciiTheme="minorEastAsia" w:hAnsiTheme="minorEastAsia" w:eastAsiaTheme="minorEastAsia" w:cstheme="minorEastAsia"/>
                <w:color w:val="000000"/>
                <w:sz w:val="21"/>
                <w:szCs w:val="21"/>
                <w:highlight w:val="none"/>
                <w:lang w:val="en-US" w:eastAsia="zh-CN" w:bidi="ar"/>
              </w:rPr>
              <w:t xml:space="preserve">综合评定优秀，概述详细，总体安排合理，方案考虑周全，有合理化建议等得 </w:t>
            </w:r>
            <w:r>
              <w:rPr>
                <w:rFonts w:hint="eastAsia" w:asciiTheme="minorEastAsia" w:hAnsiTheme="minorEastAsia" w:cstheme="minorEastAsia"/>
                <w:color w:val="000000"/>
                <w:sz w:val="21"/>
                <w:szCs w:val="21"/>
                <w:highlight w:val="none"/>
                <w:lang w:val="en-US" w:eastAsia="zh-CN"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 分；综合评定良好，概述较为详细，总体安排可行，方案考虑比较细致，</w:t>
            </w:r>
            <w:r>
              <w:rPr>
                <w:rFonts w:hint="eastAsia" w:asciiTheme="minorEastAsia" w:hAnsiTheme="minorEastAsia" w:cstheme="minorEastAsia"/>
                <w:color w:val="000000"/>
                <w:sz w:val="21"/>
                <w:szCs w:val="21"/>
                <w:highlight w:val="none"/>
                <w:lang w:val="en-US" w:eastAsia="zh-CN" w:bidi="ar"/>
              </w:rPr>
              <w:t xml:space="preserve">沟通能力一般，</w:t>
            </w:r>
            <w:r>
              <w:rPr>
                <w:rFonts w:hint="eastAsia" w:asciiTheme="minorEastAsia" w:hAnsiTheme="minorEastAsia" w:eastAsiaTheme="minorEastAsia" w:cstheme="minorEastAsia"/>
                <w:color w:val="000000"/>
                <w:sz w:val="21"/>
                <w:szCs w:val="21"/>
                <w:highlight w:val="none"/>
                <w:lang w:val="en-US" w:eastAsia="zh-CN" w:bidi="ar"/>
              </w:rPr>
              <w:t xml:space="preserve">能满足项目实施需要的得 0-</w:t>
            </w:r>
            <w:r>
              <w:rPr>
                <w:rFonts w:hint="eastAsia" w:asciiTheme="minorEastAsia" w:hAnsiTheme="minorEastAsia" w:cstheme="minorEastAsia"/>
                <w:color w:val="000000"/>
                <w:sz w:val="21"/>
                <w:szCs w:val="21"/>
                <w:highlight w:val="none"/>
                <w:lang w:val="en-US" w:eastAsia="zh-CN" w:bidi="ar"/>
              </w:rPr>
              <w:t xml:space="preserve">4（含）</w:t>
            </w:r>
            <w:r>
              <w:rPr>
                <w:rFonts w:hint="eastAsia" w:asciiTheme="minorEastAsia" w:hAnsiTheme="minorEastAsia" w:eastAsiaTheme="minorEastAsia" w:cstheme="minorEastAsia"/>
                <w:color w:val="000000"/>
                <w:sz w:val="21"/>
                <w:szCs w:val="21"/>
                <w:highlight w:val="none"/>
                <w:lang w:val="en-US" w:eastAsia="zh-CN" w:bidi="ar"/>
              </w:rPr>
              <w:t xml:space="preserve">分；不提供不得分，</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6</w:t>
            </w:r>
            <w:r>
              <w:rPr>
                <w:rFonts w:hint="eastAsia" w:asciiTheme="minorEastAsia" w:hAnsiTheme="minorEastAsia" w:eastAsiaTheme="minorEastAsia" w:cstheme="minorEastAsia"/>
                <w:b/>
                <w:bCs/>
                <w:color w:val="000000"/>
                <w:sz w:val="21"/>
                <w:szCs w:val="21"/>
                <w:highlight w:val="none"/>
                <w:lang w:val="en-US" w:eastAsia="zh-CN" w:bidi="ar"/>
              </w:rPr>
              <w:t xml:space="preserve"> 分</w:t>
            </w:r>
            <w:r>
              <w:rPr>
                <w:rFonts w:hint="eastAsia" w:asciiTheme="minorEastAsia" w:hAnsiTheme="minorEastAsia" w:eastAsiaTheme="minorEastAsia" w:cstheme="minorEastAsia"/>
                <w:color w:val="000000"/>
                <w:sz w:val="21"/>
                <w:szCs w:val="21"/>
                <w:highlight w:val="none"/>
                <w:lang w:val="en-US" w:eastAsia="zh-CN" w:bidi="ar"/>
              </w:rPr>
              <w:t xml:space="preserve">。</w:t>
            </w:r>
            <w:r/>
          </w:p>
        </w:tc>
      </w:tr>
      <w:tr>
        <w:trPr>
          <w:jc w:val="center"/>
          <w:trHeight w:val="192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color w:val="000000"/>
                <w:sz w:val="21"/>
                <w:szCs w:val="21"/>
                <w:highlight w:val="none"/>
                <w:lang w:val="en-US" w:eastAsia="zh-CN" w:bidi="ar"/>
              </w:rPr>
              <w:t xml:space="preserve">施工现场平面布置和临时设施、临时道路布置。 </w:t>
            </w:r>
            <w:r/>
          </w:p>
          <w:p>
            <w:pPr>
              <w:ind w:firstLine="440"/>
              <w:jc w:val="both"/>
              <w:keepLines w:val="0"/>
              <w:keepNext w:val="0"/>
              <w:pageBreakBefore w:val="0"/>
              <w:spacing w:line="288" w:lineRule="auto"/>
              <w:widowControl/>
              <w:rPr>
                <w:rFonts w:hint="eastAsia" w:ascii="宋体" w:hAnsi="宋体" w:eastAsia="宋体" w:cs="宋体"/>
                <w:color w:val="000000"/>
                <w:szCs w:val="21"/>
              </w:rPr>
            </w:pPr>
            <w:r>
              <w:rPr>
                <w:rFonts w:hint="eastAsia" w:asciiTheme="minorEastAsia" w:hAnsiTheme="minorEastAsia" w:eastAsiaTheme="minorEastAsia" w:cstheme="minorEastAsia"/>
                <w:color w:val="000000"/>
                <w:sz w:val="21"/>
                <w:szCs w:val="21"/>
                <w:highlight w:val="none"/>
                <w:lang w:val="en-US" w:eastAsia="zh-CN" w:bidi="ar"/>
              </w:rPr>
              <w:t xml:space="preserve">综合评定优秀，概述详细，总体安排合理，方案考虑周全，有合理化建议等得 </w:t>
            </w:r>
            <w:r>
              <w:rPr>
                <w:rFonts w:hint="eastAsia" w:asciiTheme="minorEastAsia" w:hAnsiTheme="minorEastAsia" w:cstheme="minorEastAsia"/>
                <w:color w:val="000000"/>
                <w:sz w:val="21"/>
                <w:szCs w:val="21"/>
                <w:highlight w:val="none"/>
                <w:lang w:val="en-US" w:eastAsia="zh-CN"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 分；综合评定良好，概述较为详细，总体安排可行，方案考虑比较细致，能满足项目实施需要的得 0-</w:t>
            </w:r>
            <w:r>
              <w:rPr>
                <w:rFonts w:hint="eastAsia" w:asciiTheme="minorEastAsia" w:hAnsiTheme="minorEastAsia" w:cstheme="minorEastAsia"/>
                <w:color w:val="000000"/>
                <w:sz w:val="21"/>
                <w:szCs w:val="21"/>
                <w:highlight w:val="none"/>
                <w:lang w:val="en-US" w:eastAsia="zh-CN" w:bidi="ar"/>
              </w:rPr>
              <w:t xml:space="preserve">4（含）</w:t>
            </w:r>
            <w:r>
              <w:rPr>
                <w:rFonts w:hint="eastAsia" w:asciiTheme="minorEastAsia" w:hAnsiTheme="minorEastAsia" w:eastAsiaTheme="minorEastAsia" w:cstheme="minorEastAsia"/>
                <w:color w:val="000000"/>
                <w:sz w:val="21"/>
                <w:szCs w:val="21"/>
                <w:highlight w:val="none"/>
                <w:lang w:val="en-US" w:eastAsia="zh-CN" w:bidi="ar"/>
              </w:rPr>
              <w:t xml:space="preserve">分；不提供不得分，</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6</w:t>
            </w:r>
            <w:r>
              <w:rPr>
                <w:rFonts w:hint="eastAsia" w:asciiTheme="minorEastAsia" w:hAnsiTheme="minorEastAsia" w:eastAsiaTheme="minorEastAsia" w:cstheme="minorEastAsia"/>
                <w:b/>
                <w:bCs/>
                <w:color w:val="000000"/>
                <w:sz w:val="21"/>
                <w:szCs w:val="21"/>
                <w:highlight w:val="none"/>
                <w:lang w:val="en-US" w:eastAsia="zh-CN" w:bidi="ar"/>
              </w:rPr>
              <w:t xml:space="preserve"> 分</w:t>
            </w:r>
            <w:r>
              <w:rPr>
                <w:rFonts w:hint="eastAsia" w:asciiTheme="minorEastAsia" w:hAnsiTheme="minorEastAsia" w:eastAsiaTheme="minorEastAsia" w:cstheme="minorEastAsia"/>
                <w:color w:val="000000"/>
                <w:sz w:val="21"/>
                <w:szCs w:val="21"/>
                <w:highlight w:val="none"/>
                <w:lang w:val="en-US" w:eastAsia="zh-CN" w:bidi="ar"/>
              </w:rPr>
              <w:t xml:space="preserve">。</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Theme="minorEastAsia" w:hAnsiTheme="minorEastAsia" w:eastAsiaTheme="minorEastAsia" w:cstheme="minorEastAsia"/>
                <w:color w:val="000000"/>
                <w:sz w:val="21"/>
                <w:szCs w:val="21"/>
                <w:highlight w:val="none"/>
                <w:lang w:val="en-US" w:eastAsia="zh-CN" w:bidi="ar"/>
              </w:rPr>
              <w:t xml:space="preserve">施工总进度计划：关于本工程施工进度计划的描述，以及为完成该计划所定措施。</w:t>
            </w:r>
            <w:r/>
          </w:p>
          <w:p>
            <w:pPr>
              <w:ind w:firstLine="440"/>
              <w:jc w:val="both"/>
              <w:keepLines w:val="0"/>
              <w:keepNext w:val="0"/>
              <w:pageBreakBefore w:val="0"/>
              <w:spacing w:line="288" w:lineRule="auto"/>
              <w:widowControl/>
              <w:rPr>
                <w:rFonts w:hint="eastAsia" w:ascii="宋体" w:hAnsi="宋体" w:eastAsia="宋体" w:cs="宋体"/>
                <w:color w:val="000000"/>
                <w:szCs w:val="21"/>
              </w:rPr>
            </w:pPr>
            <w:r>
              <w:rPr>
                <w:rFonts w:hint="eastAsia" w:asciiTheme="minorEastAsia" w:hAnsiTheme="minorEastAsia" w:eastAsiaTheme="minorEastAsia" w:cstheme="minorEastAsia"/>
                <w:color w:val="000000"/>
                <w:sz w:val="21"/>
                <w:szCs w:val="21"/>
                <w:highlight w:val="none"/>
                <w:lang w:val="en-US" w:eastAsia="zh-CN" w:bidi="ar"/>
              </w:rPr>
              <w:t xml:space="preserve">综合评定优秀，总进度计划详尽，项目实施进度、时间点、关键节点等设置清晰准确的得 </w:t>
            </w:r>
            <w:r>
              <w:rPr>
                <w:rFonts w:hint="eastAsia" w:asciiTheme="minorEastAsia" w:hAnsiTheme="minorEastAsia" w:cstheme="minorEastAsia"/>
                <w:color w:val="000000"/>
                <w:sz w:val="21"/>
                <w:szCs w:val="21"/>
                <w:highlight w:val="none"/>
                <w:lang w:val="en-US" w:eastAsia="zh-CN" w:bidi="ar"/>
              </w:rPr>
              <w:t xml:space="preserve">4</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 分；综合评定良好，总进度计划较为详尽，项目实施进度、时间点、关键点等设置比较准确的得 0-</w:t>
            </w:r>
            <w:r>
              <w:rPr>
                <w:rFonts w:hint="eastAsia" w:asciiTheme="minorEastAsia" w:hAnsiTheme="minorEastAsia" w:cstheme="minorEastAsia"/>
                <w:color w:val="000000"/>
                <w:sz w:val="21"/>
                <w:szCs w:val="21"/>
                <w:highlight w:val="none"/>
                <w:lang w:val="en-US" w:eastAsia="zh-CN" w:bidi="ar"/>
              </w:rPr>
              <w:t xml:space="preserve">4（含）</w:t>
            </w:r>
            <w:r>
              <w:rPr>
                <w:rFonts w:hint="eastAsia" w:asciiTheme="minorEastAsia" w:hAnsiTheme="minorEastAsia" w:eastAsiaTheme="minorEastAsia" w:cstheme="minorEastAsia"/>
                <w:color w:val="000000"/>
                <w:sz w:val="21"/>
                <w:szCs w:val="21"/>
                <w:highlight w:val="none"/>
                <w:lang w:val="en-US" w:eastAsia="zh-CN" w:bidi="ar"/>
              </w:rPr>
              <w:t xml:space="preserve">分；不提供不得分，</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6</w:t>
            </w:r>
            <w:r>
              <w:rPr>
                <w:rFonts w:hint="eastAsia" w:asciiTheme="minorEastAsia" w:hAnsiTheme="minorEastAsia" w:eastAsiaTheme="minorEastAsia" w:cstheme="minorEastAsia"/>
                <w:b/>
                <w:bCs/>
                <w:color w:val="000000"/>
                <w:sz w:val="21"/>
                <w:szCs w:val="21"/>
                <w:highlight w:val="none"/>
                <w:lang w:val="en-US" w:eastAsia="zh-CN" w:bidi="ar"/>
              </w:rPr>
              <w:t xml:space="preserve"> 分</w:t>
            </w:r>
            <w:r>
              <w:rPr>
                <w:rFonts w:hint="eastAsia" w:asciiTheme="minorEastAsia" w:hAnsiTheme="minorEastAsia" w:eastAsiaTheme="minorEastAsia" w:cstheme="minorEastAsia"/>
                <w:color w:val="000000"/>
                <w:sz w:val="21"/>
                <w:szCs w:val="21"/>
                <w:highlight w:val="none"/>
                <w:lang w:val="en-US" w:eastAsia="zh-CN" w:bidi="ar"/>
              </w:rPr>
              <w:t xml:space="preserve">。 </w:t>
            </w:r>
            <w:r/>
          </w:p>
        </w:tc>
      </w:tr>
      <w:tr>
        <w:trPr>
          <w:jc w:val="center"/>
          <w:trHeight w:val="1938"/>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Theme="minorEastAsia" w:hAnsiTheme="minorEastAsia" w:eastAsiaTheme="minorEastAsia" w:cstheme="minorEastAsia"/>
                <w:color w:val="000000"/>
                <w:sz w:val="21"/>
                <w:szCs w:val="21"/>
                <w:highlight w:val="none"/>
                <w:lang w:val="en-US" w:eastAsia="zh-CN" w:bidi="ar"/>
              </w:rPr>
              <w:t xml:space="preserve">对关键施工技术、工艺及工程项目实施的重点、难点和解决方案等内容进行评分。</w:t>
            </w:r>
            <w:r/>
          </w:p>
          <w:p>
            <w:pPr>
              <w:ind w:firstLine="440"/>
              <w:jc w:val="both"/>
              <w:keepLines w:val="0"/>
              <w:keepNext w:val="0"/>
              <w:pageBreakBefore w:val="0"/>
              <w:spacing w:line="288" w:lineRule="auto"/>
              <w:widowControl/>
              <w:rPr>
                <w:rFonts w:hint="eastAsia" w:ascii="宋体" w:hAnsi="宋体" w:eastAsia="宋体" w:cs="宋体"/>
                <w:color w:val="000000"/>
                <w:szCs w:val="21"/>
              </w:rPr>
            </w:pPr>
            <w:r>
              <w:rPr>
                <w:rFonts w:hint="eastAsia" w:asciiTheme="minorEastAsia" w:hAnsiTheme="minorEastAsia" w:eastAsiaTheme="minorEastAsia" w:cstheme="minorEastAsia"/>
                <w:color w:val="000000"/>
                <w:sz w:val="21"/>
                <w:szCs w:val="21"/>
                <w:highlight w:val="none"/>
                <w:lang w:val="en-US" w:eastAsia="zh-CN" w:bidi="ar"/>
              </w:rPr>
              <w:t xml:space="preserve">综合评定优秀，措施合理、有问题解决措施、预案、有合理化建议的得 </w:t>
            </w:r>
            <w:r>
              <w:rPr>
                <w:rFonts w:hint="eastAsia" w:asciiTheme="minorEastAsia" w:hAnsiTheme="minorEastAsia" w:cstheme="minorEastAsia"/>
                <w:color w:val="000000"/>
                <w:sz w:val="21"/>
                <w:szCs w:val="21"/>
                <w:highlight w:val="none"/>
                <w:lang w:val="en-US" w:eastAsia="zh-CN" w:bidi="ar"/>
              </w:rPr>
              <w:t xml:space="preserve">6</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8</w:t>
            </w:r>
            <w:r>
              <w:rPr>
                <w:rFonts w:hint="eastAsia" w:asciiTheme="minorEastAsia" w:hAnsiTheme="minorEastAsia" w:eastAsiaTheme="minorEastAsia" w:cstheme="minorEastAsia"/>
                <w:color w:val="000000"/>
                <w:sz w:val="21"/>
                <w:szCs w:val="21"/>
                <w:highlight w:val="none"/>
                <w:lang w:val="en-US" w:eastAsia="zh-CN" w:bidi="ar"/>
              </w:rPr>
              <w:t xml:space="preserve"> 分；综合评定良好，措施比较合理，能满足项目实施需要的得 0-</w:t>
            </w:r>
            <w:r>
              <w:rPr>
                <w:rFonts w:hint="eastAsia" w:asciiTheme="minorEastAsia" w:hAnsiTheme="minorEastAsia" w:cstheme="minorEastAsia"/>
                <w:color w:val="000000"/>
                <w:sz w:val="21"/>
                <w:szCs w:val="21"/>
                <w:highlight w:val="none"/>
                <w:lang w:val="en-US" w:eastAsia="zh-CN" w:bidi="ar"/>
              </w:rPr>
              <w:t xml:space="preserve">6（含）</w:t>
            </w:r>
            <w:r>
              <w:rPr>
                <w:rFonts w:hint="eastAsia" w:asciiTheme="minorEastAsia" w:hAnsiTheme="minorEastAsia" w:eastAsiaTheme="minorEastAsia" w:cstheme="minorEastAsia"/>
                <w:color w:val="000000"/>
                <w:sz w:val="21"/>
                <w:szCs w:val="21"/>
                <w:highlight w:val="none"/>
                <w:lang w:val="en-US" w:eastAsia="zh-CN" w:bidi="ar"/>
              </w:rPr>
              <w:t xml:space="preserve">分；不提供不得分，</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8</w:t>
            </w:r>
            <w:r>
              <w:rPr>
                <w:rFonts w:hint="eastAsia" w:asciiTheme="minorEastAsia" w:hAnsiTheme="minorEastAsia" w:eastAsiaTheme="minorEastAsia" w:cstheme="minorEastAsia"/>
                <w:b/>
                <w:bCs/>
                <w:color w:val="000000"/>
                <w:sz w:val="21"/>
                <w:szCs w:val="21"/>
                <w:highlight w:val="none"/>
                <w:lang w:val="en-US" w:eastAsia="zh-CN" w:bidi="ar"/>
              </w:rPr>
              <w:t xml:space="preserve"> 分</w:t>
            </w:r>
            <w:r>
              <w:rPr>
                <w:rFonts w:hint="eastAsia" w:asciiTheme="minorEastAsia" w:hAnsiTheme="minorEastAsia" w:eastAsiaTheme="minorEastAsia" w:cstheme="minorEastAsia"/>
                <w:color w:val="000000"/>
                <w:sz w:val="21"/>
                <w:szCs w:val="21"/>
                <w:highlight w:val="none"/>
                <w:lang w:val="en-US" w:eastAsia="zh-CN" w:bidi="ar"/>
              </w:rPr>
              <w:t xml:space="preserve">。 </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宋体" w:hAnsi="宋体" w:cs="宋体"/>
                <w:szCs w:val="21"/>
              </w:rPr>
              <w:t xml:space="preserve">工程的施工方案及质量保证措施</w:t>
            </w:r>
            <w:r>
              <w:rPr>
                <w:rFonts w:hint="eastAsia" w:asciiTheme="minorEastAsia" w:hAnsiTheme="minorEastAsia" w:eastAsiaTheme="minorEastAsia" w:cstheme="minorEastAsia"/>
                <w:color w:val="000000"/>
                <w:sz w:val="21"/>
                <w:szCs w:val="21"/>
                <w:highlight w:val="none"/>
                <w:lang w:val="en-US" w:eastAsia="zh-CN" w:bidi="ar"/>
              </w:rPr>
              <w:t xml:space="preserve">。</w:t>
            </w:r>
            <w:r/>
          </w:p>
          <w:p>
            <w:pPr>
              <w:ind w:firstLine="440"/>
              <w:jc w:val="both"/>
              <w:keepLines w:val="0"/>
              <w:keepNext w:val="0"/>
              <w:pageBreakBefore w:val="0"/>
              <w:spacing w:line="288" w:lineRule="auto"/>
              <w:widowControl/>
              <w:rPr>
                <w:rFonts w:hint="eastAsia" w:ascii="宋体" w:hAnsi="宋体" w:eastAsia="宋体" w:cs="宋体"/>
                <w:color w:val="000000"/>
                <w:szCs w:val="21"/>
              </w:rPr>
            </w:pPr>
            <w:r>
              <w:rPr>
                <w:rFonts w:hint="eastAsia" w:asciiTheme="minorEastAsia" w:hAnsiTheme="minorEastAsia" w:eastAsiaTheme="minorEastAsia" w:cstheme="minorEastAsia"/>
                <w:color w:val="000000"/>
                <w:sz w:val="21"/>
                <w:szCs w:val="21"/>
                <w:highlight w:val="none"/>
                <w:lang w:val="en-US" w:eastAsia="zh-CN" w:bidi="ar"/>
              </w:rPr>
              <w:t xml:space="preserve">综合评定优秀，分项施工方案、</w:t>
            </w:r>
            <w:r>
              <w:rPr>
                <w:rFonts w:hint="eastAsia" w:asciiTheme="minorEastAsia" w:hAnsiTheme="minorEastAsia" w:cstheme="minorEastAsia"/>
                <w:color w:val="000000"/>
                <w:sz w:val="21"/>
                <w:szCs w:val="21"/>
                <w:highlight w:val="none"/>
                <w:lang w:val="en-US" w:eastAsia="zh-CN" w:bidi="ar"/>
              </w:rPr>
              <w:t xml:space="preserve">质量保证措施</w:t>
            </w:r>
            <w:r>
              <w:rPr>
                <w:rFonts w:hint="eastAsia" w:asciiTheme="minorEastAsia" w:hAnsiTheme="minorEastAsia" w:eastAsiaTheme="minorEastAsia" w:cstheme="minorEastAsia"/>
                <w:color w:val="000000"/>
                <w:sz w:val="21"/>
                <w:szCs w:val="21"/>
                <w:highlight w:val="none"/>
                <w:lang w:val="en-US" w:eastAsia="zh-CN" w:bidi="ar"/>
              </w:rPr>
              <w:t xml:space="preserve">科学合理、操作性强、考虑周全的得 </w:t>
            </w:r>
            <w:r>
              <w:rPr>
                <w:rFonts w:hint="eastAsia" w:asciiTheme="minorEastAsia" w:hAnsiTheme="minorEastAsia" w:cstheme="minorEastAsia"/>
                <w:color w:val="000000"/>
                <w:sz w:val="21"/>
                <w:szCs w:val="21"/>
                <w:highlight w:val="none"/>
                <w:lang w:val="en-US" w:eastAsia="zh-CN" w:bidi="ar"/>
              </w:rPr>
              <w:t xml:space="preserve">9</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11</w:t>
            </w:r>
            <w:r>
              <w:rPr>
                <w:rFonts w:hint="eastAsia" w:asciiTheme="minorEastAsia" w:hAnsiTheme="minorEastAsia" w:eastAsiaTheme="minorEastAsia" w:cstheme="minorEastAsia"/>
                <w:color w:val="000000"/>
                <w:sz w:val="21"/>
                <w:szCs w:val="21"/>
                <w:highlight w:val="none"/>
                <w:lang w:val="en-US" w:eastAsia="zh-CN" w:bidi="ar"/>
              </w:rPr>
              <w:t xml:space="preserve"> 分；综合评定良好，分项施工方案、</w:t>
            </w:r>
            <w:r>
              <w:rPr>
                <w:rFonts w:hint="eastAsia" w:asciiTheme="minorEastAsia" w:hAnsiTheme="minorEastAsia" w:cstheme="minorEastAsia"/>
                <w:color w:val="000000"/>
                <w:sz w:val="21"/>
                <w:szCs w:val="21"/>
                <w:highlight w:val="none"/>
                <w:lang w:val="en-US" w:eastAsia="zh-CN" w:bidi="ar"/>
              </w:rPr>
              <w:t xml:space="preserve">质量保证措施</w:t>
            </w:r>
            <w:r>
              <w:rPr>
                <w:rFonts w:hint="eastAsia" w:asciiTheme="minorEastAsia" w:hAnsiTheme="minorEastAsia" w:eastAsiaTheme="minorEastAsia" w:cstheme="minorEastAsia"/>
                <w:color w:val="000000"/>
                <w:sz w:val="21"/>
                <w:szCs w:val="21"/>
                <w:highlight w:val="none"/>
                <w:lang w:val="en-US" w:eastAsia="zh-CN" w:bidi="ar"/>
              </w:rPr>
              <w:t xml:space="preserve">比较合理、操作性较强、考虑较周全的得 </w:t>
            </w:r>
            <w:r>
              <w:rPr>
                <w:rFonts w:hint="eastAsia" w:asciiTheme="minorEastAsia" w:hAnsiTheme="minorEastAsia" w:cstheme="minorEastAsia"/>
                <w:color w:val="000000"/>
                <w:sz w:val="21"/>
                <w:szCs w:val="21"/>
                <w:highlight w:val="none"/>
                <w:lang w:val="en-US" w:eastAsia="zh-CN" w:bidi="ar"/>
              </w:rPr>
              <w:t xml:space="preserve">0</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9（含）</w:t>
            </w:r>
            <w:r>
              <w:rPr>
                <w:rFonts w:hint="eastAsia" w:asciiTheme="minorEastAsia" w:hAnsiTheme="minorEastAsia" w:eastAsiaTheme="minorEastAsia" w:cstheme="minorEastAsia"/>
                <w:color w:val="000000"/>
                <w:sz w:val="21"/>
                <w:szCs w:val="21"/>
                <w:highlight w:val="none"/>
                <w:lang w:val="en-US" w:eastAsia="zh-CN" w:bidi="ar"/>
              </w:rPr>
              <w:t xml:space="preserve">分；不提供不得分，</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11</w:t>
            </w:r>
            <w:r>
              <w:rPr>
                <w:rFonts w:hint="eastAsia" w:asciiTheme="minorEastAsia" w:hAnsiTheme="minorEastAsia" w:eastAsiaTheme="minorEastAsia" w:cstheme="minorEastAsia"/>
                <w:b/>
                <w:bCs/>
                <w:color w:val="000000"/>
                <w:sz w:val="21"/>
                <w:szCs w:val="21"/>
                <w:highlight w:val="none"/>
                <w:lang w:val="en-US" w:eastAsia="zh-CN" w:bidi="ar"/>
              </w:rPr>
              <w:t xml:space="preserve"> 分</w:t>
            </w:r>
            <w:r>
              <w:rPr>
                <w:rFonts w:hint="eastAsia" w:asciiTheme="minorEastAsia" w:hAnsiTheme="minorEastAsia" w:eastAsiaTheme="minorEastAsia" w:cstheme="minorEastAsia"/>
                <w:color w:val="000000"/>
                <w:sz w:val="21"/>
                <w:szCs w:val="21"/>
                <w:highlight w:val="none"/>
                <w:lang w:val="en-US" w:eastAsia="zh-CN" w:bidi="ar"/>
              </w:rPr>
              <w:t xml:space="preserve">。  </w:t>
            </w:r>
            <w:r/>
          </w:p>
        </w:tc>
      </w:tr>
      <w:tr>
        <w:trPr>
          <w:jc w:val="center"/>
          <w:trHeight w:val="298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Theme="minorEastAsia" w:hAnsiTheme="minorEastAsia" w:eastAsiaTheme="minorEastAsia" w:cstheme="minorEastAsia"/>
                <w:color w:val="000000"/>
                <w:sz w:val="21"/>
                <w:szCs w:val="21"/>
                <w:highlight w:val="none"/>
                <w:lang w:val="en-US" w:eastAsia="zh-CN" w:bidi="ar"/>
              </w:rPr>
              <w:t xml:space="preserve">安全文明施工措施：该工程安全文明施工、施工现场扬尘污染防治措施及环境保护方面的措施科学、合理、操作性强、规范、高效。</w:t>
            </w:r>
            <w:r/>
          </w:p>
          <w:p>
            <w:pPr>
              <w:ind w:firstLine="420"/>
              <w:jc w:val="both"/>
              <w:keepLines w:val="0"/>
              <w:keepNext w:val="0"/>
              <w:pageBreakBefore w:val="0"/>
              <w:spacing w:line="288" w:lineRule="auto"/>
              <w:widowControl/>
              <w:rPr>
                <w:rFonts w:hint="eastAsia" w:ascii="宋体" w:hAnsi="宋体" w:eastAsia="宋体" w:cs="宋体"/>
                <w:b/>
                <w:color w:val="000000"/>
                <w:szCs w:val="21"/>
                <w:lang w:bidi="ar"/>
              </w:rPr>
            </w:pPr>
            <w:r>
              <w:rPr>
                <w:rFonts w:hint="eastAsia" w:asciiTheme="minorEastAsia" w:hAnsiTheme="minorEastAsia" w:eastAsiaTheme="minorEastAsia" w:cstheme="minorEastAsia"/>
                <w:color w:val="000000"/>
                <w:sz w:val="21"/>
                <w:szCs w:val="21"/>
                <w:highlight w:val="none"/>
                <w:lang w:val="en-US" w:eastAsia="zh-CN" w:bidi="ar"/>
              </w:rPr>
              <w:t xml:space="preserve">综合评定优秀，措施科学合理，问题沟通和解决机制简单有效，对项目安全、环保等风险进行分析，给出应对措施，操作性强的得 </w:t>
            </w:r>
            <w:r>
              <w:rPr>
                <w:rFonts w:hint="eastAsia" w:asciiTheme="minorEastAsia" w:hAnsiTheme="minorEastAsia" w:cstheme="minorEastAsia"/>
                <w:color w:val="000000"/>
                <w:sz w:val="21"/>
                <w:szCs w:val="21"/>
                <w:highlight w:val="none"/>
                <w:lang w:val="en-US" w:eastAsia="zh-CN" w:bidi="ar"/>
              </w:rPr>
              <w:t xml:space="preserve">5</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7</w:t>
            </w:r>
            <w:r>
              <w:rPr>
                <w:rFonts w:hint="eastAsia" w:asciiTheme="minorEastAsia" w:hAnsiTheme="minorEastAsia" w:eastAsiaTheme="minorEastAsia" w:cstheme="minorEastAsia"/>
                <w:color w:val="000000"/>
                <w:sz w:val="21"/>
                <w:szCs w:val="21"/>
                <w:highlight w:val="none"/>
                <w:lang w:val="en-US" w:eastAsia="zh-CN" w:bidi="ar"/>
              </w:rPr>
              <w:t xml:space="preserve">分；综合评定良好，措施比较合理、操作性较强、考虑较周全、能满足项目实施需要的得 0-5（含）分；不提供不得分， </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7 </w:t>
            </w:r>
            <w:r>
              <w:rPr>
                <w:rFonts w:hint="eastAsia" w:asciiTheme="minorEastAsia" w:hAnsiTheme="minorEastAsia" w:eastAsiaTheme="minorEastAsia" w:cstheme="minorEastAsia"/>
                <w:b/>
                <w:bCs/>
                <w:color w:val="000000"/>
                <w:sz w:val="21"/>
                <w:szCs w:val="21"/>
                <w:highlight w:val="none"/>
                <w:lang w:val="en-US" w:eastAsia="zh-CN" w:bidi="ar"/>
              </w:rPr>
              <w:t xml:space="preserve">分</w:t>
            </w:r>
            <w:r>
              <w:rPr>
                <w:rFonts w:hint="eastAsia" w:asciiTheme="minorEastAsia" w:hAnsiTheme="minorEastAsia" w:eastAsiaTheme="minorEastAsia" w:cstheme="minorEastAsia"/>
                <w:color w:val="000000"/>
                <w:sz w:val="21"/>
                <w:szCs w:val="21"/>
                <w:highlight w:val="none"/>
                <w:lang w:val="en-US" w:eastAsia="zh-CN" w:bidi="ar"/>
              </w:rPr>
              <w:t xml:space="preserve">。 </w:t>
            </w:r>
            <w:r/>
          </w:p>
        </w:tc>
      </w:tr>
      <w:tr>
        <w:trPr>
          <w:jc w:val="center"/>
          <w:trHeight w:val="257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93"/>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suppressLineNumbers w:val="0"/>
            </w:pPr>
            <w:r>
              <w:rPr>
                <w:rFonts w:hint="eastAsia" w:ascii="宋体" w:hAnsi="宋体" w:cs="宋体"/>
                <w:szCs w:val="21"/>
              </w:rPr>
              <w:t xml:space="preserve">冬雨季施工、已有设施、管线的加固、保护等特殊情况下的施工措施</w:t>
            </w:r>
            <w:r>
              <w:rPr>
                <w:rFonts w:hint="eastAsia" w:asciiTheme="minorEastAsia" w:hAnsiTheme="minorEastAsia" w:eastAsiaTheme="minorEastAsia" w:cstheme="minorEastAsia"/>
                <w:color w:val="000000"/>
                <w:sz w:val="21"/>
                <w:szCs w:val="21"/>
                <w:highlight w:val="none"/>
                <w:lang w:val="en-US" w:eastAsia="zh-CN" w:bidi="ar"/>
              </w:rPr>
              <w:t xml:space="preserve">。</w:t>
            </w:r>
            <w:r/>
          </w:p>
          <w:p>
            <w:pPr>
              <w:ind w:firstLine="420"/>
              <w:jc w:val="both"/>
              <w:keepLines w:val="0"/>
              <w:keepNext w:val="0"/>
              <w:pageBreakBefore w:val="0"/>
              <w:spacing w:line="288" w:lineRule="auto"/>
              <w:widowControl/>
              <w:rPr>
                <w:rFonts w:hint="eastAsia" w:ascii="宋体" w:hAnsi="宋体" w:eastAsia="宋体" w:cs="宋体"/>
                <w:b/>
                <w:bCs/>
                <w:color w:val="333333"/>
                <w:szCs w:val="21"/>
              </w:rPr>
              <w:suppressLineNumbers w:val="0"/>
            </w:pPr>
            <w:r>
              <w:rPr>
                <w:rFonts w:hint="eastAsia" w:asciiTheme="minorEastAsia" w:hAnsiTheme="minorEastAsia" w:eastAsiaTheme="minorEastAsia" w:cstheme="minorEastAsia"/>
                <w:color w:val="000000"/>
                <w:sz w:val="21"/>
                <w:szCs w:val="21"/>
                <w:highlight w:val="none"/>
                <w:lang w:val="en-US" w:eastAsia="zh-CN" w:bidi="ar"/>
              </w:rPr>
              <w:t xml:space="preserve">综合评定优秀，措施科学合理，</w:t>
            </w:r>
            <w:r>
              <w:rPr>
                <w:rFonts w:hint="eastAsia" w:asciiTheme="minorEastAsia" w:hAnsiTheme="minorEastAsia" w:cstheme="minorEastAsia"/>
                <w:color w:val="000000"/>
                <w:sz w:val="21"/>
                <w:szCs w:val="21"/>
                <w:highlight w:val="none"/>
                <w:lang w:val="en-US" w:eastAsia="zh-CN" w:bidi="ar"/>
              </w:rPr>
              <w:t xml:space="preserve">考虑周全，能快速有效解决问题，</w:t>
            </w:r>
            <w:r>
              <w:rPr>
                <w:rFonts w:hint="eastAsia" w:asciiTheme="minorEastAsia" w:hAnsiTheme="minorEastAsia" w:eastAsiaTheme="minorEastAsia" w:cstheme="minorEastAsia"/>
                <w:color w:val="000000"/>
                <w:sz w:val="21"/>
                <w:szCs w:val="21"/>
                <w:highlight w:val="none"/>
                <w:lang w:val="en-US" w:eastAsia="zh-CN" w:bidi="ar"/>
              </w:rPr>
              <w:t xml:space="preserve">操作性强的得 </w:t>
            </w:r>
            <w:r>
              <w:rPr>
                <w:rFonts w:hint="eastAsia" w:asciiTheme="minorEastAsia" w:hAnsiTheme="minorEastAsia" w:cstheme="minorEastAsia"/>
                <w:color w:val="000000"/>
                <w:sz w:val="21"/>
                <w:szCs w:val="21"/>
                <w:highlight w:val="none"/>
                <w:lang w:val="en-US" w:eastAsia="zh-CN" w:bidi="ar"/>
              </w:rPr>
              <w:t xml:space="preserve">5</w:t>
            </w:r>
            <w:r>
              <w:rPr>
                <w:rFonts w:hint="eastAsia" w:asciiTheme="minorEastAsia" w:hAnsiTheme="minorEastAsia" w:eastAsiaTheme="minorEastAsia" w:cstheme="minorEastAsia"/>
                <w:color w:val="000000"/>
                <w:sz w:val="21"/>
                <w:szCs w:val="21"/>
                <w:highlight w:val="none"/>
                <w:lang w:val="en-US" w:eastAsia="zh-CN" w:bidi="ar"/>
              </w:rPr>
              <w:t xml:space="preserve">-</w:t>
            </w:r>
            <w:r>
              <w:rPr>
                <w:rFonts w:hint="eastAsia" w:asciiTheme="minorEastAsia" w:hAnsiTheme="minorEastAsia" w:cstheme="minorEastAsia"/>
                <w:color w:val="000000"/>
                <w:sz w:val="21"/>
                <w:szCs w:val="21"/>
                <w:highlight w:val="none"/>
                <w:lang w:val="en-US" w:eastAsia="zh-CN" w:bidi="ar"/>
              </w:rPr>
              <w:t xml:space="preserve">7</w:t>
            </w:r>
            <w:r>
              <w:rPr>
                <w:rFonts w:hint="eastAsia" w:asciiTheme="minorEastAsia" w:hAnsiTheme="minorEastAsia" w:eastAsiaTheme="minorEastAsia" w:cstheme="minorEastAsia"/>
                <w:color w:val="000000"/>
                <w:sz w:val="21"/>
                <w:szCs w:val="21"/>
                <w:highlight w:val="none"/>
                <w:lang w:val="en-US" w:eastAsia="zh-CN" w:bidi="ar"/>
              </w:rPr>
              <w:t xml:space="preserve"> 分；综合评定良好，措施比较合理、操作性较强、考虑较周全、能满足项目实施需要的得 0-</w:t>
            </w:r>
            <w:r>
              <w:rPr>
                <w:rFonts w:hint="eastAsia" w:asciiTheme="minorEastAsia" w:hAnsiTheme="minorEastAsia" w:cstheme="minorEastAsia"/>
                <w:color w:val="000000"/>
                <w:sz w:val="21"/>
                <w:szCs w:val="21"/>
                <w:highlight w:val="none"/>
                <w:lang w:val="en-US" w:eastAsia="zh-CN" w:bidi="ar"/>
              </w:rPr>
              <w:t xml:space="preserve">5（含）</w:t>
            </w:r>
            <w:r>
              <w:rPr>
                <w:rFonts w:hint="eastAsia" w:asciiTheme="minorEastAsia" w:hAnsiTheme="minorEastAsia" w:eastAsiaTheme="minorEastAsia" w:cstheme="minorEastAsia"/>
                <w:color w:val="000000"/>
                <w:sz w:val="21"/>
                <w:szCs w:val="21"/>
                <w:highlight w:val="none"/>
                <w:lang w:val="en-US" w:eastAsia="zh-CN" w:bidi="ar"/>
              </w:rPr>
              <w:t xml:space="preserve">分；不提供不得分， </w:t>
            </w:r>
            <w:r>
              <w:rPr>
                <w:rFonts w:hint="eastAsia" w:asciiTheme="minorEastAsia" w:hAnsiTheme="minorEastAsia" w:eastAsiaTheme="minorEastAsia" w:cstheme="minorEastAsia"/>
                <w:b/>
                <w:bCs/>
                <w:color w:val="000000"/>
                <w:sz w:val="21"/>
                <w:szCs w:val="21"/>
                <w:highlight w:val="none"/>
                <w:lang w:val="en-US" w:eastAsia="zh-CN" w:bidi="ar"/>
              </w:rPr>
              <w:t xml:space="preserve">最高为 </w:t>
            </w:r>
            <w:r>
              <w:rPr>
                <w:rFonts w:hint="eastAsia" w:asciiTheme="minorEastAsia" w:hAnsiTheme="minorEastAsia" w:cstheme="minorEastAsia"/>
                <w:b/>
                <w:bCs/>
                <w:color w:val="000000"/>
                <w:sz w:val="21"/>
                <w:szCs w:val="21"/>
                <w:highlight w:val="none"/>
                <w:lang w:val="en-US" w:eastAsia="zh-CN" w:bidi="ar"/>
              </w:rPr>
              <w:t xml:space="preserve">7</w:t>
            </w:r>
            <w:r>
              <w:rPr>
                <w:rFonts w:hint="eastAsia" w:asciiTheme="minorEastAsia" w:hAnsiTheme="minorEastAsia" w:eastAsiaTheme="minorEastAsia" w:cstheme="minorEastAsia"/>
                <w:b/>
                <w:bCs/>
                <w:color w:val="000000"/>
                <w:sz w:val="21"/>
                <w:szCs w:val="21"/>
                <w:highlight w:val="none"/>
                <w:lang w:val="en-US" w:eastAsia="zh-CN" w:bidi="ar"/>
              </w:rPr>
              <w:t xml:space="preserve">分</w:t>
            </w:r>
            <w:r>
              <w:rPr>
                <w:rFonts w:hint="eastAsia" w:asciiTheme="minorEastAsia" w:hAnsiTheme="minorEastAsia" w:eastAsiaTheme="minorEastAsia" w:cstheme="minorEastAsia"/>
                <w:color w:val="000000"/>
                <w:sz w:val="21"/>
                <w:szCs w:val="21"/>
                <w:highlight w:val="none"/>
                <w:lang w:val="en-US" w:eastAsia="zh-CN" w:bidi="ar"/>
              </w:rPr>
              <w:t xml:space="preserve">。 </w:t>
            </w:r>
            <w:r/>
          </w:p>
        </w:tc>
      </w:tr>
      <w:tr>
        <w:trPr>
          <w:jc w:val="center"/>
          <w:trHeight w:val="3854"/>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793"/>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793"/>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793"/>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10</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46"/>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val="en-US" w:eastAsia="zh-CN"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拟派项目负责人具有中级及以上工程师职称的得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p>
          <w:p>
            <w:pPr>
              <w:pStyle w:val="946"/>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技术负责人具有中级工程师职称的得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分，具有</w:t>
            </w:r>
            <w:r>
              <w:rPr>
                <w:rFonts w:hint="eastAsia" w:ascii="宋体" w:hAnsi="宋体" w:eastAsia="宋体" w:cs="宋体"/>
                <w:color w:val="auto"/>
                <w:sz w:val="21"/>
                <w:szCs w:val="21"/>
                <w:lang w:val="en-US" w:eastAsia="zh-CN" w:bidi="ar"/>
              </w:rPr>
              <w:t xml:space="preserve">高</w:t>
            </w:r>
            <w:r>
              <w:rPr>
                <w:rFonts w:hint="eastAsia" w:ascii="宋体" w:hAnsi="宋体" w:eastAsia="宋体" w:cs="宋体"/>
                <w:color w:val="auto"/>
                <w:sz w:val="21"/>
                <w:szCs w:val="21"/>
                <w:lang w:bidi="ar"/>
              </w:rPr>
              <w:t xml:space="preserve">级工程师职称的得</w:t>
            </w:r>
            <w:r>
              <w:rPr>
                <w:rFonts w:hint="eastAsia" w:ascii="宋体" w:hAnsi="宋体" w:eastAsia="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分。</w:t>
            </w:r>
            <w:r/>
          </w:p>
          <w:p>
            <w:pPr>
              <w:pStyle w:val="946"/>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ascii="宋体" w:hAnsi="宋体" w:eastAsia="宋体" w:cs="宋体"/>
                <w:color w:val="auto"/>
                <w:sz w:val="21"/>
                <w:szCs w:val="21"/>
                <w:lang w:val="en-US" w:eastAsia="zh-CN" w:bidi="ar"/>
              </w:rPr>
              <w:t xml:space="preserve">0.5</w:t>
            </w:r>
            <w:r>
              <w:rPr>
                <w:rFonts w:hint="eastAsia" w:ascii="宋体" w:hAnsi="宋体" w:eastAsia="宋体" w:cs="宋体"/>
                <w:color w:val="auto"/>
                <w:sz w:val="21"/>
                <w:szCs w:val="21"/>
                <w:lang w:bidi="ar"/>
              </w:rPr>
              <w:t xml:space="preserve">分，最高得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p>
          <w:p>
            <w:pPr>
              <w:pStyle w:val="946"/>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项目组成员（除项目负责人及技术负责人外）具有中级及以上职称的每有一个加</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分，最高得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p>
          <w:p>
            <w:pPr>
              <w:pStyle w:val="793"/>
              <w:ind w:left="0" w:firstLine="0"/>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color w:val="auto"/>
                <w:sz w:val="21"/>
                <w:szCs w:val="21"/>
              </w:rPr>
              <w:t xml:space="preserve">需提供</w:t>
            </w:r>
            <w:r>
              <w:rPr>
                <w:rFonts w:hint="eastAsia" w:hAnsi="宋体" w:cs="宋体"/>
                <w:color w:val="auto"/>
                <w:sz w:val="21"/>
                <w:szCs w:val="21"/>
                <w:lang w:val="en-US" w:eastAsia="zh-CN"/>
              </w:rPr>
              <w:t xml:space="preserve">相关</w:t>
            </w:r>
            <w:r>
              <w:rPr>
                <w:rFonts w:hint="eastAsia" w:ascii="宋体" w:hAnsi="宋体" w:eastAsia="宋体" w:cs="宋体"/>
                <w:color w:val="auto"/>
                <w:sz w:val="21"/>
                <w:szCs w:val="21"/>
              </w:rPr>
              <w:t xml:space="preserve">注册证书、职称证书、社会保险缴纳证明（</w:t>
            </w:r>
            <w:r>
              <w:rPr>
                <w:rFonts w:hint="eastAsia" w:cs="宋体"/>
                <w:color w:val="auto"/>
                <w:sz w:val="21"/>
                <w:szCs w:val="21"/>
                <w:lang w:val="en-US" w:eastAsia="zh-CN"/>
              </w:rPr>
              <w:t xml:space="preserve">提供投标单位为其缴纳的</w:t>
            </w:r>
            <w:r>
              <w:rPr>
                <w:rFonts w:hint="eastAsia" w:cs="宋体"/>
                <w:b/>
                <w:bCs/>
                <w:color w:val="auto"/>
                <w:sz w:val="21"/>
                <w:szCs w:val="21"/>
                <w:lang w:val="en-US" w:eastAsia="zh-CN"/>
              </w:rPr>
              <w:t xml:space="preserve">2025年10月以来任意一个月的社保</w:t>
            </w:r>
            <w:r>
              <w:rPr>
                <w:rFonts w:hint="eastAsia" w:cs="宋体"/>
                <w:color w:val="auto"/>
                <w:sz w:val="21"/>
                <w:szCs w:val="21"/>
                <w:lang w:val="en-US" w:eastAsia="zh-CN"/>
              </w:rPr>
              <w:t xml:space="preserve">，</w:t>
            </w:r>
            <w:r>
              <w:rPr>
                <w:rFonts w:hint="eastAsia" w:ascii="宋体" w:hAnsi="宋体" w:eastAsia="宋体" w:cs="宋体"/>
                <w:color w:val="auto"/>
                <w:sz w:val="21"/>
                <w:szCs w:val="21"/>
              </w:rPr>
              <w:t xml:space="preserve">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793"/>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完成过的类似道路工程项目业绩的，每份业绩得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793"/>
              <w:ind w:left="0" w:firstLine="0"/>
              <w:jc w:val="both"/>
              <w:keepLines w:val="0"/>
              <w:keepNext w:val="0"/>
              <w:pageBreakBefore w:val="0"/>
              <w:spacing w:line="288"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注：需同时提供中标（成交）通知书、合同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w:t>
            </w:r>
            <w:r>
              <w:rPr>
                <w:rFonts w:hint="eastAsia" w:hAnsi="宋体" w:cs="宋体"/>
                <w:b/>
                <w:bCs/>
                <w:color w:val="auto"/>
                <w:sz w:val="21"/>
                <w:szCs w:val="21"/>
                <w:highlight w:val="none"/>
                <w:lang w:val="en-US" w:eastAsia="zh-CN" w:bidi="ar-SA"/>
              </w:rPr>
              <w:t xml:space="preserve">交（竣）工验收证明</w:t>
            </w:r>
            <w:r>
              <w:rPr>
                <w:rFonts w:hint="eastAsia" w:ascii="宋体" w:hAnsi="宋体" w:eastAsia="宋体" w:cs="宋体"/>
                <w:b/>
                <w:bCs/>
                <w:color w:val="auto"/>
                <w:sz w:val="21"/>
                <w:szCs w:val="21"/>
                <w:highlight w:val="none"/>
                <w:lang w:val="en-US" w:eastAsia="zh-CN" w:bidi="ar-SA"/>
              </w:rPr>
              <w:t xml:space="preserve">原件扫描件上传至投标文件中</w:t>
            </w:r>
            <w:r>
              <w:rPr>
                <w:rFonts w:hint="eastAsia" w:hAnsi="宋体" w:cs="宋体"/>
                <w:b/>
                <w:bCs/>
                <w:color w:val="auto"/>
                <w:sz w:val="21"/>
                <w:szCs w:val="21"/>
                <w:highlight w:val="none"/>
                <w:lang w:val="en-US" w:eastAsia="zh-CN" w:bidi="ar-SA"/>
              </w:rPr>
              <w:t xml:space="preserve">，三者缺一不可。</w:t>
            </w:r>
            <w:r>
              <w:rPr>
                <w:rFonts w:hint="eastAsia" w:ascii="宋体" w:hAnsi="宋体" w:eastAsia="宋体" w:cs="宋体"/>
                <w:b/>
                <w:bCs/>
                <w:color w:val="auto"/>
                <w:sz w:val="21"/>
                <w:szCs w:val="21"/>
                <w:highlight w:val="none"/>
                <w:lang w:val="en-US" w:eastAsia="zh-CN" w:bidi="ar-SA"/>
              </w:rPr>
              <w:t xml:space="preserve">未提供或提供不全或模糊不清无法辨认的不予得分。</w:t>
            </w:r>
            <w:r/>
          </w:p>
        </w:tc>
      </w:tr>
    </w:tbl>
    <w:p>
      <w:pPr>
        <w:ind w:firstLine="440"/>
        <w:jc w:val="left"/>
        <w:keepLines w:val="0"/>
        <w:keepNext w:val="0"/>
        <w:pageBreakBefore w:val="0"/>
        <w:spacing w:line="312"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w:t>
      </w:r>
      <w:r>
        <w:rPr>
          <w:rFonts w:hint="eastAsia" w:ascii="宋体" w:hAnsi="宋体" w:eastAsia="宋体" w:cs="宋体"/>
          <w:b/>
          <w:bCs/>
          <w:szCs w:val="21"/>
          <w:highlight w:val="yellow"/>
          <w:lang w:bidi="ar"/>
        </w:rPr>
        <w:t xml:space="preserve">原件</w:t>
      </w:r>
      <w:r>
        <w:rPr>
          <w:rFonts w:hint="eastAsia" w:cs="宋体"/>
          <w:b/>
          <w:bCs/>
          <w:szCs w:val="21"/>
          <w:highlight w:val="yellow"/>
          <w:lang w:val="en-US" w:eastAsia="zh-CN" w:bidi="ar"/>
        </w:rPr>
        <w:t xml:space="preserve">彩色扫描件</w:t>
      </w:r>
      <w:r>
        <w:rPr>
          <w:rFonts w:hint="eastAsia" w:ascii="宋体" w:hAnsi="宋体" w:eastAsia="宋体" w:cs="宋体"/>
          <w:b/>
          <w:bCs/>
          <w:szCs w:val="21"/>
          <w:highlight w:val="yellow"/>
          <w:lang w:bidi="ar"/>
        </w:rPr>
        <w:t xml:space="preserve">证明资料</w:t>
      </w:r>
      <w:r>
        <w:rPr>
          <w:rFonts w:hint="eastAsia" w:ascii="宋体" w:hAnsi="宋体" w:eastAsia="宋体" w:cs="宋体"/>
          <w:b/>
          <w:bCs/>
          <w:szCs w:val="21"/>
          <w:highlight w:val="none"/>
          <w:lang w:bidi="ar"/>
        </w:rPr>
        <w:t xml:space="preserve">，</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1"/>
      <w:r/>
      <w:bookmarkEnd w:id="92"/>
      <w:r/>
      <w:bookmarkEnd w:id="93"/>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headerReference w:type="default" r:id="rId8"/>
      <w:footerReference w:type="default" r:id="rId11"/>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1"/>
    <w:qFormat/>
    <w:pPr>
      <w:widowControl w:val="off"/>
    </w:pPr>
    <w:rPr>
      <w:rFonts w:hint="default" w:ascii="宋体" w:hAnsi="宋体" w:eastAsia="宋体" w:cs="宋体"/>
      <w:sz w:val="22"/>
      <w:szCs w:val="22"/>
      <w:lang w:val="en-US" w:eastAsia="en-US" w:bidi="ar-SA"/>
    </w:rPr>
  </w:style>
  <w:style w:type="paragraph" w:styleId="735">
    <w:name w:val="Heading 1"/>
    <w:basedOn w:val="734"/>
    <w:next w:val="734"/>
    <w:uiPriority w:val="1"/>
    <w:qFormat/>
    <w:pPr>
      <w:spacing w:before="1"/>
      <w:outlineLvl w:val="0"/>
    </w:pPr>
    <w:rPr>
      <w:b/>
      <w:bCs/>
      <w:sz w:val="52"/>
      <w:szCs w:val="52"/>
    </w:rPr>
  </w:style>
  <w:style w:type="paragraph" w:styleId="736">
    <w:name w:val="Heading 2"/>
    <w:basedOn w:val="734"/>
    <w:next w:val="734"/>
    <w:uiPriority w:val="1"/>
    <w:qFormat/>
    <w:pPr>
      <w:ind w:left="2517"/>
      <w:spacing w:before="38"/>
      <w:outlineLvl w:val="1"/>
    </w:pPr>
    <w:rPr>
      <w:b/>
      <w:bCs/>
      <w:sz w:val="44"/>
      <w:szCs w:val="44"/>
    </w:rPr>
  </w:style>
  <w:style w:type="paragraph" w:styleId="737">
    <w:name w:val="Heading 3"/>
    <w:basedOn w:val="734"/>
    <w:next w:val="734"/>
    <w:uiPriority w:val="1"/>
    <w:qFormat/>
    <w:pPr>
      <w:jc w:val="center"/>
      <w:spacing w:before="24"/>
      <w:outlineLvl w:val="2"/>
    </w:pPr>
    <w:rPr>
      <w:b/>
      <w:bCs/>
      <w:sz w:val="32"/>
      <w:szCs w:val="32"/>
    </w:rPr>
  </w:style>
  <w:style w:type="paragraph" w:styleId="738">
    <w:name w:val="Heading 4"/>
    <w:basedOn w:val="734"/>
    <w:next w:val="734"/>
    <w:uiPriority w:val="1"/>
    <w:qFormat/>
    <w:pPr>
      <w:ind w:left="2" w:right="438"/>
      <w:jc w:val="center"/>
      <w:spacing w:before="23"/>
      <w:outlineLvl w:val="3"/>
    </w:pPr>
    <w:rPr>
      <w:b/>
      <w:bCs/>
      <w:sz w:val="30"/>
      <w:szCs w:val="30"/>
    </w:rPr>
  </w:style>
  <w:style w:type="paragraph" w:styleId="739">
    <w:name w:val="Heading 5"/>
    <w:basedOn w:val="734"/>
    <w:next w:val="734"/>
    <w:uiPriority w:val="1"/>
    <w:qFormat/>
    <w:pPr>
      <w:ind w:left="1000"/>
      <w:spacing w:before="1"/>
      <w:outlineLvl w:val="4"/>
    </w:pPr>
    <w:rPr>
      <w:b/>
      <w:bCs/>
      <w:sz w:val="28"/>
      <w:szCs w:val="28"/>
    </w:rPr>
  </w:style>
  <w:style w:type="paragraph" w:styleId="740">
    <w:name w:val="Heading 6"/>
    <w:basedOn w:val="734"/>
    <w:next w:val="734"/>
    <w:uiPriority w:val="1"/>
    <w:qFormat/>
    <w:pPr>
      <w:ind w:left="702"/>
      <w:outlineLvl w:val="5"/>
    </w:pPr>
    <w:rPr>
      <w:b/>
      <w:bCs/>
      <w:sz w:val="24"/>
      <w:szCs w:val="24"/>
    </w:rPr>
  </w:style>
  <w:style w:type="paragraph" w:styleId="741">
    <w:name w:val="Heading 7"/>
    <w:basedOn w:val="734"/>
    <w:next w:val="734"/>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0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0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Normal Indent"/>
    <w:basedOn w:val="734"/>
    <w:link w:val="957"/>
    <w:uiPriority w:val="0"/>
    <w:qFormat/>
    <w:pPr>
      <w:ind w:firstLine="420"/>
    </w:pPr>
    <w:rPr>
      <w:szCs w:val="20"/>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link w:val="949"/>
    <w:uiPriority w:val="0"/>
    <w:qFormat/>
  </w:style>
  <w:style w:type="paragraph" w:styleId="750">
    <w:name w:val="Body Text"/>
    <w:basedOn w:val="734"/>
    <w:next w:val="734"/>
    <w:uiPriority w:val="1"/>
    <w:qFormat/>
    <w:rPr>
      <w:sz w:val="24"/>
      <w:szCs w:val="24"/>
    </w:rPr>
  </w:style>
  <w:style w:type="paragraph" w:styleId="751">
    <w:name w:val="Body Text Indent"/>
    <w:basedOn w:val="734"/>
    <w:next w:val="752"/>
    <w:uiPriority w:val="0"/>
    <w:qFormat/>
    <w:pPr>
      <w:ind w:firstLine="645"/>
    </w:pPr>
    <w:rPr>
      <w:rFonts w:ascii="楷体_GB2312" w:eastAsia="楷体_GB2312"/>
      <w:sz w:val="32"/>
      <w:szCs w:val="20"/>
    </w:rPr>
  </w:style>
  <w:style w:type="paragraph" w:styleId="752">
    <w:name w:val="Body Text First Indent 2"/>
    <w:basedOn w:val="751"/>
    <w:uiPriority w:val="99"/>
    <w:unhideWhenUsed/>
    <w:qFormat/>
    <w:pPr>
      <w:ind w:left="420" w:firstLine="420"/>
    </w:pPr>
  </w:style>
  <w:style w:type="paragraph" w:styleId="753">
    <w:name w:val="Block Text"/>
    <w:basedOn w:val="734"/>
    <w:uiPriority w:val="0"/>
    <w:qFormat/>
    <w:pPr>
      <w:ind w:left="256" w:right="6" w:firstLine="624"/>
    </w:pPr>
    <w:rPr>
      <w:rFonts w:eastAsia="仿宋_GB2312"/>
      <w:sz w:val="28"/>
      <w:szCs w:val="20"/>
    </w:rPr>
  </w:style>
  <w:style w:type="paragraph" w:styleId="754">
    <w:name w:val="toc 5"/>
    <w:basedOn w:val="734"/>
    <w:next w:val="734"/>
    <w:uiPriority w:val="39"/>
    <w:unhideWhenUsed/>
    <w:qFormat/>
    <w:pPr>
      <w:ind w:left="1134" w:right="0" w:firstLine="0"/>
      <w:spacing w:after="57"/>
    </w:pPr>
  </w:style>
  <w:style w:type="paragraph" w:styleId="755">
    <w:name w:val="toc 3"/>
    <w:basedOn w:val="734"/>
    <w:next w:val="734"/>
    <w:uiPriority w:val="39"/>
    <w:unhideWhenUsed/>
    <w:qFormat/>
    <w:pPr>
      <w:ind w:left="567" w:right="0" w:firstLine="0"/>
      <w:spacing w:after="57"/>
    </w:pPr>
  </w:style>
  <w:style w:type="paragraph" w:styleId="756">
    <w:name w:val="Plain Text"/>
    <w:basedOn w:val="734"/>
    <w:uiPriority w:val="0"/>
    <w:qFormat/>
    <w:rPr>
      <w:rFonts w:hAnsi="Courier New"/>
      <w:szCs w:val="20"/>
    </w:rPr>
  </w:style>
  <w:style w:type="paragraph" w:styleId="757">
    <w:name w:val="toc 8"/>
    <w:basedOn w:val="734"/>
    <w:next w:val="734"/>
    <w:uiPriority w:val="39"/>
    <w:unhideWhenUsed/>
    <w:qFormat/>
    <w:pPr>
      <w:ind w:left="1984" w:right="0" w:firstLine="0"/>
      <w:spacing w:after="57"/>
    </w:pPr>
  </w:style>
  <w:style w:type="paragraph" w:styleId="758">
    <w:name w:val="Body Text Indent 2"/>
    <w:basedOn w:val="734"/>
    <w:uiPriority w:val="0"/>
    <w:qFormat/>
    <w:pPr>
      <w:ind w:left="420"/>
      <w:spacing w:after="120" w:line="480" w:lineRule="auto"/>
    </w:pPr>
  </w:style>
  <w:style w:type="paragraph" w:styleId="759">
    <w:name w:val="endnote text"/>
    <w:basedOn w:val="734"/>
    <w:link w:val="941"/>
    <w:uiPriority w:val="99"/>
    <w:semiHidden/>
    <w:unhideWhenUsed/>
    <w:qFormat/>
    <w:pPr>
      <w:spacing w:after="0" w:line="240" w:lineRule="auto"/>
    </w:pPr>
    <w:rPr>
      <w:sz w:val="20"/>
    </w:rPr>
  </w:style>
  <w:style w:type="paragraph" w:styleId="760">
    <w:name w:val="Balloon Text"/>
    <w:basedOn w:val="734"/>
    <w:link w:val="951"/>
    <w:uiPriority w:val="0"/>
    <w:qFormat/>
    <w:rPr>
      <w:sz w:val="18"/>
      <w:szCs w:val="18"/>
    </w:rPr>
  </w:style>
  <w:style w:type="paragraph" w:styleId="761">
    <w:name w:val="Footer"/>
    <w:basedOn w:val="734"/>
    <w:uiPriority w:val="0"/>
    <w:qFormat/>
    <w:pPr>
      <w:tabs>
        <w:tab w:val="center" w:pos="4153" w:leader="none"/>
        <w:tab w:val="right" w:pos="8306" w:leader="none"/>
      </w:tabs>
    </w:pPr>
    <w:rPr>
      <w:sz w:val="18"/>
    </w:rPr>
  </w:style>
  <w:style w:type="paragraph" w:styleId="762">
    <w:name w:val="envelope return"/>
    <w:basedOn w:val="734"/>
    <w:uiPriority w:val="0"/>
    <w:qFormat/>
    <w:rPr>
      <w:rFonts w:ascii="Arial" w:hAnsi="Arial"/>
    </w:rPr>
  </w:style>
  <w:style w:type="paragraph" w:styleId="763">
    <w:name w:val="Header"/>
    <w:basedOn w:val="73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4">
    <w:name w:val="toc 1"/>
    <w:basedOn w:val="734"/>
    <w:next w:val="734"/>
    <w:uiPriority w:val="0"/>
    <w:qFormat/>
  </w:style>
  <w:style w:type="paragraph" w:styleId="765">
    <w:name w:val="toc 4"/>
    <w:basedOn w:val="734"/>
    <w:next w:val="734"/>
    <w:uiPriority w:val="39"/>
    <w:unhideWhenUsed/>
    <w:qFormat/>
    <w:pPr>
      <w:ind w:left="850" w:right="0" w:firstLine="0"/>
      <w:spacing w:after="57"/>
    </w:pPr>
  </w:style>
  <w:style w:type="paragraph" w:styleId="766">
    <w:name w:val="Subtitle"/>
    <w:basedOn w:val="734"/>
    <w:next w:val="734"/>
    <w:link w:val="807"/>
    <w:uiPriority w:val="11"/>
    <w:qFormat/>
    <w:pPr>
      <w:spacing w:before="200" w:after="200"/>
    </w:pPr>
    <w:rPr>
      <w:sz w:val="24"/>
      <w:szCs w:val="24"/>
    </w:rPr>
  </w:style>
  <w:style w:type="paragraph" w:styleId="767">
    <w:name w:val="footnote text"/>
    <w:basedOn w:val="734"/>
    <w:link w:val="940"/>
    <w:uiPriority w:val="99"/>
    <w:semiHidden/>
    <w:unhideWhenUsed/>
    <w:qFormat/>
    <w:pPr>
      <w:spacing w:after="40" w:line="240" w:lineRule="auto"/>
    </w:pPr>
    <w:rPr>
      <w:sz w:val="18"/>
    </w:rPr>
  </w:style>
  <w:style w:type="paragraph" w:styleId="768">
    <w:name w:val="toc 6"/>
    <w:basedOn w:val="734"/>
    <w:next w:val="734"/>
    <w:uiPriority w:val="39"/>
    <w:unhideWhenUsed/>
    <w:qFormat/>
    <w:pPr>
      <w:ind w:left="1417" w:right="0" w:firstLine="0"/>
      <w:spacing w:after="57"/>
    </w:pPr>
  </w:style>
  <w:style w:type="paragraph" w:styleId="769">
    <w:name w:val="table of figures"/>
    <w:basedOn w:val="734"/>
    <w:next w:val="734"/>
    <w:uiPriority w:val="99"/>
    <w:unhideWhenUsed/>
    <w:qFormat/>
    <w:pPr>
      <w:spacing w:after="0" w:afterAutospacing="0"/>
    </w:pPr>
  </w:style>
  <w:style w:type="paragraph" w:styleId="770">
    <w:name w:val="toc 2"/>
    <w:basedOn w:val="734"/>
    <w:next w:val="734"/>
    <w:uiPriority w:val="39"/>
    <w:unhideWhenUsed/>
    <w:qFormat/>
    <w:pPr>
      <w:ind w:left="283" w:right="0" w:firstLine="0"/>
      <w:spacing w:after="57"/>
    </w:pPr>
  </w:style>
  <w:style w:type="paragraph" w:styleId="771">
    <w:name w:val="toc 9"/>
    <w:basedOn w:val="734"/>
    <w:next w:val="734"/>
    <w:uiPriority w:val="39"/>
    <w:unhideWhenUsed/>
    <w:qFormat/>
    <w:pPr>
      <w:ind w:left="2268" w:right="0" w:firstLine="0"/>
      <w:spacing w:after="57"/>
    </w:pPr>
  </w:style>
  <w:style w:type="paragraph" w:styleId="772">
    <w:name w:val="Normal (Web)"/>
    <w:basedOn w:val="734"/>
    <w:uiPriority w:val="99"/>
    <w:qFormat/>
    <w:pPr>
      <w:jc w:val="left"/>
      <w:spacing w:before="100" w:beforeAutospacing="1" w:after="100" w:afterAutospacing="1"/>
      <w:widowControl/>
    </w:pPr>
    <w:rPr>
      <w:rFonts w:ascii="宋体" w:hAnsi="宋体"/>
      <w:sz w:val="24"/>
    </w:rPr>
  </w:style>
  <w:style w:type="paragraph" w:styleId="773">
    <w:name w:val="Title"/>
    <w:basedOn w:val="734"/>
    <w:uiPriority w:val="1"/>
    <w:qFormat/>
    <w:pPr>
      <w:ind w:left="35"/>
      <w:jc w:val="center"/>
    </w:pPr>
    <w:rPr>
      <w:b/>
      <w:bCs/>
      <w:sz w:val="80"/>
      <w:szCs w:val="80"/>
    </w:rPr>
  </w:style>
  <w:style w:type="paragraph" w:styleId="774">
    <w:name w:val="annotation subject"/>
    <w:basedOn w:val="749"/>
    <w:next w:val="749"/>
    <w:link w:val="950"/>
    <w:uiPriority w:val="0"/>
    <w:qFormat/>
    <w:rPr>
      <w:b/>
      <w:bCs/>
    </w:rPr>
  </w:style>
  <w:style w:type="paragraph" w:styleId="775">
    <w:name w:val="Body Text First Indent"/>
    <w:basedOn w:val="750"/>
    <w:uiPriority w:val="0"/>
    <w:qFormat/>
    <w:pPr>
      <w:ind w:firstLine="100"/>
    </w:pPr>
  </w:style>
  <w:style w:type="table" w:styleId="776">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4"/>
    <w:uiPriority w:val="0"/>
    <w:qFormat/>
    <w:rPr>
      <w:b/>
      <w:bCs/>
    </w:rPr>
  </w:style>
  <w:style w:type="character" w:styleId="778">
    <w:name w:val="endnote reference"/>
    <w:basedOn w:val="744"/>
    <w:uiPriority w:val="99"/>
    <w:semiHidden/>
    <w:unhideWhenUsed/>
    <w:qFormat/>
    <w:rPr>
      <w:vertAlign w:val="superscript"/>
    </w:rPr>
  </w:style>
  <w:style w:type="character" w:styleId="779">
    <w:name w:val="FollowedHyperlink"/>
    <w:basedOn w:val="744"/>
    <w:uiPriority w:val="0"/>
    <w:qFormat/>
    <w:rPr>
      <w:color w:val="800080"/>
      <w:u w:val="none"/>
    </w:rPr>
  </w:style>
  <w:style w:type="character" w:styleId="780">
    <w:name w:val="Emphasis"/>
    <w:basedOn w:val="744"/>
    <w:uiPriority w:val="20"/>
    <w:qFormat/>
    <w:rPr>
      <w:i/>
    </w:rPr>
  </w:style>
  <w:style w:type="character" w:styleId="781">
    <w:name w:val="HTML Definition"/>
    <w:basedOn w:val="744"/>
    <w:uiPriority w:val="0"/>
    <w:qFormat/>
  </w:style>
  <w:style w:type="character" w:styleId="782">
    <w:name w:val="HTML Typewriter"/>
    <w:basedOn w:val="744"/>
    <w:uiPriority w:val="0"/>
    <w:qFormat/>
    <w:rPr>
      <w:rFonts w:hint="default" w:ascii="monospace" w:hAnsi="monospace" w:eastAsia="monospace" w:cs="monospace"/>
      <w:sz w:val="20"/>
    </w:rPr>
  </w:style>
  <w:style w:type="character" w:styleId="783">
    <w:name w:val="HTML Acronym"/>
    <w:basedOn w:val="744"/>
    <w:uiPriority w:val="0"/>
    <w:qFormat/>
  </w:style>
  <w:style w:type="character" w:styleId="784">
    <w:name w:val="HTML Variable"/>
    <w:basedOn w:val="744"/>
    <w:uiPriority w:val="0"/>
    <w:qFormat/>
  </w:style>
  <w:style w:type="character" w:styleId="785">
    <w:name w:val="Hyperlink"/>
    <w:basedOn w:val="744"/>
    <w:uiPriority w:val="0"/>
    <w:qFormat/>
    <w:rPr>
      <w:color w:val="0000ff"/>
      <w:u w:val="none"/>
    </w:rPr>
  </w:style>
  <w:style w:type="character" w:styleId="786">
    <w:name w:val="HTML Code"/>
    <w:basedOn w:val="744"/>
    <w:uiPriority w:val="0"/>
    <w:qFormat/>
    <w:rPr>
      <w:rFonts w:hint="default" w:ascii="monospace" w:hAnsi="monospace" w:eastAsia="monospace" w:cs="monospace"/>
      <w:sz w:val="20"/>
    </w:rPr>
  </w:style>
  <w:style w:type="character" w:styleId="787">
    <w:name w:val="annotation reference"/>
    <w:basedOn w:val="744"/>
    <w:uiPriority w:val="0"/>
    <w:qFormat/>
    <w:rPr>
      <w:sz w:val="21"/>
      <w:szCs w:val="21"/>
    </w:rPr>
  </w:style>
  <w:style w:type="character" w:styleId="788">
    <w:name w:val="HTML Cite"/>
    <w:basedOn w:val="744"/>
    <w:uiPriority w:val="0"/>
    <w:qFormat/>
  </w:style>
  <w:style w:type="character" w:styleId="789">
    <w:name w:val="footnote reference"/>
    <w:basedOn w:val="744"/>
    <w:uiPriority w:val="99"/>
    <w:unhideWhenUsed/>
    <w:qFormat/>
    <w:rPr>
      <w:vertAlign w:val="superscript"/>
    </w:rPr>
  </w:style>
  <w:style w:type="character" w:styleId="790">
    <w:name w:val="HTML Keyboard"/>
    <w:basedOn w:val="744"/>
    <w:uiPriority w:val="0"/>
    <w:qFormat/>
    <w:rPr>
      <w:rFonts w:ascii="monospace" w:hAnsi="monospace" w:eastAsia="monospace" w:cs="monospace"/>
      <w:sz w:val="20"/>
    </w:rPr>
  </w:style>
  <w:style w:type="character" w:styleId="791">
    <w:name w:val="HTML Sample"/>
    <w:basedOn w:val="744"/>
    <w:uiPriority w:val="0"/>
    <w:qFormat/>
    <w:rPr>
      <w:rFonts w:hint="default" w:ascii="monospace" w:hAnsi="monospace" w:eastAsia="monospace" w:cs="monospace"/>
    </w:rPr>
  </w:style>
  <w:style w:type="paragraph" w:styleId="792" w:customStyle="1">
    <w:name w:val="正文1"/>
    <w:next w:val="734"/>
    <w:uiPriority w:val="99"/>
    <w:qFormat/>
    <w:pPr>
      <w:jc w:val="both"/>
      <w:widowControl w:val="off"/>
    </w:pPr>
    <w:rPr>
      <w:rFonts w:hint="default" w:ascii="Calibri" w:hAnsi="Calibri" w:eastAsia="宋体" w:cs="Calibri"/>
      <w:lang w:val="en-US" w:eastAsia="zh-CN" w:bidi="ar-SA"/>
    </w:rPr>
  </w:style>
  <w:style w:type="paragraph" w:styleId="793" w:customStyle="1">
    <w:name w:val="段"/>
    <w:next w:val="734"/>
    <w:uiPriority w:val="0"/>
    <w:qFormat/>
    <w:pPr>
      <w:ind w:firstLine="200"/>
      <w:jc w:val="both"/>
    </w:pPr>
    <w:rPr>
      <w:rFonts w:hint="default" w:ascii="宋体" w:hAnsi="Times New Roman" w:eastAsia="宋体" w:cs="Times New Roman"/>
      <w:sz w:val="21"/>
      <w:lang w:val="en-US" w:eastAsia="zh-CN" w:bidi="ar-SA"/>
    </w:rPr>
  </w:style>
  <w:style w:type="paragraph" w:styleId="794" w:customStyle="1">
    <w:name w:val="Default"/>
    <w:link w:val="959"/>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95" w:customStyle="1">
    <w:name w:val="引用1"/>
    <w:basedOn w:val="734"/>
    <w:next w:val="734"/>
    <w:uiPriority w:val="99"/>
    <w:qFormat/>
    <w:pPr>
      <w:ind w:left="864" w:right="864"/>
      <w:jc w:val="center"/>
    </w:pPr>
    <w:rPr>
      <w:i/>
      <w:iCs/>
      <w:color w:val="404040"/>
      <w:szCs w:val="21"/>
    </w:rPr>
  </w:style>
  <w:style w:type="character" w:styleId="796" w:customStyle="1">
    <w:name w:val="Heading 1 Char"/>
    <w:basedOn w:val="744"/>
    <w:uiPriority w:val="9"/>
    <w:qFormat/>
    <w:rPr>
      <w:rFonts w:ascii="Arial" w:hAnsi="Arial" w:eastAsia="Arial" w:cs="Arial"/>
      <w:sz w:val="40"/>
      <w:szCs w:val="40"/>
    </w:rPr>
  </w:style>
  <w:style w:type="character" w:styleId="797" w:customStyle="1">
    <w:name w:val="Heading 2 Char"/>
    <w:basedOn w:val="744"/>
    <w:uiPriority w:val="9"/>
    <w:qFormat/>
    <w:rPr>
      <w:rFonts w:ascii="Arial" w:hAnsi="Arial" w:eastAsia="Arial" w:cs="Arial"/>
      <w:sz w:val="34"/>
    </w:rPr>
  </w:style>
  <w:style w:type="character" w:styleId="798" w:customStyle="1">
    <w:name w:val="Heading 3 Char"/>
    <w:basedOn w:val="744"/>
    <w:uiPriority w:val="9"/>
    <w:qFormat/>
    <w:rPr>
      <w:rFonts w:ascii="Arial" w:hAnsi="Arial" w:eastAsia="Arial" w:cs="Arial"/>
      <w:sz w:val="30"/>
      <w:szCs w:val="30"/>
    </w:rPr>
  </w:style>
  <w:style w:type="character" w:styleId="799" w:customStyle="1">
    <w:name w:val="Heading 4 Char"/>
    <w:basedOn w:val="744"/>
    <w:uiPriority w:val="9"/>
    <w:qFormat/>
    <w:rPr>
      <w:rFonts w:ascii="Arial" w:hAnsi="Arial" w:eastAsia="Arial" w:cs="Arial"/>
      <w:b/>
      <w:bCs/>
      <w:sz w:val="26"/>
      <w:szCs w:val="26"/>
    </w:rPr>
  </w:style>
  <w:style w:type="character" w:styleId="800" w:customStyle="1">
    <w:name w:val="Heading 5 Char"/>
    <w:basedOn w:val="744"/>
    <w:uiPriority w:val="9"/>
    <w:qFormat/>
    <w:rPr>
      <w:rFonts w:ascii="Arial" w:hAnsi="Arial" w:eastAsia="Arial" w:cs="Arial"/>
      <w:b/>
      <w:bCs/>
      <w:sz w:val="24"/>
      <w:szCs w:val="24"/>
    </w:rPr>
  </w:style>
  <w:style w:type="character" w:styleId="801" w:customStyle="1">
    <w:name w:val="Heading 6 Char"/>
    <w:basedOn w:val="744"/>
    <w:uiPriority w:val="9"/>
    <w:qFormat/>
    <w:rPr>
      <w:rFonts w:ascii="Arial" w:hAnsi="Arial" w:eastAsia="Arial" w:cs="Arial"/>
      <w:b/>
      <w:bCs/>
      <w:sz w:val="22"/>
      <w:szCs w:val="22"/>
    </w:rPr>
  </w:style>
  <w:style w:type="character" w:styleId="802" w:customStyle="1">
    <w:name w:val="Heading 7 Char"/>
    <w:basedOn w:val="744"/>
    <w:link w:val="741"/>
    <w:uiPriority w:val="9"/>
    <w:qFormat/>
    <w:rPr>
      <w:rFonts w:ascii="Arial" w:hAnsi="Arial" w:eastAsia="Arial" w:cs="Arial"/>
      <w:b/>
      <w:bCs/>
      <w:i/>
      <w:iCs/>
      <w:sz w:val="22"/>
      <w:szCs w:val="22"/>
    </w:rPr>
  </w:style>
  <w:style w:type="character" w:styleId="803" w:customStyle="1">
    <w:name w:val="Heading 8 Char"/>
    <w:basedOn w:val="744"/>
    <w:link w:val="742"/>
    <w:uiPriority w:val="9"/>
    <w:qFormat/>
    <w:rPr>
      <w:rFonts w:ascii="Arial" w:hAnsi="Arial" w:eastAsia="Arial" w:cs="Arial"/>
      <w:i/>
      <w:iCs/>
      <w:sz w:val="22"/>
      <w:szCs w:val="22"/>
    </w:rPr>
  </w:style>
  <w:style w:type="character" w:styleId="804" w:customStyle="1">
    <w:name w:val="Heading 9 Char"/>
    <w:basedOn w:val="744"/>
    <w:link w:val="743"/>
    <w:uiPriority w:val="9"/>
    <w:qFormat/>
    <w:rPr>
      <w:rFonts w:ascii="Arial" w:hAnsi="Arial" w:eastAsia="Arial" w:cs="Arial"/>
      <w:i/>
      <w:iCs/>
      <w:sz w:val="21"/>
      <w:szCs w:val="21"/>
    </w:r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basedOn w:val="744"/>
    <w:uiPriority w:val="10"/>
    <w:qFormat/>
    <w:rPr>
      <w:sz w:val="48"/>
      <w:szCs w:val="48"/>
    </w:rPr>
  </w:style>
  <w:style w:type="character" w:styleId="807" w:customStyle="1">
    <w:name w:val="Subtitle Char"/>
    <w:basedOn w:val="744"/>
    <w:link w:val="766"/>
    <w:uiPriority w:val="11"/>
    <w:qFormat/>
    <w:rPr>
      <w:sz w:val="24"/>
      <w:szCs w:val="24"/>
    </w:rPr>
  </w:style>
  <w:style w:type="paragraph" w:styleId="808">
    <w:name w:val="Quote"/>
    <w:basedOn w:val="734"/>
    <w:next w:val="734"/>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34"/>
    <w:next w:val="734"/>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basedOn w:val="744"/>
    <w:uiPriority w:val="99"/>
    <w:qFormat/>
  </w:style>
  <w:style w:type="character" w:styleId="813" w:customStyle="1">
    <w:name w:val="Footer Char"/>
    <w:basedOn w:val="744"/>
    <w:uiPriority w:val="99"/>
    <w:qFormat/>
  </w:style>
  <w:style w:type="character" w:styleId="814" w:customStyle="1">
    <w:name w:val="Caption Char"/>
    <w:uiPriority w:val="99"/>
    <w:qFormat/>
  </w:style>
  <w:style w:type="table" w:styleId="815"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4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4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4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4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4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4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4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4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4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4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4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4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4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4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4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4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67"/>
    <w:uiPriority w:val="99"/>
    <w:qFormat/>
    <w:rPr>
      <w:sz w:val="18"/>
    </w:rPr>
  </w:style>
  <w:style w:type="character" w:styleId="941" w:customStyle="1">
    <w:name w:val="Endnote Text Char"/>
    <w:link w:val="759"/>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列出段落1"/>
    <w:basedOn w:val="734"/>
    <w:uiPriority w:val="0"/>
    <w:qFormat/>
    <w:pPr>
      <w:ind w:firstLine="420"/>
    </w:pPr>
    <w:rPr>
      <w:rFonts w:ascii="Calibri" w:hAnsi="Calibri"/>
    </w:rPr>
  </w:style>
  <w:style w:type="paragraph" w:styleId="944" w:customStyle="1">
    <w:name w:val="首行缩进"/>
    <w:basedOn w:val="734"/>
    <w:uiPriority w:val="0"/>
    <w:qFormat/>
    <w:pPr>
      <w:ind w:firstLine="480"/>
    </w:pPr>
    <w:rPr>
      <w:lang w:val="zh-CN"/>
    </w:rPr>
  </w:style>
  <w:style w:type="table" w:styleId="945" w:customStyle="1">
    <w:name w:val="Table Normal"/>
    <w:uiPriority w:val="2"/>
    <w:semiHidden/>
    <w:unhideWhenUsed/>
    <w:qFormat/>
    <w:tblPr>
      <w:tblCellMar>
        <w:left w:w="0" w:type="dxa"/>
        <w:top w:w="0" w:type="dxa"/>
        <w:right w:w="0" w:type="dxa"/>
        <w:bottom w:w="0" w:type="dxa"/>
      </w:tblCellMar>
    </w:tblPr>
  </w:style>
  <w:style w:type="paragraph" w:styleId="946">
    <w:name w:val="List Paragraph"/>
    <w:basedOn w:val="734"/>
    <w:uiPriority w:val="1"/>
    <w:qFormat/>
    <w:pPr>
      <w:ind w:left="760" w:firstLine="479"/>
    </w:pPr>
  </w:style>
  <w:style w:type="paragraph" w:styleId="947" w:customStyle="1">
    <w:name w:val="Table Paragraph"/>
    <w:basedOn w:val="734"/>
    <w:uiPriority w:val="1"/>
    <w:qFormat/>
  </w:style>
  <w:style w:type="paragraph" w:styleId="948" w:customStyle="1">
    <w:name w:val="WPSOffice手动目录 1"/>
    <w:uiPriority w:val="0"/>
    <w:qFormat/>
    <w:rPr>
      <w:rFonts w:hint="default" w:asciiTheme="minorHAnsi" w:hAnsiTheme="minorHAnsi" w:eastAsiaTheme="minorHAnsi" w:cstheme="minorBidi"/>
      <w:lang w:val="en-US" w:eastAsia="zh-CN" w:bidi="ar-SA"/>
    </w:rPr>
  </w:style>
  <w:style w:type="character" w:styleId="949" w:customStyle="1">
    <w:name w:val="批注文字 Char"/>
    <w:basedOn w:val="744"/>
    <w:link w:val="749"/>
    <w:uiPriority w:val="0"/>
    <w:qFormat/>
    <w:rPr>
      <w:rFonts w:ascii="宋体" w:hAnsi="宋体" w:eastAsia="宋体" w:cs="宋体"/>
      <w:sz w:val="22"/>
      <w:szCs w:val="22"/>
      <w:lang w:eastAsia="en-US"/>
    </w:rPr>
  </w:style>
  <w:style w:type="character" w:styleId="950" w:customStyle="1">
    <w:name w:val="批注主题 Char"/>
    <w:basedOn w:val="949"/>
    <w:link w:val="774"/>
    <w:uiPriority w:val="0"/>
    <w:qFormat/>
    <w:rPr>
      <w:rFonts w:ascii="宋体" w:hAnsi="宋体" w:eastAsia="宋体" w:cs="宋体"/>
      <w:b/>
      <w:bCs/>
      <w:sz w:val="22"/>
      <w:szCs w:val="22"/>
      <w:lang w:eastAsia="en-US"/>
    </w:rPr>
  </w:style>
  <w:style w:type="character" w:styleId="951" w:customStyle="1">
    <w:name w:val="批注框文本 Char"/>
    <w:basedOn w:val="744"/>
    <w:link w:val="760"/>
    <w:uiPriority w:val="0"/>
    <w:qFormat/>
    <w:rPr>
      <w:rFonts w:ascii="宋体" w:hAnsi="宋体" w:cs="宋体"/>
      <w:sz w:val="18"/>
      <w:szCs w:val="18"/>
      <w:lang w:eastAsia="en-US"/>
    </w:rPr>
  </w:style>
  <w:style w:type="character" w:styleId="952" w:customStyle="1">
    <w:name w:val="hover"/>
    <w:basedOn w:val="744"/>
    <w:uiPriority w:val="0"/>
    <w:qFormat/>
    <w:rPr>
      <w:color w:val="ffffff"/>
    </w:rPr>
  </w:style>
  <w:style w:type="character" w:styleId="953" w:customStyle="1">
    <w:name w:val="hover1"/>
    <w:basedOn w:val="744"/>
    <w:uiPriority w:val="0"/>
    <w:qFormat/>
    <w:rPr>
      <w:color w:val="5fb878"/>
    </w:rPr>
  </w:style>
  <w:style w:type="character" w:styleId="954" w:customStyle="1">
    <w:name w:val="hover2"/>
    <w:basedOn w:val="744"/>
    <w:uiPriority w:val="0"/>
    <w:qFormat/>
    <w:rPr>
      <w:color w:val="5fb878"/>
    </w:rPr>
  </w:style>
  <w:style w:type="character" w:styleId="955" w:customStyle="1">
    <w:name w:val="font31"/>
    <w:basedOn w:val="744"/>
    <w:uiPriority w:val="0"/>
    <w:qFormat/>
    <w:rPr>
      <w:rFonts w:ascii="宋体" w:hAnsi="宋体" w:eastAsia="宋体" w:cs="宋体"/>
      <w:color w:val="000000"/>
      <w:sz w:val="10"/>
      <w:szCs w:val="10"/>
      <w:u w:val="none"/>
    </w:rPr>
  </w:style>
  <w:style w:type="character" w:styleId="956" w:customStyle="1">
    <w:name w:val="font11"/>
    <w:basedOn w:val="744"/>
    <w:uiPriority w:val="0"/>
    <w:qFormat/>
    <w:rPr>
      <w:rFonts w:ascii="宋体" w:hAnsi="宋体" w:eastAsia="宋体" w:cs="宋体"/>
      <w:b/>
      <w:bCs/>
      <w:color w:val="000000"/>
      <w:sz w:val="10"/>
      <w:szCs w:val="10"/>
      <w:u w:val="none"/>
    </w:rPr>
  </w:style>
  <w:style w:type="character" w:styleId="957" w:customStyle="1">
    <w:name w:val="正文缩进 Char"/>
    <w:link w:val="747"/>
    <w:uiPriority w:val="0"/>
    <w:qFormat/>
    <w:rPr>
      <w:rFonts w:ascii="宋体" w:hAnsi="宋体" w:cs="宋体"/>
      <w:sz w:val="22"/>
      <w:lang w:eastAsia="en-US"/>
    </w:rPr>
  </w:style>
  <w:style w:type="paragraph" w:styleId="958" w:customStyle="1">
    <w:name w:val="普通正文"/>
    <w:basedOn w:val="734"/>
    <w:uiPriority w:val="0"/>
    <w:qFormat/>
    <w:pPr>
      <w:ind w:firstLine="480"/>
      <w:spacing w:before="120" w:after="120" w:line="360" w:lineRule="auto"/>
    </w:pPr>
    <w:rPr>
      <w:rFonts w:ascii="Arial" w:hAnsi="Arial" w:cs="Times New Roman"/>
      <w:sz w:val="24"/>
      <w:szCs w:val="24"/>
      <w:lang w:eastAsia="zh-CN"/>
    </w:rPr>
  </w:style>
  <w:style w:type="character" w:styleId="959" w:customStyle="1">
    <w:name w:val="Default Char"/>
    <w:link w:val="794"/>
    <w:uiPriority w:val="99"/>
    <w:qFormat/>
    <w:rPr>
      <w:rFonts w:ascii="仿宋_GB2312" w:eastAsia="仿宋_GB2312"/>
      <w:color w:val="000000"/>
      <w:sz w:val="24"/>
      <w:szCs w:val="24"/>
    </w:rPr>
  </w:style>
  <w:style w:type="character" w:styleId="960" w:customStyle="1">
    <w:name w:val="NormalCharacter"/>
    <w:uiPriority w:val="0"/>
    <w:qFormat/>
  </w:style>
  <w:style w:type="paragraph" w:styleId="961"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62" w:customStyle="1">
    <w:name w:val="样式 标题 3 + (中文) 黑体 小四 非加粗 段前: 7.8 磅 段后: 0 磅 行距: 固定值 20 磅"/>
    <w:basedOn w:val="737"/>
    <w:uiPriority w:val="0"/>
    <w:qFormat/>
    <w:pPr>
      <w:spacing w:before="0" w:after="0"/>
    </w:pPr>
    <w:rPr>
      <w:rFonts w:eastAsia="黑体" w:cs="宋体"/>
      <w:szCs w:val="20"/>
    </w:rPr>
  </w:style>
  <w:style w:type="paragraph" w:styleId="963" w:customStyle="1">
    <w:name w:val="UserStyle_609"/>
    <w:basedOn w:val="734"/>
    <w:uiPriority w:val="0"/>
    <w:qFormat/>
    <w:pPr>
      <w:ind w:left="360" w:right="360"/>
      <w:jc w:val="left"/>
      <w:spacing w:before="100" w:after="100"/>
    </w:pPr>
    <w:rPr>
      <w:rFonts w:ascii="Times New Roman" w:hAnsi="Times New Roman"/>
      <w:sz w:val="24"/>
      <w:szCs w:val="20"/>
    </w:rPr>
  </w:style>
  <w:style w:type="paragraph" w:styleId="964" w:customStyle="1">
    <w:name w:val="PlainText"/>
    <w:basedOn w:val="734"/>
    <w:uiPriority w:val="0"/>
    <w:qFormat/>
    <w:rPr>
      <w:rFonts w:ascii="宋体" w:hAnsi="Courier New"/>
      <w:szCs w:val="21"/>
    </w:rPr>
  </w:style>
  <w:style w:type="paragraph" w:styleId="965" w:customStyle="1">
    <w:name w:val="AnnotationText"/>
    <w:basedOn w:val="734"/>
    <w:uiPriority w:val="0"/>
    <w:qFormat/>
    <w:pPr>
      <w:jc w:val="left"/>
    </w:pPr>
  </w:style>
  <w:style w:type="paragraph" w:styleId="966" w:customStyle="1">
    <w:name w:val="BodyText"/>
    <w:basedOn w:val="734"/>
    <w:uiPriority w:val="0"/>
    <w:qFormat/>
    <w:pPr>
      <w:jc w:val="left"/>
      <w:spacing w:line="312" w:lineRule="atLeast"/>
      <w:tabs>
        <w:tab w:val="left" w:pos="1160" w:leader="none"/>
        <w:tab w:val="left" w:pos="2423" w:leader="none"/>
      </w:tabs>
    </w:pPr>
    <w:rPr>
      <w:szCs w:val="20"/>
    </w:rPr>
  </w:style>
  <w:style w:type="paragraph" w:styleId="967" w:customStyle="1">
    <w:name w:val="正文首行缩进 21"/>
    <w:basedOn w:val="968"/>
    <w:uiPriority w:val="0"/>
    <w:qFormat/>
    <w:pPr>
      <w:ind w:left="420" w:firstLine="420"/>
      <w:jc w:val="both"/>
      <w:spacing w:after="120"/>
      <w:widowControl w:val="off"/>
    </w:pPr>
    <w:rPr>
      <w:rFonts w:ascii="Calibri" w:hAnsi="Calibri" w:eastAsia="宋体" w:cs="Times New Roman"/>
      <w:sz w:val="18"/>
      <w:szCs w:val="18"/>
      <w:lang w:val="en-US" w:eastAsia="zh-CN" w:bidi="ar-SA"/>
    </w:rPr>
  </w:style>
  <w:style w:type="paragraph" w:styleId="968" w:customStyle="1">
    <w:name w:val="正文文本缩进1"/>
    <w:basedOn w:val="734"/>
    <w:next w:val="969"/>
    <w:uiPriority w:val="0"/>
    <w:qFormat/>
    <w:pPr>
      <w:ind w:firstLine="645"/>
    </w:pPr>
    <w:rPr>
      <w:rFonts w:ascii="楷体_GB2312" w:eastAsia="楷体_GB2312"/>
      <w:sz w:val="32"/>
      <w:szCs w:val="20"/>
      <w:lang w:val="en-US" w:eastAsia="en-US"/>
    </w:rPr>
  </w:style>
  <w:style w:type="paragraph" w:styleId="969" w:customStyle="1">
    <w:name w:val="寄信人地址1"/>
    <w:basedOn w:val="734"/>
    <w:uiPriority w:val="0"/>
    <w:qFormat/>
    <w:rPr>
      <w:rFonts w:ascii="Calibri" w:hAnsi="Calibri" w:eastAsia="宋体" w:cs="Times New Roman"/>
    </w:rPr>
  </w:style>
  <w:style w:type="paragraph" w:styleId="970" w:customStyle="1">
    <w:name w:val="Address"/>
    <w:basedOn w:val="734"/>
    <w:next w:val="734"/>
    <w:uiPriority w:val="0"/>
    <w:qFormat/>
    <w:pPr>
      <w:jc w:val="left"/>
    </w:pPr>
    <w:rPr>
      <w:i/>
      <w:sz w:val="24"/>
      <w:szCs w:val="20"/>
    </w:rPr>
  </w:style>
  <w:style w:type="paragraph" w:styleId="971" w:customStyle="1">
    <w:name w:val="列出段落2"/>
    <w:basedOn w:val="734"/>
    <w:uiPriority w:val="0"/>
    <w:qFormat/>
    <w:pPr>
      <w:ind w:firstLine="420"/>
    </w:pPr>
    <w:rPr>
      <w:rFonts w:ascii="Calibri" w:hAnsi="Calibri" w:eastAsia="宋体" w:cs="Times New Roman"/>
      <w:szCs w:val="22"/>
    </w:rPr>
  </w:style>
  <w:style w:type="numbering" w:styleId="16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59CCDB-4D08-435F-BA83-7E4D016C936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刘青</cp:lastModifiedBy>
  <cp:revision>37</cp:revision>
  <dcterms:created xsi:type="dcterms:W3CDTF">2022-05-24T02:54:00Z</dcterms:created>
  <dcterms:modified xsi:type="dcterms:W3CDTF">2026-04-22T07:35:24Z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2052-12.1.0.25225</vt:lpwstr>
  </property>
  <property fmtid="{D5CDD505-2E9C-101B-9397-08002B2CF9AE}" pid="5" name="ICV">
    <vt:lpwstr>F8BB662C8C0F4CED9732BEDE2F6051EE_13</vt:lpwstr>
  </property>
  <property fmtid="{D5CDD505-2E9C-101B-9397-08002B2CF9AE}" pid="6" name="KSOTemplateDocerSaveRecord">
    <vt:lpwstr>eyJoZGlkIjoiNDFjY2U0OTY2MmEyZjg1NGRjMGQzNGFlMzUzNTFkMzkiLCJ1c2VySWQiOiI1NDM5Mzk2NTgifQ==</vt:lpwstr>
  </property>
</Properties>
</file>