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4"/>
        <w:ind w:firstLine="0"/>
        <w:jc w:val="center"/>
        <w:spacing w:line="48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184"/>
        <w:ind w:firstLine="0"/>
        <w:jc w:val="center"/>
        <w:spacing w:line="48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184"/>
        <w:ind w:firstLine="0"/>
        <w:jc w:val="center"/>
        <w:spacing w:line="48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184"/>
        <w:ind w:firstLine="0"/>
        <w:jc w:val="center"/>
        <w:spacing w:line="48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184"/>
        <w:ind w:firstLine="0"/>
        <w:jc w:val="center"/>
        <w:rPr>
          <w:rFonts w:ascii="宋体" w:hAnsi="宋体" w:cs="宋体"/>
          <w:b/>
          <w:bCs/>
          <w:color w:val="auto"/>
          <w:sz w:val="72"/>
          <w:szCs w:val="72"/>
          <w:highlight w:val="none"/>
        </w:rPr>
      </w:pPr>
      <w:r/>
      <w:bookmarkStart w:id="0" w:name="_Toc1093"/>
      <w:r>
        <w:rPr>
          <w:rFonts w:hint="eastAsia" w:ascii="宋体" w:hAnsi="宋体" w:cs="宋体"/>
          <w:b/>
          <w:bCs/>
          <w:color w:val="auto"/>
          <w:sz w:val="72"/>
          <w:szCs w:val="72"/>
          <w:highlight w:val="none"/>
        </w:rPr>
        <w:t xml:space="preserve">竞争性磋商文件</w:t>
      </w:r>
      <w:bookmarkEnd w:id="0"/>
      <w:r/>
      <w:r/>
    </w:p>
    <w:p>
      <w:pPr>
        <w:pStyle w:val="1184"/>
        <w:ind w:firstLine="0"/>
        <w:jc w:val="center"/>
        <w:spacing w:line="240" w:lineRule="auto"/>
        <w:rPr>
          <w:rFonts w:ascii="宋体" w:hAnsi="宋体" w:cs="宋体"/>
          <w:bCs/>
          <w:color w:val="auto"/>
          <w:highlight w:val="none"/>
        </w:rPr>
      </w:pPr>
      <w:r>
        <w:rPr>
          <w:rFonts w:ascii="宋体" w:hAnsi="宋体" w:cs="宋体"/>
          <w:bCs/>
          <w:color w:val="auto"/>
          <w:highlight w:val="none"/>
        </w:rPr>
      </w:r>
      <w:r/>
    </w:p>
    <w:p>
      <w:pPr>
        <w:pStyle w:val="1184"/>
        <w:ind w:firstLine="0"/>
        <w:jc w:val="center"/>
        <w:spacing w:line="240" w:lineRule="auto"/>
        <w:rPr>
          <w:rFonts w:ascii="宋体" w:hAnsi="宋体" w:cs="宋体"/>
          <w:bCs/>
          <w:color w:val="auto"/>
          <w:highlight w:val="none"/>
        </w:rPr>
      </w:pPr>
      <w:r>
        <w:rPr>
          <w:rFonts w:ascii="宋体" w:hAnsi="宋体" w:cs="宋体"/>
          <w:bCs/>
          <w:color w:val="auto"/>
          <w:highlight w:val="none"/>
        </w:rPr>
      </w:r>
      <w:r/>
    </w:p>
    <w:p>
      <w:pPr>
        <w:pStyle w:val="1184"/>
        <w:ind w:firstLine="0"/>
        <w:jc w:val="center"/>
        <w:spacing w:line="240" w:lineRule="auto"/>
        <w:rPr>
          <w:rFonts w:ascii="宋体" w:hAnsi="宋体" w:cs="宋体"/>
          <w:bCs/>
          <w:color w:val="auto"/>
          <w:highlight w:val="none"/>
        </w:rPr>
      </w:pPr>
      <w:r>
        <w:rPr>
          <w:rFonts w:ascii="宋体" w:hAnsi="宋体" w:cs="宋体"/>
          <w:bCs/>
          <w:color w:val="auto"/>
          <w:highlight w:val="none"/>
        </w:rPr>
      </w:r>
      <w:r/>
    </w:p>
    <w:p>
      <w:pPr>
        <w:pStyle w:val="1184"/>
        <w:ind w:firstLine="1124"/>
        <w:jc w:val="both"/>
        <w:spacing w:before="240" w:after="20"/>
        <w:rPr>
          <w:rFonts w:hint="eastAsia" w:ascii="宋体" w:hAnsi="宋体" w:cs="宋体"/>
          <w:b/>
          <w:bCs/>
          <w:color w:val="auto"/>
          <w:sz w:val="28"/>
          <w:szCs w:val="28"/>
          <w:highlight w:val="none"/>
          <w:lang w:eastAsia="zh-CN"/>
        </w:rPr>
      </w:pPr>
      <w:r/>
      <w:bookmarkStart w:id="1" w:name="_Toc32031"/>
      <w:r>
        <w:rPr>
          <w:rFonts w:hint="eastAsia" w:ascii="宋体" w:hAnsi="宋体" w:cs="宋体"/>
          <w:b/>
          <w:bCs/>
          <w:color w:val="auto"/>
          <w:sz w:val="28"/>
          <w:szCs w:val="28"/>
          <w:highlight w:val="none"/>
        </w:rPr>
        <w:t xml:space="preserve">项目名称：</w:t>
      </w:r>
      <w:bookmarkEnd w:id="1"/>
      <w:r>
        <w:rPr>
          <w:rFonts w:hint="eastAsia" w:ascii="宋体" w:hAnsi="宋体" w:cs="宋体"/>
          <w:b/>
          <w:bCs/>
          <w:color w:val="auto"/>
          <w:sz w:val="28"/>
          <w:szCs w:val="28"/>
          <w:highlight w:val="none"/>
          <w:lang w:eastAsia="zh-CN"/>
        </w:rPr>
        <w:t xml:space="preserve">2026年黄桥镇农村公路维护工程</w:t>
      </w:r>
      <w:r/>
    </w:p>
    <w:p>
      <w:pPr>
        <w:pStyle w:val="1184"/>
        <w:ind w:firstLine="1124"/>
        <w:jc w:val="both"/>
        <w:spacing w:before="240" w:after="20"/>
        <w:rPr>
          <w:rFonts w:hint="eastAsia" w:ascii="宋体" w:hAnsi="宋体" w:eastAsia="宋体" w:cs="宋体"/>
          <w:b/>
          <w:bCs/>
          <w:color w:val="auto"/>
          <w:sz w:val="28"/>
          <w:szCs w:val="28"/>
          <w:highlight w:val="none"/>
          <w:lang w:eastAsia="zh-CN"/>
        </w:rPr>
      </w:pPr>
      <w:r/>
      <w:bookmarkStart w:id="611" w:name="_GoBack"/>
      <w:r>
        <w:rPr>
          <w:rFonts w:hint="eastAsia" w:ascii="宋体" w:hAnsi="宋体" w:cs="宋体"/>
          <w:b/>
          <w:bCs/>
          <w:color w:val="auto"/>
          <w:sz w:val="28"/>
          <w:szCs w:val="28"/>
          <w:highlight w:val="none"/>
        </w:rPr>
        <w:t xml:space="preserve">项目编号</w:t>
      </w:r>
      <w:bookmarkEnd w:id="611"/>
      <w:r>
        <w:rPr>
          <w:rFonts w:hint="eastAsia" w:ascii="宋体" w:hAnsi="宋体" w:cs="宋体"/>
          <w:b/>
          <w:bCs/>
          <w:color w:val="auto"/>
          <w:sz w:val="28"/>
          <w:szCs w:val="28"/>
          <w:highlight w:val="none"/>
        </w:rPr>
        <w:t xml:space="preserve">：JSZC-321283-TXXC-C2026-0004</w:t>
      </w:r>
      <w:r/>
    </w:p>
    <w:p>
      <w:pPr>
        <w:pStyle w:val="1184"/>
        <w:jc w:val="center"/>
        <w:spacing w:before="0" w:after="0" w:line="360" w:lineRule="exact"/>
        <w:rPr>
          <w:rFonts w:ascii="宋体" w:hAnsi="宋体" w:cs="宋体"/>
          <w:color w:val="auto"/>
          <w:highlight w:val="none"/>
        </w:rPr>
      </w:pPr>
      <w:r>
        <w:rPr>
          <w:rFonts w:ascii="宋体" w:hAnsi="宋体" w:cs="宋体"/>
          <w:color w:val="auto"/>
          <w:highlight w:val="none"/>
        </w:rPr>
      </w:r>
      <w:r/>
    </w:p>
    <w:p>
      <w:pPr>
        <w:pStyle w:val="1184"/>
        <w:jc w:val="center"/>
        <w:spacing w:before="0" w:after="0" w:line="360" w:lineRule="exact"/>
        <w:rPr>
          <w:rFonts w:ascii="宋体" w:hAnsi="宋体" w:cs="宋体"/>
          <w:color w:val="auto"/>
          <w:highlight w:val="none"/>
        </w:rPr>
      </w:pPr>
      <w:r>
        <w:rPr>
          <w:rFonts w:ascii="宋体" w:hAnsi="宋体" w:cs="宋体"/>
          <w:color w:val="auto"/>
          <w:highlight w:val="none"/>
        </w:rPr>
      </w:r>
      <w:r/>
    </w:p>
    <w:p>
      <w:pPr>
        <w:pStyle w:val="1184"/>
        <w:jc w:val="center"/>
        <w:spacing w:before="0" w:after="0" w:line="500" w:lineRule="exact"/>
        <w:rPr>
          <w:rFonts w:ascii="宋体" w:hAnsi="宋体" w:cs="宋体"/>
          <w:color w:val="auto"/>
          <w:highlight w:val="none"/>
        </w:rPr>
      </w:pPr>
      <w:r>
        <w:rPr>
          <w:rFonts w:ascii="宋体" w:hAnsi="宋体" w:cs="宋体"/>
          <w:color w:val="auto"/>
          <w:highlight w:val="none"/>
        </w:rPr>
      </w:r>
      <w:r/>
    </w:p>
    <w:p>
      <w:pPr>
        <w:pStyle w:val="1184"/>
        <w:jc w:val="center"/>
        <w:spacing w:before="0" w:after="0" w:line="500" w:lineRule="exact"/>
        <w:rPr>
          <w:rFonts w:ascii="宋体" w:hAnsi="宋体" w:cs="宋体"/>
          <w:color w:val="auto"/>
          <w:highlight w:val="none"/>
        </w:rPr>
      </w:pPr>
      <w:r>
        <w:rPr>
          <w:rFonts w:ascii="宋体" w:hAnsi="宋体" w:cs="宋体"/>
          <w:color w:val="auto"/>
          <w:highlight w:val="none"/>
        </w:rPr>
      </w:r>
      <w:r/>
    </w:p>
    <w:p>
      <w:pPr>
        <w:pStyle w:val="1184"/>
        <w:jc w:val="center"/>
        <w:spacing w:before="0" w:after="0" w:line="500" w:lineRule="exact"/>
        <w:rPr>
          <w:rFonts w:ascii="宋体" w:hAnsi="宋体" w:cs="宋体"/>
          <w:color w:val="auto"/>
          <w:highlight w:val="none"/>
        </w:rPr>
      </w:pPr>
      <w:r>
        <w:rPr>
          <w:rFonts w:ascii="宋体" w:hAnsi="宋体" w:cs="宋体"/>
          <w:color w:val="auto"/>
          <w:highlight w:val="none"/>
        </w:rPr>
      </w:r>
      <w:r/>
    </w:p>
    <w:p>
      <w:pPr>
        <w:pStyle w:val="1184"/>
        <w:jc w:val="center"/>
        <w:spacing w:before="0" w:after="0" w:line="500" w:lineRule="exact"/>
        <w:rPr>
          <w:rFonts w:ascii="宋体" w:hAnsi="宋体" w:cs="宋体"/>
          <w:color w:val="auto"/>
          <w:highlight w:val="none"/>
        </w:rPr>
      </w:pPr>
      <w:r>
        <w:rPr>
          <w:rFonts w:ascii="宋体" w:hAnsi="宋体" w:cs="宋体"/>
          <w:color w:val="auto"/>
          <w:highlight w:val="none"/>
        </w:rPr>
      </w:r>
      <w:r/>
    </w:p>
    <w:p>
      <w:pPr>
        <w:pStyle w:val="1184"/>
        <w:jc w:val="center"/>
        <w:spacing w:before="0" w:after="0" w:line="500" w:lineRule="exact"/>
        <w:rPr>
          <w:rFonts w:ascii="宋体" w:hAnsi="宋体" w:cs="宋体"/>
          <w:color w:val="auto"/>
          <w:highlight w:val="none"/>
        </w:rPr>
      </w:pPr>
      <w:r>
        <w:rPr>
          <w:rFonts w:ascii="宋体" w:hAnsi="宋体" w:cs="宋体"/>
          <w:color w:val="auto"/>
          <w:highlight w:val="none"/>
        </w:rPr>
      </w:r>
      <w:r/>
    </w:p>
    <w:p>
      <w:pPr>
        <w:ind w:firstLine="1205"/>
        <w:jc w:val="both"/>
        <w:spacing w:line="480" w:lineRule="auto"/>
        <w:shd w:val="clear" w:color="auto" w:fill="ffffff"/>
        <w:widowControl/>
        <w:rPr>
          <w:rFonts w:hint="eastAsia" w:ascii="宋体" w:hAnsi="宋体" w:eastAsia="宋体" w:cs="宋体"/>
          <w:b/>
          <w:bCs/>
          <w:color w:val="auto"/>
          <w:sz w:val="30"/>
          <w:szCs w:val="30"/>
          <w:highlight w:val="none"/>
          <w:u w:val="single"/>
          <w:lang w:eastAsia="zh-CN"/>
        </w:rPr>
      </w:pPr>
      <w:r/>
      <w:bookmarkStart w:id="2" w:name="_Toc16741"/>
      <w:r>
        <w:rPr>
          <w:rFonts w:hint="eastAsia" w:ascii="宋体" w:hAnsi="宋体" w:cs="宋体"/>
          <w:b/>
          <w:bCs/>
          <w:color w:val="auto"/>
          <w:sz w:val="30"/>
          <w:szCs w:val="30"/>
          <w:highlight w:val="none"/>
        </w:rPr>
        <w:t xml:space="preserve">采</w:t>
      </w:r>
      <w:r>
        <w:rPr>
          <w:rFonts w:hint="eastAsia" w:ascii="宋体" w:hAnsi="宋体" w:cs="宋体"/>
          <w:b/>
          <w:bCs/>
          <w:color w:val="auto"/>
          <w:sz w:val="30"/>
          <w:szCs w:val="30"/>
          <w:highlight w:val="none"/>
          <w:lang w:val="en-US" w:eastAsia="zh-CN"/>
        </w:rPr>
        <w:t xml:space="preserve"> </w:t>
      </w:r>
      <w:r>
        <w:rPr>
          <w:rFonts w:hint="eastAsia" w:ascii="宋体" w:hAnsi="宋体" w:cs="宋体"/>
          <w:b/>
          <w:bCs/>
          <w:color w:val="auto"/>
          <w:sz w:val="30"/>
          <w:szCs w:val="30"/>
          <w:highlight w:val="none"/>
        </w:rPr>
        <w:t xml:space="preserve">购</w:t>
      </w:r>
      <w:r>
        <w:rPr>
          <w:rFonts w:hint="eastAsia" w:ascii="宋体" w:hAnsi="宋体" w:cs="宋体"/>
          <w:b/>
          <w:bCs/>
          <w:color w:val="auto"/>
          <w:sz w:val="30"/>
          <w:szCs w:val="30"/>
          <w:highlight w:val="none"/>
          <w:lang w:val="en-US" w:eastAsia="zh-CN"/>
        </w:rPr>
        <w:t xml:space="preserve"> </w:t>
      </w:r>
      <w:r>
        <w:rPr>
          <w:rFonts w:hint="eastAsia" w:ascii="宋体" w:hAnsi="宋体" w:cs="宋体"/>
          <w:b/>
          <w:bCs/>
          <w:color w:val="auto"/>
          <w:sz w:val="30"/>
          <w:szCs w:val="30"/>
          <w:highlight w:val="none"/>
        </w:rPr>
        <w:t xml:space="preserve">人：</w:t>
      </w:r>
      <w:bookmarkEnd w:id="2"/>
      <w:r/>
      <w:bookmarkStart w:id="3" w:name="_Toc14640"/>
      <w:r/>
      <w:bookmarkStart w:id="4" w:name="_Toc21970"/>
      <w:r>
        <w:rPr>
          <w:rFonts w:hint="eastAsia" w:ascii="宋体" w:hAnsi="宋体" w:cs="宋体"/>
          <w:b/>
          <w:bCs/>
          <w:color w:val="auto"/>
          <w:sz w:val="30"/>
          <w:szCs w:val="30"/>
          <w:highlight w:val="none"/>
          <w:u w:val="single"/>
          <w:lang w:eastAsia="zh-CN"/>
        </w:rPr>
        <w:t xml:space="preserve">泰兴市黄桥镇人民政府</w:t>
      </w:r>
      <w:r/>
    </w:p>
    <w:p>
      <w:pPr>
        <w:ind w:firstLine="1205"/>
        <w:jc w:val="both"/>
        <w:spacing w:line="480" w:lineRule="auto"/>
        <w:shd w:val="clear" w:color="auto" w:fill="ffffff"/>
        <w:widowControl/>
        <w:rPr>
          <w:rFonts w:hint="eastAsia" w:ascii="宋体" w:hAnsi="宋体" w:eastAsia="宋体" w:cs="宋体"/>
          <w:b/>
          <w:bCs/>
          <w:color w:val="auto"/>
          <w:sz w:val="30"/>
          <w:szCs w:val="30"/>
          <w:highlight w:val="none"/>
          <w:u w:val="single"/>
          <w:lang w:eastAsia="zh-CN"/>
        </w:rPr>
      </w:pPr>
      <w:r/>
      <w:bookmarkStart w:id="5" w:name="_Toc29762"/>
      <w:r>
        <w:rPr>
          <w:rFonts w:hint="eastAsia" w:ascii="宋体" w:hAnsi="宋体" w:cs="宋体"/>
          <w:b/>
          <w:bCs/>
          <w:color w:val="auto"/>
          <w:sz w:val="30"/>
          <w:szCs w:val="30"/>
          <w:highlight w:val="none"/>
          <w:lang w:val="en-US" w:eastAsia="zh-CN"/>
        </w:rPr>
        <w:t xml:space="preserve">采购</w:t>
      </w:r>
      <w:r>
        <w:rPr>
          <w:rFonts w:hint="eastAsia" w:ascii="宋体" w:hAnsi="宋体" w:cs="宋体"/>
          <w:b/>
          <w:bCs/>
          <w:color w:val="auto"/>
          <w:sz w:val="30"/>
          <w:szCs w:val="30"/>
          <w:highlight w:val="none"/>
        </w:rPr>
        <w:t xml:space="preserve">代理机构：</w:t>
      </w:r>
      <w:bookmarkEnd w:id="3"/>
      <w:r/>
      <w:bookmarkEnd w:id="4"/>
      <w:r/>
      <w:bookmarkEnd w:id="5"/>
      <w:r>
        <w:rPr>
          <w:rFonts w:hint="eastAsia" w:ascii="宋体" w:hAnsi="宋体" w:cs="宋体"/>
          <w:b/>
          <w:bCs/>
          <w:color w:val="auto"/>
          <w:sz w:val="30"/>
          <w:szCs w:val="30"/>
          <w:highlight w:val="none"/>
          <w:u w:val="single"/>
          <w:lang w:eastAsia="zh-CN"/>
        </w:rPr>
        <w:t xml:space="preserve">江苏鑫澄工程管理有限公司</w:t>
      </w:r>
      <w:r/>
    </w:p>
    <w:p>
      <w:pPr>
        <w:pStyle w:val="1184"/>
        <w:ind w:firstLine="0"/>
        <w:jc w:val="center"/>
        <w:rPr>
          <w:rFonts w:hint="eastAsia" w:ascii="宋体" w:hAnsi="宋体" w:cs="宋体"/>
          <w:b/>
          <w:bCs/>
          <w:color w:val="auto"/>
          <w:sz w:val="30"/>
          <w:szCs w:val="30"/>
          <w:highlight w:val="none"/>
        </w:rPr>
        <w:sectPr>
          <w:footerReference w:type="default" r:id="rId10"/>
          <w:footnotePr/>
          <w:endnotePr/>
          <w:type w:val="nextPage"/>
          <w:pgSz w:w="11906" w:h="16838" w:orient="portrait"/>
          <w:pgMar w:top="1440" w:right="1800" w:bottom="1440" w:left="1800" w:header="850" w:footer="992" w:gutter="0"/>
          <w:pgNumType w:start="1"/>
          <w:cols w:num="1" w:sep="0" w:space="720" w:equalWidth="1"/>
          <w:docGrid w:linePitch="360"/>
        </w:sectPr>
      </w:pPr>
      <w:r>
        <w:rPr>
          <w:rFonts w:hint="eastAsia" w:ascii="宋体" w:hAnsi="宋体" w:cs="宋体"/>
          <w:b/>
          <w:bCs/>
          <w:color w:val="auto"/>
          <w:sz w:val="30"/>
          <w:szCs w:val="30"/>
          <w:highlight w:val="none"/>
        </w:rPr>
        <w:t xml:space="preserve">202</w:t>
      </w:r>
      <w:r>
        <w:rPr>
          <w:rFonts w:hint="eastAsia" w:ascii="宋体" w:hAnsi="宋体" w:cs="宋体"/>
          <w:b/>
          <w:bCs/>
          <w:color w:val="auto"/>
          <w:sz w:val="30"/>
          <w:szCs w:val="30"/>
          <w:highlight w:val="none"/>
          <w:lang w:val="en-US" w:eastAsia="zh-CN"/>
        </w:rPr>
        <w:t xml:space="preserve">6</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4</w:t>
      </w:r>
      <w:r>
        <w:rPr>
          <w:rFonts w:hint="eastAsia" w:ascii="宋体" w:hAnsi="宋体" w:cs="宋体"/>
          <w:b/>
          <w:bCs/>
          <w:color w:val="auto"/>
          <w:sz w:val="30"/>
          <w:szCs w:val="30"/>
          <w:highlight w:val="none"/>
        </w:rPr>
        <w:t xml:space="preserve">月</w:t>
      </w:r>
      <w:r/>
    </w:p>
    <w:p>
      <w:pPr>
        <w:pStyle w:val="1184"/>
        <w:ind w:firstLine="0"/>
        <w:jc w:val="center"/>
        <w:rPr>
          <w:rFonts w:ascii="宋体" w:hAnsi="宋体" w:cs="宋体"/>
          <w:color w:val="auto"/>
          <w:highlight w:val="none"/>
        </w:rPr>
      </w:pPr>
      <w:r>
        <w:rPr>
          <w:rFonts w:hint="eastAsia" w:ascii="宋体" w:hAnsi="宋体" w:cs="宋体"/>
          <w:b/>
          <w:bCs/>
          <w:color w:val="auto"/>
          <w:sz w:val="36"/>
          <w:szCs w:val="36"/>
          <w:highlight w:val="none"/>
        </w:rPr>
        <w:t xml:space="preserve">目  录</w:t>
      </w:r>
      <w:r/>
    </w:p>
    <w:p>
      <w:pPr>
        <w:pStyle w:val="881"/>
        <w:spacing w:line="360" w:lineRule="auto"/>
        <w:tabs>
          <w:tab w:val="right" w:pos="8306" w:leader="dot"/>
        </w:tabs>
        <w:rPr>
          <w:color w:val="auto"/>
          <w:highlight w:val="none"/>
        </w:rPr>
      </w:pP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TOC \o "1-2" \h \u </w:instrText>
      </w:r>
      <w:r>
        <w:rPr>
          <w:rFonts w:hint="eastAsia" w:ascii="宋体" w:hAnsi="宋体" w:cs="宋体"/>
          <w:b/>
          <w:bCs/>
          <w:color w:val="auto"/>
          <w:sz w:val="30"/>
          <w:szCs w:val="30"/>
          <w:highlight w:val="none"/>
        </w:rPr>
        <w:fldChar w:fldCharType="separate"/>
      </w: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_Toc29181 </w:instrText>
      </w:r>
      <w:r>
        <w:rPr>
          <w:rFonts w:hint="eastAsia" w:ascii="宋体" w:hAnsi="宋体" w:cs="宋体"/>
          <w:bCs/>
          <w:color w:val="auto"/>
          <w:szCs w:val="30"/>
          <w:highlight w:val="none"/>
        </w:rPr>
        <w:fldChar w:fldCharType="separate"/>
      </w:r>
      <w:r>
        <w:rPr>
          <w:rFonts w:hint="eastAsia" w:ascii="宋体" w:hAnsi="宋体" w:cs="宋体"/>
          <w:color w:val="auto"/>
          <w:szCs w:val="30"/>
          <w:highlight w:val="none"/>
        </w:rPr>
        <w:t xml:space="preserve">第一章  竞争性磋商公告</w:t>
      </w:r>
      <w:r>
        <w:rPr>
          <w:color w:val="auto"/>
          <w:highlight w:val="none"/>
        </w:rPr>
        <w:tab/>
      </w:r>
      <w:r>
        <w:rPr>
          <w:color w:val="auto"/>
          <w:highlight w:val="none"/>
        </w:rPr>
        <w:fldChar w:fldCharType="begin"/>
      </w:r>
      <w:r>
        <w:rPr>
          <w:color w:val="auto"/>
          <w:highlight w:val="none"/>
        </w:rPr>
        <w:instrText xml:space="preserve"> PAGEREF _Toc29181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_Toc17538 </w:instrText>
      </w:r>
      <w:r>
        <w:rPr>
          <w:rFonts w:hint="eastAsia" w:ascii="宋体" w:hAnsi="宋体" w:cs="宋体"/>
          <w:bCs/>
          <w:color w:val="auto"/>
          <w:szCs w:val="30"/>
          <w:highlight w:val="none"/>
        </w:rPr>
        <w:fldChar w:fldCharType="separate"/>
      </w:r>
      <w:r>
        <w:rPr>
          <w:rFonts w:hint="eastAsia"/>
          <w:bCs/>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_Toc17538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_Toc14998 </w:instrText>
      </w:r>
      <w:r>
        <w:rPr>
          <w:rFonts w:hint="eastAsia" w:ascii="宋体" w:hAnsi="宋体" w:cs="宋体"/>
          <w:bCs/>
          <w:color w:val="auto"/>
          <w:szCs w:val="30"/>
          <w:highlight w:val="none"/>
        </w:rPr>
        <w:fldChar w:fldCharType="separate"/>
      </w:r>
      <w:r>
        <w:rPr>
          <w:rFonts w:hint="eastAsia"/>
          <w:bCs/>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_Toc14998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_Toc6047 </w:instrText>
      </w:r>
      <w:r>
        <w:rPr>
          <w:rFonts w:hint="eastAsia" w:ascii="宋体" w:hAnsi="宋体" w:cs="宋体"/>
          <w:bCs/>
          <w:color w:val="auto"/>
          <w:szCs w:val="30"/>
          <w:highlight w:val="none"/>
        </w:rPr>
        <w:fldChar w:fldCharType="separate"/>
      </w:r>
      <w:r>
        <w:rPr>
          <w:rFonts w:hint="eastAsia"/>
          <w:bCs/>
          <w:color w:val="auto"/>
          <w:szCs w:val="24"/>
          <w:highlight w:val="none"/>
        </w:rPr>
        <w:t xml:space="preserve">三、获取竞争性磋商文件</w:t>
      </w:r>
      <w:r>
        <w:rPr>
          <w:color w:val="auto"/>
          <w:highlight w:val="none"/>
        </w:rPr>
        <w:tab/>
      </w:r>
      <w:r>
        <w:rPr>
          <w:color w:val="auto"/>
          <w:highlight w:val="none"/>
        </w:rPr>
        <w:fldChar w:fldCharType="begin"/>
      </w:r>
      <w:r>
        <w:rPr>
          <w:color w:val="auto"/>
          <w:highlight w:val="none"/>
        </w:rPr>
        <w:instrText xml:space="preserve"> PAGEREF _Toc6047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_Toc27178 </w:instrText>
      </w:r>
      <w:r>
        <w:rPr>
          <w:rFonts w:hint="eastAsia" w:ascii="宋体" w:hAnsi="宋体" w:cs="宋体"/>
          <w:bCs/>
          <w:color w:val="auto"/>
          <w:szCs w:val="30"/>
          <w:highlight w:val="none"/>
        </w:rPr>
        <w:fldChar w:fldCharType="separate"/>
      </w:r>
      <w:r>
        <w:rPr>
          <w:rFonts w:hint="eastAsia" w:ascii="宋体" w:hAnsi="宋体" w:cs="宋体"/>
          <w:bCs/>
          <w:color w:val="auto"/>
          <w:szCs w:val="24"/>
          <w:highlight w:val="none"/>
        </w:rPr>
        <w:t xml:space="preserve">四、响应文件提交</w:t>
      </w:r>
      <w:r>
        <w:rPr>
          <w:color w:val="auto"/>
          <w:highlight w:val="none"/>
        </w:rPr>
        <w:tab/>
      </w:r>
      <w:r>
        <w:rPr>
          <w:color w:val="auto"/>
          <w:highlight w:val="none"/>
        </w:rPr>
        <w:fldChar w:fldCharType="begin"/>
      </w:r>
      <w:r>
        <w:rPr>
          <w:color w:val="auto"/>
          <w:highlight w:val="none"/>
        </w:rPr>
        <w:instrText xml:space="preserve"> PAGEREF _Toc27178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_Toc32579 </w:instrText>
      </w:r>
      <w:r>
        <w:rPr>
          <w:rFonts w:hint="eastAsia" w:ascii="宋体" w:hAnsi="宋体" w:cs="宋体"/>
          <w:bCs/>
          <w:color w:val="auto"/>
          <w:szCs w:val="30"/>
          <w:highlight w:val="none"/>
        </w:rPr>
        <w:fldChar w:fldCharType="separate"/>
      </w:r>
      <w:r>
        <w:rPr>
          <w:rFonts w:hint="eastAsia" w:ascii="宋体" w:hAnsi="宋体" w:cs="宋体"/>
          <w:bCs/>
          <w:color w:val="auto"/>
          <w:szCs w:val="24"/>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_Toc32579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_Toc31924 </w:instrText>
      </w:r>
      <w:r>
        <w:rPr>
          <w:rFonts w:hint="eastAsia" w:ascii="宋体" w:hAnsi="宋体" w:cs="宋体"/>
          <w:bCs/>
          <w:color w:val="auto"/>
          <w:szCs w:val="30"/>
          <w:highlight w:val="none"/>
        </w:rPr>
        <w:fldChar w:fldCharType="separate"/>
      </w:r>
      <w:r>
        <w:rPr>
          <w:rFonts w:hint="eastAsia" w:ascii="宋体" w:hAnsi="宋体" w:cs="宋体"/>
          <w:bCs/>
          <w:color w:val="auto"/>
          <w:szCs w:val="24"/>
          <w:highlight w:val="none"/>
        </w:rPr>
        <w:t xml:space="preserve">六、公告期限</w:t>
      </w:r>
      <w:r>
        <w:rPr>
          <w:color w:val="auto"/>
          <w:highlight w:val="none"/>
        </w:rPr>
        <w:tab/>
      </w:r>
      <w:r>
        <w:rPr>
          <w:color w:val="auto"/>
          <w:highlight w:val="none"/>
        </w:rPr>
        <w:fldChar w:fldCharType="begin"/>
      </w:r>
      <w:r>
        <w:rPr>
          <w:color w:val="auto"/>
          <w:highlight w:val="none"/>
        </w:rPr>
        <w:instrText xml:space="preserve"> PAGEREF _Toc31924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_Toc25949 </w:instrText>
      </w:r>
      <w:r>
        <w:rPr>
          <w:rFonts w:hint="eastAsia" w:ascii="宋体" w:hAnsi="宋体" w:cs="宋体"/>
          <w:bCs/>
          <w:color w:val="auto"/>
          <w:szCs w:val="30"/>
          <w:highlight w:val="none"/>
        </w:rPr>
        <w:fldChar w:fldCharType="separate"/>
      </w:r>
      <w:r>
        <w:rPr>
          <w:rFonts w:hint="eastAsia" w:ascii="宋体" w:hAnsi="宋体" w:cs="宋体"/>
          <w:bCs/>
          <w:color w:val="auto"/>
          <w:szCs w:val="24"/>
          <w:highlight w:val="none"/>
        </w:rPr>
        <w:t xml:space="preserve">七、其他补充事宜</w:t>
      </w:r>
      <w:r>
        <w:rPr>
          <w:color w:val="auto"/>
          <w:highlight w:val="none"/>
        </w:rPr>
        <w:tab/>
      </w:r>
      <w:r>
        <w:rPr>
          <w:color w:val="auto"/>
          <w:highlight w:val="none"/>
        </w:rPr>
        <w:fldChar w:fldCharType="begin"/>
      </w:r>
      <w:r>
        <w:rPr>
          <w:color w:val="auto"/>
          <w:highlight w:val="none"/>
        </w:rPr>
        <w:instrText xml:space="preserve"> PAGEREF _Toc25949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_Toc735 </w:instrText>
      </w:r>
      <w:r>
        <w:rPr>
          <w:rFonts w:hint="eastAsia" w:ascii="宋体" w:hAnsi="宋体" w:cs="宋体"/>
          <w:bCs/>
          <w:color w:val="auto"/>
          <w:szCs w:val="30"/>
          <w:highlight w:val="none"/>
        </w:rPr>
        <w:fldChar w:fldCharType="separate"/>
      </w:r>
      <w:r>
        <w:rPr>
          <w:rFonts w:hint="eastAsia" w:ascii="宋体" w:hAnsi="宋体" w:cs="宋体"/>
          <w:bCs/>
          <w:color w:val="auto"/>
          <w:szCs w:val="24"/>
          <w:highlight w:val="none"/>
        </w:rPr>
        <w:t xml:space="preserve">八、对本次磋商有任何意见或建议，请按以下方式联系</w:t>
      </w:r>
      <w:r>
        <w:rPr>
          <w:color w:val="auto"/>
          <w:highlight w:val="none"/>
        </w:rPr>
        <w:tab/>
      </w:r>
      <w:r>
        <w:rPr>
          <w:color w:val="auto"/>
          <w:highlight w:val="none"/>
        </w:rPr>
        <w:fldChar w:fldCharType="begin"/>
      </w:r>
      <w:r>
        <w:rPr>
          <w:color w:val="auto"/>
          <w:highlight w:val="none"/>
        </w:rPr>
        <w:instrText xml:space="preserve"> PAGEREF _Toc735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cs="宋体"/>
          <w:bCs/>
          <w:color w:val="auto"/>
          <w:szCs w:val="30"/>
          <w:highlight w:val="none"/>
        </w:rPr>
        <w:fldChar w:fldCharType="end"/>
      </w:r>
      <w:r/>
    </w:p>
    <w:p>
      <w:pPr>
        <w:pStyle w:val="881"/>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_Toc29845 </w:instrText>
      </w:r>
      <w:r>
        <w:rPr>
          <w:rFonts w:hint="eastAsia" w:ascii="宋体" w:hAnsi="宋体" w:cs="宋体"/>
          <w:bCs/>
          <w:color w:val="auto"/>
          <w:szCs w:val="30"/>
          <w:highlight w:val="none"/>
        </w:rPr>
        <w:fldChar w:fldCharType="separate"/>
      </w:r>
      <w:r>
        <w:rPr>
          <w:rFonts w:hint="eastAsia" w:ascii="宋体" w:hAnsi="宋体" w:eastAsia="宋体" w:cs="宋体"/>
          <w:color w:val="auto"/>
          <w:szCs w:val="30"/>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_Toc29845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_Toc3762 </w:instrText>
      </w:r>
      <w:r>
        <w:rPr>
          <w:rFonts w:hint="eastAsia" w:ascii="宋体" w:hAnsi="宋体" w:cs="宋体"/>
          <w:bCs/>
          <w:color w:val="auto"/>
          <w:szCs w:val="30"/>
          <w:highlight w:val="none"/>
        </w:rPr>
        <w:fldChar w:fldCharType="separate"/>
      </w:r>
      <w:r>
        <w:rPr>
          <w:rFonts w:hint="eastAsia" w:ascii="宋体" w:hAnsi="宋体" w:eastAsia="宋体" w:cs="宋体"/>
          <w:bCs/>
          <w:color w:val="auto"/>
          <w:szCs w:val="24"/>
          <w:highlight w:val="none"/>
        </w:rPr>
        <w:t xml:space="preserve">供应商须知前附表</w:t>
      </w:r>
      <w:r>
        <w:rPr>
          <w:color w:val="auto"/>
          <w:highlight w:val="none"/>
        </w:rPr>
        <w:tab/>
      </w:r>
      <w:r>
        <w:rPr>
          <w:color w:val="auto"/>
          <w:highlight w:val="none"/>
        </w:rPr>
        <w:fldChar w:fldCharType="begin"/>
      </w:r>
      <w:r>
        <w:rPr>
          <w:color w:val="auto"/>
          <w:highlight w:val="none"/>
        </w:rPr>
        <w:instrText xml:space="preserve"> PAGEREF _Toc3762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_Toc18636 </w:instrText>
      </w:r>
      <w:r>
        <w:rPr>
          <w:rFonts w:hint="eastAsia" w:ascii="宋体" w:hAnsi="宋体" w:cs="宋体"/>
          <w:bCs/>
          <w:color w:val="auto"/>
          <w:szCs w:val="30"/>
          <w:highlight w:val="none"/>
        </w:rPr>
        <w:fldChar w:fldCharType="separate"/>
      </w:r>
      <w:r>
        <w:rPr>
          <w:rFonts w:hint="eastAsia" w:ascii="宋体" w:hAnsi="宋体" w:eastAsia="宋体" w:cs="宋体"/>
          <w:bCs/>
          <w:color w:val="auto"/>
          <w:szCs w:val="24"/>
          <w:highlight w:val="none"/>
        </w:rPr>
        <w:t xml:space="preserve">1.总则</w:t>
      </w:r>
      <w:r>
        <w:rPr>
          <w:color w:val="auto"/>
          <w:highlight w:val="none"/>
        </w:rPr>
        <w:tab/>
      </w:r>
      <w:r>
        <w:rPr>
          <w:color w:val="auto"/>
          <w:highlight w:val="none"/>
        </w:rPr>
        <w:fldChar w:fldCharType="begin"/>
      </w:r>
      <w:r>
        <w:rPr>
          <w:color w:val="auto"/>
          <w:highlight w:val="none"/>
        </w:rPr>
        <w:instrText xml:space="preserve"> PAGEREF _Toc18636 \h </w:instrText>
      </w:r>
      <w:r>
        <w:rPr>
          <w:color w:val="auto"/>
          <w:highlight w:val="none"/>
        </w:rPr>
        <w:fldChar w:fldCharType="separate"/>
      </w:r>
      <w:r>
        <w:rPr>
          <w:color w:val="auto"/>
          <w:highlight w:val="none"/>
        </w:rPr>
        <w:t xml:space="preserve">11</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_Toc16028 </w:instrText>
      </w:r>
      <w:r>
        <w:rPr>
          <w:rFonts w:hint="eastAsia" w:ascii="宋体" w:hAnsi="宋体" w:cs="宋体"/>
          <w:bCs/>
          <w:color w:val="auto"/>
          <w:szCs w:val="30"/>
          <w:highlight w:val="none"/>
        </w:rPr>
        <w:fldChar w:fldCharType="separate"/>
      </w:r>
      <w:r>
        <w:rPr>
          <w:rFonts w:hint="eastAsia" w:ascii="宋体" w:hAnsi="宋体" w:eastAsia="宋体" w:cs="宋体"/>
          <w:color w:val="auto"/>
          <w:szCs w:val="24"/>
          <w:highlight w:val="none"/>
        </w:rPr>
        <w:t xml:space="preserve">2. 竞争性磋商文件</w:t>
      </w:r>
      <w:r>
        <w:rPr>
          <w:color w:val="auto"/>
          <w:highlight w:val="none"/>
        </w:rPr>
        <w:tab/>
      </w:r>
      <w:r>
        <w:rPr>
          <w:color w:val="auto"/>
          <w:highlight w:val="none"/>
        </w:rPr>
        <w:fldChar w:fldCharType="begin"/>
      </w:r>
      <w:r>
        <w:rPr>
          <w:color w:val="auto"/>
          <w:highlight w:val="none"/>
        </w:rPr>
        <w:instrText xml:space="preserve"> PAGEREF _Toc16028 \h </w:instrText>
      </w:r>
      <w:r>
        <w:rPr>
          <w:color w:val="auto"/>
          <w:highlight w:val="none"/>
        </w:rPr>
        <w:fldChar w:fldCharType="separate"/>
      </w:r>
      <w:r>
        <w:rPr>
          <w:color w:val="auto"/>
          <w:highlight w:val="none"/>
        </w:rPr>
        <w:t xml:space="preserve">13</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_Toc30851 </w:instrText>
      </w:r>
      <w:r>
        <w:rPr>
          <w:rFonts w:hint="eastAsia" w:ascii="宋体" w:hAnsi="宋体" w:cs="宋体"/>
          <w:bCs/>
          <w:color w:val="auto"/>
          <w:szCs w:val="30"/>
          <w:highlight w:val="none"/>
        </w:rPr>
        <w:fldChar w:fldCharType="separate"/>
      </w:r>
      <w:r>
        <w:rPr>
          <w:rFonts w:hint="eastAsia" w:ascii="宋体" w:hAnsi="宋体" w:cs="宋体"/>
          <w:color w:val="auto"/>
          <w:szCs w:val="24"/>
          <w:highlight w:val="none"/>
        </w:rPr>
        <w:t xml:space="preserve">3. 响应文件</w:t>
      </w:r>
      <w:r>
        <w:rPr>
          <w:color w:val="auto"/>
          <w:highlight w:val="none"/>
        </w:rPr>
        <w:tab/>
      </w:r>
      <w:r>
        <w:rPr>
          <w:color w:val="auto"/>
          <w:highlight w:val="none"/>
        </w:rPr>
        <w:fldChar w:fldCharType="begin"/>
      </w:r>
      <w:r>
        <w:rPr>
          <w:color w:val="auto"/>
          <w:highlight w:val="none"/>
        </w:rPr>
        <w:instrText xml:space="preserve"> PAGEREF _Toc30851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_Toc8637 </w:instrText>
      </w:r>
      <w:r>
        <w:rPr>
          <w:rFonts w:hint="eastAsia" w:ascii="宋体" w:hAnsi="宋体" w:cs="宋体"/>
          <w:bCs/>
          <w:color w:val="auto"/>
          <w:szCs w:val="30"/>
          <w:highlight w:val="none"/>
        </w:rPr>
        <w:fldChar w:fldCharType="separate"/>
      </w:r>
      <w:r>
        <w:rPr>
          <w:rFonts w:ascii="宋体" w:hAnsi="宋体" w:eastAsia="宋体" w:cs="宋体"/>
          <w:color w:val="auto"/>
          <w:szCs w:val="24"/>
          <w:highlight w:val="none"/>
        </w:rPr>
        <w:t xml:space="preserve">5. </w:t>
      </w:r>
      <w:r>
        <w:rPr>
          <w:rFonts w:hint="eastAsia" w:ascii="宋体" w:hAnsi="宋体" w:eastAsia="宋体" w:cs="宋体"/>
          <w:color w:val="auto"/>
          <w:szCs w:val="24"/>
          <w:highlight w:val="none"/>
        </w:rPr>
        <w:t xml:space="preserve">响应文件的评审</w:t>
      </w:r>
      <w:r>
        <w:rPr>
          <w:color w:val="auto"/>
          <w:highlight w:val="none"/>
        </w:rPr>
        <w:tab/>
      </w:r>
      <w:r>
        <w:rPr>
          <w:color w:val="auto"/>
          <w:highlight w:val="none"/>
        </w:rPr>
        <w:fldChar w:fldCharType="begin"/>
      </w:r>
      <w:r>
        <w:rPr>
          <w:color w:val="auto"/>
          <w:highlight w:val="none"/>
        </w:rPr>
        <w:instrText xml:space="preserve"> PAGEREF _Toc8637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_Toc26223 </w:instrText>
      </w:r>
      <w:r>
        <w:rPr>
          <w:rFonts w:hint="eastAsia" w:ascii="宋体" w:hAnsi="宋体" w:cs="宋体"/>
          <w:bCs/>
          <w:color w:val="auto"/>
          <w:szCs w:val="30"/>
          <w:highlight w:val="none"/>
        </w:rPr>
        <w:fldChar w:fldCharType="separate"/>
      </w:r>
      <w:r>
        <w:rPr>
          <w:rFonts w:hint="eastAsia" w:ascii="宋体" w:hAnsi="宋体" w:eastAsia="宋体" w:cs="宋体"/>
          <w:color w:val="auto"/>
          <w:szCs w:val="24"/>
          <w:highlight w:val="none"/>
        </w:rPr>
        <w:t xml:space="preserve">6. 确定成交人</w:t>
      </w:r>
      <w:r>
        <w:rPr>
          <w:color w:val="auto"/>
          <w:highlight w:val="none"/>
        </w:rPr>
        <w:tab/>
      </w:r>
      <w:r>
        <w:rPr>
          <w:color w:val="auto"/>
          <w:highlight w:val="none"/>
        </w:rPr>
        <w:fldChar w:fldCharType="begin"/>
      </w:r>
      <w:r>
        <w:rPr>
          <w:color w:val="auto"/>
          <w:highlight w:val="none"/>
        </w:rPr>
        <w:instrText xml:space="preserve"> PAGEREF _Toc26223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_Toc18342 </w:instrText>
      </w:r>
      <w:r>
        <w:rPr>
          <w:rFonts w:hint="eastAsia" w:ascii="宋体" w:hAnsi="宋体" w:cs="宋体"/>
          <w:bCs/>
          <w:color w:val="auto"/>
          <w:szCs w:val="30"/>
          <w:highlight w:val="none"/>
        </w:rPr>
        <w:fldChar w:fldCharType="separate"/>
      </w:r>
      <w:r>
        <w:rPr>
          <w:rFonts w:hint="eastAsia" w:ascii="宋体" w:hAnsi="宋体" w:eastAsia="宋体" w:cs="宋体"/>
          <w:color w:val="auto"/>
          <w:szCs w:val="24"/>
          <w:highlight w:val="none"/>
        </w:rPr>
        <w:t xml:space="preserve">7. 合同</w:t>
      </w:r>
      <w:r>
        <w:rPr>
          <w:color w:val="auto"/>
          <w:highlight w:val="none"/>
        </w:rPr>
        <w:tab/>
      </w:r>
      <w:r>
        <w:rPr>
          <w:color w:val="auto"/>
          <w:highlight w:val="none"/>
        </w:rPr>
        <w:fldChar w:fldCharType="begin"/>
      </w:r>
      <w:r>
        <w:rPr>
          <w:color w:val="auto"/>
          <w:highlight w:val="none"/>
        </w:rPr>
        <w:instrText xml:space="preserve"> PAGEREF _Toc18342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_Toc1229 </w:instrText>
      </w:r>
      <w:r>
        <w:rPr>
          <w:rFonts w:hint="eastAsia" w:ascii="宋体" w:hAnsi="宋体" w:cs="宋体"/>
          <w:bCs/>
          <w:color w:val="auto"/>
          <w:szCs w:val="30"/>
          <w:highlight w:val="none"/>
        </w:rPr>
        <w:fldChar w:fldCharType="separate"/>
      </w:r>
      <w:r>
        <w:rPr>
          <w:rFonts w:ascii="宋体" w:hAnsi="宋体" w:eastAsia="宋体" w:cs="宋体"/>
          <w:color w:val="auto"/>
          <w:szCs w:val="24"/>
          <w:highlight w:val="none"/>
        </w:rPr>
        <w:t xml:space="preserve">8. </w:t>
      </w:r>
      <w:r>
        <w:rPr>
          <w:rFonts w:hint="eastAsia" w:ascii="宋体" w:hAnsi="宋体" w:eastAsia="宋体" w:cs="宋体"/>
          <w:color w:val="auto"/>
          <w:szCs w:val="24"/>
          <w:highlight w:val="none"/>
        </w:rPr>
        <w:t xml:space="preserve">废标</w:t>
      </w:r>
      <w:r>
        <w:rPr>
          <w:color w:val="auto"/>
          <w:highlight w:val="none"/>
        </w:rPr>
        <w:tab/>
      </w:r>
      <w:r>
        <w:rPr>
          <w:color w:val="auto"/>
          <w:highlight w:val="none"/>
        </w:rPr>
        <w:fldChar w:fldCharType="begin"/>
      </w:r>
      <w:r>
        <w:rPr>
          <w:color w:val="auto"/>
          <w:highlight w:val="none"/>
        </w:rPr>
        <w:instrText xml:space="preserve"> PAGEREF _Toc1229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_Toc7906 </w:instrText>
      </w:r>
      <w:r>
        <w:rPr>
          <w:rFonts w:hint="eastAsia" w:ascii="宋体" w:hAnsi="宋体" w:cs="宋体"/>
          <w:bCs/>
          <w:color w:val="auto"/>
          <w:szCs w:val="30"/>
          <w:highlight w:val="none"/>
        </w:rPr>
        <w:fldChar w:fldCharType="separate"/>
      </w:r>
      <w:r>
        <w:rPr>
          <w:rFonts w:hint="eastAsia" w:ascii="宋体" w:hAnsi="宋体" w:eastAsia="宋体" w:cs="宋体"/>
          <w:color w:val="auto"/>
          <w:szCs w:val="24"/>
          <w:highlight w:val="none"/>
        </w:rPr>
        <w:t xml:space="preserve">9. 纪律和监督</w:t>
      </w:r>
      <w:r>
        <w:rPr>
          <w:color w:val="auto"/>
          <w:highlight w:val="none"/>
        </w:rPr>
        <w:tab/>
      </w:r>
      <w:r>
        <w:rPr>
          <w:color w:val="auto"/>
          <w:highlight w:val="none"/>
        </w:rPr>
        <w:fldChar w:fldCharType="begin"/>
      </w:r>
      <w:r>
        <w:rPr>
          <w:color w:val="auto"/>
          <w:highlight w:val="none"/>
        </w:rPr>
        <w:instrText xml:space="preserve"> PAGEREF _Toc7906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_Toc16434 </w:instrText>
      </w:r>
      <w:r>
        <w:rPr>
          <w:rFonts w:hint="eastAsia" w:ascii="宋体" w:hAnsi="宋体" w:cs="宋体"/>
          <w:bCs/>
          <w:color w:val="auto"/>
          <w:szCs w:val="30"/>
          <w:highlight w:val="none"/>
        </w:rPr>
        <w:fldChar w:fldCharType="separate"/>
      </w:r>
      <w:r>
        <w:rPr>
          <w:rFonts w:hint="eastAsia" w:ascii="宋体" w:hAnsi="宋体" w:cs="宋体"/>
          <w:color w:val="auto"/>
          <w:szCs w:val="24"/>
          <w:highlight w:val="none"/>
        </w:rPr>
        <w:t xml:space="preserve">10. 需要补充的其他内容</w:t>
      </w:r>
      <w:r>
        <w:rPr>
          <w:color w:val="auto"/>
          <w:highlight w:val="none"/>
        </w:rPr>
        <w:tab/>
      </w:r>
      <w:r>
        <w:rPr>
          <w:color w:val="auto"/>
          <w:highlight w:val="none"/>
        </w:rPr>
        <w:fldChar w:fldCharType="begin"/>
      </w:r>
      <w:r>
        <w:rPr>
          <w:color w:val="auto"/>
          <w:highlight w:val="none"/>
        </w:rPr>
        <w:instrText xml:space="preserve"> PAGEREF _Toc16434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_Toc8457 </w:instrText>
      </w:r>
      <w:r>
        <w:rPr>
          <w:rFonts w:hint="eastAsia" w:ascii="宋体" w:hAnsi="宋体" w:cs="宋体"/>
          <w:bCs/>
          <w:color w:val="auto"/>
          <w:szCs w:val="30"/>
          <w:highlight w:val="none"/>
        </w:rPr>
        <w:fldChar w:fldCharType="separate"/>
      </w:r>
      <w:r>
        <w:rPr>
          <w:rFonts w:ascii="宋体" w:hAnsi="宋体" w:cs="宋体"/>
          <w:color w:val="auto"/>
          <w:szCs w:val="24"/>
          <w:highlight w:val="none"/>
        </w:rPr>
        <w:t xml:space="preserve">11. </w:t>
      </w:r>
      <w:r>
        <w:rPr>
          <w:rFonts w:hint="eastAsia" w:ascii="宋体" w:hAnsi="宋体" w:cs="宋体"/>
          <w:color w:val="auto"/>
          <w:szCs w:val="24"/>
          <w:highlight w:val="none"/>
        </w:rPr>
        <w:t xml:space="preserve">竞争性磋商文件的解释</w:t>
      </w:r>
      <w:r>
        <w:rPr>
          <w:color w:val="auto"/>
          <w:highlight w:val="none"/>
        </w:rPr>
        <w:tab/>
      </w:r>
      <w:r>
        <w:rPr>
          <w:color w:val="auto"/>
          <w:highlight w:val="none"/>
        </w:rPr>
        <w:fldChar w:fldCharType="begin"/>
      </w:r>
      <w:r>
        <w:rPr>
          <w:color w:val="auto"/>
          <w:highlight w:val="none"/>
        </w:rPr>
        <w:instrText xml:space="preserve"> PAGEREF _Toc8457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cs="宋体"/>
          <w:bCs/>
          <w:color w:val="auto"/>
          <w:szCs w:val="30"/>
          <w:highlight w:val="none"/>
        </w:rPr>
        <w:fldChar w:fldCharType="end"/>
      </w:r>
      <w:r/>
    </w:p>
    <w:p>
      <w:pPr>
        <w:pStyle w:val="881"/>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_Toc13793 </w:instrText>
      </w:r>
      <w:r>
        <w:rPr>
          <w:rFonts w:hint="eastAsia" w:ascii="宋体" w:hAnsi="宋体" w:cs="宋体"/>
          <w:bCs/>
          <w:color w:val="auto"/>
          <w:szCs w:val="30"/>
          <w:highlight w:val="none"/>
        </w:rPr>
        <w:fldChar w:fldCharType="separate"/>
      </w:r>
      <w:r>
        <w:rPr>
          <w:rFonts w:hint="eastAsia" w:ascii="宋体" w:hAnsi="宋体" w:eastAsia="宋体" w:cs="宋体"/>
          <w:color w:val="auto"/>
          <w:szCs w:val="30"/>
          <w:highlight w:val="none"/>
        </w:rPr>
        <w:t xml:space="preserve">第三章  评审办法</w:t>
      </w:r>
      <w:r>
        <w:rPr>
          <w:color w:val="auto"/>
          <w:highlight w:val="none"/>
        </w:rPr>
        <w:tab/>
      </w:r>
      <w:r>
        <w:rPr>
          <w:color w:val="auto"/>
          <w:highlight w:val="none"/>
        </w:rPr>
        <w:fldChar w:fldCharType="begin"/>
      </w:r>
      <w:r>
        <w:rPr>
          <w:color w:val="auto"/>
          <w:highlight w:val="none"/>
        </w:rPr>
        <w:instrText xml:space="preserve"> PAGEREF _Toc13793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_Toc46 </w:instrText>
      </w:r>
      <w:r>
        <w:rPr>
          <w:rFonts w:hint="eastAsia" w:ascii="宋体" w:hAnsi="宋体" w:cs="宋体"/>
          <w:bCs/>
          <w:color w:val="auto"/>
          <w:szCs w:val="30"/>
          <w:highlight w:val="none"/>
        </w:rPr>
        <w:fldChar w:fldCharType="separate"/>
      </w:r>
      <w:r>
        <w:rPr>
          <w:rFonts w:hint="eastAsia" w:ascii="宋体" w:hAnsi="宋体" w:cs="宋体"/>
          <w:color w:val="auto"/>
          <w:highlight w:val="none"/>
        </w:rPr>
        <w:t xml:space="preserve">一、评审准备</w:t>
      </w:r>
      <w:r>
        <w:rPr>
          <w:color w:val="auto"/>
          <w:highlight w:val="none"/>
        </w:rPr>
        <w:tab/>
      </w:r>
      <w:r>
        <w:rPr>
          <w:color w:val="auto"/>
          <w:highlight w:val="none"/>
        </w:rPr>
        <w:fldChar w:fldCharType="begin"/>
      </w:r>
      <w:r>
        <w:rPr>
          <w:color w:val="auto"/>
          <w:highlight w:val="none"/>
        </w:rPr>
        <w:instrText xml:space="preserve"> PAGEREF _Toc46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_Toc14844 </w:instrText>
      </w:r>
      <w:r>
        <w:rPr>
          <w:rFonts w:hint="eastAsia" w:ascii="宋体" w:hAnsi="宋体" w:cs="宋体"/>
          <w:bCs/>
          <w:color w:val="auto"/>
          <w:szCs w:val="30"/>
          <w:highlight w:val="none"/>
        </w:rPr>
        <w:fldChar w:fldCharType="separate"/>
      </w:r>
      <w:r>
        <w:rPr>
          <w:rFonts w:hint="eastAsia" w:ascii="宋体" w:hAnsi="宋体" w:cs="宋体"/>
          <w:color w:val="auto"/>
          <w:highlight w:val="none"/>
        </w:rPr>
        <w:t xml:space="preserve">二、初步审查</w:t>
      </w:r>
      <w:r>
        <w:rPr>
          <w:color w:val="auto"/>
          <w:highlight w:val="none"/>
        </w:rPr>
        <w:tab/>
      </w:r>
      <w:r>
        <w:rPr>
          <w:color w:val="auto"/>
          <w:highlight w:val="none"/>
        </w:rPr>
        <w:fldChar w:fldCharType="begin"/>
      </w:r>
      <w:r>
        <w:rPr>
          <w:color w:val="auto"/>
          <w:highlight w:val="none"/>
        </w:rPr>
        <w:instrText xml:space="preserve"> PAGEREF _Toc14844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_Toc26846 </w:instrText>
      </w:r>
      <w:r>
        <w:rPr>
          <w:rFonts w:hint="eastAsia" w:ascii="宋体" w:hAnsi="宋体" w:cs="宋体"/>
          <w:bCs/>
          <w:color w:val="auto"/>
          <w:szCs w:val="30"/>
          <w:highlight w:val="none"/>
        </w:rPr>
        <w:fldChar w:fldCharType="separate"/>
      </w:r>
      <w:r>
        <w:rPr>
          <w:rFonts w:hint="eastAsia" w:ascii="宋体" w:hAnsi="宋体" w:cs="宋体"/>
          <w:bCs/>
          <w:color w:val="auto"/>
          <w:highlight w:val="none"/>
        </w:rPr>
        <w:t xml:space="preserve">三、确定</w:t>
      </w:r>
      <w:r>
        <w:rPr>
          <w:rFonts w:hint="eastAsia" w:ascii="宋体" w:hAnsi="宋体" w:cs="宋体"/>
          <w:bCs/>
          <w:color w:val="auto"/>
          <w:highlight w:val="none"/>
          <w:lang w:val="en-US" w:eastAsia="zh-CN"/>
        </w:rPr>
        <w:t xml:space="preserve">合格</w:t>
      </w:r>
      <w:r>
        <w:rPr>
          <w:rFonts w:hint="eastAsia" w:ascii="宋体" w:hAnsi="宋体" w:cs="宋体"/>
          <w:bCs/>
          <w:color w:val="auto"/>
          <w:highlight w:val="none"/>
        </w:rPr>
        <w:t xml:space="preserve">的供应商名单</w:t>
      </w:r>
      <w:r>
        <w:rPr>
          <w:color w:val="auto"/>
          <w:highlight w:val="none"/>
        </w:rPr>
        <w:tab/>
      </w:r>
      <w:r>
        <w:rPr>
          <w:color w:val="auto"/>
          <w:highlight w:val="none"/>
        </w:rPr>
        <w:fldChar w:fldCharType="begin"/>
      </w:r>
      <w:r>
        <w:rPr>
          <w:color w:val="auto"/>
          <w:highlight w:val="none"/>
        </w:rPr>
        <w:instrText xml:space="preserve"> PAGEREF _Toc26846 \h </w:instrText>
      </w:r>
      <w:r>
        <w:rPr>
          <w:color w:val="auto"/>
          <w:highlight w:val="none"/>
        </w:rPr>
        <w:fldChar w:fldCharType="separate"/>
      </w:r>
      <w:r>
        <w:rPr>
          <w:color w:val="auto"/>
          <w:highlight w:val="none"/>
        </w:rPr>
        <w:t xml:space="preserve">22</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_Toc5126 </w:instrText>
      </w:r>
      <w:r>
        <w:rPr>
          <w:rFonts w:hint="eastAsia" w:ascii="宋体" w:hAnsi="宋体" w:cs="宋体"/>
          <w:bCs/>
          <w:color w:val="auto"/>
          <w:szCs w:val="30"/>
          <w:highlight w:val="none"/>
        </w:rPr>
        <w:fldChar w:fldCharType="separate"/>
      </w:r>
      <w:r>
        <w:rPr>
          <w:rFonts w:hint="eastAsia" w:ascii="宋体" w:hAnsi="宋体" w:eastAsia="宋体" w:cs="宋体"/>
          <w:bCs/>
          <w:color w:val="auto"/>
          <w:highlight w:val="none"/>
          <w:lang w:val="en-US" w:eastAsia="zh-CN"/>
        </w:rPr>
        <w:t xml:space="preserve">四、磋商</w:t>
      </w:r>
      <w:r>
        <w:rPr>
          <w:color w:val="auto"/>
          <w:highlight w:val="none"/>
        </w:rPr>
        <w:tab/>
      </w:r>
      <w:r>
        <w:rPr>
          <w:color w:val="auto"/>
          <w:highlight w:val="none"/>
        </w:rPr>
        <w:fldChar w:fldCharType="begin"/>
      </w:r>
      <w:r>
        <w:rPr>
          <w:color w:val="auto"/>
          <w:highlight w:val="none"/>
        </w:rPr>
        <w:instrText xml:space="preserve"> PAGEREF _Toc5126 \h </w:instrText>
      </w:r>
      <w:r>
        <w:rPr>
          <w:color w:val="auto"/>
          <w:highlight w:val="none"/>
        </w:rPr>
        <w:fldChar w:fldCharType="separate"/>
      </w:r>
      <w:r>
        <w:rPr>
          <w:color w:val="auto"/>
          <w:highlight w:val="none"/>
        </w:rPr>
        <w:t xml:space="preserve">22</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_Toc17684 </w:instrText>
      </w:r>
      <w:r>
        <w:rPr>
          <w:rFonts w:hint="eastAsia" w:ascii="宋体" w:hAnsi="宋体" w:cs="宋体"/>
          <w:bCs/>
          <w:color w:val="auto"/>
          <w:szCs w:val="30"/>
          <w:highlight w:val="none"/>
        </w:rPr>
        <w:fldChar w:fldCharType="separate"/>
      </w:r>
      <w:r>
        <w:rPr>
          <w:rFonts w:hint="eastAsia" w:ascii="宋体" w:hAnsi="宋体" w:cs="宋体"/>
          <w:bCs/>
          <w:color w:val="auto"/>
          <w:highlight w:val="none"/>
          <w:lang w:val="en-US" w:eastAsia="zh-CN"/>
        </w:rPr>
        <w:t xml:space="preserve">五</w:t>
      </w:r>
      <w:r>
        <w:rPr>
          <w:rFonts w:hint="eastAsia" w:ascii="宋体" w:hAnsi="宋体" w:cs="宋体"/>
          <w:bCs/>
          <w:color w:val="auto"/>
          <w:highlight w:val="none"/>
        </w:rPr>
        <w:t xml:space="preserve">、综合评审</w:t>
      </w:r>
      <w:r>
        <w:rPr>
          <w:color w:val="auto"/>
          <w:highlight w:val="none"/>
        </w:rPr>
        <w:tab/>
      </w:r>
      <w:r>
        <w:rPr>
          <w:color w:val="auto"/>
          <w:highlight w:val="none"/>
        </w:rPr>
        <w:fldChar w:fldCharType="begin"/>
      </w:r>
      <w:r>
        <w:rPr>
          <w:color w:val="auto"/>
          <w:highlight w:val="none"/>
        </w:rPr>
        <w:instrText xml:space="preserve"> PAGEREF _Toc17684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_Toc19591 </w:instrText>
      </w:r>
      <w:r>
        <w:rPr>
          <w:rFonts w:hint="eastAsia" w:ascii="宋体" w:hAnsi="宋体" w:cs="宋体"/>
          <w:bCs/>
          <w:color w:val="auto"/>
          <w:szCs w:val="30"/>
          <w:highlight w:val="none"/>
        </w:rPr>
        <w:fldChar w:fldCharType="separate"/>
      </w:r>
      <w:r>
        <w:rPr>
          <w:rFonts w:hint="eastAsia" w:ascii="宋体" w:hAnsi="宋体" w:eastAsia="宋体" w:cs="宋体"/>
          <w:bCs/>
          <w:color w:val="auto"/>
          <w:highlight w:val="none"/>
          <w:lang w:val="en-US" w:eastAsia="zh-CN"/>
        </w:rPr>
        <w:t xml:space="preserve">六、推荐成交候选人</w:t>
      </w:r>
      <w:r>
        <w:rPr>
          <w:color w:val="auto"/>
          <w:highlight w:val="none"/>
        </w:rPr>
        <w:tab/>
      </w:r>
      <w:r>
        <w:rPr>
          <w:color w:val="auto"/>
          <w:highlight w:val="none"/>
        </w:rPr>
        <w:fldChar w:fldCharType="begin"/>
      </w:r>
      <w:r>
        <w:rPr>
          <w:color w:val="auto"/>
          <w:highlight w:val="none"/>
        </w:rPr>
        <w:instrText xml:space="preserve"> PAGEREF _Toc19591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_Toc4042 </w:instrText>
      </w:r>
      <w:r>
        <w:rPr>
          <w:rFonts w:hint="eastAsia" w:ascii="宋体" w:hAnsi="宋体" w:cs="宋体"/>
          <w:bCs/>
          <w:color w:val="auto"/>
          <w:szCs w:val="30"/>
          <w:highlight w:val="none"/>
        </w:rPr>
        <w:fldChar w:fldCharType="separate"/>
      </w:r>
      <w:r>
        <w:rPr>
          <w:rFonts w:hint="eastAsia" w:ascii="宋体" w:hAnsi="宋体" w:eastAsia="宋体" w:cs="宋体"/>
          <w:bCs/>
          <w:color w:val="auto"/>
          <w:highlight w:val="none"/>
          <w:lang w:val="en-US" w:eastAsia="zh-CN"/>
        </w:rPr>
        <w:t xml:space="preserve">七、评审报告</w:t>
      </w:r>
      <w:r>
        <w:rPr>
          <w:color w:val="auto"/>
          <w:highlight w:val="none"/>
        </w:rPr>
        <w:tab/>
      </w:r>
      <w:r>
        <w:rPr>
          <w:color w:val="auto"/>
          <w:highlight w:val="none"/>
        </w:rPr>
        <w:fldChar w:fldCharType="begin"/>
      </w:r>
      <w:r>
        <w:rPr>
          <w:color w:val="auto"/>
          <w:highlight w:val="none"/>
        </w:rPr>
        <w:instrText xml:space="preserve"> PAGEREF _Toc4042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_Toc31963 </w:instrText>
      </w:r>
      <w:r>
        <w:rPr>
          <w:rFonts w:hint="eastAsia" w:ascii="宋体" w:hAnsi="宋体" w:cs="宋体"/>
          <w:bCs/>
          <w:color w:val="auto"/>
          <w:szCs w:val="30"/>
          <w:highlight w:val="none"/>
        </w:rPr>
        <w:fldChar w:fldCharType="separate"/>
      </w:r>
      <w:r>
        <w:rPr>
          <w:rFonts w:hint="eastAsia" w:ascii="宋体" w:hAnsi="宋体" w:eastAsia="宋体" w:cs="宋体"/>
          <w:bCs/>
          <w:color w:val="auto"/>
          <w:highlight w:val="none"/>
          <w:lang w:val="en-US" w:eastAsia="zh-CN"/>
        </w:rPr>
        <w:t xml:space="preserve">八、确定成交供应商</w:t>
      </w:r>
      <w:r>
        <w:rPr>
          <w:color w:val="auto"/>
          <w:highlight w:val="none"/>
        </w:rPr>
        <w:tab/>
      </w:r>
      <w:r>
        <w:rPr>
          <w:color w:val="auto"/>
          <w:highlight w:val="none"/>
        </w:rPr>
        <w:fldChar w:fldCharType="begin"/>
      </w:r>
      <w:r>
        <w:rPr>
          <w:color w:val="auto"/>
          <w:highlight w:val="none"/>
        </w:rPr>
        <w:instrText xml:space="preserve"> PAGEREF _Toc31963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_Toc1550 </w:instrText>
      </w:r>
      <w:r>
        <w:rPr>
          <w:rFonts w:hint="eastAsia" w:ascii="宋体" w:hAnsi="宋体" w:cs="宋体"/>
          <w:bCs/>
          <w:color w:val="auto"/>
          <w:szCs w:val="30"/>
          <w:highlight w:val="none"/>
        </w:rPr>
        <w:fldChar w:fldCharType="separate"/>
      </w:r>
      <w:r>
        <w:rPr>
          <w:rFonts w:hint="eastAsia" w:ascii="宋体" w:hAnsi="宋体" w:eastAsia="宋体" w:cs="宋体"/>
          <w:bCs/>
          <w:color w:val="auto"/>
          <w:highlight w:val="none"/>
          <w:lang w:val="en-US" w:eastAsia="zh-CN"/>
        </w:rPr>
        <w:t xml:space="preserve">九、澄清、说明或补正</w:t>
      </w:r>
      <w:r>
        <w:rPr>
          <w:color w:val="auto"/>
          <w:highlight w:val="none"/>
        </w:rPr>
        <w:tab/>
      </w:r>
      <w:r>
        <w:rPr>
          <w:color w:val="auto"/>
          <w:highlight w:val="none"/>
        </w:rPr>
        <w:fldChar w:fldCharType="begin"/>
      </w:r>
      <w:r>
        <w:rPr>
          <w:color w:val="auto"/>
          <w:highlight w:val="none"/>
        </w:rPr>
        <w:instrText xml:space="preserve"> PAGEREF _Toc1550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_Toc23152 </w:instrText>
      </w:r>
      <w:r>
        <w:rPr>
          <w:rFonts w:hint="eastAsia" w:ascii="宋体" w:hAnsi="宋体" w:cs="宋体"/>
          <w:bCs/>
          <w:color w:val="auto"/>
          <w:szCs w:val="30"/>
          <w:highlight w:val="none"/>
        </w:rPr>
        <w:fldChar w:fldCharType="separate"/>
      </w:r>
      <w:r>
        <w:rPr>
          <w:rFonts w:hint="eastAsia" w:ascii="宋体" w:hAnsi="宋体" w:eastAsia="宋体" w:cs="宋体"/>
          <w:bCs/>
          <w:color w:val="auto"/>
          <w:highlight w:val="none"/>
          <w:lang w:val="en-US" w:eastAsia="zh-CN"/>
        </w:rPr>
        <w:t xml:space="preserve">十、评审过程中特殊情况的处理规定</w:t>
      </w:r>
      <w:r>
        <w:rPr>
          <w:color w:val="auto"/>
          <w:highlight w:val="none"/>
        </w:rPr>
        <w:tab/>
      </w:r>
      <w:r>
        <w:rPr>
          <w:color w:val="auto"/>
          <w:highlight w:val="none"/>
        </w:rPr>
        <w:fldChar w:fldCharType="begin"/>
      </w:r>
      <w:r>
        <w:rPr>
          <w:color w:val="auto"/>
          <w:highlight w:val="none"/>
        </w:rPr>
        <w:instrText xml:space="preserve"> PAGEREF _Toc23152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_Toc10695 </w:instrText>
      </w:r>
      <w:r>
        <w:rPr>
          <w:rFonts w:hint="eastAsia" w:ascii="宋体" w:hAnsi="宋体" w:cs="宋体"/>
          <w:bCs/>
          <w:color w:val="auto"/>
          <w:szCs w:val="30"/>
          <w:highlight w:val="none"/>
        </w:rPr>
        <w:fldChar w:fldCharType="separate"/>
      </w:r>
      <w:r>
        <w:rPr>
          <w:rFonts w:hint="eastAsia" w:ascii="宋体" w:hAnsi="宋体" w:eastAsia="宋体" w:cs="宋体"/>
          <w:bCs/>
          <w:color w:val="auto"/>
          <w:highlight w:val="none"/>
          <w:lang w:val="en-US" w:eastAsia="zh-CN"/>
        </w:rPr>
        <w:t xml:space="preserve">十一、无效响应的判定</w:t>
      </w:r>
      <w:r>
        <w:rPr>
          <w:color w:val="auto"/>
          <w:highlight w:val="none"/>
        </w:rPr>
        <w:tab/>
      </w:r>
      <w:r>
        <w:rPr>
          <w:color w:val="auto"/>
          <w:highlight w:val="none"/>
        </w:rPr>
        <w:fldChar w:fldCharType="begin"/>
      </w:r>
      <w:r>
        <w:rPr>
          <w:color w:val="auto"/>
          <w:highlight w:val="none"/>
        </w:rPr>
        <w:instrText xml:space="preserve"> PAGEREF _Toc10695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cs="宋体"/>
          <w:bCs/>
          <w:color w:val="auto"/>
          <w:szCs w:val="30"/>
          <w:highlight w:val="none"/>
        </w:rPr>
        <w:fldChar w:fldCharType="end"/>
      </w:r>
      <w:r/>
    </w:p>
    <w:p>
      <w:pPr>
        <w:pStyle w:val="881"/>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_Toc16640 </w:instrText>
      </w:r>
      <w:r>
        <w:rPr>
          <w:rFonts w:hint="eastAsia" w:ascii="宋体" w:hAnsi="宋体" w:cs="宋体"/>
          <w:bCs/>
          <w:color w:val="auto"/>
          <w:szCs w:val="30"/>
          <w:highlight w:val="none"/>
        </w:rPr>
        <w:fldChar w:fldCharType="separate"/>
      </w:r>
      <w:r>
        <w:rPr>
          <w:rFonts w:hint="eastAsia" w:ascii="宋体" w:hAnsi="宋体" w:eastAsia="宋体" w:cs="宋体"/>
          <w:color w:val="auto"/>
          <w:szCs w:val="30"/>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_Toc16640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_Toc27527 </w:instrText>
      </w:r>
      <w:r>
        <w:rPr>
          <w:rFonts w:hint="eastAsia" w:ascii="宋体" w:hAnsi="宋体" w:cs="宋体"/>
          <w:bCs/>
          <w:color w:val="auto"/>
          <w:szCs w:val="30"/>
          <w:highlight w:val="none"/>
        </w:rPr>
        <w:fldChar w:fldCharType="separate"/>
      </w:r>
      <w:r>
        <w:rPr>
          <w:rFonts w:hint="eastAsia" w:ascii="宋体" w:hAnsi="宋体" w:cs="宋体"/>
          <w:bCs/>
          <w:color w:val="auto"/>
          <w:highlight w:val="none"/>
        </w:rPr>
        <w:t xml:space="preserve">一、项目概况</w:t>
      </w:r>
      <w:r>
        <w:rPr>
          <w:color w:val="auto"/>
          <w:highlight w:val="none"/>
        </w:rPr>
        <w:tab/>
      </w:r>
      <w:r>
        <w:rPr>
          <w:color w:val="auto"/>
          <w:highlight w:val="none"/>
        </w:rPr>
        <w:fldChar w:fldCharType="begin"/>
      </w:r>
      <w:r>
        <w:rPr>
          <w:color w:val="auto"/>
          <w:highlight w:val="none"/>
        </w:rPr>
        <w:instrText xml:space="preserve"> PAGEREF _Toc27527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_Toc23434 </w:instrText>
      </w:r>
      <w:r>
        <w:rPr>
          <w:rFonts w:hint="eastAsia" w:ascii="宋体" w:hAnsi="宋体" w:cs="宋体"/>
          <w:bCs/>
          <w:color w:val="auto"/>
          <w:szCs w:val="30"/>
          <w:highlight w:val="none"/>
        </w:rPr>
        <w:fldChar w:fldCharType="separate"/>
      </w:r>
      <w:r>
        <w:rPr>
          <w:rFonts w:hint="eastAsia" w:ascii="宋体" w:hAnsi="宋体" w:cs="宋体"/>
          <w:bCs/>
          <w:color w:val="auto"/>
          <w:highlight w:val="none"/>
        </w:rPr>
        <w:t xml:space="preserve">二、工程量清单（具体内容详见招标控制价清单及编制说明）</w:t>
      </w:r>
      <w:r>
        <w:rPr>
          <w:color w:val="auto"/>
          <w:highlight w:val="none"/>
        </w:rPr>
        <w:tab/>
      </w:r>
      <w:r>
        <w:rPr>
          <w:color w:val="auto"/>
          <w:highlight w:val="none"/>
        </w:rPr>
        <w:fldChar w:fldCharType="begin"/>
      </w:r>
      <w:r>
        <w:rPr>
          <w:color w:val="auto"/>
          <w:highlight w:val="none"/>
        </w:rPr>
        <w:instrText xml:space="preserve"> PAGEREF _Toc23434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_Toc15399 </w:instrText>
      </w:r>
      <w:r>
        <w:rPr>
          <w:rFonts w:hint="eastAsia" w:ascii="宋体" w:hAnsi="宋体" w:cs="宋体"/>
          <w:bCs/>
          <w:color w:val="auto"/>
          <w:szCs w:val="30"/>
          <w:highlight w:val="none"/>
        </w:rPr>
        <w:fldChar w:fldCharType="separate"/>
      </w:r>
      <w:r>
        <w:rPr>
          <w:rFonts w:hint="eastAsia" w:ascii="宋体" w:hAnsi="宋体" w:cs="宋体"/>
          <w:bCs/>
          <w:color w:val="auto"/>
          <w:highlight w:val="none"/>
        </w:rPr>
        <w:t xml:space="preserve">三、技术规范</w:t>
      </w:r>
      <w:r>
        <w:rPr>
          <w:color w:val="auto"/>
          <w:highlight w:val="none"/>
        </w:rPr>
        <w:tab/>
      </w:r>
      <w:r>
        <w:rPr>
          <w:color w:val="auto"/>
          <w:highlight w:val="none"/>
        </w:rPr>
        <w:fldChar w:fldCharType="begin"/>
      </w:r>
      <w:r>
        <w:rPr>
          <w:color w:val="auto"/>
          <w:highlight w:val="none"/>
        </w:rPr>
        <w:instrText xml:space="preserve"> PAGEREF _Toc15399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_Toc18963 </w:instrText>
      </w:r>
      <w:r>
        <w:rPr>
          <w:rFonts w:hint="eastAsia" w:ascii="宋体" w:hAnsi="宋体" w:cs="宋体"/>
          <w:bCs/>
          <w:color w:val="auto"/>
          <w:szCs w:val="30"/>
          <w:highlight w:val="none"/>
        </w:rPr>
        <w:fldChar w:fldCharType="separate"/>
      </w:r>
      <w:r>
        <w:rPr>
          <w:rFonts w:hint="eastAsia" w:ascii="宋体" w:hAnsi="宋体" w:cs="宋体"/>
          <w:bCs/>
          <w:color w:val="auto"/>
          <w:highlight w:val="none"/>
        </w:rPr>
        <w:t xml:space="preserve">四、商务部分</w:t>
      </w:r>
      <w:r>
        <w:rPr>
          <w:color w:val="auto"/>
          <w:highlight w:val="none"/>
        </w:rPr>
        <w:tab/>
      </w:r>
      <w:r>
        <w:rPr>
          <w:color w:val="auto"/>
          <w:highlight w:val="none"/>
        </w:rPr>
        <w:fldChar w:fldCharType="begin"/>
      </w:r>
      <w:r>
        <w:rPr>
          <w:color w:val="auto"/>
          <w:highlight w:val="none"/>
        </w:rPr>
        <w:instrText xml:space="preserve"> PAGEREF _Toc18963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_Toc3065 </w:instrText>
      </w:r>
      <w:r>
        <w:rPr>
          <w:rFonts w:hint="eastAsia" w:ascii="宋体" w:hAnsi="宋体" w:cs="宋体"/>
          <w:bCs/>
          <w:color w:val="auto"/>
          <w:szCs w:val="30"/>
          <w:highlight w:val="none"/>
        </w:rPr>
        <w:fldChar w:fldCharType="separate"/>
      </w:r>
      <w:r>
        <w:rPr>
          <w:rFonts w:hint="eastAsia" w:ascii="宋体" w:hAnsi="宋体" w:cs="宋体"/>
          <w:bCs/>
          <w:color w:val="auto"/>
          <w:highlight w:val="none"/>
        </w:rPr>
        <w:t xml:space="preserve">五、本项目采购标的对应的中小企业划分标准所属行业为建筑业。</w:t>
      </w:r>
      <w:r>
        <w:rPr>
          <w:color w:val="auto"/>
          <w:highlight w:val="none"/>
        </w:rPr>
        <w:tab/>
      </w:r>
      <w:r>
        <w:rPr>
          <w:color w:val="auto"/>
          <w:highlight w:val="none"/>
        </w:rPr>
        <w:fldChar w:fldCharType="begin"/>
      </w:r>
      <w:r>
        <w:rPr>
          <w:color w:val="auto"/>
          <w:highlight w:val="none"/>
        </w:rPr>
        <w:instrText xml:space="preserve"> PAGEREF _Toc3065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_Toc21112 </w:instrText>
      </w:r>
      <w:r>
        <w:rPr>
          <w:rFonts w:hint="eastAsia" w:ascii="宋体" w:hAnsi="宋体" w:cs="宋体"/>
          <w:bCs/>
          <w:color w:val="auto"/>
          <w:szCs w:val="30"/>
          <w:highlight w:val="none"/>
        </w:rPr>
        <w:fldChar w:fldCharType="separate"/>
      </w:r>
      <w:r>
        <w:rPr>
          <w:rFonts w:hint="eastAsia" w:ascii="宋体" w:hAnsi="宋体" w:cs="宋体"/>
          <w:bCs/>
          <w:color w:val="auto"/>
          <w:highlight w:val="none"/>
        </w:rPr>
        <w:t xml:space="preserve">六、其他说明</w:t>
      </w:r>
      <w:r>
        <w:rPr>
          <w:color w:val="auto"/>
          <w:highlight w:val="none"/>
        </w:rPr>
        <w:tab/>
      </w:r>
      <w:r>
        <w:rPr>
          <w:color w:val="auto"/>
          <w:highlight w:val="none"/>
        </w:rPr>
        <w:fldChar w:fldCharType="begin"/>
      </w:r>
      <w:r>
        <w:rPr>
          <w:color w:val="auto"/>
          <w:highlight w:val="none"/>
        </w:rPr>
        <w:instrText xml:space="preserve"> PAGEREF _Toc21112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_Toc11478 </w:instrText>
      </w:r>
      <w:r>
        <w:rPr>
          <w:rFonts w:hint="eastAsia" w:ascii="宋体" w:hAnsi="宋体" w:cs="宋体"/>
          <w:bCs/>
          <w:color w:val="auto"/>
          <w:szCs w:val="30"/>
          <w:highlight w:val="none"/>
        </w:rPr>
        <w:fldChar w:fldCharType="separate"/>
      </w:r>
      <w:r>
        <w:rPr>
          <w:rFonts w:hint="eastAsia" w:hAnsi="宋体" w:cs="宋体"/>
          <w:bCs/>
          <w:color w:val="auto"/>
          <w:szCs w:val="24"/>
          <w:highlight w:val="none"/>
        </w:rPr>
        <w:t xml:space="preserve">七、投标报价说明</w:t>
      </w:r>
      <w:r>
        <w:rPr>
          <w:color w:val="auto"/>
          <w:highlight w:val="none"/>
        </w:rPr>
        <w:tab/>
      </w:r>
      <w:r>
        <w:rPr>
          <w:color w:val="auto"/>
          <w:highlight w:val="none"/>
        </w:rPr>
        <w:fldChar w:fldCharType="begin"/>
      </w:r>
      <w:r>
        <w:rPr>
          <w:color w:val="auto"/>
          <w:highlight w:val="none"/>
        </w:rPr>
        <w:instrText xml:space="preserve"> PAGEREF _Toc11478 \h </w:instrText>
      </w:r>
      <w:r>
        <w:rPr>
          <w:color w:val="auto"/>
          <w:highlight w:val="none"/>
        </w:rPr>
        <w:fldChar w:fldCharType="separate"/>
      </w:r>
      <w:r>
        <w:rPr>
          <w:color w:val="auto"/>
          <w:highlight w:val="none"/>
        </w:rPr>
        <w:t xml:space="preserve">32</w:t>
      </w:r>
      <w:r>
        <w:rPr>
          <w:color w:val="auto"/>
          <w:highlight w:val="none"/>
        </w:rPr>
        <w:fldChar w:fldCharType="end"/>
      </w:r>
      <w:r>
        <w:rPr>
          <w:rFonts w:hint="eastAsia" w:ascii="宋体" w:hAnsi="宋体" w:cs="宋体"/>
          <w:bCs/>
          <w:color w:val="auto"/>
          <w:szCs w:val="30"/>
          <w:highlight w:val="none"/>
        </w:rPr>
        <w:fldChar w:fldCharType="end"/>
      </w:r>
      <w:r/>
    </w:p>
    <w:p>
      <w:pPr>
        <w:pStyle w:val="881"/>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_Toc23774 </w:instrText>
      </w:r>
      <w:r>
        <w:rPr>
          <w:rFonts w:hint="eastAsia" w:ascii="宋体" w:hAnsi="宋体" w:cs="宋体"/>
          <w:bCs/>
          <w:color w:val="auto"/>
          <w:szCs w:val="30"/>
          <w:highlight w:val="none"/>
        </w:rPr>
        <w:fldChar w:fldCharType="separate"/>
      </w:r>
      <w:r>
        <w:rPr>
          <w:rFonts w:hint="eastAsia" w:ascii="宋体" w:hAnsi="宋体" w:cs="宋体"/>
          <w:color w:val="auto"/>
          <w:szCs w:val="30"/>
          <w:highlight w:val="none"/>
        </w:rPr>
        <w:t xml:space="preserve">第五章  合同条款及格式</w:t>
      </w:r>
      <w:r>
        <w:rPr>
          <w:color w:val="auto"/>
          <w:highlight w:val="none"/>
        </w:rPr>
        <w:tab/>
      </w:r>
      <w:r>
        <w:rPr>
          <w:color w:val="auto"/>
          <w:highlight w:val="none"/>
        </w:rPr>
        <w:fldChar w:fldCharType="begin"/>
      </w:r>
      <w:r>
        <w:rPr>
          <w:color w:val="auto"/>
          <w:highlight w:val="none"/>
        </w:rPr>
        <w:instrText xml:space="preserve"> PAGEREF _Toc23774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cs="宋体"/>
          <w:bCs/>
          <w:color w:val="auto"/>
          <w:szCs w:val="30"/>
          <w:highlight w:val="none"/>
        </w:rPr>
        <w:fldChar w:fldCharType="end"/>
      </w:r>
      <w:r/>
    </w:p>
    <w:p>
      <w:pPr>
        <w:pStyle w:val="881"/>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_Toc30035 </w:instrText>
      </w:r>
      <w:r>
        <w:rPr>
          <w:rFonts w:hint="eastAsia" w:ascii="宋体" w:hAnsi="宋体" w:cs="宋体"/>
          <w:bCs/>
          <w:color w:val="auto"/>
          <w:szCs w:val="30"/>
          <w:highlight w:val="none"/>
        </w:rPr>
        <w:fldChar w:fldCharType="separate"/>
      </w:r>
      <w:r>
        <w:rPr>
          <w:rFonts w:hint="eastAsia" w:ascii="宋体" w:hAnsi="宋体" w:cs="宋体"/>
          <w:color w:val="auto"/>
          <w:szCs w:val="30"/>
          <w:highlight w:val="none"/>
        </w:rPr>
        <w:t xml:space="preserve">第六章  响应文件的编制</w:t>
      </w:r>
      <w:r>
        <w:rPr>
          <w:rFonts w:hint="eastAsia" w:ascii="宋体" w:hAnsi="宋体" w:cs="宋体"/>
          <w:color w:val="auto"/>
          <w:szCs w:val="30"/>
          <w:highlight w:val="none"/>
          <w:lang w:val="en-US" w:eastAsia="zh-CN"/>
        </w:rPr>
        <w:t xml:space="preserve">和</w:t>
      </w:r>
      <w:r>
        <w:rPr>
          <w:rFonts w:hint="eastAsia" w:ascii="宋体" w:hAnsi="宋体" w:cs="宋体"/>
          <w:color w:val="auto"/>
          <w:szCs w:val="30"/>
          <w:highlight w:val="none"/>
        </w:rPr>
        <w:t xml:space="preserve">格式</w:t>
      </w:r>
      <w:r>
        <w:rPr>
          <w:color w:val="auto"/>
          <w:highlight w:val="none"/>
        </w:rPr>
        <w:tab/>
      </w:r>
      <w:r>
        <w:rPr>
          <w:color w:val="auto"/>
          <w:highlight w:val="none"/>
        </w:rPr>
        <w:fldChar w:fldCharType="begin"/>
      </w:r>
      <w:r>
        <w:rPr>
          <w:color w:val="auto"/>
          <w:highlight w:val="none"/>
        </w:rPr>
        <w:instrText xml:space="preserve"> PAGEREF _Toc30035 \h </w:instrText>
      </w:r>
      <w:r>
        <w:rPr>
          <w:color w:val="auto"/>
          <w:highlight w:val="none"/>
        </w:rPr>
        <w:fldChar w:fldCharType="separate"/>
      </w:r>
      <w:r>
        <w:rPr>
          <w:color w:val="auto"/>
          <w:highlight w:val="none"/>
        </w:rPr>
        <w:t xml:space="preserve">41</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_Toc16507 </w:instrText>
      </w:r>
      <w:r>
        <w:rPr>
          <w:rFonts w:hint="eastAsia" w:ascii="宋体" w:hAnsi="宋体" w:cs="宋体"/>
          <w:bCs/>
          <w:color w:val="auto"/>
          <w:szCs w:val="30"/>
          <w:highlight w:val="none"/>
        </w:rPr>
        <w:fldChar w:fldCharType="separate"/>
      </w:r>
      <w:r>
        <w:rPr>
          <w:rFonts w:hint="eastAsia" w:ascii="宋体" w:hAnsi="宋体" w:cs="宋体"/>
          <w:color w:val="auto"/>
          <w:szCs w:val="24"/>
          <w:highlight w:val="none"/>
        </w:rPr>
        <w:t xml:space="preserve">1.响应文件的构成</w:t>
      </w:r>
      <w:r>
        <w:rPr>
          <w:color w:val="auto"/>
          <w:highlight w:val="none"/>
        </w:rPr>
        <w:tab/>
      </w:r>
      <w:r>
        <w:rPr>
          <w:color w:val="auto"/>
          <w:highlight w:val="none"/>
        </w:rPr>
        <w:fldChar w:fldCharType="begin"/>
      </w:r>
      <w:r>
        <w:rPr>
          <w:color w:val="auto"/>
          <w:highlight w:val="none"/>
        </w:rPr>
        <w:instrText xml:space="preserve"> PAGEREF _Toc16507 \h </w:instrText>
      </w:r>
      <w:r>
        <w:rPr>
          <w:color w:val="auto"/>
          <w:highlight w:val="none"/>
        </w:rPr>
        <w:fldChar w:fldCharType="separate"/>
      </w:r>
      <w:r>
        <w:rPr>
          <w:color w:val="auto"/>
          <w:highlight w:val="none"/>
        </w:rPr>
        <w:t xml:space="preserve">41</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_Toc14047 </w:instrText>
      </w:r>
      <w:r>
        <w:rPr>
          <w:rFonts w:hint="eastAsia" w:ascii="宋体" w:hAnsi="宋体" w:cs="宋体"/>
          <w:bCs/>
          <w:color w:val="auto"/>
          <w:szCs w:val="30"/>
          <w:highlight w:val="none"/>
        </w:rPr>
        <w:fldChar w:fldCharType="separate"/>
      </w:r>
      <w:r>
        <w:rPr>
          <w:rFonts w:hint="eastAsia" w:ascii="宋体" w:hAnsi="宋体" w:cs="宋体"/>
          <w:color w:val="auto"/>
          <w:szCs w:val="24"/>
          <w:highlight w:val="none"/>
        </w:rPr>
        <w:t xml:space="preserve">2.响应文件的编制内容及编制要求</w:t>
      </w:r>
      <w:r>
        <w:rPr>
          <w:color w:val="auto"/>
          <w:highlight w:val="none"/>
        </w:rPr>
        <w:tab/>
      </w:r>
      <w:r>
        <w:rPr>
          <w:color w:val="auto"/>
          <w:highlight w:val="none"/>
        </w:rPr>
        <w:fldChar w:fldCharType="begin"/>
      </w:r>
      <w:r>
        <w:rPr>
          <w:color w:val="auto"/>
          <w:highlight w:val="none"/>
        </w:rPr>
        <w:instrText xml:space="preserve"> PAGEREF _Toc14047 \h </w:instrText>
      </w:r>
      <w:r>
        <w:rPr>
          <w:color w:val="auto"/>
          <w:highlight w:val="none"/>
        </w:rPr>
        <w:fldChar w:fldCharType="separate"/>
      </w:r>
      <w:r>
        <w:rPr>
          <w:color w:val="auto"/>
          <w:highlight w:val="none"/>
        </w:rPr>
        <w:t xml:space="preserve">41</w:t>
      </w:r>
      <w:r>
        <w:rPr>
          <w:color w:val="auto"/>
          <w:highlight w:val="none"/>
        </w:rPr>
        <w:fldChar w:fldCharType="end"/>
      </w:r>
      <w:r>
        <w:rPr>
          <w:rFonts w:hint="eastAsia" w:ascii="宋体" w:hAnsi="宋体" w:cs="宋体"/>
          <w:bCs/>
          <w:color w:val="auto"/>
          <w:szCs w:val="30"/>
          <w:highlight w:val="none"/>
        </w:rPr>
        <w:fldChar w:fldCharType="end"/>
      </w:r>
      <w:r/>
    </w:p>
    <w:p>
      <w:pPr>
        <w:pStyle w:val="887"/>
        <w:spacing w:line="360" w:lineRule="auto"/>
        <w:tabs>
          <w:tab w:val="right" w:pos="8306" w:leader="dot"/>
        </w:tabs>
        <w:rPr>
          <w:color w:val="auto"/>
          <w:highlight w:val="none"/>
        </w:rPr>
      </w:pPr>
      <w:r>
        <w:rPr>
          <w:rFonts w:hint="eastAsia" w:ascii="宋体" w:hAnsi="宋体" w:cs="宋体"/>
          <w:bCs/>
          <w:color w:val="auto"/>
          <w:szCs w:val="30"/>
          <w:highlight w:val="none"/>
        </w:rPr>
        <w:fldChar w:fldCharType="begin"/>
      </w:r>
      <w:r>
        <w:rPr>
          <w:rFonts w:hint="eastAsia" w:ascii="宋体" w:hAnsi="宋体" w:cs="宋体"/>
          <w:bCs/>
          <w:color w:val="auto"/>
          <w:szCs w:val="30"/>
          <w:highlight w:val="none"/>
        </w:rPr>
        <w:instrText xml:space="preserve"> HYPERLINK \l _Toc19406 </w:instrText>
      </w:r>
      <w:r>
        <w:rPr>
          <w:rFonts w:hint="eastAsia" w:ascii="宋体" w:hAnsi="宋体" w:cs="宋体"/>
          <w:bCs/>
          <w:color w:val="auto"/>
          <w:szCs w:val="30"/>
          <w:highlight w:val="none"/>
        </w:rPr>
        <w:fldChar w:fldCharType="separate"/>
      </w:r>
      <w:r>
        <w:rPr>
          <w:rFonts w:hint="eastAsia" w:ascii="宋体" w:hAnsi="宋体" w:cs="宋体"/>
          <w:color w:val="auto"/>
          <w:highlight w:val="none"/>
        </w:rPr>
        <w:t xml:space="preserve">3.响应文件参考格式</w:t>
      </w:r>
      <w:r>
        <w:rPr>
          <w:color w:val="auto"/>
          <w:highlight w:val="none"/>
        </w:rPr>
        <w:tab/>
      </w:r>
      <w:r>
        <w:rPr>
          <w:color w:val="auto"/>
          <w:highlight w:val="none"/>
        </w:rPr>
        <w:fldChar w:fldCharType="begin"/>
      </w:r>
      <w:r>
        <w:rPr>
          <w:color w:val="auto"/>
          <w:highlight w:val="none"/>
        </w:rPr>
        <w:instrText xml:space="preserve"> PAGEREF _Toc19406 \h </w:instrText>
      </w:r>
      <w:r>
        <w:rPr>
          <w:color w:val="auto"/>
          <w:highlight w:val="none"/>
        </w:rPr>
        <w:fldChar w:fldCharType="separate"/>
      </w:r>
      <w:r>
        <w:rPr>
          <w:color w:val="auto"/>
          <w:highlight w:val="none"/>
        </w:rPr>
        <w:t xml:space="preserve">43</w:t>
      </w:r>
      <w:r>
        <w:rPr>
          <w:color w:val="auto"/>
          <w:highlight w:val="none"/>
        </w:rPr>
        <w:fldChar w:fldCharType="end"/>
      </w:r>
      <w:r>
        <w:rPr>
          <w:rFonts w:hint="eastAsia" w:ascii="宋体" w:hAnsi="宋体" w:cs="宋体"/>
          <w:bCs/>
          <w:color w:val="auto"/>
          <w:szCs w:val="30"/>
          <w:highlight w:val="none"/>
        </w:rPr>
        <w:fldChar w:fldCharType="end"/>
      </w:r>
      <w:r/>
    </w:p>
    <w:p>
      <w:pPr>
        <w:pStyle w:val="1184"/>
        <w:ind w:firstLine="0"/>
        <w:jc w:val="center"/>
        <w:spacing w:before="0" w:after="0" w:line="336" w:lineRule="auto"/>
        <w:rPr>
          <w:rFonts w:ascii="宋体" w:hAnsi="宋体" w:cs="宋体"/>
          <w:b/>
          <w:bCs/>
          <w:color w:val="auto"/>
          <w:szCs w:val="30"/>
          <w:highlight w:val="none"/>
        </w:rPr>
        <w:sectPr>
          <w:footerReference w:type="default" r:id="rId11"/>
          <w:footnotePr/>
          <w:endnotePr/>
          <w:type w:val="nextPage"/>
          <w:pgSz w:w="11906" w:h="16838" w:orient="portrait"/>
          <w:pgMar w:top="1440" w:right="1800" w:bottom="1440" w:left="1800" w:header="850" w:footer="992" w:gutter="0"/>
          <w:pgNumType w:start="1"/>
          <w:cols w:num="1" w:sep="0" w:space="720" w:equalWidth="1"/>
          <w:docGrid w:linePitch="360"/>
        </w:sectPr>
      </w:pPr>
      <w:r>
        <w:rPr>
          <w:rFonts w:hint="eastAsia" w:ascii="宋体" w:hAnsi="宋体" w:cs="宋体"/>
          <w:bCs/>
          <w:color w:val="auto"/>
          <w:szCs w:val="30"/>
          <w:highlight w:val="none"/>
        </w:rPr>
        <w:fldChar w:fldCharType="end"/>
      </w:r>
      <w:bookmarkStart w:id="6" w:name="_Toc383623672"/>
      <w:r/>
      <w:bookmarkStart w:id="7" w:name="_Toc426469868"/>
      <w:r/>
      <w:bookmarkStart w:id="8" w:name="_Toc390098840"/>
      <w:r/>
      <w:bookmarkStart w:id="9" w:name="_Toc468783586"/>
      <w:r/>
      <w:bookmarkStart w:id="10" w:name="_Toc383625993"/>
      <w:r/>
      <w:bookmarkStart w:id="11" w:name="_Toc383587456"/>
      <w:r/>
      <w:bookmarkStart w:id="12" w:name="_Toc383623944"/>
      <w:r/>
      <w:bookmarkStart w:id="13" w:name="_Toc383679746"/>
      <w:r/>
      <w:bookmarkStart w:id="14" w:name="_Toc390246905"/>
      <w:r/>
      <w:bookmarkStart w:id="15" w:name="_Toc390099018"/>
      <w:r/>
      <w:bookmarkStart w:id="16" w:name="_Toc383698647"/>
      <w:r/>
      <w:bookmarkStart w:id="17" w:name="_Toc382813966"/>
      <w:r/>
      <w:bookmarkStart w:id="18" w:name="_Toc20823272"/>
      <w:r/>
      <w:bookmarkStart w:id="19" w:name="_Toc479757206"/>
      <w:r/>
      <w:bookmarkStart w:id="20" w:name="_Toc382812472"/>
      <w:r/>
      <w:bookmarkStart w:id="21" w:name="_Toc523127445"/>
      <w:r/>
      <w:bookmarkStart w:id="22" w:name="_Toc513029200"/>
      <w:r/>
      <w:bookmarkStart w:id="23" w:name="_Toc16938516"/>
      <w:r/>
      <w:bookmarkStart w:id="24" w:name="_Toc382813885"/>
      <w:r/>
      <w:r/>
    </w:p>
    <w:p>
      <w:pPr>
        <w:pStyle w:val="1184"/>
        <w:ind w:firstLine="0"/>
        <w:jc w:val="center"/>
        <w:rPr>
          <w:rFonts w:ascii="宋体" w:hAnsi="宋体" w:cs="宋体"/>
          <w:b/>
          <w:bCs/>
          <w:color w:val="auto"/>
          <w:sz w:val="32"/>
          <w:szCs w:val="32"/>
          <w:highlight w:val="none"/>
        </w:rPr>
        <w:outlineLvl w:val="0"/>
      </w:pPr>
      <w:r/>
      <w:bookmarkStart w:id="25" w:name="_Toc29181"/>
      <w:r>
        <w:rPr>
          <w:rFonts w:hint="eastAsia" w:ascii="宋体" w:hAnsi="宋体" w:cs="宋体"/>
          <w:b/>
          <w:color w:val="auto"/>
          <w:sz w:val="30"/>
          <w:szCs w:val="30"/>
          <w:highlight w:val="none"/>
        </w:rPr>
        <w:t xml:space="preserve">第一章</w:t>
      </w:r>
      <w:bookmarkStart w:id="26" w:name="_Hlk119310047"/>
      <w:r>
        <w:rPr>
          <w:rFonts w:hint="eastAsia" w:ascii="宋体" w:hAnsi="宋体" w:cs="宋体"/>
          <w:b/>
          <w:color w:val="auto"/>
          <w:sz w:val="30"/>
          <w:szCs w:val="30"/>
          <w:highlight w:val="none"/>
        </w:rPr>
        <w:t xml:space="preserve">  竞争性磋商公告</w:t>
      </w:r>
      <w:bookmarkEnd w:id="25"/>
      <w:r/>
      <w:r/>
    </w:p>
    <w:tbl>
      <w:tblPr>
        <w:tblStyle w:val="870"/>
        <w:tblW w:w="88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2"/>
      </w:tblGrid>
      <w:tr>
        <w:trPr>
          <w:trHeight w:val="1947"/>
        </w:trPr>
        <w:tc>
          <w:tcPr>
            <w:tcW w:w="8842" w:type="dxa"/>
            <w:textDirection w:val="lrTb"/>
            <w:noWrap w:val="false"/>
          </w:tcPr>
          <w:p>
            <w:pPr>
              <w:pStyle w:val="1124"/>
              <w:jc w:val="both"/>
              <w:spacing w:before="0" w:beforeAutospacing="0" w:after="0" w:afterAutospacing="0" w:line="360" w:lineRule="auto"/>
              <w:rPr>
                <w:color w:val="auto"/>
                <w:sz w:val="24"/>
                <w:szCs w:val="24"/>
                <w:highlight w:val="none"/>
              </w:rPr>
            </w:pPr>
            <w:r>
              <w:rPr>
                <w:rFonts w:hint="eastAsia"/>
                <w:color w:val="auto"/>
                <w:sz w:val="24"/>
                <w:szCs w:val="24"/>
                <w:highlight w:val="none"/>
              </w:rPr>
              <w:t xml:space="preserve">项目概况</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eastAsia="zh-CN"/>
              </w:rPr>
              <w:t xml:space="preserve">2026年黄桥镇农村公路维护工程</w:t>
            </w:r>
            <w:r>
              <w:rPr>
                <w:rFonts w:hint="eastAsia" w:ascii="宋体" w:hAnsi="宋体" w:cs="宋体"/>
                <w:color w:val="auto"/>
                <w:sz w:val="24"/>
                <w:szCs w:val="24"/>
                <w:highlight w:val="none"/>
                <w:u w:val="single"/>
              </w:rPr>
              <w:t xml:space="preserve">（JSZC-321283-TXXC-C2026-0004）</w:t>
            </w:r>
            <w:r>
              <w:rPr>
                <w:rFonts w:hint="eastAsia" w:ascii="宋体" w:hAnsi="宋体" w:cs="宋体"/>
                <w:color w:val="auto"/>
                <w:sz w:val="24"/>
                <w:szCs w:val="24"/>
                <w:highlight w:val="none"/>
              </w:rPr>
              <w:t xml:space="preserve">采购项目的潜在供应商</w:t>
            </w:r>
            <w:r>
              <w:rPr>
                <w:rFonts w:hint="eastAsia" w:ascii="宋体" w:hAnsi="宋体" w:cs="宋体"/>
                <w:color w:val="auto"/>
                <w:sz w:val="24"/>
                <w:szCs w:val="24"/>
                <w:highlight w:val="none"/>
                <w:u w:val="single"/>
              </w:rPr>
              <w:t xml:space="preserve">应在供应商完成注册并办理CA证书后登录“江苏政府采购‘苏采云’系统”下载本项目磋商文件</w:t>
            </w:r>
            <w:r>
              <w:rPr>
                <w:rFonts w:hint="eastAsia" w:ascii="宋体" w:hAnsi="宋体" w:cs="宋体"/>
                <w:color w:val="auto"/>
                <w:sz w:val="24"/>
                <w:szCs w:val="24"/>
                <w:highlight w:val="none"/>
              </w:rPr>
              <w:t xml:space="preserve">获取采购文件，并于</w:t>
            </w:r>
            <w:r>
              <w:rPr>
                <w:rFonts w:hint="eastAsia" w:ascii="宋体" w:hAnsi="宋体" w:cs="宋体"/>
                <w:color w:val="auto"/>
                <w:sz w:val="24"/>
                <w:szCs w:val="24"/>
                <w:highlight w:val="none"/>
                <w:u w:val="single"/>
                <w:lang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lang w:eastAsia="zh-CN"/>
              </w:rPr>
              <w:t xml:space="preserve">年</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19</w:t>
            </w:r>
            <w:r>
              <w:rPr>
                <w:rFonts w:hint="eastAsia" w:ascii="宋体" w:hAnsi="宋体" w:cs="宋体"/>
                <w:color w:val="auto"/>
                <w:sz w:val="24"/>
                <w:szCs w:val="24"/>
                <w:highlight w:val="none"/>
                <w:u w:val="single"/>
                <w:lang w:eastAsia="zh-CN"/>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时</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0分</w:t>
            </w:r>
            <w:r>
              <w:rPr>
                <w:rFonts w:hint="eastAsia" w:ascii="宋体" w:hAnsi="宋体" w:cs="宋体"/>
                <w:color w:val="auto"/>
                <w:sz w:val="24"/>
                <w:szCs w:val="24"/>
                <w:highlight w:val="none"/>
              </w:rPr>
              <w:t xml:space="preserve">（北京时间）前递交响应文件。</w:t>
            </w:r>
            <w:r/>
          </w:p>
        </w:tc>
      </w:tr>
    </w:tbl>
    <w:p>
      <w:pPr>
        <w:pStyle w:val="1124"/>
        <w:jc w:val="both"/>
        <w:spacing w:before="0" w:beforeAutospacing="0" w:after="0" w:afterAutospacing="0" w:line="360" w:lineRule="auto"/>
        <w:rPr>
          <w:color w:val="auto"/>
          <w:sz w:val="24"/>
          <w:szCs w:val="24"/>
          <w:highlight w:val="none"/>
        </w:rPr>
        <w:outlineLvl w:val="1"/>
      </w:pPr>
      <w:r/>
      <w:bookmarkStart w:id="27" w:name="_Toc17538"/>
      <w:r>
        <w:rPr>
          <w:rFonts w:hint="eastAsia"/>
          <w:b/>
          <w:bCs/>
          <w:color w:val="auto"/>
          <w:sz w:val="24"/>
          <w:szCs w:val="24"/>
          <w:highlight w:val="none"/>
        </w:rPr>
        <w:t xml:space="preserve">一、项目基本情况</w:t>
      </w:r>
      <w:bookmarkEnd w:id="27"/>
      <w:r/>
      <w:r/>
    </w:p>
    <w:p>
      <w:pPr>
        <w:pStyle w:val="1124"/>
        <w:ind w:firstLine="480"/>
        <w:jc w:val="both"/>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w:t>
      </w:r>
      <w:r>
        <w:rPr>
          <w:rFonts w:hint="eastAsia"/>
          <w:color w:val="auto"/>
          <w:sz w:val="24"/>
          <w:szCs w:val="24"/>
          <w:highlight w:val="none"/>
        </w:rPr>
        <w:t xml:space="preserve">项目编号：JSZC-321283-TXXC-C2026-0004</w:t>
      </w:r>
      <w:r>
        <w:rPr>
          <w:rFonts w:hint="eastAsia"/>
          <w:color w:val="auto"/>
          <w:sz w:val="24"/>
          <w:szCs w:val="24"/>
          <w:highlight w:val="none"/>
          <w:lang w:val="en-US" w:eastAsia="zh-CN"/>
        </w:rPr>
        <w:t xml:space="preserve"> </w:t>
      </w:r>
      <w:r/>
    </w:p>
    <w:p>
      <w:pPr>
        <w:pStyle w:val="1124"/>
        <w:ind w:firstLine="480"/>
        <w:jc w:val="both"/>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highlight w:val="none"/>
        </w:rPr>
        <w:t xml:space="preserve">2</w:t>
      </w:r>
      <w:bookmarkStart w:id="28" w:name="_Hlk130200611"/>
      <w:r>
        <w:rPr>
          <w:rFonts w:hint="eastAsia"/>
          <w:color w:val="auto"/>
          <w:sz w:val="24"/>
          <w:szCs w:val="24"/>
          <w:highlight w:val="none"/>
          <w:lang w:val="en-US" w:eastAsia="zh-CN"/>
        </w:rPr>
        <w:t xml:space="preserve">.</w:t>
      </w:r>
      <w:r>
        <w:rPr>
          <w:rFonts w:hint="eastAsia"/>
          <w:color w:val="auto"/>
          <w:sz w:val="24"/>
          <w:szCs w:val="24"/>
          <w:highlight w:val="none"/>
        </w:rPr>
        <w:t xml:space="preserve">项目名称：</w:t>
      </w:r>
      <w:bookmarkEnd w:id="28"/>
      <w:r>
        <w:rPr>
          <w:rFonts w:hint="eastAsia"/>
          <w:color w:val="auto"/>
          <w:sz w:val="24"/>
          <w:szCs w:val="24"/>
          <w:highlight w:val="none"/>
          <w:lang w:eastAsia="zh-CN"/>
        </w:rPr>
        <w:t xml:space="preserve">2026年黄桥镇农村公路维护工程</w:t>
      </w:r>
      <w:r/>
    </w:p>
    <w:p>
      <w:pPr>
        <w:pStyle w:val="1124"/>
        <w:ind w:firstLine="480"/>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w:t>
      </w:r>
      <w:r>
        <w:rPr>
          <w:rFonts w:hint="eastAsia"/>
          <w:color w:val="auto"/>
          <w:sz w:val="24"/>
          <w:szCs w:val="24"/>
          <w:highlight w:val="none"/>
        </w:rPr>
        <w:t xml:space="preserve">采购方式：竞争性磋商</w:t>
      </w:r>
      <w:r/>
    </w:p>
    <w:p>
      <w:pPr>
        <w:pStyle w:val="1124"/>
        <w:ind w:firstLine="480"/>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highlight w:val="none"/>
        </w:rPr>
        <w:t xml:space="preserve">4</w:t>
      </w:r>
      <w:bookmarkStart w:id="29" w:name="OLE_LINK25"/>
      <w:r/>
      <w:bookmarkStart w:id="30" w:name="OLE_LINK26"/>
      <w:r>
        <w:rPr>
          <w:rFonts w:hint="eastAsia"/>
          <w:color w:val="auto"/>
          <w:sz w:val="24"/>
          <w:szCs w:val="24"/>
          <w:highlight w:val="none"/>
          <w:lang w:val="en-US" w:eastAsia="zh-CN"/>
        </w:rPr>
        <w:t xml:space="preserve">.</w:t>
      </w:r>
      <w:r>
        <w:rPr>
          <w:rFonts w:hint="eastAsia"/>
          <w:color w:val="auto"/>
          <w:sz w:val="24"/>
          <w:szCs w:val="24"/>
          <w:highlight w:val="none"/>
        </w:rPr>
        <w:t xml:space="preserve">预算金额：</w:t>
      </w:r>
      <w:bookmarkEnd w:id="29"/>
      <w:r/>
      <w:bookmarkEnd w:id="30"/>
      <w:r>
        <w:rPr>
          <w:rFonts w:hint="eastAsia"/>
          <w:color w:val="auto"/>
          <w:sz w:val="24"/>
          <w:szCs w:val="24"/>
          <w:highlight w:val="none"/>
        </w:rPr>
        <w:t xml:space="preserve">3903688.56元</w:t>
      </w:r>
      <w:r/>
    </w:p>
    <w:p>
      <w:pPr>
        <w:pStyle w:val="1124"/>
        <w:ind w:firstLine="480"/>
        <w:jc w:val="both"/>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highlight w:val="none"/>
        </w:rPr>
        <w:t xml:space="preserve">5</w:t>
      </w:r>
      <w:bookmarkStart w:id="31" w:name="OLE_LINK23"/>
      <w:r/>
      <w:bookmarkStart w:id="32" w:name="OLE_LINK24"/>
      <w:r>
        <w:rPr>
          <w:rFonts w:hint="eastAsia"/>
          <w:color w:val="auto"/>
          <w:sz w:val="24"/>
          <w:szCs w:val="24"/>
          <w:highlight w:val="none"/>
          <w:lang w:val="en-US" w:eastAsia="zh-CN"/>
        </w:rPr>
        <w:t xml:space="preserve">.</w:t>
      </w:r>
      <w:r>
        <w:rPr>
          <w:rFonts w:hint="eastAsia"/>
          <w:color w:val="auto"/>
          <w:sz w:val="24"/>
          <w:szCs w:val="24"/>
          <w:highlight w:val="none"/>
        </w:rPr>
        <w:t xml:space="preserve">最高限价：</w:t>
      </w:r>
      <w:r>
        <w:rPr>
          <w:rFonts w:hint="eastAsia"/>
          <w:color w:val="auto"/>
          <w:sz w:val="24"/>
          <w:szCs w:val="24"/>
          <w:highlight w:val="none"/>
        </w:rPr>
        <w:t xml:space="preserve">3903688.56元（超过最高限价的报价无效）</w:t>
      </w:r>
      <w:r>
        <w:rPr>
          <w:rFonts w:hint="eastAsia"/>
          <w:color w:val="auto"/>
          <w:sz w:val="24"/>
          <w:szCs w:val="24"/>
          <w:highlight w:val="none"/>
        </w:rPr>
      </w:r>
      <w:bookmarkEnd w:id="31"/>
      <w:r/>
      <w:bookmarkEnd w:id="32"/>
      <w:r/>
      <w:r/>
    </w:p>
    <w:p>
      <w:pPr>
        <w:pStyle w:val="1124"/>
        <w:ind w:firstLine="480"/>
        <w:jc w:val="both"/>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highlight w:val="none"/>
        </w:rPr>
        <w:t xml:space="preserve">6</w:t>
      </w:r>
      <w:r>
        <w:rPr>
          <w:rFonts w:hint="eastAsia"/>
          <w:color w:val="auto"/>
          <w:sz w:val="24"/>
          <w:szCs w:val="24"/>
          <w:highlight w:val="none"/>
          <w:lang w:val="en-US" w:eastAsia="zh-CN"/>
        </w:rPr>
        <w:t xml:space="preserve">.</w:t>
      </w:r>
      <w:r>
        <w:rPr>
          <w:rFonts w:hint="eastAsia"/>
          <w:color w:val="auto"/>
          <w:sz w:val="24"/>
          <w:szCs w:val="24"/>
          <w:highlight w:val="none"/>
        </w:rPr>
        <w:t xml:space="preserve">采购需求：</w:t>
      </w:r>
      <w:bookmarkStart w:id="33" w:name="OLE_LINK11"/>
      <w:r/>
      <w:bookmarkStart w:id="34" w:name="OLE_LINK12"/>
      <w:r/>
      <w:bookmarkStart w:id="35" w:name="OLE_LINK114"/>
      <w:r/>
      <w:bookmarkStart w:id="36" w:name="OLE_LINK111"/>
      <w:r/>
      <w:bookmarkStart w:id="37" w:name="OLE_LINK113"/>
      <w:r/>
      <w:bookmarkStart w:id="38" w:name="OLE_LINK112"/>
      <w:r>
        <w:rPr>
          <w:rFonts w:hint="eastAsia"/>
          <w:color w:val="auto"/>
          <w:sz w:val="24"/>
          <w:szCs w:val="24"/>
          <w:highlight w:val="none"/>
          <w:lang w:val="en-US" w:eastAsia="zh-CN"/>
        </w:rPr>
        <w:t xml:space="preserve">工程量</w:t>
      </w:r>
      <w:r>
        <w:rPr>
          <w:rFonts w:hint="eastAsia"/>
          <w:color w:val="auto"/>
          <w:sz w:val="24"/>
          <w:szCs w:val="24"/>
          <w:highlight w:val="none"/>
        </w:rPr>
        <w:t xml:space="preserve">清单中注</w:t>
      </w:r>
      <w:bookmarkStart w:id="39" w:name="OLE_LINK9"/>
      <w:r/>
      <w:bookmarkStart w:id="40" w:name="OLE_LINK10"/>
      <w:r>
        <w:rPr>
          <w:rFonts w:hint="eastAsia"/>
          <w:color w:val="auto"/>
          <w:sz w:val="24"/>
          <w:szCs w:val="24"/>
          <w:highlight w:val="none"/>
        </w:rPr>
        <w:t xml:space="preserve">明的</w:t>
      </w:r>
      <w:bookmarkEnd w:id="39"/>
      <w:r/>
      <w:bookmarkEnd w:id="40"/>
      <w:r>
        <w:rPr>
          <w:rFonts w:hint="eastAsia"/>
          <w:color w:val="auto"/>
          <w:sz w:val="24"/>
          <w:szCs w:val="24"/>
          <w:highlight w:val="none"/>
          <w:lang w:eastAsia="zh-CN"/>
        </w:rPr>
        <w:t xml:space="preserve">2026年黄桥镇农村公路维护工程</w:t>
      </w:r>
      <w:r>
        <w:rPr>
          <w:rFonts w:hint="eastAsia"/>
          <w:color w:val="auto"/>
          <w:sz w:val="24"/>
          <w:szCs w:val="24"/>
          <w:highlight w:val="none"/>
        </w:rPr>
        <w:t xml:space="preserve">的施工</w:t>
      </w:r>
      <w:bookmarkEnd w:id="33"/>
      <w:r/>
      <w:bookmarkEnd w:id="34"/>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具体详见工程量清单</w:t>
      </w:r>
      <w:r>
        <w:rPr>
          <w:rFonts w:hint="eastAsia"/>
          <w:color w:val="auto"/>
          <w:sz w:val="24"/>
          <w:szCs w:val="24"/>
          <w:highlight w:val="none"/>
        </w:rPr>
        <w:t xml:space="preserve">。</w:t>
      </w:r>
      <w:bookmarkEnd w:id="35"/>
      <w:r/>
      <w:bookmarkEnd w:id="36"/>
      <w:r/>
      <w:bookmarkEnd w:id="37"/>
      <w:r/>
      <w:bookmarkEnd w:id="38"/>
      <w:r/>
      <w:r/>
    </w:p>
    <w:p>
      <w:pPr>
        <w:pStyle w:val="1124"/>
        <w:ind w:firstLine="480"/>
        <w:spacing w:before="0" w:beforeAutospacing="0" w:after="0" w:afterAutospacing="0" w:line="360" w:lineRule="auto"/>
        <w:rPr>
          <w:rFonts w:hint="default" w:eastAsia="宋体"/>
          <w:color w:val="auto"/>
          <w:sz w:val="24"/>
          <w:szCs w:val="24"/>
          <w:highlight w:val="none"/>
          <w:lang w:val="en-US" w:eastAsia="zh-CN"/>
        </w:rPr>
      </w:pPr>
      <w:r>
        <w:rPr>
          <w:rFonts w:hint="eastAsia"/>
          <w:color w:val="auto"/>
          <w:sz w:val="24"/>
          <w:szCs w:val="24"/>
          <w:highlight w:val="none"/>
        </w:rPr>
        <w:t xml:space="preserve">7.合同履行期限：</w:t>
      </w:r>
      <w:r>
        <w:rPr>
          <w:rFonts w:hint="eastAsia"/>
          <w:color w:val="auto"/>
          <w:sz w:val="24"/>
          <w:szCs w:val="24"/>
          <w:highlight w:val="none"/>
          <w:lang w:val="en-US" w:eastAsia="zh-CN"/>
        </w:rPr>
        <w:t xml:space="preserve">合同签订之日起至2026年12月31日</w:t>
      </w:r>
      <w:r>
        <w:rPr>
          <w:rFonts w:hint="eastAsia"/>
          <w:color w:val="auto"/>
          <w:sz w:val="24"/>
          <w:szCs w:val="24"/>
          <w:highlight w:val="none"/>
          <w:lang w:val="en-US" w:eastAsia="zh-CN"/>
        </w:rPr>
        <w:t xml:space="preserve">止。</w:t>
      </w:r>
      <w:r/>
    </w:p>
    <w:p>
      <w:pPr>
        <w:pStyle w:val="1124"/>
        <w:ind w:firstLine="480"/>
        <w:jc w:val="both"/>
        <w:spacing w:before="0" w:beforeAutospacing="0" w:after="0" w:afterAutospacing="0" w:line="360" w:lineRule="auto"/>
        <w:rPr>
          <w:color w:val="auto"/>
          <w:sz w:val="24"/>
          <w:szCs w:val="24"/>
          <w:highlight w:val="none"/>
        </w:rPr>
      </w:pPr>
      <w:r>
        <w:rPr>
          <w:rFonts w:hint="eastAsia"/>
          <w:color w:val="auto"/>
          <w:sz w:val="24"/>
          <w:szCs w:val="24"/>
          <w:highlight w:val="none"/>
        </w:rPr>
        <w:t xml:space="preserve">8.本项目不接受联合体投标。</w:t>
      </w:r>
      <w:r/>
    </w:p>
    <w:p>
      <w:pPr>
        <w:pStyle w:val="1124"/>
        <w:jc w:val="both"/>
        <w:spacing w:before="0" w:beforeAutospacing="0" w:after="0" w:afterAutospacing="0" w:line="360" w:lineRule="auto"/>
        <w:rPr>
          <w:color w:val="auto"/>
          <w:sz w:val="24"/>
          <w:szCs w:val="24"/>
          <w:highlight w:val="none"/>
        </w:rPr>
        <w:outlineLvl w:val="1"/>
      </w:pPr>
      <w:r/>
      <w:bookmarkStart w:id="41" w:name="_Toc14998"/>
      <w:r>
        <w:rPr>
          <w:rFonts w:hint="eastAsia"/>
          <w:b/>
          <w:bCs/>
          <w:color w:val="auto"/>
          <w:sz w:val="24"/>
          <w:szCs w:val="24"/>
          <w:highlight w:val="none"/>
        </w:rPr>
        <w:t xml:space="preserve">二、申请人的资格要求</w:t>
      </w:r>
      <w:bookmarkEnd w:id="41"/>
      <w:r/>
      <w:r/>
    </w:p>
    <w:p>
      <w:pPr>
        <w:pStyle w:val="1124"/>
        <w:ind w:firstLine="480"/>
        <w:jc w:val="both"/>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w:t>
      </w:r>
      <w:r>
        <w:rPr>
          <w:rFonts w:hint="eastAsia"/>
          <w:color w:val="auto"/>
          <w:sz w:val="24"/>
          <w:szCs w:val="24"/>
          <w:highlight w:val="none"/>
        </w:rPr>
        <w:t xml:space="preserve">满足《中华人民共和国政府采购法》第二十二条规定：</w:t>
      </w:r>
      <w:r/>
    </w:p>
    <w:p>
      <w:pPr>
        <w:pStyle w:val="1124"/>
        <w:ind w:firstLine="480"/>
        <w:jc w:val="both"/>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highlight w:val="none"/>
        </w:rPr>
        <w:t xml:space="preserve">基本资格条件的承诺(提供签字盖章完备的《供应商基本资格条件承诺书》)。</w:t>
      </w:r>
      <w:r/>
    </w:p>
    <w:p>
      <w:pPr>
        <w:pStyle w:val="1124"/>
        <w:ind w:firstLine="480"/>
        <w:jc w:val="both"/>
        <w:keepLines w:val="0"/>
        <w:keepNext w:val="0"/>
        <w:pageBreakBefore w:val="0"/>
        <w:spacing w:before="0" w:beforeAutospacing="0" w:after="0" w:afterAutospacing="0" w:line="360" w:lineRule="auto"/>
        <w:widowControl/>
        <w:rPr>
          <w:color w:val="auto"/>
          <w:sz w:val="24"/>
          <w:szCs w:val="24"/>
          <w:highlight w:val="none"/>
        </w:rPr>
      </w:pPr>
      <w:r/>
      <w:bookmarkStart w:id="42" w:name="OLE_LINK32"/>
      <w:r>
        <w:rPr>
          <w:rFonts w:hint="eastAsia"/>
          <w:color w:val="auto"/>
          <w:sz w:val="24"/>
          <w:szCs w:val="24"/>
          <w:highlight w:val="none"/>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落实政府采购政策需满足的资格要求：</w:t>
      </w:r>
      <w:bookmarkStart w:id="43" w:name="OLE_LINK44"/>
      <w:r/>
      <w:bookmarkStart w:id="44" w:name="OLE_LINK28"/>
      <w:r/>
      <w:bookmarkStart w:id="45" w:name="OLE_LINK27"/>
      <w:r>
        <w:rPr>
          <w:rFonts w:hint="eastAsia"/>
          <w:color w:val="auto"/>
          <w:sz w:val="24"/>
          <w:szCs w:val="24"/>
          <w:highlight w:val="none"/>
        </w:rPr>
        <w:t xml:space="preserve">本项目为专门面向中小企业的项目，供应商应为中小微企业或监狱企业或残疾人福利性单位。</w:t>
      </w:r>
      <w:bookmarkEnd w:id="42"/>
      <w:r/>
      <w:bookmarkEnd w:id="43"/>
      <w:r/>
      <w:bookmarkEnd w:id="44"/>
      <w:r/>
      <w:bookmarkEnd w:id="45"/>
      <w:r/>
      <w:r/>
    </w:p>
    <w:p>
      <w:pPr>
        <w:pStyle w:val="1124"/>
        <w:ind w:firstLine="480"/>
        <w:jc w:val="both"/>
        <w:keepLines w:val="0"/>
        <w:keepNext w:val="0"/>
        <w:pageBreakBefore w:val="0"/>
        <w:spacing w:before="0" w:beforeAutospacing="0" w:after="0" w:afterAutospacing="0" w:line="360" w:lineRule="auto"/>
        <w:widowControl/>
        <w:rPr>
          <w:color w:val="auto"/>
          <w:sz w:val="24"/>
          <w:szCs w:val="24"/>
          <w:highlight w:val="none"/>
        </w:rPr>
      </w:pPr>
      <w:r/>
      <w:bookmarkStart w:id="46" w:name="OLE_LINK95"/>
      <w:r/>
      <w:bookmarkStart w:id="47" w:name="OLE_LINK96"/>
      <w:r>
        <w:rPr>
          <w:rFonts w:hint="eastAsia"/>
          <w:color w:val="auto"/>
          <w:sz w:val="24"/>
          <w:szCs w:val="24"/>
          <w:highlight w:val="none"/>
        </w:rPr>
        <w:t xml:space="preserve">3</w:t>
      </w:r>
      <w:bookmarkStart w:id="48" w:name="OLE_LINK33"/>
      <w:r/>
      <w:bookmarkStart w:id="49" w:name="OLE_LINK34"/>
      <w:r>
        <w:rPr>
          <w:rFonts w:hint="eastAsia"/>
          <w:color w:val="auto"/>
          <w:sz w:val="24"/>
          <w:szCs w:val="24"/>
          <w:highlight w:val="none"/>
          <w:lang w:eastAsia="zh-CN"/>
        </w:rPr>
        <w:t xml:space="preserve">.</w:t>
      </w:r>
      <w:r>
        <w:rPr>
          <w:rFonts w:hint="eastAsia"/>
          <w:color w:val="auto"/>
          <w:sz w:val="24"/>
          <w:szCs w:val="24"/>
          <w:highlight w:val="none"/>
        </w:rPr>
        <w:t xml:space="preserve">本项目的特定资格要求：</w:t>
      </w:r>
      <w:bookmarkEnd w:id="48"/>
      <w:r/>
      <w:bookmarkEnd w:id="49"/>
      <w:r/>
      <w:r/>
    </w:p>
    <w:p>
      <w:pPr>
        <w:ind w:firstLine="480"/>
        <w:jc w:val="left"/>
        <w:keepLines w:val="0"/>
        <w:keepNext w:val="0"/>
        <w:pageBreakBefore w:val="0"/>
        <w:spacing w:line="360" w:lineRule="auto"/>
        <w:widowControl/>
        <w:rPr>
          <w:rFonts w:ascii="宋体" w:hAnsi="宋体" w:cs="宋体"/>
          <w:color w:val="auto"/>
          <w:sz w:val="24"/>
          <w:szCs w:val="24"/>
          <w:highlight w:val="none"/>
          <w:lang w:val="zh-CN"/>
        </w:rPr>
      </w:pPr>
      <w:r/>
      <w:bookmarkStart w:id="50" w:name="OLE_LINK117"/>
      <w:r/>
      <w:bookmarkStart w:id="51" w:name="OLE_LINK116"/>
      <w:r/>
      <w:bookmarkStart w:id="52" w:name="OLE_LINK36"/>
      <w:r/>
      <w:bookmarkStart w:id="53" w:name="OLE_LINK35"/>
      <w:r>
        <w:rPr>
          <w:rFonts w:hint="eastAsia" w:ascii="宋体" w:hAnsi="宋体" w:cs="宋体"/>
          <w:color w:val="auto"/>
          <w:sz w:val="24"/>
          <w:szCs w:val="24"/>
          <w:highlight w:val="none"/>
          <w:lang w:val="zh-CN"/>
        </w:rPr>
        <w:t xml:space="preserve">（1）具有独立法人资格，具备有效的营业执照。</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具</w:t>
      </w:r>
      <w:r>
        <w:rPr>
          <w:rFonts w:hint="eastAsia" w:ascii="宋体" w:hAnsi="宋体" w:cs="宋体"/>
          <w:color w:val="auto"/>
          <w:sz w:val="24"/>
          <w:szCs w:val="24"/>
          <w:highlight w:val="none"/>
          <w:lang w:val="zh-CN"/>
        </w:rPr>
        <w:t xml:space="preserve">有</w:t>
      </w:r>
      <w:r>
        <w:rPr>
          <w:rFonts w:hint="eastAsia" w:ascii="宋体" w:hAnsi="宋体" w:cs="宋体"/>
          <w:color w:val="auto"/>
          <w:sz w:val="24"/>
          <w:szCs w:val="24"/>
          <w:highlight w:val="none"/>
          <w:u w:val="single"/>
          <w:lang w:val="zh-CN"/>
        </w:rPr>
        <w:t xml:space="preserve">[公路工程施工总承包三级]（含）以上</w:t>
      </w:r>
      <w:r>
        <w:rPr>
          <w:rFonts w:hint="eastAsia" w:ascii="宋体" w:hAnsi="宋体" w:cs="宋体"/>
          <w:color w:val="auto"/>
          <w:sz w:val="24"/>
          <w:szCs w:val="24"/>
          <w:highlight w:val="none"/>
        </w:rPr>
        <w:t xml:space="preserve">资质，具备有效的省级及以上建设行政主管部门核发的施工企业安全生产许可证</w:t>
      </w:r>
      <w:r>
        <w:rPr>
          <w:rFonts w:hint="eastAsia" w:ascii="宋体" w:hAnsi="宋体" w:cs="宋体"/>
          <w:color w:val="auto"/>
          <w:sz w:val="24"/>
          <w:szCs w:val="24"/>
          <w:highlight w:val="none"/>
          <w:lang w:val="zh-CN"/>
        </w:rPr>
        <w:t xml:space="preserve">。</w:t>
      </w:r>
      <w:r/>
    </w:p>
    <w:p>
      <w:pPr>
        <w:pStyle w:val="1124"/>
        <w:ind w:firstLine="480"/>
        <w:keepLines w:val="0"/>
        <w:keepNext w:val="0"/>
        <w:pageBreakBefore w:val="0"/>
        <w:spacing w:before="0" w:beforeAutospacing="0" w:after="0" w:afterAutospacing="0" w:line="360" w:lineRule="auto"/>
        <w:widowControl/>
        <w:tabs>
          <w:tab w:val="left" w:pos="1368" w:leader="none"/>
          <w:tab w:val="left" w:pos="1604" w:leader="none"/>
          <w:tab w:val="left" w:pos="5508" w:leader="none"/>
        </w:tabs>
        <w:rPr>
          <w:color w:val="auto"/>
          <w:sz w:val="24"/>
          <w:szCs w:val="24"/>
          <w:highlight w:val="none"/>
        </w:rPr>
      </w:pPr>
      <w:r>
        <w:rPr>
          <w:rFonts w:hint="eastAsia"/>
          <w:color w:val="auto"/>
          <w:sz w:val="24"/>
          <w:szCs w:val="24"/>
          <w:highlight w:val="none"/>
          <w:lang w:val="zh-CN"/>
        </w:rPr>
        <w:t xml:space="preserve">（</w:t>
      </w:r>
      <w:r>
        <w:rPr>
          <w:rFonts w:hint="eastAsia"/>
          <w:color w:val="auto"/>
          <w:sz w:val="24"/>
          <w:szCs w:val="24"/>
          <w:highlight w:val="none"/>
        </w:rPr>
        <w:t xml:space="preserve">3</w:t>
      </w:r>
      <w:r>
        <w:rPr>
          <w:rFonts w:hint="eastAsia"/>
          <w:color w:val="auto"/>
          <w:sz w:val="24"/>
          <w:szCs w:val="24"/>
          <w:highlight w:val="none"/>
          <w:lang w:val="zh-CN"/>
        </w:rPr>
        <w:t xml:space="preserve">）</w:t>
      </w:r>
      <w:r>
        <w:rPr>
          <w:rFonts w:hint="eastAsia"/>
          <w:color w:val="auto"/>
          <w:sz w:val="24"/>
          <w:szCs w:val="24"/>
          <w:highlight w:val="none"/>
        </w:rPr>
        <w:t xml:space="preserve">拟派的项目负责人必须具备</w:t>
      </w:r>
      <w:r>
        <w:rPr>
          <w:rFonts w:hint="eastAsia" w:ascii="宋体" w:hAnsi="宋体" w:eastAsia="宋体" w:cs="宋体"/>
          <w:color w:val="auto"/>
          <w:sz w:val="24"/>
          <w:szCs w:val="24"/>
          <w:highlight w:val="none"/>
          <w:u w:val="single"/>
          <w:lang w:val="en-US" w:eastAsia="zh-CN"/>
        </w:rPr>
        <w:t xml:space="preserve">[公路工程建造师二级]</w:t>
      </w:r>
      <w:r>
        <w:rPr>
          <w:rFonts w:hint="eastAsia" w:ascii="宋体" w:hAnsi="宋体" w:eastAsia="宋体" w:cs="宋体"/>
          <w:color w:val="auto"/>
          <w:sz w:val="24"/>
          <w:szCs w:val="24"/>
          <w:highlight w:val="none"/>
          <w:u w:val="single"/>
        </w:rPr>
        <w:t xml:space="preserve">（含）以上</w:t>
      </w:r>
      <w:r>
        <w:rPr>
          <w:rFonts w:hint="eastAsia"/>
          <w:color w:val="auto"/>
          <w:sz w:val="24"/>
          <w:szCs w:val="24"/>
          <w:highlight w:val="none"/>
        </w:rPr>
        <w:t xml:space="preserve">注册建造师资格，且具备有效的省级交通运输主管部门核发的有效的《公路水运工程施工企业主要负责人和安全生产管理人员安全生产考核合格证书》（B证）且未担任其他在建建设工程项目的项目负责人</w:t>
      </w:r>
      <w:r>
        <w:rPr>
          <w:rFonts w:hint="eastAsia"/>
          <w:color w:val="auto"/>
          <w:sz w:val="24"/>
          <w:szCs w:val="24"/>
          <w:highlight w:val="none"/>
          <w:lang w:val="zh-CN"/>
        </w:rPr>
        <w:t xml:space="preserve">。</w:t>
      </w:r>
      <w:bookmarkEnd w:id="50"/>
      <w:r/>
      <w:bookmarkEnd w:id="51"/>
      <w:r/>
      <w:r/>
    </w:p>
    <w:p>
      <w:pPr>
        <w:ind w:firstLine="480"/>
        <w:jc w:val="left"/>
        <w:keepLines w:val="0"/>
        <w:keepNext w:val="0"/>
        <w:pageBreakBefore w:val="0"/>
        <w:spacing w:line="360" w:lineRule="auto"/>
        <w:widowControl/>
        <w:rPr>
          <w:rFonts w:ascii="宋体" w:hAnsi="宋体" w:cs="宋体"/>
          <w:color w:val="auto"/>
          <w:sz w:val="24"/>
          <w:szCs w:val="24"/>
          <w:highlight w:val="none"/>
        </w:rPr>
      </w:pPr>
      <w:r/>
      <w:bookmarkStart w:id="54" w:name="OLE_LINK45"/>
      <w:r/>
      <w:bookmarkStart w:id="55" w:name="OLE_LINK46"/>
      <w:r/>
      <w:bookmarkStart w:id="56" w:name="OLE_LINK38"/>
      <w:r/>
      <w:bookmarkStart w:id="57" w:name="OLE_LINK37"/>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项目负责人无在建工程要求：</w:t>
      </w:r>
      <w:bookmarkEnd w:id="54"/>
      <w:r/>
      <w:bookmarkEnd w:id="55"/>
      <w:r/>
      <w:r/>
    </w:p>
    <w:p>
      <w:pPr>
        <w:ind w:firstLine="60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①项目负责人是非变更后无在建工程。</w:t>
      </w:r>
      <w:r/>
    </w:p>
    <w:p>
      <w:pPr>
        <w:ind w:firstLine="60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60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③项目负责人有在建工程，但该在建工程与本次采购的工程属于同一工程项目、同一项目批文、同一施工地点分段发包或分期施工的情况，且该在建工程与本次采购项目的规模总和在项目负责人资格执业范围内。</w:t>
      </w:r>
      <w:r/>
    </w:p>
    <w:p>
      <w:pPr>
        <w:ind w:firstLine="60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注：以上在建工程是指在其他项目担任项目负责人职务。此项评审方式为承诺制，如查实供应商在《投标承诺书》中虚假承诺，按弄虚作假处理。</w:t>
      </w:r>
      <w:r/>
    </w:p>
    <w:p>
      <w:pPr>
        <w:ind w:firstLine="480"/>
        <w:jc w:val="left"/>
        <w:keepLines w:val="0"/>
        <w:keepNext w:val="0"/>
        <w:pageBreakBefore w:val="0"/>
        <w:spacing w:line="360" w:lineRule="auto"/>
        <w:widowControl/>
        <w:rPr>
          <w:rFonts w:ascii="宋体" w:hAnsi="宋体" w:cs="宋体"/>
          <w:color w:val="auto"/>
          <w:sz w:val="24"/>
          <w:szCs w:val="24"/>
          <w:highlight w:val="none"/>
        </w:rPr>
      </w:pPr>
      <w:r/>
      <w:bookmarkStart w:id="58" w:name="OLE_LINK41"/>
      <w:r/>
      <w:bookmarkStart w:id="59" w:name="OLE_LINK40"/>
      <w:r/>
      <w:bookmarkStart w:id="60" w:name="OLE_LINK39"/>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bookmarkEnd w:id="58"/>
      <w:r>
        <w:rPr>
          <w:rFonts w:hint="eastAsia" w:ascii="宋体" w:hAnsi="宋体" w:cs="宋体"/>
          <w:color w:val="auto"/>
          <w:sz w:val="24"/>
          <w:szCs w:val="24"/>
          <w:highlight w:val="none"/>
        </w:rPr>
        <w:t xml:space="preserve">供应商为拟派项目负责人缴纳的养老保险（时间要求：</w:t>
      </w:r>
      <w:r>
        <w:rPr>
          <w:rFonts w:hint="eastAsia" w:ascii="宋体" w:hAnsi="宋体" w:cs="宋体"/>
          <w:color w:val="auto"/>
          <w:sz w:val="24"/>
          <w:szCs w:val="24"/>
          <w:highlight w:val="none"/>
          <w:u w:val="single"/>
        </w:rPr>
        <w:t xml:space="preserve">投标截止时间上月或当月</w:t>
      </w:r>
      <w:r>
        <w:rPr>
          <w:rFonts w:hint="eastAsia" w:ascii="宋体" w:hAnsi="宋体" w:cs="宋体"/>
          <w:color w:val="auto"/>
          <w:sz w:val="24"/>
          <w:szCs w:val="24"/>
          <w:highlight w:val="none"/>
        </w:rPr>
        <w:t xml:space="preserve">，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提供退休证明。</w:t>
      </w:r>
      <w:r/>
    </w:p>
    <w:p>
      <w:pPr>
        <w:ind w:firstLine="480"/>
        <w:jc w:val="left"/>
        <w:keepLines w:val="0"/>
        <w:keepNext w:val="0"/>
        <w:pageBreakBefore w:val="0"/>
        <w:spacing w:line="360" w:lineRule="auto"/>
        <w:widowControl/>
        <w:rPr>
          <w:rFonts w:ascii="宋体" w:hAnsi="宋体" w:cs="宋体"/>
          <w:color w:val="auto"/>
          <w:sz w:val="24"/>
          <w:szCs w:val="24"/>
          <w:highlight w:val="none"/>
        </w:rPr>
      </w:pPr>
      <w:r/>
      <w:bookmarkStart w:id="61" w:name="OLE_LINK42"/>
      <w:r/>
      <w:bookmarkStart w:id="62" w:name="OLE_LINK43"/>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项目负责人不得同时在两个或者两个以上单位受聘或者执业，包含但不仅限于以下情形：</w:t>
      </w:r>
      <w:bookmarkEnd w:id="56"/>
      <w:r/>
      <w:bookmarkEnd w:id="57"/>
      <w:r/>
      <w:bookmarkEnd w:id="59"/>
      <w:r/>
      <w:bookmarkEnd w:id="60"/>
      <w:r/>
      <w:bookmarkEnd w:id="61"/>
      <w:r/>
      <w:bookmarkEnd w:id="62"/>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①同时在两个及以上单位签订劳动合同或交纳社会保险；</w:t>
      </w:r>
      <w:r/>
    </w:p>
    <w:p>
      <w:pPr>
        <w:ind w:firstLine="480"/>
        <w:jc w:val="left"/>
        <w:keepLines w:val="0"/>
        <w:keepNext w:val="0"/>
        <w:pageBreakBefore w:val="0"/>
        <w:spacing w:line="360" w:lineRule="auto"/>
        <w:widowControl/>
        <w:rPr>
          <w:rFonts w:ascii="宋体" w:hAnsi="宋体" w:cs="宋体"/>
          <w:color w:val="auto"/>
          <w:sz w:val="24"/>
          <w:szCs w:val="24"/>
          <w:highlight w:val="none"/>
        </w:rPr>
      </w:pPr>
      <w:r/>
      <w:bookmarkStart w:id="63" w:name="_Hlk165670046"/>
      <w:r>
        <w:rPr>
          <w:rFonts w:hint="eastAsia" w:ascii="宋体" w:hAnsi="宋体" w:cs="宋体"/>
          <w:color w:val="auto"/>
          <w:sz w:val="24"/>
          <w:szCs w:val="24"/>
          <w:highlight w:val="none"/>
        </w:rPr>
        <w:t xml:space="preserve">②</w:t>
      </w:r>
      <w:bookmarkEnd w:id="63"/>
      <w:r>
        <w:rPr>
          <w:rFonts w:hint="eastAsia" w:ascii="宋体" w:hAnsi="宋体" w:cs="宋体"/>
          <w:color w:val="auto"/>
          <w:sz w:val="24"/>
          <w:szCs w:val="24"/>
          <w:highlight w:val="none"/>
        </w:rPr>
        <w:t xml:space="preserve">将本人执（职）业资格证书同时注册在两个及以上单位；</w:t>
      </w:r>
      <w:r/>
    </w:p>
    <w:p>
      <w:pPr>
        <w:ind w:firstLine="480"/>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color w:val="auto"/>
          <w:sz w:val="24"/>
          <w:szCs w:val="24"/>
          <w:highlight w:val="none"/>
        </w:rPr>
        <w:t xml:space="preserve">③在其他单位任职（在投标单位分公司任职不属于在其他单位任职），</w:t>
      </w:r>
      <w:r>
        <w:rPr>
          <w:rFonts w:hint="eastAsia" w:ascii="宋体" w:hAnsi="宋体" w:cs="宋体"/>
          <w:b/>
          <w:bCs/>
          <w:color w:val="auto"/>
          <w:sz w:val="24"/>
          <w:szCs w:val="24"/>
          <w:highlight w:val="none"/>
        </w:rPr>
        <w:t xml:space="preserve">具体查询方式：打开“微信”主界面，点击“发现”一栏中“小程序”，搜索“电子营业执照”，在“电子营业执照”小程序主界面中，点击“其他应用”在投资任职情况查询中输入项目负责人信息即可查询</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提供查询截图</w:t>
      </w:r>
      <w:r>
        <w:rPr>
          <w:rFonts w:hint="eastAsia" w:ascii="宋体" w:hAnsi="宋体" w:cs="宋体"/>
          <w:b/>
          <w:bCs/>
          <w:color w:val="auto"/>
          <w:sz w:val="24"/>
          <w:szCs w:val="24"/>
          <w:highlight w:val="none"/>
        </w:rPr>
        <w:t xml:space="preserve">。</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注：此项①、②情形评审方式为承诺制，如查实供应商在《投标承诺书》中虚假承诺，按弄虚作假处理。</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（7）存在下列情形的供应商，不得参加本项目采购活动：</w:t>
      </w:r>
      <w:r/>
    </w:p>
    <w:p>
      <w:pPr>
        <w:ind w:firstLine="72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①因违约失信等问题正处于调查期间的供应商；</w:t>
      </w:r>
      <w:r/>
    </w:p>
    <w:p>
      <w:pPr>
        <w:ind w:firstLine="72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②单位负责人为同一人或者存在直接控股、管理关系的不同供应商，不得同时参加本项目的投标活动；</w:t>
      </w:r>
      <w:r/>
    </w:p>
    <w:p>
      <w:pPr>
        <w:ind w:firstLine="7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③被“信用中国”网站（www.creditchina.gov.cn）、“中国政府采购网”网站（www.ccgp.gov.cn）列入失信被执行人、重大税收违法案件当事人名单、政府采购严重失信行为记录名单。</w:t>
      </w:r>
      <w:bookmarkEnd w:id="52"/>
      <w:r/>
      <w:bookmarkEnd w:id="53"/>
      <w:r/>
      <w:r/>
    </w:p>
    <w:p>
      <w:pPr>
        <w:ind w:firstLine="480"/>
        <w:jc w:val="left"/>
        <w:keepLines w:val="0"/>
        <w:keepNext w:val="0"/>
        <w:pageBreakBefore w:val="0"/>
        <w:spacing w:line="360" w:lineRule="auto"/>
        <w:widowControl/>
      </w:pPr>
      <w:r>
        <w:rPr>
          <w:rFonts w:hint="eastAsia" w:ascii="宋体" w:hAnsi="宋体" w:cs="宋体"/>
          <w:b/>
          <w:bCs/>
          <w:color w:val="auto"/>
          <w:sz w:val="24"/>
          <w:szCs w:val="24"/>
          <w:highlight w:val="none"/>
        </w:rPr>
        <w:t xml:space="preserve">注：此项评审方式为承诺制，如查实供应商在《投标承诺书》中虚假承诺，按弄虚作假处理。</w:t>
      </w:r>
      <w:bookmarkEnd w:id="46"/>
      <w:r/>
      <w:bookmarkEnd w:id="47"/>
      <w:r/>
      <w:r/>
    </w:p>
    <w:p>
      <w:pPr>
        <w:pStyle w:val="1124"/>
        <w:jc w:val="both"/>
        <w:spacing w:before="0" w:beforeAutospacing="0" w:after="0" w:afterAutospacing="0" w:line="360" w:lineRule="auto"/>
        <w:rPr>
          <w:b/>
          <w:bCs/>
          <w:color w:val="auto"/>
          <w:sz w:val="24"/>
          <w:szCs w:val="24"/>
          <w:highlight w:val="none"/>
        </w:rPr>
        <w:outlineLvl w:val="1"/>
      </w:pPr>
      <w:r/>
      <w:bookmarkStart w:id="64" w:name="_Toc6047"/>
      <w:r>
        <w:rPr>
          <w:rFonts w:hint="eastAsia"/>
          <w:b/>
          <w:bCs/>
          <w:color w:val="auto"/>
          <w:sz w:val="24"/>
          <w:szCs w:val="24"/>
          <w:highlight w:val="none"/>
        </w:rPr>
        <w:t xml:space="preserve">三、获取竞争性磋商文件</w:t>
      </w:r>
      <w:bookmarkEnd w:id="64"/>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时间：自磋商文件公告发布之日起5个工作日。</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地点：</w:t>
      </w:r>
      <w:bookmarkStart w:id="65" w:name="OLE_LINK85"/>
      <w:r>
        <w:rPr>
          <w:rFonts w:hint="eastAsia" w:ascii="宋体" w:hAnsi="宋体" w:cs="宋体"/>
          <w:color w:val="auto"/>
          <w:sz w:val="24"/>
          <w:szCs w:val="24"/>
          <w:highlight w:val="none"/>
        </w:rPr>
        <w:t xml:space="preserve">供应商完成注册并办理CA证书后登录“江苏政府采购‘苏采云’系统”下载本项目磋商文件。</w:t>
      </w:r>
      <w:bookmarkEnd w:id="65"/>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方式：</w:t>
      </w:r>
      <w:bookmarkStart w:id="66" w:name="OLE_LINK90"/>
      <w:r/>
      <w:bookmarkStart w:id="67" w:name="OLE_LINK91"/>
      <w:r>
        <w:rPr>
          <w:rFonts w:hint="eastAsia" w:ascii="宋体" w:hAnsi="宋体" w:cs="宋体"/>
          <w:color w:val="auto"/>
          <w:sz w:val="24"/>
          <w:szCs w:val="24"/>
          <w:highlight w:val="none"/>
        </w:rPr>
        <w:t xml:space="preserve">登录江苏政府采购“苏采云”系统免费下载。</w:t>
      </w:r>
      <w:bookmarkEnd w:id="66"/>
      <w:r/>
      <w:bookmarkEnd w:id="67"/>
      <w:r/>
      <w:r/>
    </w:p>
    <w:p>
      <w:pPr>
        <w:pStyle w:val="1124"/>
        <w:ind w:firstLine="480"/>
        <w:jc w:val="both"/>
        <w:keepLines w:val="0"/>
        <w:keepNext w:val="0"/>
        <w:pageBreakBefore w:val="0"/>
        <w:spacing w:before="0" w:beforeAutospacing="0" w:after="0" w:afterAutospacing="0" w:line="360" w:lineRule="auto"/>
        <w:rPr>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eastAsia="zh-CN"/>
        </w:rPr>
        <w:t xml:space="preserve">.</w:t>
      </w:r>
      <w:r>
        <w:rPr>
          <w:rFonts w:hint="eastAsia"/>
          <w:color w:val="auto"/>
          <w:sz w:val="24"/>
          <w:szCs w:val="24"/>
          <w:highlight w:val="none"/>
        </w:rPr>
        <w:t xml:space="preserve">售价：</w:t>
      </w:r>
      <w:bookmarkStart w:id="68" w:name="OLE_LINK92"/>
      <w:r/>
      <w:bookmarkStart w:id="69" w:name="OLE_LINK93"/>
      <w:r>
        <w:rPr>
          <w:rFonts w:hint="eastAsia"/>
          <w:color w:val="auto"/>
          <w:sz w:val="24"/>
          <w:szCs w:val="24"/>
          <w:highlight w:val="none"/>
        </w:rPr>
        <w:t xml:space="preserve">免费</w:t>
      </w:r>
      <w:bookmarkEnd w:id="68"/>
      <w:r/>
      <w:bookmarkEnd w:id="69"/>
      <w:r>
        <w:rPr>
          <w:rFonts w:hint="eastAsia"/>
          <w:color w:val="auto"/>
          <w:sz w:val="24"/>
          <w:szCs w:val="24"/>
          <w:highlight w:val="none"/>
        </w:rPr>
        <w:t xml:space="preserve">。</w:t>
      </w:r>
      <w:r/>
    </w:p>
    <w:p>
      <w:pPr>
        <w:jc w:val="left"/>
        <w:spacing w:line="360" w:lineRule="auto"/>
        <w:rPr>
          <w:rFonts w:ascii="宋体" w:hAnsi="宋体" w:cs="宋体"/>
          <w:b/>
          <w:color w:val="auto"/>
          <w:sz w:val="24"/>
          <w:szCs w:val="24"/>
          <w:highlight w:val="none"/>
        </w:rPr>
        <w:outlineLvl w:val="1"/>
      </w:pPr>
      <w:r/>
      <w:bookmarkStart w:id="70" w:name="_Toc27178"/>
      <w:r>
        <w:rPr>
          <w:rFonts w:hint="eastAsia" w:ascii="宋体" w:hAnsi="宋体" w:cs="宋体"/>
          <w:b/>
          <w:bCs/>
          <w:color w:val="auto"/>
          <w:sz w:val="24"/>
          <w:szCs w:val="24"/>
          <w:highlight w:val="none"/>
        </w:rPr>
        <w:t xml:space="preserve">四、响应文件提交</w:t>
      </w:r>
      <w:bookmarkEnd w:id="70"/>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0分（北京时间）。</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地点：</w:t>
      </w:r>
      <w:bookmarkStart w:id="71" w:name="OLE_LINK94"/>
      <w:r>
        <w:rPr>
          <w:rFonts w:hint="eastAsia" w:ascii="宋体" w:hAnsi="宋体" w:cs="宋体"/>
          <w:color w:val="auto"/>
          <w:sz w:val="24"/>
          <w:szCs w:val="24"/>
          <w:highlight w:val="none"/>
        </w:rPr>
        <w:t xml:space="preserve">江苏政府采购“苏采云”系统不见面开标大厅。</w:t>
      </w:r>
      <w:bookmarkEnd w:id="71"/>
      <w:r/>
      <w:r/>
    </w:p>
    <w:p>
      <w:pPr>
        <w:jc w:val="left"/>
        <w:spacing w:line="360" w:lineRule="auto"/>
        <w:rPr>
          <w:rFonts w:ascii="宋体" w:hAnsi="宋体" w:cs="宋体"/>
          <w:b/>
          <w:bCs/>
          <w:color w:val="auto"/>
          <w:sz w:val="24"/>
          <w:szCs w:val="24"/>
          <w:highlight w:val="none"/>
        </w:rPr>
        <w:outlineLvl w:val="1"/>
      </w:pPr>
      <w:r/>
      <w:bookmarkStart w:id="72" w:name="_Toc32579"/>
      <w:r>
        <w:rPr>
          <w:rFonts w:hint="eastAsia" w:ascii="宋体" w:hAnsi="宋体" w:cs="宋体"/>
          <w:b/>
          <w:bCs/>
          <w:color w:val="auto"/>
          <w:sz w:val="24"/>
          <w:szCs w:val="24"/>
          <w:highlight w:val="none"/>
        </w:rPr>
        <w:t xml:space="preserve">五、开启</w:t>
      </w:r>
      <w:bookmarkEnd w:id="72"/>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0分（北京时间）。</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地点：</w:t>
      </w:r>
      <w:bookmarkStart w:id="73" w:name="OLE_LINK100"/>
      <w:r/>
      <w:bookmarkStart w:id="74" w:name="OLE_LINK99"/>
      <w:r>
        <w:rPr>
          <w:rFonts w:hint="eastAsia" w:ascii="宋体" w:hAnsi="宋体" w:cs="宋体"/>
          <w:color w:val="auto"/>
          <w:sz w:val="24"/>
          <w:szCs w:val="24"/>
          <w:highlight w:val="none"/>
        </w:rPr>
        <w:t xml:space="preserve">江苏政府采购“苏采云”系统不见面开标大厅。</w:t>
      </w:r>
      <w:bookmarkEnd w:id="73"/>
      <w:r/>
      <w:bookmarkEnd w:id="74"/>
      <w:r/>
      <w:r/>
    </w:p>
    <w:p>
      <w:pPr>
        <w:jc w:val="left"/>
        <w:spacing w:line="360" w:lineRule="auto"/>
        <w:rPr>
          <w:rFonts w:ascii="宋体" w:hAnsi="宋体" w:cs="宋体"/>
          <w:color w:val="auto"/>
          <w:sz w:val="24"/>
          <w:szCs w:val="24"/>
          <w:highlight w:val="none"/>
        </w:rPr>
        <w:outlineLvl w:val="1"/>
      </w:pPr>
      <w:r/>
      <w:bookmarkStart w:id="75" w:name="_Toc28359007"/>
      <w:r/>
      <w:bookmarkStart w:id="76" w:name="_Toc35393625"/>
      <w:r/>
      <w:bookmarkStart w:id="77" w:name="_Toc31924"/>
      <w:r/>
      <w:bookmarkStart w:id="78" w:name="_Toc28359084"/>
      <w:r/>
      <w:bookmarkStart w:id="79" w:name="_Toc38985267"/>
      <w:r/>
      <w:bookmarkStart w:id="80" w:name="_Toc35393794"/>
      <w:r>
        <w:rPr>
          <w:rFonts w:hint="eastAsia" w:ascii="宋体" w:hAnsi="宋体" w:cs="宋体"/>
          <w:b/>
          <w:bCs/>
          <w:color w:val="auto"/>
          <w:sz w:val="24"/>
          <w:szCs w:val="24"/>
          <w:highlight w:val="none"/>
        </w:rPr>
        <w:t xml:space="preserve">六、公告期限</w:t>
      </w:r>
      <w:bookmarkEnd w:id="75"/>
      <w:r/>
      <w:bookmarkEnd w:id="76"/>
      <w:r/>
      <w:bookmarkEnd w:id="77"/>
      <w:r/>
      <w:bookmarkEnd w:id="78"/>
      <w:r/>
      <w:bookmarkEnd w:id="79"/>
      <w:r/>
      <w:bookmarkEnd w:id="80"/>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jc w:val="left"/>
        <w:spacing w:line="360" w:lineRule="auto"/>
        <w:rPr>
          <w:rFonts w:ascii="宋体" w:hAnsi="宋体" w:cs="宋体"/>
          <w:color w:val="auto"/>
          <w:sz w:val="24"/>
          <w:szCs w:val="24"/>
          <w:highlight w:val="none"/>
        </w:rPr>
        <w:outlineLvl w:val="1"/>
      </w:pPr>
      <w:r/>
      <w:bookmarkStart w:id="81" w:name="_Toc25949"/>
      <w:r>
        <w:rPr>
          <w:rFonts w:hint="eastAsia" w:ascii="宋体" w:hAnsi="宋体" w:cs="宋体"/>
          <w:b/>
          <w:bCs/>
          <w:color w:val="auto"/>
          <w:sz w:val="24"/>
          <w:szCs w:val="24"/>
          <w:highlight w:val="none"/>
        </w:rPr>
        <w:t xml:space="preserve">七、其他补充事宜</w:t>
      </w:r>
      <w:bookmarkEnd w:id="81"/>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磋商保证金：本项目不收取磋商保证金。</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现场踏勘：潜在供应商自行踏勘。（请各潜在供应商对项目现场进行自主踏勘，未现场踏勘和未提出疑义的潜在供应商被视为已踏勘，认同采购项目要求的内容，由此造成的后果由潜在供应商负责）</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在磋商结束前，各供应商授权代表应保持手机畅通，以便及时澄清答疑。</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根据省财政厅《关</w:t>
      </w:r>
      <w:r>
        <w:rPr>
          <w:rFonts w:hint="eastAsia" w:ascii="宋体" w:hAnsi="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有关本次磋商的事项若存在变动或修改，敬请及时关注“江苏政府采购网”发布的更正公告。</w:t>
      </w:r>
      <w:r/>
    </w:p>
    <w:p>
      <w:pPr>
        <w:jc w:val="left"/>
        <w:spacing w:line="360" w:lineRule="auto"/>
        <w:rPr>
          <w:rFonts w:ascii="宋体" w:hAnsi="宋体" w:cs="宋体"/>
          <w:color w:val="auto"/>
          <w:sz w:val="24"/>
          <w:szCs w:val="24"/>
          <w:highlight w:val="none"/>
        </w:rPr>
        <w:outlineLvl w:val="1"/>
      </w:pPr>
      <w:r/>
      <w:bookmarkStart w:id="82" w:name="_Toc735"/>
      <w:r>
        <w:rPr>
          <w:rFonts w:hint="eastAsia" w:ascii="宋体" w:hAnsi="宋体" w:cs="宋体"/>
          <w:b/>
          <w:bCs/>
          <w:color w:val="auto"/>
          <w:sz w:val="24"/>
          <w:szCs w:val="24"/>
          <w:highlight w:val="none"/>
        </w:rPr>
        <w:t xml:space="preserve">八、对本次磋商有任何意见或建议，请按以下方式联系</w:t>
      </w:r>
      <w:bookmarkEnd w:id="82"/>
      <w:r/>
      <w:r/>
    </w:p>
    <w:p>
      <w:pPr>
        <w:pStyle w:val="1124"/>
        <w:ind w:firstLine="480"/>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w:t>
      </w:r>
      <w:r>
        <w:rPr>
          <w:rFonts w:hint="eastAsia"/>
          <w:color w:val="auto"/>
          <w:sz w:val="24"/>
          <w:szCs w:val="24"/>
          <w:highlight w:val="none"/>
        </w:rPr>
        <w:t xml:space="preserve">采购人信息</w:t>
      </w:r>
      <w:r/>
    </w:p>
    <w:p>
      <w:pPr>
        <w:pStyle w:val="1124"/>
        <w:ind w:firstLine="480"/>
        <w:keepLines w:val="0"/>
        <w:keepNext w:val="0"/>
        <w:pageBreakBefore w:val="0"/>
        <w:spacing w:before="0" w:beforeAutospacing="0" w:after="0" w:afterAutospacing="0" w:line="360" w:lineRule="auto"/>
        <w:widowControl/>
        <w:rPr>
          <w:rFonts w:hint="eastAsia" w:eastAsia="宋体"/>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u w:val="single"/>
          <w:lang w:eastAsia="zh-CN"/>
        </w:rPr>
        <w:t xml:space="preserve">泰兴市黄桥镇人民政府</w:t>
      </w:r>
      <w:r/>
    </w:p>
    <w:p>
      <w:pPr>
        <w:pStyle w:val="1124"/>
        <w:ind w:firstLine="480"/>
        <w:keepLines w:val="0"/>
        <w:keepNext w:val="0"/>
        <w:pageBreakBefore w:val="0"/>
        <w:spacing w:before="0" w:beforeAutospacing="0" w:after="0" w:afterAutospacing="0" w:line="360" w:lineRule="auto"/>
        <w:widowControl/>
        <w:rPr>
          <w:rFonts w:hint="eastAsia" w:eastAsia="宋体"/>
          <w:color w:val="auto"/>
          <w:sz w:val="24"/>
          <w:szCs w:val="24"/>
          <w:highlight w:val="none"/>
          <w:lang w:eastAsia="zh-CN"/>
        </w:rPr>
      </w:pPr>
      <w:r>
        <w:rPr>
          <w:rFonts w:hint="eastAsia"/>
          <w:color w:val="auto"/>
          <w:sz w:val="24"/>
          <w:szCs w:val="24"/>
          <w:highlight w:val="none"/>
        </w:rPr>
        <w:t xml:space="preserve">地 址：</w:t>
      </w:r>
      <w:r>
        <w:rPr>
          <w:rFonts w:hint="eastAsia"/>
          <w:color w:val="auto"/>
          <w:sz w:val="24"/>
          <w:szCs w:val="24"/>
          <w:highlight w:val="none"/>
          <w:u w:val="single"/>
        </w:rPr>
        <w:t xml:space="preserve">黄桥镇城黄路</w:t>
      </w:r>
      <w:r/>
    </w:p>
    <w:p>
      <w:pPr>
        <w:pStyle w:val="1124"/>
        <w:ind w:firstLine="480"/>
        <w:keepLines w:val="0"/>
        <w:keepNext w:val="0"/>
        <w:pageBreakBefore w:val="0"/>
        <w:spacing w:before="0" w:beforeAutospacing="0" w:after="0" w:afterAutospacing="0" w:line="360" w:lineRule="auto"/>
        <w:widowControl/>
        <w:rPr>
          <w:rFonts w:hint="eastAsia" w:eastAsia="宋体"/>
          <w:color w:val="auto"/>
          <w:sz w:val="24"/>
          <w:szCs w:val="24"/>
          <w:highlight w:val="none"/>
          <w:lang w:eastAsia="zh-CN"/>
        </w:rPr>
      </w:pPr>
      <w:r>
        <w:rPr>
          <w:rFonts w:hint="eastAsia"/>
          <w:color w:val="auto"/>
          <w:sz w:val="24"/>
          <w:szCs w:val="24"/>
          <w:highlight w:val="none"/>
        </w:rPr>
        <w:t xml:space="preserve">联系方式：</w:t>
      </w:r>
      <w:r>
        <w:rPr>
          <w:rFonts w:hint="eastAsia"/>
          <w:color w:val="auto"/>
          <w:sz w:val="24"/>
          <w:szCs w:val="24"/>
          <w:highlight w:val="none"/>
          <w:u w:val="single"/>
        </w:rPr>
        <w:t xml:space="preserve">17849387046</w:t>
      </w:r>
      <w:r/>
    </w:p>
    <w:p>
      <w:pPr>
        <w:pStyle w:val="1124"/>
        <w:ind w:firstLine="480"/>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招标代理机构信息</w:t>
      </w:r>
      <w:r/>
    </w:p>
    <w:p>
      <w:pPr>
        <w:pStyle w:val="1124"/>
        <w:ind w:firstLine="480"/>
        <w:keepLines w:val="0"/>
        <w:keepNext w:val="0"/>
        <w:pageBreakBefore w:val="0"/>
        <w:spacing w:before="0" w:beforeAutospacing="0" w:after="0" w:afterAutospacing="0" w:line="360" w:lineRule="auto"/>
        <w:widowControl/>
        <w:rPr>
          <w:rFonts w:hint="eastAsia" w:eastAsia="宋体"/>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u w:val="single"/>
          <w:lang w:eastAsia="zh-CN"/>
        </w:rPr>
        <w:t xml:space="preserve">江苏鑫澄工程管理有限公司</w:t>
      </w:r>
      <w:r/>
    </w:p>
    <w:p>
      <w:pPr>
        <w:pStyle w:val="1124"/>
        <w:ind w:firstLine="480"/>
        <w:keepLines w:val="0"/>
        <w:keepNext w:val="0"/>
        <w:pageBreakBefore w:val="0"/>
        <w:spacing w:before="0" w:beforeAutospacing="0" w:after="0" w:afterAutospacing="0" w:line="360" w:lineRule="auto"/>
        <w:widowControl/>
        <w:rPr>
          <w:rFonts w:hint="eastAsia" w:eastAsia="宋体"/>
          <w:color w:val="auto"/>
          <w:sz w:val="24"/>
          <w:szCs w:val="24"/>
          <w:highlight w:val="none"/>
          <w:lang w:eastAsia="zh-CN"/>
        </w:rPr>
      </w:pPr>
      <w:r>
        <w:rPr>
          <w:rFonts w:hint="eastAsia"/>
          <w:color w:val="auto"/>
          <w:sz w:val="24"/>
          <w:szCs w:val="24"/>
          <w:highlight w:val="none"/>
        </w:rPr>
        <w:t xml:space="preserve">地　址：</w:t>
      </w:r>
      <w:r>
        <w:rPr>
          <w:rFonts w:hint="eastAsia"/>
          <w:color w:val="auto"/>
          <w:sz w:val="24"/>
          <w:szCs w:val="24"/>
          <w:highlight w:val="none"/>
          <w:u w:val="single"/>
          <w:lang w:eastAsia="zh-CN"/>
        </w:rPr>
        <w:t xml:space="preserve">泰兴市鼓楼新天地商业大厦828室</w:t>
      </w:r>
      <w:r/>
    </w:p>
    <w:p>
      <w:pPr>
        <w:pStyle w:val="1124"/>
        <w:ind w:firstLine="480"/>
        <w:keepLines w:val="0"/>
        <w:keepNext w:val="0"/>
        <w:pageBreakBefore w:val="0"/>
        <w:spacing w:before="0" w:beforeAutospacing="0" w:after="0" w:afterAutospacing="0" w:line="360" w:lineRule="auto"/>
        <w:widowControl/>
        <w:rPr>
          <w:rFonts w:hint="eastAsia" w:eastAsia="宋体"/>
          <w:color w:val="auto"/>
          <w:sz w:val="24"/>
          <w:szCs w:val="24"/>
          <w:highlight w:val="none"/>
          <w:lang w:eastAsia="zh-CN"/>
        </w:rPr>
      </w:pPr>
      <w:r>
        <w:rPr>
          <w:rFonts w:hint="eastAsia"/>
          <w:color w:val="auto"/>
          <w:sz w:val="24"/>
          <w:szCs w:val="24"/>
          <w:highlight w:val="none"/>
        </w:rPr>
        <w:t xml:space="preserve">联系方式：</w:t>
      </w:r>
      <w:r>
        <w:rPr>
          <w:rFonts w:hint="eastAsia"/>
          <w:color w:val="auto"/>
          <w:sz w:val="24"/>
          <w:szCs w:val="24"/>
          <w:highlight w:val="none"/>
          <w:u w:val="single"/>
          <w:lang w:eastAsia="zh-CN"/>
        </w:rPr>
        <w:t xml:space="preserve">15161040733</w:t>
      </w:r>
      <w:r/>
    </w:p>
    <w:p>
      <w:pPr>
        <w:pStyle w:val="1124"/>
        <w:ind w:firstLine="480"/>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eastAsia="zh-CN"/>
        </w:rPr>
        <w:t xml:space="preserve">.</w:t>
      </w:r>
      <w:r>
        <w:rPr>
          <w:rFonts w:hint="eastAsia"/>
          <w:color w:val="auto"/>
          <w:sz w:val="24"/>
          <w:szCs w:val="24"/>
          <w:highlight w:val="none"/>
        </w:rPr>
        <w:t xml:space="preserve">项目联系方式</w:t>
      </w:r>
      <w:r/>
    </w:p>
    <w:p>
      <w:pPr>
        <w:pStyle w:val="1124"/>
        <w:ind w:firstLine="480"/>
        <w:keepLines w:val="0"/>
        <w:keepNext w:val="0"/>
        <w:pageBreakBefore w:val="0"/>
        <w:spacing w:before="0" w:beforeAutospacing="0" w:after="0" w:afterAutospacing="0" w:line="360" w:lineRule="auto"/>
        <w:widowControl/>
        <w:rPr>
          <w:color w:val="auto"/>
          <w:sz w:val="24"/>
          <w:szCs w:val="24"/>
          <w:highlight w:val="none"/>
        </w:rPr>
      </w:pPr>
      <w:r>
        <w:rPr>
          <w:rFonts w:hint="eastAsia"/>
          <w:color w:val="auto"/>
          <w:sz w:val="24"/>
          <w:szCs w:val="24"/>
          <w:highlight w:val="none"/>
        </w:rPr>
        <w:t xml:space="preserve">项目联系人：</w:t>
      </w:r>
      <w:r>
        <w:rPr>
          <w:rFonts w:hint="eastAsia"/>
          <w:color w:val="auto"/>
          <w:sz w:val="24"/>
          <w:szCs w:val="24"/>
          <w:highlight w:val="none"/>
          <w:u w:val="single"/>
          <w:lang w:eastAsia="zh-CN"/>
        </w:rPr>
        <w:t xml:space="preserve">泰兴市黄桥镇人民政府</w:t>
      </w:r>
      <w:r>
        <w:rPr>
          <w:rFonts w:hint="eastAsia"/>
          <w:color w:val="auto"/>
          <w:sz w:val="24"/>
          <w:szCs w:val="24"/>
          <w:highlight w:val="none"/>
          <w:u w:val="single"/>
        </w:rPr>
        <w:t xml:space="preserve"> 王德进</w:t>
      </w:r>
      <w:r/>
    </w:p>
    <w:p>
      <w:pPr>
        <w:pStyle w:val="1124"/>
        <w:ind w:firstLine="480"/>
        <w:keepLines w:val="0"/>
        <w:keepNext w:val="0"/>
        <w:pageBreakBefore w:val="0"/>
        <w:spacing w:before="0" w:beforeAutospacing="0" w:after="0" w:afterAutospacing="0" w:line="360" w:lineRule="auto"/>
        <w:widowControl/>
        <w:rPr>
          <w:rFonts w:hint="eastAsia" w:eastAsia="宋体"/>
          <w:color w:val="auto"/>
          <w:sz w:val="24"/>
          <w:szCs w:val="24"/>
          <w:highlight w:val="none"/>
          <w:lang w:eastAsia="zh-CN"/>
        </w:rPr>
      </w:pPr>
      <w:r>
        <w:rPr>
          <w:rFonts w:hint="eastAsia"/>
          <w:color w:val="auto"/>
          <w:sz w:val="24"/>
          <w:szCs w:val="24"/>
          <w:highlight w:val="none"/>
        </w:rPr>
        <w:t xml:space="preserve">电　话：</w:t>
      </w:r>
      <w:r>
        <w:rPr>
          <w:rFonts w:hint="eastAsia"/>
          <w:color w:val="auto"/>
          <w:sz w:val="24"/>
          <w:szCs w:val="24"/>
          <w:highlight w:val="none"/>
          <w:u w:val="single"/>
        </w:rPr>
        <w:t xml:space="preserve">17849387046</w:t>
      </w:r>
      <w:r/>
    </w:p>
    <w:p>
      <w:pPr>
        <w:pStyle w:val="1124"/>
        <w:ind w:firstLine="480"/>
        <w:keepLines w:val="0"/>
        <w:keepNext w:val="0"/>
        <w:pageBreakBefore w:val="0"/>
        <w:spacing w:before="0" w:beforeAutospacing="0" w:after="0" w:afterAutospacing="0" w:line="360" w:lineRule="auto"/>
        <w:widowControl/>
        <w:rPr>
          <w:rFonts w:hint="eastAsia" w:eastAsia="宋体"/>
          <w:color w:val="auto"/>
          <w:sz w:val="24"/>
          <w:szCs w:val="24"/>
          <w:highlight w:val="none"/>
          <w:u w:val="single"/>
          <w:lang w:eastAsia="zh-CN"/>
        </w:rPr>
      </w:pPr>
      <w:r>
        <w:rPr>
          <w:rFonts w:hint="eastAsia"/>
          <w:color w:val="auto"/>
          <w:sz w:val="24"/>
          <w:szCs w:val="24"/>
          <w:highlight w:val="none"/>
        </w:rPr>
        <w:t xml:space="preserve">项目联系人：</w:t>
      </w:r>
      <w:r>
        <w:rPr>
          <w:rFonts w:hint="eastAsia"/>
          <w:color w:val="auto"/>
          <w:sz w:val="24"/>
          <w:szCs w:val="24"/>
          <w:highlight w:val="none"/>
          <w:u w:val="single"/>
          <w:lang w:eastAsia="zh-CN"/>
        </w:rPr>
        <w:t xml:space="preserve">江苏鑫澄工程管理有限公司</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殷浩</w:t>
      </w:r>
      <w:r/>
    </w:p>
    <w:p>
      <w:pPr>
        <w:pStyle w:val="1124"/>
        <w:ind w:firstLine="480"/>
        <w:keepLines w:val="0"/>
        <w:keepNext w:val="0"/>
        <w:pageBreakBefore w:val="0"/>
        <w:spacing w:before="0" w:beforeAutospacing="0" w:after="0" w:afterAutospacing="0" w:line="360" w:lineRule="auto"/>
        <w:widowControl/>
        <w:rPr>
          <w:rFonts w:hint="default" w:eastAsia="宋体"/>
          <w:color w:val="auto"/>
          <w:highlight w:val="none"/>
          <w:lang w:val="en-US" w:eastAsia="zh-CN"/>
        </w:rPr>
      </w:pPr>
      <w:r>
        <w:rPr>
          <w:rFonts w:hint="eastAsia"/>
          <w:color w:val="auto"/>
          <w:sz w:val="24"/>
          <w:szCs w:val="24"/>
          <w:highlight w:val="none"/>
        </w:rPr>
        <w:t xml:space="preserve">电　话：</w:t>
      </w:r>
      <w:r>
        <w:rPr>
          <w:rFonts w:hint="eastAsia"/>
          <w:color w:val="auto"/>
          <w:sz w:val="24"/>
          <w:szCs w:val="24"/>
          <w:highlight w:val="none"/>
          <w:u w:val="single"/>
          <w:lang w:eastAsia="zh-CN"/>
        </w:rPr>
        <w:t xml:space="preserve">15161040733</w:t>
      </w:r>
      <w:r/>
    </w:p>
    <w:p>
      <w:pPr>
        <w:jc w:val="left"/>
        <w:spacing w:line="520" w:lineRule="exact"/>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891"/>
        <w:rPr>
          <w:rFonts w:ascii="宋体" w:hAnsi="宋体" w:cs="宋体"/>
          <w:b/>
          <w:color w:val="auto"/>
          <w:sz w:val="30"/>
          <w:szCs w:val="30"/>
          <w:highlight w:val="none"/>
        </w:rPr>
      </w:pPr>
      <w:r>
        <w:rPr>
          <w:rFonts w:ascii="宋体" w:hAnsi="宋体" w:cs="宋体"/>
          <w:b/>
          <w:color w:val="auto"/>
          <w:sz w:val="30"/>
          <w:szCs w:val="30"/>
          <w:highlight w:val="none"/>
        </w:rPr>
      </w:r>
      <w:bookmarkEnd w:id="6"/>
      <w:r/>
      <w:bookmarkEnd w:id="7"/>
      <w:r/>
      <w:bookmarkEnd w:id="8"/>
      <w:r/>
      <w:bookmarkEnd w:id="9"/>
      <w:r/>
      <w:bookmarkEnd w:id="10"/>
      <w:r/>
      <w:bookmarkEnd w:id="11"/>
      <w:r/>
      <w:bookmarkEnd w:id="12"/>
      <w:r/>
      <w:bookmarkEnd w:id="13"/>
      <w:r/>
      <w:bookmarkEnd w:id="14"/>
      <w:r/>
      <w:bookmarkEnd w:id="15"/>
      <w:r/>
      <w:bookmarkEnd w:id="16"/>
      <w:r/>
      <w:bookmarkEnd w:id="26"/>
      <w:r/>
      <w:r/>
    </w:p>
    <w:p>
      <w:pPr>
        <w:pStyle w:val="891"/>
        <w:rPr>
          <w:rFonts w:ascii="宋体" w:hAnsi="宋体" w:cs="宋体"/>
          <w:b/>
          <w:color w:val="auto"/>
          <w:sz w:val="30"/>
          <w:szCs w:val="30"/>
          <w:highlight w:val="none"/>
        </w:rPr>
        <w:sectPr>
          <w:footerReference w:type="default" r:id="rId12"/>
          <w:footnotePr/>
          <w:endnotePr/>
          <w:type w:val="nextPage"/>
          <w:pgSz w:w="11906" w:h="16838" w:orient="portrait"/>
          <w:pgMar w:top="1440" w:right="1800" w:bottom="1440" w:left="1800" w:header="850" w:footer="992" w:gutter="0"/>
          <w:cols w:num="1" w:sep="0" w:space="720" w:equalWidth="1"/>
          <w:docGrid w:linePitch="360"/>
        </w:sectPr>
      </w:pPr>
      <w:r>
        <w:rPr>
          <w:rFonts w:ascii="宋体" w:hAnsi="宋体" w:cs="宋体"/>
          <w:b/>
          <w:color w:val="auto"/>
          <w:sz w:val="30"/>
          <w:szCs w:val="30"/>
          <w:highlight w:val="none"/>
        </w:rPr>
      </w:r>
      <w:r/>
    </w:p>
    <w:p>
      <w:pPr>
        <w:pStyle w:val="1185"/>
        <w:spacing w:before="120" w:after="120" w:line="360" w:lineRule="auto"/>
        <w:tabs>
          <w:tab w:val="left" w:pos="3240" w:leader="none"/>
        </w:tabs>
        <w:rPr>
          <w:rFonts w:ascii="宋体" w:hAnsi="宋体" w:eastAsia="宋体" w:cs="宋体"/>
          <w:b/>
          <w:color w:val="auto"/>
          <w:sz w:val="30"/>
          <w:szCs w:val="30"/>
          <w:highlight w:val="none"/>
        </w:rPr>
        <w:outlineLvl w:val="0"/>
      </w:pPr>
      <w:r/>
      <w:bookmarkStart w:id="83" w:name="_Toc426469869"/>
      <w:r/>
      <w:bookmarkStart w:id="84" w:name="_Toc29845"/>
      <w:r/>
      <w:bookmarkStart w:id="85" w:name="_Toc468783587"/>
      <w:r>
        <w:rPr>
          <w:rFonts w:hint="eastAsia" w:ascii="宋体" w:hAnsi="宋体" w:eastAsia="宋体" w:cs="宋体"/>
          <w:b/>
          <w:color w:val="auto"/>
          <w:sz w:val="30"/>
          <w:szCs w:val="30"/>
          <w:highlight w:val="none"/>
        </w:rPr>
        <w:t xml:space="preserve">第二章  供应商须知</w:t>
      </w:r>
      <w:bookmarkEnd w:id="83"/>
      <w:r/>
      <w:bookmarkEnd w:id="84"/>
      <w:r/>
      <w:bookmarkEnd w:id="85"/>
      <w:r/>
      <w:r/>
    </w:p>
    <w:p>
      <w:pPr>
        <w:pStyle w:val="1068"/>
        <w:spacing w:line="360" w:lineRule="exact"/>
        <w:rPr>
          <w:rFonts w:ascii="宋体" w:hAnsi="宋体" w:eastAsia="宋体" w:cs="宋体"/>
          <w:b/>
          <w:bCs/>
          <w:color w:val="auto"/>
          <w:sz w:val="24"/>
          <w:szCs w:val="24"/>
          <w:highlight w:val="none"/>
        </w:rPr>
      </w:pPr>
      <w:r/>
      <w:bookmarkStart w:id="86" w:name="_Toc3762"/>
      <w:r/>
      <w:bookmarkStart w:id="87" w:name="_Toc426469870"/>
      <w:r/>
      <w:bookmarkStart w:id="88" w:name="_Toc468783588"/>
      <w:r>
        <w:rPr>
          <w:rFonts w:hint="eastAsia" w:ascii="宋体" w:hAnsi="宋体" w:eastAsia="宋体" w:cs="宋体"/>
          <w:b/>
          <w:bCs/>
          <w:color w:val="auto"/>
          <w:sz w:val="24"/>
          <w:szCs w:val="24"/>
          <w:highlight w:val="none"/>
        </w:rPr>
        <w:t xml:space="preserve">供应商须知前附表</w:t>
      </w:r>
      <w:bookmarkEnd w:id="86"/>
      <w:r/>
      <w:bookmarkEnd w:id="87"/>
      <w:r/>
      <w:bookmarkEnd w:id="88"/>
      <w:r/>
      <w:r/>
    </w:p>
    <w:tbl>
      <w:tblPr>
        <w:tblStyle w:val="870"/>
        <w:tblW w:w="52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092"/>
        <w:gridCol w:w="5833"/>
      </w:tblGrid>
      <w:tr>
        <w:trPr>
          <w:jc w:val="center"/>
        </w:trPr>
        <w:tc>
          <w:tcPr>
            <w:tcW w:w="546" w:type="pct"/>
            <w:vAlign w:val="center"/>
            <w:textDirection w:val="lrTb"/>
            <w:noWrap w:val="false"/>
          </w:tcPr>
          <w:p>
            <w:pPr>
              <w:jc w:val="center"/>
              <w:spacing w:line="24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条款号</w:t>
            </w:r>
            <w:r/>
          </w:p>
        </w:tc>
        <w:tc>
          <w:tcPr>
            <w:tcW w:w="1175" w:type="pct"/>
            <w:vAlign w:val="center"/>
            <w:textDirection w:val="lrTb"/>
            <w:noWrap w:val="false"/>
          </w:tcPr>
          <w:p>
            <w:pPr>
              <w:jc w:val="center"/>
              <w:spacing w:line="24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条款名称</w:t>
            </w:r>
            <w:r/>
          </w:p>
        </w:tc>
        <w:tc>
          <w:tcPr>
            <w:tcW w:w="3278" w:type="pct"/>
            <w:vAlign w:val="center"/>
            <w:textDirection w:val="lrTb"/>
            <w:noWrap w:val="false"/>
          </w:tcPr>
          <w:p>
            <w:pPr>
              <w:jc w:val="center"/>
              <w:spacing w:line="24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编列内容</w:t>
            </w:r>
            <w:r/>
          </w:p>
        </w:tc>
      </w:tr>
      <w:tr>
        <w:trPr>
          <w:jc w:val="center"/>
          <w:trHeight w:val="1326"/>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1.1.2</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w:t>
            </w:r>
            <w:r/>
          </w:p>
        </w:tc>
        <w:tc>
          <w:tcPr>
            <w:tcW w:w="3278" w:type="pct"/>
            <w:vAlign w:val="center"/>
            <w:textDirection w:val="lrTb"/>
            <w:noWrap w:val="false"/>
          </w:tcPr>
          <w:p>
            <w:pPr>
              <w:jc w:val="left"/>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泰兴市黄桥镇人民政府</w:t>
            </w:r>
            <w:r/>
          </w:p>
          <w:p>
            <w:pPr>
              <w:jc w:val="left"/>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址：黄桥镇城黄路</w:t>
            </w:r>
            <w:r/>
          </w:p>
          <w:p>
            <w:pPr>
              <w:jc w:val="left"/>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人：王德进</w:t>
            </w:r>
            <w:r/>
          </w:p>
          <w:p>
            <w:pPr>
              <w:jc w:val="left"/>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联系电话：17849387046</w:t>
            </w:r>
            <w:r/>
          </w:p>
        </w:tc>
      </w:tr>
      <w:tr>
        <w:trPr>
          <w:jc w:val="center"/>
          <w:trHeight w:val="1386"/>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1.1.3</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采购代理机构</w:t>
            </w:r>
            <w:r/>
          </w:p>
        </w:tc>
        <w:tc>
          <w:tcPr>
            <w:tcW w:w="3278" w:type="pct"/>
            <w:vAlign w:val="center"/>
            <w:textDirection w:val="lrTb"/>
            <w:noWrap w:val="false"/>
          </w:tcPr>
          <w:p>
            <w:pPr>
              <w:jc w:val="left"/>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江苏鑫澄工程管理有限公司</w:t>
            </w:r>
            <w:r/>
          </w:p>
          <w:p>
            <w:pPr>
              <w:jc w:val="left"/>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泰兴市鼓楼新天地商业大厦828室</w:t>
            </w:r>
            <w:r/>
          </w:p>
          <w:p>
            <w:pPr>
              <w:jc w:val="left"/>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殷浩</w:t>
            </w:r>
            <w:r/>
          </w:p>
          <w:p>
            <w:pPr>
              <w:jc w:val="left"/>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15161040733</w:t>
            </w:r>
            <w:r/>
          </w:p>
        </w:tc>
      </w:tr>
      <w:tr>
        <w:trPr>
          <w:jc w:val="center"/>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1.1.4</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项目名称及项目编号</w:t>
            </w:r>
            <w:r/>
          </w:p>
        </w:tc>
        <w:tc>
          <w:tcPr>
            <w:tcW w:w="3278" w:type="pct"/>
            <w:vAlign w:val="center"/>
            <w:textDirection w:val="lrTb"/>
            <w:noWrap w:val="false"/>
          </w:tcPr>
          <w:p>
            <w:pPr>
              <w:jc w:val="left"/>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2026年黄桥镇农村公路维护工程</w:t>
            </w:r>
            <w:r/>
          </w:p>
          <w:p>
            <w:pPr>
              <w:jc w:val="left"/>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项目编号：JSZC-321283-TXXC-C2026-0004</w:t>
            </w:r>
            <w:r/>
          </w:p>
        </w:tc>
      </w:tr>
      <w:tr>
        <w:trPr>
          <w:jc w:val="center"/>
          <w:trHeight w:val="983" w:hRule="exact"/>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1.2.1</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资金来源及出资比例</w:t>
            </w:r>
            <w:r/>
          </w:p>
        </w:tc>
        <w:tc>
          <w:tcPr>
            <w:tcW w:w="3278" w:type="pct"/>
            <w:vAlign w:val="center"/>
            <w:textDirection w:val="lrTb"/>
            <w:noWrap w:val="false"/>
          </w:tcPr>
          <w:p>
            <w:pPr>
              <w:jc w:val="left"/>
              <w:keepLines w:val="0"/>
              <w:keepNext w:val="0"/>
              <w:pageBreakBefore w:val="0"/>
              <w:spacing w:before="60" w:line="288" w:lineRule="auto"/>
              <w:rPr>
                <w:rFonts w:hint="eastAsia" w:ascii="宋体" w:hAnsi="宋体" w:cs="宋体"/>
                <w:color w:val="auto"/>
                <w:sz w:val="24"/>
                <w:szCs w:val="24"/>
                <w:highlight w:val="none"/>
              </w:rPr>
            </w:pPr>
            <w:r/>
            <w:bookmarkStart w:id="89" w:name="EB0b51c78ec4aa43fdb5edf8e1b57ddda1"/>
            <w:r>
              <w:rPr>
                <w:rFonts w:hint="eastAsia" w:ascii="宋体" w:hAnsi="宋体" w:cs="宋体"/>
                <w:color w:val="auto"/>
                <w:sz w:val="24"/>
                <w:szCs w:val="24"/>
                <w:highlight w:val="none"/>
              </w:rPr>
              <w:t xml:space="preserve">资金来源：</w:t>
            </w:r>
            <w:bookmarkEnd w:id="89"/>
            <w:r>
              <w:rPr>
                <w:rFonts w:hint="eastAsia" w:ascii="宋体" w:hAnsi="宋体" w:cs="宋体"/>
                <w:color w:val="auto"/>
                <w:sz w:val="24"/>
                <w:szCs w:val="24"/>
                <w:highlight w:val="none"/>
              </w:rPr>
              <w:t xml:space="preserve">财政</w:t>
            </w:r>
            <w:r/>
          </w:p>
          <w:p>
            <w:pPr>
              <w:jc w:val="left"/>
              <w:keepLines w:val="0"/>
              <w:keepNext w:val="0"/>
              <w:pageBreakBefore w:val="0"/>
              <w:spacing w:before="60" w:line="28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出资比例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100%</w:t>
            </w:r>
            <w:r/>
          </w:p>
        </w:tc>
      </w:tr>
      <w:tr>
        <w:trPr>
          <w:jc w:val="center"/>
          <w:trHeight w:val="397" w:hRule="exact"/>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1.2.2</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资金落实情况</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已落实</w:t>
            </w:r>
            <w:r/>
          </w:p>
        </w:tc>
      </w:tr>
      <w:tr>
        <w:trPr>
          <w:jc w:val="center"/>
          <w:trHeight w:val="629"/>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1.2.3</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付款方式</w:t>
            </w:r>
            <w:r/>
          </w:p>
        </w:tc>
        <w:tc>
          <w:tcPr>
            <w:tcW w:w="3278" w:type="pct"/>
            <w:vAlign w:val="center"/>
            <w:textDirection w:val="lrTb"/>
            <w:noWrap w:val="false"/>
          </w:tcPr>
          <w:p>
            <w:pPr>
              <w:jc w:val="left"/>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每季度末供应商报送当季度的相关资料并经采购人对工程量审核，经采购人验收合格且全部工程量经结算审核后付至审计价的80%，余款待服务期满一年后结清。</w:t>
            </w:r>
            <w:r/>
          </w:p>
          <w:p>
            <w:pPr>
              <w:jc w:val="left"/>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（此项目所涉及款项皆不计取利息）。</w:t>
            </w:r>
            <w:r/>
          </w:p>
        </w:tc>
      </w:tr>
      <w:tr>
        <w:trPr>
          <w:jc w:val="center"/>
          <w:trHeight w:val="397" w:hRule="exact"/>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1.3.1</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采购范围</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见竞争性磋商公告</w:t>
            </w:r>
            <w:r/>
          </w:p>
        </w:tc>
      </w:tr>
      <w:tr>
        <w:trPr>
          <w:jc w:val="center"/>
          <w:trHeight w:val="397" w:hRule="exact"/>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1.3.2</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lang w:val="zh-CN" w:bidi="zh-CN"/>
              </w:rPr>
              <w:t xml:space="preserve">合同履行期限</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合同签订之日起至2026年12月31日</w:t>
            </w:r>
            <w:r>
              <w:rPr>
                <w:rFonts w:hint="eastAsia" w:ascii="宋体" w:hAnsi="宋体" w:cs="宋体"/>
                <w:color w:val="auto"/>
                <w:sz w:val="24"/>
                <w:szCs w:val="24"/>
                <w:highlight w:val="none"/>
                <w:lang w:val="en-US" w:eastAsia="zh-CN"/>
              </w:rPr>
              <w:t xml:space="preserve">止。</w:t>
            </w:r>
            <w:r/>
          </w:p>
        </w:tc>
      </w:tr>
      <w:tr>
        <w:trPr>
          <w:jc w:val="center"/>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1.4.2</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采购人要求供应商具备的特定条件</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见竞争性磋商公告</w:t>
            </w:r>
            <w:r/>
          </w:p>
        </w:tc>
      </w:tr>
      <w:tr>
        <w:trPr>
          <w:jc w:val="center"/>
          <w:trHeight w:val="90"/>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1.9</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分包</w:t>
            </w:r>
            <w:r/>
          </w:p>
        </w:tc>
        <w:tc>
          <w:tcPr>
            <w:tcW w:w="3278" w:type="pct"/>
            <w:vAlign w:val="center"/>
            <w:textDirection w:val="lrTb"/>
            <w:noWrap w:val="false"/>
          </w:tcPr>
          <w:p>
            <w:pPr>
              <w:pStyle w:val="1093"/>
              <w:jc w:val="left"/>
              <w:keepLines w:val="0"/>
              <w:keepNext w:val="0"/>
              <w:pageBreakBefore w:val="0"/>
              <w:spacing w:before="60"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不允许</w:t>
            </w:r>
            <w:bookmarkStart w:id="90" w:name="FEa2837fca29db41d2a5b6d9945d0066c1"/>
            <w:r/>
            <w:bookmarkEnd w:id="90"/>
            <w:r/>
            <w:bookmarkStart w:id="91" w:name="FBa2837fca29db41d2a5b6d9945d0066c1"/>
            <w:r/>
            <w:bookmarkEnd w:id="91"/>
            <w:r/>
            <w:r/>
          </w:p>
        </w:tc>
      </w:tr>
      <w:tr>
        <w:trPr>
          <w:jc w:val="center"/>
          <w:trHeight w:val="385"/>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1.10</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偏离</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bookmarkStart w:id="92" w:name="FEfe800446baa24252acf6b14953dc4897"/>
            <w:r/>
            <w:bookmarkEnd w:id="92"/>
            <w:r/>
            <w:bookmarkStart w:id="93" w:name="FBfe800446baa24252acf6b14953dc4897"/>
            <w:r/>
            <w:bookmarkEnd w:id="93"/>
            <w:r>
              <w:rPr>
                <w:rFonts w:hint="eastAsia" w:ascii="宋体" w:hAnsi="宋体" w:cs="宋体"/>
                <w:color w:val="auto"/>
                <w:sz w:val="24"/>
                <w:szCs w:val="24"/>
                <w:highlight w:val="none"/>
              </w:rPr>
              <w:t xml:space="preserve">不允许负偏离</w:t>
            </w:r>
            <w:r/>
          </w:p>
        </w:tc>
      </w:tr>
      <w:tr>
        <w:trPr>
          <w:jc w:val="center"/>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构成竞争性磋商文件的其他材料</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bookmarkStart w:id="94" w:name="EB35ced2e8f8364f63a510bf246ff979f0"/>
            <w:r/>
            <w:bookmarkEnd w:id="94"/>
            <w:r>
              <w:rPr>
                <w:rFonts w:hint="eastAsia" w:ascii="宋体" w:hAnsi="宋体" w:cs="宋体"/>
                <w:color w:val="auto"/>
                <w:sz w:val="24"/>
                <w:szCs w:val="24"/>
                <w:highlight w:val="none"/>
              </w:rPr>
              <w:t xml:space="preserve">工程量清单、图纸（如有）</w:t>
            </w:r>
            <w:r/>
          </w:p>
        </w:tc>
      </w:tr>
      <w:tr>
        <w:trPr>
          <w:jc w:val="center"/>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供应商要求澄清竞争性磋商文件的截止时间</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bookmarkStart w:id="95" w:name="EBd85a71e9b634466b828d00f2fd5a11a2"/>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bookmarkEnd w:id="95"/>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日17时30分</w:t>
            </w:r>
            <w:r/>
          </w:p>
        </w:tc>
      </w:tr>
      <w:tr>
        <w:trPr>
          <w:jc w:val="center"/>
          <w:trHeight w:val="652"/>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提交响应性文件截止时间</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0分</w:t>
            </w:r>
            <w:r/>
          </w:p>
        </w:tc>
      </w:tr>
      <w:tr>
        <w:trPr>
          <w:jc w:val="center"/>
          <w:trHeight w:val="397" w:hRule="exact"/>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见竞争性磋商公告</w:t>
            </w:r>
            <w:r/>
          </w:p>
        </w:tc>
      </w:tr>
      <w:tr>
        <w:trPr>
          <w:jc w:val="center"/>
          <w:trHeight w:val="814" w:hRule="exact"/>
        </w:trPr>
        <w:tc>
          <w:tcPr>
            <w:tcW w:w="546" w:type="pct"/>
            <w:vAlign w:val="center"/>
            <w:textDirection w:val="lrTb"/>
            <w:noWrap w:val="false"/>
          </w:tcPr>
          <w:p>
            <w:pPr>
              <w:jc w:val="center"/>
              <w:keepLines w:val="0"/>
              <w:keepNext w:val="0"/>
              <w:pageBreakBefore w:val="0"/>
              <w:spacing w:before="60" w:line="28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3.2.5</w:t>
            </w:r>
            <w:r/>
          </w:p>
        </w:tc>
        <w:tc>
          <w:tcPr>
            <w:shd w:val="clear" w:color="auto" w:fill="auto"/>
            <w:tcW w:w="1175"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szCs w:val="24"/>
                <w:highlight w:val="none"/>
              </w:rPr>
              <w:t xml:space="preserve">合同价格形式</w:t>
            </w:r>
            <w:r/>
          </w:p>
        </w:tc>
        <w:tc>
          <w:tcPr>
            <w:shd w:val="clear" w:color="auto" w:fill="auto"/>
            <w:tcW w:w="3278" w:type="pct"/>
            <w:vAlign w:val="center"/>
            <w:textDirection w:val="lrTb"/>
            <w:noWrap w:val="false"/>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单价合同</w:t>
            </w:r>
            <w:r/>
          </w:p>
          <w:p>
            <w:pPr>
              <w:spacing w:line="360" w:lineRule="exact"/>
              <w:rPr>
                <w:rFonts w:hint="eastAsia"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总价合同</w:t>
            </w:r>
            <w:r/>
          </w:p>
        </w:tc>
      </w:tr>
      <w:tr>
        <w:trPr>
          <w:jc w:val="center"/>
          <w:trHeight w:val="397" w:hRule="exact"/>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3.3.1</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响应有效期</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60日历天</w:t>
            </w:r>
            <w:r/>
          </w:p>
        </w:tc>
      </w:tr>
      <w:tr>
        <w:trPr>
          <w:jc w:val="center"/>
          <w:trHeight w:val="397" w:hRule="exact"/>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3.4</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磋商保证金</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r>
      <w:tr>
        <w:trPr>
          <w:jc w:val="center"/>
          <w:trHeight w:val="397" w:hRule="exact"/>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3.6.1</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响应文件的份数</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电子响应文件壹份</w:t>
            </w:r>
            <w:r/>
          </w:p>
        </w:tc>
      </w:tr>
      <w:tr>
        <w:trPr>
          <w:jc w:val="center"/>
          <w:trHeight w:val="2077" w:hRule="exact"/>
        </w:trPr>
        <w:tc>
          <w:tcPr>
            <w:tcW w:w="546" w:type="pct"/>
            <w:vAlign w:val="center"/>
            <w:textDirection w:val="lrTb"/>
            <w:noWrap w:val="false"/>
          </w:tcPr>
          <w:p>
            <w:pPr>
              <w:jc w:val="center"/>
              <w:keepLines w:val="0"/>
              <w:keepNext w:val="0"/>
              <w:pageBreakBefore w:val="0"/>
              <w:spacing w:before="60" w:line="28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3.6.2</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响应文件的签署</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函、承诺书、中小企业声明函（若需）及其他第六章“响应文件的编制和格式”中要求签字、盖章处须加盖供应商法人章并经法定代表人或经其授权的代表签字或签章。授权代表签字或签章时，须将《法定代表人授权书》及其附件编制在响应文件中。</w:t>
            </w:r>
            <w:r/>
          </w:p>
        </w:tc>
      </w:tr>
      <w:tr>
        <w:trPr>
          <w:jc w:val="center"/>
          <w:trHeight w:val="760"/>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4.1.1</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响应文件开启时间和地点</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本项目通过“苏采云”系统进行电子采购，即供应商响应文件从政府采购客户端工具制作并通过“苏采云”系统提交。</w:t>
            </w:r>
            <w:r/>
          </w:p>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“CA数字证书”的获取：供应商需办理CA锁，“CA数字证书”的办理方法详见“江苏省政府采购数字证书CA及电子签章办理指南”，网址：http://jsxcmm.com/help/ help.html。</w:t>
            </w:r>
            <w:r/>
          </w:p>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“苏采云”系统使用要求：</w:t>
            </w:r>
            <w:r/>
          </w:p>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使用谷歌浏览器参与不见面开标及开标环节。</w:t>
            </w:r>
            <w:r/>
          </w:p>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电脑需提前准备好麦克风、音响，摄像头，提前检查保证能够正常使用。</w:t>
            </w:r>
            <w:r/>
          </w:p>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操作系统至少win7以上，建议使用win10操作系统。</w:t>
            </w:r>
            <w:r/>
          </w:p>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w:t>
            </w:r>
            <w:r>
              <w:rPr>
                <w:rFonts w:hint="eastAsia" w:ascii="宋体" w:hAnsi="宋体" w:cs="宋体"/>
                <w:color w:val="auto"/>
                <w:sz w:val="24"/>
                <w:szCs w:val="24"/>
                <w:highlight w:val="none"/>
                <w:lang w:val="en-US" w:eastAsia="zh-CN"/>
              </w:rPr>
              <w:t xml:space="preserve">启</w:t>
            </w: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lang w:val="en-US" w:eastAsia="zh-CN"/>
              </w:rPr>
              <w:t xml:space="preserve">同</w:t>
            </w:r>
            <w:r>
              <w:rPr>
                <w:rFonts w:hint="eastAsia" w:ascii="宋体" w:hAnsi="宋体" w:cs="宋体"/>
                <w:color w:val="auto"/>
                <w:sz w:val="24"/>
                <w:szCs w:val="24"/>
                <w:highlight w:val="none"/>
              </w:rPr>
              <w:t xml:space="preserve">提交响应性文件截止时间</w:t>
            </w:r>
            <w:r/>
          </w:p>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开标地点：“苏采云”系统（网址：http://jszfcg.jsczt.cn/）“开标大厅，点击“苏采云”进入系统“开标大厅”。）</w:t>
            </w:r>
            <w:r/>
          </w:p>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Start w:id="96" w:name="OLE_LINK5"/>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一轮评审结束后，采购代理机构或采购人代表将通过苏采云采购系统提示符合要求的投标供应商进行最终报价（二轮报价），一轮评审的时长不确定，请投标供应商自行关注报价系统，</w:t>
            </w:r>
            <w:r>
              <w:rPr>
                <w:rFonts w:hint="eastAsia" w:ascii="宋体" w:hAnsi="宋体" w:cs="宋体"/>
                <w:b/>
                <w:color w:val="auto"/>
                <w:sz w:val="24"/>
                <w:szCs w:val="24"/>
                <w:highlight w:val="none"/>
              </w:rPr>
              <w:t xml:space="preserve">在报价系统开启后的10分钟内提交最终报价（二轮报价）。未能在规定时间内完成报价的供应商视为放弃投标。</w:t>
            </w:r>
            <w:bookmarkEnd w:id="96"/>
            <w:r/>
            <w:r/>
          </w:p>
          <w:p>
            <w:pPr>
              <w:ind w:firstLine="221"/>
              <w:jc w:val="left"/>
              <w:keepLines w:val="0"/>
              <w:keepNext w:val="0"/>
              <w:pageBreakBefore w:val="0"/>
              <w:spacing w:before="60" w:line="288" w:lineRule="auto"/>
              <w:rPr>
                <w:rFonts w:ascii="宋体" w:hAnsi="宋体" w:cs="宋体"/>
                <w:color w:val="auto"/>
                <w:sz w:val="24"/>
                <w:szCs w:val="24"/>
                <w:highlight w:val="none"/>
                <w:u w:val="single"/>
              </w:rPr>
            </w:pPr>
            <w:r>
              <w:rPr>
                <w:rFonts w:hint="eastAsia" w:ascii="宋体" w:hAnsi="宋体" w:cs="宋体"/>
                <w:b/>
                <w:bCs/>
                <w:color w:val="auto"/>
                <w:sz w:val="24"/>
                <w:szCs w:val="24"/>
                <w:highlight w:val="none"/>
              </w:rPr>
              <w:t xml:space="preserve">供应商最后一次报价或最终报价应在工程数量、要求、服务等方面不降低的情况下，不得高于前一次报价。否则，磋商小组有权拒绝该磋商报价并不再给予报价补救机会。</w:t>
            </w:r>
            <w:r/>
          </w:p>
        </w:tc>
      </w:tr>
      <w:tr>
        <w:trPr>
          <w:jc w:val="center"/>
          <w:trHeight w:val="397" w:hRule="exact"/>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5.1.1</w:t>
            </w:r>
            <w:r/>
          </w:p>
        </w:tc>
        <w:tc>
          <w:tcPr>
            <w:tcW w:w="1175" w:type="pct"/>
            <w:vAlign w:val="center"/>
            <w:textDirection w:val="lrTb"/>
            <w:noWrap w:val="false"/>
          </w:tcPr>
          <w:p>
            <w:pPr>
              <w:pStyle w:val="1176"/>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磋商小组组成</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磋商小组人数：3人（含）以上单数</w:t>
            </w:r>
            <w:r/>
          </w:p>
        </w:tc>
      </w:tr>
      <w:tr>
        <w:trPr>
          <w:jc w:val="center"/>
          <w:trHeight w:val="397" w:hRule="exact"/>
        </w:trPr>
        <w:tc>
          <w:tcPr>
            <w:tcW w:w="546"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6.2</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成交公告媒介</w:t>
            </w:r>
            <w:r/>
          </w:p>
        </w:tc>
        <w:tc>
          <w:tcPr>
            <w:tcW w:w="3278" w:type="pct"/>
            <w:vAlign w:val="center"/>
            <w:textDirection w:val="lrTb"/>
            <w:noWrap w:val="false"/>
          </w:tcPr>
          <w:p>
            <w:pPr>
              <w:jc w:val="left"/>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江苏政府采购网（www.ccgp-jiangsu.gov.cn）</w:t>
            </w:r>
            <w:r/>
          </w:p>
        </w:tc>
      </w:tr>
      <w:tr>
        <w:trPr>
          <w:jc w:val="center"/>
          <w:trHeight w:val="1371"/>
        </w:trPr>
        <w:tc>
          <w:tcPr>
            <w:tcW w:w="546" w:type="pct"/>
            <w:vAlign w:val="center"/>
            <w:textDirection w:val="lrTb"/>
            <w:noWrap w:val="false"/>
          </w:tcPr>
          <w:p>
            <w:pPr>
              <w:jc w:val="center"/>
              <w:keepLines w:val="0"/>
              <w:keepNext w:val="0"/>
              <w:pageBreakBefore w:val="0"/>
              <w:spacing w:before="60" w:line="28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.1</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3278" w:type="pct"/>
            <w:vAlign w:val="center"/>
            <w:textDirection w:val="lrTb"/>
            <w:noWrap w:val="false"/>
          </w:tcPr>
          <w:p>
            <w:pPr>
              <w:jc w:val="left"/>
              <w:keepLines w:val="0"/>
              <w:keepNext w:val="0"/>
              <w:pageBreakBefore w:val="0"/>
              <w:spacing w:before="60" w:line="288"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履约保证金的形式：支票、汇票、本票或者金融机构、担保机构出具的保函、电子履约保函（保险）等法律法规允许的非现金形式</w:t>
            </w:r>
            <w:r/>
          </w:p>
          <w:p>
            <w:pPr>
              <w:jc w:val="left"/>
              <w:keepLines w:val="0"/>
              <w:keepNext w:val="0"/>
              <w:pageBreakBefore w:val="0"/>
              <w:spacing w:before="60" w:line="288"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履约保证金的金额：</w:t>
            </w:r>
            <w:bookmarkStart w:id="97" w:name="EB6da6d62365f647dbaaea15a3daef1b11"/>
            <w:r>
              <w:rPr>
                <w:rFonts w:hint="default" w:ascii="宋体" w:hAnsi="宋体" w:eastAsia="宋体" w:cs="宋体"/>
                <w:color w:val="auto"/>
                <w:sz w:val="24"/>
                <w:szCs w:val="24"/>
                <w:highlight w:val="none"/>
                <w:lang w:val="en-US" w:eastAsia="zh-CN"/>
              </w:rPr>
              <w:t xml:space="preserve">成交价×10% </w:t>
            </w:r>
            <w:bookmarkEnd w:id="97"/>
            <w:r/>
            <w:r/>
          </w:p>
          <w:p>
            <w:pPr>
              <w:jc w:val="left"/>
              <w:keepLines w:val="0"/>
              <w:keepNext w:val="0"/>
              <w:pageBreakBefore w:val="0"/>
              <w:spacing w:before="60" w:line="288"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履约保证金的提交时间：</w:t>
            </w:r>
            <w:bookmarkStart w:id="98" w:name="EB022d3830b2a445e1ac704a813eae8795"/>
            <w:r>
              <w:rPr>
                <w:rFonts w:hint="default" w:ascii="宋体" w:hAnsi="宋体" w:eastAsia="宋体" w:cs="宋体"/>
                <w:color w:val="auto"/>
                <w:sz w:val="24"/>
                <w:szCs w:val="24"/>
                <w:highlight w:val="none"/>
                <w:lang w:val="en-US" w:eastAsia="zh-CN"/>
              </w:rPr>
              <w:t xml:space="preserve">成交通知书签发后签订合同前</w:t>
            </w:r>
            <w:bookmarkEnd w:id="98"/>
            <w:r/>
            <w:r/>
          </w:p>
          <w:p>
            <w:pPr>
              <w:jc w:val="left"/>
              <w:keepLines w:val="0"/>
              <w:keepNext w:val="0"/>
              <w:pageBreakBefore w:val="0"/>
              <w:spacing w:before="60" w:line="288"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注：电子履约保函（保险）的形式和缴纳方式执行“关于在全省政府采购领域推行电子履约保函(保险)的通知”（苏财购〔2023〕150号）。</w:t>
            </w:r>
            <w:r/>
          </w:p>
        </w:tc>
      </w:tr>
      <w:tr>
        <w:trPr>
          <w:jc w:val="center"/>
          <w:trHeight w:val="485"/>
        </w:trPr>
        <w:tc>
          <w:tcPr>
            <w:tcW w:w="546" w:type="pct"/>
            <w:vAlign w:val="center"/>
            <w:textDirection w:val="lrTb"/>
            <w:noWrap w:val="false"/>
          </w:tcPr>
          <w:p>
            <w:pPr>
              <w:jc w:val="center"/>
              <w:keepLines w:val="0"/>
              <w:keepNext w:val="0"/>
              <w:pageBreakBefore w:val="0"/>
              <w:spacing w:before="60" w:line="28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7.2</w:t>
            </w:r>
            <w:r>
              <w:rPr>
                <w:rFonts w:hint="eastAsia" w:ascii="宋体" w:hAnsi="宋体" w:cs="宋体"/>
                <w:color w:val="auto"/>
                <w:sz w:val="24"/>
                <w:szCs w:val="24"/>
                <w:highlight w:val="none"/>
                <w:lang w:val="en-US" w:eastAsia="zh-CN"/>
              </w:rPr>
              <w:t xml:space="preserve">.1</w:t>
            </w:r>
            <w:r/>
          </w:p>
        </w:tc>
        <w:tc>
          <w:tcPr>
            <w:tcW w:w="1175" w:type="pct"/>
            <w:vAlign w:val="center"/>
            <w:textDirection w:val="lrTb"/>
            <w:noWrap w:val="false"/>
          </w:tcPr>
          <w:p>
            <w:pPr>
              <w:jc w:val="cente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签订合同的时间要求</w:t>
            </w:r>
            <w:r/>
          </w:p>
        </w:tc>
        <w:tc>
          <w:tcPr>
            <w:tcW w:w="3278" w:type="pct"/>
            <w:vAlign w:val="center"/>
            <w:textDirection w:val="lrTb"/>
            <w:noWrap w:val="false"/>
          </w:tcPr>
          <w:p>
            <w:pPr>
              <w:jc w:val="left"/>
              <w:keepLines w:val="0"/>
              <w:keepNext w:val="0"/>
              <w:pageBreakBefore w:val="0"/>
              <w:spacing w:before="60" w:line="288"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自</w:t>
            </w:r>
            <w:r>
              <w:rPr>
                <w:rFonts w:hint="eastAsia" w:ascii="宋体" w:hAnsi="宋体" w:cs="宋体"/>
                <w:color w:val="auto"/>
                <w:sz w:val="24"/>
                <w:szCs w:val="24"/>
                <w:highlight w:val="none"/>
                <w:u w:val="none"/>
                <w:lang w:val="en-US" w:eastAsia="zh-CN"/>
              </w:rPr>
              <w:t xml:space="preserve">成交</w:t>
            </w:r>
            <w:r>
              <w:rPr>
                <w:rFonts w:hint="eastAsia" w:ascii="宋体" w:hAnsi="宋体" w:cs="宋体"/>
                <w:color w:val="auto"/>
                <w:sz w:val="24"/>
                <w:szCs w:val="24"/>
                <w:highlight w:val="none"/>
                <w:u w:val="none"/>
              </w:rPr>
              <w:t xml:space="preserve">通知书发出之日起</w:t>
            </w:r>
            <w:r>
              <w:rPr>
                <w:rFonts w:hint="eastAsia" w:ascii="宋体" w:hAnsi="宋体" w:cs="宋体"/>
                <w:color w:val="auto"/>
                <w:sz w:val="24"/>
                <w:szCs w:val="24"/>
                <w:highlight w:val="none"/>
                <w:u w:val="none"/>
                <w:lang w:val="en-US" w:eastAsia="zh-CN"/>
              </w:rPr>
              <w:t xml:space="preserve"> 30日内</w:t>
            </w:r>
            <w:r>
              <w:rPr>
                <w:rFonts w:hint="eastAsia" w:ascii="宋体" w:hAnsi="宋体" w:cs="宋体"/>
                <w:color w:val="auto"/>
                <w:sz w:val="24"/>
                <w:szCs w:val="24"/>
                <w:highlight w:val="none"/>
                <w:u w:val="none"/>
                <w:lang w:eastAsia="zh-CN"/>
              </w:rPr>
              <w:t xml:space="preserve">。</w:t>
            </w:r>
            <w:r/>
          </w:p>
        </w:tc>
      </w:tr>
      <w:tr>
        <w:trPr>
          <w:jc w:val="center"/>
          <w:trHeight w:val="400"/>
        </w:trPr>
        <w:tc>
          <w:tcPr>
            <w:tcW w:w="546" w:type="pct"/>
            <w:vAlign w:val="center"/>
            <w:textDirection w:val="lrTb"/>
            <w:noWrap w:val="false"/>
          </w:tcPr>
          <w:p>
            <w:pPr>
              <w:jc w:val="center"/>
              <w:keepLines w:val="0"/>
              <w:keepNext w:val="0"/>
              <w:pageBreakBefore w:val="0"/>
              <w:spacing w:before="60" w:line="288"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10</w:t>
            </w:r>
            <w:r/>
          </w:p>
        </w:tc>
        <w:tc>
          <w:tcPr>
            <w:gridSpan w:val="2"/>
            <w:tcW w:w="4453" w:type="pct"/>
            <w:vAlign w:val="center"/>
            <w:textDirection w:val="lrTb"/>
            <w:noWrap w:val="false"/>
          </w:tcPr>
          <w:p>
            <w:pPr>
              <w:jc w:val="center"/>
              <w:keepLines w:val="0"/>
              <w:keepNext w:val="0"/>
              <w:pageBreakBefore w:val="0"/>
              <w:spacing w:before="60" w:line="288"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需要补充的其他内容</w:t>
            </w:r>
            <w:r/>
          </w:p>
        </w:tc>
      </w:tr>
      <w:tr>
        <w:trPr>
          <w:jc w:val="center"/>
          <w:trHeight w:val="1027"/>
        </w:trPr>
        <w:tc>
          <w:tcPr>
            <w:tcW w:w="546" w:type="pct"/>
            <w:vAlign w:val="center"/>
            <w:textDirection w:val="lrTb"/>
            <w:noWrap w:val="false"/>
          </w:tcPr>
          <w:p>
            <w:pPr>
              <w:jc w:val="center"/>
              <w:keepLines w:val="0"/>
              <w:keepNext w:val="0"/>
              <w:pageBreakBefore w:val="0"/>
              <w:spacing w:before="60" w:line="288"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10.1</w:t>
            </w:r>
            <w:r/>
          </w:p>
        </w:tc>
        <w:tc>
          <w:tcPr>
            <w:gridSpan w:val="2"/>
            <w:tcW w:w="4453" w:type="pct"/>
            <w:vAlign w:val="center"/>
            <w:textDirection w:val="lrTb"/>
            <w:noWrap w:val="false"/>
          </w:tcPr>
          <w:p>
            <w:pPr>
              <w:numPr>
                <w:ilvl w:val="0"/>
                <w:numId w:val="0"/>
              </w:numPr>
              <w:keepLines w:val="0"/>
              <w:keepNext w:val="0"/>
              <w:pageBreakBefore w:val="0"/>
              <w:spacing w:before="60"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lang w:eastAsia="zh-CN"/>
              </w:rPr>
              <w:t xml:space="preserve">本次采购代理费由成交单位</w:t>
            </w:r>
            <w:r>
              <w:rPr>
                <w:rFonts w:hint="eastAsia" w:ascii="宋体" w:hAnsi="宋体" w:eastAsia="宋体" w:cs="宋体"/>
                <w:color w:val="auto"/>
                <w:sz w:val="24"/>
                <w:szCs w:val="24"/>
                <w:highlight w:val="none"/>
                <w:lang w:val="en-US" w:eastAsia="zh-CN"/>
              </w:rPr>
              <w:t xml:space="preserve">代为支付</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lang w:val="en-US" w:eastAsia="zh-CN"/>
              </w:rPr>
              <w:t xml:space="preserve">代理费参照</w:t>
            </w:r>
            <w:r>
              <w:rPr>
                <w:rFonts w:hint="eastAsia" w:ascii="宋体" w:hAnsi="宋体" w:cs="宋体"/>
                <w:color w:val="auto"/>
                <w:sz w:val="24"/>
                <w:szCs w:val="24"/>
                <w:highlight w:val="none"/>
                <w:lang w:eastAsia="zh-CN"/>
              </w:rPr>
              <w:t xml:space="preserve">计价格【2002】1980号文件及发改价格【2011】534号文件规定的</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lang w:eastAsia="zh-CN"/>
              </w:rPr>
              <w:t xml:space="preserve">，最终按实际成交价结算，</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eastAsia="zh-CN"/>
              </w:rPr>
              <w:t xml:space="preserve">费用包含在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报价中，并不单独立项，由成交单位在领取成交通知书前向采购代理机构付清。</w:t>
            </w:r>
            <w:r/>
          </w:p>
          <w:p>
            <w:pPr>
              <w:keepLines w:val="0"/>
              <w:keepNext w:val="0"/>
              <w:pageBreakBefore w:val="0"/>
              <w:spacing w:before="60" w:line="288" w:lineRule="auto"/>
              <w:rPr>
                <w:rFonts w:ascii="宋体" w:hAnsi="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供应商无须编制已标价的工程量清单报价文件，</w:t>
            </w:r>
            <w:r>
              <w:rPr>
                <w:rFonts w:hint="eastAsia" w:ascii="宋体" w:hAnsi="宋体"/>
                <w:b/>
                <w:bCs/>
                <w:color w:val="auto"/>
                <w:sz w:val="24"/>
                <w:szCs w:val="24"/>
                <w:highlight w:val="none"/>
              </w:rPr>
              <w:t xml:space="preserve">按照</w:t>
            </w:r>
            <w:r>
              <w:rPr>
                <w:rFonts w:hint="eastAsia" w:ascii="宋体" w:hAnsi="宋体"/>
                <w:b/>
                <w:bCs/>
                <w:color w:val="auto"/>
                <w:sz w:val="24"/>
                <w:szCs w:val="24"/>
                <w:highlight w:val="none"/>
                <w:lang w:val="en-US" w:eastAsia="zh-CN"/>
              </w:rPr>
              <w:t xml:space="preserve">预算价</w:t>
            </w:r>
            <w:r>
              <w:rPr>
                <w:rFonts w:hint="eastAsia" w:ascii="宋体" w:hAnsi="宋体"/>
                <w:b/>
                <w:bCs/>
                <w:color w:val="auto"/>
                <w:sz w:val="24"/>
                <w:szCs w:val="24"/>
                <w:highlight w:val="none"/>
              </w:rPr>
              <w:t xml:space="preserve">总价下浮报价</w:t>
            </w:r>
            <w:r>
              <w:rPr>
                <w:rFonts w:hint="eastAsia" w:ascii="宋体" w:hAnsi="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结算时各单价直接将预算价按照</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lang w:eastAsia="zh-CN"/>
              </w:rPr>
              <w:t xml:space="preserve">下浮率（特指实际下浮率，暂列金额、专业工程暂估价等不可竞争费用不下浮）同步下浮执行。结算时以审计后的实际工程量为准，按实结算。</w:t>
            </w:r>
            <w:r/>
          </w:p>
          <w:p>
            <w:pP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各供应商应慎重报价，不得恶意降价，若供应商存在因报价过低无法履约或拒绝缴纳履约保证金或成交后无正当理由拒签合同等恶意竞争行为，取消其成交资格，采购人将上报监管部门，进行不良行为公示。</w:t>
            </w:r>
            <w:r/>
          </w:p>
          <w:p>
            <w:pP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本工程清单中列明的暂列金额、专业工程暂估价不下浮，由采购人控制使用。</w:t>
            </w:r>
            <w:r/>
          </w:p>
          <w:p>
            <w:pP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本工程中的所有专业施工项目必须由采购人审核把关。</w:t>
            </w:r>
            <w:r/>
          </w:p>
          <w:p>
            <w:pPr>
              <w:keepLines w:val="0"/>
              <w:keepNext w:val="0"/>
              <w:pageBreakBefore w:val="0"/>
              <w:spacing w:before="60" w:line="288"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成交</w:t>
            </w:r>
            <w:r>
              <w:rPr>
                <w:rFonts w:hint="eastAsia" w:ascii="宋体" w:hAnsi="宋体" w:cs="宋体"/>
                <w:b/>
                <w:bCs/>
                <w:color w:val="auto"/>
                <w:sz w:val="24"/>
                <w:szCs w:val="24"/>
                <w:highlight w:val="none"/>
              </w:rPr>
              <w:t xml:space="preserve">人在签订合同前，须向采购人提交已标价的工程量清单，已标价的工程量清单总价应与成交价一致，各单价直接将预算价按照</w:t>
            </w:r>
            <w:r>
              <w:rPr>
                <w:rFonts w:hint="eastAsia" w:ascii="宋体" w:hAnsi="宋体" w:cs="宋体"/>
                <w:b/>
                <w:bCs/>
                <w:color w:val="auto"/>
                <w:sz w:val="24"/>
                <w:szCs w:val="24"/>
                <w:highlight w:val="none"/>
                <w:lang w:val="en-US" w:eastAsia="zh-CN"/>
              </w:rPr>
              <w:t xml:space="preserve">成交</w:t>
            </w:r>
            <w:r>
              <w:rPr>
                <w:rFonts w:hint="eastAsia" w:ascii="宋体" w:hAnsi="宋体" w:cs="宋体"/>
                <w:b/>
                <w:bCs/>
                <w:color w:val="auto"/>
                <w:sz w:val="24"/>
                <w:szCs w:val="24"/>
                <w:highlight w:val="none"/>
              </w:rPr>
              <w:t xml:space="preserve">下浮率（暂列金额、专业工程暂估价等不可竞争费用不下浮）同步下浮执行。</w:t>
            </w:r>
            <w:r/>
          </w:p>
          <w:p>
            <w:pP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keepLines w:val="0"/>
              <w:keepNext w:val="0"/>
              <w:pageBreakBefore w:val="0"/>
              <w:spacing w:before="60" w:line="28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人不得在本项目中使用处于曝光期内企业供应的预拌混凝土。</w:t>
            </w:r>
            <w:r/>
          </w:p>
          <w:p>
            <w:pPr>
              <w:pStyle w:val="1176"/>
              <w:keepLines w:val="0"/>
              <w:keepNext w:val="0"/>
              <w:pageBreakBefore w:val="0"/>
              <w:spacing w:before="60" w:line="288" w:lineRule="auto"/>
              <w:rPr>
                <w:rFonts w:ascii="宋体" w:hAnsi="宋体" w:cs="宋体"/>
                <w:b/>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本项目实施时，采购人有权根据实际情况决定清单中部分工程内容是否实施，成交人须无条件配合。结算时，不因工程量的调减而改变成交时的综合单价。</w:t>
            </w:r>
            <w:r/>
          </w:p>
        </w:tc>
      </w:tr>
      <w:tr>
        <w:trPr>
          <w:jc w:val="center"/>
          <w:trHeight w:val="1821"/>
        </w:trPr>
        <w:tc>
          <w:tcPr>
            <w:tcW w:w="546" w:type="pct"/>
            <w:vAlign w:val="center"/>
            <w:textDirection w:val="lrTb"/>
            <w:noWrap w:val="false"/>
          </w:tcPr>
          <w:p>
            <w:pPr>
              <w:jc w:val="center"/>
              <w:keepLines w:val="0"/>
              <w:keepNext w:val="0"/>
              <w:pageBreakBefore w:val="0"/>
              <w:spacing w:before="60" w:line="288"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10.2</w:t>
            </w:r>
            <w:r/>
          </w:p>
        </w:tc>
        <w:tc>
          <w:tcPr>
            <w:gridSpan w:val="2"/>
            <w:tcW w:w="4453" w:type="pct"/>
            <w:vAlign w:val="center"/>
            <w:textDirection w:val="lrTb"/>
            <w:noWrap w:val="false"/>
          </w:tcPr>
          <w:p>
            <w:pPr>
              <w:pStyle w:val="1176"/>
              <w:keepLines w:val="0"/>
              <w:keepNext w:val="0"/>
              <w:pageBreakBefore w:val="0"/>
              <w:spacing w:before="60" w:line="288"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jc w:val="center"/>
          <w:trHeight w:val="289"/>
        </w:trPr>
        <w:tc>
          <w:tcPr>
            <w:tcW w:w="546" w:type="pct"/>
            <w:vAlign w:val="center"/>
            <w:textDirection w:val="lrTb"/>
            <w:noWrap w:val="false"/>
          </w:tcPr>
          <w:p>
            <w:pPr>
              <w:jc w:val="center"/>
              <w:keepLines w:val="0"/>
              <w:keepNext w:val="0"/>
              <w:pageBreakBefore w:val="0"/>
              <w:spacing w:before="60" w:line="288"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10.3</w:t>
            </w:r>
            <w:r/>
          </w:p>
        </w:tc>
        <w:tc>
          <w:tcPr>
            <w:gridSpan w:val="2"/>
            <w:tcW w:w="4453" w:type="pct"/>
            <w:vAlign w:val="center"/>
            <w:textDirection w:val="lrTb"/>
            <w:noWrap w:val="false"/>
          </w:tcPr>
          <w:p>
            <w:pPr>
              <w:pStyle w:val="1176"/>
              <w:keepLines w:val="0"/>
              <w:keepNext w:val="0"/>
              <w:pageBreakBefore w:val="0"/>
              <w:spacing w:before="60" w:line="288"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jc w:val="center"/>
          <w:trHeight w:val="289"/>
        </w:trPr>
        <w:tc>
          <w:tcPr>
            <w:tcW w:w="546" w:type="pct"/>
            <w:vAlign w:val="center"/>
            <w:textDirection w:val="lrTb"/>
            <w:noWrap w:val="false"/>
          </w:tcPr>
          <w:p>
            <w:pPr>
              <w:jc w:val="center"/>
              <w:keepLines w:val="0"/>
              <w:keepNext w:val="0"/>
              <w:pageBreakBefore w:val="0"/>
              <w:spacing w:before="60" w:line="288"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10.4</w:t>
            </w:r>
            <w:r/>
          </w:p>
        </w:tc>
        <w:tc>
          <w:tcPr>
            <w:gridSpan w:val="2"/>
            <w:tcW w:w="4453" w:type="pct"/>
            <w:vAlign w:val="center"/>
            <w:textDirection w:val="lrTb"/>
            <w:noWrap w:val="false"/>
          </w:tcPr>
          <w:p>
            <w:pPr>
              <w:pStyle w:val="1176"/>
              <w:keepLines w:val="0"/>
              <w:keepNext w:val="0"/>
              <w:pageBreakBefore w:val="0"/>
              <w:spacing w:before="60" w:line="288"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号）等文件规定进行联合惩戒。</w:t>
            </w:r>
            <w:r/>
          </w:p>
        </w:tc>
      </w:tr>
      <w:tr>
        <w:trPr>
          <w:jc w:val="center"/>
          <w:trHeight w:val="273"/>
        </w:trPr>
        <w:tc>
          <w:tcPr>
            <w:tcW w:w="546" w:type="pct"/>
            <w:vAlign w:val="center"/>
            <w:textDirection w:val="lrTb"/>
            <w:noWrap w:val="false"/>
          </w:tcPr>
          <w:p>
            <w:pPr>
              <w:jc w:val="center"/>
              <w:keepLines w:val="0"/>
              <w:keepNext w:val="0"/>
              <w:pageBreakBefore w:val="0"/>
              <w:spacing w:before="60" w:line="288"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10.5</w:t>
            </w:r>
            <w:r/>
          </w:p>
        </w:tc>
        <w:tc>
          <w:tcPr>
            <w:gridSpan w:val="2"/>
            <w:tcW w:w="4453" w:type="pct"/>
            <w:vAlign w:val="center"/>
            <w:textDirection w:val="lrTb"/>
            <w:noWrap w:val="false"/>
          </w:tcPr>
          <w:p>
            <w:pPr>
              <w:pStyle w:val="1176"/>
              <w:keepLines w:val="0"/>
              <w:keepNext w:val="0"/>
              <w:pageBreakBefore w:val="0"/>
              <w:spacing w:before="60" w:line="288"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本竞争性磋商文件中设置类似工程业绩和奖项的，类似工程业绩和奖项的真实性由采购人负责核实。经查实供应商类似业绩和奖项弄虚作假的，采购人将上报监管部门，进行不良行为公示。</w:t>
            </w:r>
            <w:r/>
          </w:p>
        </w:tc>
      </w:tr>
      <w:tr>
        <w:trPr>
          <w:jc w:val="center"/>
          <w:trHeight w:val="273"/>
        </w:trPr>
        <w:tc>
          <w:tcPr>
            <w:tcW w:w="546" w:type="pct"/>
            <w:vAlign w:val="center"/>
            <w:textDirection w:val="lrTb"/>
            <w:noWrap w:val="false"/>
          </w:tcPr>
          <w:p>
            <w:pPr>
              <w:jc w:val="center"/>
              <w:keepLines w:val="0"/>
              <w:keepNext w:val="0"/>
              <w:pageBreakBefore w:val="0"/>
              <w:spacing w:before="60" w:line="288" w:lineRule="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10.6</w:t>
            </w:r>
            <w:r/>
          </w:p>
        </w:tc>
        <w:tc>
          <w:tcPr>
            <w:gridSpan w:val="2"/>
            <w:tcW w:w="4453" w:type="pct"/>
            <w:vAlign w:val="center"/>
            <w:textDirection w:val="lrTb"/>
            <w:noWrap w:val="false"/>
          </w:tcPr>
          <w:p>
            <w:pPr>
              <w:pStyle w:val="1176"/>
              <w:keepLines w:val="0"/>
              <w:keepNext w:val="0"/>
              <w:pageBreakBefore w:val="0"/>
              <w:spacing w:before="60" w:line="288"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质疑和投诉按照《政府采购质疑和投诉办法》财政部令第94号执行</w:t>
            </w:r>
            <w:r>
              <w:rPr>
                <w:rFonts w:hint="eastAsia" w:ascii="宋体" w:hAnsi="宋体" w:cs="宋体"/>
                <w:b w:val="0"/>
                <w:bCs/>
                <w:color w:val="auto"/>
                <w:sz w:val="24"/>
                <w:szCs w:val="24"/>
                <w:highlight w:val="none"/>
                <w:lang w:eastAsia="zh-CN"/>
              </w:rPr>
              <w:t xml:space="preserve">。</w:t>
            </w:r>
            <w:r/>
          </w:p>
        </w:tc>
      </w:tr>
    </w:tbl>
    <w:p>
      <w:pPr>
        <w:pStyle w:val="1068"/>
        <w:spacing w:before="0" w:after="0" w:line="360" w:lineRule="auto"/>
        <w:rPr>
          <w:rFonts w:ascii="宋体" w:hAnsi="宋体" w:eastAsia="宋体" w:cs="宋体"/>
          <w:b/>
          <w:bCs/>
          <w:color w:val="auto"/>
          <w:sz w:val="24"/>
          <w:szCs w:val="24"/>
          <w:highlight w:val="none"/>
        </w:rPr>
      </w:pPr>
      <w:r/>
      <w:bookmarkStart w:id="99" w:name="_Toc426469871"/>
      <w:r/>
      <w:bookmarkStart w:id="100" w:name="_Toc18636"/>
      <w:r/>
      <w:bookmarkStart w:id="101" w:name="_Toc468783589"/>
      <w:r/>
      <w:bookmarkStart w:id="102" w:name="_Toc367784995"/>
      <w:r>
        <w:rPr>
          <w:rFonts w:hint="eastAsia" w:ascii="宋体" w:hAnsi="宋体" w:eastAsia="宋体" w:cs="宋体"/>
          <w:b/>
          <w:bCs/>
          <w:color w:val="auto"/>
          <w:sz w:val="24"/>
          <w:szCs w:val="24"/>
          <w:highlight w:val="none"/>
        </w:rPr>
        <w:t xml:space="preserve">1.总则</w:t>
      </w:r>
      <w:bookmarkEnd w:id="99"/>
      <w:r/>
      <w:bookmarkEnd w:id="100"/>
      <w:r/>
      <w:bookmarkEnd w:id="101"/>
      <w:r/>
      <w:bookmarkEnd w:id="102"/>
      <w:r/>
      <w:r/>
    </w:p>
    <w:p>
      <w:pPr>
        <w:pStyle w:val="1070"/>
        <w:jc w:val="left"/>
        <w:spacing w:before="0" w:after="0" w:line="360" w:lineRule="auto"/>
        <w:rPr>
          <w:rFonts w:ascii="宋体" w:hAnsi="宋体" w:cs="宋体"/>
          <w:b/>
          <w:color w:val="auto"/>
          <w:sz w:val="24"/>
          <w:szCs w:val="24"/>
          <w:highlight w:val="none"/>
        </w:rPr>
      </w:pPr>
      <w:r/>
      <w:bookmarkStart w:id="103" w:name="_Toc247085690"/>
      <w:r/>
      <w:bookmarkStart w:id="104" w:name="_Toc426469872"/>
      <w:r/>
      <w:bookmarkStart w:id="105" w:name="_Toc246996919"/>
      <w:r/>
      <w:bookmarkStart w:id="106" w:name="_Toc246996176"/>
      <w:r/>
      <w:bookmarkStart w:id="107" w:name="_Toc144974498"/>
      <w:r/>
      <w:bookmarkStart w:id="108" w:name="_Toc152042306"/>
      <w:r/>
      <w:bookmarkStart w:id="109" w:name="_Toc343525506"/>
      <w:r/>
      <w:bookmarkStart w:id="110" w:name="_Toc179632547"/>
      <w:r/>
      <w:bookmarkStart w:id="111" w:name="_Toc152045530"/>
      <w:r/>
      <w:bookmarkStart w:id="112" w:name="_Toc468783590"/>
      <w:r/>
      <w:bookmarkStart w:id="113" w:name="_Toc383438593"/>
      <w:r/>
      <w:bookmarkStart w:id="114" w:name="_Toc367784996"/>
      <w:r>
        <w:rPr>
          <w:rFonts w:hint="eastAsia" w:ascii="宋体" w:hAnsi="宋体" w:cs="宋体"/>
          <w:b/>
          <w:color w:val="auto"/>
          <w:sz w:val="24"/>
          <w:szCs w:val="24"/>
          <w:highlight w:val="none"/>
        </w:rPr>
        <w:t xml:space="preserve">1.1 项目概况</w:t>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1.1.1根据《中华人民共和国政府采购法》等有关法律、法规和规章的规定，本采购项目已具备采购条件，现对本项目进行竞争性磋商招标。</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采购人：见供应商须知前附表。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采购代理机构：见供应商须知前附表。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1.1.4 项目名称及项目编号：见供应商须知前附表。</w:t>
      </w:r>
      <w:r/>
    </w:p>
    <w:p>
      <w:pPr>
        <w:pStyle w:val="1070"/>
        <w:jc w:val="left"/>
        <w:spacing w:before="0" w:after="0" w:line="360" w:lineRule="auto"/>
        <w:rPr>
          <w:rFonts w:ascii="宋体" w:hAnsi="宋体" w:cs="宋体"/>
          <w:b/>
          <w:color w:val="auto"/>
          <w:sz w:val="24"/>
          <w:szCs w:val="24"/>
          <w:highlight w:val="none"/>
        </w:rPr>
      </w:pPr>
      <w:r/>
      <w:bookmarkStart w:id="115" w:name="_Toc383438594"/>
      <w:r/>
      <w:bookmarkStart w:id="116" w:name="_Toc247085691"/>
      <w:r/>
      <w:bookmarkStart w:id="117" w:name="_Toc152045531"/>
      <w:r/>
      <w:bookmarkStart w:id="118" w:name="_Toc246996920"/>
      <w:r/>
      <w:bookmarkStart w:id="119" w:name="_Toc426469873"/>
      <w:r/>
      <w:bookmarkStart w:id="120" w:name="_Toc179632548"/>
      <w:r/>
      <w:bookmarkStart w:id="121" w:name="_Toc343525507"/>
      <w:r/>
      <w:bookmarkStart w:id="122" w:name="_Toc152042307"/>
      <w:r/>
      <w:bookmarkStart w:id="123" w:name="_Toc246996177"/>
      <w:r/>
      <w:bookmarkStart w:id="124" w:name="_Toc144974499"/>
      <w:r/>
      <w:bookmarkStart w:id="125" w:name="_Toc468783591"/>
      <w:r>
        <w:rPr>
          <w:rFonts w:hint="eastAsia" w:ascii="宋体" w:hAnsi="宋体" w:cs="宋体"/>
          <w:b/>
          <w:color w:val="auto"/>
          <w:sz w:val="24"/>
          <w:szCs w:val="24"/>
          <w:highlight w:val="none"/>
        </w:rPr>
        <w:t xml:space="preserve">1.2 资金来源和落实情况</w:t>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cs="宋体"/>
          <w:b/>
          <w:color w:val="auto"/>
          <w:sz w:val="24"/>
          <w:szCs w:val="24"/>
          <w:highlight w:val="none"/>
        </w:rPr>
        <w:t xml:space="preserve">及付款方式</w:t>
      </w:r>
      <w:bookmarkEnd w:id="125"/>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1.2.1 资金来源及出资比例：见供应商须知前附表。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1.2.2 资金落实情况：见供应商须知前附表。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1.2.3 付款方式：见供应商须知前附表。</w:t>
      </w:r>
      <w:r/>
    </w:p>
    <w:p>
      <w:pPr>
        <w:pStyle w:val="1070"/>
        <w:jc w:val="left"/>
        <w:spacing w:before="0" w:after="0" w:line="360" w:lineRule="auto"/>
        <w:rPr>
          <w:rFonts w:ascii="宋体" w:hAnsi="宋体" w:cs="宋体"/>
          <w:b/>
          <w:color w:val="auto"/>
          <w:sz w:val="24"/>
          <w:szCs w:val="24"/>
          <w:highlight w:val="none"/>
        </w:rPr>
      </w:pPr>
      <w:r/>
      <w:bookmarkStart w:id="126" w:name="_Toc343525508"/>
      <w:r/>
      <w:bookmarkStart w:id="127" w:name="_Toc152042308"/>
      <w:r/>
      <w:bookmarkStart w:id="128" w:name="_Toc246996178"/>
      <w:r/>
      <w:bookmarkStart w:id="129" w:name="_Toc246996921"/>
      <w:r/>
      <w:bookmarkStart w:id="130" w:name="_Toc144974500"/>
      <w:r/>
      <w:bookmarkStart w:id="131" w:name="_Toc179632549"/>
      <w:r/>
      <w:bookmarkStart w:id="132" w:name="_Toc383438595"/>
      <w:r/>
      <w:bookmarkStart w:id="133" w:name="_Toc247085692"/>
      <w:r/>
      <w:bookmarkStart w:id="134" w:name="_Toc152045532"/>
      <w:r/>
      <w:bookmarkStart w:id="135" w:name="_Toc426469874"/>
      <w:r/>
      <w:bookmarkStart w:id="136" w:name="_Toc468783592"/>
      <w:r>
        <w:rPr>
          <w:rFonts w:hint="eastAsia" w:ascii="宋体" w:hAnsi="宋体" w:cs="宋体"/>
          <w:b/>
          <w:color w:val="auto"/>
          <w:sz w:val="24"/>
          <w:szCs w:val="24"/>
          <w:highlight w:val="none"/>
        </w:rPr>
        <w:t xml:space="preserve">1.3 </w:t>
      </w:r>
      <w:bookmarkEnd w:id="126"/>
      <w:r/>
      <w:bookmarkEnd w:id="127"/>
      <w:r/>
      <w:bookmarkEnd w:id="128"/>
      <w:r/>
      <w:bookmarkEnd w:id="129"/>
      <w:r/>
      <w:bookmarkEnd w:id="130"/>
      <w:r/>
      <w:bookmarkEnd w:id="131"/>
      <w:r/>
      <w:bookmarkEnd w:id="132"/>
      <w:r/>
      <w:bookmarkEnd w:id="133"/>
      <w:r/>
      <w:bookmarkEnd w:id="134"/>
      <w:r>
        <w:rPr>
          <w:rFonts w:hint="eastAsia" w:ascii="宋体" w:hAnsi="宋体" w:cs="宋体"/>
          <w:b/>
          <w:color w:val="auto"/>
          <w:sz w:val="24"/>
          <w:szCs w:val="24"/>
          <w:highlight w:val="none"/>
        </w:rPr>
        <w:t xml:space="preserve">采购范围</w:t>
      </w:r>
      <w:bookmarkEnd w:id="135"/>
      <w:r>
        <w:rPr>
          <w:rFonts w:hint="eastAsia" w:ascii="宋体" w:hAnsi="宋体" w:cs="宋体"/>
          <w:b/>
          <w:color w:val="auto"/>
          <w:sz w:val="24"/>
          <w:szCs w:val="24"/>
          <w:highlight w:val="none"/>
        </w:rPr>
        <w:t xml:space="preserve">与合同工期</w:t>
      </w:r>
      <w:bookmarkEnd w:id="136"/>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1.3.1 采购范围：见供应商须知前附表。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1.3.2 合同工期：见供应商须知前附表。</w:t>
      </w:r>
      <w:r/>
    </w:p>
    <w:p>
      <w:pPr>
        <w:pStyle w:val="1070"/>
        <w:jc w:val="left"/>
        <w:spacing w:before="0" w:after="0" w:line="360" w:lineRule="auto"/>
        <w:rPr>
          <w:rFonts w:ascii="宋体" w:hAnsi="宋体" w:cs="宋体"/>
          <w:b/>
          <w:color w:val="auto"/>
          <w:sz w:val="24"/>
          <w:szCs w:val="24"/>
          <w:highlight w:val="none"/>
        </w:rPr>
      </w:pPr>
      <w:r/>
      <w:bookmarkStart w:id="137" w:name="_Toc343525509"/>
      <w:r/>
      <w:bookmarkStart w:id="138" w:name="_Toc246996179"/>
      <w:r/>
      <w:bookmarkStart w:id="139" w:name="_Toc179632551"/>
      <w:r/>
      <w:bookmarkStart w:id="140" w:name="_Toc144974502"/>
      <w:r/>
      <w:bookmarkStart w:id="141" w:name="_Toc426469875"/>
      <w:r/>
      <w:bookmarkStart w:id="142" w:name="_Toc152045534"/>
      <w:r/>
      <w:bookmarkStart w:id="143" w:name="_Toc383438596"/>
      <w:r/>
      <w:bookmarkStart w:id="144" w:name="_Toc468783593"/>
      <w:r/>
      <w:bookmarkStart w:id="145" w:name="_Toc246996922"/>
      <w:r/>
      <w:bookmarkStart w:id="146" w:name="_Toc247085693"/>
      <w:r/>
      <w:bookmarkStart w:id="147" w:name="_Toc152042310"/>
      <w:r>
        <w:rPr>
          <w:rFonts w:hint="eastAsia" w:ascii="宋体" w:hAnsi="宋体" w:cs="宋体"/>
          <w:b/>
          <w:color w:val="auto"/>
          <w:sz w:val="24"/>
          <w:szCs w:val="24"/>
          <w:highlight w:val="none"/>
        </w:rPr>
        <w:t xml:space="preserve">1.4 供应商资格要求</w:t>
      </w:r>
      <w:bookmarkEnd w:id="137"/>
      <w:r/>
      <w:bookmarkEnd w:id="138"/>
      <w:r/>
      <w:bookmarkEnd w:id="139"/>
      <w:r/>
      <w:bookmarkEnd w:id="140"/>
      <w:r/>
      <w:bookmarkEnd w:id="141"/>
      <w:r/>
      <w:bookmarkEnd w:id="142"/>
      <w:r/>
      <w:bookmarkEnd w:id="143"/>
      <w:r/>
      <w:bookmarkEnd w:id="144"/>
      <w:r/>
      <w:bookmarkEnd w:id="145"/>
      <w:r/>
      <w:bookmarkEnd w:id="146"/>
      <w:r/>
      <w:bookmarkEnd w:id="147"/>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1.4.1 供应商参加政府采购活动应当具备下列条件：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（1）须在中华人民共和国境内依法注册，具备独立法人资格，具有独立承担民事责任的能力。</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（3）具有符合投标项目经营范围和履行合同所必需的设备和专业技术能力。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（5）参加政府采购活动前三年内，在经营活动中没有重大违法记录。需出具近3年内在经营活动中没有重大违法记录的书面声明。</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1.4.2本项目落实政府采购政策需满足的资格要求：本项目专门面向中小企业,供应商应为中小微企业或监狱企业或残疾人福利性单位。</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（3）参加报价的残疾人福利性单位，应根据《关于促进残疾人就业政府采购政策的通知》（财库〔2017〕141号）要求，提供《残疾人福利性单位声明函》，格式见附件。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（4）参照《关于印发中小企业划型标准规定的通知》（工信部联企业[2011]300号）文件，本项目采购标的所属行业为</w:t>
      </w:r>
      <w:r>
        <w:rPr>
          <w:rFonts w:hint="eastAsia" w:ascii="宋体" w:hAnsi="宋体" w:cs="宋体"/>
          <w:b/>
          <w:bCs/>
          <w:color w:val="auto"/>
          <w:sz w:val="24"/>
          <w:highlight w:val="none"/>
          <w:u w:val="single"/>
        </w:rPr>
        <w:t xml:space="preserve">建筑业</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采购人根据采购项目的特殊要求，规定供应商的特定条件：见供应商须知前附表。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供应商不得存在下列情形之一：</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（l）与采购人或采购代理机构存在隶属关系或者其他利害关系；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（2）为采购项目提供了整体设计、规范编制或者项目管理、监理、检测等服务；</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（3）单位负责人为同一人或者存在直接控股、管理关系的不同供应商，参加同一合同项下的政府采购活动；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（4）以联合体形式参加政府采购活动的，联合体各方再单独参加或者与其他供应商另外组成联合体参加同一合同项下的政府采购活动；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（5）处于被责令停业、财产被接管、冻结和破产状态，以及投标资格被取消或者被暂停且在暂停期内；</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（6）因拖欠工人工资或者发生质量安全事故被有关部门限制在招标项目所在地承接工程的；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（7）供应商近3年内有行贿犯罪行为且被记录，或者法定代表人有行贿犯罪记录且自记录之日起未超过5年的；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（8）被“信用中国”网站（www.creditchina.gov.cn）列入失信被执行人的；</w:t>
      </w:r>
      <w:r/>
    </w:p>
    <w:p>
      <w:pPr>
        <w:ind w:firstLine="480"/>
        <w:jc w:val="left"/>
        <w:spacing w:line="360" w:lineRule="auto"/>
        <w:rPr>
          <w:rFonts w:ascii="宋体" w:hAnsi="宋体" w:cs="宋体"/>
          <w:color w:val="auto"/>
          <w:sz w:val="24"/>
          <w:highlight w:val="none"/>
        </w:rPr>
      </w:pPr>
      <w:r/>
      <w:bookmarkStart w:id="148" w:name="OLE_LINK105"/>
      <w:r/>
      <w:bookmarkStart w:id="149" w:name="OLE_LINK104"/>
      <w:r>
        <w:rPr>
          <w:rFonts w:hint="eastAsia" w:ascii="宋体" w:hAnsi="宋体" w:cs="宋体"/>
          <w:color w:val="auto"/>
          <w:sz w:val="24"/>
          <w:highlight w:val="none"/>
        </w:rPr>
        <w:t xml:space="preserve">（9）</w:t>
      </w:r>
      <w:bookmarkEnd w:id="148"/>
      <w:r/>
      <w:bookmarkEnd w:id="149"/>
      <w:r>
        <w:rPr>
          <w:rFonts w:hint="eastAsia" w:ascii="宋体" w:hAnsi="宋体" w:cs="宋体"/>
          <w:color w:val="auto"/>
          <w:sz w:val="24"/>
          <w:highlight w:val="none"/>
        </w:rPr>
        <w:t xml:space="preserve">被国家企业信用信息公示系统列入严重违法失信企业名单；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）法律、行政法规规定的其他条件。</w:t>
      </w:r>
      <w:r/>
    </w:p>
    <w:p>
      <w:pPr>
        <w:pStyle w:val="1070"/>
        <w:jc w:val="left"/>
        <w:spacing w:before="0" w:after="0" w:line="360" w:lineRule="auto"/>
        <w:rPr>
          <w:rFonts w:ascii="宋体" w:hAnsi="宋体" w:cs="宋体"/>
          <w:b/>
          <w:color w:val="auto"/>
          <w:sz w:val="24"/>
          <w:szCs w:val="24"/>
          <w:highlight w:val="none"/>
        </w:rPr>
      </w:pPr>
      <w:r/>
      <w:bookmarkStart w:id="150" w:name="_Toc426469876"/>
      <w:r/>
      <w:bookmarkStart w:id="151" w:name="_Toc247085694"/>
      <w:r/>
      <w:bookmarkStart w:id="152" w:name="_Toc179632552"/>
      <w:r/>
      <w:bookmarkStart w:id="153" w:name="_Toc246996180"/>
      <w:r/>
      <w:bookmarkStart w:id="154" w:name="_Toc144974503"/>
      <w:r/>
      <w:bookmarkStart w:id="155" w:name="_Toc383438597"/>
      <w:r/>
      <w:bookmarkStart w:id="156" w:name="_Toc246996923"/>
      <w:r/>
      <w:bookmarkStart w:id="157" w:name="_Toc468783594"/>
      <w:r/>
      <w:bookmarkStart w:id="158" w:name="_Toc343525510"/>
      <w:r/>
      <w:bookmarkStart w:id="159" w:name="_Toc152045535"/>
      <w:r/>
      <w:bookmarkStart w:id="160" w:name="_Toc152042311"/>
      <w:r>
        <w:rPr>
          <w:rFonts w:hint="eastAsia" w:ascii="宋体" w:hAnsi="宋体" w:cs="宋体"/>
          <w:b/>
          <w:color w:val="auto"/>
          <w:sz w:val="24"/>
          <w:szCs w:val="24"/>
          <w:highlight w:val="none"/>
        </w:rPr>
        <w:t xml:space="preserve">1.5 费用承担</w:t>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无论采购结果如何，供应商为准备和参加投标活动发生的费用自理。</w:t>
      </w:r>
      <w:r/>
    </w:p>
    <w:p>
      <w:pPr>
        <w:pStyle w:val="1070"/>
        <w:jc w:val="left"/>
        <w:spacing w:before="0" w:after="0" w:line="360" w:lineRule="auto"/>
        <w:rPr>
          <w:rFonts w:ascii="宋体" w:hAnsi="宋体" w:cs="宋体"/>
          <w:b/>
          <w:color w:val="auto"/>
          <w:sz w:val="24"/>
          <w:szCs w:val="24"/>
          <w:highlight w:val="none"/>
        </w:rPr>
      </w:pPr>
      <w:r/>
      <w:bookmarkStart w:id="161" w:name="_Toc144974504"/>
      <w:r/>
      <w:bookmarkStart w:id="162" w:name="_Toc426469877"/>
      <w:r/>
      <w:bookmarkStart w:id="163" w:name="_Toc152045536"/>
      <w:r/>
      <w:bookmarkStart w:id="164" w:name="_Toc246996181"/>
      <w:r/>
      <w:bookmarkStart w:id="165" w:name="_Toc247085695"/>
      <w:r/>
      <w:bookmarkStart w:id="166" w:name="_Toc343525511"/>
      <w:r/>
      <w:bookmarkStart w:id="167" w:name="_Toc152042312"/>
      <w:r/>
      <w:bookmarkStart w:id="168" w:name="_Toc468783595"/>
      <w:r/>
      <w:bookmarkStart w:id="169" w:name="_Toc246996924"/>
      <w:r/>
      <w:bookmarkStart w:id="170" w:name="_Toc383438598"/>
      <w:r/>
      <w:bookmarkStart w:id="171" w:name="_Toc179632553"/>
      <w:r>
        <w:rPr>
          <w:rFonts w:hint="eastAsia" w:ascii="宋体" w:hAnsi="宋体" w:cs="宋体"/>
          <w:b/>
          <w:color w:val="auto"/>
          <w:sz w:val="24"/>
          <w:szCs w:val="24"/>
          <w:highlight w:val="none"/>
        </w:rPr>
        <w:t xml:space="preserve">1.6 保密</w:t>
      </w:r>
      <w:bookmarkEnd w:id="161"/>
      <w:r/>
      <w:bookmarkEnd w:id="162"/>
      <w:r/>
      <w:bookmarkEnd w:id="163"/>
      <w:r/>
      <w:bookmarkEnd w:id="164"/>
      <w:r/>
      <w:bookmarkEnd w:id="165"/>
      <w:r/>
      <w:bookmarkEnd w:id="166"/>
      <w:r/>
      <w:bookmarkEnd w:id="167"/>
      <w:r/>
      <w:bookmarkEnd w:id="168"/>
      <w:r/>
      <w:bookmarkEnd w:id="169"/>
      <w:r/>
      <w:bookmarkEnd w:id="170"/>
      <w:r/>
      <w:bookmarkEnd w:id="171"/>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参与采购项目招标投标活动的各方应对竞争性磋商文件和供应商响应文件中的商业和技术等秘密保密，违者应对由此造成的后果承担法律责任。</w:t>
      </w:r>
      <w:r/>
    </w:p>
    <w:p>
      <w:pPr>
        <w:pStyle w:val="1070"/>
        <w:jc w:val="left"/>
        <w:spacing w:before="0" w:after="0" w:line="360" w:lineRule="auto"/>
        <w:rPr>
          <w:rFonts w:ascii="宋体" w:hAnsi="宋体" w:cs="宋体"/>
          <w:b/>
          <w:color w:val="auto"/>
          <w:sz w:val="24"/>
          <w:szCs w:val="24"/>
          <w:highlight w:val="none"/>
        </w:rPr>
      </w:pPr>
      <w:r/>
      <w:bookmarkStart w:id="172" w:name="_Toc144974505"/>
      <w:r/>
      <w:bookmarkStart w:id="173" w:name="_Toc179632554"/>
      <w:r/>
      <w:bookmarkStart w:id="174" w:name="_Toc383438599"/>
      <w:r/>
      <w:bookmarkStart w:id="175" w:name="_Toc152045537"/>
      <w:r/>
      <w:bookmarkStart w:id="176" w:name="_Toc247085696"/>
      <w:r/>
      <w:bookmarkStart w:id="177" w:name="_Toc468783596"/>
      <w:r/>
      <w:bookmarkStart w:id="178" w:name="_Toc426469878"/>
      <w:r/>
      <w:bookmarkStart w:id="179" w:name="_Toc246996182"/>
      <w:r/>
      <w:bookmarkStart w:id="180" w:name="_Toc246996925"/>
      <w:r/>
      <w:bookmarkStart w:id="181" w:name="_Toc152042313"/>
      <w:r/>
      <w:bookmarkStart w:id="182" w:name="_Toc343525512"/>
      <w:r>
        <w:rPr>
          <w:rFonts w:hint="eastAsia" w:ascii="宋体" w:hAnsi="宋体" w:cs="宋体"/>
          <w:b/>
          <w:color w:val="auto"/>
          <w:sz w:val="24"/>
          <w:szCs w:val="24"/>
          <w:highlight w:val="none"/>
        </w:rPr>
        <w:t xml:space="preserve">1.7 语言</w:t>
      </w:r>
      <w:bookmarkEnd w:id="172"/>
      <w:r>
        <w:rPr>
          <w:rFonts w:hint="eastAsia" w:ascii="宋体" w:hAnsi="宋体" w:cs="宋体"/>
          <w:b/>
          <w:color w:val="auto"/>
          <w:sz w:val="24"/>
          <w:szCs w:val="24"/>
          <w:highlight w:val="none"/>
        </w:rPr>
        <w:t xml:space="preserve">文字</w:t>
      </w:r>
      <w:bookmarkEnd w:id="173"/>
      <w:r/>
      <w:bookmarkEnd w:id="174"/>
      <w:r/>
      <w:bookmarkEnd w:id="175"/>
      <w:r/>
      <w:bookmarkEnd w:id="176"/>
      <w:r/>
      <w:bookmarkEnd w:id="177"/>
      <w:r/>
      <w:bookmarkEnd w:id="178"/>
      <w:r/>
      <w:bookmarkEnd w:id="179"/>
      <w:r/>
      <w:bookmarkEnd w:id="180"/>
      <w:r/>
      <w:bookmarkEnd w:id="181"/>
      <w:r/>
      <w:bookmarkEnd w:id="182"/>
      <w:r/>
      <w:r/>
    </w:p>
    <w:p>
      <w:pPr>
        <w:ind w:firstLine="480"/>
        <w:jc w:val="left"/>
        <w:spacing w:line="360" w:lineRule="auto"/>
        <w:rPr>
          <w:rFonts w:ascii="宋体" w:hAnsi="宋体" w:cs="宋体"/>
          <w:color w:val="auto"/>
          <w:sz w:val="24"/>
          <w:highlight w:val="none"/>
        </w:rPr>
      </w:pPr>
      <w:r/>
      <w:bookmarkStart w:id="183" w:name="_Toc246996183"/>
      <w:r/>
      <w:bookmarkStart w:id="184" w:name="_Toc144974506"/>
      <w:r/>
      <w:bookmarkStart w:id="185" w:name="_Toc246996926"/>
      <w:r/>
      <w:bookmarkStart w:id="186" w:name="_Toc152045538"/>
      <w:r/>
      <w:bookmarkStart w:id="187" w:name="_Toc179632555"/>
      <w:r/>
      <w:bookmarkStart w:id="188" w:name="_Toc247085697"/>
      <w:r/>
      <w:bookmarkStart w:id="189" w:name="_Toc152042314"/>
      <w:r>
        <w:rPr>
          <w:rFonts w:hint="eastAsia" w:ascii="宋体" w:hAnsi="宋体" w:cs="宋体"/>
          <w:color w:val="auto"/>
          <w:sz w:val="24"/>
          <w:highlight w:val="none"/>
        </w:rPr>
        <w:t xml:space="preserve">响应文件使用的语言文字为中文。专用术语使用外文的，应附有中文注释。</w:t>
      </w:r>
      <w:r/>
    </w:p>
    <w:p>
      <w:pPr>
        <w:pStyle w:val="1070"/>
        <w:jc w:val="left"/>
        <w:spacing w:before="0" w:after="0" w:line="360" w:lineRule="auto"/>
        <w:rPr>
          <w:rFonts w:ascii="宋体" w:hAnsi="宋体" w:cs="宋体"/>
          <w:b/>
          <w:color w:val="auto"/>
          <w:sz w:val="24"/>
          <w:szCs w:val="24"/>
          <w:highlight w:val="none"/>
        </w:rPr>
      </w:pPr>
      <w:r/>
      <w:bookmarkStart w:id="190" w:name="_Toc426469879"/>
      <w:r/>
      <w:bookmarkStart w:id="191" w:name="_Toc468783597"/>
      <w:r/>
      <w:bookmarkStart w:id="192" w:name="_Toc343525513"/>
      <w:r/>
      <w:bookmarkStart w:id="193" w:name="_Toc383438600"/>
      <w:r>
        <w:rPr>
          <w:rFonts w:hint="eastAsia" w:ascii="宋体" w:hAnsi="宋体" w:cs="宋体"/>
          <w:b/>
          <w:color w:val="auto"/>
          <w:sz w:val="24"/>
          <w:szCs w:val="24"/>
          <w:highlight w:val="none"/>
        </w:rPr>
        <w:t xml:space="preserve">1.8 计量单位</w:t>
      </w:r>
      <w:bookmarkEnd w:id="183"/>
      <w:r/>
      <w:bookmarkEnd w:id="184"/>
      <w:r/>
      <w:bookmarkEnd w:id="185"/>
      <w:r/>
      <w:bookmarkEnd w:id="186"/>
      <w:r/>
      <w:bookmarkEnd w:id="187"/>
      <w:r/>
      <w:bookmarkEnd w:id="188"/>
      <w:r/>
      <w:bookmarkEnd w:id="189"/>
      <w:r/>
      <w:bookmarkEnd w:id="190"/>
      <w:r/>
      <w:bookmarkEnd w:id="191"/>
      <w:r/>
      <w:bookmarkEnd w:id="192"/>
      <w:r/>
      <w:bookmarkEnd w:id="193"/>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所有计量均采用中华人民共和国法定计量单位。</w:t>
      </w:r>
      <w:r/>
    </w:p>
    <w:p>
      <w:pPr>
        <w:pStyle w:val="1070"/>
        <w:jc w:val="left"/>
        <w:spacing w:before="0" w:after="0" w:line="360" w:lineRule="auto"/>
        <w:rPr>
          <w:rFonts w:ascii="宋体" w:hAnsi="宋体" w:cs="宋体"/>
          <w:b/>
          <w:color w:val="auto"/>
          <w:sz w:val="24"/>
          <w:szCs w:val="24"/>
          <w:highlight w:val="none"/>
        </w:rPr>
      </w:pPr>
      <w:r/>
      <w:bookmarkStart w:id="194" w:name="_Toc468783598"/>
      <w:r/>
      <w:bookmarkStart w:id="195" w:name="_Toc426469880"/>
      <w:r>
        <w:rPr>
          <w:rFonts w:hint="eastAsia" w:ascii="宋体" w:hAnsi="宋体" w:cs="宋体"/>
          <w:b/>
          <w:color w:val="auto"/>
          <w:sz w:val="24"/>
          <w:szCs w:val="24"/>
          <w:highlight w:val="none"/>
        </w:rPr>
        <w:t xml:space="preserve">1.9 分包</w:t>
      </w:r>
      <w:bookmarkEnd w:id="194"/>
      <w:r/>
      <w:bookmarkEnd w:id="195"/>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本项目不接受分包。</w:t>
      </w:r>
      <w:r/>
    </w:p>
    <w:p>
      <w:pPr>
        <w:pStyle w:val="1070"/>
        <w:jc w:val="left"/>
        <w:spacing w:before="0" w:after="0" w:line="360" w:lineRule="auto"/>
        <w:rPr>
          <w:rFonts w:ascii="宋体" w:hAnsi="宋体" w:cs="宋体"/>
          <w:b/>
          <w:color w:val="auto"/>
          <w:sz w:val="24"/>
          <w:szCs w:val="24"/>
          <w:highlight w:val="none"/>
        </w:rPr>
      </w:pPr>
      <w:r/>
      <w:bookmarkStart w:id="196" w:name="_Toc426469881"/>
      <w:r/>
      <w:bookmarkStart w:id="197" w:name="_Toc468783599"/>
      <w:r>
        <w:rPr>
          <w:rFonts w:hint="eastAsia" w:ascii="宋体" w:hAnsi="宋体" w:cs="宋体"/>
          <w:b/>
          <w:color w:val="auto"/>
          <w:sz w:val="24"/>
          <w:szCs w:val="24"/>
          <w:highlight w:val="none"/>
        </w:rPr>
        <w:t xml:space="preserve">1.10 偏离</w:t>
      </w:r>
      <w:bookmarkEnd w:id="196"/>
      <w:r/>
      <w:bookmarkEnd w:id="197"/>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1.10.1 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1.10.2 偏离的具体要求见供应商须知前附表。</w:t>
      </w:r>
      <w:r/>
    </w:p>
    <w:p>
      <w:pPr>
        <w:pStyle w:val="1068"/>
        <w:spacing w:before="0" w:after="0" w:line="360" w:lineRule="auto"/>
        <w:rPr>
          <w:rFonts w:ascii="宋体" w:hAnsi="宋体" w:eastAsia="宋体" w:cs="宋体"/>
          <w:b/>
          <w:color w:val="auto"/>
          <w:sz w:val="24"/>
          <w:szCs w:val="24"/>
          <w:highlight w:val="none"/>
        </w:rPr>
      </w:pPr>
      <w:r/>
      <w:bookmarkStart w:id="198" w:name="_Toc343525517"/>
      <w:r/>
      <w:bookmarkStart w:id="199" w:name="_Toc468783600"/>
      <w:r/>
      <w:bookmarkStart w:id="200" w:name="_Toc383438604"/>
      <w:r/>
      <w:bookmarkStart w:id="201" w:name="_Toc426469882"/>
      <w:r/>
      <w:bookmarkStart w:id="202" w:name="_Toc16028"/>
      <w:r>
        <w:rPr>
          <w:rFonts w:hint="eastAsia" w:ascii="宋体" w:hAnsi="宋体" w:eastAsia="宋体" w:cs="宋体"/>
          <w:b/>
          <w:color w:val="auto"/>
          <w:sz w:val="24"/>
          <w:szCs w:val="24"/>
          <w:highlight w:val="none"/>
        </w:rPr>
        <w:t xml:space="preserve">2. 竞争性磋商文件</w:t>
      </w:r>
      <w:bookmarkEnd w:id="198"/>
      <w:r/>
      <w:bookmarkEnd w:id="199"/>
      <w:r/>
      <w:bookmarkEnd w:id="200"/>
      <w:r/>
      <w:bookmarkEnd w:id="201"/>
      <w:r/>
      <w:bookmarkEnd w:id="202"/>
      <w:r/>
      <w:r/>
    </w:p>
    <w:p>
      <w:pPr>
        <w:pStyle w:val="1070"/>
        <w:jc w:val="left"/>
        <w:spacing w:before="0" w:after="0" w:line="360" w:lineRule="auto"/>
        <w:rPr>
          <w:rFonts w:ascii="宋体" w:hAnsi="宋体" w:cs="宋体"/>
          <w:b/>
          <w:color w:val="auto"/>
          <w:sz w:val="24"/>
          <w:szCs w:val="24"/>
          <w:highlight w:val="none"/>
        </w:rPr>
      </w:pPr>
      <w:r/>
      <w:bookmarkStart w:id="203" w:name="_Toc144974511"/>
      <w:r/>
      <w:bookmarkStart w:id="204" w:name="_Toc247085702"/>
      <w:r/>
      <w:bookmarkStart w:id="205" w:name="_Toc246996188"/>
      <w:r/>
      <w:bookmarkStart w:id="206" w:name="_Toc468783601"/>
      <w:r/>
      <w:bookmarkStart w:id="207" w:name="_Toc246996931"/>
      <w:r/>
      <w:bookmarkStart w:id="208" w:name="_Toc343525518"/>
      <w:r/>
      <w:bookmarkStart w:id="209" w:name="_Toc426469883"/>
      <w:r/>
      <w:bookmarkStart w:id="210" w:name="_Toc152042319"/>
      <w:r/>
      <w:bookmarkStart w:id="211" w:name="_Toc152045543"/>
      <w:r/>
      <w:bookmarkStart w:id="212" w:name="_Toc179632561"/>
      <w:r/>
      <w:bookmarkStart w:id="213" w:name="_Toc383438605"/>
      <w:r>
        <w:rPr>
          <w:rFonts w:hint="eastAsia" w:ascii="宋体" w:hAnsi="宋体" w:cs="宋体"/>
          <w:b/>
          <w:color w:val="auto"/>
          <w:sz w:val="24"/>
          <w:szCs w:val="24"/>
          <w:highlight w:val="none"/>
        </w:rPr>
        <w:t xml:space="preserve">2.1 竞争性磋商文件的组成</w:t>
      </w:r>
      <w:bookmarkEnd w:id="203"/>
      <w:r/>
      <w:bookmarkEnd w:id="204"/>
      <w:r/>
      <w:bookmarkEnd w:id="205"/>
      <w:r/>
      <w:bookmarkEnd w:id="206"/>
      <w:r/>
      <w:bookmarkEnd w:id="207"/>
      <w:r/>
      <w:bookmarkEnd w:id="208"/>
      <w:r/>
      <w:bookmarkEnd w:id="209"/>
      <w:r/>
      <w:bookmarkEnd w:id="210"/>
      <w:r/>
      <w:bookmarkEnd w:id="211"/>
      <w:r/>
      <w:bookmarkEnd w:id="212"/>
      <w:r/>
      <w:bookmarkEnd w:id="213"/>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2.1.1 本竞争性磋商文件包括：</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（1）竞争性磋商公告；</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（2）供应商须知；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（3）评审办法；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（5）响应文件的编制和格式；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（6）供应商须知前附表规定的构成竞争性磋商文件的其他材料。</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2.1.2 根据本章第2.2款和第2.3款对竞争性磋商文件所作的澄清、修改，构成竞争性磋商文件的组成部分。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2.1.3 </w:t>
      </w:r>
      <w:r>
        <w:rPr>
          <w:rFonts w:hint="eastAsia" w:ascii="宋体" w:hAnsi="宋体" w:cs="宋体"/>
          <w:bCs/>
          <w:color w:val="auto"/>
          <w:sz w:val="24"/>
          <w:highlight w:val="none"/>
        </w:rPr>
        <w:t xml:space="preserve">供应商应认真阅读、并充分理解竞争性磋商文件的全部内容（包括所有的补充、修改内容、重要事项、格式、条款和技术规范、参数及要求等）。供应商没有对竞争性磋商文件出实质性响应将导致投标无效。</w:t>
      </w:r>
      <w:r/>
    </w:p>
    <w:p>
      <w:pPr>
        <w:pStyle w:val="1070"/>
        <w:jc w:val="left"/>
        <w:spacing w:before="0" w:after="0" w:line="360" w:lineRule="auto"/>
        <w:rPr>
          <w:rFonts w:ascii="宋体" w:hAnsi="宋体" w:cs="宋体"/>
          <w:b/>
          <w:color w:val="auto"/>
          <w:sz w:val="24"/>
          <w:szCs w:val="24"/>
          <w:highlight w:val="none"/>
        </w:rPr>
      </w:pPr>
      <w:r/>
      <w:bookmarkStart w:id="214" w:name="_Toc468783602"/>
      <w:r/>
      <w:bookmarkStart w:id="215" w:name="_Toc246996189"/>
      <w:r/>
      <w:bookmarkStart w:id="216" w:name="_Toc343525519"/>
      <w:r/>
      <w:bookmarkStart w:id="217" w:name="_Toc246996932"/>
      <w:r/>
      <w:bookmarkStart w:id="218" w:name="_Toc179632562"/>
      <w:r/>
      <w:bookmarkStart w:id="219" w:name="_Toc247085703"/>
      <w:r/>
      <w:bookmarkStart w:id="220" w:name="_Toc383438606"/>
      <w:r/>
      <w:bookmarkStart w:id="221" w:name="_Toc152042320"/>
      <w:r/>
      <w:bookmarkStart w:id="222" w:name="_Toc426469884"/>
      <w:r/>
      <w:bookmarkStart w:id="223" w:name="_Toc144974512"/>
      <w:r/>
      <w:bookmarkStart w:id="224" w:name="_Toc152045544"/>
      <w:r>
        <w:rPr>
          <w:rFonts w:hint="eastAsia" w:ascii="宋体" w:hAnsi="宋体" w:cs="宋体"/>
          <w:b/>
          <w:color w:val="auto"/>
          <w:sz w:val="24"/>
          <w:szCs w:val="24"/>
          <w:highlight w:val="none"/>
        </w:rPr>
        <w:t xml:space="preserve">2.2 竞争性磋商文件的澄清</w:t>
      </w:r>
      <w:bookmarkEnd w:id="214"/>
      <w:r/>
      <w:bookmarkEnd w:id="215"/>
      <w:r/>
      <w:bookmarkEnd w:id="216"/>
      <w:r/>
      <w:bookmarkEnd w:id="217"/>
      <w:r/>
      <w:bookmarkEnd w:id="218"/>
      <w:r/>
      <w:bookmarkEnd w:id="219"/>
      <w:r/>
      <w:bookmarkEnd w:id="220"/>
      <w:r/>
      <w:bookmarkEnd w:id="221"/>
      <w:r/>
      <w:bookmarkEnd w:id="222"/>
      <w:r/>
      <w:bookmarkEnd w:id="223"/>
      <w:r/>
      <w:bookmarkEnd w:id="224"/>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2.2.1 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2.2.2 竞争性磋商文件的澄清将在供应商须知前附表规定的投标截止时间前在原公告信息发布媒体公开发布，但不指明问题的来源。如果澄清内容影响响应文件编制的，将相应延长投标截止时间。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2.2.3 供应商未按澄清后的竞争性磋商文件编制的响应文件有可能被评标委员会否决。</w:t>
      </w:r>
      <w:r/>
    </w:p>
    <w:p>
      <w:pPr>
        <w:pStyle w:val="1070"/>
        <w:jc w:val="left"/>
        <w:spacing w:before="0" w:after="0" w:line="360" w:lineRule="auto"/>
        <w:rPr>
          <w:rFonts w:ascii="宋体" w:hAnsi="宋体" w:cs="宋体"/>
          <w:b/>
          <w:color w:val="auto"/>
          <w:sz w:val="24"/>
          <w:szCs w:val="24"/>
          <w:highlight w:val="none"/>
        </w:rPr>
      </w:pPr>
      <w:r/>
      <w:bookmarkStart w:id="225" w:name="_Toc343525520"/>
      <w:r/>
      <w:bookmarkStart w:id="226" w:name="_Toc426469885"/>
      <w:r/>
      <w:bookmarkStart w:id="227" w:name="_Toc247085704"/>
      <w:r/>
      <w:bookmarkStart w:id="228" w:name="_Toc152042321"/>
      <w:r/>
      <w:bookmarkStart w:id="229" w:name="_Toc144974513"/>
      <w:r/>
      <w:bookmarkStart w:id="230" w:name="_Toc468783603"/>
      <w:r/>
      <w:bookmarkStart w:id="231" w:name="_Toc246996933"/>
      <w:r/>
      <w:bookmarkStart w:id="232" w:name="_Toc179632563"/>
      <w:r/>
      <w:bookmarkStart w:id="233" w:name="_Toc383438607"/>
      <w:r/>
      <w:bookmarkStart w:id="234" w:name="_Toc152045545"/>
      <w:r/>
      <w:bookmarkStart w:id="235" w:name="_Toc246996190"/>
      <w:r>
        <w:rPr>
          <w:rFonts w:hint="eastAsia" w:ascii="宋体" w:hAnsi="宋体" w:cs="宋体"/>
          <w:b/>
          <w:color w:val="auto"/>
          <w:sz w:val="24"/>
          <w:szCs w:val="24"/>
          <w:highlight w:val="none"/>
        </w:rPr>
        <w:t xml:space="preserve">2.3 竞争性磋商文件的修改</w:t>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2.3.1 采购人可以修改竞争性磋商文件，修改后的内容是竞争性磋商文件的组成部分，将在原公告信息发布媒体公开发布，修改后的竞争性磋商文件内容对潜在供应商具有约束力。如果修改内容影响响应文件编制的，将相应延长投标截止时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2.3.2 潜在供应商应在投标截止时间前，关注竞争性磋商公告信息发布媒体有无补充文件信息。因潜在供应商自身原因不能及时获知补充文件信息的，采购人及采购代理机构不承担任何责任。潜在供应商未按修改后的竞争性磋商文件编制的响应文件有可能被评标委员会否决。</w:t>
      </w:r>
      <w:r/>
    </w:p>
    <w:p>
      <w:pPr>
        <w:pStyle w:val="1070"/>
        <w:jc w:val="left"/>
        <w:spacing w:before="0" w:after="0" w:line="360" w:lineRule="auto"/>
        <w:rPr>
          <w:rFonts w:ascii="宋体" w:hAnsi="宋体" w:cs="宋体"/>
          <w:b/>
          <w:color w:val="auto"/>
          <w:sz w:val="24"/>
          <w:szCs w:val="24"/>
          <w:highlight w:val="none"/>
        </w:rPr>
      </w:pPr>
      <w:r/>
      <w:bookmarkStart w:id="236" w:name="_Toc343525521"/>
      <w:r/>
      <w:bookmarkStart w:id="237" w:name="_Toc426469886"/>
      <w:r/>
      <w:bookmarkStart w:id="238" w:name="_Toc468783604"/>
      <w:r/>
      <w:bookmarkStart w:id="239" w:name="_Toc383438608"/>
      <w:r>
        <w:rPr>
          <w:rFonts w:hint="eastAsia" w:ascii="宋体" w:hAnsi="宋体" w:cs="宋体"/>
          <w:b/>
          <w:color w:val="auto"/>
          <w:sz w:val="24"/>
          <w:szCs w:val="24"/>
          <w:highlight w:val="none"/>
        </w:rPr>
        <w:t xml:space="preserve">2.4 </w:t>
      </w:r>
      <w:bookmarkEnd w:id="236"/>
      <w:r/>
      <w:bookmarkEnd w:id="237"/>
      <w:r/>
      <w:bookmarkEnd w:id="238"/>
      <w:r/>
      <w:bookmarkEnd w:id="239"/>
      <w:r>
        <w:rPr>
          <w:rFonts w:hint="eastAsia" w:ascii="宋体" w:hAnsi="宋体" w:cs="宋体"/>
          <w:b/>
          <w:color w:val="auto"/>
          <w:sz w:val="24"/>
          <w:szCs w:val="24"/>
          <w:highlight w:val="none"/>
        </w:rPr>
        <w:t xml:space="preserve">最高限价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最高限价具体金额见供应商须知前附表。</w:t>
      </w:r>
      <w:r/>
    </w:p>
    <w:p>
      <w:pPr>
        <w:pStyle w:val="1070"/>
        <w:jc w:val="left"/>
        <w:spacing w:before="0" w:after="0" w:line="360" w:lineRule="auto"/>
        <w:rPr>
          <w:rFonts w:ascii="宋体" w:hAnsi="宋体" w:cs="宋体"/>
          <w:b/>
          <w:color w:val="auto"/>
          <w:sz w:val="24"/>
          <w:szCs w:val="24"/>
          <w:highlight w:val="none"/>
        </w:rPr>
        <w:outlineLvl w:val="1"/>
      </w:pPr>
      <w:r/>
      <w:bookmarkStart w:id="240" w:name="_Toc152045546"/>
      <w:r/>
      <w:bookmarkStart w:id="241" w:name="_Toc246996934"/>
      <w:r/>
      <w:bookmarkStart w:id="242" w:name="_Toc152042322"/>
      <w:r/>
      <w:bookmarkStart w:id="243" w:name="_Toc179632564"/>
      <w:r/>
      <w:bookmarkStart w:id="244" w:name="_Toc144974514"/>
      <w:r/>
      <w:bookmarkStart w:id="245" w:name="_Toc246996191"/>
      <w:r/>
      <w:bookmarkStart w:id="246" w:name="_Toc247085705"/>
      <w:r/>
      <w:bookmarkStart w:id="247" w:name="_Toc383438609"/>
      <w:r/>
      <w:bookmarkStart w:id="248" w:name="_Toc343525522"/>
      <w:r/>
      <w:bookmarkStart w:id="249" w:name="_Toc30851"/>
      <w:r/>
      <w:bookmarkStart w:id="250" w:name="_Toc426469887"/>
      <w:r/>
      <w:bookmarkStart w:id="251" w:name="_Toc367785004"/>
      <w:r/>
      <w:bookmarkStart w:id="252" w:name="_Toc468783607"/>
      <w:r/>
      <w:bookmarkStart w:id="253" w:name="_Toc426469889"/>
      <w:r>
        <w:rPr>
          <w:rFonts w:hint="eastAsia" w:ascii="宋体" w:hAnsi="宋体" w:cs="宋体"/>
          <w:b/>
          <w:color w:val="auto"/>
          <w:sz w:val="24"/>
          <w:szCs w:val="24"/>
          <w:highlight w:val="none"/>
        </w:rPr>
        <w:t xml:space="preserve">3. </w:t>
      </w:r>
      <w:bookmarkEnd w:id="240"/>
      <w:r/>
      <w:bookmarkEnd w:id="241"/>
      <w:r/>
      <w:bookmarkEnd w:id="242"/>
      <w:r/>
      <w:bookmarkEnd w:id="243"/>
      <w:r/>
      <w:bookmarkEnd w:id="244"/>
      <w:r/>
      <w:bookmarkEnd w:id="245"/>
      <w:r/>
      <w:bookmarkEnd w:id="246"/>
      <w:r/>
      <w:bookmarkEnd w:id="247"/>
      <w:r/>
      <w:bookmarkEnd w:id="248"/>
      <w:r>
        <w:rPr>
          <w:rFonts w:hint="eastAsia" w:ascii="宋体" w:hAnsi="宋体" w:cs="宋体"/>
          <w:b/>
          <w:color w:val="auto"/>
          <w:sz w:val="24"/>
          <w:szCs w:val="24"/>
          <w:highlight w:val="none"/>
        </w:rPr>
        <w:t xml:space="preserve">响应文件</w:t>
      </w:r>
      <w:bookmarkEnd w:id="249"/>
      <w:r/>
      <w:bookmarkEnd w:id="250"/>
      <w:r/>
      <w:r/>
    </w:p>
    <w:p>
      <w:pPr>
        <w:pStyle w:val="1070"/>
        <w:jc w:val="left"/>
        <w:spacing w:before="0" w:after="0" w:line="360" w:lineRule="auto"/>
        <w:rPr>
          <w:rFonts w:ascii="宋体" w:hAnsi="宋体" w:cs="宋体"/>
          <w:b/>
          <w:bCs/>
          <w:color w:val="auto"/>
          <w:sz w:val="24"/>
          <w:szCs w:val="24"/>
          <w:highlight w:val="none"/>
        </w:rPr>
      </w:pPr>
      <w:r/>
      <w:bookmarkStart w:id="254" w:name="_Toc343525523"/>
      <w:r/>
      <w:bookmarkStart w:id="255" w:name="_Toc246996935"/>
      <w:r/>
      <w:bookmarkStart w:id="256" w:name="_Toc152042323"/>
      <w:r/>
      <w:bookmarkStart w:id="257" w:name="_Toc383438610"/>
      <w:r/>
      <w:bookmarkStart w:id="258" w:name="_Toc152045547"/>
      <w:r/>
      <w:bookmarkStart w:id="259" w:name="_Toc247085706"/>
      <w:r/>
      <w:bookmarkStart w:id="260" w:name="_Toc179632565"/>
      <w:r/>
      <w:bookmarkStart w:id="261" w:name="_Toc144974515"/>
      <w:r/>
      <w:bookmarkStart w:id="262" w:name="_Toc246996192"/>
      <w:r/>
      <w:bookmarkStart w:id="263" w:name="_Toc426469888"/>
      <w:r>
        <w:rPr>
          <w:rFonts w:hint="eastAsia" w:ascii="宋体" w:hAnsi="宋体" w:cs="宋体"/>
          <w:b/>
          <w:bCs/>
          <w:color w:val="auto"/>
          <w:sz w:val="24"/>
          <w:szCs w:val="24"/>
          <w:highlight w:val="none"/>
        </w:rPr>
        <w:t xml:space="preserve">3.1</w:t>
      </w:r>
      <w:bookmarkEnd w:id="254"/>
      <w:r/>
      <w:bookmarkEnd w:id="255"/>
      <w:r/>
      <w:bookmarkEnd w:id="256"/>
      <w:r/>
      <w:bookmarkEnd w:id="257"/>
      <w:r/>
      <w:bookmarkEnd w:id="258"/>
      <w:r/>
      <w:bookmarkEnd w:id="259"/>
      <w:r/>
      <w:bookmarkEnd w:id="260"/>
      <w:r/>
      <w:bookmarkEnd w:id="261"/>
      <w:r/>
      <w:bookmarkEnd w:id="262"/>
      <w:r>
        <w:rPr>
          <w:rFonts w:hint="eastAsia" w:ascii="宋体" w:hAnsi="宋体" w:cs="宋体"/>
          <w:b/>
          <w:bCs/>
          <w:color w:val="auto"/>
          <w:sz w:val="24"/>
          <w:szCs w:val="24"/>
          <w:highlight w:val="none"/>
        </w:rPr>
        <w:t xml:space="preserve"> 响应文件的构成</w:t>
      </w:r>
      <w:bookmarkEnd w:id="263"/>
      <w:r/>
      <w:r/>
    </w:p>
    <w:p>
      <w:pPr>
        <w:pStyle w:val="1178"/>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（1）磋商报价表</w:t>
      </w:r>
      <w:r/>
    </w:p>
    <w:p>
      <w:pPr>
        <w:pStyle w:val="1178"/>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（2）响应函及附录</w:t>
      </w:r>
      <w:r/>
    </w:p>
    <w:p>
      <w:pPr>
        <w:pStyle w:val="1178"/>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（3）资格及资信证明文件</w:t>
      </w:r>
      <w:r/>
    </w:p>
    <w:p>
      <w:pPr>
        <w:pStyle w:val="1178"/>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）采购需求响应表</w:t>
      </w:r>
      <w:r/>
    </w:p>
    <w:p>
      <w:pPr>
        <w:pStyle w:val="1178"/>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）供应商综合实力证明文件</w:t>
      </w:r>
      <w:r/>
    </w:p>
    <w:p>
      <w:pPr>
        <w:pStyle w:val="1178"/>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）技术标</w:t>
      </w:r>
      <w:r/>
    </w:p>
    <w:p>
      <w:pPr>
        <w:pStyle w:val="1178"/>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）根据评标办法应列入响应文件的其他材料</w:t>
      </w:r>
      <w:r/>
    </w:p>
    <w:p>
      <w:pPr>
        <w:pStyle w:val="1070"/>
        <w:jc w:val="left"/>
        <w:spacing w:before="0" w:after="0"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3.2</w:t>
      </w:r>
      <w:bookmarkEnd w:id="251"/>
      <w:r>
        <w:rPr>
          <w:rFonts w:hint="eastAsia" w:ascii="宋体" w:hAnsi="宋体" w:cs="宋体"/>
          <w:b/>
          <w:color w:val="auto"/>
          <w:sz w:val="24"/>
          <w:szCs w:val="24"/>
          <w:highlight w:val="none"/>
        </w:rPr>
        <w:t xml:space="preserve"> </w:t>
      </w:r>
      <w:r>
        <w:rPr>
          <w:rFonts w:hint="eastAsia" w:ascii="宋体" w:hAnsi="宋体" w:cs="宋体"/>
          <w:b/>
          <w:bCs/>
          <w:color w:val="auto"/>
          <w:sz w:val="24"/>
          <w:szCs w:val="24"/>
          <w:highlight w:val="none"/>
        </w:rPr>
        <w:t xml:space="preserve">报价</w:t>
      </w:r>
      <w:bookmarkEnd w:id="252"/>
      <w:r/>
      <w:bookmarkEnd w:id="253"/>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3.2.1 供应商应按竞争性磋商文件规定的技术和商务要求、责任范围和合同条件，以人民币进行报价。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3.2.2 供应商只允许有一个报价，不接受选择性报价，否则，在评标时将其视为无效投标。</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3.2.3 供应商的报价不得超过采购项目最高限价。</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 供应商无须编制已标价的工程量清单报价文件，按照预算价总价下浮报价，结算时各单价直接将预算价按照</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highlight w:val="none"/>
          <w:lang w:val="en-US" w:eastAsia="zh-CN"/>
        </w:rPr>
        <w:t xml:space="preserve">下浮率（特指实际下浮率，暂列金额、专业工程暂估价等不可竞争费用不下浮）同步下浮执行。结算时以审计后的实际工程量为准，按实结算。</w:t>
      </w:r>
      <w:r/>
    </w:p>
    <w:p>
      <w:pPr>
        <w:ind w:firstLine="480"/>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3.2.5 本项目合同价格形式见供应商须知前附表，各供应商的投标报价应充分考虑“合同条款及格式”所列合同价格风险。</w:t>
      </w:r>
      <w:r/>
    </w:p>
    <w:p>
      <w:pPr>
        <w:pStyle w:val="1070"/>
        <w:jc w:val="left"/>
        <w:spacing w:before="0" w:after="0" w:line="360" w:lineRule="auto"/>
        <w:rPr>
          <w:rFonts w:ascii="宋体" w:hAnsi="宋体" w:cs="宋体"/>
          <w:b/>
          <w:color w:val="auto"/>
          <w:sz w:val="24"/>
          <w:szCs w:val="24"/>
          <w:highlight w:val="none"/>
        </w:rPr>
      </w:pPr>
      <w:r/>
      <w:bookmarkStart w:id="264" w:name="_Toc468783608"/>
      <w:r/>
      <w:bookmarkStart w:id="265" w:name="_Toc247085708"/>
      <w:r/>
      <w:bookmarkStart w:id="266" w:name="_Toc152045549"/>
      <w:r/>
      <w:bookmarkStart w:id="267" w:name="_Toc152042325"/>
      <w:r/>
      <w:bookmarkStart w:id="268" w:name="_Toc179632567"/>
      <w:r/>
      <w:bookmarkStart w:id="269" w:name="_Toc343525525"/>
      <w:r/>
      <w:bookmarkStart w:id="270" w:name="_Toc426469890"/>
      <w:r/>
      <w:bookmarkStart w:id="271" w:name="_Toc246996937"/>
      <w:r/>
      <w:bookmarkStart w:id="272" w:name="_Toc246996194"/>
      <w:r/>
      <w:bookmarkStart w:id="273" w:name="_Toc383438612"/>
      <w:r/>
      <w:bookmarkStart w:id="274" w:name="_Toc144974517"/>
      <w:r>
        <w:rPr>
          <w:rFonts w:hint="eastAsia" w:ascii="宋体" w:hAnsi="宋体" w:cs="宋体"/>
          <w:b/>
          <w:color w:val="auto"/>
          <w:sz w:val="24"/>
          <w:szCs w:val="24"/>
          <w:highlight w:val="none"/>
        </w:rPr>
        <w:t xml:space="preserve">3.3 响应有效期</w:t>
      </w:r>
      <w:bookmarkEnd w:id="264"/>
      <w:r/>
      <w:bookmarkEnd w:id="265"/>
      <w:r/>
      <w:bookmarkEnd w:id="266"/>
      <w:r/>
      <w:bookmarkEnd w:id="267"/>
      <w:r/>
      <w:bookmarkEnd w:id="268"/>
      <w:r/>
      <w:bookmarkEnd w:id="269"/>
      <w:r/>
      <w:bookmarkEnd w:id="270"/>
      <w:r/>
      <w:bookmarkEnd w:id="271"/>
      <w:r/>
      <w:bookmarkEnd w:id="272"/>
      <w:r/>
      <w:bookmarkEnd w:id="273"/>
      <w:r/>
      <w:bookmarkEnd w:id="274"/>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3.3.1 在供应商须知前附表规定的响应有效期内，供应商不得要求撤销或修改其响应文件。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3.3.2 出现特殊情况需要延长响应有效期的，采购人以书面形式通知所有供应商。供应商同意延长的，但不得要求或被允许修改或撤销其响应文件；供应商拒绝延长的，其响应文件失效。</w:t>
      </w:r>
      <w:r/>
    </w:p>
    <w:p>
      <w:pPr>
        <w:pStyle w:val="1070"/>
        <w:jc w:val="left"/>
        <w:spacing w:before="0" w:after="0" w:line="360" w:lineRule="auto"/>
        <w:rPr>
          <w:rFonts w:ascii="宋体" w:hAnsi="宋体" w:cs="宋体"/>
          <w:b/>
          <w:color w:val="auto"/>
          <w:sz w:val="24"/>
          <w:szCs w:val="24"/>
          <w:highlight w:val="none"/>
        </w:rPr>
      </w:pPr>
      <w:r/>
      <w:bookmarkStart w:id="275" w:name="_Toc152042326"/>
      <w:r/>
      <w:bookmarkStart w:id="276" w:name="_Toc152045550"/>
      <w:r/>
      <w:bookmarkStart w:id="277" w:name="_Toc144974518"/>
      <w:r/>
      <w:bookmarkStart w:id="278" w:name="_Toc468783609"/>
      <w:r/>
      <w:bookmarkStart w:id="279" w:name="_Toc343525526"/>
      <w:r/>
      <w:bookmarkStart w:id="280" w:name="_Toc247085709"/>
      <w:r/>
      <w:bookmarkStart w:id="281" w:name="_Toc246996195"/>
      <w:r/>
      <w:bookmarkStart w:id="282" w:name="_Toc383438613"/>
      <w:r/>
      <w:bookmarkStart w:id="283" w:name="_Toc246996938"/>
      <w:r/>
      <w:bookmarkStart w:id="284" w:name="_Toc179632568"/>
      <w:r/>
      <w:bookmarkStart w:id="285" w:name="_Toc426469891"/>
      <w:r>
        <w:rPr>
          <w:rFonts w:hint="eastAsia" w:ascii="宋体" w:hAnsi="宋体" w:cs="宋体"/>
          <w:b/>
          <w:color w:val="auto"/>
          <w:sz w:val="24"/>
          <w:szCs w:val="24"/>
          <w:highlight w:val="none"/>
        </w:rPr>
        <w:t xml:space="preserve">3.4 磋商保证金</w:t>
      </w:r>
      <w:bookmarkEnd w:id="275"/>
      <w:r/>
      <w:bookmarkEnd w:id="276"/>
      <w:r/>
      <w:bookmarkEnd w:id="277"/>
      <w:r/>
      <w:bookmarkEnd w:id="278"/>
      <w:r/>
      <w:bookmarkEnd w:id="279"/>
      <w:r/>
      <w:bookmarkEnd w:id="280"/>
      <w:r/>
      <w:bookmarkEnd w:id="281"/>
      <w:r/>
      <w:bookmarkEnd w:id="282"/>
      <w:r/>
      <w:bookmarkEnd w:id="283"/>
      <w:r/>
      <w:bookmarkEnd w:id="284"/>
      <w:r/>
      <w:bookmarkEnd w:id="28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见供应商须知前附表。</w:t>
      </w:r>
      <w:r/>
    </w:p>
    <w:p>
      <w:pPr>
        <w:pStyle w:val="1070"/>
        <w:jc w:val="left"/>
        <w:spacing w:before="0" w:after="0" w:line="360" w:lineRule="auto"/>
        <w:rPr>
          <w:rFonts w:ascii="宋体" w:hAnsi="宋体" w:cs="宋体"/>
          <w:b/>
          <w:color w:val="auto"/>
          <w:sz w:val="24"/>
          <w:szCs w:val="24"/>
          <w:highlight w:val="none"/>
        </w:rPr>
      </w:pPr>
      <w:r/>
      <w:bookmarkStart w:id="286" w:name="_Toc468783610"/>
      <w:r/>
      <w:bookmarkStart w:id="287" w:name="_Toc426469892"/>
      <w:r>
        <w:rPr>
          <w:rFonts w:hint="eastAsia" w:ascii="宋体" w:hAnsi="宋体" w:cs="宋体"/>
          <w:b/>
          <w:color w:val="auto"/>
          <w:sz w:val="24"/>
          <w:szCs w:val="24"/>
          <w:highlight w:val="none"/>
        </w:rPr>
        <w:t xml:space="preserve">3.5 响应文件的编制</w:t>
      </w:r>
      <w:bookmarkEnd w:id="286"/>
      <w:r/>
      <w:bookmarkEnd w:id="287"/>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3.5.1 响应文件的编制应按第</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章“响应文件的编制和格式”要求进行编制，供应商需另行增加的，应将相关内容和材料编入响应文件相应章节，作为响应文件的组成部分。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3.5.2 响应文件应当对竞争性磋商文件有关合同工期、响应有效期、采购需求、招标范围等实质性内容作出响应。</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3.5.3 响应文件中涉及到的相关的资质、资格、业绩等材料，应按第</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章“响应文件的编制和格式”规定的方式编入响应文件。</w:t>
      </w:r>
      <w:r/>
    </w:p>
    <w:p>
      <w:pPr>
        <w:pStyle w:val="1070"/>
        <w:jc w:val="left"/>
        <w:spacing w:before="0" w:after="0" w:line="360" w:lineRule="auto"/>
        <w:rPr>
          <w:rFonts w:ascii="宋体" w:hAnsi="宋体" w:cs="宋体"/>
          <w:b/>
          <w:color w:val="auto"/>
          <w:sz w:val="24"/>
          <w:szCs w:val="24"/>
          <w:highlight w:val="none"/>
        </w:rPr>
      </w:pPr>
      <w:r/>
      <w:bookmarkStart w:id="288" w:name="_Toc468783611"/>
      <w:r/>
      <w:bookmarkStart w:id="289" w:name="_Toc367785014"/>
      <w:r/>
      <w:bookmarkStart w:id="290" w:name="_Toc426469893"/>
      <w:r>
        <w:rPr>
          <w:rFonts w:hint="eastAsia" w:ascii="宋体" w:hAnsi="宋体" w:cs="宋体"/>
          <w:b/>
          <w:color w:val="auto"/>
          <w:sz w:val="24"/>
          <w:szCs w:val="24"/>
          <w:highlight w:val="none"/>
        </w:rPr>
        <w:t xml:space="preserve">3.6 </w:t>
      </w:r>
      <w:bookmarkEnd w:id="288"/>
      <w:r/>
      <w:bookmarkEnd w:id="289"/>
      <w:r/>
      <w:bookmarkEnd w:id="290"/>
      <w:r>
        <w:rPr>
          <w:rFonts w:hint="eastAsia" w:ascii="宋体" w:hAnsi="宋体" w:cs="宋体"/>
          <w:b/>
          <w:color w:val="auto"/>
          <w:sz w:val="24"/>
          <w:szCs w:val="24"/>
          <w:highlight w:val="none"/>
        </w:rPr>
        <w:t xml:space="preserve">响应文件的数量和签署</w:t>
      </w:r>
      <w:r/>
    </w:p>
    <w:p>
      <w:pPr>
        <w:ind w:firstLine="480"/>
        <w:jc w:val="left"/>
        <w:spacing w:line="360" w:lineRule="auto"/>
        <w:tabs>
          <w:tab w:val="left" w:pos="-1980" w:leader="none"/>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3.6.1 响应文件的数量见供应商须知前附表。</w:t>
      </w:r>
      <w:r/>
    </w:p>
    <w:p>
      <w:pPr>
        <w:ind w:firstLine="480"/>
        <w:jc w:val="left"/>
        <w:spacing w:line="360" w:lineRule="auto"/>
        <w:tabs>
          <w:tab w:val="left" w:pos="-1980" w:leader="none"/>
          <w:tab w:val="left" w:pos="36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3.6.2 响应文件的签署：</w:t>
      </w:r>
      <w:r>
        <w:rPr>
          <w:rFonts w:hint="eastAsia" w:ascii="宋体" w:hAnsi="宋体" w:cs="宋体"/>
          <w:color w:val="auto"/>
          <w:sz w:val="24"/>
          <w:highlight w:val="none"/>
        </w:rPr>
        <w:t xml:space="preserve">响应函、承诺书、中小企业声明函（若需）及其他第六章“响应文件的编制和格式”中要求签字、盖章处须加盖供应商法人章并经法定代表人或经其授权的代表签字或签章。授权代表签字或签章时，须将《法定代表人授权书》及其附件编制在响应文件中。响应文件中的任何重要的插字、涂改和增删，修改处须有法定代表人或经其授权的代表的签章或签字。</w:t>
      </w:r>
      <w:r/>
    </w:p>
    <w:p>
      <w:pPr>
        <w:pStyle w:val="1070"/>
        <w:jc w:val="left"/>
        <w:spacing w:before="0" w:after="0" w:line="360" w:lineRule="auto"/>
        <w:rPr>
          <w:rFonts w:ascii="宋体" w:hAnsi="宋体" w:cs="宋体"/>
          <w:b/>
          <w:color w:val="auto"/>
          <w:sz w:val="24"/>
          <w:szCs w:val="24"/>
          <w:highlight w:val="none"/>
        </w:rPr>
      </w:pPr>
      <w:r/>
      <w:bookmarkStart w:id="291" w:name="_Toc152042332"/>
      <w:r/>
      <w:bookmarkStart w:id="292" w:name="_Toc246996943"/>
      <w:r/>
      <w:bookmarkStart w:id="293" w:name="_Toc383438618"/>
      <w:r/>
      <w:bookmarkStart w:id="294" w:name="_Toc152045556"/>
      <w:r/>
      <w:bookmarkStart w:id="295" w:name="_Toc144974524"/>
      <w:r/>
      <w:bookmarkStart w:id="296" w:name="_Toc343525530"/>
      <w:r/>
      <w:bookmarkStart w:id="297" w:name="_Toc179632574"/>
      <w:r/>
      <w:bookmarkStart w:id="298" w:name="_Toc246996200"/>
      <w:r/>
      <w:bookmarkStart w:id="299" w:name="_Toc426469896"/>
      <w:r/>
      <w:bookmarkStart w:id="300" w:name="_Toc468783614"/>
      <w:r/>
      <w:bookmarkStart w:id="301" w:name="_Toc247085714"/>
      <w:r>
        <w:rPr>
          <w:rFonts w:hint="eastAsia" w:ascii="宋体" w:hAnsi="宋体" w:cs="宋体"/>
          <w:b/>
          <w:color w:val="auto"/>
          <w:sz w:val="24"/>
          <w:szCs w:val="24"/>
          <w:highlight w:val="none"/>
          <w:lang w:val="en-US" w:eastAsia="zh-CN"/>
        </w:rPr>
        <w:t xml:space="preserve">3.7</w:t>
      </w:r>
      <w:r>
        <w:rPr>
          <w:rFonts w:hint="eastAsia" w:ascii="宋体" w:hAnsi="宋体" w:cs="宋体"/>
          <w:b/>
          <w:color w:val="auto"/>
          <w:sz w:val="24"/>
          <w:szCs w:val="24"/>
          <w:highlight w:val="none"/>
        </w:rPr>
        <w:t xml:space="preserve">响应文件的递交</w:t>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480"/>
        <w:spacing w:line="360" w:lineRule="auto"/>
        <w:rPr>
          <w:rFonts w:ascii="宋体" w:hAnsi="宋体" w:cs="宋体"/>
          <w:color w:val="auto"/>
          <w:sz w:val="24"/>
          <w:highlight w:val="none"/>
        </w:rPr>
      </w:pPr>
      <w:r/>
      <w:bookmarkStart w:id="302" w:name="_Toc152045557"/>
      <w:r/>
      <w:bookmarkStart w:id="303" w:name="_Toc383438619"/>
      <w:r/>
      <w:bookmarkStart w:id="304" w:name="_Toc179632575"/>
      <w:r/>
      <w:bookmarkStart w:id="305" w:name="_Toc152042333"/>
      <w:r/>
      <w:bookmarkStart w:id="306" w:name="_Toc246996201"/>
      <w:r/>
      <w:bookmarkStart w:id="307" w:name="_Toc343525531"/>
      <w:r/>
      <w:bookmarkStart w:id="308" w:name="_Toc246996944"/>
      <w:r/>
      <w:bookmarkStart w:id="309" w:name="_Toc144974525"/>
      <w:r/>
      <w:bookmarkStart w:id="310" w:name="_Toc247085715"/>
      <w:r>
        <w:rPr>
          <w:rFonts w:hint="eastAsia" w:ascii="宋体" w:hAnsi="宋体" w:cs="宋体"/>
          <w:color w:val="auto"/>
          <w:sz w:val="24"/>
          <w:highlight w:val="none"/>
        </w:rPr>
        <w:t xml:space="preserve">供应商应充分考虑网络及系统平台可能存在的非正常情况等各种风险因素，在磋商文件规定的提交首次响应文件响应截止时间前，通过江苏省政府采购管理交易系统（苏采云），完成响应文件的上传。在磋商文件规定的响应截止时间后，江苏省政府采购管理交易系统（苏采云）将不再接受响应文件的上传。</w:t>
      </w:r>
      <w:r/>
    </w:p>
    <w:p>
      <w:pPr>
        <w:pStyle w:val="1070"/>
        <w:jc w:val="left"/>
        <w:spacing w:before="0" w:after="0"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3.8</w:t>
      </w:r>
      <w:r>
        <w:rPr>
          <w:rFonts w:hint="eastAsia" w:ascii="宋体" w:hAnsi="宋体" w:cs="宋体"/>
          <w:b/>
          <w:color w:val="auto"/>
          <w:sz w:val="24"/>
          <w:szCs w:val="24"/>
          <w:highlight w:val="none"/>
        </w:rPr>
        <w:t xml:space="preserve">响应文件的修改与撤回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在响应截止时间前，供应商可以修改或撤回已递交的响应文件。具体操作方法见《江苏省政府采购管理交易系统（苏采云）供应商操作手册》。修改的响应文件应按照本招标文件规定进行编制和重新上传。</w:t>
      </w:r>
      <w:r/>
    </w:p>
    <w:p>
      <w:pPr>
        <w:pStyle w:val="1070"/>
        <w:jc w:val="left"/>
        <w:spacing w:before="0"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3.9响应文件的确认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供应商可以通过江苏省政府采购管理交易系统（苏采云）多次上传响应文件，以磋商文件规定的响应截止时间前，江苏省政府采购管理交易系统（苏采云）接受到的最后一份响应文件为准。</w:t>
      </w:r>
      <w:bookmarkEnd w:id="114"/>
      <w:r/>
      <w:bookmarkEnd w:id="302"/>
      <w:r/>
      <w:bookmarkEnd w:id="303"/>
      <w:r/>
      <w:bookmarkEnd w:id="304"/>
      <w:r/>
      <w:bookmarkEnd w:id="305"/>
      <w:r/>
      <w:bookmarkEnd w:id="306"/>
      <w:r/>
      <w:bookmarkEnd w:id="307"/>
      <w:r/>
      <w:bookmarkEnd w:id="308"/>
      <w:r/>
      <w:bookmarkEnd w:id="309"/>
      <w:r/>
      <w:bookmarkEnd w:id="310"/>
      <w:r/>
      <w:r/>
    </w:p>
    <w:p>
      <w:pPr>
        <w:pStyle w:val="1070"/>
        <w:jc w:val="left"/>
        <w:spacing w:before="0" w:after="0"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3.10响应文件的拒收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在磋商文件规定</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提交首次响应文件截止时间后，江苏省政府采购管理交易系统（苏采云）将不再接受响应文件的上传。</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 响应文件的开启</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4.1 响应文件的开启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4.1.1响应文件的开启将在“苏采云”系统“开标大厅”内公开进行，供应商应当按照《江苏省政府采购管理交易系统（苏采云）供应商操作手册》规定参加，并在规定的时间内解密响应文件。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4.2 特殊情况的处置</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4.2.1在提交响应文件截止时间后，不见面开标系统出现下列情况之一时，响应文件未开启的，暂停开启活动；正在开启的，立即暂停，待系统恢复正常后再组织。</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（1）系统服务器发生故障，无法访问或无法使用系统；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（2）系统的软件或数据库出现错误，不能进行正常操作；</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（3）系统发现有安全漏洞，有潜在的泄密危险；</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（4）其他无法保证信息安全的情形。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4.2.2因供应商自身原因造成响应文件无法解密的，视为撤销响应文件。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4.2.3供应商对响应文件开启活动或开启结果等有疑义的，可向采购人提出。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4.2.4供应商未在系统中确认开启结果的，视同认可开启结果。</w:t>
      </w:r>
      <w:r/>
    </w:p>
    <w:p>
      <w:pPr>
        <w:pStyle w:val="1068"/>
        <w:numPr>
          <w:ilvl w:val="0"/>
          <w:numId w:val="1"/>
        </w:numPr>
        <w:spacing w:before="0" w:after="0" w:line="360" w:lineRule="auto"/>
        <w:rPr>
          <w:rFonts w:ascii="宋体" w:hAnsi="宋体" w:eastAsia="宋体" w:cs="宋体"/>
          <w:b/>
          <w:color w:val="auto"/>
          <w:sz w:val="24"/>
          <w:szCs w:val="24"/>
          <w:highlight w:val="none"/>
        </w:rPr>
      </w:pPr>
      <w:r/>
      <w:bookmarkStart w:id="311" w:name="_Toc8637"/>
      <w:r>
        <w:rPr>
          <w:rFonts w:hint="eastAsia" w:ascii="宋体" w:hAnsi="宋体" w:eastAsia="宋体" w:cs="宋体"/>
          <w:b/>
          <w:color w:val="auto"/>
          <w:sz w:val="24"/>
          <w:szCs w:val="24"/>
          <w:highlight w:val="none"/>
        </w:rPr>
        <w:t xml:space="preserve">响应文件的评审</w:t>
      </w:r>
      <w:bookmarkEnd w:id="311"/>
      <w:r/>
      <w:r/>
    </w:p>
    <w:p>
      <w:pPr>
        <w:pStyle w:val="1070"/>
        <w:jc w:val="left"/>
        <w:spacing w:before="0" w:after="0" w:line="360" w:lineRule="auto"/>
        <w:rPr>
          <w:rFonts w:ascii="宋体" w:hAnsi="宋体" w:cs="宋体"/>
          <w:b/>
          <w:color w:val="auto"/>
          <w:sz w:val="24"/>
          <w:szCs w:val="24"/>
          <w:highlight w:val="none"/>
        </w:rPr>
      </w:pPr>
      <w:r/>
      <w:bookmarkStart w:id="312" w:name="_Toc383438626"/>
      <w:r/>
      <w:bookmarkStart w:id="313" w:name="_Toc152045563"/>
      <w:r/>
      <w:bookmarkStart w:id="314" w:name="_Toc246996950"/>
      <w:r/>
      <w:bookmarkStart w:id="315" w:name="_Toc144974531"/>
      <w:r/>
      <w:bookmarkStart w:id="316" w:name="_Toc152042339"/>
      <w:r/>
      <w:bookmarkStart w:id="317" w:name="_Toc179632581"/>
      <w:r/>
      <w:bookmarkStart w:id="318" w:name="_Toc426469903"/>
      <w:r/>
      <w:bookmarkStart w:id="319" w:name="_Toc246996207"/>
      <w:r/>
      <w:bookmarkStart w:id="320" w:name="_Toc247085721"/>
      <w:r/>
      <w:bookmarkStart w:id="321" w:name="_Toc468783621"/>
      <w:r/>
      <w:bookmarkStart w:id="322" w:name="_Toc343525538"/>
      <w:r>
        <w:rPr>
          <w:rFonts w:hint="eastAsia" w:ascii="宋体" w:hAnsi="宋体" w:cs="宋体"/>
          <w:b/>
          <w:color w:val="auto"/>
          <w:sz w:val="24"/>
          <w:szCs w:val="24"/>
          <w:highlight w:val="none"/>
        </w:rPr>
        <w:t xml:space="preserve">5.</w:t>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磋商小组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 评审由采购人依法组建的磋商小组负责。磋商小组由采购人代表，以及有关方面的专家组成。具体人数见供应商须知前附表。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.2 磋商小组成员有下列情形之一的，应当回避：</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（1）供应商或供应商主要负责人的近亲属；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（2）项目主管部门或者行政监督部门的人员；</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（3）与供应商有经济利益关系；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（4）曾因在招标、评标以及其他与招标投标有关活动中从事违法行为而受过行政处罚或刑事处罚的；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（5）与供应商有其他利害关系。</w:t>
      </w:r>
      <w:r/>
    </w:p>
    <w:p>
      <w:pPr>
        <w:pStyle w:val="1070"/>
        <w:jc w:val="left"/>
        <w:spacing w:before="0" w:after="0" w:line="360" w:lineRule="auto"/>
        <w:rPr>
          <w:rFonts w:ascii="宋体" w:hAnsi="宋体" w:cs="宋体"/>
          <w:b/>
          <w:color w:val="auto"/>
          <w:sz w:val="24"/>
          <w:szCs w:val="24"/>
          <w:highlight w:val="none"/>
        </w:rPr>
      </w:pPr>
      <w:r/>
      <w:bookmarkStart w:id="323" w:name="_Toc247085722"/>
      <w:r/>
      <w:bookmarkStart w:id="324" w:name="_Toc246996951"/>
      <w:r/>
      <w:bookmarkStart w:id="325" w:name="_Toc152042340"/>
      <w:r/>
      <w:bookmarkStart w:id="326" w:name="_Toc343525539"/>
      <w:r/>
      <w:bookmarkStart w:id="327" w:name="_Toc383438627"/>
      <w:r/>
      <w:bookmarkStart w:id="328" w:name="_Toc468783622"/>
      <w:r/>
      <w:bookmarkStart w:id="329" w:name="_Toc426469904"/>
      <w:r/>
      <w:bookmarkStart w:id="330" w:name="_Toc179632582"/>
      <w:r/>
      <w:bookmarkStart w:id="331" w:name="_Toc144974532"/>
      <w:r/>
      <w:bookmarkStart w:id="332" w:name="_Toc152045564"/>
      <w:r/>
      <w:bookmarkStart w:id="333" w:name="_Toc246996208"/>
      <w:r>
        <w:rPr>
          <w:rFonts w:hint="eastAsia" w:ascii="宋体" w:hAnsi="宋体" w:cs="宋体"/>
          <w:b/>
          <w:color w:val="auto"/>
          <w:sz w:val="24"/>
          <w:szCs w:val="24"/>
          <w:highlight w:val="none"/>
        </w:rPr>
        <w:t xml:space="preserve">5.</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 评审</w:t>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.1磋商小组将本着公平、公正、审慎的原则，严格按照法律法规和采购文件要求与各供应商进行评审。</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.2磋商小组按照第三章“评审办法”规定的方法、评审因素、标准和程序对响应文件进行评审。第三章“评审办法”没有规定的方法、评审因素和标准，不得作为评审依据。</w:t>
      </w:r>
      <w:r/>
    </w:p>
    <w:p>
      <w:pPr>
        <w:pStyle w:val="1068"/>
        <w:spacing w:before="0" w:after="0" w:line="360" w:lineRule="auto"/>
        <w:rPr>
          <w:rFonts w:ascii="宋体" w:hAnsi="宋体" w:eastAsia="宋体" w:cs="宋体"/>
          <w:b/>
          <w:color w:val="auto"/>
          <w:sz w:val="24"/>
          <w:szCs w:val="24"/>
          <w:highlight w:val="none"/>
        </w:rPr>
      </w:pPr>
      <w:r/>
      <w:bookmarkStart w:id="334" w:name="_Toc383438629"/>
      <w:r/>
      <w:bookmarkStart w:id="335" w:name="_Toc468783624"/>
      <w:r/>
      <w:bookmarkStart w:id="336" w:name="_Toc426469906"/>
      <w:r/>
      <w:bookmarkStart w:id="337" w:name="_Toc26223"/>
      <w:r>
        <w:rPr>
          <w:rFonts w:hint="eastAsia" w:ascii="宋体" w:hAnsi="宋体" w:eastAsia="宋体" w:cs="宋体"/>
          <w:b/>
          <w:color w:val="auto"/>
          <w:sz w:val="24"/>
          <w:szCs w:val="24"/>
          <w:highlight w:val="none"/>
        </w:rPr>
        <w:t xml:space="preserve">6. </w:t>
      </w:r>
      <w:bookmarkEnd w:id="334"/>
      <w:r/>
      <w:bookmarkEnd w:id="335"/>
      <w:r/>
      <w:bookmarkEnd w:id="336"/>
      <w:r>
        <w:rPr>
          <w:rFonts w:hint="eastAsia" w:ascii="宋体" w:hAnsi="宋体" w:eastAsia="宋体" w:cs="宋体"/>
          <w:b/>
          <w:color w:val="auto"/>
          <w:sz w:val="24"/>
          <w:szCs w:val="24"/>
          <w:highlight w:val="none"/>
        </w:rPr>
        <w:t xml:space="preserve">确定成交人</w:t>
      </w:r>
      <w:bookmarkEnd w:id="337"/>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6.1</w:t>
      </w:r>
      <w:r>
        <w:rPr>
          <w:rFonts w:hint="eastAsia" w:ascii="宋体" w:hAnsi="宋体" w:cs="宋体"/>
          <w:color w:val="auto"/>
          <w:sz w:val="24"/>
          <w:highlight w:val="none"/>
        </w:rPr>
        <w:t xml:space="preserve">采购人根据评审报告，确定排名第一的成交候选人为成交人。排名第一的成交候选人出现下列情形之一的，采购人将按照磋商小组提出的</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highlight w:val="none"/>
        </w:rPr>
        <w:t xml:space="preserve">候选人名单排序依次确定其他成交候选人为成交人。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（1）因不可抗力或者自身原因不能履行合同的；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（2）财政部门经过处理投诉举报、监督检查，认定</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highlight w:val="none"/>
        </w:rPr>
        <w:t xml:space="preserve">结果无效的；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highlight w:val="none"/>
        </w:rPr>
        <w:t xml:space="preserve">人拒绝与采购人签订合同的。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6.2自成交人确定之日起2个工作日内，采购人将在供应商须知前附表规定的媒介上公告成交结果，并同时发出成交通知书。成交通知书对采购人和成交人具有同等法律效力。</w:t>
      </w:r>
      <w:r/>
    </w:p>
    <w:p>
      <w:pPr>
        <w:pStyle w:val="1068"/>
        <w:spacing w:before="0" w:after="0" w:line="360" w:lineRule="auto"/>
        <w:rPr>
          <w:rFonts w:ascii="宋体" w:hAnsi="宋体" w:eastAsia="宋体" w:cs="宋体"/>
          <w:b/>
          <w:color w:val="auto"/>
          <w:sz w:val="24"/>
          <w:szCs w:val="24"/>
          <w:highlight w:val="none"/>
        </w:rPr>
      </w:pPr>
      <w:r/>
      <w:bookmarkStart w:id="338" w:name="_Toc426469908"/>
      <w:r/>
      <w:bookmarkStart w:id="339" w:name="_Toc383438634"/>
      <w:r/>
      <w:bookmarkStart w:id="340" w:name="_Toc343525548"/>
      <w:r/>
      <w:bookmarkStart w:id="341" w:name="_Toc18342"/>
      <w:r/>
      <w:bookmarkStart w:id="342" w:name="_Toc468783626"/>
      <w:r>
        <w:rPr>
          <w:rFonts w:hint="eastAsia" w:ascii="宋体" w:hAnsi="宋体" w:eastAsia="宋体" w:cs="宋体"/>
          <w:b/>
          <w:color w:val="auto"/>
          <w:sz w:val="24"/>
          <w:szCs w:val="24"/>
          <w:highlight w:val="none"/>
        </w:rPr>
        <w:t xml:space="preserve">7. 合同</w:t>
      </w:r>
      <w:bookmarkEnd w:id="338"/>
      <w:r/>
      <w:bookmarkEnd w:id="339"/>
      <w:r/>
      <w:bookmarkEnd w:id="340"/>
      <w:r/>
      <w:bookmarkEnd w:id="341"/>
      <w:r/>
      <w:bookmarkEnd w:id="342"/>
      <w:r/>
      <w:r/>
    </w:p>
    <w:p>
      <w:pPr>
        <w:pStyle w:val="1070"/>
        <w:jc w:val="left"/>
        <w:spacing w:before="0" w:after="0" w:line="360" w:lineRule="auto"/>
        <w:rPr>
          <w:rFonts w:ascii="宋体" w:hAnsi="宋体" w:cs="宋体"/>
          <w:b/>
          <w:color w:val="auto"/>
          <w:sz w:val="24"/>
          <w:szCs w:val="24"/>
          <w:highlight w:val="none"/>
        </w:rPr>
      </w:pPr>
      <w:r/>
      <w:bookmarkStart w:id="343" w:name="_Toc323716652"/>
      <w:r/>
      <w:bookmarkStart w:id="344" w:name="_Toc343525549"/>
      <w:r/>
      <w:bookmarkStart w:id="345" w:name="_Toc426469909"/>
      <w:r/>
      <w:bookmarkStart w:id="346" w:name="_Toc468783627"/>
      <w:r/>
      <w:bookmarkStart w:id="347" w:name="_Toc383438635"/>
      <w:r>
        <w:rPr>
          <w:rFonts w:hint="eastAsia" w:ascii="宋体" w:hAnsi="宋体" w:cs="宋体"/>
          <w:b/>
          <w:color w:val="auto"/>
          <w:sz w:val="24"/>
          <w:szCs w:val="24"/>
          <w:highlight w:val="none"/>
        </w:rPr>
        <w:t xml:space="preserve">7.1 履约</w:t>
      </w:r>
      <w:bookmarkEnd w:id="343"/>
      <w:r/>
      <w:bookmarkEnd w:id="344"/>
      <w:r>
        <w:rPr>
          <w:rFonts w:hint="eastAsia" w:ascii="宋体" w:hAnsi="宋体" w:cs="宋体"/>
          <w:b/>
          <w:color w:val="auto"/>
          <w:sz w:val="24"/>
          <w:szCs w:val="24"/>
          <w:highlight w:val="none"/>
        </w:rPr>
        <w:t xml:space="preserve">保证金</w:t>
      </w:r>
      <w:bookmarkEnd w:id="345"/>
      <w:r/>
      <w:bookmarkEnd w:id="346"/>
      <w:r/>
      <w:bookmarkEnd w:id="347"/>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7.1.1</w:t>
      </w:r>
      <w:r>
        <w:rPr>
          <w:rFonts w:hint="eastAsia" w:ascii="宋体" w:hAnsi="宋体" w:cs="宋体"/>
          <w:color w:val="auto"/>
          <w:sz w:val="24"/>
          <w:highlight w:val="none"/>
        </w:rPr>
        <w:t xml:space="preserve">成交人应按供应商须知前附表规定的履约保证金的形式、金额和提交时间向采购人提交履约保证金。</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7.1.2成交人不能按本竞争性磋商文件要求提交履约保证金的，视为放弃中标，给采购人造成的损失的，成交人还应当予以赔偿。</w:t>
      </w:r>
      <w:r/>
    </w:p>
    <w:p>
      <w:pPr>
        <w:jc w:val="left"/>
        <w:spacing w:line="360" w:lineRule="auto"/>
        <w:rPr>
          <w:rFonts w:ascii="宋体" w:hAnsi="宋体" w:cs="宋体"/>
          <w:b/>
          <w:color w:val="auto"/>
          <w:sz w:val="24"/>
          <w:highlight w:val="none"/>
        </w:rPr>
      </w:pPr>
      <w:r/>
      <w:bookmarkStart w:id="348" w:name="_Toc468783628"/>
      <w:r/>
      <w:bookmarkStart w:id="349" w:name="_Toc426469910"/>
      <w:r/>
      <w:bookmarkStart w:id="350" w:name="_Toc343525551"/>
      <w:r/>
      <w:bookmarkStart w:id="351" w:name="_Toc383438637"/>
      <w:r>
        <w:rPr>
          <w:rFonts w:hint="eastAsia" w:ascii="宋体" w:hAnsi="宋体" w:cs="宋体"/>
          <w:b/>
          <w:color w:val="auto"/>
          <w:sz w:val="24"/>
          <w:highlight w:val="none"/>
        </w:rPr>
        <w:t xml:space="preserve">7.2 签订合同</w:t>
      </w:r>
      <w:bookmarkEnd w:id="348"/>
      <w:r/>
      <w:bookmarkEnd w:id="349"/>
      <w:r/>
      <w:bookmarkEnd w:id="350"/>
      <w:r/>
      <w:bookmarkEnd w:id="351"/>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7.2.1</w:t>
      </w:r>
      <w:r>
        <w:rPr>
          <w:rFonts w:hint="eastAsia" w:ascii="宋体" w:hAnsi="宋体" w:cs="宋体"/>
          <w:color w:val="auto"/>
          <w:sz w:val="24"/>
          <w:highlight w:val="none"/>
        </w:rPr>
        <w:t xml:space="preserve">采购人和成交人在供应商须知前附表规定的时间内，根据竞争性磋商文件和成交人的响应文件订立书面合同。成交人无正当理由拒签合同的，采购人取消其</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highlight w:val="none"/>
        </w:rPr>
        <w:t xml:space="preserve">资格，并追究其相应责任。给采购人造成损失的，成交供应商还应当予以赔偿。</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7.2.2成交通知书发出后，采购人无正当理由拒签合同的，给成交供应商造成损失的，还应当赔偿损失。</w:t>
      </w:r>
      <w:r/>
    </w:p>
    <w:p>
      <w:pPr>
        <w:pStyle w:val="1068"/>
        <w:numPr>
          <w:ilvl w:val="0"/>
          <w:numId w:val="2"/>
        </w:numPr>
        <w:spacing w:before="0" w:after="0" w:line="360" w:lineRule="auto"/>
        <w:rPr>
          <w:rFonts w:ascii="宋体" w:hAnsi="宋体" w:eastAsia="宋体" w:cs="宋体"/>
          <w:b/>
          <w:color w:val="auto"/>
          <w:sz w:val="24"/>
          <w:szCs w:val="24"/>
          <w:highlight w:val="none"/>
        </w:rPr>
      </w:pPr>
      <w:r/>
      <w:bookmarkStart w:id="352" w:name="_Toc468783629"/>
      <w:r/>
      <w:bookmarkStart w:id="353" w:name="_Toc1229"/>
      <w:r/>
      <w:bookmarkStart w:id="354" w:name="_Toc426469911"/>
      <w:r>
        <w:rPr>
          <w:rFonts w:hint="eastAsia" w:ascii="宋体" w:hAnsi="宋体" w:eastAsia="宋体" w:cs="宋体"/>
          <w:b/>
          <w:color w:val="auto"/>
          <w:sz w:val="24"/>
          <w:szCs w:val="24"/>
          <w:highlight w:val="none"/>
        </w:rPr>
        <w:t xml:space="preserve">废标</w:t>
      </w:r>
      <w:bookmarkEnd w:id="352"/>
      <w:r/>
      <w:bookmarkEnd w:id="353"/>
      <w:r/>
      <w:bookmarkEnd w:id="354"/>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出现情形之一的，采购人将予以废标，并将废标理由通知所有供应商：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（1）除财库【2014】214号文第二十一条第三款规定的情形外，符合专业条件的供应商或者对竞争性磋商文件作实质响应的供应商不足三家的；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（3）供应商的报价均超过了最高限价，采购人不能支付的；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pStyle w:val="1068"/>
        <w:spacing w:before="0" w:after="0" w:line="360" w:lineRule="auto"/>
        <w:rPr>
          <w:rFonts w:ascii="宋体" w:hAnsi="宋体" w:eastAsia="宋体" w:cs="宋体"/>
          <w:b/>
          <w:color w:val="auto"/>
          <w:sz w:val="24"/>
          <w:szCs w:val="24"/>
          <w:highlight w:val="none"/>
        </w:rPr>
      </w:pPr>
      <w:r/>
      <w:bookmarkStart w:id="355" w:name="_Toc426469912"/>
      <w:r/>
      <w:bookmarkStart w:id="356" w:name="_Toc468783630"/>
      <w:r/>
      <w:bookmarkStart w:id="357" w:name="_Toc7906"/>
      <w:r/>
      <w:bookmarkStart w:id="358" w:name="_Toc383438639"/>
      <w:r/>
      <w:bookmarkStart w:id="359" w:name="_Toc343525553"/>
      <w:r>
        <w:rPr>
          <w:rFonts w:hint="eastAsia" w:ascii="宋体" w:hAnsi="宋体" w:eastAsia="宋体" w:cs="宋体"/>
          <w:b/>
          <w:color w:val="auto"/>
          <w:sz w:val="24"/>
          <w:szCs w:val="24"/>
          <w:highlight w:val="none"/>
        </w:rPr>
        <w:t xml:space="preserve">9. 纪律和监督</w:t>
      </w:r>
      <w:bookmarkEnd w:id="355"/>
      <w:r/>
      <w:bookmarkEnd w:id="356"/>
      <w:r/>
      <w:bookmarkEnd w:id="357"/>
      <w:r/>
      <w:bookmarkEnd w:id="358"/>
      <w:r/>
      <w:bookmarkEnd w:id="359"/>
      <w:r/>
      <w:r/>
    </w:p>
    <w:p>
      <w:pPr>
        <w:pStyle w:val="1070"/>
        <w:jc w:val="left"/>
        <w:spacing w:before="0" w:after="0" w:line="360" w:lineRule="auto"/>
        <w:rPr>
          <w:rFonts w:ascii="宋体" w:hAnsi="宋体" w:cs="宋体"/>
          <w:b/>
          <w:color w:val="auto"/>
          <w:sz w:val="24"/>
          <w:szCs w:val="24"/>
          <w:highlight w:val="none"/>
        </w:rPr>
      </w:pPr>
      <w:r/>
      <w:bookmarkStart w:id="360" w:name="_Toc383438640"/>
      <w:r/>
      <w:bookmarkStart w:id="361" w:name="_Toc179632593"/>
      <w:r/>
      <w:bookmarkStart w:id="362" w:name="_Toc152042351"/>
      <w:r/>
      <w:bookmarkStart w:id="363" w:name="_Toc246996962"/>
      <w:r/>
      <w:bookmarkStart w:id="364" w:name="_Toc468783631"/>
      <w:r/>
      <w:bookmarkStart w:id="365" w:name="_Toc246996219"/>
      <w:r/>
      <w:bookmarkStart w:id="366" w:name="_Toc343525554"/>
      <w:r/>
      <w:bookmarkStart w:id="367" w:name="_Toc296590983"/>
      <w:r/>
      <w:bookmarkStart w:id="368" w:name="_Toc152045575"/>
      <w:r/>
      <w:bookmarkStart w:id="369" w:name="_Toc247085733"/>
      <w:r/>
      <w:bookmarkStart w:id="370" w:name="_Toc426469913"/>
      <w:r/>
      <w:bookmarkStart w:id="371" w:name="_Toc144974543"/>
      <w:r>
        <w:rPr>
          <w:rFonts w:hint="eastAsia" w:ascii="宋体" w:hAnsi="宋体" w:cs="宋体"/>
          <w:b/>
          <w:color w:val="auto"/>
          <w:sz w:val="24"/>
          <w:szCs w:val="24"/>
          <w:highlight w:val="none"/>
        </w:rPr>
        <w:t xml:space="preserve">9.1 对采购人的纪律要求</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采购人不得泄漏招标投标活动中应当保密的情况和资料，不得与供应商串通损害国家利益、社会公共利益或者他人合法权益。</w:t>
      </w:r>
      <w:r/>
    </w:p>
    <w:p>
      <w:pPr>
        <w:pStyle w:val="1070"/>
        <w:jc w:val="left"/>
        <w:spacing w:before="0" w:after="0" w:line="360" w:lineRule="auto"/>
        <w:rPr>
          <w:rFonts w:ascii="宋体" w:hAnsi="宋体" w:cs="宋体"/>
          <w:b/>
          <w:color w:val="auto"/>
          <w:sz w:val="24"/>
          <w:szCs w:val="24"/>
          <w:highlight w:val="none"/>
        </w:rPr>
      </w:pPr>
      <w:r/>
      <w:bookmarkStart w:id="372" w:name="_Toc152045576"/>
      <w:r/>
      <w:bookmarkStart w:id="373" w:name="_Toc246996220"/>
      <w:r/>
      <w:bookmarkStart w:id="374" w:name="_Toc144974544"/>
      <w:r/>
      <w:bookmarkStart w:id="375" w:name="_Toc426469914"/>
      <w:r/>
      <w:bookmarkStart w:id="376" w:name="_Toc247085734"/>
      <w:r/>
      <w:bookmarkStart w:id="377" w:name="_Toc468783632"/>
      <w:r/>
      <w:bookmarkStart w:id="378" w:name="_Toc152042352"/>
      <w:r/>
      <w:bookmarkStart w:id="379" w:name="_Toc383438641"/>
      <w:r/>
      <w:bookmarkStart w:id="380" w:name="_Toc343525555"/>
      <w:r/>
      <w:bookmarkStart w:id="381" w:name="_Toc179632594"/>
      <w:r/>
      <w:bookmarkStart w:id="382" w:name="_Toc246996963"/>
      <w:r>
        <w:rPr>
          <w:rFonts w:hint="eastAsia" w:ascii="宋体" w:hAnsi="宋体" w:cs="宋体"/>
          <w:b/>
          <w:color w:val="auto"/>
          <w:sz w:val="24"/>
          <w:szCs w:val="24"/>
          <w:highlight w:val="none"/>
        </w:rPr>
        <w:t xml:space="preserve">9.2 对供应商的纪律要求</w:t>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供应商不得相互串通投标或者与采购人串通投标，不得向采购人或者评标委员会成员行贿谋取中标，不得以他人名义投标或者以其他方式弄虚作假骗取中标；供应商不得以任何方式干扰、影响开、评标工作。</w:t>
      </w:r>
      <w:r/>
    </w:p>
    <w:p>
      <w:pPr>
        <w:pStyle w:val="1070"/>
        <w:jc w:val="left"/>
        <w:spacing w:before="0" w:after="0" w:line="360" w:lineRule="auto"/>
        <w:rPr>
          <w:rFonts w:ascii="宋体" w:hAnsi="宋体" w:cs="宋体"/>
          <w:b/>
          <w:color w:val="auto"/>
          <w:sz w:val="24"/>
          <w:szCs w:val="24"/>
          <w:highlight w:val="none"/>
        </w:rPr>
      </w:pPr>
      <w:r/>
      <w:bookmarkStart w:id="383" w:name="_Toc383438642"/>
      <w:r/>
      <w:bookmarkStart w:id="384" w:name="_Toc144974545"/>
      <w:r/>
      <w:bookmarkStart w:id="385" w:name="_Toc152045577"/>
      <w:r/>
      <w:bookmarkStart w:id="386" w:name="_Toc343525556"/>
      <w:r/>
      <w:bookmarkStart w:id="387" w:name="_Toc426469915"/>
      <w:r/>
      <w:bookmarkStart w:id="388" w:name="_Toc246996221"/>
      <w:r/>
      <w:bookmarkStart w:id="389" w:name="_Toc246996964"/>
      <w:r/>
      <w:bookmarkStart w:id="390" w:name="_Toc179632595"/>
      <w:r/>
      <w:bookmarkStart w:id="391" w:name="_Toc152042353"/>
      <w:r/>
      <w:bookmarkStart w:id="392" w:name="_Toc247085735"/>
      <w:r/>
      <w:bookmarkStart w:id="393" w:name="_Toc468783633"/>
      <w:r>
        <w:rPr>
          <w:rFonts w:hint="eastAsia" w:ascii="宋体" w:hAnsi="宋体" w:cs="宋体"/>
          <w:b/>
          <w:color w:val="auto"/>
          <w:sz w:val="24"/>
          <w:szCs w:val="24"/>
          <w:highlight w:val="none"/>
        </w:rPr>
        <w:t xml:space="preserve">9.3 对磋商小组成员的纪律要求</w:t>
      </w:r>
      <w:bookmarkEnd w:id="383"/>
      <w:r/>
      <w:bookmarkEnd w:id="384"/>
      <w:r/>
      <w:bookmarkEnd w:id="385"/>
      <w:r/>
      <w:bookmarkEnd w:id="386"/>
      <w:r/>
      <w:bookmarkEnd w:id="387"/>
      <w:r/>
      <w:bookmarkEnd w:id="388"/>
      <w:r/>
      <w:bookmarkEnd w:id="389"/>
      <w:r/>
      <w:bookmarkEnd w:id="390"/>
      <w:r/>
      <w:bookmarkEnd w:id="391"/>
      <w:r/>
      <w:bookmarkEnd w:id="392"/>
      <w:r/>
      <w:bookmarkEnd w:id="393"/>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磋商小组成员不得收受他人的财物或者其他好处，不得向他人透漏对响应文件的评审和比较、</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highlight w:val="none"/>
        </w:rPr>
        <w:t xml:space="preserve">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070"/>
        <w:jc w:val="left"/>
        <w:spacing w:before="0" w:after="0" w:line="360" w:lineRule="auto"/>
        <w:rPr>
          <w:rFonts w:ascii="宋体" w:hAnsi="宋体" w:cs="宋体"/>
          <w:b/>
          <w:color w:val="auto"/>
          <w:sz w:val="24"/>
          <w:szCs w:val="24"/>
          <w:highlight w:val="none"/>
        </w:rPr>
      </w:pPr>
      <w:r/>
      <w:bookmarkStart w:id="394" w:name="_Toc152042354"/>
      <w:r/>
      <w:bookmarkStart w:id="395" w:name="_Toc246996965"/>
      <w:r/>
      <w:bookmarkStart w:id="396" w:name="_Toc179632596"/>
      <w:r/>
      <w:bookmarkStart w:id="397" w:name="_Toc426469916"/>
      <w:r/>
      <w:bookmarkStart w:id="398" w:name="_Toc246996222"/>
      <w:r/>
      <w:bookmarkStart w:id="399" w:name="_Toc343525557"/>
      <w:r/>
      <w:bookmarkStart w:id="400" w:name="_Toc152045578"/>
      <w:r/>
      <w:bookmarkStart w:id="401" w:name="_Toc468783634"/>
      <w:r/>
      <w:bookmarkStart w:id="402" w:name="_Toc383438643"/>
      <w:r/>
      <w:bookmarkStart w:id="403" w:name="_Toc247085736"/>
      <w:r/>
      <w:bookmarkStart w:id="404" w:name="_Toc144974546"/>
      <w:r>
        <w:rPr>
          <w:rFonts w:hint="eastAsia" w:ascii="宋体" w:hAnsi="宋体" w:cs="宋体"/>
          <w:b/>
          <w:color w:val="auto"/>
          <w:sz w:val="24"/>
          <w:szCs w:val="24"/>
          <w:highlight w:val="none"/>
        </w:rPr>
        <w:t xml:space="preserve">9.4 对与磋商活动有关的工作人员的纪律要求</w:t>
      </w:r>
      <w:bookmarkEnd w:id="394"/>
      <w:r/>
      <w:bookmarkEnd w:id="395"/>
      <w:r/>
      <w:bookmarkEnd w:id="396"/>
      <w:r/>
      <w:bookmarkEnd w:id="397"/>
      <w:r/>
      <w:bookmarkEnd w:id="398"/>
      <w:r/>
      <w:bookmarkEnd w:id="399"/>
      <w:r/>
      <w:bookmarkEnd w:id="400"/>
      <w:r/>
      <w:bookmarkEnd w:id="401"/>
      <w:r/>
      <w:bookmarkEnd w:id="402"/>
      <w:r/>
      <w:bookmarkEnd w:id="403"/>
      <w:r/>
      <w:r/>
    </w:p>
    <w:p>
      <w:pPr>
        <w:ind w:firstLine="480"/>
        <w:jc w:val="left"/>
        <w:spacing w:line="360" w:lineRule="auto"/>
        <w:rPr>
          <w:rFonts w:ascii="宋体" w:hAnsi="宋体" w:cs="宋体"/>
          <w:color w:val="auto"/>
          <w:sz w:val="24"/>
          <w:highlight w:val="none"/>
        </w:rPr>
      </w:pPr>
      <w:r/>
      <w:bookmarkStart w:id="405" w:name="_Toc152042355"/>
      <w:r>
        <w:rPr>
          <w:rFonts w:hint="eastAsia" w:ascii="宋体" w:hAnsi="宋体" w:cs="宋体"/>
          <w:color w:val="auto"/>
          <w:sz w:val="24"/>
          <w:highlight w:val="none"/>
        </w:rPr>
        <w:t xml:space="preserve">与评标活动有关的工作人员不得收受他人的财物或者其他好处，不得向他人透漏对响应文件的评审和比较、</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highlight w:val="none"/>
        </w:rPr>
        <w:t xml:space="preserve">候选人的推荐情况以及评标有关的其他情况。在评标活动中，与评标活动有关的工作人员不得擅离职守，影响评标程序正常进行。</w:t>
      </w:r>
      <w:bookmarkEnd w:id="405"/>
      <w:r/>
      <w:r/>
    </w:p>
    <w:p>
      <w:pPr>
        <w:pStyle w:val="1070"/>
        <w:jc w:val="left"/>
        <w:spacing w:before="0" w:after="0" w:line="360" w:lineRule="auto"/>
        <w:rPr>
          <w:rFonts w:ascii="宋体" w:hAnsi="宋体" w:cs="宋体"/>
          <w:b/>
          <w:color w:val="auto"/>
          <w:sz w:val="24"/>
          <w:szCs w:val="24"/>
          <w:highlight w:val="none"/>
        </w:rPr>
      </w:pPr>
      <w:r/>
      <w:bookmarkStart w:id="406" w:name="_Toc343525558"/>
      <w:r/>
      <w:bookmarkStart w:id="407" w:name="_Toc246996966"/>
      <w:r/>
      <w:bookmarkStart w:id="408" w:name="_Toc247085737"/>
      <w:r/>
      <w:bookmarkStart w:id="409" w:name="_Toc152045579"/>
      <w:r/>
      <w:bookmarkStart w:id="410" w:name="_Toc383438644"/>
      <w:r/>
      <w:bookmarkStart w:id="411" w:name="_Toc179632597"/>
      <w:r/>
      <w:bookmarkStart w:id="412" w:name="_Toc426469917"/>
      <w:r/>
      <w:bookmarkStart w:id="413" w:name="_Toc152042356"/>
      <w:r/>
      <w:bookmarkStart w:id="414" w:name="_Toc468783635"/>
      <w:r/>
      <w:bookmarkStart w:id="415" w:name="_Toc246996223"/>
      <w:r>
        <w:rPr>
          <w:rFonts w:hint="eastAsia" w:ascii="宋体" w:hAnsi="宋体" w:cs="宋体"/>
          <w:b/>
          <w:color w:val="auto"/>
          <w:sz w:val="24"/>
          <w:szCs w:val="24"/>
          <w:highlight w:val="none"/>
        </w:rPr>
        <w:t xml:space="preserve">9.5 投诉</w:t>
      </w:r>
      <w:bookmarkEnd w:id="404"/>
      <w:r/>
      <w:bookmarkEnd w:id="406"/>
      <w:r/>
      <w:bookmarkEnd w:id="407"/>
      <w:r/>
      <w:bookmarkEnd w:id="408"/>
      <w:r/>
      <w:bookmarkEnd w:id="409"/>
      <w:r/>
      <w:bookmarkEnd w:id="410"/>
      <w:r/>
      <w:bookmarkEnd w:id="411"/>
      <w:r/>
      <w:bookmarkEnd w:id="412"/>
      <w:r/>
      <w:bookmarkEnd w:id="413"/>
      <w:r/>
      <w:bookmarkEnd w:id="414"/>
      <w:r/>
      <w:bookmarkEnd w:id="415"/>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供应商和其他利害关系人认为本次招标活动违反法律、法规和规章规定的，有权向财政部门投诉。</w:t>
      </w:r>
      <w:r/>
    </w:p>
    <w:p>
      <w:pPr>
        <w:pStyle w:val="1070"/>
        <w:jc w:val="left"/>
        <w:spacing w:before="0" w:after="0" w:line="360" w:lineRule="auto"/>
        <w:rPr>
          <w:rFonts w:ascii="宋体" w:hAnsi="宋体" w:cs="宋体"/>
          <w:b/>
          <w:color w:val="auto"/>
          <w:sz w:val="24"/>
          <w:szCs w:val="24"/>
          <w:highlight w:val="none"/>
        </w:rPr>
        <w:outlineLvl w:val="1"/>
      </w:pPr>
      <w:r/>
      <w:bookmarkStart w:id="416" w:name="_Toc152042357"/>
      <w:r/>
      <w:bookmarkStart w:id="417" w:name="_Toc179632598"/>
      <w:r/>
      <w:bookmarkStart w:id="418" w:name="_Toc246996967"/>
      <w:r/>
      <w:bookmarkStart w:id="419" w:name="_Toc16434"/>
      <w:r/>
      <w:bookmarkStart w:id="420" w:name="_Toc152045580"/>
      <w:r/>
      <w:bookmarkStart w:id="421" w:name="_Toc144974547"/>
      <w:r/>
      <w:bookmarkStart w:id="422" w:name="_Toc246996224"/>
      <w:r/>
      <w:bookmarkStart w:id="423" w:name="_Toc247085738"/>
      <w:r/>
      <w:bookmarkStart w:id="424" w:name="_Toc426469918"/>
      <w:r/>
      <w:bookmarkStart w:id="425" w:name="_Toc468783636"/>
      <w:r/>
      <w:bookmarkStart w:id="426" w:name="_Toc383438645"/>
      <w:r/>
      <w:bookmarkStart w:id="427" w:name="_Toc343525559"/>
      <w:r>
        <w:rPr>
          <w:rFonts w:hint="eastAsia" w:ascii="宋体" w:hAnsi="宋体" w:cs="宋体"/>
          <w:b/>
          <w:color w:val="auto"/>
          <w:sz w:val="24"/>
          <w:szCs w:val="24"/>
          <w:highlight w:val="none"/>
        </w:rPr>
        <w:t xml:space="preserve">10. 需要补充的其他内容</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需要补充的其他内容：见供应商须知前附表。</w:t>
      </w:r>
      <w:r/>
    </w:p>
    <w:p>
      <w:pPr>
        <w:pStyle w:val="1070"/>
        <w:numPr>
          <w:ilvl w:val="0"/>
          <w:numId w:val="3"/>
        </w:numPr>
        <w:jc w:val="left"/>
        <w:spacing w:before="0" w:after="0" w:line="360" w:lineRule="auto"/>
        <w:rPr>
          <w:rFonts w:ascii="宋体" w:hAnsi="宋体" w:cs="宋体"/>
          <w:b/>
          <w:color w:val="auto"/>
          <w:sz w:val="24"/>
          <w:szCs w:val="24"/>
          <w:highlight w:val="none"/>
        </w:rPr>
        <w:outlineLvl w:val="1"/>
      </w:pPr>
      <w:r/>
      <w:bookmarkStart w:id="428" w:name="_Toc468783637"/>
      <w:r/>
      <w:bookmarkStart w:id="429" w:name="_Toc8457"/>
      <w:r/>
      <w:bookmarkStart w:id="430" w:name="_Toc426469919"/>
      <w:r/>
      <w:bookmarkStart w:id="431" w:name="_Toc383438646"/>
      <w:r/>
      <w:bookmarkStart w:id="432" w:name="_Toc144974554"/>
      <w:r/>
      <w:bookmarkStart w:id="433" w:name="_Toc247085745"/>
      <w:r/>
      <w:bookmarkStart w:id="434" w:name="_Toc343525562"/>
      <w:r/>
      <w:bookmarkStart w:id="435" w:name="_Toc246996973"/>
      <w:r/>
      <w:bookmarkStart w:id="436" w:name="_Toc246996230"/>
      <w:r/>
      <w:bookmarkStart w:id="437" w:name="_Toc179632605"/>
      <w:r/>
      <w:bookmarkStart w:id="438" w:name="_Toc152042364"/>
      <w:r/>
      <w:bookmarkStart w:id="439" w:name="_Toc152045587"/>
      <w:r/>
      <w:bookmarkStart w:id="440" w:name="_Toc383587457"/>
      <w:r/>
      <w:bookmarkStart w:id="441" w:name="_Toc383698648"/>
      <w:r/>
      <w:bookmarkStart w:id="442" w:name="_Toc383623673"/>
      <w:r/>
      <w:bookmarkStart w:id="443" w:name="_Toc390098841"/>
      <w:r/>
      <w:bookmarkStart w:id="444" w:name="_Toc383623945"/>
      <w:r/>
      <w:bookmarkStart w:id="445" w:name="_Toc383625994"/>
      <w:r/>
      <w:bookmarkStart w:id="446" w:name="_Toc390246906"/>
      <w:r/>
      <w:bookmarkStart w:id="447" w:name="_Toc383679747"/>
      <w:r/>
      <w:bookmarkStart w:id="448" w:name="_Toc390099019"/>
      <w:r>
        <w:rPr>
          <w:rFonts w:hint="eastAsia" w:ascii="宋体" w:hAnsi="宋体" w:cs="宋体"/>
          <w:b/>
          <w:color w:val="auto"/>
          <w:sz w:val="24"/>
          <w:szCs w:val="24"/>
          <w:highlight w:val="none"/>
        </w:rPr>
        <w:t xml:space="preserve">竞争性磋商文件的解释</w:t>
      </w:r>
      <w:bookmarkEnd w:id="428"/>
      <w:r/>
      <w:bookmarkEnd w:id="429"/>
      <w:r/>
      <w:bookmarkEnd w:id="430"/>
      <w:r/>
      <w:r/>
    </w:p>
    <w:p>
      <w:pPr>
        <w:ind w:firstLine="480"/>
        <w:spacing w:line="360" w:lineRule="auto"/>
        <w:rPr>
          <w:rFonts w:ascii="宋体" w:hAnsi="宋体" w:cs="宋体"/>
          <w:color w:val="auto"/>
          <w:sz w:val="24"/>
          <w:highlight w:val="none"/>
        </w:rPr>
        <w:sectPr>
          <w:footnotePr/>
          <w:endnotePr/>
          <w:type w:val="nextPage"/>
          <w:pgSz w:w="11906" w:h="16838" w:orient="portrait"/>
          <w:pgMar w:top="1440" w:right="1800" w:bottom="1440" w:left="1800" w:header="850" w:footer="992" w:gutter="0"/>
          <w:cols w:num="1" w:sep="0" w:space="720" w:equalWidth="1"/>
          <w:docGrid w:linePitch="360"/>
        </w:sectPr>
      </w:pPr>
      <w:r>
        <w:rPr>
          <w:rFonts w:hint="eastAsia" w:ascii="宋体" w:hAnsi="宋体" w:cs="宋体"/>
          <w:color w:val="auto"/>
          <w:sz w:val="24"/>
          <w:highlight w:val="none"/>
        </w:rPr>
        <w:t xml:space="preserve">本竞争性磋商文件的解释权属于采购人。</w:t>
      </w:r>
      <w:r/>
    </w:p>
    <w:p>
      <w:pPr>
        <w:pStyle w:val="1185"/>
        <w:spacing w:before="120" w:after="120" w:line="360" w:lineRule="auto"/>
        <w:tabs>
          <w:tab w:val="left" w:pos="3240" w:leader="none"/>
        </w:tabs>
        <w:rPr>
          <w:rFonts w:ascii="宋体" w:hAnsi="宋体" w:eastAsia="宋体" w:cs="宋体"/>
          <w:b/>
          <w:color w:val="auto"/>
          <w:sz w:val="30"/>
          <w:szCs w:val="30"/>
          <w:highlight w:val="none"/>
        </w:rPr>
        <w:outlineLvl w:val="0"/>
      </w:pPr>
      <w:r/>
      <w:bookmarkStart w:id="449" w:name="_Toc468783638"/>
      <w:r/>
      <w:bookmarkStart w:id="450" w:name="_Toc13793"/>
      <w:r>
        <w:rPr>
          <w:rFonts w:hint="eastAsia" w:ascii="宋体" w:hAnsi="宋体" w:eastAsia="宋体" w:cs="宋体"/>
          <w:b/>
          <w:color w:val="auto"/>
          <w:sz w:val="30"/>
          <w:szCs w:val="30"/>
          <w:highlight w:val="none"/>
        </w:rPr>
        <w:t xml:space="preserve">第三章  评审办法</w:t>
      </w:r>
      <w:bookmarkEnd w:id="431"/>
      <w:r/>
      <w:bookmarkEnd w:id="432"/>
      <w:r/>
      <w:bookmarkEnd w:id="433"/>
      <w:r/>
      <w:bookmarkEnd w:id="434"/>
      <w:r/>
      <w:bookmarkEnd w:id="435"/>
      <w:r/>
      <w:bookmarkEnd w:id="436"/>
      <w:r/>
      <w:bookmarkEnd w:id="437"/>
      <w:r/>
      <w:bookmarkEnd w:id="438"/>
      <w:r/>
      <w:bookmarkEnd w:id="439"/>
      <w:r/>
      <w:bookmarkEnd w:id="449"/>
      <w:r/>
      <w:bookmarkEnd w:id="450"/>
      <w:r/>
      <w:r/>
    </w:p>
    <w:p>
      <w:pPr>
        <w:spacing w:line="360" w:lineRule="auto"/>
        <w:rPr>
          <w:rFonts w:ascii="宋体" w:hAnsi="宋体" w:cs="宋体"/>
          <w:b/>
          <w:color w:val="auto"/>
          <w:sz w:val="24"/>
          <w:highlight w:val="none"/>
        </w:rPr>
        <w:outlineLvl w:val="1"/>
      </w:pPr>
      <w:r/>
      <w:bookmarkStart w:id="451" w:name="_Toc360695596"/>
      <w:r/>
      <w:bookmarkStart w:id="452" w:name="_Toc46"/>
      <w:r/>
      <w:bookmarkStart w:id="453" w:name="_Toc144974556"/>
      <w:r/>
      <w:bookmarkStart w:id="454" w:name="_Toc247085747"/>
      <w:r/>
      <w:bookmarkStart w:id="455" w:name="_Toc179632607"/>
      <w:r/>
      <w:bookmarkStart w:id="456" w:name="_Toc246996232"/>
      <w:r/>
      <w:bookmarkStart w:id="457" w:name="_Toc152042366"/>
      <w:r/>
      <w:bookmarkStart w:id="458" w:name="_Toc468783640"/>
      <w:r/>
      <w:bookmarkStart w:id="459" w:name="_Toc246996975"/>
      <w:r/>
      <w:bookmarkStart w:id="460" w:name="_Toc343525564"/>
      <w:r/>
      <w:bookmarkStart w:id="461" w:name="_Toc426469921"/>
      <w:r/>
      <w:bookmarkStart w:id="462" w:name="_Toc152045589"/>
      <w:r>
        <w:rPr>
          <w:rFonts w:hint="eastAsia" w:ascii="宋体" w:hAnsi="宋体" w:cs="宋体"/>
          <w:b/>
          <w:color w:val="auto"/>
          <w:sz w:val="24"/>
          <w:highlight w:val="none"/>
        </w:rPr>
        <w:t xml:space="preserve">一、评审准备</w:t>
      </w:r>
      <w:bookmarkEnd w:id="451"/>
      <w:r/>
      <w:bookmarkEnd w:id="452"/>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1.1采购人的准备工作</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（1）采购人向磋商小组提供评标所需的信息和数据，包括采购文件等；</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（2）有关的法律、法规、规章、国家标准以及磋商小组认为必要的其他信息和数据。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1.2磋商小组的准备工作</w:t>
      </w:r>
      <w:r/>
    </w:p>
    <w:p>
      <w:pPr>
        <w:ind w:firstLine="420"/>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color w:val="auto"/>
          <w:sz w:val="24"/>
          <w:highlight w:val="none"/>
        </w:rPr>
        <w:t xml:space="preserve">（1）磋商小组成员到达评标现场时，须填写评标专家回避确认表，以确认参加本次评标工作无需要回避的情况。</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（2）推荐磋商小组主任。磋商小组主任由磋商小组推选。磋商小组主任负责评标活动的组织领导工作，具有与磋商小组其他成员同等的表决权。</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磋商小组主任组织磋商小组成员认真研究采购文件，了解和熟悉招标目的、招标范围、主要合同条件、服务标准和要求、质量标准和合同履行期限要求等，掌握评标标准和方法，熟悉相关评标表格的使用，如果表格不能满足评标所需时，磋商小组应补充编制评标所需的表格。</w:t>
      </w:r>
      <w:bookmarkStart w:id="463" w:name="_Toc360695597"/>
      <w:r/>
      <w:r/>
    </w:p>
    <w:p>
      <w:pPr>
        <w:spacing w:line="360" w:lineRule="auto"/>
        <w:rPr>
          <w:rFonts w:ascii="宋体" w:hAnsi="宋体" w:cs="宋体"/>
          <w:b/>
          <w:color w:val="auto"/>
          <w:sz w:val="24"/>
          <w:highlight w:val="none"/>
        </w:rPr>
        <w:outlineLvl w:val="1"/>
      </w:pPr>
      <w:r/>
      <w:bookmarkStart w:id="464" w:name="_Toc14844"/>
      <w:r>
        <w:rPr>
          <w:rFonts w:hint="eastAsia" w:ascii="宋体" w:hAnsi="宋体" w:cs="宋体"/>
          <w:b/>
          <w:color w:val="auto"/>
          <w:sz w:val="24"/>
          <w:highlight w:val="none"/>
        </w:rPr>
        <w:t xml:space="preserve">二、</w:t>
      </w:r>
      <w:bookmarkEnd w:id="463"/>
      <w:r>
        <w:rPr>
          <w:rFonts w:hint="eastAsia" w:ascii="宋体" w:hAnsi="宋体" w:cs="宋体"/>
          <w:b/>
          <w:color w:val="auto"/>
          <w:sz w:val="24"/>
          <w:highlight w:val="none"/>
        </w:rPr>
        <w:t xml:space="preserve">初步审查</w:t>
      </w:r>
      <w:bookmarkEnd w:id="464"/>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2.1资格性审查</w:t>
      </w:r>
      <w:r/>
    </w:p>
    <w:tbl>
      <w:tblPr>
        <w:tblStyle w:val="870"/>
        <w:tblW w:w="88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775"/>
        <w:gridCol w:w="2762"/>
        <w:gridCol w:w="4600"/>
      </w:tblGrid>
      <w:tr>
        <w:trPr>
          <w:jc w:val="center"/>
        </w:trPr>
        <w:tc>
          <w:tcPr>
            <w:gridSpan w:val="2"/>
            <w:tcW w:w="1460" w:type="dxa"/>
            <w:textDirection w:val="lrTb"/>
            <w:noWrap w:val="false"/>
          </w:tcPr>
          <w:p>
            <w:pPr>
              <w:jc w:val="center"/>
              <w:spacing w:line="240" w:lineRule="auto"/>
              <w:rPr>
                <w:rFonts w:ascii="宋体" w:hAnsi="宋体" w:cs="宋体"/>
                <w:color w:val="auto"/>
                <w:sz w:val="24"/>
                <w:highlight w:val="none"/>
              </w:rPr>
            </w:pPr>
            <w:r/>
            <w:bookmarkStart w:id="465" w:name="_Hlk129156331"/>
            <w:r>
              <w:rPr>
                <w:rFonts w:hint="eastAsia" w:ascii="宋体" w:hAnsi="宋体" w:cs="宋体"/>
                <w:color w:val="auto"/>
                <w:sz w:val="24"/>
                <w:highlight w:val="none"/>
              </w:rPr>
              <w:t xml:space="preserve">条款号</w:t>
            </w:r>
            <w:r/>
          </w:p>
        </w:tc>
        <w:tc>
          <w:tcPr>
            <w:tcW w:w="2762" w:type="dxa"/>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评审因素</w:t>
            </w:r>
            <w:r/>
          </w:p>
        </w:tc>
        <w:tc>
          <w:tcPr>
            <w:tcW w:w="4600" w:type="dxa"/>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评审标准</w:t>
            </w:r>
            <w:r/>
          </w:p>
        </w:tc>
      </w:tr>
      <w:tr>
        <w:trPr>
          <w:jc w:val="center"/>
          <w:trHeight w:val="391"/>
        </w:trPr>
        <w:tc>
          <w:tcPr>
            <w:tcW w:w="685" w:type="dxa"/>
            <w:vAlign w:val="center"/>
            <w:vMerge w:val="restart"/>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2.1</w:t>
            </w:r>
            <w:r/>
          </w:p>
        </w:tc>
        <w:tc>
          <w:tcPr>
            <w:tcW w:w="775" w:type="dxa"/>
            <w:vAlign w:val="center"/>
            <w:vMerge w:val="restart"/>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资格性检查</w:t>
            </w:r>
            <w:r/>
          </w:p>
        </w:tc>
        <w:tc>
          <w:tcPr>
            <w:tcW w:w="2762" w:type="dxa"/>
            <w:vAlign w:val="center"/>
            <w:textDirection w:val="lrTb"/>
            <w:noWrap w:val="false"/>
          </w:tcPr>
          <w:p>
            <w:pPr>
              <w:jc w:val="left"/>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基本资格条件的承诺</w:t>
            </w:r>
            <w:r/>
          </w:p>
        </w:tc>
        <w:tc>
          <w:tcPr>
            <w:tcW w:w="4600" w:type="dxa"/>
            <w:vAlign w:val="center"/>
            <w:textDirection w:val="lrTb"/>
            <w:noWrap w:val="false"/>
          </w:tcPr>
          <w:p>
            <w:pPr>
              <w:jc w:val="left"/>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根据基本资格条件的承诺(提供签字盖章完备的《供应商基本资格条件承诺书》)</w:t>
            </w:r>
            <w:r/>
          </w:p>
        </w:tc>
      </w:tr>
      <w:tr>
        <w:trPr>
          <w:jc w:val="center"/>
          <w:trHeight w:val="267"/>
        </w:trPr>
        <w:tc>
          <w:tcPr>
            <w:tcW w:w="685" w:type="dxa"/>
            <w:vAlign w:val="center"/>
            <w:vMerge w:val="continue"/>
            <w:textDirection w:val="lrTb"/>
            <w:noWrap w:val="false"/>
          </w:tcPr>
          <w:p>
            <w:pPr>
              <w:jc w:val="center"/>
              <w:spacing w:line="240" w:lineRule="auto"/>
              <w:rPr>
                <w:rFonts w:ascii="宋体" w:hAnsi="宋体" w:cs="宋体"/>
                <w:color w:val="auto"/>
                <w:sz w:val="24"/>
                <w:highlight w:val="none"/>
              </w:rPr>
            </w:pPr>
            <w:r>
              <w:rPr>
                <w:rFonts w:ascii="宋体" w:hAnsi="宋体" w:cs="宋体"/>
                <w:color w:val="auto"/>
                <w:sz w:val="24"/>
                <w:highlight w:val="none"/>
              </w:rPr>
            </w:r>
            <w:r/>
          </w:p>
        </w:tc>
        <w:tc>
          <w:tcPr>
            <w:tcW w:w="775" w:type="dxa"/>
            <w:vAlign w:val="center"/>
            <w:vMerge w:val="continue"/>
            <w:textDirection w:val="lrTb"/>
            <w:noWrap w:val="false"/>
          </w:tcPr>
          <w:p>
            <w:pPr>
              <w:jc w:val="center"/>
              <w:spacing w:line="24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val="false"/>
          </w:tcPr>
          <w:p>
            <w:pPr>
              <w:spacing w:line="240" w:lineRule="auto"/>
              <w:rPr>
                <w:rStyle w:val="1207"/>
                <w:rFonts w:hint="eastAsia" w:ascii="宋体" w:hAnsi="宋体" w:eastAsia="宋体" w:cs="宋体"/>
                <w:color w:val="auto"/>
                <w:sz w:val="24"/>
                <w:highlight w:val="none"/>
              </w:rPr>
            </w:pPr>
            <w:r>
              <w:rPr>
                <w:rStyle w:val="1207"/>
                <w:rFonts w:hint="eastAsia" w:ascii="宋体" w:hAnsi="宋体" w:eastAsia="宋体" w:cs="宋体"/>
                <w:color w:val="auto"/>
                <w:sz w:val="24"/>
                <w:highlight w:val="none"/>
              </w:rPr>
              <w:t xml:space="preserve">采购人根据本项目特点，要求供应商具备的特定条件</w:t>
            </w:r>
            <w:r/>
          </w:p>
        </w:tc>
        <w:tc>
          <w:tcPr>
            <w:tcW w:w="4600" w:type="dxa"/>
            <w:vAlign w:val="center"/>
            <w:textDirection w:val="lrTb"/>
            <w:noWrap w:val="false"/>
          </w:tcPr>
          <w:p>
            <w:pPr>
              <w:jc w:val="left"/>
              <w:spacing w:line="240" w:lineRule="auto"/>
              <w:rPr>
                <w:rFonts w:ascii="宋体" w:hAnsi="宋体" w:cs="宋体"/>
                <w:color w:val="auto"/>
                <w:sz w:val="24"/>
                <w:highlight w:val="none"/>
              </w:rPr>
            </w:pPr>
            <w:r>
              <w:rPr>
                <w:rFonts w:hint="eastAsia" w:ascii="宋体" w:hAnsi="宋体" w:cs="宋体"/>
                <w:color w:val="auto"/>
                <w:sz w:val="24"/>
                <w:highlight w:val="none"/>
              </w:rPr>
              <w:t xml:space="preserve">详见竞争性磋商公告</w:t>
            </w:r>
            <w:r/>
          </w:p>
        </w:tc>
      </w:tr>
      <w:tr>
        <w:trPr>
          <w:jc w:val="center"/>
          <w:trHeight w:val="554"/>
        </w:trPr>
        <w:tc>
          <w:tcPr>
            <w:tcW w:w="685" w:type="dxa"/>
            <w:vAlign w:val="center"/>
            <w:vMerge w:val="continue"/>
            <w:textDirection w:val="lrTb"/>
            <w:noWrap w:val="false"/>
          </w:tcPr>
          <w:p>
            <w:pPr>
              <w:jc w:val="center"/>
              <w:spacing w:line="240" w:lineRule="auto"/>
              <w:rPr>
                <w:rFonts w:ascii="宋体" w:hAnsi="宋体" w:cs="宋体"/>
                <w:color w:val="auto"/>
                <w:sz w:val="24"/>
                <w:highlight w:val="none"/>
              </w:rPr>
            </w:pPr>
            <w:r>
              <w:rPr>
                <w:rFonts w:ascii="宋体" w:hAnsi="宋体" w:cs="宋体"/>
                <w:color w:val="auto"/>
                <w:sz w:val="24"/>
                <w:highlight w:val="none"/>
              </w:rPr>
            </w:r>
            <w:r/>
          </w:p>
        </w:tc>
        <w:tc>
          <w:tcPr>
            <w:tcW w:w="775" w:type="dxa"/>
            <w:vAlign w:val="center"/>
            <w:vMerge w:val="continue"/>
            <w:textDirection w:val="lrTb"/>
            <w:noWrap w:val="false"/>
          </w:tcPr>
          <w:p>
            <w:pPr>
              <w:jc w:val="center"/>
              <w:spacing w:line="24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val="false"/>
          </w:tcPr>
          <w:p>
            <w:pPr>
              <w:jc w:val="left"/>
              <w:spacing w:line="240" w:lineRule="auto"/>
              <w:rPr>
                <w:rFonts w:ascii="宋体" w:hAnsi="宋体" w:cs="宋体"/>
                <w:color w:val="auto"/>
                <w:sz w:val="24"/>
                <w:highlight w:val="none"/>
              </w:rPr>
            </w:pPr>
            <w:r>
              <w:rPr>
                <w:rFonts w:hint="eastAsia" w:ascii="宋体" w:hAnsi="宋体" w:cs="宋体"/>
                <w:color w:val="auto"/>
                <w:sz w:val="24"/>
                <w:highlight w:val="none"/>
              </w:rPr>
              <w:t xml:space="preserve">中小企业声明函</w:t>
            </w:r>
            <w:r/>
          </w:p>
        </w:tc>
        <w:tc>
          <w:tcPr>
            <w:tcW w:w="4600" w:type="dxa"/>
            <w:vAlign w:val="center"/>
            <w:textDirection w:val="lrTb"/>
            <w:noWrap w:val="false"/>
          </w:tcPr>
          <w:p>
            <w:pPr>
              <w:jc w:val="left"/>
              <w:spacing w:line="240" w:lineRule="auto"/>
              <w:rPr>
                <w:rFonts w:ascii="宋体" w:hAnsi="宋体" w:cs="宋体"/>
                <w:color w:val="auto"/>
                <w:sz w:val="24"/>
                <w:highlight w:val="none"/>
              </w:rPr>
            </w:pPr>
            <w:r>
              <w:rPr>
                <w:rFonts w:hint="eastAsia" w:ascii="宋体" w:hAnsi="宋体" w:cs="宋体"/>
                <w:color w:val="auto"/>
                <w:sz w:val="24"/>
                <w:highlight w:val="none"/>
              </w:rPr>
              <w:t xml:space="preserve">按要求填写中小企业声明函</w:t>
            </w:r>
            <w:r/>
          </w:p>
        </w:tc>
      </w:tr>
      <w:tr>
        <w:trPr>
          <w:jc w:val="center"/>
          <w:trHeight w:val="489"/>
        </w:trPr>
        <w:tc>
          <w:tcPr>
            <w:gridSpan w:val="4"/>
            <w:tcW w:w="8822" w:type="dxa"/>
            <w:vAlign w:val="center"/>
            <w:textDirection w:val="lrTb"/>
            <w:noWrap w:val="false"/>
          </w:tcPr>
          <w:p>
            <w:pPr>
              <w:ind w:firstLine="240"/>
              <w:spacing w:line="240" w:lineRule="auto"/>
              <w:rPr>
                <w:rFonts w:ascii="宋体" w:hAnsi="宋体" w:cs="宋体"/>
                <w:b/>
                <w:color w:val="auto"/>
                <w:sz w:val="24"/>
                <w:highlight w:val="none"/>
              </w:rPr>
            </w:pPr>
            <w:r>
              <w:rPr>
                <w:rFonts w:hint="eastAsia" w:ascii="宋体" w:hAnsi="宋体" w:cs="宋体"/>
                <w:color w:val="auto"/>
                <w:sz w:val="24"/>
                <w:highlight w:val="none"/>
              </w:rPr>
              <w:t xml:space="preserve">资格性评审由磋商小组负责，响应文件不符合评审标准之一的，评审结论为不合格。</w:t>
            </w:r>
            <w:bookmarkEnd w:id="465"/>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2.2符合性审查</w:t>
      </w:r>
      <w:r/>
    </w:p>
    <w:tbl>
      <w:tblPr>
        <w:tblStyle w:val="870"/>
        <w:tblW w:w="8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763"/>
        <w:gridCol w:w="2800"/>
        <w:gridCol w:w="4765"/>
      </w:tblGrid>
      <w:tr>
        <w:trPr>
          <w:jc w:val="center"/>
          <w:trHeight w:val="422"/>
        </w:trPr>
        <w:tc>
          <w:tcPr>
            <w:gridSpan w:val="2"/>
            <w:tcW w:w="1393"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条款号</w:t>
            </w:r>
            <w:r/>
          </w:p>
        </w:tc>
        <w:tc>
          <w:tcPr>
            <w:tcW w:w="280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评审因素</w:t>
            </w:r>
            <w:r/>
          </w:p>
        </w:tc>
        <w:tc>
          <w:tcPr>
            <w:tcW w:w="4765"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评审标准</w:t>
            </w:r>
            <w:r/>
          </w:p>
        </w:tc>
      </w:tr>
      <w:tr>
        <w:trPr>
          <w:cantSplit/>
          <w:jc w:val="center"/>
          <w:trHeight w:val="578"/>
        </w:trPr>
        <w:tc>
          <w:tcPr>
            <w:tcW w:w="630" w:type="dxa"/>
            <w:vAlign w:val="center"/>
            <w:vMerge w:val="restart"/>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2.2</w:t>
            </w:r>
            <w:r/>
          </w:p>
        </w:tc>
        <w:tc>
          <w:tcPr>
            <w:tcW w:w="763" w:type="dxa"/>
            <w:vAlign w:val="center"/>
            <w:vMerge w:val="restart"/>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符合性检查</w:t>
            </w:r>
            <w:r/>
          </w:p>
        </w:tc>
        <w:tc>
          <w:tcPr>
            <w:shd w:val="clear" w:color="auto" w:fill="auto"/>
            <w:tcW w:w="2800" w:type="dxa"/>
            <w:vAlign w:val="center"/>
            <w:textDirection w:val="lrTb"/>
            <w:noWrap w:val="false"/>
          </w:tcPr>
          <w:p>
            <w:pPr>
              <w:spacing w:line="240" w:lineRule="auto"/>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报价</w:t>
            </w:r>
            <w:r/>
          </w:p>
        </w:tc>
        <w:tc>
          <w:tcPr>
            <w:shd w:val="clear" w:color="auto" w:fill="auto"/>
            <w:tcW w:w="4765" w:type="dxa"/>
            <w:vAlign w:val="center"/>
            <w:textDirection w:val="lrTb"/>
            <w:noWrap w:val="false"/>
          </w:tcPr>
          <w:p>
            <w:pPr>
              <w:spacing w:line="240" w:lineRule="auto"/>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有且只有一个有效报价，未超过最高限价</w:t>
            </w:r>
            <w:r/>
          </w:p>
        </w:tc>
      </w:tr>
      <w:tr>
        <w:trPr>
          <w:cantSplit/>
          <w:jc w:val="center"/>
          <w:trHeight w:val="578"/>
        </w:trPr>
        <w:tc>
          <w:tcPr>
            <w:tcW w:w="630" w:type="dxa"/>
            <w:vAlign w:val="center"/>
            <w:vMerge w:val="continue"/>
            <w:textDirection w:val="lrTb"/>
            <w:noWrap w:val="false"/>
          </w:tcPr>
          <w:p>
            <w:pPr>
              <w:jc w:val="center"/>
              <w:spacing w:line="240" w:lineRule="auto"/>
              <w:rPr>
                <w:rFonts w:hint="eastAsia" w:ascii="宋体" w:hAnsi="宋体" w:cs="宋体"/>
                <w:color w:val="auto"/>
                <w:sz w:val="24"/>
                <w:highlight w:val="none"/>
              </w:rPr>
            </w:pPr>
            <w:r/>
            <w:bookmarkStart w:id="466" w:name="OLE_LINK70"/>
            <w:r/>
            <w:bookmarkStart w:id="467" w:name="_Hlk194502959"/>
            <w:r/>
            <w:bookmarkStart w:id="468" w:name="OLE_LINK71"/>
            <w:r/>
            <w:r/>
          </w:p>
        </w:tc>
        <w:tc>
          <w:tcPr>
            <w:tcW w:w="763" w:type="dxa"/>
            <w:vAlign w:val="center"/>
            <w:vMerge w:val="continue"/>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auto" w:fill="auto"/>
            <w:tcW w:w="280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响应文件的签署</w:t>
            </w:r>
            <w:r/>
          </w:p>
        </w:tc>
        <w:tc>
          <w:tcPr>
            <w:shd w:val="clear" w:color="auto" w:fill="auto"/>
            <w:tcW w:w="4765"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符合第二章“供应商须知”第3.6.2规定</w:t>
            </w:r>
            <w:r/>
          </w:p>
        </w:tc>
      </w:tr>
      <w:tr>
        <w:trPr>
          <w:cantSplit/>
          <w:jc w:val="center"/>
          <w:trHeight w:val="543"/>
        </w:trPr>
        <w:tc>
          <w:tcPr>
            <w:tcW w:w="630" w:type="dxa"/>
            <w:vMerge w:val="continue"/>
            <w:textDirection w:val="lrTb"/>
            <w:noWrap w:val="false"/>
          </w:tcPr>
          <w:p>
            <w:pPr>
              <w:jc w:val="center"/>
              <w:spacing w:line="240" w:lineRule="auto"/>
              <w:rPr>
                <w:rFonts w:ascii="宋体" w:hAnsi="宋体" w:cs="宋体"/>
                <w:color w:val="auto"/>
                <w:sz w:val="24"/>
                <w:highlight w:val="none"/>
              </w:rPr>
            </w:pPr>
            <w:r>
              <w:rPr>
                <w:rFonts w:ascii="宋体" w:hAnsi="宋体" w:cs="宋体"/>
                <w:color w:val="auto"/>
                <w:sz w:val="24"/>
                <w:highlight w:val="none"/>
              </w:rPr>
            </w:r>
            <w:r/>
          </w:p>
        </w:tc>
        <w:tc>
          <w:tcPr>
            <w:tcW w:w="763" w:type="dxa"/>
            <w:vMerge w:val="continue"/>
            <w:textDirection w:val="lrTb"/>
            <w:noWrap w:val="false"/>
          </w:tcPr>
          <w:p>
            <w:pPr>
              <w:jc w:val="left"/>
              <w:spacing w:line="240" w:lineRule="auto"/>
              <w:rPr>
                <w:rFonts w:ascii="宋体" w:hAnsi="宋体" w:cs="宋体"/>
                <w:color w:val="auto"/>
                <w:sz w:val="24"/>
                <w:highlight w:val="none"/>
              </w:rPr>
            </w:pPr>
            <w:r>
              <w:rPr>
                <w:rFonts w:ascii="宋体" w:hAnsi="宋体" w:cs="宋体"/>
                <w:color w:val="auto"/>
                <w:sz w:val="24"/>
                <w:highlight w:val="none"/>
              </w:rPr>
            </w:r>
            <w:r/>
          </w:p>
        </w:tc>
        <w:tc>
          <w:tcPr>
            <w:tcW w:w="2800"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响应内容</w:t>
            </w:r>
            <w:r/>
          </w:p>
        </w:tc>
        <w:tc>
          <w:tcPr>
            <w:tcW w:w="4765"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符合第二章“供应商须知”第1.3.1项规定</w:t>
            </w:r>
            <w:bookmarkEnd w:id="466"/>
            <w:r/>
            <w:bookmarkEnd w:id="467"/>
            <w:r/>
            <w:bookmarkEnd w:id="468"/>
            <w:r/>
            <w:r/>
          </w:p>
        </w:tc>
      </w:tr>
      <w:tr>
        <w:trPr>
          <w:cantSplit/>
          <w:jc w:val="center"/>
          <w:trHeight w:val="566"/>
        </w:trPr>
        <w:tc>
          <w:tcPr>
            <w:tcW w:w="630" w:type="dxa"/>
            <w:vMerge w:val="continue"/>
            <w:textDirection w:val="lrTb"/>
            <w:noWrap w:val="false"/>
          </w:tcPr>
          <w:p>
            <w:pPr>
              <w:jc w:val="center"/>
              <w:spacing w:line="240" w:lineRule="auto"/>
              <w:rPr>
                <w:rFonts w:ascii="宋体" w:hAnsi="宋体" w:cs="宋体"/>
                <w:color w:val="auto"/>
                <w:sz w:val="24"/>
                <w:highlight w:val="none"/>
              </w:rPr>
            </w:pPr>
            <w:r>
              <w:rPr>
                <w:rFonts w:ascii="宋体" w:hAnsi="宋体" w:cs="宋体"/>
                <w:color w:val="auto"/>
                <w:sz w:val="24"/>
                <w:highlight w:val="none"/>
              </w:rPr>
            </w:r>
            <w:r/>
          </w:p>
        </w:tc>
        <w:tc>
          <w:tcPr>
            <w:tcW w:w="763" w:type="dxa"/>
            <w:vMerge w:val="continue"/>
            <w:textDirection w:val="lrTb"/>
            <w:noWrap w:val="false"/>
          </w:tcPr>
          <w:p>
            <w:pPr>
              <w:jc w:val="left"/>
              <w:spacing w:line="240" w:lineRule="auto"/>
              <w:rPr>
                <w:rFonts w:ascii="宋体" w:hAnsi="宋体" w:cs="宋体"/>
                <w:color w:val="auto"/>
                <w:sz w:val="24"/>
                <w:highlight w:val="none"/>
              </w:rPr>
            </w:pPr>
            <w:r>
              <w:rPr>
                <w:rFonts w:ascii="宋体" w:hAnsi="宋体" w:cs="宋体"/>
                <w:color w:val="auto"/>
                <w:sz w:val="24"/>
                <w:highlight w:val="none"/>
              </w:rPr>
            </w:r>
            <w:r/>
          </w:p>
        </w:tc>
        <w:tc>
          <w:tcPr>
            <w:tcW w:w="2800"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合</w:t>
            </w:r>
            <w:bookmarkStart w:id="469" w:name="OLE_LINK73"/>
            <w:r/>
            <w:bookmarkStart w:id="470" w:name="OLE_LINK72"/>
            <w:r>
              <w:rPr>
                <w:rFonts w:hint="eastAsia" w:ascii="宋体" w:hAnsi="宋体" w:cs="宋体"/>
                <w:color w:val="auto"/>
                <w:sz w:val="24"/>
                <w:highlight w:val="none"/>
              </w:rPr>
              <w:t xml:space="preserve">同履行期限</w:t>
            </w:r>
            <w:bookmarkEnd w:id="469"/>
            <w:r/>
            <w:bookmarkEnd w:id="470"/>
            <w:r/>
            <w:r/>
          </w:p>
        </w:tc>
        <w:tc>
          <w:tcPr>
            <w:tcW w:w="4765"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符合第二章“供应商须知”第1.3.2项规定</w:t>
            </w:r>
            <w:r/>
          </w:p>
        </w:tc>
      </w:tr>
      <w:tr>
        <w:trPr>
          <w:cantSplit/>
          <w:jc w:val="center"/>
          <w:trHeight w:val="494"/>
        </w:trPr>
        <w:tc>
          <w:tcPr>
            <w:tcW w:w="630" w:type="dxa"/>
            <w:vMerge w:val="continue"/>
            <w:textDirection w:val="lrTb"/>
            <w:noWrap w:val="false"/>
          </w:tcPr>
          <w:p>
            <w:pPr>
              <w:jc w:val="center"/>
              <w:spacing w:line="240" w:lineRule="auto"/>
              <w:rPr>
                <w:rFonts w:ascii="宋体" w:hAnsi="宋体" w:cs="宋体"/>
                <w:color w:val="auto"/>
                <w:sz w:val="24"/>
                <w:highlight w:val="none"/>
              </w:rPr>
            </w:pPr>
            <w:r>
              <w:rPr>
                <w:rFonts w:ascii="宋体" w:hAnsi="宋体" w:cs="宋体"/>
                <w:color w:val="auto"/>
                <w:sz w:val="24"/>
                <w:highlight w:val="none"/>
              </w:rPr>
            </w:r>
            <w:r/>
          </w:p>
        </w:tc>
        <w:tc>
          <w:tcPr>
            <w:tcW w:w="763" w:type="dxa"/>
            <w:vMerge w:val="continue"/>
            <w:textDirection w:val="lrTb"/>
            <w:noWrap w:val="false"/>
          </w:tcPr>
          <w:p>
            <w:pPr>
              <w:jc w:val="left"/>
              <w:spacing w:line="240" w:lineRule="auto"/>
              <w:rPr>
                <w:rFonts w:ascii="宋体" w:hAnsi="宋体" w:cs="宋体"/>
                <w:color w:val="auto"/>
                <w:sz w:val="24"/>
                <w:highlight w:val="none"/>
              </w:rPr>
            </w:pPr>
            <w:r>
              <w:rPr>
                <w:rFonts w:ascii="宋体" w:hAnsi="宋体" w:cs="宋体"/>
                <w:color w:val="auto"/>
                <w:sz w:val="24"/>
                <w:highlight w:val="none"/>
              </w:rPr>
            </w:r>
            <w:r/>
          </w:p>
        </w:tc>
        <w:tc>
          <w:tcPr>
            <w:tcW w:w="2800"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4765" w:type="dxa"/>
            <w:vAlign w:val="center"/>
            <w:textDirection w:val="lrTb"/>
            <w:noWrap w:val="false"/>
          </w:tcPr>
          <w:p>
            <w:pPr>
              <w:spacing w:line="240" w:lineRule="auto"/>
              <w:rPr>
                <w:rFonts w:ascii="宋体" w:hAnsi="宋体" w:cs="宋体"/>
                <w:color w:val="auto"/>
                <w:sz w:val="24"/>
                <w:highlight w:val="none"/>
              </w:rPr>
            </w:pPr>
            <w:r/>
            <w:bookmarkStart w:id="471" w:name="OLE_LINK74"/>
            <w:r/>
            <w:bookmarkStart w:id="472" w:name="OLE_LINK75"/>
            <w:r>
              <w:rPr>
                <w:rFonts w:hint="eastAsia" w:ascii="宋体" w:hAnsi="宋体" w:cs="宋体"/>
                <w:color w:val="auto"/>
                <w:sz w:val="24"/>
                <w:highlight w:val="none"/>
              </w:rPr>
              <w:t xml:space="preserve">符合第二章“供应商须知”第3.3.1项规定</w:t>
            </w:r>
            <w:bookmarkEnd w:id="471"/>
            <w:r/>
            <w:bookmarkEnd w:id="472"/>
            <w:r/>
            <w:r/>
          </w:p>
        </w:tc>
      </w:tr>
      <w:tr>
        <w:trPr>
          <w:cantSplit/>
          <w:jc w:val="center"/>
          <w:trHeight w:val="469"/>
        </w:trPr>
        <w:tc>
          <w:tcPr>
            <w:tcW w:w="630" w:type="dxa"/>
            <w:vMerge w:val="continue"/>
            <w:textDirection w:val="lrTb"/>
            <w:noWrap w:val="false"/>
          </w:tcPr>
          <w:p>
            <w:pPr>
              <w:jc w:val="left"/>
              <w:spacing w:line="240" w:lineRule="auto"/>
              <w:rPr>
                <w:rFonts w:ascii="宋体" w:hAnsi="宋体" w:cs="宋体"/>
                <w:color w:val="auto"/>
                <w:sz w:val="24"/>
                <w:highlight w:val="none"/>
              </w:rPr>
            </w:pPr>
            <w:r>
              <w:rPr>
                <w:rFonts w:ascii="宋体" w:hAnsi="宋体" w:cs="宋体"/>
                <w:color w:val="auto"/>
                <w:sz w:val="24"/>
                <w:highlight w:val="none"/>
              </w:rPr>
            </w:r>
            <w:r/>
          </w:p>
        </w:tc>
        <w:tc>
          <w:tcPr>
            <w:tcW w:w="763" w:type="dxa"/>
            <w:vMerge w:val="continue"/>
            <w:textDirection w:val="lrTb"/>
            <w:noWrap w:val="false"/>
          </w:tcPr>
          <w:p>
            <w:pPr>
              <w:jc w:val="left"/>
              <w:spacing w:line="240" w:lineRule="auto"/>
              <w:rPr>
                <w:rFonts w:ascii="宋体" w:hAnsi="宋体" w:cs="宋体"/>
                <w:color w:val="auto"/>
                <w:sz w:val="24"/>
                <w:highlight w:val="none"/>
              </w:rPr>
            </w:pPr>
            <w:r>
              <w:rPr>
                <w:rFonts w:ascii="宋体" w:hAnsi="宋体" w:cs="宋体"/>
                <w:color w:val="auto"/>
                <w:sz w:val="24"/>
                <w:highlight w:val="none"/>
              </w:rPr>
            </w:r>
            <w:r/>
          </w:p>
        </w:tc>
        <w:tc>
          <w:tcPr>
            <w:tcW w:w="2800"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偏离</w:t>
            </w:r>
            <w:r/>
          </w:p>
        </w:tc>
        <w:tc>
          <w:tcPr>
            <w:tcW w:w="4765"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符合第二章“供应商须知”第1.10项规定</w:t>
            </w:r>
            <w:r/>
          </w:p>
        </w:tc>
      </w:tr>
      <w:tr>
        <w:trPr>
          <w:jc w:val="center"/>
          <w:trHeight w:val="397"/>
        </w:trPr>
        <w:tc>
          <w:tcPr>
            <w:gridSpan w:val="4"/>
            <w:tcW w:w="8958" w:type="dxa"/>
            <w:vAlign w:val="center"/>
            <w:textDirection w:val="lrTb"/>
            <w:noWrap w:val="false"/>
          </w:tcPr>
          <w:p>
            <w:pPr>
              <w:ind w:firstLine="240"/>
              <w:jc w:val="left"/>
              <w:spacing w:line="240" w:lineRule="auto"/>
              <w:rPr>
                <w:rFonts w:ascii="宋体" w:hAnsi="宋体" w:cs="宋体"/>
                <w:color w:val="auto"/>
                <w:sz w:val="24"/>
                <w:highlight w:val="none"/>
              </w:rPr>
            </w:pPr>
            <w:r>
              <w:rPr>
                <w:rFonts w:hint="eastAsia" w:ascii="宋体" w:hAnsi="宋体" w:cs="宋体"/>
                <w:color w:val="auto"/>
                <w:sz w:val="24"/>
                <w:highlight w:val="none"/>
              </w:rPr>
              <w:t xml:space="preserve">符合性评审由磋商小组负责，响应文件不符合评审标准之一的，评审结论为不合格。</w:t>
            </w:r>
            <w:r/>
          </w:p>
        </w:tc>
      </w:tr>
    </w:tbl>
    <w:p>
      <w:pPr>
        <w:spacing w:line="360" w:lineRule="auto"/>
        <w:rPr>
          <w:rFonts w:hint="eastAsia" w:ascii="宋体" w:hAnsi="宋体" w:cs="宋体"/>
          <w:b/>
          <w:bCs/>
          <w:color w:val="auto"/>
          <w:sz w:val="24"/>
          <w:highlight w:val="none"/>
        </w:rPr>
        <w:outlineLvl w:val="1"/>
      </w:pPr>
      <w:r/>
      <w:bookmarkStart w:id="473" w:name="_Toc26846"/>
      <w:r/>
      <w:r/>
    </w:p>
    <w:p>
      <w:pPr>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三、确定</w:t>
      </w:r>
      <w:r>
        <w:rPr>
          <w:rFonts w:hint="eastAsia" w:ascii="宋体" w:hAnsi="宋体" w:cs="宋体"/>
          <w:b/>
          <w:bCs/>
          <w:color w:val="auto"/>
          <w:sz w:val="24"/>
          <w:highlight w:val="none"/>
          <w:lang w:val="en-US" w:eastAsia="zh-CN"/>
        </w:rPr>
        <w:t xml:space="preserve">合格</w:t>
      </w:r>
      <w:r>
        <w:rPr>
          <w:rFonts w:hint="eastAsia" w:ascii="宋体" w:hAnsi="宋体" w:cs="宋体"/>
          <w:b/>
          <w:bCs/>
          <w:color w:val="auto"/>
          <w:sz w:val="24"/>
          <w:highlight w:val="none"/>
        </w:rPr>
        <w:t xml:space="preserve">的供应商名单</w:t>
      </w:r>
      <w:bookmarkEnd w:id="47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.1磋商小组对响应文件进行审查、质疑、询问、评估、比较和评定。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.2磋商小组依据法律法规和采购文件的规定,对供应商响应文件进行资格性检查和符合性检查,审查标准详见评标办法</w:t>
      </w:r>
      <w:r>
        <w:rPr>
          <w:rFonts w:hint="eastAsia" w:ascii="宋体" w:hAnsi="宋体" w:cs="宋体"/>
          <w:color w:val="auto"/>
          <w:sz w:val="24"/>
          <w:highlight w:val="none"/>
          <w:lang w:val="en-US" w:eastAsia="zh-CN"/>
        </w:rPr>
        <w:t xml:space="preserve">2.1、2.2项</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.3磋商小组审查响应文件是否对磋商采购文件做出了实质性响应而没有重大偏离。重大偏离的认定需经过磋商小组三分之二及以上成员的认定。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.4被认定为非响应性的响应文件的情形：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（1）资格性审查、符合性审查未通过的；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（2）不符合法律、法规和采购文件中规定的实质性要求的；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（3）其他法律、法规及本采购文件规定的以及与本采购文件所规定的技术和商务条款经磋商小组三分之二以上成员认定出现重大负偏离的情形。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初步评审中，资格审查和符合性评审的结果出现不合格的情形时，初步评审的结果为不合格，反之，初步评审的结果为合格。初步评审的结果为不合格的，作无效标处理，不再转入下</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步</w:t>
      </w:r>
      <w:r>
        <w:rPr>
          <w:rFonts w:hint="eastAsia" w:ascii="宋体" w:hAnsi="宋体" w:cs="宋体"/>
          <w:color w:val="auto"/>
          <w:sz w:val="24"/>
          <w:highlight w:val="none"/>
          <w:lang w:val="en-US" w:eastAsia="zh-CN"/>
        </w:rPr>
        <w:t xml:space="preserve">程序</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综合评审）。</w:t>
      </w:r>
      <w:r/>
    </w:p>
    <w:p>
      <w:pPr>
        <w:spacing w:line="360" w:lineRule="auto"/>
        <w:rPr>
          <w:rFonts w:hint="default" w:ascii="宋体" w:hAnsi="宋体" w:eastAsia="宋体" w:cs="宋体"/>
          <w:b/>
          <w:bCs/>
          <w:color w:val="auto"/>
          <w:sz w:val="24"/>
          <w:highlight w:val="none"/>
          <w:lang w:val="en-US" w:eastAsia="zh-CN"/>
        </w:rPr>
        <w:outlineLvl w:val="1"/>
      </w:pPr>
      <w:r/>
      <w:bookmarkStart w:id="474" w:name="_Toc5126"/>
      <w:r>
        <w:rPr>
          <w:rFonts w:hint="eastAsia" w:ascii="宋体" w:hAnsi="宋体" w:eastAsia="宋体" w:cs="宋体"/>
          <w:b/>
          <w:bCs/>
          <w:color w:val="auto"/>
          <w:sz w:val="24"/>
          <w:highlight w:val="none"/>
          <w:lang w:val="en-US" w:eastAsia="zh-CN"/>
        </w:rPr>
        <w:t xml:space="preserve">四、磋商</w:t>
      </w:r>
      <w:bookmarkEnd w:id="474"/>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4.1磋商小组邀请资格审查和符合性评审合格的供应商参加磋商。</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4.2</w:t>
      </w:r>
      <w:r>
        <w:rPr>
          <w:rFonts w:hint="default" w:ascii="宋体" w:hAnsi="宋体" w:cs="宋体"/>
          <w:color w:val="auto"/>
          <w:sz w:val="24"/>
          <w:highlight w:val="none"/>
          <w:lang w:val="en-US" w:eastAsia="zh-CN"/>
        </w:rPr>
        <w:t xml:space="preserve">磋商小组所有成员集中与单一供应商分别进行磋商，供应商在项目评审全过程中应保持通讯畅通，并安排法定代表人或授权委托人与采购人及磋商小组联系。</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4.3</w:t>
      </w:r>
      <w:r>
        <w:rPr>
          <w:rFonts w:hint="eastAsia" w:ascii="宋体" w:hAnsi="宋体" w:eastAsia="宋体" w:cs="宋体"/>
          <w:color w:val="auto"/>
          <w:sz w:val="24"/>
          <w:highlight w:val="none"/>
          <w:lang w:val="en-US" w:eastAsia="zh-CN"/>
        </w:rPr>
        <w:t xml:space="preserve">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4.4</w:t>
      </w:r>
      <w:r>
        <w:rPr>
          <w:rFonts w:hint="default" w:ascii="宋体" w:hAnsi="宋体" w:cs="宋体"/>
          <w:color w:val="auto"/>
          <w:sz w:val="24"/>
          <w:highlight w:val="none"/>
          <w:lang w:val="en-US" w:eastAsia="zh-CN"/>
        </w:rPr>
        <w:t xml:space="preserve">在提交最终报价之前，供应商可以根据磋商情况退出磋商。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rPr>
        <w:t xml:space="preserve">磋商结束后，采购代理机构或采购人代表将通过苏采云采购系统提示符合要求的投标供应商进行最终报价（二轮报价），</w:t>
      </w:r>
      <w:r>
        <w:rPr>
          <w:rFonts w:hint="eastAsia" w:ascii="宋体" w:hAnsi="宋体" w:cs="宋体"/>
          <w:color w:val="auto"/>
          <w:sz w:val="24"/>
          <w:highlight w:val="none"/>
          <w:lang w:val="en-US" w:eastAsia="zh-CN"/>
        </w:rPr>
        <w:t xml:space="preserve">因</w:t>
      </w:r>
      <w:r>
        <w:rPr>
          <w:rFonts w:hint="eastAsia" w:ascii="宋体" w:hAnsi="宋体" w:cs="宋体"/>
          <w:color w:val="auto"/>
          <w:sz w:val="24"/>
          <w:highlight w:val="none"/>
        </w:rPr>
        <w:t xml:space="preserve">评审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的时长不确定，请供应商自行关注报价系统，在报价系统开启后的10分钟内提交最终报价（二轮报价）。未能在规定时间内完成报价的供应商视为放弃投标。</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4.6供应商最终报价（二轮报价）应在工程数量、要求、服务等方面不降低的情况下，不得高于前一次报价，否则，磋商小组有权拒绝该磋商报价并不再给予报价补救机会。</w:t>
      </w:r>
      <w:bookmarkEnd w:id="17"/>
      <w:r/>
      <w:bookmarkEnd w:id="18"/>
      <w:r/>
      <w:bookmarkEnd w:id="19"/>
      <w:r/>
      <w:bookmarkEnd w:id="20"/>
      <w:r/>
      <w:bookmarkEnd w:id="21"/>
      <w:r/>
      <w:bookmarkEnd w:id="22"/>
      <w:r/>
      <w:bookmarkEnd w:id="23"/>
      <w:r/>
      <w:bookmarkEnd w:id="24"/>
      <w:r/>
      <w:bookmarkEnd w:id="440"/>
      <w:r/>
      <w:bookmarkEnd w:id="441"/>
      <w:r/>
      <w:bookmarkEnd w:id="442"/>
      <w:r/>
      <w:bookmarkEnd w:id="443"/>
      <w:r/>
      <w:bookmarkEnd w:id="444"/>
      <w:r/>
      <w:bookmarkEnd w:id="445"/>
      <w:r/>
      <w:bookmarkEnd w:id="446"/>
      <w:r/>
      <w:bookmarkEnd w:id="447"/>
      <w:r/>
      <w:bookmarkEnd w:id="448"/>
      <w:r/>
      <w:bookmarkEnd w:id="453"/>
      <w:r/>
      <w:bookmarkEnd w:id="454"/>
      <w:r/>
      <w:bookmarkEnd w:id="455"/>
      <w:r/>
      <w:bookmarkEnd w:id="456"/>
      <w:r/>
      <w:bookmarkEnd w:id="457"/>
      <w:r/>
      <w:bookmarkEnd w:id="458"/>
      <w:r/>
      <w:bookmarkEnd w:id="459"/>
      <w:r/>
      <w:bookmarkEnd w:id="460"/>
      <w:r/>
      <w:bookmarkEnd w:id="461"/>
      <w:r/>
      <w:bookmarkEnd w:id="462"/>
      <w:r/>
      <w:r/>
    </w:p>
    <w:p>
      <w:pPr>
        <w:spacing w:line="360" w:lineRule="auto"/>
        <w:rPr>
          <w:rFonts w:ascii="宋体" w:hAnsi="宋体" w:cs="宋体"/>
          <w:b/>
          <w:bCs/>
          <w:color w:val="auto"/>
          <w:sz w:val="24"/>
          <w:highlight w:val="none"/>
        </w:rPr>
        <w:outlineLvl w:val="1"/>
      </w:pPr>
      <w:r/>
      <w:bookmarkStart w:id="475" w:name="_Toc17684"/>
      <w:r/>
      <w:bookmarkStart w:id="476" w:name="_Toc390246951"/>
      <w:r/>
      <w:bookmarkStart w:id="477" w:name="_Toc382812483"/>
      <w:r/>
      <w:bookmarkStart w:id="478" w:name="_Toc426469928"/>
      <w:r/>
      <w:bookmarkStart w:id="479" w:name="_Toc382813932"/>
      <w:r/>
      <w:bookmarkStart w:id="480" w:name="_Toc282446295"/>
      <w:r/>
      <w:bookmarkStart w:id="481" w:name="_Toc383626040"/>
      <w:r/>
      <w:bookmarkStart w:id="482" w:name="_Toc479757207"/>
      <w:r/>
      <w:bookmarkStart w:id="483" w:name="_Toc383679793"/>
      <w:r/>
      <w:bookmarkStart w:id="484" w:name="_Toc382814013"/>
      <w:r/>
      <w:bookmarkStart w:id="485" w:name="_Toc513029242"/>
      <w:r/>
      <w:bookmarkStart w:id="486" w:name="_Toc383623719"/>
      <w:r/>
      <w:bookmarkStart w:id="487" w:name="_Toc383698693"/>
      <w:r/>
      <w:bookmarkStart w:id="488" w:name="_Toc20823314"/>
      <w:r/>
      <w:bookmarkStart w:id="489" w:name="_Toc288030331"/>
      <w:r/>
      <w:bookmarkStart w:id="490" w:name="_Toc390099064"/>
      <w:r/>
      <w:bookmarkStart w:id="491" w:name="_Toc120614221"/>
      <w:r/>
      <w:bookmarkStart w:id="492" w:name="_Toc405388431"/>
      <w:r/>
      <w:bookmarkStart w:id="493" w:name="_Toc383623991"/>
      <w:r/>
      <w:bookmarkStart w:id="494" w:name="_Toc16938558"/>
      <w:r/>
      <w:bookmarkStart w:id="495" w:name="_Toc383587504"/>
      <w:r/>
      <w:bookmarkStart w:id="496" w:name="_Toc390098886"/>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w:t>
      </w:r>
      <w:bookmarkEnd w:id="475"/>
      <w:r>
        <w:rPr>
          <w:rFonts w:hint="eastAsia" w:ascii="宋体" w:hAnsi="宋体" w:cs="宋体"/>
          <w:b/>
          <w:bCs/>
          <w:color w:val="auto"/>
          <w:sz w:val="24"/>
          <w:highlight w:val="none"/>
        </w:rPr>
        <w:t xml:space="preserve">综合评审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 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 评审时，磋商小组各成员应当独立对每个有效响应的文件进行评价、打分，然后汇总每个供应商每项评分因素的得分。供应商的最终得分为磋商小组所有评委评分的算术平均值，保留小数点后两位。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4.3</w:t>
      </w:r>
      <w:r>
        <w:rPr>
          <w:rFonts w:hint="eastAsia" w:ascii="宋体" w:hAnsi="宋体" w:cs="宋体"/>
          <w:color w:val="auto"/>
          <w:sz w:val="24"/>
          <w:highlight w:val="none"/>
        </w:rPr>
        <w:t xml:space="preserve">综合评分</w:t>
      </w:r>
      <w:r>
        <w:rPr>
          <w:rFonts w:hint="eastAsia" w:ascii="宋体" w:hAnsi="宋体" w:cs="宋体"/>
          <w:color w:val="auto"/>
          <w:sz w:val="24"/>
          <w:highlight w:val="none"/>
          <w:lang w:val="en-US" w:eastAsia="zh-CN"/>
        </w:rPr>
        <w:t xml:space="preserve">因素及标准</w:t>
      </w:r>
      <w:r>
        <w:rPr>
          <w:rFonts w:hint="eastAsia" w:ascii="宋体" w:hAnsi="宋体" w:cs="宋体"/>
          <w:color w:val="auto"/>
          <w:sz w:val="24"/>
          <w:highlight w:val="none"/>
        </w:rPr>
        <w:t xml:space="preserve">详见下表：</w:t>
      </w:r>
      <w:r/>
    </w:p>
    <w:tbl>
      <w:tblPr>
        <w:tblStyle w:val="870"/>
        <w:tblW w:w="51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7"/>
        <w:gridCol w:w="1900"/>
        <w:gridCol w:w="5582"/>
        <w:gridCol w:w="524"/>
      </w:tblGrid>
      <w:tr>
        <w:trPr>
          <w:jc w:val="center"/>
          <w:trHeight w:val="497"/>
        </w:trPr>
        <w:tc>
          <w:tcPr>
            <w:tcMar>
              <w:left w:w="15" w:type="dxa"/>
              <w:top w:w="15" w:type="dxa"/>
              <w:right w:w="15" w:type="dxa"/>
              <w:bottom w:w="0" w:type="dxa"/>
            </w:tcMar>
            <w:tcW w:w="564"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Mar>
              <w:left w:w="15" w:type="dxa"/>
              <w:top w:w="15" w:type="dxa"/>
              <w:right w:w="15" w:type="dxa"/>
              <w:bottom w:w="0" w:type="dxa"/>
            </w:tcMar>
            <w:tcW w:w="1925"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Mar>
              <w:left w:w="15" w:type="dxa"/>
              <w:top w:w="15" w:type="dxa"/>
              <w:right w:w="15" w:type="dxa"/>
              <w:bottom w:w="0" w:type="dxa"/>
            </w:tcMar>
            <w:tcW w:w="5655"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评分标准说明</w:t>
            </w:r>
            <w:r/>
          </w:p>
        </w:tc>
        <w:tc>
          <w:tcPr>
            <w:tcMar>
              <w:left w:w="15" w:type="dxa"/>
              <w:top w:w="15" w:type="dxa"/>
              <w:right w:w="15" w:type="dxa"/>
              <w:bottom w:w="0" w:type="dxa"/>
            </w:tcMar>
            <w:tcW w:w="531"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jc w:val="center"/>
          <w:trHeight w:val="422"/>
        </w:trPr>
        <w:tc>
          <w:tcPr>
            <w:tcMar>
              <w:left w:w="15" w:type="dxa"/>
              <w:top w:w="15" w:type="dxa"/>
              <w:right w:w="15" w:type="dxa"/>
              <w:bottom w:w="0" w:type="dxa"/>
            </w:tcMar>
            <w:tcW w:w="564"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2"/>
            <w:tcMar>
              <w:left w:w="15" w:type="dxa"/>
              <w:top w:w="15" w:type="dxa"/>
              <w:right w:w="15" w:type="dxa"/>
              <w:bottom w:w="0" w:type="dxa"/>
            </w:tcMar>
            <w:tcW w:w="7580"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投标报价部分</w:t>
            </w:r>
            <w:r/>
          </w:p>
        </w:tc>
        <w:tc>
          <w:tcPr>
            <w:tcMar>
              <w:left w:w="15" w:type="dxa"/>
              <w:top w:w="15" w:type="dxa"/>
              <w:right w:w="15" w:type="dxa"/>
              <w:bottom w:w="0" w:type="dxa"/>
            </w:tcMar>
            <w:tcW w:w="531" w:type="dxa"/>
            <w:vAlign w:val="center"/>
            <w:textDirection w:val="lrTb"/>
            <w:noWrap w:val="false"/>
          </w:tcPr>
          <w:p>
            <w:pPr>
              <w:jc w:val="center"/>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30</w:t>
            </w:r>
            <w:r/>
          </w:p>
        </w:tc>
      </w:tr>
      <w:tr>
        <w:trPr>
          <w:jc w:val="center"/>
          <w:trHeight w:val="1091"/>
        </w:trPr>
        <w:tc>
          <w:tcPr>
            <w:tcMar>
              <w:left w:w="15" w:type="dxa"/>
              <w:top w:w="15" w:type="dxa"/>
              <w:right w:w="15" w:type="dxa"/>
              <w:bottom w:w="0" w:type="dxa"/>
            </w:tcMar>
            <w:tcW w:w="564" w:type="dxa"/>
            <w:vAlign w:val="center"/>
            <w:textDirection w:val="lrTb"/>
            <w:noWrap w:val="false"/>
          </w:tcPr>
          <w:p>
            <w:pPr>
              <w:jc w:val="center"/>
              <w:rPr>
                <w:rFonts w:ascii="宋体" w:hAnsi="宋体" w:cs="宋体"/>
                <w:color w:val="auto"/>
                <w:sz w:val="24"/>
                <w:highlight w:val="none"/>
              </w:rPr>
            </w:pPr>
            <w:r/>
            <w:bookmarkStart w:id="497" w:name="OLE_LINK22"/>
            <w:r/>
            <w:bookmarkStart w:id="498" w:name="OLE_LINK21"/>
            <w:r>
              <w:rPr>
                <w:rFonts w:hint="eastAsia" w:ascii="宋体" w:hAnsi="宋体" w:cs="宋体"/>
                <w:color w:val="auto"/>
                <w:sz w:val="24"/>
                <w:highlight w:val="none"/>
              </w:rPr>
              <w:t xml:space="preserve">1</w:t>
            </w:r>
            <w:r/>
          </w:p>
        </w:tc>
        <w:tc>
          <w:tcPr>
            <w:tcMar>
              <w:left w:w="15" w:type="dxa"/>
              <w:top w:w="15" w:type="dxa"/>
              <w:right w:w="15" w:type="dxa"/>
              <w:bottom w:w="0" w:type="dxa"/>
            </w:tcMar>
            <w:tcW w:w="1925" w:type="dxa"/>
            <w:vAlign w:val="center"/>
            <w:textDirection w:val="lrTb"/>
            <w:noWrap w:val="false"/>
          </w:tcPr>
          <w:p>
            <w:pPr>
              <w:jc w:val="center"/>
              <w:rPr>
                <w:rFonts w:ascii="宋体" w:hAnsi="宋体" w:cs="宋体"/>
                <w:color w:val="auto"/>
                <w:sz w:val="24"/>
                <w:highlight w:val="none"/>
              </w:rPr>
            </w:pPr>
            <w:r/>
            <w:bookmarkStart w:id="499" w:name="OLE_LINK49"/>
            <w:r/>
            <w:bookmarkStart w:id="500" w:name="OLE_LINK50"/>
            <w:r>
              <w:rPr>
                <w:rFonts w:hint="eastAsia" w:ascii="宋体" w:hAnsi="宋体" w:cs="宋体"/>
                <w:color w:val="auto"/>
                <w:sz w:val="24"/>
                <w:highlight w:val="none"/>
              </w:rPr>
              <w:t xml:space="preserve">投标报价</w:t>
            </w:r>
            <w:bookmarkEnd w:id="499"/>
            <w:r/>
            <w:bookmarkEnd w:id="500"/>
            <w:r/>
            <w:r/>
          </w:p>
        </w:tc>
        <w:tc>
          <w:tcPr>
            <w:tcMar>
              <w:left w:w="15" w:type="dxa"/>
              <w:top w:w="15" w:type="dxa"/>
              <w:right w:w="15" w:type="dxa"/>
              <w:bottom w:w="0" w:type="dxa"/>
            </w:tcMar>
            <w:tcW w:w="5655" w:type="dxa"/>
            <w:vAlign w:val="center"/>
            <w:textDirection w:val="lrTb"/>
            <w:noWrap w:val="false"/>
          </w:tcPr>
          <w:p>
            <w:pPr>
              <w:ind w:firstLine="240"/>
              <w:keepLines w:val="0"/>
              <w:keepNext w:val="0"/>
              <w:pageBreakBefore w:val="0"/>
              <w:widowControl w:val="off"/>
              <w:rPr>
                <w:rFonts w:ascii="宋体" w:hAnsi="宋体" w:cs="宋体"/>
                <w:color w:val="auto"/>
                <w:sz w:val="24"/>
                <w:highlight w:val="none"/>
              </w:rPr>
            </w:pPr>
            <w:r/>
            <w:bookmarkStart w:id="501" w:name="OLE_LINK51"/>
            <w:r/>
            <w:bookmarkStart w:id="502" w:name="OLE_LINK76"/>
            <w:r/>
            <w:bookmarkStart w:id="503" w:name="OLE_LINK48"/>
            <w:r/>
            <w:bookmarkStart w:id="504" w:name="OLE_LINK47"/>
            <w:r>
              <w:rPr>
                <w:rFonts w:hint="eastAsia" w:ascii="宋体" w:hAnsi="宋体" w:cs="宋体"/>
                <w:color w:val="auto"/>
                <w:sz w:val="24"/>
                <w:highlight w:val="none"/>
              </w:rPr>
              <w:t xml:space="preserve">按满足竞争性磋商文件要求且最终有效报价最低的作为磋商基准价，其价格分为满分；其他供应商的价格分按以下公式计算：磋商报价得分＝（磋商基准价/最终响应报价）×</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（分值保留两位小数）。</w:t>
            </w:r>
            <w:r/>
          </w:p>
          <w:p>
            <w:pPr>
              <w:pStyle w:val="1137"/>
              <w:ind w:firstLine="240"/>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lang w:val="en-US"/>
              </w:rPr>
              <w:t xml:space="preserve">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有权将其作为无效标处理。</w:t>
            </w:r>
            <w:bookmarkEnd w:id="501"/>
            <w:r/>
            <w:bookmarkEnd w:id="502"/>
            <w:r/>
            <w:bookmarkEnd w:id="503"/>
            <w:r/>
            <w:bookmarkEnd w:id="504"/>
            <w:r/>
            <w:r/>
          </w:p>
        </w:tc>
        <w:tc>
          <w:tcPr>
            <w:tcMar>
              <w:left w:w="15" w:type="dxa"/>
              <w:top w:w="15" w:type="dxa"/>
              <w:right w:w="15" w:type="dxa"/>
              <w:bottom w:w="0" w:type="dxa"/>
            </w:tcMar>
            <w:tcW w:w="531"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30</w:t>
            </w:r>
            <w:bookmarkEnd w:id="497"/>
            <w:r/>
            <w:bookmarkEnd w:id="498"/>
            <w:r/>
            <w:r/>
          </w:p>
        </w:tc>
      </w:tr>
      <w:tr>
        <w:trPr>
          <w:jc w:val="center"/>
          <w:trHeight w:val="410"/>
        </w:trPr>
        <w:tc>
          <w:tcPr>
            <w:tcMar>
              <w:left w:w="15" w:type="dxa"/>
              <w:top w:w="15" w:type="dxa"/>
              <w:right w:w="15" w:type="dxa"/>
              <w:bottom w:w="0" w:type="dxa"/>
            </w:tcMar>
            <w:tcW w:w="564"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2"/>
            <w:tcMar>
              <w:left w:w="15" w:type="dxa"/>
              <w:top w:w="15" w:type="dxa"/>
              <w:right w:w="15" w:type="dxa"/>
              <w:bottom w:w="0" w:type="dxa"/>
            </w:tcMar>
            <w:tcW w:w="7580"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商务部分</w:t>
            </w:r>
            <w:r/>
          </w:p>
        </w:tc>
        <w:tc>
          <w:tcPr>
            <w:tcMar>
              <w:left w:w="15" w:type="dxa"/>
              <w:top w:w="15" w:type="dxa"/>
              <w:right w:w="15" w:type="dxa"/>
              <w:bottom w:w="0" w:type="dxa"/>
            </w:tcMar>
            <w:tcW w:w="531"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20</w:t>
            </w:r>
            <w:r/>
          </w:p>
        </w:tc>
      </w:tr>
      <w:tr>
        <w:trPr>
          <w:jc w:val="center"/>
          <w:trHeight w:val="876"/>
        </w:trPr>
        <w:tc>
          <w:tcPr>
            <w:tcMar>
              <w:left w:w="15" w:type="dxa"/>
              <w:top w:w="15" w:type="dxa"/>
              <w:right w:w="15" w:type="dxa"/>
              <w:bottom w:w="0" w:type="dxa"/>
            </w:tcMar>
            <w:tcW w:w="56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bottom w:w="0" w:type="dxa"/>
            </w:tcMar>
            <w:tcW w:w="1925" w:type="dxa"/>
            <w:vAlign w:val="center"/>
            <w:textDirection w:val="lrTb"/>
            <w:noWrap w:val="false"/>
          </w:tcPr>
          <w:p>
            <w:pPr>
              <w:jc w:val="center"/>
              <w:rPr>
                <w:rFonts w:ascii="宋体" w:hAnsi="宋体" w:cs="宋体"/>
                <w:color w:val="auto"/>
                <w:sz w:val="24"/>
                <w:highlight w:val="none"/>
              </w:rPr>
            </w:pPr>
            <w:r/>
            <w:bookmarkStart w:id="505" w:name="OLE_LINK52"/>
            <w:r>
              <w:rPr>
                <w:rFonts w:hint="eastAsia" w:ascii="宋体" w:hAnsi="宋体" w:cs="宋体"/>
                <w:color w:val="auto"/>
                <w:sz w:val="24"/>
                <w:highlight w:val="none"/>
              </w:rPr>
              <w:t xml:space="preserve">企业资信</w:t>
            </w:r>
            <w:bookmarkEnd w:id="505"/>
            <w:r/>
            <w:r/>
          </w:p>
        </w:tc>
        <w:tc>
          <w:tcPr>
            <w:tcMar>
              <w:left w:w="15" w:type="dxa"/>
              <w:top w:w="15" w:type="dxa"/>
              <w:right w:w="15" w:type="dxa"/>
              <w:bottom w:w="0" w:type="dxa"/>
            </w:tcMar>
            <w:tcW w:w="5655" w:type="dxa"/>
            <w:vAlign w:val="center"/>
            <w:textDirection w:val="lrTb"/>
            <w:noWrap w:val="false"/>
          </w:tcPr>
          <w:p>
            <w:pPr>
              <w:ind w:firstLine="240"/>
              <w:widowControl/>
              <w:rPr>
                <w:rFonts w:ascii="宋体" w:hAnsi="宋体" w:cs="宋体"/>
                <w:color w:val="auto"/>
                <w:sz w:val="24"/>
                <w:highlight w:val="none"/>
              </w:rPr>
            </w:pPr>
            <w:r/>
            <w:bookmarkStart w:id="506" w:name="OLE_LINK53"/>
            <w:r/>
            <w:bookmarkStart w:id="507" w:name="OLE_LINK54"/>
            <w:r>
              <w:rPr>
                <w:rFonts w:hint="eastAsia" w:ascii="宋体" w:hAnsi="宋体" w:cs="宋体"/>
                <w:color w:val="auto"/>
                <w:sz w:val="24"/>
                <w:highlight w:val="none"/>
              </w:rPr>
              <w:t xml:space="preserve">供应商具有有效的质量管理体系认证、环境管理体系认证、职业健康安全管理体系认证书的，每有一个得2分；本项最高得6分。</w:t>
            </w:r>
            <w:r/>
          </w:p>
          <w:p>
            <w:pPr>
              <w:ind w:firstLine="241"/>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注：上述证书均必须在有效期内并能够在国家认证认可监督管理委员会网址可查询。查询网址：http://cx.cnca.cn/CertECloud/index/index/page。</w:t>
            </w:r>
            <w:r/>
          </w:p>
          <w:p>
            <w:pPr>
              <w:jc w:val="left"/>
              <w:widowControl/>
              <w:rPr>
                <w:rFonts w:ascii="宋体" w:hAnsi="宋体" w:cs="宋体"/>
                <w:color w:val="auto"/>
                <w:sz w:val="24"/>
                <w:highlight w:val="none"/>
              </w:rPr>
            </w:pPr>
            <w:r>
              <w:rPr>
                <w:rFonts w:hint="eastAsia" w:ascii="宋体" w:hAnsi="宋体" w:cs="宋体"/>
                <w:b/>
                <w:bCs/>
                <w:color w:val="auto"/>
                <w:sz w:val="24"/>
                <w:highlight w:val="none"/>
              </w:rPr>
              <w:t xml:space="preserve">提供相应证书扫描件及国家认证认可监督管理委员会网址查询截图</w:t>
            </w:r>
            <w:r>
              <w:rPr>
                <w:rFonts w:hint="eastAsia" w:ascii="宋体" w:hAnsi="宋体" w:cs="宋体"/>
                <w:b/>
                <w:bCs/>
                <w:color w:val="auto"/>
                <w:sz w:val="24"/>
                <w:highlight w:val="none"/>
                <w:lang w:val="en-US" w:eastAsia="zh-CN"/>
              </w:rPr>
              <w:t xml:space="preserve">并加盖公章</w:t>
            </w:r>
            <w:r>
              <w:rPr>
                <w:rFonts w:hint="eastAsia" w:ascii="宋体" w:hAnsi="宋体" w:cs="宋体"/>
                <w:b/>
                <w:bCs/>
                <w:color w:val="auto"/>
                <w:sz w:val="24"/>
                <w:highlight w:val="none"/>
              </w:rPr>
              <w:t xml:space="preserve">，缺一不可，否则不得分。</w:t>
            </w:r>
            <w:bookmarkEnd w:id="506"/>
            <w:r/>
            <w:bookmarkEnd w:id="507"/>
            <w:r/>
            <w:r/>
          </w:p>
        </w:tc>
        <w:tc>
          <w:tcPr>
            <w:tcMar>
              <w:left w:w="15" w:type="dxa"/>
              <w:top w:w="15" w:type="dxa"/>
              <w:right w:w="15" w:type="dxa"/>
              <w:bottom w:w="0" w:type="dxa"/>
            </w:tcMar>
            <w:tcW w:w="53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r>
      <w:tr>
        <w:trPr>
          <w:jc w:val="center"/>
          <w:trHeight w:val="1638"/>
        </w:trPr>
        <w:tc>
          <w:tcPr>
            <w:tcMar>
              <w:left w:w="15" w:type="dxa"/>
              <w:top w:w="15" w:type="dxa"/>
              <w:right w:w="15" w:type="dxa"/>
              <w:bottom w:w="0" w:type="dxa"/>
            </w:tcMar>
            <w:tcW w:w="56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Mar>
              <w:left w:w="15" w:type="dxa"/>
              <w:top w:w="15" w:type="dxa"/>
              <w:right w:w="15" w:type="dxa"/>
              <w:bottom w:w="0" w:type="dxa"/>
            </w:tcMar>
            <w:tcW w:w="1925" w:type="dxa"/>
            <w:vAlign w:val="center"/>
            <w:textDirection w:val="lrTb"/>
            <w:noWrap w:val="false"/>
          </w:tcPr>
          <w:p>
            <w:pPr>
              <w:jc w:val="center"/>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项目</w:t>
            </w:r>
            <w:r>
              <w:rPr>
                <w:rFonts w:hint="eastAsia" w:ascii="宋体" w:hAnsi="宋体" w:cs="宋体"/>
                <w:color w:val="auto"/>
                <w:sz w:val="24"/>
                <w:highlight w:val="none"/>
                <w:lang w:val="en-US" w:eastAsia="zh-CN"/>
              </w:rPr>
              <w:t xml:space="preserve">负责人</w:t>
            </w:r>
            <w:r/>
          </w:p>
        </w:tc>
        <w:tc>
          <w:tcPr>
            <w:tcMar>
              <w:left w:w="15" w:type="dxa"/>
              <w:top w:w="15" w:type="dxa"/>
              <w:right w:w="15" w:type="dxa"/>
              <w:bottom w:w="0" w:type="dxa"/>
            </w:tcMar>
            <w:tcW w:w="5655" w:type="dxa"/>
            <w:vAlign w:val="center"/>
            <w:textDirection w:val="lrTb"/>
            <w:noWrap w:val="false"/>
          </w:tcPr>
          <w:p>
            <w:pPr>
              <w:ind w:firstLine="241"/>
              <w:jc w:val="left"/>
              <w:rPr>
                <w:rFonts w:hint="eastAsia" w:ascii="宋体" w:hAnsi="宋体" w:eastAsia="宋体" w:cs="宋体"/>
                <w:color w:val="auto"/>
                <w:sz w:val="24"/>
                <w:szCs w:val="24"/>
                <w:highlight w:val="none"/>
              </w:rPr>
            </w:pPr>
            <w:r/>
            <w:bookmarkStart w:id="508" w:name="OLE_LINK56"/>
            <w:r>
              <w:rPr>
                <w:rFonts w:hint="eastAsia" w:ascii="宋体" w:hAnsi="宋体" w:eastAsia="宋体" w:cs="宋体"/>
                <w:color w:val="auto"/>
                <w:sz w:val="24"/>
                <w:szCs w:val="24"/>
                <w:highlight w:val="none"/>
              </w:rPr>
              <w:t xml:space="preserve">拟派项目负责人具有公路工程及相关专业的中级及以上技术职称（公路工程相关专业职称包括公路工程、桥梁工程、公路与桥梁工程、交通土建、隧道(地下结构)工程、交通工程等专业职称）得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41"/>
              <w:jc w:val="left"/>
              <w:rPr>
                <w:rFonts w:ascii="宋体" w:hAnsi="宋体" w:cs="宋体"/>
                <w:color w:val="auto"/>
                <w:sz w:val="24"/>
                <w:highlight w:val="none"/>
              </w:rPr>
            </w:pPr>
            <w:r>
              <w:rPr>
                <w:rFonts w:hint="eastAsia" w:ascii="宋体" w:hAnsi="宋体" w:eastAsia="宋体" w:cs="宋体"/>
                <w:color w:val="auto"/>
                <w:sz w:val="24"/>
                <w:szCs w:val="24"/>
                <w:highlight w:val="none"/>
              </w:rPr>
              <w:t xml:space="preserve">注：提供职称证书</w:t>
            </w:r>
            <w:r>
              <w:rPr>
                <w:rFonts w:hint="eastAsia" w:ascii="宋体" w:hAnsi="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及供应商为上述人员缴纳的养老保险证明（要求同公告中项目负责人的养老保险要求）</w:t>
            </w:r>
            <w:r>
              <w:rPr>
                <w:rFonts w:hint="eastAsia" w:ascii="宋体" w:hAnsi="宋体" w:cs="宋体"/>
                <w:color w:val="auto"/>
                <w:sz w:val="24"/>
                <w:szCs w:val="24"/>
                <w:highlight w:val="none"/>
                <w:lang w:val="en-US" w:eastAsia="zh-CN"/>
              </w:rPr>
              <w:t xml:space="preserve">并加盖公章</w:t>
            </w:r>
            <w:r>
              <w:rPr>
                <w:rFonts w:hint="eastAsia" w:ascii="宋体" w:hAnsi="宋体" w:eastAsia="宋体" w:cs="宋体"/>
                <w:color w:val="auto"/>
                <w:sz w:val="24"/>
                <w:szCs w:val="24"/>
                <w:highlight w:val="none"/>
              </w:rPr>
              <w:t xml:space="preserve">，否则不得分。</w:t>
            </w:r>
            <w:bookmarkEnd w:id="508"/>
            <w:r/>
            <w:r/>
          </w:p>
        </w:tc>
        <w:tc>
          <w:tcPr>
            <w:tcMar>
              <w:left w:w="15" w:type="dxa"/>
              <w:top w:w="15" w:type="dxa"/>
              <w:right w:w="15" w:type="dxa"/>
              <w:bottom w:w="0" w:type="dxa"/>
            </w:tcMar>
            <w:tcW w:w="531"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r>
      <w:tr>
        <w:trPr>
          <w:jc w:val="center"/>
          <w:trHeight w:val="231"/>
        </w:trPr>
        <w:tc>
          <w:tcPr>
            <w:tcMar>
              <w:left w:w="15" w:type="dxa"/>
              <w:top w:w="15" w:type="dxa"/>
              <w:right w:w="15" w:type="dxa"/>
              <w:bottom w:w="0" w:type="dxa"/>
            </w:tcMar>
            <w:tcW w:w="56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Mar>
              <w:left w:w="15" w:type="dxa"/>
              <w:top w:w="15" w:type="dxa"/>
              <w:right w:w="15" w:type="dxa"/>
              <w:bottom w:w="0" w:type="dxa"/>
            </w:tcMar>
            <w:tcW w:w="1925" w:type="dxa"/>
            <w:vAlign w:val="center"/>
            <w:textDirection w:val="lrTb"/>
            <w:noWrap w:val="false"/>
          </w:tcPr>
          <w:p>
            <w:pPr>
              <w:jc w:val="center"/>
              <w:rPr>
                <w:rFonts w:ascii="宋体" w:hAnsi="宋体" w:cs="宋体"/>
                <w:color w:val="auto"/>
                <w:sz w:val="24"/>
                <w:highlight w:val="none"/>
              </w:rPr>
            </w:pPr>
            <w:r/>
            <w:bookmarkStart w:id="509" w:name="OLE_LINK59"/>
            <w:r/>
            <w:bookmarkStart w:id="510" w:name="OLE_LINK58"/>
            <w:r/>
            <w:bookmarkStart w:id="511" w:name="OLE_LINK57"/>
            <w:r>
              <w:rPr>
                <w:rFonts w:hint="eastAsia" w:ascii="宋体" w:hAnsi="宋体" w:cs="宋体"/>
                <w:color w:val="auto"/>
                <w:sz w:val="24"/>
                <w:highlight w:val="none"/>
                <w:lang w:val="en-US" w:eastAsia="zh-CN"/>
              </w:rPr>
              <w:t xml:space="preserve">企业</w:t>
            </w:r>
            <w:r>
              <w:rPr>
                <w:rFonts w:hint="eastAsia" w:ascii="宋体" w:hAnsi="宋体" w:cs="宋体"/>
                <w:color w:val="auto"/>
                <w:sz w:val="24"/>
                <w:highlight w:val="none"/>
              </w:rPr>
              <w:t xml:space="preserve">业绩</w:t>
            </w:r>
            <w:bookmarkEnd w:id="509"/>
            <w:r/>
            <w:bookmarkEnd w:id="510"/>
            <w:r/>
            <w:bookmarkEnd w:id="511"/>
            <w:r/>
            <w:r/>
          </w:p>
        </w:tc>
        <w:tc>
          <w:tcPr>
            <w:tcMar>
              <w:left w:w="15" w:type="dxa"/>
              <w:top w:w="15" w:type="dxa"/>
              <w:right w:w="15" w:type="dxa"/>
              <w:bottom w:w="0" w:type="dxa"/>
            </w:tcMar>
            <w:tcW w:w="5655" w:type="dxa"/>
            <w:vAlign w:val="center"/>
            <w:textDirection w:val="lrTb"/>
            <w:noWrap w:val="false"/>
          </w:tcPr>
          <w:p>
            <w:pPr>
              <w:ind w:firstLine="241"/>
              <w:jc w:val="left"/>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自202</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年1月1日以来（以“工程竣工验收证明资料”中载明的竣工验收日期或完工日期为准），</w:t>
            </w:r>
            <w:r>
              <w:rPr>
                <w:rFonts w:hint="eastAsia" w:ascii="宋体" w:hAnsi="宋体" w:cs="宋体"/>
                <w:b w:val="0"/>
                <w:bCs w:val="0"/>
                <w:color w:val="auto"/>
                <w:sz w:val="24"/>
                <w:szCs w:val="24"/>
                <w:highlight w:val="none"/>
                <w:lang w:val="en-US" w:eastAsia="zh-CN"/>
              </w:rPr>
              <w:t xml:space="preserve">供应商</w:t>
            </w:r>
            <w:r>
              <w:rPr>
                <w:rFonts w:hint="eastAsia" w:ascii="宋体" w:hAnsi="宋体" w:cs="宋体"/>
                <w:b w:val="0"/>
                <w:bCs w:val="0"/>
                <w:color w:val="auto"/>
                <w:sz w:val="24"/>
                <w:szCs w:val="24"/>
                <w:highlight w:val="none"/>
                <w:lang w:eastAsia="zh-CN"/>
              </w:rPr>
              <w:t xml:space="preserve">承担过类似公路工程施工业绩的，有一个得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分，本小项最高得</w:t>
            </w:r>
            <w:r>
              <w:rPr>
                <w:rFonts w:hint="eastAsia" w:ascii="宋体" w:hAnsi="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eastAsia="zh-CN"/>
              </w:rPr>
              <w:t xml:space="preserve">分。</w:t>
            </w:r>
            <w:r/>
          </w:p>
          <w:p>
            <w:pPr>
              <w:ind w:firstLine="241"/>
              <w:jc w:val="left"/>
              <w:rPr>
                <w:rFonts w:ascii="宋体" w:hAnsi="宋体" w:cs="宋体"/>
                <w:color w:val="auto"/>
                <w:sz w:val="24"/>
                <w:highlight w:val="none"/>
              </w:rPr>
            </w:pPr>
            <w:r>
              <w:rPr>
                <w:rFonts w:hint="eastAsia" w:ascii="宋体" w:hAnsi="宋体" w:cs="宋体"/>
                <w:b/>
                <w:bCs/>
                <w:color w:val="auto"/>
                <w:sz w:val="24"/>
                <w:highlight w:val="none"/>
              </w:rPr>
              <w:t xml:space="preserve">注：业绩证明材料须同时提供中标（成交）通知书（直接发包通知书）、合同协议书，以及竣（完）工验收证明资料（或其他证明项目完成的佐证资料）。以上材料缺一不可，否则不予认可。提供上述所有材料</w:t>
            </w:r>
            <w:r>
              <w:rPr>
                <w:rFonts w:hint="eastAsia" w:ascii="宋体" w:hAnsi="宋体" w:cs="宋体"/>
                <w:b/>
                <w:bCs/>
                <w:color w:val="auto"/>
                <w:sz w:val="24"/>
                <w:highlight w:val="none"/>
                <w:lang w:val="en-US" w:eastAsia="zh-CN"/>
              </w:rPr>
              <w:t xml:space="preserve">扫描件</w:t>
            </w:r>
            <w:r>
              <w:rPr>
                <w:rFonts w:hint="eastAsia" w:ascii="宋体" w:hAnsi="宋体" w:cs="宋体"/>
                <w:b/>
                <w:bCs/>
                <w:color w:val="auto"/>
                <w:sz w:val="24"/>
                <w:highlight w:val="none"/>
              </w:rPr>
              <w:t xml:space="preserve">加盖公章，否则不得分。</w:t>
            </w:r>
            <w:r/>
          </w:p>
        </w:tc>
        <w:tc>
          <w:tcPr>
            <w:tcMar>
              <w:left w:w="15" w:type="dxa"/>
              <w:top w:w="15" w:type="dxa"/>
              <w:right w:w="15" w:type="dxa"/>
              <w:bottom w:w="0" w:type="dxa"/>
            </w:tcMar>
            <w:tcW w:w="531"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r>
      <w:tr>
        <w:trPr>
          <w:jc w:val="center"/>
          <w:trHeight w:val="472"/>
        </w:trPr>
        <w:tc>
          <w:tcPr>
            <w:tcMar>
              <w:left w:w="15" w:type="dxa"/>
              <w:top w:w="15" w:type="dxa"/>
              <w:right w:w="15" w:type="dxa"/>
              <w:bottom w:w="0" w:type="dxa"/>
            </w:tcMar>
            <w:tcW w:w="56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三</w:t>
            </w:r>
            <w:r/>
          </w:p>
        </w:tc>
        <w:tc>
          <w:tcPr>
            <w:gridSpan w:val="2"/>
            <w:tcMar>
              <w:left w:w="15" w:type="dxa"/>
              <w:top w:w="15" w:type="dxa"/>
              <w:right w:w="15" w:type="dxa"/>
              <w:bottom w:w="0" w:type="dxa"/>
            </w:tcMar>
            <w:tcW w:w="7580"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技术部分</w:t>
            </w:r>
            <w:r/>
          </w:p>
        </w:tc>
        <w:tc>
          <w:tcPr>
            <w:tcMar>
              <w:left w:w="15" w:type="dxa"/>
              <w:top w:w="15" w:type="dxa"/>
              <w:right w:w="15" w:type="dxa"/>
              <w:bottom w:w="0" w:type="dxa"/>
            </w:tcMar>
            <w:tcW w:w="531" w:type="dxa"/>
            <w:vAlign w:val="center"/>
            <w:textDirection w:val="lrTb"/>
            <w:noWrap w:val="false"/>
          </w:tcPr>
          <w:p>
            <w:pPr>
              <w:jc w:val="center"/>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50</w:t>
            </w:r>
            <w:r/>
          </w:p>
        </w:tc>
      </w:tr>
      <w:tr>
        <w:trPr>
          <w:jc w:val="center"/>
          <w:trHeight w:val="422"/>
        </w:trPr>
        <w:tc>
          <w:tcPr>
            <w:tcMar>
              <w:left w:w="15" w:type="dxa"/>
              <w:top w:w="15" w:type="dxa"/>
              <w:right w:w="15" w:type="dxa"/>
              <w:bottom w:w="0" w:type="dxa"/>
            </w:tcMar>
            <w:tcW w:w="564"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bottom w:w="0" w:type="dxa"/>
            </w:tcMar>
            <w:tcW w:w="1925" w:type="dxa"/>
            <w:vAlign w:val="center"/>
            <w:textDirection w:val="lrTb"/>
            <w:noWrap w:val="false"/>
          </w:tcPr>
          <w:p>
            <w:pPr>
              <w:jc w:val="center"/>
              <w:spacing w:line="360" w:lineRule="exact"/>
              <w:rPr>
                <w:rFonts w:ascii="宋体" w:hAnsi="宋体" w:cs="宋体"/>
                <w:color w:val="auto"/>
                <w:sz w:val="24"/>
                <w:highlight w:val="none"/>
              </w:rPr>
            </w:pPr>
            <w:r/>
            <w:bookmarkStart w:id="512" w:name="OLE_LINK62"/>
            <w:r>
              <w:rPr>
                <w:rFonts w:hint="eastAsia" w:ascii="宋体" w:hAnsi="宋体" w:cs="宋体"/>
                <w:color w:val="auto"/>
                <w:spacing w:val="-6"/>
                <w:sz w:val="24"/>
                <w:highlight w:val="none"/>
              </w:rPr>
              <w:t xml:space="preserve">工程概述、总体安排、及施工部署等</w:t>
            </w:r>
            <w:bookmarkEnd w:id="512"/>
            <w:r/>
            <w:r/>
          </w:p>
        </w:tc>
        <w:tc>
          <w:tcPr>
            <w:tcW w:w="5655" w:type="dxa"/>
            <w:vAlign w:val="center"/>
            <w:textDirection w:val="lrTb"/>
            <w:noWrap w:val="false"/>
          </w:tcPr>
          <w:p>
            <w:pPr>
              <w:jc w:val="left"/>
              <w:spacing w:line="360" w:lineRule="exact"/>
              <w:rPr>
                <w:rFonts w:ascii="宋体" w:hAnsi="宋体" w:cs="宋体"/>
                <w:color w:val="auto"/>
                <w:sz w:val="24"/>
                <w:highlight w:val="none"/>
              </w:rPr>
            </w:pPr>
            <w:r/>
            <w:bookmarkStart w:id="513" w:name="OLE_LINK64"/>
            <w:r/>
            <w:bookmarkStart w:id="514" w:name="OLE_LINK63"/>
            <w:r>
              <w:rPr>
                <w:rFonts w:hint="eastAsia" w:ascii="宋体" w:hAnsi="宋体" w:cs="宋体"/>
                <w:color w:val="auto"/>
                <w:sz w:val="24"/>
                <w:highlight w:val="none"/>
              </w:rPr>
              <w:t xml:space="preserve">根据投标人提供的本工程的工程概述、总体安排、及施工部署等内容进行评分：细致全面、合理、完全响应需求，技术可行性强得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分；较为完整、基本响应需求的得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分；不完全、响应度低、技术可行性低得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分；不提供不得分。</w:t>
            </w:r>
            <w:bookmarkEnd w:id="513"/>
            <w:r/>
            <w:bookmarkEnd w:id="514"/>
            <w:r/>
            <w:r/>
          </w:p>
        </w:tc>
        <w:tc>
          <w:tcPr>
            <w:tcMar>
              <w:left w:w="15" w:type="dxa"/>
              <w:top w:w="15" w:type="dxa"/>
              <w:right w:w="15" w:type="dxa"/>
              <w:bottom w:w="0" w:type="dxa"/>
            </w:tcMar>
            <w:tcW w:w="531" w:type="dxa"/>
            <w:vAlign w:val="center"/>
            <w:textDirection w:val="lrTb"/>
            <w:noWrap w:val="false"/>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r>
      <w:tr>
        <w:trPr>
          <w:jc w:val="center"/>
          <w:trHeight w:val="567"/>
        </w:trPr>
        <w:tc>
          <w:tcPr>
            <w:tcMar>
              <w:left w:w="15" w:type="dxa"/>
              <w:top w:w="15" w:type="dxa"/>
              <w:right w:w="15" w:type="dxa"/>
              <w:bottom w:w="0" w:type="dxa"/>
            </w:tcMar>
            <w:tcW w:w="564"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Mar>
              <w:left w:w="15" w:type="dxa"/>
              <w:top w:w="15" w:type="dxa"/>
              <w:right w:w="15" w:type="dxa"/>
              <w:bottom w:w="0" w:type="dxa"/>
            </w:tcMar>
            <w:tcW w:w="1925" w:type="dxa"/>
            <w:vAlign w:val="center"/>
            <w:textDirection w:val="lrTb"/>
            <w:noWrap w:val="false"/>
          </w:tcPr>
          <w:p>
            <w:pPr>
              <w:jc w:val="center"/>
              <w:spacing w:line="360" w:lineRule="exact"/>
              <w:rPr>
                <w:rFonts w:ascii="宋体" w:hAnsi="宋体" w:cs="宋体"/>
                <w:color w:val="auto"/>
                <w:sz w:val="24"/>
                <w:highlight w:val="none"/>
              </w:rPr>
            </w:pPr>
            <w:r/>
            <w:bookmarkStart w:id="515" w:name="OLE_LINK66"/>
            <w:r/>
            <w:bookmarkStart w:id="516" w:name="OLE_LINK65"/>
            <w:r>
              <w:rPr>
                <w:rFonts w:hint="eastAsia" w:ascii="宋体" w:hAnsi="宋体" w:cs="宋体"/>
                <w:color w:val="auto"/>
                <w:spacing w:val="-6"/>
                <w:sz w:val="24"/>
                <w:highlight w:val="none"/>
              </w:rPr>
              <w:t xml:space="preserve">关于本工程施工进度计划的描述，以及为完成该计划所定措施</w:t>
            </w:r>
            <w:bookmarkEnd w:id="515"/>
            <w:r/>
            <w:bookmarkEnd w:id="516"/>
            <w:r/>
            <w:r/>
          </w:p>
        </w:tc>
        <w:tc>
          <w:tcPr>
            <w:tcW w:w="5655" w:type="dxa"/>
            <w:vAlign w:val="center"/>
            <w:textDirection w:val="lrTb"/>
            <w:noWrap w:val="false"/>
          </w:tcPr>
          <w:p>
            <w:pPr>
              <w:jc w:val="left"/>
              <w:spacing w:line="360" w:lineRule="exact"/>
              <w:rPr>
                <w:rFonts w:ascii="宋体" w:hAnsi="宋体" w:cs="宋体"/>
                <w:color w:val="auto"/>
                <w:sz w:val="24"/>
                <w:highlight w:val="none"/>
              </w:rPr>
            </w:pPr>
            <w:r/>
            <w:bookmarkStart w:id="517" w:name="OLE_LINK77"/>
            <w:r/>
            <w:bookmarkStart w:id="518" w:name="_Hlk194502702"/>
            <w:r>
              <w:rPr>
                <w:rFonts w:hint="eastAsia" w:ascii="宋体" w:hAnsi="宋体" w:cs="宋体"/>
                <w:color w:val="auto"/>
                <w:sz w:val="24"/>
                <w:highlight w:val="none"/>
              </w:rPr>
              <w:t xml:space="preserve">根据本工程施工进度计划的描述，以及为完成该计划所定措施等内容进行评分：细致全面、合理、完全响应需求，技术可行性强得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分；较为完整、基本响应需求的得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分；不完全、响应度低、技术可行性低得2分；不提供不得分。</w:t>
            </w:r>
            <w:bookmarkEnd w:id="517"/>
            <w:r/>
            <w:bookmarkEnd w:id="518"/>
            <w:r/>
            <w:r/>
          </w:p>
        </w:tc>
        <w:tc>
          <w:tcPr>
            <w:tcMar>
              <w:left w:w="15" w:type="dxa"/>
              <w:top w:w="15" w:type="dxa"/>
              <w:right w:w="15" w:type="dxa"/>
              <w:bottom w:w="0" w:type="dxa"/>
            </w:tcMar>
            <w:tcW w:w="531" w:type="dxa"/>
            <w:vAlign w:val="center"/>
            <w:textDirection w:val="lrTb"/>
            <w:noWrap w:val="false"/>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r>
      <w:tr>
        <w:trPr>
          <w:jc w:val="center"/>
          <w:trHeight w:val="567"/>
        </w:trPr>
        <w:tc>
          <w:tcPr>
            <w:tcMar>
              <w:left w:w="15" w:type="dxa"/>
              <w:top w:w="15" w:type="dxa"/>
              <w:right w:w="15" w:type="dxa"/>
              <w:bottom w:w="0" w:type="dxa"/>
            </w:tcMar>
            <w:tcW w:w="564"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Mar>
              <w:left w:w="15" w:type="dxa"/>
              <w:top w:w="15" w:type="dxa"/>
              <w:right w:w="15" w:type="dxa"/>
              <w:bottom w:w="0" w:type="dxa"/>
            </w:tcMar>
            <w:tcW w:w="1925"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pacing w:val="-6"/>
                <w:sz w:val="24"/>
                <w:highlight w:val="none"/>
              </w:rPr>
              <w:t xml:space="preserve">工程分部分项工程的施工方案、关键施工技术、工艺及工程项目实施的重点、难点和解决方案、具体施工技术措施</w:t>
            </w:r>
            <w:r/>
          </w:p>
        </w:tc>
        <w:tc>
          <w:tcPr>
            <w:tcW w:w="5655" w:type="dxa"/>
            <w:vAlign w:val="center"/>
            <w:textDirection w:val="lrTb"/>
            <w:noWrap w:val="false"/>
          </w:tcPr>
          <w:p>
            <w:pPr>
              <w:jc w:val="left"/>
              <w:spacing w:line="360" w:lineRule="exact"/>
              <w:rPr>
                <w:rFonts w:ascii="宋体" w:hAnsi="宋体" w:cs="宋体"/>
                <w:color w:val="auto"/>
                <w:sz w:val="24"/>
                <w:highlight w:val="none"/>
              </w:rPr>
            </w:pPr>
            <w:r/>
            <w:bookmarkStart w:id="519" w:name="OLE_LINK78"/>
            <w:r>
              <w:rPr>
                <w:rFonts w:hint="eastAsia" w:ascii="宋体" w:hAnsi="宋体" w:cs="宋体"/>
                <w:color w:val="auto"/>
                <w:sz w:val="24"/>
                <w:highlight w:val="none"/>
              </w:rPr>
              <w:t xml:space="preserve">根据投标人提供的本工程的施工方案、关键施工技术、工艺及工程项目实施的重点、难点和解决方案、具体施工技术措施等内容进行评分：细致全面、合理、完全响应需求，技术可行性强得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分；较为完整、基本响应需求的得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分；不完全、响应度低、技术可行性低得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分；不提供不得分。</w:t>
            </w:r>
            <w:bookmarkEnd w:id="519"/>
            <w:r/>
            <w:r/>
          </w:p>
        </w:tc>
        <w:tc>
          <w:tcPr>
            <w:tcMar>
              <w:left w:w="15" w:type="dxa"/>
              <w:top w:w="15" w:type="dxa"/>
              <w:right w:w="15" w:type="dxa"/>
              <w:bottom w:w="0" w:type="dxa"/>
            </w:tcMar>
            <w:tcW w:w="531" w:type="dxa"/>
            <w:vAlign w:val="center"/>
            <w:textDirection w:val="lrTb"/>
            <w:noWrap w:val="false"/>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p>
        </w:tc>
      </w:tr>
      <w:tr>
        <w:trPr>
          <w:jc w:val="center"/>
          <w:trHeight w:val="1838"/>
        </w:trPr>
        <w:tc>
          <w:tcPr>
            <w:tcMar>
              <w:left w:w="15" w:type="dxa"/>
              <w:top w:w="15" w:type="dxa"/>
              <w:right w:w="15" w:type="dxa"/>
              <w:bottom w:w="0" w:type="dxa"/>
            </w:tcMar>
            <w:tcW w:w="564"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Mar>
              <w:left w:w="15" w:type="dxa"/>
              <w:top w:w="15" w:type="dxa"/>
              <w:right w:w="15" w:type="dxa"/>
              <w:bottom w:w="0" w:type="dxa"/>
            </w:tcMar>
            <w:tcW w:w="1925" w:type="dxa"/>
            <w:vAlign w:val="center"/>
            <w:textDirection w:val="lrTb"/>
            <w:noWrap w:val="false"/>
          </w:tcPr>
          <w:p>
            <w:pPr>
              <w:jc w:val="center"/>
              <w:spacing w:line="360" w:lineRule="exact"/>
              <w:rPr>
                <w:rFonts w:ascii="宋体" w:hAnsi="宋体" w:cs="宋体"/>
                <w:color w:val="auto"/>
                <w:sz w:val="24"/>
                <w:highlight w:val="none"/>
              </w:rPr>
            </w:pPr>
            <w:r/>
            <w:bookmarkStart w:id="520" w:name="OLE_LINK80"/>
            <w:r/>
            <w:bookmarkStart w:id="521" w:name="OLE_LINK79"/>
            <w:r>
              <w:rPr>
                <w:rFonts w:hint="eastAsia" w:ascii="宋体" w:hAnsi="宋体" w:cs="宋体"/>
                <w:color w:val="auto"/>
                <w:spacing w:val="-6"/>
                <w:sz w:val="24"/>
                <w:highlight w:val="none"/>
              </w:rPr>
              <w:t xml:space="preserve">安全文明施工、施工现场扬尘污染防治措施及环境保护方面的措施</w:t>
            </w:r>
            <w:bookmarkEnd w:id="520"/>
            <w:r/>
            <w:bookmarkEnd w:id="521"/>
            <w:r/>
            <w:r/>
          </w:p>
        </w:tc>
        <w:tc>
          <w:tcPr>
            <w:tcW w:w="5655"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根据投标人提供的本工程的安全文明施工、施工现场扬尘污染防治措施及环境保护方面的措施进行评分：细致全面、合理、完全响应需求，技术可行性强得8分；较为完整、基本响应需求的得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分；不完全、响应度低、技术可行性低得2分；不提供不得分。</w:t>
            </w:r>
            <w:r/>
          </w:p>
        </w:tc>
        <w:tc>
          <w:tcPr>
            <w:tcMar>
              <w:left w:w="15" w:type="dxa"/>
              <w:top w:w="15" w:type="dxa"/>
              <w:right w:w="15" w:type="dxa"/>
              <w:bottom w:w="0" w:type="dxa"/>
            </w:tcMar>
            <w:tcW w:w="53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8</w:t>
            </w:r>
            <w:r/>
          </w:p>
        </w:tc>
      </w:tr>
      <w:tr>
        <w:trPr>
          <w:jc w:val="center"/>
          <w:trHeight w:val="567"/>
        </w:trPr>
        <w:tc>
          <w:tcPr>
            <w:tcMar>
              <w:left w:w="15" w:type="dxa"/>
              <w:top w:w="15" w:type="dxa"/>
              <w:right w:w="15" w:type="dxa"/>
              <w:bottom w:w="0" w:type="dxa"/>
            </w:tcMar>
            <w:tcW w:w="564"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bottom w:w="0" w:type="dxa"/>
            </w:tcMar>
            <w:tcW w:w="1925"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保证项目实施的技术设备和人力资源安排</w:t>
            </w:r>
            <w:r/>
          </w:p>
        </w:tc>
        <w:tc>
          <w:tcPr>
            <w:tcW w:w="5655"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根据投标人提供的本工程的保证项目实施的技术设备和人力资源安排进行评分：细致全面、合理、完全响应需求，技术可行性强得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分；较为完整、基本响应需求的得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分；不完全、响应度低、技术可行性低得2分；不提供不得分。</w:t>
            </w:r>
            <w:r/>
          </w:p>
        </w:tc>
        <w:tc>
          <w:tcPr>
            <w:tcMar>
              <w:left w:w="15" w:type="dxa"/>
              <w:top w:w="15" w:type="dxa"/>
              <w:right w:w="15" w:type="dxa"/>
              <w:bottom w:w="0" w:type="dxa"/>
            </w:tcMar>
            <w:tcW w:w="531" w:type="dxa"/>
            <w:vAlign w:val="center"/>
            <w:textDirection w:val="lrTb"/>
            <w:noWrap w:val="false"/>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r>
      <w:tr>
        <w:trPr>
          <w:jc w:val="center"/>
          <w:trHeight w:val="567"/>
        </w:trPr>
        <w:tc>
          <w:tcPr>
            <w:tcMar>
              <w:left w:w="15" w:type="dxa"/>
              <w:top w:w="15" w:type="dxa"/>
              <w:right w:w="15" w:type="dxa"/>
              <w:bottom w:w="0" w:type="dxa"/>
            </w:tcMar>
            <w:tcW w:w="564"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Mar>
              <w:left w:w="15" w:type="dxa"/>
              <w:top w:w="15" w:type="dxa"/>
              <w:right w:w="15" w:type="dxa"/>
              <w:bottom w:w="0" w:type="dxa"/>
            </w:tcMar>
            <w:tcW w:w="1925"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服务保障</w:t>
            </w:r>
            <w:r/>
          </w:p>
        </w:tc>
        <w:tc>
          <w:tcPr>
            <w:tcW w:w="5655"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根据投标人提供的本工程的服务保障措施进行评分：细致全面、合理、完全响应需求，技术可行性强得8分；较为完整、基本响应需求的得5分；不完全、响应度低、技术可行性低得2分；不提供不得分。</w:t>
            </w:r>
            <w:r/>
          </w:p>
        </w:tc>
        <w:tc>
          <w:tcPr>
            <w:tcMar>
              <w:left w:w="15" w:type="dxa"/>
              <w:top w:w="15" w:type="dxa"/>
              <w:right w:w="15" w:type="dxa"/>
              <w:bottom w:w="0" w:type="dxa"/>
            </w:tcMar>
            <w:tcW w:w="53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8</w:t>
            </w:r>
            <w:r/>
          </w:p>
        </w:tc>
      </w:tr>
      <w:tr>
        <w:trPr>
          <w:jc w:val="center"/>
          <w:trHeight w:val="567"/>
        </w:trPr>
        <w:tc>
          <w:tcPr>
            <w:tcMar>
              <w:left w:w="15" w:type="dxa"/>
              <w:top w:w="15" w:type="dxa"/>
              <w:right w:w="15" w:type="dxa"/>
              <w:bottom w:w="0" w:type="dxa"/>
            </w:tcMar>
            <w:tcW w:w="564"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7</w:t>
            </w:r>
            <w:r/>
          </w:p>
        </w:tc>
        <w:tc>
          <w:tcPr>
            <w:tcMar>
              <w:left w:w="15" w:type="dxa"/>
              <w:top w:w="15" w:type="dxa"/>
              <w:right w:w="15" w:type="dxa"/>
              <w:bottom w:w="0" w:type="dxa"/>
            </w:tcMar>
            <w:tcW w:w="1925"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项目实施方案</w:t>
            </w:r>
            <w:r/>
          </w:p>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页数</w:t>
            </w:r>
            <w:r/>
          </w:p>
        </w:tc>
        <w:tc>
          <w:tcPr>
            <w:tcW w:w="5655"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项目实施方案页数总篇幅不低于40页且不超过80页得5分；低于40页或超过80页不得分。</w:t>
            </w:r>
            <w:r/>
          </w:p>
        </w:tc>
        <w:tc>
          <w:tcPr>
            <w:tcMar>
              <w:left w:w="15" w:type="dxa"/>
              <w:top w:w="15" w:type="dxa"/>
              <w:right w:w="15" w:type="dxa"/>
              <w:bottom w:w="0" w:type="dxa"/>
            </w:tcMar>
            <w:tcW w:w="53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5</w:t>
            </w:r>
            <w:r/>
          </w:p>
        </w:tc>
      </w:tr>
    </w:tbl>
    <w:p>
      <w:pPr>
        <w:ind w:firstLine="482"/>
        <w:spacing w:line="348"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注：</w:t>
      </w:r>
      <w:r>
        <w:rPr>
          <w:rFonts w:hint="eastAsia" w:ascii="宋体" w:hAnsi="宋体" w:cs="宋体"/>
          <w:b/>
          <w:color w:val="auto"/>
          <w:sz w:val="24"/>
          <w:highlight w:val="none"/>
        </w:rPr>
        <w:t xml:space="preserve">采购人有权对第一成交候选人提交的所有资料（含原件）进行考察、核实，若发现弄虚作假的，取消中标资格，并进行公示等相关处罚。</w:t>
      </w:r>
      <w:r/>
    </w:p>
    <w:p>
      <w:pPr>
        <w:spacing w:line="360" w:lineRule="auto"/>
        <w:rPr>
          <w:rFonts w:hint="default" w:ascii="宋体" w:hAnsi="宋体" w:eastAsia="宋体" w:cs="宋体"/>
          <w:b/>
          <w:bCs/>
          <w:color w:val="auto"/>
          <w:sz w:val="24"/>
          <w:highlight w:val="none"/>
          <w:lang w:val="en-US" w:eastAsia="zh-CN"/>
        </w:rPr>
        <w:outlineLvl w:val="1"/>
      </w:pPr>
      <w:r/>
      <w:bookmarkStart w:id="522" w:name="_Toc19591"/>
      <w:r>
        <w:rPr>
          <w:rFonts w:hint="eastAsia" w:ascii="宋体" w:hAnsi="宋体" w:eastAsia="宋体" w:cs="宋体"/>
          <w:b/>
          <w:bCs/>
          <w:color w:val="auto"/>
          <w:sz w:val="24"/>
          <w:highlight w:val="none"/>
          <w:lang w:val="en-US" w:eastAsia="zh-CN"/>
        </w:rPr>
        <w:t xml:space="preserve">六、推荐成交候选人</w:t>
      </w:r>
      <w:bookmarkEnd w:id="522"/>
      <w:r/>
      <w:r/>
    </w:p>
    <w:p>
      <w:pPr>
        <w:ind w:firstLine="480"/>
        <w:spacing w:line="348"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磋商小组应当根据综合评分情况，按照评审得分由高到低顺序推荐3名合格的成交候选人，并编写评审报告。评审得分相同的，按照最后报价由低到高的顺序推荐。评审得分且最后报价相同的，按照技术指标优劣顺序推荐。评审得分、最终报价和技术指标得分均相同的，由采购人随机抽取方式确定。</w:t>
      </w:r>
      <w:r/>
    </w:p>
    <w:p>
      <w:pPr>
        <w:spacing w:line="360" w:lineRule="auto"/>
        <w:rPr>
          <w:rFonts w:hint="default" w:ascii="宋体" w:hAnsi="宋体" w:eastAsia="宋体" w:cs="宋体"/>
          <w:b/>
          <w:bCs/>
          <w:color w:val="auto"/>
          <w:sz w:val="24"/>
          <w:highlight w:val="none"/>
          <w:lang w:val="en-US" w:eastAsia="zh-CN"/>
        </w:rPr>
        <w:outlineLvl w:val="1"/>
      </w:pPr>
      <w:r/>
      <w:bookmarkStart w:id="523" w:name="_Toc4042"/>
      <w:r>
        <w:rPr>
          <w:rFonts w:hint="eastAsia" w:ascii="宋体" w:hAnsi="宋体" w:eastAsia="宋体" w:cs="宋体"/>
          <w:b/>
          <w:bCs/>
          <w:color w:val="auto"/>
          <w:sz w:val="24"/>
          <w:highlight w:val="none"/>
          <w:lang w:val="en-US" w:eastAsia="zh-CN"/>
        </w:rPr>
        <w:t xml:space="preserve">七、评审报告</w:t>
      </w:r>
      <w:bookmarkEnd w:id="523"/>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6.1评审报告应当包括以下主要内容：</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（1）邀请供应商参加采购活动的具体方式和相关情况；</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（2）响应文件开启日期和地点；</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（3）获取磋商文件的供应商名单和磋商小组成员名单；</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（4）评审情况记录和说明，包括对供应商的资格审查情况、供应商响应文件评审情况、磋商情况、报价情况等；</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（5）提出的成交候选供应商的排序名单及理由。</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spacing w:line="360" w:lineRule="auto"/>
        <w:rPr>
          <w:rFonts w:hint="eastAsia" w:ascii="宋体" w:hAnsi="宋体" w:eastAsia="宋体" w:cs="宋体"/>
          <w:b/>
          <w:bCs/>
          <w:color w:val="auto"/>
          <w:sz w:val="24"/>
          <w:highlight w:val="none"/>
          <w:lang w:val="en-US" w:eastAsia="zh-CN"/>
        </w:rPr>
        <w:outlineLvl w:val="1"/>
      </w:pPr>
      <w:r/>
      <w:bookmarkStart w:id="524" w:name="_Toc31963"/>
      <w:r>
        <w:rPr>
          <w:rFonts w:hint="eastAsia" w:ascii="宋体" w:hAnsi="宋体" w:eastAsia="宋体" w:cs="宋体"/>
          <w:b/>
          <w:bCs/>
          <w:color w:val="auto"/>
          <w:sz w:val="24"/>
          <w:highlight w:val="none"/>
          <w:lang w:val="en-US" w:eastAsia="zh-CN"/>
        </w:rPr>
        <w:t xml:space="preserve">八、确定成交供应商</w:t>
      </w:r>
      <w:bookmarkEnd w:id="524"/>
      <w:r/>
      <w:r/>
    </w:p>
    <w:p>
      <w:pPr>
        <w:ind w:firstLine="480"/>
        <w:spacing w:line="348"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采购人从磋商小组提出的成交候选人中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根据符合采购需求且评审得分最高的原则确定成交供应商，并将结果通知所有参加磋商的未成交的供应商。</w:t>
      </w:r>
      <w:r/>
    </w:p>
    <w:p>
      <w:pPr>
        <w:spacing w:line="360" w:lineRule="auto"/>
        <w:rPr>
          <w:rFonts w:hint="eastAsia" w:ascii="宋体" w:hAnsi="宋体" w:eastAsia="宋体" w:cs="宋体"/>
          <w:b/>
          <w:bCs/>
          <w:color w:val="auto"/>
          <w:sz w:val="24"/>
          <w:highlight w:val="none"/>
          <w:lang w:val="en-US" w:eastAsia="zh-CN"/>
        </w:rPr>
        <w:outlineLvl w:val="1"/>
      </w:pPr>
      <w:r/>
      <w:bookmarkStart w:id="525" w:name="_Toc1550"/>
      <w:r>
        <w:rPr>
          <w:rFonts w:hint="eastAsia" w:ascii="宋体" w:hAnsi="宋体" w:eastAsia="宋体" w:cs="宋体"/>
          <w:b/>
          <w:bCs/>
          <w:color w:val="auto"/>
          <w:sz w:val="24"/>
          <w:highlight w:val="none"/>
          <w:lang w:val="en-US" w:eastAsia="zh-CN"/>
        </w:rPr>
        <w:t xml:space="preserve">九、澄清、说明或补正</w:t>
      </w:r>
      <w:bookmarkEnd w:id="525"/>
      <w:r/>
      <w:r/>
    </w:p>
    <w:p>
      <w:pPr>
        <w:ind w:firstLine="480"/>
        <w:spacing w:line="348" w:lineRule="auto"/>
        <w:rPr>
          <w:rFonts w:hint="eastAsia" w:ascii="宋体" w:hAnsi="宋体" w:eastAsia="宋体" w:cs="宋体"/>
          <w:color w:val="auto"/>
          <w:sz w:val="24"/>
          <w:highlight w:val="none"/>
        </w:rPr>
      </w:pPr>
      <w:r/>
      <w:bookmarkStart w:id="526" w:name="_Toc468783649"/>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.1磋商小组在评审过程中，可以要求供应商对响应文件中含义不明确、同类问题表述不一致或者有明显文字和计算错误的内容等作出必要的澄清、说明或者更正。</w:t>
      </w:r>
      <w:r/>
    </w:p>
    <w:p>
      <w:pPr>
        <w:ind w:firstLine="480"/>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.2磋商小组要求供应商澄清、说明或者更正响应文件应当以书面形式作出。</w:t>
      </w:r>
      <w:r/>
    </w:p>
    <w:p>
      <w:pPr>
        <w:ind w:firstLine="480"/>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.3供应商的澄清、说明或者更正应当由法定代表人或其授权代表签字或者加盖公章。由授权代表签字的，应当附法定代表人授权书。供应商的书面澄清材料作为响应文件的补充。</w:t>
      </w:r>
      <w:r/>
    </w:p>
    <w:p>
      <w:pPr>
        <w:ind w:firstLine="480"/>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.4供应商的澄清、说明或者更正不得超出响应文件的范围或者改变响应文件的实质性内容。</w:t>
      </w:r>
      <w:r/>
    </w:p>
    <w:p>
      <w:pPr>
        <w:ind w:firstLine="480"/>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.5磋商小组不得接受供应商主动提出的澄清、说明或补正。</w:t>
      </w:r>
      <w:r/>
    </w:p>
    <w:p>
      <w:pPr>
        <w:ind w:firstLine="480"/>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.6</w:t>
      </w:r>
      <w:r>
        <w:rPr>
          <w:rFonts w:hint="eastAsia" w:ascii="宋体" w:hAnsi="宋体" w:eastAsia="宋体" w:cs="宋体"/>
          <w:b/>
          <w:bCs/>
          <w:color w:val="auto"/>
          <w:sz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w:t>
      </w:r>
      <w:r>
        <w:rPr>
          <w:rFonts w:hint="eastAsia" w:ascii="宋体" w:hAnsi="宋体" w:eastAsia="宋体" w:cs="宋体"/>
          <w:b/>
          <w:bCs/>
          <w:color w:val="auto"/>
          <w:sz w:val="24"/>
          <w:highlight w:val="none"/>
          <w:lang w:eastAsia="zh-CN"/>
        </w:rPr>
        <w:t xml:space="preserve">作出</w:t>
      </w:r>
      <w:r>
        <w:rPr>
          <w:rFonts w:hint="eastAsia" w:ascii="宋体" w:hAnsi="宋体" w:eastAsia="宋体" w:cs="宋体"/>
          <w:b/>
          <w:bCs/>
          <w:color w:val="auto"/>
          <w:sz w:val="24"/>
          <w:highlight w:val="none"/>
        </w:rPr>
        <w:t xml:space="preserve">澄清、说明和更正，其风险由供应商自行承担。</w:t>
      </w:r>
      <w:r/>
    </w:p>
    <w:p>
      <w:pPr>
        <w:spacing w:line="360" w:lineRule="auto"/>
        <w:rPr>
          <w:rFonts w:hint="eastAsia" w:ascii="宋体" w:hAnsi="宋体" w:eastAsia="宋体" w:cs="宋体"/>
          <w:b/>
          <w:bCs/>
          <w:color w:val="auto"/>
          <w:sz w:val="24"/>
          <w:highlight w:val="none"/>
          <w:lang w:val="en-US" w:eastAsia="zh-CN"/>
        </w:rPr>
        <w:outlineLvl w:val="1"/>
      </w:pPr>
      <w:r/>
      <w:bookmarkStart w:id="527" w:name="_Toc23152"/>
      <w:r>
        <w:rPr>
          <w:rFonts w:hint="eastAsia" w:ascii="宋体" w:hAnsi="宋体" w:eastAsia="宋体" w:cs="宋体"/>
          <w:b/>
          <w:bCs/>
          <w:color w:val="auto"/>
          <w:sz w:val="24"/>
          <w:highlight w:val="none"/>
          <w:lang w:val="en-US" w:eastAsia="zh-CN"/>
        </w:rPr>
        <w:t xml:space="preserve">十、评审过程中特殊情况的处理规定</w:t>
      </w:r>
      <w:bookmarkEnd w:id="527"/>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10.1磋商小组成员的更换</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（2）无法及时补足磋商小组成员的，采购人将停止评审活动，封存所有资料，依法重新组建磋商小组进行评审。原磋商小组所作出的评审意见无效。</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10.2异常低价的处理</w:t>
      </w:r>
      <w:r/>
    </w:p>
    <w:p>
      <w:pPr>
        <w:ind w:firstLine="480"/>
        <w:jc w:val="left"/>
        <w:spacing w:line="360" w:lineRule="auto"/>
        <w:tabs>
          <w:tab w:val="left" w:pos="735" w:leader="none"/>
        </w:tabs>
        <w:rPr>
          <w:rFonts w:hint="default" w:ascii="宋体" w:hAnsi="宋体" w:cs="宋体"/>
          <w:b/>
          <w:bCs w:val="0"/>
          <w:color w:val="ff0000"/>
          <w:sz w:val="24"/>
          <w:szCs w:val="24"/>
          <w:lang w:val="en-US" w:eastAsia="zh-CN"/>
        </w:rPr>
        <w:outlineLvl w:val="1"/>
      </w:pPr>
      <w:r>
        <w:rPr>
          <w:rFonts w:hint="default" w:ascii="宋体" w:hAnsi="宋体" w:cs="宋体"/>
          <w:b/>
          <w:bCs w:val="0"/>
          <w:color w:val="ff0000"/>
          <w:sz w:val="24"/>
          <w:szCs w:val="24"/>
          <w:lang w:val="en-US" w:eastAsia="zh-CN"/>
        </w:rPr>
        <w:t xml:space="preserve">根据《关于推动解决政府采购异常低价问题的通知》财库〔2026〕2号精神，政府采购评审中出现下列情形之一的，评审委员会应当启动异常低价投标（响应）审查程序：</w:t>
      </w:r>
      <w:r/>
    </w:p>
    <w:p>
      <w:pPr>
        <w:ind w:firstLine="480"/>
        <w:jc w:val="left"/>
        <w:spacing w:line="360" w:lineRule="auto"/>
        <w:tabs>
          <w:tab w:val="left" w:pos="735" w:leader="none"/>
        </w:tabs>
        <w:rPr>
          <w:rFonts w:hint="default" w:ascii="宋体" w:hAnsi="宋体" w:cs="宋体"/>
          <w:b/>
          <w:bCs w:val="0"/>
          <w:color w:val="ff0000"/>
          <w:sz w:val="24"/>
          <w:szCs w:val="24"/>
          <w:lang w:val="en-US" w:eastAsia="zh-CN"/>
        </w:rPr>
        <w:outlineLvl w:val="1"/>
      </w:pPr>
      <w:r>
        <w:rPr>
          <w:rFonts w:hint="default" w:ascii="宋体" w:hAnsi="宋体" w:cs="宋体"/>
          <w:b/>
          <w:bCs w:val="0"/>
          <w:color w:val="ff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735" w:leader="none"/>
        </w:tabs>
        <w:rPr>
          <w:rFonts w:hint="default" w:ascii="宋体" w:hAnsi="宋体" w:cs="宋体"/>
          <w:b/>
          <w:bCs w:val="0"/>
          <w:color w:val="ff0000"/>
          <w:sz w:val="24"/>
          <w:szCs w:val="24"/>
          <w:lang w:val="en-US" w:eastAsia="zh-CN"/>
        </w:rPr>
        <w:outlineLvl w:val="1"/>
      </w:pPr>
      <w:r>
        <w:rPr>
          <w:rFonts w:hint="default" w:ascii="宋体" w:hAnsi="宋体" w:cs="宋体"/>
          <w:b/>
          <w:bCs w:val="0"/>
          <w:color w:val="ff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735" w:leader="none"/>
        </w:tabs>
        <w:rPr>
          <w:rFonts w:hint="default" w:ascii="宋体" w:hAnsi="宋体" w:cs="宋体"/>
          <w:b/>
          <w:bCs w:val="0"/>
          <w:color w:val="ff0000"/>
          <w:sz w:val="24"/>
          <w:szCs w:val="24"/>
          <w:lang w:val="en-US" w:eastAsia="zh-CN"/>
        </w:rPr>
        <w:outlineLvl w:val="1"/>
      </w:pPr>
      <w:r>
        <w:rPr>
          <w:rFonts w:hint="default" w:ascii="宋体" w:hAnsi="宋体" w:cs="宋体"/>
          <w:b/>
          <w:bCs w:val="0"/>
          <w:color w:val="ff0000"/>
          <w:sz w:val="24"/>
          <w:szCs w:val="24"/>
          <w:lang w:val="en-US" w:eastAsia="zh-CN"/>
        </w:rPr>
        <w:t xml:space="preserve">3.投标（响应）报价低于采购项目最高限价45%的，即投标（响应）报价&lt;采购项目最高限价×45%；</w:t>
      </w:r>
      <w:r/>
    </w:p>
    <w:p>
      <w:pPr>
        <w:ind w:firstLine="480"/>
        <w:jc w:val="left"/>
        <w:spacing w:line="360" w:lineRule="auto"/>
        <w:tabs>
          <w:tab w:val="left" w:pos="735" w:leader="none"/>
        </w:tabs>
        <w:rPr>
          <w:rFonts w:hint="default" w:ascii="宋体" w:hAnsi="宋体" w:cs="宋体"/>
          <w:b/>
          <w:bCs w:val="0"/>
          <w:color w:val="ff0000"/>
          <w:sz w:val="24"/>
          <w:szCs w:val="24"/>
          <w:lang w:val="en-US" w:eastAsia="zh-CN"/>
        </w:rPr>
        <w:outlineLvl w:val="1"/>
      </w:pPr>
      <w:r>
        <w:rPr>
          <w:rFonts w:hint="default" w:ascii="宋体" w:hAnsi="宋体" w:cs="宋体"/>
          <w:b/>
          <w:bCs w:val="0"/>
          <w:color w:val="ff0000"/>
          <w:sz w:val="24"/>
          <w:szCs w:val="24"/>
          <w:lang w:val="en-US" w:eastAsia="zh-CN"/>
        </w:rPr>
        <w:t xml:space="preserve">4.评审委员会基于专业判断，认为供应商报价过低，有可能影响产品质量或者不能诚信履约的其他情形。</w:t>
      </w:r>
      <w:r/>
    </w:p>
    <w:p>
      <w:pPr>
        <w:ind w:firstLine="480"/>
        <w:jc w:val="left"/>
        <w:spacing w:line="360" w:lineRule="auto"/>
        <w:tabs>
          <w:tab w:val="left" w:pos="735" w:leader="none"/>
        </w:tabs>
        <w:rPr>
          <w:rFonts w:hint="default" w:ascii="宋体" w:hAnsi="宋体" w:cs="宋体"/>
          <w:b/>
          <w:bCs w:val="0"/>
          <w:color w:val="ff0000"/>
          <w:sz w:val="24"/>
          <w:szCs w:val="24"/>
          <w:lang w:val="en-US" w:eastAsia="zh-CN"/>
        </w:rPr>
        <w:outlineLvl w:val="1"/>
      </w:pPr>
      <w:r>
        <w:rPr>
          <w:rFonts w:hint="default" w:ascii="宋体" w:hAnsi="宋体" w:cs="宋体"/>
          <w:b/>
          <w:bCs w:val="0"/>
          <w:color w:val="ff0000"/>
          <w:sz w:val="24"/>
          <w:szCs w:val="24"/>
          <w:lang w:val="en-US" w:eastAsia="zh-CN"/>
        </w:rPr>
        <w:t xml:space="preserve">（二）启动异常低价投标（响应）审查后，属于前述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48" w:lineRule="auto"/>
        <w:rPr>
          <w:rFonts w:hint="eastAsia" w:ascii="宋体" w:hAnsi="宋体" w:eastAsia="宋体" w:cs="宋体"/>
          <w:color w:val="auto"/>
          <w:sz w:val="24"/>
          <w:highlight w:val="none"/>
          <w:lang w:val="en-US" w:eastAsia="zh-CN"/>
        </w:rPr>
      </w:pPr>
      <w:r>
        <w:rPr>
          <w:rFonts w:hint="default" w:ascii="宋体" w:hAnsi="宋体" w:cs="宋体"/>
          <w:b/>
          <w:bCs w:val="0"/>
          <w:color w:val="ff0000"/>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10.3争议解决</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磋商小组成员对需要共同认定的事项存在争议的，按照少数服从多数的原则作出结论。持不同意见的成员须在评审报告上签署不同意见及理由。</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10.4评审终止</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360" w:lineRule="auto"/>
        <w:rPr>
          <w:rFonts w:hint="eastAsia" w:ascii="宋体" w:hAnsi="宋体" w:eastAsia="宋体" w:cs="宋体"/>
          <w:b/>
          <w:bCs/>
          <w:color w:val="auto"/>
          <w:sz w:val="24"/>
          <w:highlight w:val="none"/>
          <w:lang w:val="en-US" w:eastAsia="zh-CN"/>
        </w:rPr>
        <w:outlineLvl w:val="1"/>
      </w:pPr>
      <w:r/>
      <w:bookmarkStart w:id="528" w:name="_Toc10695"/>
      <w:r>
        <w:rPr>
          <w:rFonts w:hint="eastAsia" w:ascii="宋体" w:hAnsi="宋体" w:eastAsia="宋体" w:cs="宋体"/>
          <w:b/>
          <w:bCs/>
          <w:color w:val="auto"/>
          <w:sz w:val="24"/>
          <w:highlight w:val="none"/>
          <w:lang w:val="en-US" w:eastAsia="zh-CN"/>
        </w:rPr>
        <w:t xml:space="preserve">十一、无效响应的判定</w:t>
      </w:r>
      <w:bookmarkEnd w:id="528"/>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11.1响应文件开启过程中，有下列情形之一的，作无效响应处理。</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（1）响应文件无法解密；</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（2）响应文件未在规定的时间内解密成功。</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11.2资格性、符合性审查结果为不合格的，作无效响应处理。</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11.3评审过程中，有下列情形之一的，作无效响应处理。</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（1）未按照磋商小组要求提供书面说明及相关证明材料证明其报价合理性的；</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（2）响应文件含有采购人不能接受的附加条件的。</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11.4磋商环节及提交最终报价后如出现以下情况的，供应商的响应文件无效：</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（1）未按照磋商小组规定的时间、逾期提交最终报价的；</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（2）如供应商的最终报价超过竞争性磋商文件中规定的项目/采购包预算金额或者项目/采购包最高限价的；</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（3）供应商未按照磋商文件的变动情况和磋商小组的要求，对采购需求中的技术、服务要求以及合同草案条款作出响应。</w:t>
      </w:r>
      <w:r/>
    </w:p>
    <w:p>
      <w:pPr>
        <w:ind w:firstLine="480"/>
        <w:spacing w:line="348"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11.5法律、法规规定的其他无效响应情形。</w:t>
      </w:r>
      <w:r/>
    </w:p>
    <w:p>
      <w:pPr>
        <w:ind w:firstLine="301"/>
        <w:jc w:val="center"/>
        <w:spacing w:line="500" w:lineRule="exact"/>
        <w:rPr>
          <w:rFonts w:ascii="宋体" w:hAnsi="宋体" w:cs="宋体"/>
          <w:b/>
          <w:color w:val="auto"/>
          <w:sz w:val="30"/>
          <w:szCs w:val="30"/>
          <w:highlight w:val="none"/>
        </w:rPr>
      </w:pPr>
      <w:r>
        <w:rPr>
          <w:rFonts w:ascii="宋体" w:hAnsi="宋体" w:cs="宋体"/>
          <w:b/>
          <w:color w:val="auto"/>
          <w:sz w:val="30"/>
          <w:szCs w:val="30"/>
          <w:highlight w:val="none"/>
        </w:rPr>
      </w:r>
      <w:r/>
    </w:p>
    <w:p>
      <w:pPr>
        <w:jc w:val="left"/>
        <w:keepLines w:val="0"/>
        <w:keepNext w:val="0"/>
        <w:pageBreakBefore w:val="0"/>
        <w:spacing w:line="500" w:lineRule="exact"/>
        <w:widowControl w:val="off"/>
        <w:rPr>
          <w:rFonts w:ascii="宋体" w:hAnsi="宋体" w:cs="宋体"/>
          <w:b/>
          <w:color w:val="auto"/>
          <w:sz w:val="30"/>
          <w:szCs w:val="30"/>
          <w:highlight w:val="none"/>
        </w:rPr>
        <w:sectPr>
          <w:footerReference w:type="default" r:id="rId13"/>
          <w:footnotePr/>
          <w:endnotePr/>
          <w:type w:val="nextPage"/>
          <w:pgSz w:w="11906" w:h="16838" w:orient="portrait"/>
          <w:pgMar w:top="1440" w:right="1800" w:bottom="1440" w:left="1800" w:header="850" w:footer="992" w:gutter="0"/>
          <w:cols w:num="1" w:sep="0" w:space="720" w:equalWidth="1"/>
          <w:docGrid w:linePitch="360"/>
        </w:sectPr>
      </w:pPr>
      <w:r>
        <w:rPr>
          <w:rFonts w:ascii="宋体" w:hAnsi="宋体" w:cs="宋体"/>
          <w:b/>
          <w:color w:val="auto"/>
          <w:sz w:val="30"/>
          <w:szCs w:val="30"/>
          <w:highlight w:val="none"/>
        </w:rPr>
      </w:r>
      <w:r/>
    </w:p>
    <w:p>
      <w:pPr>
        <w:pStyle w:val="1185"/>
        <w:spacing w:before="120" w:after="120" w:line="360" w:lineRule="auto"/>
        <w:tabs>
          <w:tab w:val="left" w:pos="3240" w:leader="none"/>
        </w:tabs>
        <w:rPr>
          <w:rFonts w:ascii="宋体" w:hAnsi="宋体" w:eastAsia="宋体" w:cs="宋体"/>
          <w:b/>
          <w:color w:val="auto"/>
          <w:sz w:val="30"/>
          <w:szCs w:val="30"/>
          <w:highlight w:val="none"/>
        </w:rPr>
        <w:outlineLvl w:val="0"/>
      </w:pPr>
      <w:r/>
      <w:bookmarkStart w:id="529" w:name="_Toc16640"/>
      <w:r>
        <w:rPr>
          <w:rFonts w:hint="eastAsia" w:ascii="宋体" w:hAnsi="宋体" w:eastAsia="宋体" w:cs="宋体"/>
          <w:b/>
          <w:color w:val="auto"/>
          <w:sz w:val="30"/>
          <w:szCs w:val="30"/>
          <w:highlight w:val="none"/>
        </w:rPr>
        <w:t xml:space="preserve">第四章</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526"/>
      <w:r/>
      <w:bookmarkStart w:id="530" w:name="_Toc49090575"/>
      <w:r/>
      <w:bookmarkStart w:id="531" w:name="_Toc282446330"/>
      <w:r/>
      <w:bookmarkStart w:id="532" w:name="_Toc26554093"/>
      <w:r/>
      <w:bookmarkStart w:id="533" w:name="_Toc120614281"/>
      <w:r/>
      <w:bookmarkStart w:id="534" w:name="_Toc288030358"/>
      <w:r/>
      <w:bookmarkStart w:id="535" w:name="_Toc468783656"/>
      <w:r/>
      <w:bookmarkStart w:id="536" w:name="_Toc390246997"/>
      <w:r/>
      <w:bookmarkStart w:id="537" w:name="_Toc383698721"/>
      <w:r/>
      <w:bookmarkStart w:id="538" w:name="_Toc390098914"/>
      <w:r/>
      <w:bookmarkStart w:id="539" w:name="_Toc382813956"/>
      <w:r/>
      <w:bookmarkStart w:id="540" w:name="_Toc383679821"/>
      <w:r/>
      <w:bookmarkStart w:id="541" w:name="_Toc383626068"/>
      <w:r/>
      <w:bookmarkStart w:id="542" w:name="_Toc390099110"/>
      <w:r/>
      <w:bookmarkStart w:id="543" w:name="_Toc382812506"/>
      <w:r/>
      <w:bookmarkStart w:id="544" w:name="_Toc383587528"/>
      <w:r/>
      <w:bookmarkStart w:id="545" w:name="_Toc426469931"/>
      <w:r/>
      <w:bookmarkStart w:id="546" w:name="_Toc383624020"/>
      <w:r/>
      <w:bookmarkStart w:id="547" w:name="_Toc383623748"/>
      <w:r/>
      <w:bookmarkStart w:id="548" w:name="_Toc382814037"/>
      <w:r>
        <w:rPr>
          <w:rFonts w:hint="eastAsia" w:ascii="宋体" w:hAnsi="宋体" w:eastAsia="宋体" w:cs="宋体"/>
          <w:b/>
          <w:color w:val="auto"/>
          <w:sz w:val="30"/>
          <w:szCs w:val="30"/>
          <w:highlight w:val="none"/>
        </w:rPr>
        <w:t xml:space="preserve">  采购需求</w:t>
      </w:r>
      <w:bookmarkEnd w:id="529"/>
      <w:r/>
      <w:r/>
    </w:p>
    <w:p>
      <w:pPr>
        <w:spacing w:line="360" w:lineRule="auto"/>
        <w:rPr>
          <w:rFonts w:ascii="宋体" w:hAnsi="宋体" w:cs="宋体"/>
          <w:color w:val="auto"/>
          <w:sz w:val="24"/>
          <w:highlight w:val="none"/>
        </w:rPr>
        <w:outlineLvl w:val="1"/>
      </w:pPr>
      <w:r/>
      <w:bookmarkStart w:id="549" w:name="_Toc27527"/>
      <w:r>
        <w:rPr>
          <w:rFonts w:hint="eastAsia" w:ascii="宋体" w:hAnsi="宋体" w:cs="宋体"/>
          <w:b/>
          <w:bCs/>
          <w:color w:val="auto"/>
          <w:sz w:val="24"/>
          <w:highlight w:val="none"/>
        </w:rPr>
        <w:t xml:space="preserve">一、项目概况</w:t>
      </w:r>
      <w:bookmarkEnd w:id="54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2026年黄桥镇农村公路维护工程</w:t>
      </w:r>
      <w:r>
        <w:rPr>
          <w:rFonts w:hint="eastAsia" w:ascii="宋体" w:hAnsi="宋体" w:cs="宋体"/>
          <w:color w:val="auto"/>
          <w:sz w:val="24"/>
          <w:highlight w:val="none"/>
        </w:rPr>
        <w:t xml:space="preserve">。</w:t>
      </w:r>
      <w:r/>
    </w:p>
    <w:p>
      <w:pPr>
        <w:pStyle w:val="1124"/>
        <w:ind w:firstLine="480"/>
        <w:jc w:val="both"/>
        <w:spacing w:before="0" w:beforeAutospacing="0" w:after="0" w:afterAutospacing="0" w:line="360" w:lineRule="auto"/>
        <w:rPr>
          <w:color w:val="auto"/>
          <w:highlight w:val="none"/>
        </w:rPr>
      </w:pPr>
      <w:r>
        <w:rPr>
          <w:rFonts w:hint="eastAsia"/>
          <w:color w:val="auto"/>
          <w:highlight w:val="none"/>
          <w:lang w:val="en-US" w:eastAsia="zh-CN"/>
        </w:rPr>
        <w:t xml:space="preserve">1.2</w:t>
      </w:r>
      <w:r>
        <w:rPr>
          <w:rFonts w:hint="eastAsia"/>
          <w:color w:val="auto"/>
          <w:highlight w:val="none"/>
        </w:rPr>
        <w:t xml:space="preserve">主要建设内容：工程量清单中注明的</w:t>
      </w:r>
      <w:r>
        <w:rPr>
          <w:rFonts w:hint="eastAsia"/>
          <w:color w:val="auto"/>
          <w:highlight w:val="none"/>
          <w:lang w:eastAsia="zh-CN"/>
        </w:rPr>
        <w:t xml:space="preserve">2026年黄桥镇农村公路维护工程</w:t>
      </w:r>
      <w:r>
        <w:rPr>
          <w:rFonts w:hint="eastAsia"/>
          <w:color w:val="auto"/>
          <w:highlight w:val="none"/>
        </w:rPr>
        <w:t xml:space="preserve">的施工，具体详见工程量清单。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现场条件及周边环境情况：</w:t>
      </w:r>
      <w:r>
        <w:rPr>
          <w:rFonts w:hint="eastAsia" w:ascii="宋体" w:hAnsi="宋体" w:cs="宋体"/>
          <w:b/>
          <w:bCs/>
          <w:color w:val="auto"/>
          <w:sz w:val="24"/>
          <w:highlight w:val="none"/>
        </w:rPr>
        <w:t xml:space="preserve">供应商自行踏勘</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outlineLvl w:val="1"/>
      </w:pPr>
      <w:r/>
      <w:bookmarkStart w:id="550" w:name="_Toc23434"/>
      <w:r>
        <w:rPr>
          <w:rFonts w:hint="eastAsia" w:ascii="宋体" w:hAnsi="宋体" w:cs="宋体"/>
          <w:b/>
          <w:bCs/>
          <w:color w:val="auto"/>
          <w:sz w:val="24"/>
          <w:highlight w:val="none"/>
        </w:rPr>
        <w:t xml:space="preserve">二、工程量清单（具体内容详见招标控制价清单及编制说明）</w:t>
      </w:r>
      <w:bookmarkEnd w:id="550"/>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2.1本工程量清单（招标控制价清单）应与采购文件、图纸（如有）及相关资料从江苏省政府采购网自行下载。</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2.2本工程量清单仅是投标报价的共同基础，竣工结算的工程量按合同约定确定。合同价格的确定以及价款支付应遵循合同条款以及采购文件的有关约定。</w:t>
      </w:r>
      <w:r/>
    </w:p>
    <w:p>
      <w:pPr>
        <w:spacing w:line="360" w:lineRule="auto"/>
        <w:rPr>
          <w:rFonts w:ascii="宋体" w:hAnsi="宋体" w:cs="宋体"/>
          <w:color w:val="auto"/>
          <w:sz w:val="24"/>
          <w:highlight w:val="none"/>
        </w:rPr>
        <w:outlineLvl w:val="1"/>
      </w:pPr>
      <w:r/>
      <w:bookmarkStart w:id="551" w:name="_Toc15399"/>
      <w:r>
        <w:rPr>
          <w:rFonts w:hint="eastAsia" w:ascii="宋体" w:hAnsi="宋体" w:cs="宋体"/>
          <w:b/>
          <w:bCs/>
          <w:color w:val="auto"/>
          <w:sz w:val="24"/>
          <w:highlight w:val="none"/>
        </w:rPr>
        <w:t xml:space="preserve">三、技术规范</w:t>
      </w:r>
      <w:bookmarkEnd w:id="55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本工程采用的技术规范：执行国家现行标准规范和现行技术工艺要求。</w:t>
      </w:r>
      <w:r/>
    </w:p>
    <w:p>
      <w:pPr>
        <w:spacing w:line="360" w:lineRule="auto"/>
        <w:rPr>
          <w:rFonts w:ascii="宋体" w:hAnsi="宋体" w:cs="宋体"/>
          <w:color w:val="auto"/>
          <w:sz w:val="24"/>
          <w:highlight w:val="none"/>
        </w:rPr>
        <w:outlineLvl w:val="1"/>
      </w:pPr>
      <w:r/>
      <w:bookmarkStart w:id="552" w:name="_Toc18963"/>
      <w:r>
        <w:rPr>
          <w:rFonts w:hint="eastAsia" w:ascii="宋体" w:hAnsi="宋体" w:cs="宋体"/>
          <w:b/>
          <w:bCs/>
          <w:color w:val="auto"/>
          <w:sz w:val="24"/>
          <w:highlight w:val="none"/>
        </w:rPr>
        <w:t xml:space="preserve">四、商务部分</w:t>
      </w:r>
      <w:bookmarkEnd w:id="55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cs="宋体"/>
          <w:color w:val="auto"/>
          <w:sz w:val="24"/>
          <w:highlight w:val="none"/>
        </w:rPr>
        <w:t xml:space="preserve">工期：</w:t>
      </w:r>
      <w:r>
        <w:rPr>
          <w:rFonts w:hint="eastAsia" w:ascii="宋体" w:hAnsi="宋体" w:cs="宋体"/>
          <w:color w:val="auto"/>
          <w:sz w:val="24"/>
          <w:highlight w:val="none"/>
          <w:lang w:val="en-US" w:eastAsia="zh-CN"/>
        </w:rPr>
        <w:t xml:space="preserve">合同签订之日起至2026年12月31日</w:t>
      </w:r>
      <w:r>
        <w:rPr>
          <w:rFonts w:hint="eastAsia" w:ascii="宋体" w:hAnsi="宋体" w:cs="宋体"/>
          <w:color w:val="auto"/>
          <w:sz w:val="24"/>
          <w:highlight w:val="none"/>
          <w:lang w:val="en-US" w:eastAsia="zh-CN"/>
        </w:rPr>
        <w:t xml:space="preserve">止</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4.2</w:t>
      </w:r>
      <w:r>
        <w:rPr>
          <w:rFonts w:hint="eastAsia" w:ascii="宋体" w:hAnsi="宋体" w:cs="宋体"/>
          <w:color w:val="auto"/>
          <w:sz w:val="24"/>
          <w:highlight w:val="none"/>
        </w:rPr>
        <w:t xml:space="preserve">质量标准：合格；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4.3</w:t>
      </w:r>
      <w:r>
        <w:rPr>
          <w:rFonts w:hint="eastAsia" w:ascii="宋体" w:hAnsi="宋体" w:cs="宋体"/>
          <w:color w:val="auto"/>
          <w:sz w:val="24"/>
          <w:highlight w:val="none"/>
        </w:rPr>
        <w:t xml:space="preserve">付款方式：每季度末供应商报送当季度的相关资料并经采购人对工程量审核，经采购人验收合格且全部工程量经结算审核后，付至审计价的80%，余款待服务期满一年后结清。</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（此项目所涉及款项皆不计取利息）。</w:t>
      </w:r>
      <w:r/>
    </w:p>
    <w:p>
      <w:pPr>
        <w:spacing w:line="360" w:lineRule="auto"/>
        <w:rPr>
          <w:rFonts w:ascii="宋体" w:hAnsi="宋体" w:cs="宋体"/>
          <w:b/>
          <w:bCs/>
          <w:color w:val="auto"/>
          <w:sz w:val="24"/>
          <w:highlight w:val="none"/>
        </w:rPr>
        <w:outlineLvl w:val="1"/>
      </w:pPr>
      <w:r/>
      <w:bookmarkStart w:id="553" w:name="_Toc3065"/>
      <w:r>
        <w:rPr>
          <w:rFonts w:hint="eastAsia" w:ascii="宋体" w:hAnsi="宋体" w:cs="宋体"/>
          <w:b/>
          <w:bCs/>
          <w:color w:val="auto"/>
          <w:sz w:val="24"/>
          <w:highlight w:val="none"/>
        </w:rPr>
        <w:t xml:space="preserve">五、本项目采购标的对应的中小企业划分标准所属行业为</w:t>
      </w:r>
      <w:r>
        <w:rPr>
          <w:rFonts w:hint="eastAsia" w:ascii="宋体" w:hAnsi="宋体" w:cs="宋体"/>
          <w:b/>
          <w:bCs/>
          <w:color w:val="auto"/>
          <w:sz w:val="24"/>
          <w:highlight w:val="none"/>
          <w:u w:val="single"/>
        </w:rPr>
        <w:t xml:space="preserve">建筑业</w:t>
      </w:r>
      <w:r>
        <w:rPr>
          <w:rFonts w:hint="eastAsia" w:ascii="宋体" w:hAnsi="宋体" w:cs="宋体"/>
          <w:b/>
          <w:bCs/>
          <w:color w:val="auto"/>
          <w:sz w:val="24"/>
          <w:highlight w:val="none"/>
        </w:rPr>
        <w:t xml:space="preserve">。</w:t>
      </w:r>
      <w:bookmarkEnd w:id="553"/>
      <w:r/>
      <w:r/>
    </w:p>
    <w:p>
      <w:pPr>
        <w:spacing w:line="360" w:lineRule="auto"/>
        <w:rPr>
          <w:rFonts w:ascii="宋体" w:hAnsi="宋体" w:cs="宋体"/>
          <w:b/>
          <w:bCs/>
          <w:color w:val="auto"/>
          <w:sz w:val="24"/>
          <w:highlight w:val="none"/>
        </w:rPr>
        <w:outlineLvl w:val="1"/>
      </w:pPr>
      <w:r/>
      <w:bookmarkStart w:id="554" w:name="_Toc21112"/>
      <w:r>
        <w:rPr>
          <w:rFonts w:hint="eastAsia" w:ascii="宋体" w:hAnsi="宋体" w:cs="宋体"/>
          <w:b/>
          <w:bCs/>
          <w:color w:val="auto"/>
          <w:sz w:val="24"/>
          <w:highlight w:val="none"/>
        </w:rPr>
        <w:t xml:space="preserve">六、其他说明</w:t>
      </w:r>
      <w:bookmarkEnd w:id="55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6.1本工程施工必须符合国家相关规范要求，确保通过验收。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6.2建筑垃圾外运、材料运输、机械设备进退场等工作中，出现与地方行政主管部门、地方管理部门、居民有关的矛盾由成交人自行解决，产生的任何费用由供应商在投标报价时自行考虑；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6.3.施工过程中不得污染周边环境（绿化、道路等），不得对周边环境造成影响，不得因施工损坏现状，否则一切责任由承包人承担，由此造成的一切损失由成交人承担。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6.4安全生产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6.4.1施工现场内及周边须设置防护设施、临时警示标牌标志、警示灯、夜间照明、夜间交通指示灯（夜间必须正常显示）以及施工现场内、外的临时交通安全设施等。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6.4.2交通安全设施的设置方案须符合交警、城管部门、发包人的要求，施工车辆进出场地必须减速慢行，出入口必须有专人看护，确保出入口的交通安全。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6.5承包人须做好现场环境保护，做好防尘、降噪等措施，费用已包含在投标报价中；施工排水（渗水、居民用水、雨水等）均包含在报价中，由</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响应时综合考虑。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6.6承包人搭建的临时设施和材料堆场必须服从发包人和监理单位的统一安排。如承包人不服从，发包人有权根据项目管理规定对承包人进行处罚。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6.7在国家规定的工程合理使用期限内，承包人确保该项目工程的质量。因承包人原因致使工程在合理使用期限内造成人身和财产损害的，承包人应承担损害赔偿责任。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6.8发生须紧急抢修事故，承包人接到事故通知后，应立即到达事故现场抢修。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6.9本工程在施工中执行现行的国家、省级及工程所在地颁发的环保、节能、电器安装、防雷、安全、消防等有关规定。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6.13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6.16供应商必须认真踏勘现场，考虑行人、行车干扰，相关费用已包含在供应商投标报价中。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6.18本工程发生工程变更或产生签证引起工程造价增减的，最终价格以“工程竣工结算核对并经发包人、承包人双方确认签字”的文件为准。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80"/>
        <w:spacing w:line="360" w:lineRule="auto"/>
        <w:rPr>
          <w:color w:val="auto"/>
          <w:highlight w:val="none"/>
        </w:rPr>
      </w:pPr>
      <w:r>
        <w:rPr>
          <w:rFonts w:hint="eastAsia" w:ascii="宋体" w:hAnsi="宋体" w:cs="宋体"/>
          <w:color w:val="auto"/>
          <w:sz w:val="24"/>
          <w:highlight w:val="none"/>
        </w:rPr>
        <w:t xml:space="preserve">6.20供应商要充分了解项目情况，对招标控制价（即最高限价）如有异议，供应商需按采购文件约定的时间提出异议，如供应商在投标期间无异议，那供应商成交后不得再以任何理由向招标人提出任何费用。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6.21农民工工资支付及担保按照国家、省市相关规定执行。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6.23供应商自行勘察现场，应充分了解本工程的施工现场条件及本工程的施工难度，根据现场情况及自身的施工方法自主报价。</w:t>
      </w:r>
      <w:r/>
    </w:p>
    <w:p>
      <w:pPr>
        <w:pStyle w:val="1101"/>
        <w:jc w:val="left"/>
        <w:spacing w:line="360" w:lineRule="auto"/>
        <w:tabs>
          <w:tab w:val="left" w:pos="525" w:leader="none"/>
          <w:tab w:val="left" w:pos="735" w:leader="none"/>
        </w:tabs>
        <w:rPr>
          <w:rFonts w:hAnsi="宋体" w:cs="宋体"/>
          <w:color w:val="auto"/>
          <w:sz w:val="24"/>
          <w:szCs w:val="24"/>
          <w:highlight w:val="none"/>
        </w:rPr>
        <w:outlineLvl w:val="1"/>
      </w:pPr>
      <w:r/>
      <w:bookmarkStart w:id="555" w:name="_Toc11478"/>
      <w:r>
        <w:rPr>
          <w:rFonts w:hint="eastAsia" w:hAnsi="宋体" w:cs="宋体"/>
          <w:b/>
          <w:bCs/>
          <w:color w:val="auto"/>
          <w:sz w:val="24"/>
          <w:szCs w:val="24"/>
          <w:highlight w:val="none"/>
        </w:rPr>
        <w:t xml:space="preserve">七、投标报价说明</w:t>
      </w:r>
      <w:bookmarkEnd w:id="555"/>
      <w:r/>
      <w:r/>
    </w:p>
    <w:p>
      <w:pPr>
        <w:pStyle w:val="1101"/>
        <w:ind w:firstLine="480"/>
        <w:jc w:val="left"/>
        <w:spacing w:line="360" w:lineRule="auto"/>
        <w:tabs>
          <w:tab w:val="left" w:pos="525" w:leader="none"/>
          <w:tab w:val="left" w:pos="735" w:leader="none"/>
        </w:tabs>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本项目</w:t>
      </w:r>
      <w:r>
        <w:rPr>
          <w:rFonts w:hint="eastAsia" w:hAnsi="宋体" w:cs="宋体"/>
          <w:color w:val="auto"/>
          <w:sz w:val="24"/>
          <w:szCs w:val="24"/>
          <w:highlight w:val="none"/>
        </w:rPr>
        <w:t xml:space="preserve">供应商无须编制已标价的工程量清单报价文件，按照预算价总价下浮报价，结算时各单价直接将预算价按照</w:t>
      </w:r>
      <w:r>
        <w:rPr>
          <w:rFonts w:hint="eastAsia" w:ascii="宋体" w:hAnsi="宋体" w:cs="宋体"/>
          <w:color w:val="auto"/>
          <w:sz w:val="24"/>
          <w:szCs w:val="24"/>
          <w:highlight w:val="none"/>
          <w:lang w:val="en-US" w:eastAsia="zh-CN"/>
        </w:rPr>
        <w:t xml:space="preserve">成交</w:t>
      </w:r>
      <w:r>
        <w:rPr>
          <w:rFonts w:hint="eastAsia" w:hAnsi="宋体" w:cs="宋体"/>
          <w:color w:val="auto"/>
          <w:sz w:val="24"/>
          <w:szCs w:val="24"/>
          <w:highlight w:val="none"/>
        </w:rPr>
        <w:t xml:space="preserve">下浮率（特指实际下浮率，暂列金额、专业工程暂估价等不可竞争费用不下浮）同步下浮执行。结算时以审计后的实际工程量为准，按实结算。</w:t>
      </w:r>
      <w:r/>
    </w:p>
    <w:p>
      <w:pPr>
        <w:jc w:val="center"/>
        <w:spacing w:before="120" w:after="120" w:line="360" w:lineRule="auto"/>
        <w:rPr>
          <w:rFonts w:ascii="宋体" w:hAnsi="宋体" w:cs="宋体"/>
          <w:b/>
          <w:color w:val="auto"/>
          <w:spacing w:val="6"/>
          <w:sz w:val="36"/>
          <w:szCs w:val="36"/>
          <w:highlight w:val="none"/>
        </w:rPr>
        <w:outlineLvl w:val="0"/>
      </w:pPr>
      <w:r>
        <w:rPr>
          <w:rFonts w:hint="eastAsia" w:ascii="宋体" w:hAnsi="宋体" w:cs="宋体"/>
          <w:color w:val="auto"/>
          <w:sz w:val="24"/>
          <w:highlight w:val="none"/>
        </w:rPr>
        <w:br w:type="page" w:clear="all"/>
      </w:r>
      <w:bookmarkStart w:id="556" w:name="_Toc23774"/>
      <w:r/>
      <w:bookmarkStart w:id="557" w:name="_Toc7921"/>
      <w:r>
        <w:rPr>
          <w:rFonts w:hint="eastAsia" w:ascii="宋体" w:hAnsi="宋体" w:cs="宋体"/>
          <w:b/>
          <w:color w:val="auto"/>
          <w:sz w:val="30"/>
          <w:szCs w:val="30"/>
          <w:highlight w:val="none"/>
        </w:rPr>
        <w:t xml:space="preserve">第五章 </w:t>
      </w:r>
      <w:bookmarkStart w:id="558" w:name="_Toc22812"/>
      <w:r>
        <w:rPr>
          <w:rFonts w:hint="eastAsia" w:ascii="宋体" w:hAnsi="宋体" w:cs="宋体"/>
          <w:b/>
          <w:color w:val="auto"/>
          <w:sz w:val="30"/>
          <w:szCs w:val="30"/>
          <w:highlight w:val="none"/>
        </w:rPr>
        <w:t xml:space="preserve"> </w:t>
      </w:r>
      <w:bookmarkEnd w:id="558"/>
      <w:r>
        <w:rPr>
          <w:rFonts w:hint="eastAsia" w:ascii="宋体" w:hAnsi="宋体" w:cs="宋体"/>
          <w:b/>
          <w:color w:val="auto"/>
          <w:sz w:val="30"/>
          <w:szCs w:val="30"/>
          <w:highlight w:val="none"/>
        </w:rPr>
        <w:t xml:space="preserve">合同条款及格式</w:t>
      </w:r>
      <w:bookmarkEnd w:id="556"/>
      <w:r/>
      <w:bookmarkEnd w:id="557"/>
      <w:r/>
      <w:r/>
    </w:p>
    <w:p>
      <w:pPr>
        <w:jc w:val="center"/>
        <w:spacing w:before="240" w:line="360" w:lineRule="auto"/>
        <w:rPr>
          <w:rFonts w:ascii="宋体" w:hAnsi="宋体"/>
          <w:b/>
          <w:bCs/>
          <w:color w:val="auto"/>
          <w:sz w:val="48"/>
          <w:szCs w:val="48"/>
          <w:highlight w:val="none"/>
        </w:rPr>
      </w:pPr>
      <w:r>
        <w:rPr>
          <w:rFonts w:hint="eastAsia" w:ascii="宋体" w:hAnsi="宋体"/>
          <w:b/>
          <w:bCs/>
          <w:color w:val="auto"/>
          <w:sz w:val="48"/>
          <w:szCs w:val="48"/>
          <w:highlight w:val="none"/>
        </w:rPr>
        <w:t xml:space="preserve">泰兴市交通建设工程</w:t>
      </w:r>
      <w:r/>
    </w:p>
    <w:p>
      <w:pPr>
        <w:jc w:val="center"/>
        <w:spacing w:line="360" w:lineRule="auto"/>
        <w:rPr>
          <w:rFonts w:ascii="宋体" w:hAnsi="宋体"/>
          <w:b/>
          <w:bCs/>
          <w:color w:val="auto"/>
          <w:spacing w:val="40"/>
          <w:sz w:val="48"/>
          <w:szCs w:val="48"/>
          <w:highlight w:val="none"/>
        </w:rPr>
      </w:pPr>
      <w:r>
        <w:rPr>
          <w:rFonts w:hint="eastAsia" w:ascii="宋体" w:hAnsi="宋体"/>
          <w:b/>
          <w:bCs/>
          <w:color w:val="auto"/>
          <w:spacing w:val="40"/>
          <w:sz w:val="48"/>
          <w:szCs w:val="48"/>
          <w:highlight w:val="none"/>
        </w:rPr>
        <w:t xml:space="preserve">施工合同协议书</w:t>
      </w:r>
      <w:r/>
    </w:p>
    <w:p>
      <w:pPr>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ascii="宋体" w:hAnsi="宋体"/>
          <w:color w:val="auto"/>
          <w:sz w:val="32"/>
          <w:szCs w:val="32"/>
          <w:highlight w:val="none"/>
        </w:rPr>
      </w:r>
      <w:r/>
    </w:p>
    <w:tbl>
      <w:tblPr>
        <w:tblStyle w:val="87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5"/>
        <w:gridCol w:w="6623"/>
      </w:tblGrid>
      <w:tr>
        <w:trPr>
          <w:jc w:val="center"/>
          <w:trHeight w:val="1134"/>
        </w:trPr>
        <w:tc>
          <w:tcPr>
            <w:tcW w:w="1162" w:type="pct"/>
            <w:vAlign w:val="center"/>
            <w:textDirection w:val="lrTb"/>
            <w:noWrap w:val="false"/>
          </w:tcPr>
          <w:p>
            <w:pPr>
              <w:jc w:val="center"/>
              <w:keepLines w:val="0"/>
              <w:keepNext w:val="0"/>
              <w:pageBreakBefore w:val="0"/>
              <w:spacing w:line="500" w:lineRule="exact"/>
              <w:widowControl w:val="off"/>
              <w:rPr>
                <w:rFonts w:ascii="宋体" w:hAnsi="宋体" w:cs="Calibri"/>
                <w:b/>
                <w:bCs/>
                <w:color w:val="auto"/>
                <w:spacing w:val="-20"/>
                <w:sz w:val="28"/>
                <w:szCs w:val="28"/>
                <w:highlight w:val="none"/>
              </w:rPr>
            </w:pPr>
            <w:r>
              <w:rPr>
                <w:rFonts w:hint="eastAsia" w:ascii="宋体" w:hAnsi="宋体"/>
                <w:b/>
                <w:bCs/>
                <w:color w:val="auto"/>
                <w:sz w:val="28"/>
                <w:szCs w:val="28"/>
                <w:highlight w:val="none"/>
              </w:rPr>
              <w:t xml:space="preserve">工程名称：</w:t>
            </w:r>
            <w:r/>
          </w:p>
        </w:tc>
        <w:tc>
          <w:tcPr>
            <w:tcW w:w="3837" w:type="pct"/>
            <w:vAlign w:val="center"/>
            <w:textDirection w:val="lrTb"/>
            <w:noWrap w:val="false"/>
          </w:tcPr>
          <w:p>
            <w:pPr>
              <w:jc w:val="center"/>
              <w:keepLines w:val="0"/>
              <w:keepNext w:val="0"/>
              <w:pageBreakBefore w:val="0"/>
              <w:spacing w:line="500" w:lineRule="exact"/>
              <w:widowControl w:val="off"/>
              <w:rPr>
                <w:rFonts w:ascii="宋体" w:hAnsi="宋体" w:cs="Calibri"/>
                <w:b/>
                <w:bCs/>
                <w:color w:val="auto"/>
                <w:spacing w:val="-10"/>
                <w:sz w:val="28"/>
                <w:szCs w:val="28"/>
                <w:highlight w:val="none"/>
              </w:rPr>
            </w:pPr>
            <w:r>
              <w:rPr>
                <w:rFonts w:ascii="宋体" w:hAnsi="宋体" w:cs="Calibri"/>
                <w:b/>
                <w:bCs/>
                <w:color w:val="auto"/>
                <w:spacing w:val="-10"/>
                <w:sz w:val="28"/>
                <w:szCs w:val="28"/>
                <w:highlight w:val="none"/>
              </w:rPr>
            </w:r>
            <w:r/>
          </w:p>
        </w:tc>
      </w:tr>
      <w:tr>
        <w:trPr>
          <w:jc w:val="center"/>
          <w:trHeight w:val="1134"/>
        </w:trPr>
        <w:tc>
          <w:tcPr>
            <w:tcW w:w="1162" w:type="pct"/>
            <w:vAlign w:val="center"/>
            <w:textDirection w:val="lrTb"/>
            <w:noWrap w:val="false"/>
          </w:tcPr>
          <w:p>
            <w:pPr>
              <w:jc w:val="center"/>
              <w:keepLines w:val="0"/>
              <w:keepNext w:val="0"/>
              <w:pageBreakBefore w:val="0"/>
              <w:spacing w:line="500" w:lineRule="exact"/>
              <w:widowControl w:val="off"/>
              <w:rPr>
                <w:rFonts w:ascii="宋体" w:hAnsi="宋体" w:cs="Calibri"/>
                <w:b/>
                <w:bCs/>
                <w:color w:val="auto"/>
                <w:spacing w:val="-20"/>
                <w:sz w:val="28"/>
                <w:szCs w:val="28"/>
                <w:highlight w:val="none"/>
              </w:rPr>
            </w:pPr>
            <w:r>
              <w:rPr>
                <w:rFonts w:hint="eastAsia" w:ascii="宋体" w:hAnsi="宋体"/>
                <w:b/>
                <w:bCs/>
                <w:color w:val="auto"/>
                <w:sz w:val="28"/>
                <w:szCs w:val="28"/>
                <w:highlight w:val="none"/>
              </w:rPr>
              <w:t xml:space="preserve">合同编号：</w:t>
            </w:r>
            <w:r/>
          </w:p>
        </w:tc>
        <w:tc>
          <w:tcPr>
            <w:tcW w:w="3837" w:type="pct"/>
            <w:vAlign w:val="center"/>
            <w:textDirection w:val="lrTb"/>
            <w:noWrap w:val="false"/>
          </w:tcPr>
          <w:p>
            <w:pPr>
              <w:jc w:val="center"/>
              <w:keepLines w:val="0"/>
              <w:keepNext w:val="0"/>
              <w:pageBreakBefore w:val="0"/>
              <w:spacing w:line="500" w:lineRule="exact"/>
              <w:widowControl w:val="off"/>
              <w:rPr>
                <w:rFonts w:ascii="宋体" w:hAnsi="宋体" w:cs="Calibri"/>
                <w:b/>
                <w:bCs/>
                <w:color w:val="auto"/>
                <w:sz w:val="28"/>
                <w:szCs w:val="28"/>
                <w:highlight w:val="none"/>
              </w:rPr>
            </w:pPr>
            <w:r>
              <w:rPr>
                <w:rFonts w:ascii="宋体" w:hAnsi="宋体" w:cs="Calibri"/>
                <w:b/>
                <w:bCs/>
                <w:color w:val="auto"/>
                <w:sz w:val="28"/>
                <w:szCs w:val="28"/>
                <w:highlight w:val="none"/>
              </w:rPr>
            </w:r>
            <w:r/>
          </w:p>
        </w:tc>
      </w:tr>
      <w:tr>
        <w:trPr>
          <w:jc w:val="center"/>
          <w:trHeight w:val="1134"/>
        </w:trPr>
        <w:tc>
          <w:tcPr>
            <w:tcW w:w="1162" w:type="pct"/>
            <w:vAlign w:val="center"/>
            <w:textDirection w:val="lrTb"/>
            <w:noWrap w:val="false"/>
          </w:tcPr>
          <w:p>
            <w:pPr>
              <w:jc w:val="center"/>
              <w:keepLines w:val="0"/>
              <w:keepNext w:val="0"/>
              <w:pageBreakBefore w:val="0"/>
              <w:spacing w:line="500" w:lineRule="exact"/>
              <w:widowControl w:val="off"/>
              <w:rPr>
                <w:rFonts w:ascii="宋体" w:hAnsi="宋体" w:cs="Calibri"/>
                <w:b/>
                <w:bCs/>
                <w:color w:val="auto"/>
                <w:spacing w:val="-20"/>
                <w:sz w:val="28"/>
                <w:szCs w:val="28"/>
                <w:highlight w:val="none"/>
              </w:rPr>
            </w:pPr>
            <w:r>
              <w:rPr>
                <w:rFonts w:hint="eastAsia" w:ascii="宋体" w:hAnsi="宋体"/>
                <w:b/>
                <w:bCs/>
                <w:color w:val="auto"/>
                <w:spacing w:val="50"/>
                <w:sz w:val="28"/>
                <w:szCs w:val="28"/>
                <w:highlight w:val="none"/>
              </w:rPr>
              <w:t xml:space="preserve">发包人</w:t>
            </w:r>
            <w:r>
              <w:rPr>
                <w:rFonts w:hint="eastAsia" w:ascii="宋体" w:hAnsi="宋体"/>
                <w:b/>
                <w:bCs/>
                <w:color w:val="auto"/>
                <w:sz w:val="28"/>
                <w:szCs w:val="28"/>
                <w:highlight w:val="none"/>
              </w:rPr>
              <w:t xml:space="preserve">：</w:t>
            </w:r>
            <w:r/>
          </w:p>
        </w:tc>
        <w:tc>
          <w:tcPr>
            <w:tcW w:w="3837" w:type="pct"/>
            <w:vAlign w:val="center"/>
            <w:textDirection w:val="lrTb"/>
            <w:noWrap w:val="false"/>
          </w:tcPr>
          <w:p>
            <w:pPr>
              <w:jc w:val="center"/>
              <w:keepLines w:val="0"/>
              <w:keepNext w:val="0"/>
              <w:pageBreakBefore w:val="0"/>
              <w:spacing w:line="500" w:lineRule="exact"/>
              <w:widowControl w:val="off"/>
              <w:rPr>
                <w:rFonts w:ascii="宋体" w:hAnsi="宋体" w:cs="Calibri"/>
                <w:b/>
                <w:bCs/>
                <w:color w:val="auto"/>
                <w:spacing w:val="-10"/>
                <w:sz w:val="28"/>
                <w:szCs w:val="28"/>
                <w:highlight w:val="none"/>
              </w:rPr>
            </w:pPr>
            <w:r>
              <w:rPr>
                <w:rFonts w:ascii="宋体" w:hAnsi="宋体" w:cs="Calibri"/>
                <w:b/>
                <w:bCs/>
                <w:color w:val="auto"/>
                <w:spacing w:val="-10"/>
                <w:sz w:val="28"/>
                <w:szCs w:val="28"/>
                <w:highlight w:val="none"/>
              </w:rPr>
            </w:r>
            <w:r/>
          </w:p>
        </w:tc>
      </w:tr>
      <w:tr>
        <w:trPr>
          <w:jc w:val="center"/>
          <w:trHeight w:val="1134"/>
        </w:trPr>
        <w:tc>
          <w:tcPr>
            <w:tcW w:w="1162" w:type="pct"/>
            <w:vAlign w:val="center"/>
            <w:textDirection w:val="lrTb"/>
            <w:noWrap w:val="false"/>
          </w:tcPr>
          <w:p>
            <w:pPr>
              <w:jc w:val="center"/>
              <w:keepLines w:val="0"/>
              <w:keepNext w:val="0"/>
              <w:pageBreakBefore w:val="0"/>
              <w:spacing w:line="500" w:lineRule="exact"/>
              <w:widowControl w:val="off"/>
              <w:rPr>
                <w:rFonts w:ascii="宋体" w:hAnsi="宋体" w:cs="Calibri"/>
                <w:b/>
                <w:bCs/>
                <w:color w:val="auto"/>
                <w:spacing w:val="-20"/>
                <w:sz w:val="28"/>
                <w:szCs w:val="28"/>
                <w:highlight w:val="none"/>
              </w:rPr>
            </w:pPr>
            <w:r>
              <w:rPr>
                <w:rFonts w:hint="eastAsia" w:ascii="宋体" w:hAnsi="宋体"/>
                <w:b/>
                <w:bCs/>
                <w:color w:val="auto"/>
                <w:spacing w:val="50"/>
                <w:sz w:val="28"/>
                <w:szCs w:val="28"/>
                <w:highlight w:val="none"/>
              </w:rPr>
              <w:t xml:space="preserve">承包人</w:t>
            </w:r>
            <w:r>
              <w:rPr>
                <w:rFonts w:hint="eastAsia" w:ascii="宋体" w:hAnsi="宋体"/>
                <w:b/>
                <w:bCs/>
                <w:color w:val="auto"/>
                <w:sz w:val="28"/>
                <w:szCs w:val="28"/>
                <w:highlight w:val="none"/>
              </w:rPr>
              <w:t xml:space="preserve">：</w:t>
            </w:r>
            <w:r/>
          </w:p>
        </w:tc>
        <w:tc>
          <w:tcPr>
            <w:tcW w:w="3837" w:type="pct"/>
            <w:vAlign w:val="center"/>
            <w:textDirection w:val="lrTb"/>
            <w:noWrap w:val="false"/>
          </w:tcPr>
          <w:p>
            <w:pPr>
              <w:jc w:val="center"/>
              <w:keepLines w:val="0"/>
              <w:keepNext w:val="0"/>
              <w:pageBreakBefore w:val="0"/>
              <w:spacing w:line="500" w:lineRule="exact"/>
              <w:widowControl w:val="off"/>
              <w:rPr>
                <w:rFonts w:ascii="宋体" w:hAnsi="宋体" w:cs="Calibri"/>
                <w:b/>
                <w:bCs/>
                <w:color w:val="auto"/>
                <w:sz w:val="28"/>
                <w:szCs w:val="28"/>
                <w:highlight w:val="none"/>
              </w:rPr>
            </w:pPr>
            <w:r>
              <w:rPr>
                <w:rFonts w:ascii="宋体" w:hAnsi="宋体" w:cs="Calibri"/>
                <w:b/>
                <w:bCs/>
                <w:color w:val="auto"/>
                <w:sz w:val="28"/>
                <w:szCs w:val="28"/>
                <w:highlight w:val="none"/>
              </w:rPr>
            </w:r>
            <w:r/>
          </w:p>
        </w:tc>
      </w:tr>
      <w:tr>
        <w:trPr>
          <w:jc w:val="center"/>
          <w:trHeight w:val="1134"/>
        </w:trPr>
        <w:tc>
          <w:tcPr>
            <w:tcW w:w="1162" w:type="pct"/>
            <w:vAlign w:val="center"/>
            <w:textDirection w:val="lrTb"/>
            <w:noWrap w:val="false"/>
          </w:tcPr>
          <w:p>
            <w:pPr>
              <w:jc w:val="center"/>
              <w:keepLines w:val="0"/>
              <w:keepNext w:val="0"/>
              <w:pageBreakBefore w:val="0"/>
              <w:spacing w:line="500" w:lineRule="exact"/>
              <w:widowControl w:val="off"/>
              <w:rPr>
                <w:rFonts w:ascii="宋体" w:hAnsi="宋体" w:cs="Calibri"/>
                <w:b/>
                <w:bCs/>
                <w:color w:val="auto"/>
                <w:spacing w:val="-20"/>
                <w:sz w:val="28"/>
                <w:szCs w:val="28"/>
                <w:highlight w:val="none"/>
              </w:rPr>
            </w:pPr>
            <w:r>
              <w:rPr>
                <w:rFonts w:hint="eastAsia" w:ascii="宋体" w:hAnsi="宋体"/>
                <w:b/>
                <w:bCs/>
                <w:color w:val="auto"/>
                <w:sz w:val="28"/>
                <w:szCs w:val="28"/>
                <w:highlight w:val="none"/>
              </w:rPr>
              <w:t xml:space="preserve">签订日期：</w:t>
            </w:r>
            <w:r/>
          </w:p>
        </w:tc>
        <w:tc>
          <w:tcPr>
            <w:tcW w:w="3837" w:type="pct"/>
            <w:vAlign w:val="center"/>
            <w:textDirection w:val="lrTb"/>
            <w:noWrap w:val="false"/>
          </w:tcPr>
          <w:p>
            <w:pPr>
              <w:jc w:val="center"/>
              <w:keepLines w:val="0"/>
              <w:keepNext w:val="0"/>
              <w:pageBreakBefore w:val="0"/>
              <w:spacing w:line="500" w:lineRule="exact"/>
              <w:widowControl w:val="off"/>
              <w:rPr>
                <w:rFonts w:ascii="宋体" w:hAnsi="宋体" w:cs="Calibri"/>
                <w:b/>
                <w:bCs/>
                <w:color w:val="auto"/>
                <w:sz w:val="28"/>
                <w:szCs w:val="28"/>
                <w:highlight w:val="none"/>
              </w:rPr>
            </w:pPr>
            <w:r>
              <w:rPr>
                <w:rFonts w:ascii="宋体" w:hAnsi="宋体" w:cs="Calibri"/>
                <w:b/>
                <w:bCs/>
                <w:color w:val="auto"/>
                <w:sz w:val="28"/>
                <w:szCs w:val="28"/>
                <w:highlight w:val="none"/>
              </w:rPr>
            </w:r>
            <w:r/>
          </w:p>
        </w:tc>
      </w:tr>
    </w:tbl>
    <w:p>
      <w:pPr>
        <w:rPr>
          <w:rFonts w:ascii="宋体" w:hAnsi="宋体" w:cs="Calibri"/>
          <w:color w:val="auto"/>
          <w:szCs w:val="21"/>
          <w:highlight w:val="none"/>
        </w:rPr>
      </w:pPr>
      <w:r>
        <w:rPr>
          <w:rFonts w:ascii="宋体" w:hAnsi="宋体" w:cs="Calibri"/>
          <w:color w:val="auto"/>
          <w:szCs w:val="21"/>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ind w:firstLine="560"/>
        <w:spacing w:line="360" w:lineRule="auto"/>
        <w:rPr>
          <w:rFonts w:ascii="宋体" w:hAnsi="宋体"/>
          <w:b/>
          <w:bCs/>
          <w:color w:val="auto"/>
          <w:sz w:val="24"/>
          <w:szCs w:val="24"/>
          <w:highlight w:val="none"/>
        </w:rPr>
      </w:pPr>
      <w:r>
        <w:rPr>
          <w:rFonts w:ascii="宋体" w:hAnsi="宋体"/>
          <w:color w:val="auto"/>
          <w:sz w:val="28"/>
          <w:szCs w:val="28"/>
          <w:highlight w:val="none"/>
        </w:rPr>
        <w:br w:type="page" w:clear="all"/>
      </w:r>
      <w:r>
        <w:rPr>
          <w:rFonts w:hint="eastAsia" w:ascii="宋体" w:hAnsi="宋体"/>
          <w:color w:val="auto"/>
          <w:sz w:val="24"/>
          <w:szCs w:val="24"/>
          <w:highlight w:val="none"/>
        </w:rPr>
        <w:t xml:space="preserve">发包人为实施</w:t>
      </w:r>
      <w:r>
        <w:rPr>
          <w:rFonts w:hint="eastAsia" w:ascii="宋体" w:hAnsi="宋体"/>
          <w:b/>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，已接受承包人对该项目施工的投标。为使该项目顺利实施，双方共同协商达成如下协议：</w:t>
      </w:r>
      <w:r/>
    </w:p>
    <w:p>
      <w:pPr>
        <w:ind w:firstLine="537"/>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一、工程概况：</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2026年黄桥镇农村公路维护工程</w:t>
      </w:r>
      <w:r>
        <w:rPr>
          <w:rFonts w:hint="eastAsia" w:ascii="宋体" w:hAnsi="宋体"/>
          <w:color w:val="auto"/>
          <w:sz w:val="24"/>
          <w:szCs w:val="24"/>
          <w:highlight w:val="none"/>
        </w:rPr>
        <w:t xml:space="preserve">，具体详见工程量清单。</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本次合同范围为：</w:t>
      </w:r>
      <w:r>
        <w:rPr>
          <w:rFonts w:hint="eastAsia" w:ascii="宋体" w:hAnsi="宋体"/>
          <w:color w:val="auto"/>
          <w:sz w:val="24"/>
          <w:szCs w:val="24"/>
          <w:highlight w:val="none"/>
          <w:u w:val="single"/>
        </w:rPr>
        <w:t xml:space="preserve">工程量清单中注明的</w:t>
      </w:r>
      <w:r>
        <w:rPr>
          <w:rFonts w:hint="eastAsia" w:ascii="宋体" w:hAnsi="宋体"/>
          <w:color w:val="auto"/>
          <w:sz w:val="24"/>
          <w:szCs w:val="24"/>
          <w:highlight w:val="none"/>
          <w:u w:val="single"/>
          <w:lang w:eastAsia="zh-CN"/>
        </w:rPr>
        <w:t xml:space="preserve">2026年黄桥镇农村公路维护工程</w:t>
      </w:r>
      <w:r>
        <w:rPr>
          <w:rFonts w:hint="eastAsia" w:ascii="宋体" w:hAnsi="宋体"/>
          <w:color w:val="auto"/>
          <w:sz w:val="24"/>
          <w:szCs w:val="24"/>
          <w:highlight w:val="none"/>
          <w:u w:val="single"/>
        </w:rPr>
        <w:t xml:space="preserve">的施工，具体详见工程量清单</w:t>
      </w:r>
      <w:r>
        <w:rPr>
          <w:rFonts w:hint="eastAsia" w:ascii="宋体" w:hAnsi="宋体"/>
          <w:color w:val="auto"/>
          <w:sz w:val="24"/>
          <w:szCs w:val="24"/>
          <w:highlight w:val="none"/>
        </w:rPr>
        <w:t xml:space="preserve">。</w:t>
      </w:r>
      <w:r/>
    </w:p>
    <w:p>
      <w:pPr>
        <w:ind w:firstLine="63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二、合同文件的组成部分：</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（1）合同实施期间，发包人和承包人签订的其他协议（如果有）</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（2）合同协议书及各种合同附件（含廉政合同、安全生产合同、合同补充协议和合同谈判过程中的澄清文件和补充资料）；</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（3）成交通知书；</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（4）响应函及响应函附录；</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（5）技术标准和要求</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（6）图纸；</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（7）已标价工程量清单；</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（8）承包人有关人员、设备投入的承诺；</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（9）国家最新颁布的各种技术规范，检验评定标准及相关的规章制度；</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（10）构成本合同组成部分的其他文件。</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上述文件互相补充和解释，如有不明确或不一致之处，以合同约定次序在先者为准。</w:t>
      </w:r>
      <w:r/>
    </w:p>
    <w:p>
      <w:pPr>
        <w:ind w:firstLine="56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三、合同价及支付结算</w:t>
      </w:r>
      <w:r/>
    </w:p>
    <w:p>
      <w:pPr>
        <w:ind w:firstLine="63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本工程签约合同价即</w:t>
      </w:r>
      <w:r>
        <w:rPr>
          <w:rFonts w:hint="eastAsia" w:ascii="宋体" w:hAnsi="宋体" w:cs="宋体"/>
          <w:color w:val="auto"/>
          <w:sz w:val="24"/>
          <w:szCs w:val="24"/>
          <w:highlight w:val="none"/>
          <w:lang w:val="en-US" w:eastAsia="zh-CN"/>
        </w:rPr>
        <w:t xml:space="preserve">成交</w:t>
      </w:r>
      <w:r>
        <w:rPr>
          <w:rFonts w:hint="eastAsia" w:ascii="宋体" w:hAnsi="宋体"/>
          <w:color w:val="auto"/>
          <w:sz w:val="24"/>
          <w:szCs w:val="24"/>
          <w:highlight w:val="none"/>
        </w:rPr>
        <w:t xml:space="preserve">价，人民币（</w:t>
      </w:r>
      <w:r>
        <w:rPr>
          <w:rFonts w:hint="eastAsia" w:ascii="宋体" w:hAnsi="宋体"/>
          <w:color w:val="auto"/>
          <w:sz w:val="24"/>
          <w:szCs w:val="24"/>
          <w:highlight w:val="none"/>
          <w:u w:val="single"/>
        </w:rPr>
        <w:t xml:space="preserve">大写    </w:t>
      </w:r>
      <w:r>
        <w:rPr>
          <w:rFonts w:hint="eastAsia" w:ascii="宋体" w:hAnsi="宋体"/>
          <w:color w:val="auto"/>
          <w:sz w:val="24"/>
          <w:szCs w:val="24"/>
          <w:highlight w:val="none"/>
        </w:rPr>
        <w:t xml:space="preserve">）元（</w:t>
      </w:r>
      <w:r>
        <w:rPr>
          <w:rFonts w:hint="eastAsia" w:ascii="宋体" w:hAnsi="宋体"/>
          <w:color w:val="auto"/>
          <w:sz w:val="24"/>
          <w:szCs w:val="24"/>
          <w:highlight w:val="none"/>
          <w:u w:val="single"/>
        </w:rPr>
        <w:t xml:space="preserve">￥  元</w:t>
      </w:r>
      <w:r>
        <w:rPr>
          <w:rFonts w:hint="eastAsia" w:ascii="宋体" w:hAnsi="宋体"/>
          <w:color w:val="auto"/>
          <w:sz w:val="24"/>
          <w:szCs w:val="24"/>
          <w:highlight w:val="none"/>
        </w:rPr>
        <w:t xml:space="preserve">）。工程最终将按实际签认的工程量和</w:t>
      </w:r>
      <w:r>
        <w:rPr>
          <w:rFonts w:hint="eastAsia" w:ascii="宋体" w:hAnsi="宋体" w:cs="宋体"/>
          <w:color w:val="auto"/>
          <w:sz w:val="24"/>
          <w:szCs w:val="24"/>
          <w:highlight w:val="none"/>
          <w:lang w:val="en-US" w:eastAsia="zh-CN"/>
        </w:rPr>
        <w:t xml:space="preserve">成交</w:t>
      </w:r>
      <w:r>
        <w:rPr>
          <w:rFonts w:hint="eastAsia" w:ascii="宋体" w:hAnsi="宋体"/>
          <w:color w:val="auto"/>
          <w:sz w:val="24"/>
          <w:szCs w:val="24"/>
          <w:highlight w:val="none"/>
        </w:rPr>
        <w:t xml:space="preserve">单价进行结算。</w:t>
      </w:r>
      <w:r/>
    </w:p>
    <w:p>
      <w:pPr>
        <w:ind w:firstLine="63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安全生产费用实行总量控制由工程现场质监管理人员依据监理工程师的意见签字确认后进行计量支付。</w:t>
      </w:r>
      <w:r/>
    </w:p>
    <w:p>
      <w:pPr>
        <w:ind w:firstLine="630"/>
        <w:spacing w:line="360" w:lineRule="auto"/>
        <w:rPr>
          <w:rFonts w:ascii="宋体" w:hAnsi="宋体"/>
          <w:color w:val="auto"/>
          <w:spacing w:val="-6"/>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pacing w:val="-6"/>
          <w:sz w:val="24"/>
          <w:szCs w:val="24"/>
          <w:highlight w:val="none"/>
        </w:rPr>
        <w:t xml:space="preserve">合同外项目单价的确认，将参照类似工程类似项目或子目</w:t>
      </w:r>
      <w:r>
        <w:rPr>
          <w:rFonts w:hint="eastAsia" w:ascii="宋体" w:hAnsi="宋体" w:cs="宋体"/>
          <w:color w:val="auto"/>
          <w:sz w:val="24"/>
          <w:szCs w:val="24"/>
          <w:highlight w:val="none"/>
          <w:lang w:val="en-US" w:eastAsia="zh-CN"/>
        </w:rPr>
        <w:t xml:space="preserve">成交</w:t>
      </w:r>
      <w:r>
        <w:rPr>
          <w:rFonts w:hint="eastAsia" w:ascii="宋体" w:hAnsi="宋体"/>
          <w:color w:val="auto"/>
          <w:spacing w:val="-6"/>
          <w:sz w:val="24"/>
          <w:szCs w:val="24"/>
          <w:highlight w:val="none"/>
        </w:rPr>
        <w:t xml:space="preserve">单价执行，或依据</w:t>
      </w:r>
      <w:r>
        <w:rPr>
          <w:rFonts w:hint="eastAsia" w:ascii="宋体" w:hAnsi="宋体"/>
          <w:color w:val="auto"/>
          <w:spacing w:val="-6"/>
          <w:sz w:val="24"/>
          <w:szCs w:val="24"/>
          <w:highlight w:val="none"/>
          <w:lang w:val="en-US" w:eastAsia="zh-CN"/>
        </w:rPr>
        <w:t xml:space="preserve">采购</w:t>
      </w:r>
      <w:r>
        <w:rPr>
          <w:rFonts w:hint="eastAsia" w:ascii="宋体" w:hAnsi="宋体"/>
          <w:color w:val="auto"/>
          <w:spacing w:val="-6"/>
          <w:sz w:val="24"/>
          <w:szCs w:val="24"/>
          <w:highlight w:val="none"/>
        </w:rPr>
        <w:t xml:space="preserve">文件重新编制项目综合单价按</w:t>
      </w:r>
      <w:r>
        <w:rPr>
          <w:rFonts w:hint="eastAsia" w:ascii="宋体" w:hAnsi="宋体" w:cs="宋体"/>
          <w:color w:val="auto"/>
          <w:sz w:val="24"/>
          <w:szCs w:val="24"/>
          <w:highlight w:val="none"/>
          <w:lang w:val="en-US" w:eastAsia="zh-CN"/>
        </w:rPr>
        <w:t xml:space="preserve">成交</w:t>
      </w:r>
      <w:r>
        <w:rPr>
          <w:rFonts w:hint="eastAsia" w:ascii="宋体" w:hAnsi="宋体"/>
          <w:color w:val="auto"/>
          <w:spacing w:val="-6"/>
          <w:sz w:val="24"/>
          <w:szCs w:val="24"/>
          <w:highlight w:val="none"/>
        </w:rPr>
        <w:t xml:space="preserve">下浮率下浮后执行。</w:t>
      </w:r>
      <w:r/>
    </w:p>
    <w:p>
      <w:pPr>
        <w:ind w:firstLine="603"/>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4</w:t>
      </w:r>
      <w:r>
        <w:rPr>
          <w:rFonts w:hint="eastAsia" w:ascii="宋体" w:hAnsi="宋体"/>
          <w:color w:val="auto"/>
          <w:spacing w:val="-6"/>
          <w:sz w:val="24"/>
          <w:szCs w:val="24"/>
          <w:highlight w:val="none"/>
          <w:lang w:val="en-US" w:eastAsia="zh-CN"/>
        </w:rPr>
        <w:t xml:space="preserve">.</w:t>
      </w:r>
      <w:r>
        <w:rPr>
          <w:rFonts w:hint="eastAsia" w:ascii="宋体" w:hAnsi="宋体"/>
          <w:color w:val="auto"/>
          <w:spacing w:val="-6"/>
          <w:sz w:val="24"/>
          <w:szCs w:val="24"/>
          <w:highlight w:val="none"/>
        </w:rPr>
        <w:t xml:space="preserve">市场价格波动是否调整合同价格的约定：</w:t>
      </w:r>
      <w:r>
        <w:rPr>
          <w:rFonts w:hint="eastAsia" w:ascii="宋体" w:hAnsi="宋体"/>
          <w:color w:val="auto"/>
          <w:spacing w:val="-6"/>
          <w:sz w:val="24"/>
          <w:szCs w:val="24"/>
          <w:highlight w:val="none"/>
          <w:u w:val="single"/>
        </w:rPr>
        <w:t xml:space="preserve">  否  </w:t>
      </w:r>
      <w:r>
        <w:rPr>
          <w:rFonts w:hint="eastAsia" w:ascii="宋体" w:hAnsi="宋体"/>
          <w:color w:val="auto"/>
          <w:spacing w:val="-6"/>
          <w:sz w:val="24"/>
          <w:szCs w:val="24"/>
          <w:highlight w:val="none"/>
        </w:rPr>
        <w:t xml:space="preserve">。</w:t>
      </w:r>
      <w:r/>
    </w:p>
    <w:p>
      <w:pPr>
        <w:ind w:firstLine="560"/>
        <w:spacing w:line="360" w:lineRule="auto"/>
        <w:rPr>
          <w:rFonts w:ascii="宋体" w:hAnsi="宋体"/>
          <w:color w:val="auto"/>
          <w:spacing w:val="-6"/>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.每季度末供应商报送当季度的相关资料并经采购人对工程量审核，经采购人验收合格且全部工程量经结算审核后付至审计价的80%，余款待服务期满一年后结清。（此项目所涉及款项皆不计取利息）。</w:t>
      </w:r>
      <w:r/>
    </w:p>
    <w:p>
      <w:pPr>
        <w:ind w:firstLine="63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对几何尺寸、强度等主要技术指标不符合质量要求的分项工程，承包人必须整改，无法整改且不影响使用的，除按实计量外，还将扣除该分项工程计量的20%；计量资料不及时上报、工程不及时结算，不予安排资金。</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本项目暂定金额由监理工程师报业主批准确认后全部或部分地使用。</w:t>
      </w:r>
      <w:r/>
    </w:p>
    <w:p>
      <w:pPr>
        <w:ind w:firstLine="537"/>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四、承包人项目部主要人员：</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1项目经理：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技术负责人：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，安全员：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工程施工期间，承包人项目部主要人员须驻场，发包人现场代表或发包人委派的监理人员于每个施工日对承包人项目部主要人员进行实名制考勤，每日在岗时间不得少于6小时，月度实际到岗考勤率不得低于70%。如存在特殊情况不能按时到岗，应按要求及时办理请假手续，并委托具有相应资格的工作人员代为履行管理职责。每缺勤1%罚款600元/人。</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承包人项目部主要人员离开施工现场的批准要求：承包人的主要施工人员离开现场每月累计不超过5天，应报监理人同意。超过5天的，应通知监理人，并征得发包人书面同意。</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发包人临时抽查承包人项目部主要人员擅自离开施工现场的违约责任：处2000元人民币罚金每次，按由此造成的损失由承包人承担。</w:t>
      </w:r>
      <w:r/>
    </w:p>
    <w:p>
      <w:pPr>
        <w:ind w:firstLine="537"/>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五、质量及工期</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工程质量目标：</w:t>
      </w:r>
      <w:r>
        <w:rPr>
          <w:rFonts w:hint="eastAsia" w:ascii="宋体" w:hAnsi="宋体"/>
          <w:color w:val="auto"/>
          <w:sz w:val="24"/>
          <w:szCs w:val="24"/>
          <w:highlight w:val="none"/>
          <w:u w:val="single"/>
        </w:rPr>
        <w:t xml:space="preserve">合格</w:t>
      </w:r>
      <w:r>
        <w:rPr>
          <w:rFonts w:hint="eastAsia" w:ascii="宋体" w:hAnsi="宋体"/>
          <w:color w:val="auto"/>
          <w:sz w:val="24"/>
          <w:szCs w:val="24"/>
          <w:highlight w:val="none"/>
        </w:rPr>
        <w:t xml:space="preserve">。</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工期：</w:t>
      </w:r>
      <w:r>
        <w:rPr>
          <w:rFonts w:hint="eastAsia" w:ascii="宋体" w:hAnsi="宋体"/>
          <w:color w:val="auto"/>
          <w:sz w:val="24"/>
          <w:szCs w:val="24"/>
          <w:highlight w:val="none"/>
          <w:u w:val="single"/>
          <w:lang w:val="en-US" w:eastAsia="zh-CN"/>
        </w:rPr>
        <w:t xml:space="preserve">合同签订之日起至2026年12月31日</w:t>
      </w:r>
      <w:r>
        <w:rPr>
          <w:rFonts w:hint="eastAsia" w:ascii="宋体" w:hAnsi="宋体"/>
          <w:color w:val="auto"/>
          <w:sz w:val="24"/>
          <w:szCs w:val="24"/>
          <w:highlight w:val="none"/>
          <w:u w:val="single"/>
          <w:lang w:val="en-US" w:eastAsia="zh-CN"/>
        </w:rPr>
        <w:t xml:space="preserve">止</w:t>
      </w:r>
      <w:r>
        <w:rPr>
          <w:rFonts w:hint="eastAsia" w:ascii="宋体" w:hAnsi="宋体"/>
          <w:color w:val="auto"/>
          <w:sz w:val="24"/>
          <w:szCs w:val="24"/>
          <w:highlight w:val="none"/>
        </w:rPr>
        <w:t xml:space="preserve">，缺陷责任期：</w:t>
      </w:r>
      <w:r>
        <w:rPr>
          <w:rFonts w:hint="eastAsia" w:ascii="宋体" w:hAnsi="宋体"/>
          <w:color w:val="auto"/>
          <w:sz w:val="24"/>
          <w:szCs w:val="24"/>
          <w:highlight w:val="none"/>
          <w:u w:val="single"/>
        </w:rPr>
        <w:t xml:space="preserve">24个月</w:t>
      </w:r>
      <w:r>
        <w:rPr>
          <w:rFonts w:hint="eastAsia" w:ascii="宋体" w:hAnsi="宋体"/>
          <w:color w:val="auto"/>
          <w:sz w:val="24"/>
          <w:szCs w:val="24"/>
          <w:highlight w:val="none"/>
        </w:rPr>
        <w:t xml:space="preserve">。</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承包人承诺按合同约定承担工程的实施、完成及缺陷修复。</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发包人承诺按合同约定条件、时间和方式向承包人支付工程款。</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因承包人原因造成工期延误，逾期竣工违约金的计算方法为：</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r/>
    </w:p>
    <w:p>
      <w:pPr>
        <w:ind w:firstLine="537"/>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六、安全</w:t>
      </w:r>
      <w:r/>
    </w:p>
    <w:p>
      <w:pPr>
        <w:ind w:firstLine="537"/>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承包人在施工过程中应加强安全教育，规范做好各类安全防范措施，确保施工和交通安全，一旦发生安全责任事故，承包人全权负责处理，并承担一切责任。发包人将与承包人另行签订安全生产合同。</w:t>
      </w:r>
      <w:r/>
    </w:p>
    <w:p>
      <w:pPr>
        <w:ind w:firstLine="537"/>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七、保证金</w:t>
      </w:r>
      <w:r/>
    </w:p>
    <w:p>
      <w:pPr>
        <w:ind w:firstLine="537"/>
        <w:spacing w:line="360" w:lineRule="auto"/>
        <w:rPr>
          <w:rFonts w:hint="eastAsia" w:ascii="宋体" w:hAnsi="宋体" w:eastAsia="宋体" w:cs="宋体"/>
          <w:color w:val="auto"/>
          <w:sz w:val="24"/>
          <w:szCs w:val="24"/>
          <w:highlight w:val="none"/>
          <w:u w:val="none"/>
        </w:rPr>
      </w:pPr>
      <w:r>
        <w:rPr>
          <w:rFonts w:hint="eastAsia" w:ascii="宋体" w:hAnsi="宋体" w:eastAsia="宋体"/>
          <w:color w:val="auto"/>
          <w:sz w:val="24"/>
          <w:szCs w:val="24"/>
          <w:highlight w:val="none"/>
        </w:rPr>
        <w:t xml:space="preserve">签约合同前，按照约定承包人需向发包人提供</w:t>
      </w:r>
      <w:r>
        <w:rPr>
          <w:rFonts w:hint="eastAsia" w:ascii="宋体" w:hAnsi="宋体" w:eastAsia="宋体"/>
          <w:color w:val="auto"/>
          <w:sz w:val="24"/>
          <w:szCs w:val="24"/>
          <w:highlight w:val="none"/>
          <w:u w:val="single"/>
        </w:rPr>
        <w:t xml:space="preserve">成交（中标）金额的10%</w:t>
      </w:r>
      <w:r>
        <w:rPr>
          <w:rFonts w:hint="eastAsia" w:ascii="宋体" w:hAnsi="宋体" w:eastAsia="宋体"/>
          <w:color w:val="auto"/>
          <w:sz w:val="24"/>
          <w:szCs w:val="24"/>
          <w:highlight w:val="none"/>
        </w:rPr>
        <w:t xml:space="preserve">为履约保证金，履约保证金可以采用支票、汇票、本票或者金融机构、担保机构出具的保函</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电子履约保函（保险）</w:t>
      </w:r>
      <w:r>
        <w:rPr>
          <w:rFonts w:hint="eastAsia" w:ascii="宋体" w:hAnsi="宋体" w:eastAsia="宋体"/>
          <w:color w:val="auto"/>
          <w:sz w:val="24"/>
          <w:szCs w:val="24"/>
          <w:highlight w:val="none"/>
        </w:rPr>
        <w:t xml:space="preserve">等法律法规允许的非现金形式。履约保证金在</w:t>
      </w:r>
      <w:r>
        <w:rPr>
          <w:rFonts w:hint="eastAsia" w:ascii="宋体" w:hAnsi="宋体" w:eastAsia="宋体" w:cs="宋体"/>
          <w:color w:val="auto"/>
          <w:sz w:val="24"/>
          <w:szCs w:val="24"/>
          <w:highlight w:val="none"/>
          <w:u w:val="none"/>
        </w:rPr>
        <w:t xml:space="preserve">履约结束并经甲方验收合格后无息退还。在合同履行过程中出现违反合同约定的情形的，依据合同</w:t>
      </w:r>
      <w:r>
        <w:rPr>
          <w:rFonts w:hint="eastAsia" w:ascii="宋体" w:hAnsi="宋体" w:eastAsia="宋体" w:cs="宋体"/>
          <w:color w:val="auto"/>
          <w:sz w:val="24"/>
          <w:szCs w:val="24"/>
          <w:highlight w:val="none"/>
          <w:u w:val="none"/>
          <w:lang w:val="en-US" w:eastAsia="zh-CN"/>
        </w:rPr>
        <w:t xml:space="preserve">约定</w:t>
      </w:r>
      <w:r>
        <w:rPr>
          <w:rFonts w:hint="eastAsia" w:ascii="宋体" w:hAnsi="宋体" w:eastAsia="宋体" w:cs="宋体"/>
          <w:color w:val="auto"/>
          <w:sz w:val="24"/>
          <w:szCs w:val="24"/>
          <w:highlight w:val="none"/>
          <w:u w:val="none"/>
        </w:rPr>
        <w:t xml:space="preserve">扣除应扣款后一次性返还。</w:t>
      </w:r>
      <w:r/>
    </w:p>
    <w:p>
      <w:pPr>
        <w:ind w:firstLine="537"/>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八、其它</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发包人将按照有关规定定期对承包人进行履约考核，考核结果上报上级主管部门。</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工程实施过程中，承包人要无条件服从发包人对施工组织计划、工程量的调整，以及对工程管理和质量方面提出的有关要求。工程施工结束30天内必须规范整理好全部竣工资料和计量资料，并移交发包人。</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投标人必须充分调查本工程现场情况，制定较详实的实施计划和绕行方案，确保施工安全，保障交通畅通。</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承包人应及时组织施工队伍进场，严格按施工组织计划施工。如承包人序时进度严重滞后，</w:t>
      </w:r>
      <w:r>
        <w:rPr>
          <w:rFonts w:hint="eastAsia" w:ascii="宋体" w:hAnsi="宋体"/>
          <w:color w:val="auto"/>
          <w:sz w:val="24"/>
          <w:szCs w:val="24"/>
          <w:highlight w:val="none"/>
          <w:lang w:val="en-US" w:eastAsia="zh-CN"/>
        </w:rPr>
        <w:t xml:space="preserve">在一周内未按发包人要求进场施工或完工期限超过要求期限15天的，</w:t>
      </w:r>
      <w:r>
        <w:rPr>
          <w:rFonts w:hint="eastAsia" w:ascii="宋体" w:hAnsi="宋体"/>
          <w:color w:val="auto"/>
          <w:sz w:val="24"/>
          <w:szCs w:val="24"/>
          <w:highlight w:val="none"/>
        </w:rPr>
        <w:t xml:space="preserve">影响整个工期，发包人将视具体情况有权对剩余工程予以切割分包，并根据与分包单位结算价格在主包单位计量中予以扣除，由此产生的一切后果由原</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rPr>
        <w:t xml:space="preserve">单位承担。</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投标书中所列项目经理、项目总工等主要人员未经发包人同意一律不得调整更换，否则将根据其在项目中所担任的职务、级别予以罚款（项目经理10万元/人•</w:t>
      </w:r>
      <w:r>
        <w:rPr>
          <w:rFonts w:hint="eastAsia" w:ascii="宋体" w:hAnsi="宋体" w:cs="仿宋_GB2312"/>
          <w:color w:val="auto"/>
          <w:sz w:val="24"/>
          <w:szCs w:val="24"/>
          <w:highlight w:val="none"/>
        </w:rPr>
        <w:t xml:space="preserve">次，其它主要管理人员</w:t>
      </w:r>
      <w:r>
        <w:rPr>
          <w:rFonts w:hint="eastAsia" w:ascii="宋体" w:hAnsi="宋体"/>
          <w:color w:val="auto"/>
          <w:sz w:val="24"/>
          <w:szCs w:val="24"/>
          <w:highlight w:val="none"/>
        </w:rPr>
        <w:t xml:space="preserve">5万元/人•</w:t>
      </w:r>
      <w:r>
        <w:rPr>
          <w:rFonts w:hint="eastAsia" w:ascii="宋体" w:hAnsi="宋体" w:cs="仿宋_GB2312"/>
          <w:color w:val="auto"/>
          <w:sz w:val="24"/>
          <w:szCs w:val="24"/>
          <w:highlight w:val="none"/>
        </w:rPr>
        <w:t xml:space="preserve">次），并按有关规定上报主管部门予以处罚。发包人即使同意更换，仍按上述标准进行处罚。</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承包人驻地建设必须满足相关要求，同时应规范建立与工程规模匹配的工地试验室，配备满足日常质量检测需要的人员、试验仪器和设备，保证日常的质量检测工作。</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发包人在工程施工时有权根据实际情况变更设计和调整工程量，承包人不得由此提出异议。</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8</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工程实施期间，发包人将根据本工程实际情况制定有关奖惩管理办法，承包人如能按期完成任务，发包人将按照管理办法给予奖励，如不能按期完成，发包人将按照管理办法给予处罚，出现质量问题，一切损失由承包人负责。</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9</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本工程缺陷责任期为两年，在缺陷责任期内，如因承包人原因造成的工程缺陷、病害或其他不合格之外，承包人必须及时组织修补、重建和修复，其缺陷修复费用由承包人自行负责。</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10</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本工程若验收不合格，发包人将拒绝支付工程款。</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本项目采购响应环节的约定和承诺均为本合同的组成部分。</w:t>
      </w:r>
      <w:r/>
    </w:p>
    <w:p>
      <w:pPr>
        <w:ind w:firstLine="482"/>
        <w:keepLines w:val="0"/>
        <w:keepNext w:val="0"/>
        <w:pageBreakBefore w:val="0"/>
        <w:spacing w:line="360" w:lineRule="auto"/>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九</w:t>
      </w:r>
      <w:r>
        <w:rPr>
          <w:rFonts w:hint="eastAsia" w:ascii="宋体" w:hAnsi="宋体"/>
          <w:color w:val="auto"/>
          <w:sz w:val="24"/>
          <w:szCs w:val="24"/>
          <w:highlight w:val="none"/>
        </w:rPr>
        <w:t xml:space="preserve">、本合同一式四份，双方各执两份，双方法定代表人或授权人签字盖章后生效。合同未尽事宜，双方另行签订补充协议，补充协议是合同的组成部分。</w:t>
      </w:r>
      <w:r/>
    </w:p>
    <w:p>
      <w:pPr>
        <w:ind w:firstLine="560"/>
        <w:spacing w:before="240" w:after="48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560"/>
        <w:spacing w:before="240" w:after="480" w:line="360" w:lineRule="auto"/>
        <w:rPr>
          <w:rFonts w:ascii="宋体" w:hAnsi="宋体"/>
          <w:color w:val="auto"/>
          <w:sz w:val="24"/>
          <w:szCs w:val="24"/>
          <w:highlight w:val="none"/>
        </w:rPr>
      </w:pPr>
      <w:r>
        <w:rPr>
          <w:rFonts w:hint="eastAsia" w:ascii="宋体" w:hAnsi="宋体"/>
          <w:color w:val="auto"/>
          <w:sz w:val="24"/>
          <w:szCs w:val="24"/>
          <w:highlight w:val="none"/>
        </w:rPr>
        <w:t xml:space="preserve">发包人：                          承包人：             </w:t>
      </w:r>
      <w:r/>
    </w:p>
    <w:p>
      <w:pPr>
        <w:ind w:firstLine="560"/>
        <w:jc w:val="left"/>
        <w:spacing w:line="360" w:lineRule="auto"/>
        <w:tabs>
          <w:tab w:val="left" w:pos="685" w:leader="none"/>
        </w:tabs>
        <w:rPr>
          <w:rFonts w:ascii="宋体" w:hAnsi="宋体"/>
          <w:color w:val="auto"/>
          <w:sz w:val="28"/>
          <w:szCs w:val="28"/>
          <w:highlight w:val="none"/>
        </w:rPr>
      </w:pPr>
      <w:r>
        <w:rPr>
          <w:rFonts w:hint="eastAsia" w:ascii="宋体" w:hAnsi="宋体"/>
          <w:color w:val="auto"/>
          <w:sz w:val="24"/>
          <w:szCs w:val="24"/>
          <w:highlight w:val="none"/>
        </w:rPr>
        <w:t xml:space="preserve">法定代表人或代表：                法定代表人或代表：</w:t>
      </w:r>
      <w:r/>
    </w:p>
    <w:p>
      <w:pPr>
        <w:ind w:firstLine="560"/>
        <w:jc w:val="left"/>
        <w:tabs>
          <w:tab w:val="left" w:pos="685" w:leader="none"/>
        </w:tabs>
        <w:rPr>
          <w:rFonts w:ascii="宋体" w:hAnsi="宋体"/>
          <w:color w:val="auto"/>
          <w:sz w:val="28"/>
          <w:szCs w:val="28"/>
          <w:highlight w:val="none"/>
        </w:rPr>
      </w:pPr>
      <w:r>
        <w:rPr>
          <w:rFonts w:ascii="宋体" w:hAnsi="宋体"/>
          <w:color w:val="auto"/>
          <w:sz w:val="28"/>
          <w:szCs w:val="28"/>
          <w:highlight w:val="none"/>
        </w:rPr>
      </w:r>
      <w:r/>
    </w:p>
    <w:p>
      <w:pPr>
        <w:jc w:val="center"/>
        <w:keepLines w:val="0"/>
        <w:keepNext w:val="0"/>
        <w:pageBreakBefore w:val="0"/>
        <w:spacing w:before="100" w:beforeAutospacing="1" w:after="360" w:line="440" w:lineRule="exact"/>
        <w:widowControl w:val="off"/>
        <w:rPr>
          <w:rFonts w:eastAsia="黑体"/>
          <w:b/>
          <w:color w:val="auto"/>
          <w:sz w:val="44"/>
          <w:szCs w:val="44"/>
          <w:highlight w:val="none"/>
        </w:rPr>
      </w:pPr>
      <w:r>
        <w:rPr>
          <w:rFonts w:hint="eastAsia" w:ascii="宋体" w:hAnsi="宋体"/>
          <w:color w:val="auto"/>
          <w:sz w:val="28"/>
          <w:szCs w:val="28"/>
          <w:highlight w:val="none"/>
        </w:rPr>
        <w:br w:type="page" w:clear="all"/>
      </w:r>
      <w:r>
        <w:rPr>
          <w:rFonts w:hint="eastAsia" w:eastAsia="黑体"/>
          <w:b/>
          <w:color w:val="auto"/>
          <w:sz w:val="44"/>
          <w:szCs w:val="44"/>
          <w:highlight w:val="none"/>
        </w:rPr>
        <w:t xml:space="preserve">安全生产合同</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为在</w:t>
      </w:r>
      <w:r>
        <w:rPr>
          <w:rFonts w:hint="eastAsia" w:ascii="宋体" w:hAnsi="宋体" w:cs="宋体"/>
          <w:b/>
          <w:bCs/>
          <w:color w:val="auto"/>
          <w:sz w:val="24"/>
          <w:highlight w:val="none"/>
          <w:u w:val="single"/>
          <w:lang w:val="en-US" w:eastAsia="zh-CN"/>
        </w:rPr>
        <w:t xml:space="preserve">                   </w:t>
      </w:r>
      <w:r>
        <w:rPr>
          <w:rFonts w:hint="eastAsia" w:ascii="宋体" w:hAnsi="宋体" w:cs="宋体"/>
          <w:color w:val="auto"/>
          <w:sz w:val="24"/>
          <w:highlight w:val="none"/>
        </w:rPr>
        <w:t xml:space="preserve">合同的实施过程中创造安全、高效的施工环境，</w:t>
      </w:r>
      <w:r>
        <w:rPr>
          <w:rFonts w:hint="eastAsia" w:ascii="宋体" w:hAnsi="宋体" w:cs="宋体"/>
          <w:color w:val="auto"/>
          <w:sz w:val="24"/>
          <w:highlight w:val="none"/>
          <w:lang w:eastAsia="zh-CN"/>
        </w:rPr>
        <w:t xml:space="preserve">切实做好</w:t>
      </w:r>
      <w:r>
        <w:rPr>
          <w:rFonts w:hint="eastAsia" w:ascii="宋体" w:hAnsi="宋体" w:cs="宋体"/>
          <w:color w:val="auto"/>
          <w:sz w:val="24"/>
          <w:highlight w:val="none"/>
        </w:rPr>
        <w:t xml:space="preserve">本项目的安全管理工作，本项目发包人</w:t>
      </w:r>
      <w:r>
        <w:rPr>
          <w:rFonts w:hint="eastAsia" w:ascii="宋体" w:hAnsi="宋体" w:cs="宋体"/>
          <w:b/>
          <w:bCs/>
          <w:color w:val="auto"/>
          <w:sz w:val="24"/>
          <w:highlight w:val="none"/>
          <w:u w:val="single"/>
          <w:lang w:val="en-US" w:eastAsia="zh-CN"/>
        </w:rPr>
        <w:t xml:space="preserve">                  </w:t>
      </w:r>
      <w:r>
        <w:rPr>
          <w:rFonts w:hint="eastAsia" w:ascii="宋体" w:hAnsi="宋体" w:cs="宋体"/>
          <w:color w:val="auto"/>
          <w:sz w:val="24"/>
          <w:highlight w:val="none"/>
        </w:rPr>
        <w:t xml:space="preserve">（以下简称“发包人”）与承包人</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（以下简称“承包人”）特此签订安全生产合同。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1.发包人的职责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（1）严格遵守国家有关安全生产法律法规，认真执行工程承包合同中的有关安全要求。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（2）按照“安全第一、预防为主”和坚持“管生产必须管安全”的原则进行安全生产管理，做到生产与安全工作同时计划、布置、检查、总结和评比。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（3）重要的安全设施必须坚持一主体工程“三同时”的原则，即：同时设计、审批、同时施工，同时验收，投入使用。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（4）定期召开安全生产调度会，及时传达</w:t>
      </w:r>
      <w:r>
        <w:rPr>
          <w:rFonts w:hint="eastAsia" w:ascii="宋体" w:hAnsi="宋体" w:cs="宋体"/>
          <w:color w:val="auto"/>
          <w:sz w:val="24"/>
          <w:highlight w:val="none"/>
          <w:lang w:eastAsia="zh-CN"/>
        </w:rPr>
        <w:t xml:space="preserve">中央和地方</w:t>
      </w:r>
      <w:r>
        <w:rPr>
          <w:rFonts w:hint="eastAsia" w:ascii="宋体" w:hAnsi="宋体" w:cs="宋体"/>
          <w:color w:val="auto"/>
          <w:sz w:val="24"/>
          <w:highlight w:val="none"/>
        </w:rPr>
        <w:t xml:space="preserve">有关安全生产的精神。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（5）组织对承包人施工现场进行安全生产检查，监督承包人及时处理发现的各种安全隐患。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2.承包人的职责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严格遵守《中华人民共和国安全生产法》、《建设工程安全生产管理条例》等国家有关安全生产的法律法规、《公路水运工程安全生产监督管理办法》、《公路工程施工安全技术规范》和《公路筑养路机械操作规程》等有关安全生产的规定。认真执行工程承包合同中的有关安全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坚持“安全第一、预防为主、综合治理”和坚持“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建立健全安全生产责任制。从派往项目实施的项目经理到生产工人（包括临时雇佣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（4）承包人在任何时候都应采取各种合理的预防措施，防止其员工发生任何违法、违禁、暴力或妨碍治安的行为。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（7）操作人员上岗，必须按规定穿戴防护用品。施工负责人和安全检查员应随时检查劳动防护用品的穿戴情况，不按规定穿戴防护用品的人员不得上岗。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（8）所有施工机具设备和高空作业的设备均应定期检查，并有安全员的签字记录，保证其经常处于完好状态；不合格的机具、设备和劳动保护用品严禁使用。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（9）施工中采用新技术、新工艺、新设备、新材料时，必须制定相应的安全技术措施，施工现场必须具有相关的安全标志牌。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（11）安全生产费用按照《公路水运工程安全生产监督管理办法》的相关规定使用和管理。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如因发包人或承包人违约造成安全事故，将依法追究责任。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4．本合同由双方法定代表人或其授权的代理人签署并加盖单位章后生效，全部工程竣工后失效。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5．本合同一式四份,双方各执一份，一份备案,由双方法定代表人或其授权的代理人签署并加盖公章后生效,全部工程竣工验收后失效。</w:t>
      </w:r>
      <w:r/>
    </w:p>
    <w:p>
      <w:pPr>
        <w:ind w:firstLine="480"/>
        <w:spacing w:line="480" w:lineRule="exact"/>
        <w:rPr>
          <w:rFonts w:ascii="宋体" w:hAnsi="宋体" w:cs="宋体"/>
          <w:color w:val="auto"/>
          <w:sz w:val="24"/>
          <w:highlight w:val="none"/>
        </w:rPr>
      </w:pPr>
      <w:r>
        <w:rPr>
          <w:rFonts w:ascii="宋体" w:hAnsi="宋体" w:cs="宋体"/>
          <w:color w:val="auto"/>
          <w:sz w:val="24"/>
          <w:highlight w:val="none"/>
        </w:rPr>
      </w:r>
      <w:r/>
    </w:p>
    <w:p>
      <w:pPr>
        <w:ind w:firstLine="480"/>
        <w:spacing w:line="48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发包人：（盖单位章）                承包人：（盖单位章）</w:t>
      </w:r>
      <w:r/>
    </w:p>
    <w:p>
      <w:pPr>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法定代表人或代表：                 法定代表人或代表：</w:t>
      </w:r>
      <w:r/>
    </w:p>
    <w:p>
      <w:pPr>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jc w:val="left"/>
        <w:tabs>
          <w:tab w:val="left" w:pos="685" w:leader="none"/>
        </w:tabs>
        <w:rPr>
          <w:rFonts w:ascii="宋体" w:hAnsi="宋体" w:cs="宋体"/>
          <w:color w:val="auto"/>
          <w:sz w:val="24"/>
          <w:highlight w:val="none"/>
        </w:rPr>
      </w:pPr>
      <w:r>
        <w:rPr>
          <w:rFonts w:hint="eastAsia" w:ascii="宋体" w:hAnsi="宋体" w:cs="宋体"/>
          <w:color w:val="auto"/>
          <w:sz w:val="24"/>
          <w:highlight w:val="none"/>
        </w:rPr>
        <w:t xml:space="preserve">日期：                             日期：</w:t>
      </w:r>
      <w:r/>
    </w:p>
    <w:p>
      <w:pPr>
        <w:ind w:firstLine="560"/>
        <w:jc w:val="left"/>
        <w:tabs>
          <w:tab w:val="left" w:pos="685" w:leader="none"/>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300"/>
        <w:jc w:val="center"/>
        <w:spacing w:before="120" w:after="120" w:line="360" w:lineRule="auto"/>
        <w:rPr>
          <w:rFonts w:ascii="宋体" w:hAnsi="宋体" w:cs="宋体"/>
          <w:b/>
          <w:color w:val="auto"/>
          <w:sz w:val="30"/>
          <w:szCs w:val="30"/>
          <w:highlight w:val="none"/>
        </w:rPr>
        <w:outlineLvl w:val="0"/>
      </w:pPr>
      <w:r>
        <w:rPr>
          <w:rFonts w:hint="eastAsia" w:ascii="宋体" w:hAnsi="宋体" w:cs="宋体"/>
          <w:b/>
          <w:color w:val="auto"/>
          <w:sz w:val="30"/>
          <w:szCs w:val="30"/>
          <w:highlight w:val="none"/>
        </w:rPr>
        <w:br w:type="page" w:clear="all"/>
      </w:r>
      <w:bookmarkStart w:id="559" w:name="_Toc30035"/>
      <w:r>
        <w:rPr>
          <w:rFonts w:hint="eastAsia" w:ascii="宋体" w:hAnsi="宋体" w:cs="宋体"/>
          <w:b/>
          <w:color w:val="auto"/>
          <w:sz w:val="30"/>
          <w:szCs w:val="30"/>
          <w:highlight w:val="none"/>
        </w:rPr>
        <w:t xml:space="preserve">第六章</w:t>
      </w:r>
      <w:bookmarkEnd w:id="530"/>
      <w:r/>
      <w:bookmarkEnd w:id="531"/>
      <w:r/>
      <w:bookmarkEnd w:id="532"/>
      <w:r/>
      <w:bookmarkEnd w:id="533"/>
      <w:r/>
      <w:bookmarkEnd w:id="534"/>
      <w:r>
        <w:rPr>
          <w:rFonts w:hint="eastAsia" w:ascii="宋体" w:hAnsi="宋体" w:cs="宋体"/>
          <w:b/>
          <w:color w:val="auto"/>
          <w:sz w:val="30"/>
          <w:szCs w:val="30"/>
          <w:highlight w:val="none"/>
        </w:rPr>
        <w:t xml:space="preserve">  </w:t>
      </w:r>
      <w:bookmarkStart w:id="560" w:name="OLE_LINK86"/>
      <w:r/>
      <w:bookmarkStart w:id="561" w:name="OLE_LINK87"/>
      <w:r/>
      <w:bookmarkStart w:id="562" w:name="OLE_LINK7"/>
      <w:r/>
      <w:bookmarkStart w:id="563" w:name="OLE_LINK3"/>
      <w:r>
        <w:rPr>
          <w:rFonts w:hint="eastAsia" w:ascii="宋体" w:hAnsi="宋体" w:cs="宋体"/>
          <w:b/>
          <w:color w:val="auto"/>
          <w:sz w:val="30"/>
          <w:szCs w:val="30"/>
          <w:highlight w:val="none"/>
        </w:rPr>
        <w:t xml:space="preserve">响应文件的编制</w:t>
      </w:r>
      <w:r>
        <w:rPr>
          <w:rFonts w:hint="eastAsia" w:ascii="宋体" w:hAnsi="宋体" w:cs="宋体"/>
          <w:b/>
          <w:color w:val="auto"/>
          <w:sz w:val="30"/>
          <w:szCs w:val="30"/>
          <w:highlight w:val="none"/>
          <w:lang w:val="en-US" w:eastAsia="zh-CN"/>
        </w:rPr>
        <w:t xml:space="preserve">和</w:t>
      </w:r>
      <w:r>
        <w:rPr>
          <w:rFonts w:hint="eastAsia" w:ascii="宋体" w:hAnsi="宋体" w:cs="宋体"/>
          <w:b/>
          <w:color w:val="auto"/>
          <w:sz w:val="30"/>
          <w:szCs w:val="30"/>
          <w:highlight w:val="none"/>
        </w:rPr>
        <w:t xml:space="preserve">格式</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59"/>
      <w:r/>
      <w:bookmarkEnd w:id="560"/>
      <w:r/>
      <w:bookmarkEnd w:id="561"/>
      <w:r/>
      <w:bookmarkEnd w:id="562"/>
      <w:r/>
      <w:bookmarkEnd w:id="563"/>
      <w:r/>
      <w:bookmarkStart w:id="564" w:name="_Hlt26671244"/>
      <w:r/>
      <w:bookmarkEnd w:id="564"/>
      <w:r/>
      <w:bookmarkStart w:id="565" w:name="_Hlt26955039"/>
      <w:r/>
      <w:bookmarkEnd w:id="565"/>
      <w:r/>
      <w:bookmarkStart w:id="566" w:name="_Toc120614282"/>
      <w:r/>
      <w:bookmarkStart w:id="567" w:name="_Toc49090576"/>
      <w:r/>
      <w:bookmarkStart w:id="568" w:name="_Toc26554094"/>
      <w:r/>
      <w:bookmarkStart w:id="569" w:name="_Toc282446331"/>
      <w:r/>
      <w:bookmarkStart w:id="570" w:name="_Toc288030359"/>
      <w:r/>
      <w:r/>
    </w:p>
    <w:p>
      <w:pPr>
        <w:pStyle w:val="1070"/>
        <w:jc w:val="left"/>
        <w:spacing w:before="0" w:after="0" w:line="500" w:lineRule="exact"/>
        <w:rPr>
          <w:rFonts w:ascii="宋体" w:hAnsi="宋体" w:cs="宋体"/>
          <w:b/>
          <w:color w:val="auto"/>
          <w:sz w:val="24"/>
          <w:szCs w:val="24"/>
          <w:highlight w:val="none"/>
        </w:rPr>
        <w:outlineLvl w:val="1"/>
      </w:pPr>
      <w:r/>
      <w:bookmarkStart w:id="571" w:name="_Toc468783657"/>
      <w:r/>
      <w:bookmarkStart w:id="572" w:name="_Toc426469932"/>
      <w:r/>
      <w:bookmarkStart w:id="573" w:name="_Toc16507"/>
      <w:r>
        <w:rPr>
          <w:rFonts w:hint="eastAsia" w:ascii="宋体" w:hAnsi="宋体" w:cs="宋体"/>
          <w:b/>
          <w:color w:val="auto"/>
          <w:sz w:val="24"/>
          <w:szCs w:val="24"/>
          <w:highlight w:val="none"/>
        </w:rPr>
        <w:t xml:space="preserve">1.响应文件的构成</w:t>
      </w:r>
      <w:bookmarkEnd w:id="571"/>
      <w:r/>
      <w:bookmarkEnd w:id="572"/>
      <w:r/>
      <w:bookmarkEnd w:id="573"/>
      <w:r/>
      <w:r/>
    </w:p>
    <w:p>
      <w:pPr>
        <w:pStyle w:val="1178"/>
        <w:ind w:firstLine="480"/>
        <w:spacing w:line="420" w:lineRule="exact"/>
        <w:rPr>
          <w:rFonts w:ascii="宋体" w:hAnsi="宋体" w:eastAsia="宋体" w:cs="宋体"/>
          <w:color w:val="auto"/>
          <w:highlight w:val="none"/>
        </w:rPr>
      </w:pPr>
      <w:r/>
      <w:bookmarkStart w:id="574" w:name="OLE_LINK81"/>
      <w:r>
        <w:rPr>
          <w:rFonts w:hint="eastAsia" w:ascii="宋体" w:hAnsi="宋体" w:eastAsia="宋体" w:cs="宋体"/>
          <w:color w:val="auto"/>
          <w:highlight w:val="none"/>
        </w:rPr>
        <w:t xml:space="preserve">（1）磋商报价表</w:t>
      </w:r>
      <w:r/>
    </w:p>
    <w:p>
      <w:pPr>
        <w:pStyle w:val="1178"/>
        <w:ind w:firstLine="480"/>
        <w:spacing w:line="420" w:lineRule="exact"/>
        <w:rPr>
          <w:rFonts w:ascii="宋体" w:hAnsi="宋体" w:eastAsia="宋体" w:cs="宋体"/>
          <w:color w:val="auto"/>
          <w:highlight w:val="none"/>
        </w:rPr>
      </w:pPr>
      <w:r>
        <w:rPr>
          <w:rFonts w:hint="eastAsia" w:ascii="宋体" w:hAnsi="宋体" w:eastAsia="宋体" w:cs="宋体"/>
          <w:color w:val="auto"/>
          <w:highlight w:val="none"/>
        </w:rPr>
        <w:t xml:space="preserve">（2）响应函及附录</w:t>
      </w:r>
      <w:r/>
    </w:p>
    <w:p>
      <w:pPr>
        <w:pStyle w:val="1178"/>
        <w:ind w:firstLine="480"/>
        <w:spacing w:line="420" w:lineRule="exact"/>
        <w:rPr>
          <w:rFonts w:ascii="宋体" w:hAnsi="宋体" w:eastAsia="宋体" w:cs="宋体"/>
          <w:color w:val="auto"/>
          <w:highlight w:val="none"/>
        </w:rPr>
      </w:pPr>
      <w:r>
        <w:rPr>
          <w:rFonts w:hint="eastAsia" w:ascii="宋体" w:hAnsi="宋体" w:eastAsia="宋体" w:cs="宋体"/>
          <w:color w:val="auto"/>
          <w:highlight w:val="none"/>
        </w:rPr>
        <w:t xml:space="preserve">（3）</w:t>
      </w:r>
      <w:bookmarkStart w:id="575" w:name="OLE_LINK82"/>
      <w:r/>
      <w:bookmarkStart w:id="576" w:name="OLE_LINK83"/>
      <w:r>
        <w:rPr>
          <w:rFonts w:hint="eastAsia" w:ascii="宋体" w:hAnsi="宋体" w:eastAsia="宋体" w:cs="宋体"/>
          <w:color w:val="auto"/>
          <w:highlight w:val="none"/>
        </w:rPr>
        <w:t xml:space="preserve">资格及资信证明文件</w:t>
      </w:r>
      <w:bookmarkEnd w:id="575"/>
      <w:r/>
      <w:bookmarkEnd w:id="576"/>
      <w:r/>
      <w:r/>
    </w:p>
    <w:p>
      <w:pPr>
        <w:pStyle w:val="1178"/>
        <w:ind w:firstLine="480"/>
        <w:spacing w:line="42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）采购需求响应表</w:t>
      </w:r>
      <w:r/>
    </w:p>
    <w:p>
      <w:pPr>
        <w:pStyle w:val="1178"/>
        <w:ind w:firstLine="480"/>
        <w:spacing w:line="42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）供应商综合实力证明文件</w:t>
      </w:r>
      <w:r/>
    </w:p>
    <w:p>
      <w:pPr>
        <w:pStyle w:val="1178"/>
        <w:ind w:firstLine="480"/>
        <w:spacing w:line="42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）技术标</w:t>
      </w:r>
      <w:r/>
    </w:p>
    <w:p>
      <w:pPr>
        <w:pStyle w:val="1178"/>
        <w:ind w:firstLine="480"/>
        <w:spacing w:line="42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）根据评标办法应列入响应文件的其他材料</w:t>
      </w:r>
      <w:bookmarkEnd w:id="574"/>
      <w:r/>
      <w:r/>
    </w:p>
    <w:p>
      <w:pPr>
        <w:pStyle w:val="1070"/>
        <w:jc w:val="left"/>
        <w:spacing w:before="0" w:after="0" w:line="500" w:lineRule="exact"/>
        <w:rPr>
          <w:rFonts w:ascii="宋体" w:hAnsi="宋体" w:cs="宋体"/>
          <w:b/>
          <w:color w:val="auto"/>
          <w:sz w:val="24"/>
          <w:szCs w:val="24"/>
          <w:highlight w:val="none"/>
        </w:rPr>
        <w:outlineLvl w:val="1"/>
      </w:pPr>
      <w:r/>
      <w:bookmarkStart w:id="577" w:name="_Toc468783658"/>
      <w:r/>
      <w:bookmarkStart w:id="578" w:name="_Toc14047"/>
      <w:r/>
      <w:bookmarkStart w:id="579" w:name="_Toc426469933"/>
      <w:r>
        <w:rPr>
          <w:rFonts w:hint="eastAsia" w:ascii="宋体" w:hAnsi="宋体" w:cs="宋体"/>
          <w:b/>
          <w:color w:val="auto"/>
          <w:sz w:val="24"/>
          <w:szCs w:val="24"/>
          <w:highlight w:val="none"/>
        </w:rPr>
        <w:t xml:space="preserve">2.响应文件的编制内容及编制要求</w:t>
      </w:r>
      <w:bookmarkEnd w:id="577"/>
      <w:r/>
      <w:bookmarkEnd w:id="578"/>
      <w:r/>
      <w:bookmarkEnd w:id="579"/>
      <w:r/>
      <w:r/>
    </w:p>
    <w:p>
      <w:pPr>
        <w:jc w:val="left"/>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2.1磋商报价表</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2.1.1 供应商必须按表中规定格式完整、清晰、正确填写；</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2.1.2磋商报价表中的价格应与响应文件中响应函中的价格一致。响应文件的价格及其它相关内容与磋商报价表中的内容不一致的，评标时一律以磋商报价表为准。</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2.1.3磋商报价表格式见附件。</w:t>
      </w:r>
      <w:r/>
    </w:p>
    <w:p>
      <w:pPr>
        <w:jc w:val="left"/>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2.2 响应函及附录</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2.2.1供应商必须按表中规定格式完整、清晰、正确填写；</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2.2.2响应函及附录应加盖供应商法人公章并经法定代表人或经其正式授权的代表签字或签章。授权代表签字或签章时，须将《法定代表人授权书》附在响应文件中。</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2.2.3响应函及附录和法定代表人授权书的格式见附件。</w:t>
      </w:r>
      <w:r/>
    </w:p>
    <w:p>
      <w:pPr>
        <w:jc w:val="left"/>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2.3 投标报价明细表及分析说明（如有时）</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2.3.1供应商必须按表中规定格式完整、清晰、正确填写，表格中各项可进一步细分，栏数不够可自行添加。</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2.3.2投标报价构成表及分析说明见附件。</w:t>
      </w:r>
      <w:r/>
    </w:p>
    <w:p>
      <w:pPr>
        <w:jc w:val="left"/>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2.4 资格及资信证明文件</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2.4.1该部分内容是资格性审查和综合评分的依据，供应商应根据第三章评审办法的评审内容和评审标准提供相应的材料。</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2.4.2资格及资信证明文件应包括而不限于以下内容：</w:t>
      </w:r>
      <w:r/>
    </w:p>
    <w:p>
      <w:pPr>
        <w:ind w:firstLine="480"/>
        <w:jc w:val="left"/>
        <w:keepLines w:val="0"/>
        <w:keepNext w:val="0"/>
        <w:pageBreakBefore w:val="0"/>
        <w:spacing w:line="500" w:lineRule="exact"/>
        <w:widowControl w:val="off"/>
        <w:rPr>
          <w:rFonts w:hint="eastAsia" w:ascii="宋体" w:hAnsi="宋体" w:eastAsia="宋体" w:cs="宋体"/>
          <w:color w:val="auto"/>
          <w:sz w:val="24"/>
          <w:highlight w:val="none"/>
          <w:lang w:eastAsia="zh-CN"/>
        </w:rPr>
      </w:pPr>
      <w:r>
        <w:rPr>
          <w:rFonts w:hint="eastAsia" w:ascii="宋体" w:hAnsi="宋体"/>
          <w:bCs/>
          <w:sz w:val="24"/>
          <w:szCs w:val="24"/>
          <w:lang w:eastAsia="zh-CN"/>
        </w:rPr>
        <w:t xml:space="preserve">（</w:t>
      </w:r>
      <w:r>
        <w:rPr>
          <w:rFonts w:hint="eastAsia" w:ascii="宋体" w:hAnsi="宋体"/>
          <w:bCs/>
          <w:sz w:val="24"/>
          <w:szCs w:val="24"/>
        </w:rPr>
        <w:t xml:space="preserve">1）供应商基本资格条件承诺</w:t>
      </w:r>
      <w:r>
        <w:rPr>
          <w:rFonts w:hint="eastAsia" w:ascii="宋体" w:hAnsi="宋体"/>
          <w:bCs/>
          <w:sz w:val="24"/>
          <w:szCs w:val="24"/>
          <w:lang w:val="en-US" w:eastAsia="zh-CN"/>
        </w:rPr>
        <w:t xml:space="preserve">函</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法定代表人授权委托书（法定代表人参加投标的提供法定代表人身份证明书，格式附后）</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供应商营业执照复印件加盖公章</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供应商资质证书复印件加盖公章</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供应商安全生产许可证复印件加盖公章</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拟派项目</w:t>
      </w:r>
      <w:r>
        <w:rPr>
          <w:rFonts w:hint="eastAsia" w:ascii="宋体" w:hAnsi="宋体" w:cs="宋体"/>
          <w:color w:val="auto"/>
          <w:sz w:val="24"/>
          <w:highlight w:val="none"/>
          <w:lang w:val="en-US" w:eastAsia="zh-CN"/>
        </w:rPr>
        <w:t xml:space="preserve">负责人</w:t>
      </w:r>
      <w:r>
        <w:rPr>
          <w:rFonts w:hint="eastAsia" w:ascii="宋体" w:hAnsi="宋体" w:cs="宋体"/>
          <w:color w:val="auto"/>
          <w:sz w:val="24"/>
          <w:highlight w:val="none"/>
        </w:rPr>
        <w:t xml:space="preserve">注册建造师证书复印件加盖公章</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拟派项目</w:t>
      </w:r>
      <w:r>
        <w:rPr>
          <w:rFonts w:hint="eastAsia" w:ascii="宋体" w:hAnsi="宋体" w:cs="宋体"/>
          <w:color w:val="auto"/>
          <w:sz w:val="24"/>
          <w:highlight w:val="none"/>
          <w:lang w:val="en-US" w:eastAsia="zh-CN"/>
        </w:rPr>
        <w:t xml:space="preserve">负责人</w:t>
      </w:r>
      <w:r>
        <w:rPr>
          <w:rFonts w:hint="eastAsia" w:ascii="宋体" w:hAnsi="宋体" w:cs="宋体"/>
          <w:color w:val="auto"/>
          <w:sz w:val="24"/>
          <w:highlight w:val="none"/>
        </w:rPr>
        <w:t xml:space="preserve">安全生产考核合格证书复印件加盖公章</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供应商为项目经理缴纳养老保险的复印件加盖公章（具体要求见评审办法）</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诚信投标承诺书</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中小企业声明函或监狱企业证明或残疾人福利性单位声明函（如有）</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供应商认为需要提供的其他资格及资信证明文件</w:t>
      </w:r>
      <w:r/>
    </w:p>
    <w:p>
      <w:pPr>
        <w:jc w:val="left"/>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2.5采购需求响应表</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供应商应仔细阅读招标文件第四章采购需求，并对照第三章评标办法中的</w:t>
      </w:r>
      <w:r>
        <w:rPr>
          <w:rFonts w:hint="eastAsia" w:ascii="宋体" w:hAnsi="宋体" w:cs="宋体"/>
          <w:color w:val="auto"/>
          <w:sz w:val="24"/>
          <w:highlight w:val="none"/>
        </w:rPr>
        <w:t xml:space="preserve">综合评分中的评审因素，针对本招标项目特点，编</w:t>
      </w:r>
      <w:r>
        <w:rPr>
          <w:rFonts w:hint="eastAsia" w:ascii="宋体" w:hAnsi="宋体" w:cs="宋体"/>
          <w:bCs/>
          <w:color w:val="auto"/>
          <w:sz w:val="24"/>
          <w:highlight w:val="none"/>
        </w:rPr>
        <w:t xml:space="preserve">制采购需求响应表。</w:t>
      </w:r>
      <w:r/>
    </w:p>
    <w:p>
      <w:pPr>
        <w:jc w:val="left"/>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2.6技术标</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对照第三章评标办法中的综合评分中的评审因素，针对本招标项目特点，自行编制。</w:t>
      </w:r>
      <w:r/>
    </w:p>
    <w:p>
      <w:pPr>
        <w:jc w:val="left"/>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2.7企业综合实力证明材料</w:t>
      </w:r>
      <w:r/>
    </w:p>
    <w:p>
      <w:pPr>
        <w:ind w:firstLine="480"/>
        <w:spacing w:line="500" w:lineRule="exact"/>
        <w:rPr>
          <w:rFonts w:ascii="宋体" w:hAnsi="宋体" w:cs="宋体"/>
          <w:b/>
          <w:bCs/>
          <w:color w:val="auto"/>
          <w:sz w:val="24"/>
          <w:highlight w:val="none"/>
        </w:rPr>
      </w:pPr>
      <w:r>
        <w:rPr>
          <w:rFonts w:hint="eastAsia" w:ascii="宋体" w:hAnsi="宋体" w:cs="宋体"/>
          <w:color w:val="auto"/>
          <w:sz w:val="24"/>
          <w:highlight w:val="none"/>
        </w:rPr>
        <w:t xml:space="preserve">对照第三章评标办法中的综合评分中的评审因素，针对本招标项目特点，自行编制。</w:t>
      </w:r>
      <w:r/>
    </w:p>
    <w:p>
      <w:pPr>
        <w:jc w:val="left"/>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2.8根据评审办法应列入响应文件的其他材料</w:t>
      </w:r>
      <w:bookmarkStart w:id="580" w:name="_Toc426469934"/>
      <w:r/>
      <w:r/>
    </w:p>
    <w:p>
      <w:pPr>
        <w:pStyle w:val="1075"/>
        <w:rPr>
          <w:rFonts w:ascii="宋体" w:hAnsi="宋体" w:cs="宋体"/>
          <w:color w:val="auto"/>
          <w:highlight w:val="none"/>
        </w:rPr>
      </w:pPr>
      <w:r>
        <w:rPr>
          <w:rFonts w:ascii="宋体" w:hAnsi="宋体" w:cs="宋体"/>
          <w:color w:val="auto"/>
          <w:highlight w:val="none"/>
        </w:rPr>
      </w:r>
      <w:r/>
    </w:p>
    <w:p>
      <w:pPr>
        <w:pStyle w:val="1075"/>
        <w:rPr>
          <w:rFonts w:ascii="宋体" w:hAnsi="宋体" w:cs="宋体"/>
          <w:color w:val="auto"/>
          <w:highlight w:val="none"/>
        </w:rPr>
      </w:pPr>
      <w:r>
        <w:rPr>
          <w:rFonts w:ascii="宋体" w:hAnsi="宋体" w:cs="宋体"/>
          <w:color w:val="auto"/>
          <w:highlight w:val="none"/>
        </w:rPr>
      </w:r>
      <w:r/>
    </w:p>
    <w:p>
      <w:pPr>
        <w:pStyle w:val="1075"/>
        <w:rPr>
          <w:rFonts w:ascii="宋体" w:hAnsi="宋体" w:cs="宋体"/>
          <w:color w:val="auto"/>
          <w:highlight w:val="none"/>
        </w:rPr>
      </w:pPr>
      <w:r>
        <w:rPr>
          <w:rFonts w:ascii="宋体" w:hAnsi="宋体" w:cs="宋体"/>
          <w:color w:val="auto"/>
          <w:highlight w:val="none"/>
        </w:rPr>
      </w:r>
      <w:r/>
    </w:p>
    <w:p>
      <w:pPr>
        <w:pStyle w:val="1070"/>
        <w:jc w:val="left"/>
        <w:spacing w:before="0" w:after="0" w:line="500" w:lineRule="exact"/>
        <w:rPr>
          <w:rFonts w:ascii="宋体" w:hAnsi="宋体" w:cs="宋体"/>
          <w:b/>
          <w:color w:val="auto"/>
          <w:sz w:val="24"/>
          <w:highlight w:val="none"/>
        </w:rPr>
        <w:outlineLvl w:val="1"/>
      </w:pPr>
      <w:r/>
      <w:bookmarkStart w:id="581" w:name="_Toc19406"/>
      <w:r>
        <w:rPr>
          <w:rFonts w:hint="eastAsia" w:ascii="宋体" w:hAnsi="宋体" w:cs="宋体"/>
          <w:b/>
          <w:color w:val="auto"/>
          <w:sz w:val="24"/>
          <w:highlight w:val="none"/>
        </w:rPr>
        <w:t xml:space="preserve">3. 响应文件参考格式</w:t>
      </w:r>
      <w:bookmarkEnd w:id="580"/>
      <w:r/>
      <w:bookmarkEnd w:id="581"/>
      <w:r/>
      <w:r/>
    </w:p>
    <w:p>
      <w:pPr>
        <w:pStyle w:val="1070"/>
        <w:spacing w:before="156" w:after="156" w:line="3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 </w:t>
      </w:r>
      <w:bookmarkStart w:id="582" w:name="_Toc468783661"/>
      <w:r/>
      <w:bookmarkStart w:id="583" w:name="_Toc426469936"/>
      <w:r>
        <w:rPr>
          <w:rFonts w:hint="eastAsia" w:ascii="宋体" w:hAnsi="宋体" w:cs="宋体"/>
          <w:color w:val="auto"/>
          <w:sz w:val="28"/>
          <w:szCs w:val="28"/>
          <w:highlight w:val="none"/>
        </w:rPr>
        <w:t xml:space="preserve">响应文件封面格式</w:t>
      </w:r>
      <w:bookmarkEnd w:id="582"/>
      <w:r/>
      <w:bookmarkEnd w:id="583"/>
      <w:r/>
      <w:r/>
    </w:p>
    <w:p>
      <w:pPr>
        <w:ind w:firstLine="600"/>
        <w:jc w:val="center"/>
        <w:spacing w:line="36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480"/>
        <w:jc w:val="center"/>
        <w:spacing w:line="360" w:lineRule="exact"/>
        <w:rPr>
          <w:rFonts w:ascii="宋体" w:hAnsi="宋体" w:cs="宋体"/>
          <w:color w:val="auto"/>
          <w:sz w:val="24"/>
          <w:highlight w:val="none"/>
        </w:rPr>
      </w:pPr>
      <w:r/>
      <w:bookmarkStart w:id="584" w:name="OLE_LINK110"/>
      <w:r/>
      <w:bookmarkStart w:id="585" w:name="OLE_LINK109"/>
      <w:r/>
      <w:r/>
    </w:p>
    <w:p>
      <w:pPr>
        <w:jc w:val="center"/>
        <w:rPr>
          <w:rFonts w:hint="eastAsia" w:ascii="宋体" w:hAnsi="宋体" w:cs="宋体"/>
          <w:b/>
          <w:color w:val="auto"/>
          <w:sz w:val="48"/>
          <w:szCs w:val="48"/>
          <w:highlight w:val="none"/>
        </w:rPr>
      </w:pPr>
      <w:r/>
      <w:bookmarkStart w:id="586" w:name="OLE_LINK108"/>
      <w:r/>
      <w:bookmarkStart w:id="587" w:name="OLE_LINK29"/>
      <w:r/>
      <w:r/>
    </w:p>
    <w:p>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r>
      <w:r/>
    </w:p>
    <w:p>
      <w:pPr>
        <w:jc w:val="center"/>
        <w:rPr>
          <w:rFonts w:ascii="宋体" w:hAnsi="宋体" w:cs="宋体"/>
          <w:b/>
          <w:color w:val="auto"/>
          <w:sz w:val="48"/>
          <w:szCs w:val="48"/>
          <w:highlight w:val="none"/>
        </w:rPr>
      </w:pPr>
      <w:r>
        <w:rPr>
          <w:rFonts w:hint="eastAsia" w:ascii="宋体" w:hAnsi="宋体" w:cs="宋体"/>
          <w:b/>
          <w:color w:val="auto"/>
          <w:sz w:val="48"/>
          <w:szCs w:val="48"/>
          <w:highlight w:val="none"/>
        </w:rPr>
        <w:t xml:space="preserve">响应文件</w:t>
      </w:r>
      <w:r/>
    </w:p>
    <w:p>
      <w:pPr>
        <w:ind w:firstLine="480"/>
        <w:spacing w:line="36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exact"/>
        <w:rPr>
          <w:rFonts w:ascii="宋体" w:hAnsi="宋体" w:cs="宋体"/>
          <w:color w:val="auto"/>
          <w:sz w:val="24"/>
          <w:highlight w:val="none"/>
        </w:rPr>
      </w:pPr>
      <w:r>
        <w:rPr>
          <w:rFonts w:ascii="宋体" w:hAnsi="宋体" w:cs="宋体"/>
          <w:color w:val="auto"/>
          <w:sz w:val="24"/>
          <w:highlight w:val="none"/>
        </w:rPr>
      </w:r>
      <w:r/>
    </w:p>
    <w:p>
      <w:pPr>
        <w:ind w:firstLine="2240"/>
        <w:jc w:val="left"/>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采购项目名称：</w:t>
      </w:r>
      <w:r/>
    </w:p>
    <w:p>
      <w:pPr>
        <w:ind w:firstLine="2240"/>
        <w:jc w:val="left"/>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项目编号： </w:t>
      </w:r>
      <w:r/>
    </w:p>
    <w:p>
      <w:pPr>
        <w:ind w:left="1050" w:firstLine="480"/>
        <w:spacing w:line="36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exact"/>
        <w:rPr>
          <w:rFonts w:ascii="宋体" w:hAnsi="宋体" w:cs="宋体"/>
          <w:color w:val="auto"/>
          <w:sz w:val="24"/>
          <w:highlight w:val="none"/>
        </w:rPr>
      </w:pPr>
      <w:r>
        <w:rPr>
          <w:rFonts w:ascii="宋体" w:hAnsi="宋体" w:cs="宋体"/>
          <w:color w:val="auto"/>
          <w:sz w:val="24"/>
          <w:highlight w:val="none"/>
        </w:rPr>
      </w:r>
      <w:r/>
    </w:p>
    <w:p>
      <w:pPr>
        <w:ind w:firstLine="2340"/>
        <w:spacing w:line="720" w:lineRule="auto"/>
        <w:tabs>
          <w:tab w:val="left" w:pos="2700" w:leader="none"/>
        </w:tabs>
        <w:rPr>
          <w:rFonts w:ascii="宋体" w:hAnsi="宋体" w:cs="宋体"/>
          <w:color w:val="auto"/>
          <w:sz w:val="24"/>
          <w:highlight w:val="none"/>
          <w:u w:val="single"/>
        </w:rPr>
      </w:pPr>
      <w:r>
        <w:rPr>
          <w:rFonts w:hint="eastAsia" w:ascii="宋体" w:hAnsi="宋体" w:cs="宋体"/>
          <w:color w:val="auto"/>
          <w:sz w:val="24"/>
          <w:highlight w:val="none"/>
        </w:rPr>
        <w:t xml:space="preserve">供应商名称：</w:t>
      </w:r>
      <w:r>
        <w:rPr>
          <w:rFonts w:hint="eastAsia" w:ascii="宋体" w:hAnsi="宋体" w:cs="宋体"/>
          <w:color w:val="auto"/>
          <w:sz w:val="24"/>
          <w:highlight w:val="none"/>
          <w:u w:val="single"/>
        </w:rPr>
        <w:t xml:space="preserve">（加盖CA电子公章）</w:t>
      </w:r>
      <w:r/>
    </w:p>
    <w:p>
      <w:pPr>
        <w:ind w:firstLine="2340"/>
        <w:spacing w:line="720" w:lineRule="auto"/>
        <w:tabs>
          <w:tab w:val="left" w:pos="2700" w:leader="none"/>
        </w:tabs>
        <w:rPr>
          <w:rFonts w:ascii="宋体" w:hAnsi="宋体" w:cs="宋体"/>
          <w:color w:val="auto"/>
          <w:sz w:val="24"/>
          <w:highlight w:val="none"/>
          <w:u w:val="single"/>
        </w:rPr>
      </w:pPr>
      <w:r>
        <w:rPr>
          <w:rFonts w:hint="eastAsia" w:ascii="宋体" w:hAnsi="宋体" w:cs="宋体"/>
          <w:color w:val="auto"/>
          <w:sz w:val="24"/>
          <w:highlight w:val="none"/>
        </w:rPr>
        <w:t xml:space="preserve">联系人：</w:t>
      </w:r>
      <w:r/>
    </w:p>
    <w:p>
      <w:pPr>
        <w:ind w:firstLine="2340"/>
        <w:spacing w:line="720" w:lineRule="auto"/>
        <w:tabs>
          <w:tab w:val="left" w:pos="2700" w:leader="none"/>
        </w:tabs>
        <w:rPr>
          <w:rFonts w:ascii="宋体" w:hAnsi="宋体" w:cs="宋体"/>
          <w:color w:val="auto"/>
          <w:sz w:val="24"/>
          <w:highlight w:val="none"/>
          <w:u w:val="single"/>
        </w:rPr>
      </w:pPr>
      <w:r>
        <w:rPr>
          <w:rFonts w:hint="eastAsia" w:ascii="宋体" w:hAnsi="宋体" w:cs="宋体"/>
          <w:color w:val="auto"/>
          <w:sz w:val="24"/>
          <w:highlight w:val="none"/>
        </w:rPr>
        <w:t xml:space="preserve">联系电话：</w:t>
      </w:r>
      <w:r/>
    </w:p>
    <w:p>
      <w:pPr>
        <w:ind w:firstLine="2340"/>
        <w:spacing w:line="720" w:lineRule="auto"/>
        <w:tabs>
          <w:tab w:val="left" w:pos="2700" w:leader="none"/>
        </w:tabs>
        <w:rPr>
          <w:rFonts w:ascii="宋体" w:hAnsi="宋体" w:cs="宋体"/>
          <w:color w:val="auto"/>
          <w:sz w:val="24"/>
          <w:highlight w:val="none"/>
        </w:rPr>
      </w:pPr>
      <w:r>
        <w:rPr>
          <w:rFonts w:hint="eastAsia" w:ascii="宋体" w:hAnsi="宋体" w:cs="宋体"/>
          <w:color w:val="auto"/>
          <w:sz w:val="24"/>
          <w:highlight w:val="none"/>
        </w:rPr>
        <w:t xml:space="preserve">日期：______年____月____日</w:t>
      </w:r>
      <w:bookmarkEnd w:id="566"/>
      <w:r/>
      <w:bookmarkEnd w:id="567"/>
      <w:r/>
      <w:bookmarkEnd w:id="568"/>
      <w:r/>
      <w:bookmarkEnd w:id="569"/>
      <w:r/>
      <w:bookmarkEnd w:id="570"/>
      <w:r/>
      <w:bookmarkEnd w:id="584"/>
      <w:r/>
      <w:bookmarkEnd w:id="585"/>
      <w:r/>
      <w:bookmarkEnd w:id="586"/>
      <w:r/>
      <w:bookmarkEnd w:id="587"/>
      <w:r/>
      <w:bookmarkStart w:id="588" w:name="_Toc426469937"/>
      <w:r/>
      <w:bookmarkStart w:id="589" w:name="_Toc390099111"/>
      <w:r/>
      <w:bookmarkStart w:id="590" w:name="_Toc382812507"/>
      <w:r/>
      <w:bookmarkStart w:id="591" w:name="_Toc382811202"/>
      <w:r/>
      <w:bookmarkStart w:id="592" w:name="_Toc383698722"/>
      <w:r/>
      <w:bookmarkStart w:id="593" w:name="_Toc382811607"/>
      <w:r/>
      <w:bookmarkStart w:id="594" w:name="_Toc383623749"/>
      <w:r/>
      <w:bookmarkStart w:id="595" w:name="_Toc383587529"/>
      <w:r/>
      <w:bookmarkStart w:id="596" w:name="_Toc390098915"/>
      <w:r/>
      <w:bookmarkStart w:id="597" w:name="_Toc382812316"/>
      <w:r/>
      <w:bookmarkStart w:id="598" w:name="_Toc382813957"/>
      <w:r/>
      <w:bookmarkStart w:id="599" w:name="_Toc383679822"/>
      <w:r/>
      <w:bookmarkStart w:id="600" w:name="_Toc382814038"/>
      <w:r/>
      <w:bookmarkStart w:id="601" w:name="_Toc383624021"/>
      <w:r/>
      <w:bookmarkStart w:id="602" w:name="_Toc383626069"/>
      <w:r/>
      <w:bookmarkStart w:id="603" w:name="_Toc390246998"/>
      <w:r/>
      <w:r/>
    </w:p>
    <w:p>
      <w:pPr>
        <w:jc w:val="left"/>
        <w:spacing w:line="720" w:lineRule="auto"/>
        <w:tabs>
          <w:tab w:val="left" w:pos="2700" w:leader="none"/>
        </w:tabs>
        <w:rPr>
          <w:rFonts w:ascii="宋体" w:hAnsi="宋体" w:cs="宋体"/>
          <w:color w:val="auto"/>
          <w:sz w:val="24"/>
          <w:highlight w:val="none"/>
        </w:rPr>
        <w:outlineLvl w:val="2"/>
      </w:pPr>
      <w:r>
        <w:rPr>
          <w:rFonts w:hint="eastAsia" w:ascii="宋体" w:hAnsi="宋体" w:cs="宋体"/>
          <w:color w:val="auto"/>
          <w:sz w:val="24"/>
          <w:highlight w:val="none"/>
        </w:rPr>
        <w:br w:type="page" w:clear="all"/>
      </w:r>
      <w:r>
        <w:rPr>
          <w:rFonts w:hint="eastAsia" w:ascii="宋体" w:hAnsi="宋体" w:cs="宋体"/>
          <w:color w:val="auto"/>
          <w:sz w:val="28"/>
          <w:szCs w:val="28"/>
          <w:highlight w:val="none"/>
        </w:rPr>
        <w:t xml:space="preserve">3.2 </w:t>
      </w:r>
      <w:bookmarkEnd w:id="588"/>
      <w:r>
        <w:rPr>
          <w:rFonts w:hint="eastAsia" w:ascii="宋体" w:hAnsi="宋体" w:cs="宋体"/>
          <w:color w:val="auto"/>
          <w:sz w:val="28"/>
          <w:szCs w:val="28"/>
          <w:highlight w:val="none"/>
        </w:rPr>
        <w:t xml:space="preserve">磋商报价表</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
    </w:p>
    <w:p>
      <w:pPr>
        <w:ind w:firstLine="360"/>
        <w:jc w:val="left"/>
        <w:spacing w:line="360" w:lineRule="auto"/>
        <w:rPr>
          <w:rFonts w:ascii="宋体" w:hAnsi="宋体" w:cs="宋体"/>
          <w:color w:val="auto"/>
          <w:sz w:val="24"/>
          <w:highlight w:val="none"/>
        </w:rPr>
      </w:pPr>
      <w:r>
        <w:rPr>
          <w:rFonts w:hint="eastAsia" w:ascii="宋体" w:hAnsi="宋体"/>
          <w:b/>
          <w:bCs/>
          <w:color w:val="auto"/>
          <w:sz w:val="28"/>
          <w:szCs w:val="28"/>
        </w:rPr>
        <w:t xml:space="preserve">按“江苏省政府采购管理交易系统（苏采云）”中格式填写。</w:t>
      </w:r>
      <w:r/>
    </w:p>
    <w:p>
      <w:pPr>
        <w:ind w:firstLine="36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360"/>
        <w:jc w:val="right"/>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1070"/>
        <w:pageBreakBefore/>
        <w:spacing w:before="156" w:after="156" w:line="3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3.3 响应函及附录格式</w:t>
      </w:r>
      <w:r/>
    </w:p>
    <w:p>
      <w:pPr>
        <w:jc w:val="center"/>
        <w:rPr>
          <w:rFonts w:ascii="宋体" w:hAnsi="宋体" w:cs="宋体"/>
          <w:color w:val="auto"/>
          <w:sz w:val="44"/>
          <w:szCs w:val="44"/>
          <w:highlight w:val="none"/>
        </w:rPr>
      </w:pPr>
      <w:r/>
      <w:bookmarkStart w:id="604" w:name="_Toc367785041"/>
      <w:r>
        <w:rPr>
          <w:rFonts w:hint="eastAsia" w:ascii="宋体" w:hAnsi="宋体" w:cs="宋体"/>
          <w:color w:val="auto"/>
          <w:sz w:val="44"/>
          <w:szCs w:val="44"/>
          <w:highlight w:val="none"/>
        </w:rPr>
        <w:t xml:space="preserve">响应函</w:t>
      </w:r>
      <w:r/>
    </w:p>
    <w:p>
      <w:pPr>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jc w:val="left"/>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 xml:space="preserve">竞争性磋商文件的所有条款要求，遵照《中华人民共和国政府采购法》、《中华人民共和国政府采购法实施条例》等有关规定，我方承诺如下：</w:t>
      </w:r>
      <w:r/>
    </w:p>
    <w:p>
      <w:pPr>
        <w:ind w:firstLine="480"/>
        <w:jc w:val="left"/>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我方愿意按照采购文件的一切要求，提供本项目的报价，并以最后一轮磋商报价为本项目最终报价，详见磋商报价表。</w:t>
      </w:r>
      <w:r/>
    </w:p>
    <w:p>
      <w:pPr>
        <w:ind w:firstLine="482"/>
        <w:jc w:val="left"/>
        <w:keepLines w:val="0"/>
        <w:keepNext w:val="0"/>
        <w:pageBreakBefore w:val="0"/>
        <w:spacing w:line="288" w:lineRule="auto"/>
        <w:widowControl w:val="off"/>
        <w:rPr>
          <w:rFonts w:ascii="宋体" w:hAnsi="宋体" w:cs="宋体"/>
          <w:color w:val="auto"/>
          <w:sz w:val="24"/>
          <w:highlight w:val="none"/>
        </w:rPr>
      </w:pPr>
      <w:r/>
      <w:bookmarkStart w:id="605" w:name="_Toc19249"/>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我方将按竞争性磋商文件的规定履行合同责任和义务。</w:t>
      </w:r>
      <w:bookmarkEnd w:id="605"/>
      <w:r/>
      <w:r/>
    </w:p>
    <w:p>
      <w:pPr>
        <w:ind w:firstLine="482"/>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我方已详细审查全部竞争性磋商文件。我们完全理解并同意放弃对这方面有不明及误解的权力。</w:t>
      </w:r>
      <w:r/>
    </w:p>
    <w:p>
      <w:pPr>
        <w:ind w:firstLine="482"/>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在响应有效期内我方同意遵守本响应文件中的承诺且在此期限期满之前响应文件对我方具有法律约束力。</w:t>
      </w:r>
      <w:r/>
    </w:p>
    <w:p>
      <w:pPr>
        <w:ind w:firstLine="482"/>
        <w:keepLines w:val="0"/>
        <w:keepNext w:val="0"/>
        <w:pageBreakBefore w:val="0"/>
        <w:spacing w:line="288" w:lineRule="auto"/>
        <w:widowControl w:val="off"/>
        <w:rPr>
          <w:rFonts w:ascii="宋体" w:hAnsi="宋体" w:cs="宋体"/>
          <w:color w:val="auto"/>
          <w:sz w:val="24"/>
          <w:highlight w:val="none"/>
        </w:rPr>
      </w:pPr>
      <w:r/>
      <w:bookmarkStart w:id="606" w:name="_Toc8234"/>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如我方成交：</w:t>
      </w:r>
      <w:bookmarkEnd w:id="606"/>
      <w:r/>
      <w:r/>
    </w:p>
    <w:p>
      <w:pPr>
        <w:ind w:firstLine="482"/>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（1）我方承诺在收到成交通知书后，在成交通知书规定的期限内与你方签订合同。</w:t>
      </w:r>
      <w:r/>
    </w:p>
    <w:p>
      <w:pPr>
        <w:ind w:firstLine="482"/>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（2）随同本响应函递交的磋商报价表是本响应函的组成部分，对我方构成约束力。</w:t>
      </w:r>
      <w:r/>
    </w:p>
    <w:p>
      <w:pPr>
        <w:ind w:firstLine="482"/>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（3）我方承诺按照采购文件规定向你方递交履约担保。</w:t>
      </w:r>
      <w:r/>
    </w:p>
    <w:p>
      <w:pPr>
        <w:ind w:firstLine="482"/>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（4）我方承诺在合同约定的期限内完成全部合同内容。</w:t>
      </w:r>
      <w:r/>
    </w:p>
    <w:p>
      <w:pPr>
        <w:ind w:firstLine="482"/>
        <w:keepLines w:val="0"/>
        <w:keepNext w:val="0"/>
        <w:pageBreakBefore w:val="0"/>
        <w:spacing w:line="288" w:lineRule="auto"/>
        <w:widowControl w:val="off"/>
        <w:rPr>
          <w:rFonts w:ascii="宋体" w:hAnsi="宋体" w:cs="宋体"/>
          <w:color w:val="auto"/>
          <w:sz w:val="24"/>
          <w:highlight w:val="none"/>
        </w:rPr>
      </w:pPr>
      <w:r/>
      <w:bookmarkStart w:id="607" w:name="_Toc19189"/>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根据第二章“供应商须知”第1.4条规定，我方承诺：</w:t>
      </w:r>
      <w:bookmarkEnd w:id="607"/>
      <w:r/>
      <w:r/>
    </w:p>
    <w:p>
      <w:pPr>
        <w:ind w:firstLine="482"/>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（1）我们在参加本项目政府采购活动前三年内，在经营活动中没有违背法律的行为，并提供“参加政府采购活动前三年内在经营活动中没有重大违法记录的书面声明”；</w:t>
      </w:r>
      <w:r/>
    </w:p>
    <w:p>
      <w:pPr>
        <w:ind w:firstLine="482"/>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（2）我们依照有关法律的规定，没有偷税、漏税的行为，没有逃避缴纳社会保险资金的行为；</w:t>
      </w:r>
      <w:r/>
    </w:p>
    <w:p>
      <w:pPr>
        <w:ind w:firstLine="482"/>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（3）与采购人和采购代理机构</w:t>
      </w:r>
      <w:r>
        <w:rPr>
          <w:rFonts w:hint="eastAsia" w:ascii="宋体" w:hAnsi="宋体" w:cs="宋体"/>
          <w:bCs/>
          <w:color w:val="auto"/>
          <w:sz w:val="24"/>
          <w:highlight w:val="none"/>
        </w:rPr>
        <w:t xml:space="preserve">无任何的隶属关系或者其他利害关系</w:t>
      </w:r>
      <w:r>
        <w:rPr>
          <w:rFonts w:hint="eastAsia" w:ascii="宋体" w:hAnsi="宋体" w:cs="宋体"/>
          <w:color w:val="auto"/>
          <w:sz w:val="24"/>
          <w:highlight w:val="none"/>
        </w:rPr>
        <w:t xml:space="preserve">。</w:t>
      </w:r>
      <w:r/>
    </w:p>
    <w:p>
      <w:pPr>
        <w:ind w:firstLine="482"/>
        <w:keepLines w:val="0"/>
        <w:keepNext w:val="0"/>
        <w:pageBreakBefore w:val="0"/>
        <w:spacing w:line="288" w:lineRule="auto"/>
        <w:widowControl w:val="off"/>
        <w:rPr>
          <w:rFonts w:ascii="宋体" w:hAnsi="宋体" w:cs="宋体"/>
          <w:color w:val="auto"/>
          <w:sz w:val="24"/>
          <w:highlight w:val="none"/>
        </w:rPr>
      </w:pPr>
      <w:r/>
      <w:bookmarkStart w:id="608" w:name="_Toc28964"/>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同意提供贵方可能要求的与其投标有关的一切数据或资料。</w:t>
      </w:r>
      <w:bookmarkEnd w:id="608"/>
      <w:r/>
      <w:r/>
    </w:p>
    <w:p>
      <w:pPr>
        <w:ind w:firstLine="482"/>
        <w:keepLines w:val="0"/>
        <w:keepNext w:val="0"/>
        <w:pageBreakBefore w:val="0"/>
        <w:spacing w:line="288"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我方所递交的响应文件及有关资料内容完整、真实和准确，且不存在第二章“供应商须知”第1.4.</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项规定的任何一种情形。</w:t>
      </w:r>
      <w:r/>
    </w:p>
    <w:p>
      <w:pPr>
        <w:pStyle w:val="1101"/>
        <w:ind w:left="1260"/>
        <w:jc w:val="right"/>
        <w:spacing w:before="156" w:line="360" w:lineRule="auto"/>
        <w:rPr>
          <w:rFonts w:hAnsi="宋体" w:cs="宋体"/>
          <w:color w:val="auto"/>
          <w:sz w:val="24"/>
          <w:szCs w:val="24"/>
          <w:highlight w:val="none"/>
        </w:rPr>
      </w:pPr>
      <w:r>
        <w:rPr>
          <w:rFonts w:hint="eastAsia" w:hAnsi="宋体" w:cs="宋体"/>
          <w:color w:val="auto"/>
          <w:sz w:val="24"/>
          <w:szCs w:val="24"/>
          <w:highlight w:val="none"/>
        </w:rPr>
        <w:t xml:space="preserve">供应商名称（加盖CA电子公章）：</w:t>
      </w:r>
      <w:r/>
    </w:p>
    <w:p>
      <w:pPr>
        <w:jc w:val="right"/>
        <w:spacing w:before="156"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法定代表人或其授权的代理人（签字或签章）：</w:t>
      </w:r>
      <w:r/>
    </w:p>
    <w:p>
      <w:pPr>
        <w:ind w:firstLine="480"/>
        <w:jc w:val="right"/>
        <w:spacing w:line="400" w:lineRule="exact"/>
        <w:tabs>
          <w:tab w:val="left" w:pos="6315" w:leader="none"/>
        </w:tabs>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bookmarkEnd w:id="604"/>
      <w:r/>
      <w:r/>
    </w:p>
    <w:p>
      <w:pPr>
        <w:ind w:firstLine="480"/>
        <w:jc w:val="right"/>
        <w:spacing w:line="400" w:lineRule="exact"/>
        <w:tabs>
          <w:tab w:val="left" w:pos="6315"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响应函附录</w:t>
      </w:r>
      <w:r/>
    </w:p>
    <w:tbl>
      <w:tblPr>
        <w:tblStyle w:val="870"/>
        <w:tblpPr w:horzAnchor="page" w:tblpX="1581" w:vertAnchor="text" w:tblpY="215"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961"/>
        <w:gridCol w:w="5873"/>
      </w:tblGrid>
      <w:tr>
        <w:trPr>
          <w:trHeight w:val="854"/>
        </w:trPr>
        <w:tc>
          <w:tcPr>
            <w:tcW w:w="460"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1</w:t>
            </w:r>
            <w:r/>
          </w:p>
        </w:tc>
        <w:tc>
          <w:tcPr>
            <w:tcW w:w="1136"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项目（标包）名称</w:t>
            </w:r>
            <w:r/>
          </w:p>
        </w:tc>
        <w:tc>
          <w:tcPr>
            <w:tcW w:w="3403" w:type="pct"/>
            <w:vAlign w:val="center"/>
            <w:textDirection w:val="lrTb"/>
            <w:noWrap w:val="false"/>
          </w:tcPr>
          <w:p>
            <w:pPr>
              <w:jc w:val="center"/>
              <w:spacing w:line="440" w:lineRule="exact"/>
              <w:rPr>
                <w:rFonts w:ascii="宋体" w:hAnsi="宋体" w:cs="宋体"/>
                <w:color w:val="auto"/>
                <w:highlight w:val="none"/>
              </w:rPr>
            </w:pPr>
            <w:r>
              <w:rPr>
                <w:rFonts w:ascii="宋体" w:hAnsi="宋体" w:cs="宋体"/>
                <w:color w:val="auto"/>
                <w:highlight w:val="none"/>
              </w:rPr>
            </w:r>
            <w:r/>
          </w:p>
        </w:tc>
      </w:tr>
      <w:tr>
        <w:trPr>
          <w:trHeight w:val="630"/>
        </w:trPr>
        <w:tc>
          <w:tcPr>
            <w:tcW w:w="460"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2</w:t>
            </w:r>
            <w:r/>
          </w:p>
        </w:tc>
        <w:tc>
          <w:tcPr>
            <w:tcW w:w="1136"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项目编号</w:t>
            </w:r>
            <w:r/>
          </w:p>
        </w:tc>
        <w:tc>
          <w:tcPr>
            <w:tcW w:w="3403" w:type="pct"/>
            <w:vAlign w:val="center"/>
            <w:textDirection w:val="lrTb"/>
            <w:noWrap w:val="false"/>
          </w:tcPr>
          <w:p>
            <w:pPr>
              <w:jc w:val="center"/>
              <w:spacing w:line="440" w:lineRule="exact"/>
              <w:rPr>
                <w:rFonts w:ascii="宋体" w:hAnsi="宋体" w:cs="宋体"/>
                <w:color w:val="auto"/>
                <w:highlight w:val="none"/>
              </w:rPr>
            </w:pPr>
            <w:r>
              <w:rPr>
                <w:rFonts w:ascii="宋体" w:hAnsi="宋体" w:cs="宋体"/>
                <w:color w:val="auto"/>
                <w:highlight w:val="none"/>
              </w:rPr>
            </w:r>
            <w:r/>
          </w:p>
        </w:tc>
      </w:tr>
      <w:tr>
        <w:trPr>
          <w:trHeight w:val="630"/>
        </w:trPr>
        <w:tc>
          <w:tcPr>
            <w:tcW w:w="460"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3</w:t>
            </w:r>
            <w:r/>
          </w:p>
        </w:tc>
        <w:tc>
          <w:tcPr>
            <w:tcW w:w="1136"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投标总报价</w:t>
            </w:r>
            <w:r/>
          </w:p>
        </w:tc>
        <w:tc>
          <w:tcPr>
            <w:tcW w:w="3403"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以苏采云系统中提交的最终报价为准</w:t>
            </w:r>
            <w:r/>
          </w:p>
        </w:tc>
      </w:tr>
      <w:tr>
        <w:trPr>
          <w:trHeight w:val="630"/>
        </w:trPr>
        <w:tc>
          <w:tcPr>
            <w:tcW w:w="460"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4</w:t>
            </w:r>
            <w:r/>
          </w:p>
        </w:tc>
        <w:tc>
          <w:tcPr>
            <w:tcW w:w="1136"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拟派项目负责人</w:t>
            </w:r>
            <w:r/>
          </w:p>
        </w:tc>
        <w:tc>
          <w:tcPr>
            <w:tcW w:w="3403" w:type="pct"/>
            <w:vAlign w:val="center"/>
            <w:textDirection w:val="lrTb"/>
            <w:noWrap w:val="false"/>
          </w:tcPr>
          <w:p>
            <w:pPr>
              <w:jc w:val="left"/>
              <w:spacing w:line="440" w:lineRule="exact"/>
              <w:rPr>
                <w:rFonts w:ascii="宋体" w:hAnsi="宋体" w:cs="宋体"/>
                <w:color w:val="auto"/>
                <w:highlight w:val="none"/>
              </w:rPr>
            </w:pPr>
            <w:r>
              <w:rPr>
                <w:rFonts w:hint="eastAsia" w:ascii="宋体" w:hAnsi="宋体" w:cs="宋体"/>
                <w:color w:val="auto"/>
                <w:highlight w:val="none"/>
              </w:rPr>
              <w:t xml:space="preserve">姓名：</w:t>
            </w:r>
            <w:r/>
          </w:p>
        </w:tc>
      </w:tr>
      <w:tr>
        <w:trPr>
          <w:trHeight w:val="630"/>
        </w:trPr>
        <w:tc>
          <w:tcPr>
            <w:tcW w:w="460"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5</w:t>
            </w:r>
            <w:r/>
          </w:p>
        </w:tc>
        <w:tc>
          <w:tcPr>
            <w:tcW w:w="1136"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合同履行期限</w:t>
            </w:r>
            <w:r/>
          </w:p>
        </w:tc>
        <w:tc>
          <w:tcPr>
            <w:tcW w:w="3403" w:type="pct"/>
            <w:vAlign w:val="center"/>
            <w:textDirection w:val="lrTb"/>
            <w:noWrap w:val="false"/>
          </w:tcPr>
          <w:p>
            <w:pPr>
              <w:jc w:val="center"/>
              <w:spacing w:line="440" w:lineRule="exact"/>
              <w:rPr>
                <w:rFonts w:ascii="宋体" w:hAnsi="宋体" w:cs="宋体"/>
                <w:color w:val="auto"/>
                <w:highlight w:val="none"/>
              </w:rPr>
            </w:pPr>
            <w:r>
              <w:rPr>
                <w:rFonts w:ascii="宋体" w:hAnsi="宋体" w:cs="宋体"/>
                <w:color w:val="auto"/>
                <w:highlight w:val="none"/>
              </w:rPr>
            </w:r>
            <w:r/>
          </w:p>
        </w:tc>
      </w:tr>
      <w:tr>
        <w:trPr>
          <w:trHeight w:val="630"/>
        </w:trPr>
        <w:tc>
          <w:tcPr>
            <w:tcW w:w="460"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6</w:t>
            </w:r>
            <w:r/>
          </w:p>
        </w:tc>
        <w:tc>
          <w:tcPr>
            <w:tcW w:w="1136" w:type="pct"/>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质量标准</w:t>
            </w:r>
            <w:r/>
          </w:p>
        </w:tc>
        <w:tc>
          <w:tcPr>
            <w:tcW w:w="3403" w:type="pct"/>
            <w:vAlign w:val="center"/>
            <w:textDirection w:val="lrTb"/>
            <w:noWrap w:val="false"/>
          </w:tcPr>
          <w:p>
            <w:pPr>
              <w:jc w:val="left"/>
              <w:spacing w:line="440" w:lineRule="exact"/>
              <w:rPr>
                <w:rFonts w:ascii="宋体" w:hAnsi="宋体" w:cs="宋体"/>
                <w:color w:val="auto"/>
                <w:highlight w:val="none"/>
              </w:rPr>
            </w:pPr>
            <w:r>
              <w:rPr>
                <w:rFonts w:hint="eastAsia" w:ascii="宋体" w:hAnsi="宋体" w:cs="宋体"/>
                <w:color w:val="auto"/>
                <w:highlight w:val="none"/>
              </w:rPr>
              <w:t xml:space="preserve">合格</w:t>
            </w:r>
            <w:r/>
          </w:p>
        </w:tc>
      </w:tr>
      <w:tr>
        <w:trPr>
          <w:trHeight w:val="630"/>
        </w:trPr>
        <w:tc>
          <w:tcPr>
            <w:shd w:val="clear" w:color="auto" w:fill="auto"/>
            <w:tcW w:w="460" w:type="pct"/>
            <w:vAlign w:val="center"/>
            <w:textDirection w:val="lrTb"/>
            <w:noWrap w:val="false"/>
          </w:tcPr>
          <w:p>
            <w:pPr>
              <w:jc w:val="center"/>
              <w:spacing w:line="44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7</w:t>
            </w:r>
            <w:r/>
          </w:p>
        </w:tc>
        <w:tc>
          <w:tcPr>
            <w:shd w:val="clear" w:color="auto" w:fill="auto"/>
            <w:tcW w:w="1136" w:type="pct"/>
            <w:vAlign w:val="center"/>
            <w:textDirection w:val="lrTb"/>
            <w:noWrap w:val="false"/>
          </w:tcPr>
          <w:p>
            <w:pPr>
              <w:jc w:val="center"/>
              <w:spacing w:line="44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响应有效期</w:t>
            </w:r>
            <w:r/>
          </w:p>
        </w:tc>
        <w:tc>
          <w:tcPr>
            <w:shd w:val="clear" w:color="auto" w:fill="auto"/>
            <w:tcW w:w="3403" w:type="pct"/>
            <w:vAlign w:val="center"/>
            <w:textDirection w:val="lrTb"/>
            <w:noWrap w:val="false"/>
          </w:tcPr>
          <w:p>
            <w:pPr>
              <w:jc w:val="left"/>
              <w:spacing w:line="440" w:lineRule="exact"/>
              <w:rPr>
                <w:rFonts w:hint="eastAsia" w:ascii="宋体" w:hAnsi="宋体" w:eastAsia="宋体" w:cs="宋体"/>
                <w:color w:val="auto"/>
                <w:sz w:val="22"/>
                <w:szCs w:val="22"/>
                <w:highlight w:val="none"/>
              </w:rPr>
            </w:pPr>
            <w:r>
              <w:rPr>
                <w:rFonts w:hint="default" w:ascii="宋体" w:hAnsi="宋体" w:eastAsia="宋体" w:cs="宋体"/>
                <w:color w:val="auto"/>
                <w:sz w:val="22"/>
                <w:szCs w:val="22"/>
                <w:highlight w:val="none"/>
                <w:lang w:val="en-US" w:eastAsia="zh-CN"/>
              </w:rPr>
              <w:t xml:space="preserve">60日历天</w:t>
            </w:r>
            <w:r/>
          </w:p>
        </w:tc>
      </w:tr>
    </w:tbl>
    <w:p>
      <w:pPr>
        <w:pStyle w:val="1227"/>
        <w:rPr>
          <w:color w:val="auto"/>
          <w:highlight w:val="none"/>
        </w:rPr>
      </w:pPr>
      <w:r>
        <w:rPr>
          <w:color w:val="auto"/>
          <w:highlight w:val="none"/>
        </w:rPr>
      </w:r>
      <w:r/>
    </w:p>
    <w:p>
      <w:pPr>
        <w:pStyle w:val="1101"/>
        <w:ind w:left="1260"/>
        <w:jc w:val="right"/>
        <w:spacing w:before="156" w:line="360" w:lineRule="auto"/>
        <w:rPr>
          <w:rFonts w:hAnsi="宋体" w:cs="宋体"/>
          <w:color w:val="auto"/>
          <w:sz w:val="24"/>
          <w:szCs w:val="24"/>
          <w:highlight w:val="none"/>
        </w:rPr>
      </w:pPr>
      <w:r>
        <w:rPr>
          <w:rFonts w:hint="eastAsia" w:hAnsi="宋体" w:cs="宋体"/>
          <w:color w:val="auto"/>
          <w:sz w:val="24"/>
          <w:szCs w:val="24"/>
          <w:highlight w:val="none"/>
        </w:rPr>
        <w:t xml:space="preserve">供应商名称（加盖CA电子公章）：</w:t>
      </w:r>
      <w:r/>
    </w:p>
    <w:p>
      <w:pPr>
        <w:jc w:val="right"/>
        <w:spacing w:before="156"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法定代表人或其授权的代理人（签字或签章）：</w:t>
      </w:r>
      <w:r/>
    </w:p>
    <w:p>
      <w:pPr>
        <w:jc w:val="right"/>
        <w:spacing w:before="156" w:line="360" w:lineRule="exact"/>
        <w:rPr>
          <w:rFonts w:ascii="宋体" w:hAnsi="宋体" w:cs="宋体"/>
          <w:color w:val="auto"/>
          <w:sz w:val="24"/>
          <w:highlight w:val="none"/>
        </w:rPr>
      </w:pPr>
      <w:r>
        <w:rPr>
          <w:rFonts w:ascii="宋体" w:hAnsi="宋体" w:cs="宋体"/>
          <w:color w:val="auto"/>
          <w:sz w:val="24"/>
          <w:highlight w:val="none"/>
        </w:rPr>
      </w:r>
      <w:r/>
    </w:p>
    <w:p>
      <w:pPr>
        <w:ind w:firstLine="480"/>
        <w:jc w:val="right"/>
        <w:spacing w:line="400" w:lineRule="exact"/>
        <w:tabs>
          <w:tab w:val="left" w:pos="6315" w:leader="none"/>
        </w:tabs>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both"/>
        <w:spacing w:line="400" w:lineRule="exact"/>
        <w:tabs>
          <w:tab w:val="left" w:pos="6315"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1070"/>
        <w:pageBreakBefore/>
        <w:spacing w:before="156" w:after="156" w:line="3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3.4投标报价明细表及分析说明（工程量清单）</w:t>
      </w:r>
      <w:r/>
    </w:p>
    <w:p>
      <w:pPr>
        <w:pStyle w:val="1101"/>
        <w:ind w:firstLine="482"/>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1101"/>
        <w:ind w:firstLine="482"/>
        <w:spacing w:line="360" w:lineRule="auto"/>
        <w:rPr>
          <w:rFonts w:hAnsi="宋体" w:cs="宋体"/>
          <w:color w:val="auto"/>
          <w:sz w:val="24"/>
          <w:szCs w:val="24"/>
          <w:highlight w:val="none"/>
        </w:rPr>
      </w:pPr>
      <w:r>
        <w:rPr>
          <w:rFonts w:hint="eastAsia" w:hAnsi="宋体" w:cs="宋体"/>
          <w:b/>
          <w:bCs/>
          <w:color w:val="auto"/>
          <w:sz w:val="24"/>
          <w:szCs w:val="24"/>
          <w:highlight w:val="none"/>
        </w:rPr>
        <w:t xml:space="preserve">本项目无需供应商编制工程量清单。最终确定的承包价格按招标控制价总价下浮率同比下浮到各个子目形成综合单价，作为结算依据；其中，不可竞争费不参与下浮。</w:t>
      </w:r>
      <w:r/>
    </w:p>
    <w:p>
      <w:pPr>
        <w:pStyle w:val="1101"/>
        <w:spacing w:before="156" w:line="360" w:lineRule="auto"/>
        <w:rPr>
          <w:rFonts w:hAnsi="宋体" w:cs="宋体"/>
          <w:color w:val="auto"/>
          <w:sz w:val="24"/>
          <w:szCs w:val="24"/>
          <w:highlight w:val="none"/>
        </w:rPr>
      </w:pPr>
      <w:r>
        <w:rPr>
          <w:rFonts w:hAnsi="宋体" w:cs="宋体"/>
          <w:color w:val="auto"/>
          <w:sz w:val="24"/>
          <w:szCs w:val="24"/>
          <w:highlight w:val="none"/>
        </w:rPr>
      </w:r>
      <w:r/>
    </w:p>
    <w:p>
      <w:pPr>
        <w:pStyle w:val="1101"/>
        <w:spacing w:before="156" w:line="360" w:lineRule="auto"/>
        <w:rPr>
          <w:rFonts w:hAnsi="宋体" w:cs="宋体"/>
          <w:color w:val="auto"/>
          <w:sz w:val="24"/>
          <w:szCs w:val="24"/>
          <w:highlight w:val="none"/>
        </w:rPr>
      </w:pPr>
      <w:r>
        <w:rPr>
          <w:rFonts w:hAnsi="宋体" w:cs="宋体"/>
          <w:color w:val="auto"/>
          <w:sz w:val="24"/>
          <w:szCs w:val="24"/>
          <w:highlight w:val="none"/>
        </w:rPr>
      </w:r>
      <w:r/>
    </w:p>
    <w:p>
      <w:pPr>
        <w:pStyle w:val="1101"/>
        <w:spacing w:before="156" w:line="360" w:lineRule="auto"/>
        <w:rPr>
          <w:rFonts w:hAnsi="宋体" w:cs="宋体"/>
          <w:color w:val="auto"/>
          <w:sz w:val="24"/>
          <w:szCs w:val="24"/>
          <w:highlight w:val="none"/>
        </w:rPr>
      </w:pPr>
      <w:r>
        <w:rPr>
          <w:rFonts w:hAnsi="宋体" w:cs="宋体"/>
          <w:color w:val="auto"/>
          <w:sz w:val="24"/>
          <w:szCs w:val="24"/>
          <w:highlight w:val="none"/>
        </w:rPr>
      </w:r>
      <w:r/>
    </w:p>
    <w:p>
      <w:pPr>
        <w:pStyle w:val="1101"/>
        <w:spacing w:before="156" w:line="360" w:lineRule="auto"/>
        <w:rPr>
          <w:rFonts w:hAnsi="宋体" w:cs="宋体"/>
          <w:color w:val="auto"/>
          <w:sz w:val="24"/>
          <w:szCs w:val="24"/>
          <w:highlight w:val="none"/>
        </w:rPr>
      </w:pPr>
      <w:r>
        <w:rPr>
          <w:rFonts w:hint="eastAsia" w:hAnsi="宋体" w:cs="宋体"/>
          <w:color w:val="auto"/>
          <w:sz w:val="24"/>
          <w:szCs w:val="24"/>
          <w:highlight w:val="none"/>
        </w:rPr>
        <w:t xml:space="preserve">供应商名称（加盖CA电子公章）：</w:t>
      </w:r>
      <w:r/>
    </w:p>
    <w:p>
      <w:pPr>
        <w:spacing w:before="156"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法定代表人或其授权的代理人（签字或签章）：</w:t>
      </w:r>
      <w:r/>
    </w:p>
    <w:p>
      <w:pPr>
        <w:spacing w:before="156" w:line="360" w:lineRule="auto"/>
        <w:rPr>
          <w:rFonts w:ascii="宋体" w:hAnsi="宋体" w:cs="宋体"/>
          <w:color w:val="auto"/>
          <w:szCs w:val="21"/>
          <w:highlight w:val="none"/>
        </w:rPr>
      </w:pPr>
      <w:r>
        <w:rPr>
          <w:rFonts w:hint="eastAsia" w:ascii="宋体" w:hAnsi="宋体" w:cs="宋体"/>
          <w:color w:val="auto"/>
          <w:sz w:val="24"/>
          <w:highlight w:val="none"/>
        </w:rPr>
        <w:t xml:space="preserve">日期：年月日</w:t>
      </w:r>
      <w:r/>
    </w:p>
    <w:p>
      <w:pPr>
        <w:rPr>
          <w:rFonts w:ascii="宋体" w:hAnsi="宋体" w:cs="宋体"/>
          <w:color w:val="auto"/>
          <w:highlight w:val="none"/>
        </w:rPr>
      </w:pPr>
      <w:r>
        <w:rPr>
          <w:rFonts w:ascii="宋体" w:hAnsi="宋体" w:cs="宋体"/>
          <w:color w:val="auto"/>
          <w:highlight w:val="none"/>
        </w:rPr>
      </w:r>
      <w:r/>
    </w:p>
    <w:p>
      <w:pPr>
        <w:pStyle w:val="1075"/>
        <w:rPr>
          <w:rFonts w:ascii="宋体" w:hAnsi="宋体" w:cs="宋体"/>
          <w:color w:val="auto"/>
          <w:highlight w:val="none"/>
        </w:rPr>
      </w:pPr>
      <w:r>
        <w:rPr>
          <w:rFonts w:ascii="宋体" w:hAnsi="宋体" w:cs="宋体"/>
          <w:color w:val="auto"/>
          <w:highlight w:val="none"/>
        </w:rPr>
      </w:r>
      <w:r/>
    </w:p>
    <w:p>
      <w:pPr>
        <w:pStyle w:val="1075"/>
        <w:rPr>
          <w:rFonts w:ascii="宋体" w:hAnsi="宋体" w:cs="宋体"/>
          <w:color w:val="auto"/>
          <w:highlight w:val="none"/>
        </w:rPr>
      </w:pPr>
      <w:r>
        <w:rPr>
          <w:rFonts w:ascii="宋体" w:hAnsi="宋体" w:cs="宋体"/>
          <w:color w:val="auto"/>
          <w:highlight w:val="none"/>
        </w:rPr>
      </w:r>
      <w:r/>
    </w:p>
    <w:p>
      <w:pPr>
        <w:pStyle w:val="1070"/>
        <w:pageBreakBefore/>
        <w:spacing w:before="156" w:after="156" w:line="3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3.5资格及资信证明文件</w:t>
      </w:r>
      <w:r/>
    </w:p>
    <w:p>
      <w:pPr>
        <w:ind w:firstLine="600"/>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资格及资信证明文件应包括而不限于以下内容：</w:t>
      </w:r>
      <w:r/>
    </w:p>
    <w:p>
      <w:pPr>
        <w:ind w:firstLine="480"/>
        <w:jc w:val="left"/>
        <w:keepLines w:val="0"/>
        <w:keepNext w:val="0"/>
        <w:pageBreakBefore w:val="0"/>
        <w:spacing w:line="500" w:lineRule="exact"/>
        <w:widowControl w:val="off"/>
        <w:rPr>
          <w:rFonts w:hint="eastAsia" w:ascii="宋体" w:hAnsi="宋体" w:eastAsia="宋体" w:cs="宋体"/>
          <w:color w:val="auto"/>
          <w:sz w:val="24"/>
          <w:highlight w:val="none"/>
          <w:lang w:eastAsia="zh-CN"/>
        </w:rPr>
      </w:pPr>
      <w:r>
        <w:rPr>
          <w:rFonts w:hint="eastAsia" w:ascii="宋体" w:hAnsi="宋体"/>
          <w:bCs/>
          <w:sz w:val="24"/>
          <w:szCs w:val="24"/>
          <w:lang w:eastAsia="zh-CN"/>
        </w:rPr>
        <w:t xml:space="preserve">（</w:t>
      </w:r>
      <w:r>
        <w:rPr>
          <w:rFonts w:hint="eastAsia" w:ascii="宋体" w:hAnsi="宋体"/>
          <w:bCs/>
          <w:sz w:val="24"/>
          <w:szCs w:val="24"/>
        </w:rPr>
        <w:t xml:space="preserve">1）供应商基本资格条件承诺</w:t>
      </w:r>
      <w:r>
        <w:rPr>
          <w:rFonts w:hint="eastAsia" w:ascii="宋体" w:hAnsi="宋体"/>
          <w:bCs/>
          <w:sz w:val="24"/>
          <w:szCs w:val="24"/>
          <w:lang w:val="en-US" w:eastAsia="zh-CN"/>
        </w:rPr>
        <w:t xml:space="preserve">函</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法定代表人授权委托书（法定代表人参加投标的提供法定代表人身份证明书，格式附后）</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供应商营业执照复印件加盖公章</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供应商资质证书复印件加盖公章</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供应商安全生产许可证复印件加盖公章</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拟派项目</w:t>
      </w:r>
      <w:r>
        <w:rPr>
          <w:rFonts w:hint="eastAsia" w:ascii="宋体" w:hAnsi="宋体" w:cs="宋体"/>
          <w:color w:val="auto"/>
          <w:sz w:val="24"/>
          <w:highlight w:val="none"/>
          <w:lang w:val="en-US" w:eastAsia="zh-CN"/>
        </w:rPr>
        <w:t xml:space="preserve">负责人</w:t>
      </w:r>
      <w:r>
        <w:rPr>
          <w:rFonts w:hint="eastAsia" w:ascii="宋体" w:hAnsi="宋体" w:cs="宋体"/>
          <w:color w:val="auto"/>
          <w:sz w:val="24"/>
          <w:highlight w:val="none"/>
        </w:rPr>
        <w:t xml:space="preserve">注册建造师证书复印件加盖公章</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拟派项目</w:t>
      </w:r>
      <w:r>
        <w:rPr>
          <w:rFonts w:hint="eastAsia" w:ascii="宋体" w:hAnsi="宋体" w:cs="宋体"/>
          <w:color w:val="auto"/>
          <w:sz w:val="24"/>
          <w:highlight w:val="none"/>
          <w:lang w:val="en-US" w:eastAsia="zh-CN"/>
        </w:rPr>
        <w:t xml:space="preserve">负责人</w:t>
      </w:r>
      <w:r>
        <w:rPr>
          <w:rFonts w:hint="eastAsia" w:ascii="宋体" w:hAnsi="宋体" w:cs="宋体"/>
          <w:color w:val="auto"/>
          <w:sz w:val="24"/>
          <w:highlight w:val="none"/>
        </w:rPr>
        <w:t xml:space="preserve">安全生产考核合格证书复印件加盖公章</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供应商为项目经理缴纳养老保险的复印件加盖公章（具体要求见评审办法）</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诚信投标承诺书</w:t>
      </w:r>
      <w:r/>
    </w:p>
    <w:p>
      <w:pPr>
        <w:ind w:firstLine="480"/>
        <w:jc w:val="left"/>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中小企业声明函或监狱企业证明或残疾人福利性单位声明函（如有）</w:t>
      </w:r>
      <w:r/>
    </w:p>
    <w:p>
      <w:pPr>
        <w:pStyle w:val="1075"/>
        <w:spacing w:line="400" w:lineRule="exact"/>
        <w:rPr>
          <w:rFonts w:ascii="宋体" w:hAnsi="宋体" w:cs="宋体"/>
          <w:bCs/>
          <w:color w:val="auto"/>
          <w:szCs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供应商认为需要提供的其他资格及资信证明文件</w:t>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pPr>
        <w:rPr>
          <w:rFonts w:ascii="宋体" w:hAnsi="宋体" w:cs="宋体"/>
          <w:color w:val="auto"/>
          <w:highlight w:val="none"/>
        </w:rPr>
      </w:pPr>
      <w:r>
        <w:rPr>
          <w:rFonts w:ascii="宋体" w:hAnsi="宋体" w:cs="宋体"/>
          <w:color w:val="auto"/>
          <w:highlight w:val="none"/>
        </w:rPr>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pPr>
        <w:pStyle w:val="1075"/>
        <w:spacing w:line="400" w:lineRule="exact"/>
        <w:rPr>
          <w:rFonts w:ascii="宋体" w:hAnsi="宋体" w:cs="宋体"/>
          <w:bCs/>
          <w:color w:val="auto"/>
          <w:szCs w:val="24"/>
          <w:highlight w:val="none"/>
        </w:rPr>
      </w:pPr>
      <w:r>
        <w:rPr>
          <w:rFonts w:ascii="宋体" w:hAnsi="宋体" w:cs="宋体"/>
          <w:bCs/>
          <w:color w:val="auto"/>
          <w:szCs w:val="24"/>
          <w:highlight w:val="none"/>
        </w:rPr>
      </w:r>
      <w:r/>
    </w:p>
    <w:p>
      <w:pPr>
        <w:rPr>
          <w:rFonts w:ascii="宋体" w:hAnsi="宋体" w:cs="宋体"/>
          <w:bCs/>
          <w:color w:val="auto"/>
          <w:szCs w:val="24"/>
          <w:highlight w:val="none"/>
        </w:rPr>
      </w:pPr>
      <w:r>
        <w:rPr>
          <w:rFonts w:ascii="宋体" w:hAnsi="宋体" w:cs="宋体"/>
          <w:bCs/>
          <w:color w:val="auto"/>
          <w:szCs w:val="24"/>
          <w:highlight w:val="none"/>
        </w:rPr>
      </w:r>
      <w:r/>
    </w:p>
    <w:p>
      <w:pPr>
        <w:rPr>
          <w:rFonts w:ascii="宋体" w:hAnsi="宋体" w:cs="宋体"/>
          <w:bCs/>
          <w:color w:val="auto"/>
          <w:szCs w:val="24"/>
          <w:highlight w:val="none"/>
        </w:rPr>
      </w:pPr>
      <w:r>
        <w:rPr>
          <w:rFonts w:ascii="宋体" w:hAnsi="宋体" w:cs="宋体"/>
          <w:bCs/>
          <w:color w:val="auto"/>
          <w:szCs w:val="24"/>
          <w:highlight w:val="none"/>
        </w:rPr>
      </w:r>
      <w:r/>
    </w:p>
    <w:p>
      <w:pPr>
        <w:jc w:val="left"/>
        <w:widowControl/>
        <w:rPr>
          <w:rFonts w:hint="eastAsia" w:ascii="宋体" w:hAnsi="宋体" w:eastAsia="宋体" w:cs="宋体"/>
          <w:sz w:val="28"/>
          <w:szCs w:val="28"/>
        </w:rPr>
        <w:outlineLvl w:val="2"/>
      </w:pPr>
      <w:r>
        <w:rPr>
          <w:rFonts w:hint="eastAsia" w:ascii="宋体" w:hAnsi="宋体" w:eastAsia="宋体" w:cs="宋体"/>
          <w:sz w:val="28"/>
          <w:szCs w:val="28"/>
        </w:rPr>
        <w:t xml:space="preserve">供应商基本资格条件承诺书</w:t>
      </w:r>
      <w:r/>
    </w:p>
    <w:p>
      <w:pPr>
        <w:jc w:val="center"/>
        <w:rPr>
          <w:rFonts w:hint="eastAsia" w:ascii="宋体" w:hAnsi="宋体" w:cs="宋体"/>
          <w:b/>
          <w:color w:val="0d0d0d"/>
          <w:sz w:val="30"/>
          <w:szCs w:val="30"/>
        </w:rPr>
        <w:outlineLvl w:val="4"/>
      </w:pPr>
      <w:r>
        <w:rPr>
          <w:rFonts w:hint="eastAsia" w:ascii="宋体" w:hAnsi="宋体" w:cs="宋体"/>
          <w:b/>
          <w:color w:val="0d0d0d"/>
          <w:sz w:val="30"/>
          <w:szCs w:val="30"/>
        </w:rPr>
      </w:r>
      <w:r/>
    </w:p>
    <w:p>
      <w:pPr>
        <w:jc w:val="center"/>
        <w:rPr>
          <w:rFonts w:ascii="宋体" w:hAnsi="宋体" w:cs="宋体"/>
          <w:b/>
          <w:color w:val="0d0d0d"/>
          <w:sz w:val="30"/>
          <w:szCs w:val="30"/>
        </w:rPr>
        <w:outlineLvl w:val="4"/>
      </w:pPr>
      <w:r>
        <w:rPr>
          <w:rFonts w:hint="eastAsia" w:ascii="宋体" w:hAnsi="宋体" w:cs="宋体"/>
          <w:b/>
          <w:color w:val="0d0d0d"/>
          <w:sz w:val="30"/>
          <w:szCs w:val="30"/>
        </w:rPr>
        <w:t xml:space="preserve">供应商基本资格条件承诺书</w:t>
      </w:r>
      <w:r/>
    </w:p>
    <w:p>
      <w:pPr>
        <w:ind w:firstLine="560"/>
        <w:spacing w:line="560" w:lineRule="exact"/>
        <w:rPr>
          <w:rFonts w:ascii="宋体" w:hAnsi="宋体" w:cs="宋体"/>
          <w:color w:val="0d0d0d"/>
          <w:sz w:val="24"/>
          <w:szCs w:val="24"/>
        </w:rPr>
      </w:pPr>
      <w:r>
        <w:rPr>
          <w:rFonts w:hint="eastAsia" w:ascii="宋体" w:hAnsi="宋体" w:cs="宋体"/>
          <w:color w:val="0d0d0d"/>
          <w:sz w:val="24"/>
          <w:szCs w:val="24"/>
        </w:rPr>
        <w:t xml:space="preserve">一、按照《政府采购法》第二十二条规定的供应商基本资格条件，我公司郑重承诺如下：</w:t>
      </w:r>
      <w:r/>
    </w:p>
    <w:p>
      <w:pPr>
        <w:ind w:firstLine="560"/>
        <w:spacing w:line="560" w:lineRule="exact"/>
        <w:rPr>
          <w:rFonts w:ascii="宋体" w:hAnsi="宋体"/>
          <w:color w:val="0d0d0d"/>
          <w:sz w:val="24"/>
          <w:szCs w:val="24"/>
          <w:shd w:val="clear" w:color="auto" w:fill="ffffff"/>
        </w:rPr>
      </w:pPr>
      <w:r>
        <w:rPr>
          <w:rFonts w:hint="eastAsia" w:ascii="宋体" w:hAnsi="宋体"/>
          <w:color w:val="0d0d0d"/>
          <w:sz w:val="24"/>
          <w:szCs w:val="24"/>
        </w:rPr>
        <w:t xml:space="preserve">1.我公司具有</w:t>
      </w:r>
      <w:r>
        <w:rPr>
          <w:rFonts w:hint="eastAsia" w:ascii="宋体" w:hAnsi="宋体"/>
          <w:color w:val="0d0d0d"/>
          <w:sz w:val="24"/>
          <w:szCs w:val="24"/>
          <w:shd w:val="clear" w:color="auto" w:fill="ffffff"/>
        </w:rPr>
        <w:t xml:space="preserve">良好的商业信誉和健全的财务制度；</w:t>
      </w:r>
      <w:r/>
    </w:p>
    <w:p>
      <w:pPr>
        <w:ind w:firstLine="560"/>
        <w:spacing w:line="560" w:lineRule="exact"/>
        <w:rPr>
          <w:rFonts w:ascii="宋体" w:hAnsi="宋体"/>
          <w:color w:val="0d0d0d"/>
          <w:sz w:val="24"/>
          <w:szCs w:val="24"/>
          <w:shd w:val="clear" w:color="auto" w:fill="ffffff"/>
        </w:rPr>
      </w:pPr>
      <w:r>
        <w:rPr>
          <w:rFonts w:hint="eastAsia" w:ascii="宋体" w:hAnsi="宋体"/>
          <w:color w:val="0d0d0d"/>
          <w:sz w:val="24"/>
          <w:szCs w:val="24"/>
          <w:shd w:val="clear" w:color="auto" w:fill="ffffff"/>
        </w:rPr>
        <w:t xml:space="preserve">2.我公司具有履行合同所必须的设备和专业技术能力；</w:t>
      </w:r>
      <w:r/>
    </w:p>
    <w:p>
      <w:pPr>
        <w:ind w:firstLine="560"/>
        <w:spacing w:line="560" w:lineRule="exact"/>
        <w:rPr>
          <w:rFonts w:ascii="宋体" w:hAnsi="宋体"/>
          <w:color w:val="0d0d0d"/>
          <w:sz w:val="24"/>
          <w:szCs w:val="24"/>
          <w:shd w:val="clear" w:color="auto" w:fill="ffffff"/>
        </w:rPr>
      </w:pPr>
      <w:r>
        <w:rPr>
          <w:rFonts w:hint="eastAsia" w:ascii="宋体" w:hAnsi="宋体"/>
          <w:color w:val="0d0d0d"/>
          <w:sz w:val="24"/>
          <w:szCs w:val="24"/>
          <w:shd w:val="clear" w:color="auto" w:fill="ffffff"/>
        </w:rPr>
        <w:t xml:space="preserve">3.我公司具有依法缴纳税收和社会保障资金的良好记录；</w:t>
      </w:r>
      <w:r/>
    </w:p>
    <w:p>
      <w:pPr>
        <w:ind w:firstLine="560"/>
        <w:spacing w:line="560" w:lineRule="exact"/>
        <w:rPr>
          <w:rFonts w:ascii="宋体" w:hAnsi="宋体"/>
          <w:color w:val="0d0d0d"/>
          <w:sz w:val="24"/>
          <w:szCs w:val="24"/>
          <w:shd w:val="clear" w:color="auto" w:fill="ffffff"/>
        </w:rPr>
      </w:pPr>
      <w:r>
        <w:rPr>
          <w:rFonts w:hint="eastAsia" w:ascii="宋体" w:hAnsi="宋体"/>
          <w:color w:val="0d0d0d"/>
          <w:sz w:val="24"/>
          <w:szCs w:val="24"/>
          <w:shd w:val="clear" w:color="auto" w:fill="ffffff"/>
        </w:rPr>
        <w:t xml:space="preserve">4.我公司参加政府采购活动前三年内，在经营活动中没有重大违法记录；</w:t>
      </w:r>
      <w:r/>
    </w:p>
    <w:p>
      <w:pPr>
        <w:ind w:firstLine="560"/>
        <w:spacing w:line="560" w:lineRule="exact"/>
        <w:rPr>
          <w:rFonts w:hint="eastAsia" w:ascii="宋体" w:hAnsi="宋体"/>
          <w:color w:val="0d0d0d"/>
          <w:sz w:val="24"/>
          <w:szCs w:val="24"/>
        </w:rPr>
      </w:pPr>
      <w:r>
        <w:rPr>
          <w:rFonts w:hint="eastAsia" w:ascii="宋体" w:hAnsi="宋体"/>
          <w:color w:val="0d0d0d"/>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sz w:val="24"/>
          <w:szCs w:val="24"/>
        </w:rPr>
        <w:t xml:space="preserve">。</w:t>
      </w:r>
      <w:r/>
    </w:p>
    <w:p>
      <w:pPr>
        <w:ind w:firstLine="560"/>
        <w:spacing w:line="560" w:lineRule="exact"/>
        <w:rPr>
          <w:rFonts w:ascii="宋体" w:hAnsi="宋体"/>
          <w:color w:val="0d0d0d"/>
          <w:sz w:val="24"/>
          <w:szCs w:val="24"/>
        </w:rPr>
      </w:pPr>
      <w:r>
        <w:rPr>
          <w:rFonts w:hint="eastAsia" w:ascii="宋体" w:hAnsi="宋体"/>
          <w:color w:val="0d0d0d"/>
          <w:sz w:val="24"/>
          <w:szCs w:val="24"/>
          <w:shd w:val="clear" w:color="auto" w:fill="ffffff"/>
        </w:rPr>
        <w:t xml:space="preserve">二、</w:t>
      </w:r>
      <w:r>
        <w:rPr>
          <w:rFonts w:hint="eastAsia" w:ascii="宋体" w:hAnsi="宋体"/>
          <w:color w:val="0d0d0d"/>
          <w:sz w:val="24"/>
          <w:szCs w:val="24"/>
        </w:rPr>
        <w:t xml:space="preserve">我公司承诺：在本次响应过程中，我公司不存在本项目竞争性磋商文件第二章第1.4.</w:t>
      </w:r>
      <w:r>
        <w:rPr>
          <w:rFonts w:hint="eastAsia" w:ascii="宋体" w:hAnsi="宋体"/>
          <w:color w:val="0d0d0d"/>
          <w:sz w:val="24"/>
          <w:szCs w:val="24"/>
          <w:lang w:val="en-US" w:eastAsia="zh-CN"/>
        </w:rPr>
        <w:t xml:space="preserve">4</w:t>
      </w:r>
      <w:r>
        <w:rPr>
          <w:rFonts w:hint="eastAsia" w:ascii="宋体" w:hAnsi="宋体"/>
          <w:color w:val="0d0d0d"/>
          <w:sz w:val="24"/>
          <w:szCs w:val="24"/>
        </w:rPr>
        <w:t xml:space="preserve">条所列情形之一。</w:t>
      </w:r>
      <w:r/>
    </w:p>
    <w:p>
      <w:pPr>
        <w:ind w:firstLine="3920"/>
        <w:spacing w:before="163" w:line="560" w:lineRule="exact"/>
        <w:rPr>
          <w:rFonts w:ascii="宋体" w:hAnsi="宋体"/>
          <w:color w:val="0d0d0d"/>
          <w:sz w:val="24"/>
          <w:szCs w:val="24"/>
        </w:rPr>
      </w:pPr>
      <w:r>
        <w:rPr>
          <w:rFonts w:ascii="宋体" w:hAnsi="宋体"/>
          <w:color w:val="0d0d0d"/>
          <w:sz w:val="24"/>
          <w:szCs w:val="24"/>
        </w:rPr>
      </w:r>
      <w:r/>
    </w:p>
    <w:p>
      <w:pPr>
        <w:ind w:firstLine="3920"/>
        <w:spacing w:before="163" w:line="560" w:lineRule="exact"/>
        <w:rPr>
          <w:rFonts w:ascii="宋体" w:hAnsi="宋体"/>
          <w:color w:val="0d0d0d"/>
          <w:sz w:val="24"/>
          <w:szCs w:val="24"/>
        </w:rPr>
      </w:pPr>
      <w:r>
        <w:rPr>
          <w:rFonts w:hint="eastAsia" w:ascii="宋体" w:hAnsi="宋体"/>
          <w:color w:val="0d0d0d"/>
          <w:sz w:val="24"/>
          <w:szCs w:val="24"/>
        </w:rPr>
        <w:t xml:space="preserve">供应商名称(盖法人章)：</w:t>
      </w:r>
      <w:r/>
    </w:p>
    <w:p>
      <w:pPr>
        <w:ind w:firstLine="3920"/>
        <w:spacing w:before="163" w:line="560" w:lineRule="exact"/>
        <w:rPr>
          <w:rFonts w:ascii="宋体" w:hAnsi="宋体"/>
          <w:color w:val="0d0d0d"/>
          <w:sz w:val="24"/>
          <w:szCs w:val="24"/>
          <w:u w:val="single"/>
        </w:rPr>
      </w:pPr>
      <w:r>
        <w:rPr>
          <w:rFonts w:hint="eastAsia" w:ascii="宋体" w:hAnsi="宋体"/>
          <w:color w:val="0d0d0d"/>
          <w:sz w:val="24"/>
          <w:szCs w:val="24"/>
        </w:rPr>
        <w:t xml:space="preserve">法定代表人 (签字或签章)：</w:t>
      </w:r>
      <w:r/>
    </w:p>
    <w:p>
      <w:pPr>
        <w:ind w:firstLine="3920"/>
        <w:spacing w:before="163" w:line="560" w:lineRule="exact"/>
        <w:rPr>
          <w:rFonts w:hint="eastAsia" w:ascii="宋体" w:hAnsi="宋体" w:eastAsia="宋体" w:cs="Times New Roman"/>
          <w:color w:val="0d0d0d"/>
          <w:sz w:val="24"/>
          <w:szCs w:val="24"/>
        </w:rPr>
      </w:pPr>
      <w:r>
        <w:rPr>
          <w:rFonts w:hint="eastAsia" w:ascii="宋体" w:hAnsi="宋体" w:eastAsia="宋体" w:cs="Times New Roman"/>
          <w:color w:val="0d0d0d"/>
          <w:sz w:val="24"/>
          <w:szCs w:val="24"/>
        </w:rPr>
        <w:t xml:space="preserve">日期： 年  月  日</w:t>
      </w:r>
      <w:r/>
    </w:p>
    <w:p>
      <w:pPr>
        <w:ind w:firstLine="3920"/>
        <w:spacing w:before="163" w:line="560" w:lineRule="exact"/>
        <w:rPr>
          <w:rFonts w:hint="eastAsia" w:ascii="宋体" w:hAnsi="宋体" w:eastAsia="宋体" w:cs="Times New Roman"/>
          <w:color w:val="0d0d0d"/>
          <w:sz w:val="24"/>
          <w:szCs w:val="24"/>
        </w:rPr>
      </w:pPr>
      <w:r>
        <w:rPr>
          <w:rFonts w:hint="eastAsia" w:ascii="宋体" w:hAnsi="宋体" w:eastAsia="宋体" w:cs="Times New Roman"/>
          <w:color w:val="0d0d0d"/>
          <w:sz w:val="24"/>
          <w:szCs w:val="24"/>
        </w:rPr>
      </w:r>
      <w:r/>
    </w:p>
    <w:p>
      <w:pPr>
        <w:pStyle w:val="1184"/>
        <w:ind w:firstLine="0"/>
        <w:spacing w:before="0" w:after="0" w:line="360" w:lineRule="exact"/>
        <w:rPr>
          <w:rFonts w:hint="eastAsia" w:ascii="宋体" w:hAnsi="宋体"/>
          <w:color w:val="0d0d0d"/>
          <w:sz w:val="24"/>
          <w:szCs w:val="24"/>
        </w:rPr>
      </w:pPr>
      <w:r>
        <w:rPr>
          <w:rFonts w:hint="eastAsia" w:ascii="宋体" w:hAnsi="宋体"/>
          <w:color w:val="0d0d0d"/>
          <w:sz w:val="24"/>
          <w:szCs w:val="24"/>
        </w:rPr>
      </w:r>
      <w:r/>
    </w:p>
    <w:p>
      <w:pPr>
        <w:pStyle w:val="1184"/>
        <w:ind w:firstLine="0"/>
        <w:spacing w:before="0" w:after="0" w:line="360" w:lineRule="exact"/>
        <w:rPr>
          <w:rFonts w:hint="eastAsia" w:ascii="宋体" w:hAnsi="宋体"/>
          <w:color w:val="0d0d0d"/>
          <w:sz w:val="24"/>
          <w:szCs w:val="24"/>
        </w:rPr>
      </w:pPr>
      <w:r>
        <w:rPr>
          <w:rFonts w:hint="eastAsia" w:ascii="宋体" w:hAnsi="宋体"/>
          <w:color w:val="0d0d0d"/>
          <w:sz w:val="24"/>
          <w:szCs w:val="24"/>
        </w:rPr>
      </w:r>
      <w:r/>
    </w:p>
    <w:p>
      <w:pPr>
        <w:pStyle w:val="1184"/>
        <w:ind w:firstLine="0"/>
        <w:spacing w:before="0" w:after="0" w:line="360" w:lineRule="exact"/>
        <w:rPr>
          <w:rFonts w:hint="eastAsia" w:ascii="宋体" w:hAnsi="宋体"/>
          <w:color w:val="0d0d0d"/>
          <w:sz w:val="24"/>
          <w:szCs w:val="24"/>
        </w:rPr>
      </w:pPr>
      <w:r>
        <w:rPr>
          <w:rFonts w:hint="eastAsia" w:ascii="宋体" w:hAnsi="宋体"/>
          <w:color w:val="0d0d0d"/>
          <w:sz w:val="24"/>
          <w:szCs w:val="24"/>
        </w:rPr>
      </w:r>
      <w:r/>
    </w:p>
    <w:p>
      <w:pPr>
        <w:pStyle w:val="1184"/>
        <w:ind w:firstLine="0"/>
        <w:spacing w:before="0" w:after="0" w:line="360" w:lineRule="exact"/>
        <w:rPr>
          <w:rFonts w:hint="eastAsia" w:ascii="宋体" w:hAnsi="宋体"/>
          <w:color w:val="0d0d0d"/>
          <w:sz w:val="24"/>
          <w:szCs w:val="24"/>
        </w:rPr>
      </w:pPr>
      <w:r>
        <w:rPr>
          <w:rFonts w:hint="eastAsia" w:ascii="宋体" w:hAnsi="宋体"/>
          <w:color w:val="0d0d0d"/>
          <w:sz w:val="24"/>
          <w:szCs w:val="24"/>
        </w:rPr>
      </w:r>
      <w:r/>
    </w:p>
    <w:p>
      <w:pPr>
        <w:pStyle w:val="1184"/>
        <w:ind w:firstLine="0"/>
        <w:spacing w:before="0" w:after="0" w:line="360" w:lineRule="exact"/>
        <w:rPr>
          <w:rFonts w:hint="eastAsia" w:ascii="宋体" w:hAnsi="宋体"/>
          <w:color w:val="0d0d0d"/>
          <w:sz w:val="24"/>
          <w:szCs w:val="24"/>
        </w:rPr>
      </w:pPr>
      <w:r>
        <w:rPr>
          <w:rFonts w:hint="eastAsia" w:ascii="宋体" w:hAnsi="宋体"/>
          <w:color w:val="0d0d0d"/>
          <w:sz w:val="24"/>
          <w:szCs w:val="24"/>
        </w:rPr>
      </w:r>
      <w:r/>
    </w:p>
    <w:p>
      <w:pPr>
        <w:pStyle w:val="1184"/>
        <w:ind w:firstLine="0"/>
        <w:spacing w:before="0" w:after="0" w:line="360" w:lineRule="exact"/>
        <w:rPr>
          <w:rFonts w:hint="eastAsia" w:ascii="宋体" w:hAnsi="宋体"/>
          <w:color w:val="0d0d0d"/>
          <w:sz w:val="24"/>
          <w:szCs w:val="24"/>
        </w:rPr>
      </w:pPr>
      <w:r>
        <w:rPr>
          <w:rFonts w:hint="eastAsia" w:ascii="宋体" w:hAnsi="宋体"/>
          <w:color w:val="0d0d0d"/>
          <w:sz w:val="24"/>
          <w:szCs w:val="24"/>
        </w:rPr>
      </w:r>
      <w:r/>
    </w:p>
    <w:p>
      <w:pPr>
        <w:pStyle w:val="1184"/>
        <w:ind w:firstLine="0"/>
        <w:spacing w:before="0" w:after="0" w:line="360" w:lineRule="exact"/>
        <w:rPr>
          <w:rFonts w:hint="eastAsia" w:ascii="宋体" w:hAnsi="宋体"/>
          <w:color w:val="0d0d0d"/>
          <w:sz w:val="24"/>
          <w:szCs w:val="24"/>
        </w:rPr>
      </w:pPr>
      <w:r>
        <w:rPr>
          <w:rFonts w:hint="eastAsia" w:ascii="宋体" w:hAnsi="宋体"/>
          <w:color w:val="0d0d0d"/>
          <w:sz w:val="24"/>
          <w:szCs w:val="24"/>
        </w:rPr>
      </w:r>
      <w:r/>
    </w:p>
    <w:p>
      <w:pPr>
        <w:pStyle w:val="1184"/>
        <w:ind w:firstLine="0"/>
        <w:spacing w:before="0" w:after="0" w:line="360" w:lineRule="exact"/>
        <w:rPr>
          <w:rFonts w:hint="eastAsia" w:ascii="宋体" w:hAnsi="宋体"/>
          <w:color w:val="0d0d0d"/>
          <w:sz w:val="24"/>
          <w:szCs w:val="24"/>
        </w:rPr>
      </w:pPr>
      <w:r>
        <w:rPr>
          <w:rFonts w:hint="eastAsia" w:ascii="宋体" w:hAnsi="宋体"/>
          <w:color w:val="0d0d0d"/>
          <w:sz w:val="24"/>
          <w:szCs w:val="24"/>
        </w:rPr>
      </w:r>
      <w:r/>
    </w:p>
    <w:p>
      <w:pPr>
        <w:pStyle w:val="1184"/>
        <w:ind w:firstLine="0"/>
        <w:spacing w:before="0" w:after="0" w:line="360" w:lineRule="exact"/>
        <w:rPr>
          <w:rFonts w:ascii="宋体" w:hAnsi="宋体" w:cs="宋体"/>
          <w:color w:val="auto"/>
          <w:highlight w:val="none"/>
        </w:rPr>
      </w:pPr>
      <w:r>
        <w:rPr>
          <w:rFonts w:hint="eastAsia" w:ascii="宋体" w:hAnsi="宋体" w:cs="宋体"/>
          <w:color w:val="auto"/>
          <w:sz w:val="28"/>
          <w:szCs w:val="28"/>
          <w:highlight w:val="none"/>
        </w:rPr>
        <w:t xml:space="preserve">法定代表人身份证明书</w:t>
      </w:r>
      <w:r/>
    </w:p>
    <w:p>
      <w:pPr>
        <w:pStyle w:val="1184"/>
        <w:ind w:firstLine="0"/>
        <w:spacing w:before="0" w:after="0" w:line="360" w:lineRule="exact"/>
        <w:rPr>
          <w:rFonts w:ascii="宋体" w:hAnsi="宋体" w:cs="宋体"/>
          <w:color w:val="auto"/>
          <w:highlight w:val="none"/>
        </w:rPr>
      </w:pPr>
      <w:r>
        <w:rPr>
          <w:rFonts w:ascii="宋体" w:hAnsi="宋体" w:cs="宋体"/>
          <w:color w:val="auto"/>
          <w:highlight w:val="none"/>
        </w:rPr>
      </w:r>
      <w:r/>
    </w:p>
    <w:p>
      <w:pPr>
        <w:jc w:val="center"/>
        <w:spacing w:line="500" w:lineRule="exact"/>
        <w:rPr>
          <w:rFonts w:ascii="宋体" w:hAnsi="宋体" w:cs="宋体"/>
          <w:color w:val="auto"/>
          <w:highlight w:val="none"/>
        </w:rPr>
      </w:pPr>
      <w:r>
        <w:rPr>
          <w:rFonts w:hint="eastAsia" w:ascii="宋体" w:hAnsi="宋体" w:cs="宋体"/>
          <w:color w:val="auto"/>
          <w:sz w:val="32"/>
          <w:szCs w:val="32"/>
          <w:highlight w:val="none"/>
        </w:rPr>
        <w:t xml:space="preserve">法定代表人身份证明书</w:t>
      </w:r>
      <w:r/>
    </w:p>
    <w:p>
      <w:pPr>
        <w:spacing w:line="500" w:lineRule="exact"/>
        <w:rPr>
          <w:rFonts w:ascii="宋体" w:hAnsi="宋体" w:cs="宋体"/>
          <w:color w:val="auto"/>
          <w:highlight w:val="none"/>
        </w:rPr>
      </w:pPr>
      <w:r>
        <w:rPr>
          <w:rFonts w:ascii="宋体" w:hAnsi="宋体" w:cs="宋体"/>
          <w:color w:val="auto"/>
          <w:highlight w:val="none"/>
        </w:rPr>
      </w:r>
      <w:r/>
    </w:p>
    <w:p>
      <w:pPr>
        <w:ind w:firstLine="612"/>
        <w:spacing w:line="480" w:lineRule="auto"/>
        <w:rPr>
          <w:rFonts w:ascii="宋体" w:hAnsi="宋体" w:cs="宋体"/>
          <w:color w:val="auto"/>
          <w:highlight w:val="none"/>
        </w:rPr>
      </w:pPr>
      <w:r>
        <w:rPr>
          <w:rFonts w:hint="eastAsia" w:ascii="宋体" w:hAnsi="宋体" w:cs="宋体"/>
          <w:color w:val="auto"/>
          <w:sz w:val="24"/>
          <w:highlight w:val="none"/>
        </w:rPr>
        <w:t xml:space="preserve">单位名称：</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0"/>
        <w:spacing w:line="480" w:lineRule="auto"/>
        <w:rPr>
          <w:rFonts w:ascii="宋体" w:hAnsi="宋体" w:cs="宋体"/>
          <w:color w:val="auto"/>
          <w:highlight w:val="none"/>
        </w:rPr>
      </w:pPr>
      <w:r>
        <w:rPr>
          <w:rFonts w:hint="eastAsia" w:ascii="宋体" w:hAnsi="宋体" w:cs="宋体"/>
          <w:color w:val="auto"/>
          <w:sz w:val="24"/>
          <w:highlight w:val="none"/>
        </w:rPr>
        <w:t xml:space="preserve">单位性质：</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0"/>
        <w:spacing w:line="480" w:lineRule="auto"/>
        <w:rPr>
          <w:rFonts w:ascii="宋体" w:hAnsi="宋体" w:cs="宋体"/>
          <w:color w:val="auto"/>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p>
    <w:p>
      <w:pPr>
        <w:ind w:firstLine="610"/>
        <w:spacing w:line="480" w:lineRule="auto"/>
        <w:rPr>
          <w:rFonts w:ascii="宋体" w:hAnsi="宋体" w:cs="宋体"/>
          <w:color w:val="auto"/>
          <w:highlight w:val="none"/>
        </w:rPr>
      </w:pPr>
      <w:r>
        <w:rPr>
          <w:rFonts w:hint="eastAsia" w:ascii="宋体" w:hAnsi="宋体" w:cs="宋体"/>
          <w:color w:val="auto"/>
          <w:sz w:val="24"/>
          <w:highlight w:val="none"/>
        </w:rPr>
        <w:t xml:space="preserve">成立时间：</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日</w:t>
      </w:r>
      <w:r/>
    </w:p>
    <w:p>
      <w:pPr>
        <w:ind w:firstLine="610"/>
        <w:spacing w:line="480" w:lineRule="auto"/>
        <w:rPr>
          <w:rFonts w:ascii="宋体" w:hAnsi="宋体" w:cs="宋体"/>
          <w:color w:val="auto"/>
          <w:highlight w:val="none"/>
        </w:rPr>
      </w:pPr>
      <w:r>
        <w:rPr>
          <w:rFonts w:hint="eastAsia" w:ascii="宋体" w:hAnsi="宋体" w:cs="宋体"/>
          <w:color w:val="auto"/>
          <w:sz w:val="24"/>
          <w:highlight w:val="none"/>
        </w:rPr>
        <w:t xml:space="preserve">经营期限：</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p>
    <w:p>
      <w:pPr>
        <w:ind w:firstLine="610"/>
        <w:spacing w:line="480" w:lineRule="auto"/>
        <w:rPr>
          <w:rFonts w:hint="eastAsia" w:ascii="宋体" w:hAnsi="宋体" w:eastAsia="宋体" w:cs="宋体"/>
          <w:color w:val="auto"/>
          <w:highlight w:val="none"/>
          <w:lang w:val="en-US" w:eastAsia="zh-CN"/>
        </w:rPr>
      </w:pP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性别：</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年龄：</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none"/>
          <w:lang w:val="en-US" w:eastAsia="zh-CN"/>
        </w:rPr>
        <w:t xml:space="preserve">职务：</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0"/>
        <w:spacing w:line="480" w:lineRule="auto"/>
        <w:rPr>
          <w:rFonts w:hint="default" w:ascii="宋体" w:hAnsi="宋体" w:eastAsia="宋体" w:cs="宋体"/>
          <w:color w:val="auto"/>
          <w:highlight w:val="none"/>
          <w:lang w:val="en-US" w:eastAsia="zh-CN"/>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lang w:val="en-US" w:eastAsia="zh-CN"/>
        </w:rPr>
        <w:t xml:space="preserve">                          </w:t>
      </w:r>
      <w:r/>
    </w:p>
    <w:p>
      <w:pPr>
        <w:ind w:firstLine="610"/>
        <w:spacing w:line="480" w:lineRule="auto"/>
        <w:rPr>
          <w:rFonts w:ascii="宋体" w:hAnsi="宋体" w:cs="宋体"/>
          <w:color w:val="auto"/>
          <w:highlight w:val="none"/>
        </w:rPr>
      </w:pP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（供应商单位名称）</w:t>
      </w:r>
      <w:r>
        <w:rPr>
          <w:rFonts w:hint="eastAsia" w:ascii="宋体" w:hAnsi="宋体" w:cs="宋体"/>
          <w:color w:val="auto"/>
          <w:sz w:val="24"/>
          <w:highlight w:val="none"/>
        </w:rPr>
        <w:t xml:space="preserve">的法定代表人。</w:t>
      </w:r>
      <w:r/>
    </w:p>
    <w:p>
      <w:pPr>
        <w:ind w:firstLine="610"/>
        <w:spacing w:line="480" w:lineRule="auto"/>
        <w:rPr>
          <w:rFonts w:ascii="宋体" w:hAnsi="宋体" w:cs="宋体"/>
          <w:color w:val="auto"/>
          <w:highlight w:val="none"/>
        </w:rPr>
      </w:pPr>
      <w:r>
        <w:rPr>
          <w:rFonts w:hint="eastAsia" w:ascii="宋体" w:hAnsi="宋体" w:cs="宋体"/>
          <w:color w:val="auto"/>
          <w:sz w:val="24"/>
          <w:highlight w:val="none"/>
        </w:rPr>
        <w:t xml:space="preserve">特此证明。</w:t>
      </w:r>
      <w:r/>
    </w:p>
    <w:p>
      <w:pPr>
        <w:ind w:firstLine="480"/>
        <w:spacing w:line="480" w:lineRule="auto"/>
        <w:tabs>
          <w:tab w:val="left" w:pos="720" w:leader="none"/>
          <w:tab w:val="left" w:pos="900" w:leader="none"/>
        </w:tabs>
        <w:rPr>
          <w:rFonts w:ascii="宋体" w:hAnsi="宋体" w:cs="宋体"/>
          <w:color w:val="auto"/>
          <w:highlight w:val="none"/>
        </w:rPr>
      </w:pPr>
      <w:r>
        <w:rPr>
          <w:rFonts w:hint="eastAsia" w:ascii="宋体" w:hAnsi="宋体" w:cs="宋体"/>
          <w:color w:val="auto"/>
          <w:sz w:val="24"/>
          <w:highlight w:val="none"/>
          <w:u w:val="single"/>
        </w:rPr>
        <w:t xml:space="preserve">（须附身份证复印件）</w:t>
      </w:r>
      <w:r/>
    </w:p>
    <w:p>
      <w:pPr>
        <w:ind w:firstLine="4440"/>
        <w:spacing w:line="480" w:lineRule="auto"/>
        <w:tabs>
          <w:tab w:val="left" w:pos="720" w:leader="none"/>
          <w:tab w:val="left" w:pos="900" w:leader="none"/>
        </w:tabs>
        <w:rPr>
          <w:rFonts w:ascii="宋体" w:hAnsi="宋体" w:cs="宋体"/>
          <w:color w:val="auto"/>
          <w:highlight w:val="none"/>
        </w:rPr>
      </w:pPr>
      <w:r>
        <w:rPr>
          <w:rFonts w:hint="eastAsia" w:ascii="宋体" w:hAnsi="宋体" w:cs="宋体"/>
          <w:color w:val="auto"/>
          <w:sz w:val="24"/>
          <w:highlight w:val="none"/>
        </w:rPr>
        <w:t xml:space="preserve">供应商：</w:t>
      </w:r>
      <w:r>
        <w:rPr>
          <w:rFonts w:hint="eastAsia" w:ascii="宋体" w:hAnsi="宋体" w:cs="宋体"/>
          <w:color w:val="auto"/>
          <w:sz w:val="24"/>
          <w:highlight w:val="none"/>
          <w:u w:val="single"/>
        </w:rPr>
        <w:t xml:space="preserve">（加盖CA电子公章）</w:t>
      </w:r>
      <w:r/>
    </w:p>
    <w:p>
      <w:pPr>
        <w:ind w:firstLine="4440"/>
        <w:spacing w:line="480" w:lineRule="auto"/>
        <w:tabs>
          <w:tab w:val="left" w:pos="720" w:leader="none"/>
          <w:tab w:val="left" w:pos="900" w:leader="none"/>
        </w:tabs>
        <w:rPr>
          <w:rFonts w:hint="default" w:ascii="宋体" w:hAnsi="宋体" w:eastAsia="宋体" w:cs="宋体"/>
          <w:color w:val="auto"/>
          <w:highlight w:val="none"/>
          <w:lang w:val="en-US" w:eastAsia="zh-CN"/>
        </w:rPr>
      </w:pPr>
      <w:r>
        <w:rPr>
          <w:rFonts w:hint="eastAsia" w:ascii="宋体" w:hAnsi="宋体" w:cs="宋体"/>
          <w:color w:val="auto"/>
          <w:sz w:val="24"/>
          <w:highlight w:val="none"/>
        </w:rPr>
        <w:t xml:space="preserve">法定代表人签名或盖章</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      </w:t>
      </w:r>
      <w:r/>
    </w:p>
    <w:p>
      <w:pPr>
        <w:ind w:firstLine="4440"/>
        <w:spacing w:line="480" w:lineRule="auto"/>
        <w:tabs>
          <w:tab w:val="left" w:pos="720" w:leader="none"/>
          <w:tab w:val="left" w:pos="900" w:leader="none"/>
        </w:tabs>
        <w:rPr>
          <w:rFonts w:ascii="宋体" w:hAnsi="宋体" w:cs="宋体"/>
          <w:color w:val="auto"/>
          <w:highlight w:val="none"/>
        </w:rPr>
      </w:pPr>
      <w:r>
        <w:rPr>
          <w:rFonts w:hint="eastAsia" w:ascii="宋体" w:hAnsi="宋体" w:cs="宋体"/>
          <w:color w:val="auto"/>
          <w:sz w:val="24"/>
          <w:highlight w:val="none"/>
        </w:rPr>
        <w:t xml:space="preserve">日期：   年  月  日</w:t>
      </w:r>
      <w:r/>
    </w:p>
    <w:p>
      <w:pPr>
        <w:pStyle w:val="1184"/>
        <w:ind w:firstLine="0"/>
        <w:spacing w:before="0" w:after="0" w:line="360" w:lineRule="exact"/>
        <w:rPr>
          <w:rFonts w:hint="eastAsia" w:ascii="宋体" w:hAnsi="宋体" w:cs="宋体"/>
          <w:color w:val="auto"/>
          <w:highlight w:val="none"/>
        </w:rPr>
      </w:pPr>
      <w:r>
        <w:rPr>
          <w:rFonts w:hint="eastAsia" w:ascii="宋体" w:hAnsi="宋体" w:cs="宋体"/>
          <w:color w:val="auto"/>
          <w:highlight w:val="none"/>
        </w:rPr>
      </w:r>
      <w:r/>
    </w:p>
    <w:p>
      <w:pPr>
        <w:pStyle w:val="1184"/>
        <w:ind w:firstLine="0"/>
        <w:spacing w:before="0" w:after="0" w:line="360" w:lineRule="exact"/>
        <w:rPr>
          <w:rFonts w:hint="eastAsia" w:ascii="宋体" w:hAnsi="宋体" w:cs="宋体"/>
          <w:color w:val="auto"/>
          <w:highlight w:val="none"/>
        </w:rPr>
      </w:pPr>
      <w:r>
        <w:rPr>
          <w:rFonts w:hint="eastAsia" w:ascii="宋体" w:hAnsi="宋体" w:cs="宋体"/>
          <w:color w:val="auto"/>
          <w:highlight w:val="none"/>
        </w:rPr>
      </w:r>
      <w:r/>
    </w:p>
    <w:p>
      <w:pPr>
        <w:pStyle w:val="1184"/>
        <w:ind w:firstLine="0"/>
        <w:spacing w:before="0" w:after="0" w:line="360" w:lineRule="exact"/>
        <w:rPr>
          <w:rFonts w:hint="eastAsia" w:ascii="宋体" w:hAnsi="宋体" w:cs="宋体"/>
          <w:color w:val="auto"/>
          <w:highlight w:val="none"/>
        </w:rPr>
      </w:pPr>
      <w:r>
        <w:rPr>
          <w:rFonts w:hint="eastAsia" w:ascii="宋体" w:hAnsi="宋体" w:cs="宋体"/>
          <w:color w:val="auto"/>
          <w:highlight w:val="none"/>
        </w:rPr>
      </w:r>
      <w:r/>
    </w:p>
    <w:p>
      <w:pPr>
        <w:pStyle w:val="1184"/>
        <w:ind w:firstLine="0"/>
        <w:spacing w:before="0" w:after="0" w:line="360" w:lineRule="exact"/>
        <w:rPr>
          <w:rFonts w:hint="eastAsia" w:ascii="宋体" w:hAnsi="宋体" w:cs="宋体"/>
          <w:color w:val="auto"/>
          <w:highlight w:val="none"/>
        </w:rPr>
      </w:pPr>
      <w:r>
        <w:rPr>
          <w:rFonts w:hint="eastAsia" w:ascii="宋体" w:hAnsi="宋体" w:cs="宋体"/>
          <w:color w:val="auto"/>
          <w:highlight w:val="none"/>
        </w:rPr>
      </w:r>
      <w:r/>
    </w:p>
    <w:p>
      <w:pPr>
        <w:pStyle w:val="1184"/>
        <w:ind w:firstLine="0"/>
        <w:spacing w:before="0" w:after="0" w:line="360" w:lineRule="exact"/>
        <w:rPr>
          <w:rFonts w:hint="eastAsia" w:ascii="宋体" w:hAnsi="宋体" w:cs="宋体"/>
          <w:color w:val="auto"/>
          <w:highlight w:val="none"/>
        </w:rPr>
      </w:pPr>
      <w:r>
        <w:rPr>
          <w:rFonts w:hint="eastAsia" w:ascii="宋体" w:hAnsi="宋体" w:cs="宋体"/>
          <w:color w:val="auto"/>
          <w:highlight w:val="none"/>
        </w:rPr>
      </w:r>
      <w:r/>
    </w:p>
    <w:p>
      <w:pPr>
        <w:pStyle w:val="1184"/>
        <w:ind w:firstLine="0"/>
        <w:spacing w:before="0" w:after="0" w:line="360" w:lineRule="exact"/>
        <w:rPr>
          <w:rFonts w:hint="eastAsia" w:ascii="宋体" w:hAnsi="宋体" w:cs="宋体"/>
          <w:color w:val="auto"/>
          <w:highlight w:val="none"/>
        </w:rPr>
      </w:pPr>
      <w:r>
        <w:rPr>
          <w:rFonts w:hint="eastAsia" w:ascii="宋体" w:hAnsi="宋体" w:cs="宋体"/>
          <w:color w:val="auto"/>
          <w:highlight w:val="none"/>
        </w:rPr>
      </w:r>
      <w:r/>
    </w:p>
    <w:p>
      <w:pPr>
        <w:pStyle w:val="1184"/>
        <w:ind w:firstLine="0"/>
        <w:spacing w:before="0" w:after="0" w:line="360" w:lineRule="exact"/>
        <w:rPr>
          <w:rFonts w:hint="eastAsia" w:ascii="宋体" w:hAnsi="宋体" w:cs="宋体"/>
          <w:color w:val="auto"/>
          <w:highlight w:val="none"/>
        </w:rPr>
      </w:pPr>
      <w:r>
        <w:rPr>
          <w:rFonts w:hint="eastAsia" w:ascii="宋体" w:hAnsi="宋体" w:cs="宋体"/>
          <w:color w:val="auto"/>
          <w:highlight w:val="none"/>
        </w:rPr>
      </w:r>
      <w:r/>
    </w:p>
    <w:p>
      <w:pPr>
        <w:pStyle w:val="1184"/>
        <w:ind w:firstLine="0"/>
        <w:spacing w:before="0" w:after="0" w:line="360" w:lineRule="exact"/>
        <w:rPr>
          <w:rFonts w:hint="eastAsia" w:ascii="宋体" w:hAnsi="宋体" w:cs="宋体"/>
          <w:color w:val="auto"/>
          <w:highlight w:val="none"/>
        </w:rPr>
      </w:pPr>
      <w:r>
        <w:rPr>
          <w:rFonts w:hint="eastAsia" w:ascii="宋体" w:hAnsi="宋体" w:cs="宋体"/>
          <w:color w:val="auto"/>
          <w:highlight w:val="none"/>
        </w:rPr>
      </w:r>
      <w:r/>
    </w:p>
    <w:p>
      <w:pPr>
        <w:pStyle w:val="1184"/>
        <w:ind w:firstLine="0"/>
        <w:spacing w:before="0" w:after="0" w:line="360" w:lineRule="exact"/>
        <w:rPr>
          <w:rFonts w:hint="eastAsia" w:ascii="宋体" w:hAnsi="宋体" w:cs="宋体"/>
          <w:color w:val="auto"/>
          <w:highlight w:val="none"/>
        </w:rPr>
      </w:pPr>
      <w:r>
        <w:rPr>
          <w:rFonts w:hint="eastAsia" w:ascii="宋体" w:hAnsi="宋体" w:cs="宋体"/>
          <w:color w:val="auto"/>
          <w:highlight w:val="none"/>
        </w:rPr>
      </w:r>
      <w:r/>
    </w:p>
    <w:p>
      <w:pPr>
        <w:pStyle w:val="1184"/>
        <w:ind w:firstLine="0"/>
        <w:spacing w:before="0" w:after="0" w:line="360" w:lineRule="exact"/>
        <w:rPr>
          <w:rFonts w:hint="eastAsia" w:ascii="宋体" w:hAnsi="宋体" w:cs="宋体"/>
          <w:color w:val="auto"/>
          <w:highlight w:val="none"/>
        </w:rPr>
      </w:pPr>
      <w:r>
        <w:rPr>
          <w:rFonts w:hint="eastAsia" w:ascii="宋体" w:hAnsi="宋体" w:cs="宋体"/>
          <w:color w:val="auto"/>
          <w:highlight w:val="none"/>
        </w:rPr>
      </w:r>
      <w:r/>
    </w:p>
    <w:p>
      <w:pPr>
        <w:pStyle w:val="1184"/>
        <w:ind w:firstLine="0"/>
        <w:spacing w:before="0" w:after="0" w:line="360" w:lineRule="exact"/>
        <w:rPr>
          <w:rFonts w:hint="eastAsia" w:ascii="宋体" w:hAnsi="宋体" w:cs="宋体"/>
          <w:color w:val="auto"/>
          <w:highlight w:val="none"/>
        </w:rPr>
      </w:pPr>
      <w:r>
        <w:rPr>
          <w:rFonts w:hint="eastAsia" w:ascii="宋体" w:hAnsi="宋体" w:cs="宋体"/>
          <w:color w:val="auto"/>
          <w:highlight w:val="none"/>
        </w:rPr>
      </w:r>
      <w:r/>
    </w:p>
    <w:p>
      <w:pPr>
        <w:pStyle w:val="1184"/>
        <w:ind w:firstLine="0"/>
        <w:spacing w:before="0" w:after="0" w:line="360" w:lineRule="exact"/>
        <w:rPr>
          <w:rFonts w:ascii="宋体" w:hAnsi="宋体" w:cs="宋体"/>
          <w:color w:val="auto"/>
          <w:highlight w:val="none"/>
        </w:rPr>
      </w:pPr>
      <w:r>
        <w:rPr>
          <w:rFonts w:hint="eastAsia" w:ascii="宋体" w:hAnsi="宋体" w:cs="宋体"/>
          <w:color w:val="auto"/>
          <w:highlight w:val="none"/>
        </w:rPr>
        <w:t xml:space="preserve">授权委托书</w:t>
      </w:r>
      <w:r/>
    </w:p>
    <w:p>
      <w:pPr>
        <w:jc w:val="center"/>
        <w:spacing w:before="312" w:after="100" w:afterAutospacing="1" w:line="360" w:lineRule="auto"/>
        <w:rPr>
          <w:rFonts w:ascii="宋体" w:hAnsi="宋体" w:cs="宋体"/>
          <w:color w:val="auto"/>
          <w:highlight w:val="none"/>
        </w:rPr>
      </w:pPr>
      <w:r>
        <w:rPr>
          <w:rFonts w:hint="eastAsia" w:ascii="宋体" w:hAnsi="宋体" w:cs="宋体"/>
          <w:color w:val="auto"/>
          <w:sz w:val="32"/>
          <w:szCs w:val="32"/>
          <w:highlight w:val="none"/>
        </w:rPr>
        <w:t xml:space="preserve">授权委托书</w:t>
      </w:r>
      <w:r/>
    </w:p>
    <w:p>
      <w:pPr>
        <w:ind w:firstLine="435"/>
        <w:spacing w:line="500" w:lineRule="exact"/>
        <w:rPr>
          <w:rFonts w:ascii="宋体" w:hAnsi="宋体" w:cs="宋体"/>
          <w:color w:val="auto"/>
          <w:highlight w:val="none"/>
        </w:rPr>
      </w:pPr>
      <w:r>
        <w:rPr>
          <w:rFonts w:hint="eastAsia" w:ascii="宋体" w:hAnsi="宋体" w:cs="宋体"/>
          <w:color w:val="auto"/>
          <w:sz w:val="24"/>
          <w:highlight w:val="none"/>
        </w:rPr>
        <w:t xml:space="preserve">委托人（供应商）：</w:t>
      </w:r>
      <w:r>
        <w:rPr>
          <w:rFonts w:hint="eastAsia" w:ascii="宋体" w:hAnsi="宋体" w:cs="宋体"/>
          <w:color w:val="auto"/>
          <w:sz w:val="24"/>
          <w:highlight w:val="none"/>
          <w:u w:val="single"/>
        </w:rPr>
        <w:tab/>
      </w:r>
      <w:r>
        <w:rPr>
          <w:rFonts w:hint="eastAsia" w:ascii="宋体" w:hAnsi="宋体" w:cs="宋体"/>
          <w:color w:val="auto"/>
          <w:sz w:val="24"/>
          <w:highlight w:val="none"/>
          <w:u w:val="single"/>
          <w:lang w:val="en-US" w:eastAsia="zh-CN"/>
        </w:rPr>
        <w:t xml:space="preserve">                   </w:t>
      </w:r>
      <w:r/>
    </w:p>
    <w:p>
      <w:pPr>
        <w:ind w:firstLine="435"/>
        <w:spacing w:line="500" w:lineRule="exact"/>
        <w:rPr>
          <w:rFonts w:ascii="宋体" w:hAnsi="宋体" w:cs="宋体"/>
          <w:color w:val="auto"/>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ab/>
      </w:r>
      <w:r>
        <w:rPr>
          <w:rFonts w:hint="eastAsia" w:ascii="宋体" w:hAnsi="宋体" w:cs="宋体"/>
          <w:color w:val="auto"/>
          <w:sz w:val="24"/>
          <w:highlight w:val="none"/>
          <w:u w:val="single"/>
          <w:lang w:val="en-US" w:eastAsia="zh-CN"/>
        </w:rPr>
        <w:t xml:space="preserve">                          </w:t>
      </w:r>
      <w:r/>
    </w:p>
    <w:p>
      <w:pPr>
        <w:ind w:firstLine="435"/>
        <w:spacing w:line="500" w:lineRule="exact"/>
        <w:rPr>
          <w:rFonts w:ascii="宋体" w:hAnsi="宋体" w:cs="宋体"/>
          <w:color w:val="auto"/>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u w:val="single"/>
        </w:rPr>
        <w:tab/>
      </w:r>
      <w:r>
        <w:rPr>
          <w:rFonts w:hint="eastAsia" w:ascii="宋体" w:hAnsi="宋体" w:cs="宋体"/>
          <w:color w:val="auto"/>
          <w:sz w:val="24"/>
          <w:highlight w:val="none"/>
          <w:u w:val="single"/>
          <w:lang w:val="en-US" w:eastAsia="zh-CN"/>
        </w:rPr>
        <w:t xml:space="preserve">                          </w:t>
      </w:r>
      <w:r/>
    </w:p>
    <w:p>
      <w:pPr>
        <w:ind w:firstLine="435"/>
        <w:spacing w:line="500" w:lineRule="exact"/>
        <w:rPr>
          <w:rFonts w:ascii="宋体" w:hAnsi="宋体" w:cs="宋体"/>
          <w:color w:val="auto"/>
          <w:highlight w:val="none"/>
        </w:rPr>
      </w:pPr>
      <w:r>
        <w:rPr>
          <w:rFonts w:hint="eastAsia" w:ascii="宋体" w:hAnsi="宋体" w:cs="宋体"/>
          <w:color w:val="auto"/>
          <w:sz w:val="24"/>
          <w:highlight w:val="none"/>
        </w:rPr>
        <w:t xml:space="preserve">受委托人：</w:t>
      </w:r>
      <w:r>
        <w:rPr>
          <w:rFonts w:hint="eastAsia" w:ascii="宋体" w:hAnsi="宋体" w:cs="宋体"/>
          <w:color w:val="auto"/>
          <w:sz w:val="24"/>
          <w:highlight w:val="none"/>
          <w:u w:val="single"/>
        </w:rPr>
        <w:tab/>
      </w:r>
      <w:r>
        <w:rPr>
          <w:rFonts w:hint="eastAsia" w:ascii="宋体" w:hAnsi="宋体" w:cs="宋体"/>
          <w:color w:val="auto"/>
          <w:sz w:val="24"/>
          <w:highlight w:val="none"/>
          <w:u w:val="single"/>
          <w:lang w:val="en-US" w:eastAsia="zh-CN"/>
        </w:rPr>
        <w:t xml:space="preserve">                          </w:t>
      </w:r>
      <w:r/>
    </w:p>
    <w:p>
      <w:pPr>
        <w:ind w:firstLine="435"/>
        <w:spacing w:line="500" w:lineRule="exact"/>
        <w:rPr>
          <w:rFonts w:ascii="宋体" w:hAnsi="宋体" w:cs="宋体"/>
          <w:color w:val="auto"/>
          <w:highlight w:val="none"/>
        </w:rPr>
      </w:pPr>
      <w:r>
        <w:rPr>
          <w:rFonts w:hint="eastAsia" w:ascii="宋体" w:hAnsi="宋体" w:cs="宋体"/>
          <w:color w:val="auto"/>
          <w:sz w:val="24"/>
          <w:highlight w:val="none"/>
        </w:rPr>
        <w:t xml:space="preserve">受委托人身份证号码：</w:t>
      </w:r>
      <w:r>
        <w:rPr>
          <w:rFonts w:hint="eastAsia" w:ascii="宋体" w:hAnsi="宋体" w:cs="宋体"/>
          <w:color w:val="auto"/>
          <w:sz w:val="24"/>
          <w:highlight w:val="none"/>
          <w:u w:val="single"/>
        </w:rPr>
        <w:tab/>
      </w:r>
      <w:r>
        <w:rPr>
          <w:rFonts w:hint="eastAsia" w:ascii="宋体" w:hAnsi="宋体" w:cs="宋体"/>
          <w:color w:val="auto"/>
          <w:sz w:val="24"/>
          <w:highlight w:val="none"/>
          <w:u w:val="single"/>
          <w:lang w:val="en-US" w:eastAsia="zh-CN"/>
        </w:rPr>
        <w:t xml:space="preserve">                   </w:t>
      </w:r>
      <w:r/>
    </w:p>
    <w:p>
      <w:pPr>
        <w:ind w:firstLine="435"/>
        <w:spacing w:line="500" w:lineRule="exact"/>
        <w:rPr>
          <w:rFonts w:ascii="宋体" w:hAnsi="宋体" w:cs="宋体"/>
          <w:color w:val="auto"/>
          <w:highlight w:val="none"/>
        </w:rPr>
      </w:pPr>
      <w:r>
        <w:rPr>
          <w:rFonts w:hint="eastAsia" w:ascii="宋体" w:hAnsi="宋体" w:cs="宋体"/>
          <w:color w:val="auto"/>
          <w:sz w:val="24"/>
          <w:highlight w:val="none"/>
        </w:rPr>
        <w:t xml:space="preserve">受委托人电话：</w:t>
      </w:r>
      <w:r>
        <w:rPr>
          <w:rFonts w:hint="eastAsia" w:ascii="宋体" w:hAnsi="宋体" w:cs="宋体"/>
          <w:color w:val="auto"/>
          <w:sz w:val="24"/>
          <w:highlight w:val="none"/>
          <w:u w:val="single"/>
        </w:rPr>
        <w:tab/>
      </w:r>
      <w:r>
        <w:rPr>
          <w:rFonts w:hint="eastAsia" w:ascii="宋体" w:hAnsi="宋体" w:cs="宋体"/>
          <w:color w:val="auto"/>
          <w:sz w:val="24"/>
          <w:highlight w:val="none"/>
          <w:u w:val="single"/>
          <w:lang w:val="en-US" w:eastAsia="zh-CN"/>
        </w:rPr>
        <w:t xml:space="preserve">                       </w:t>
      </w:r>
      <w:r/>
    </w:p>
    <w:p>
      <w:pPr>
        <w:ind w:firstLine="435"/>
        <w:spacing w:line="500" w:lineRule="exact"/>
        <w:rPr>
          <w:rFonts w:ascii="宋体" w:hAnsi="宋体" w:cs="宋体"/>
          <w:color w:val="auto"/>
          <w:highlight w:val="none"/>
        </w:rPr>
      </w:pPr>
      <w:r>
        <w:rPr>
          <w:rFonts w:hint="eastAsia" w:ascii="宋体" w:hAnsi="宋体" w:cs="宋体"/>
          <w:color w:val="auto"/>
          <w:sz w:val="24"/>
          <w:highlight w:val="none"/>
        </w:rPr>
        <w:t xml:space="preserve">现委托上述受委托人在</w:t>
      </w:r>
      <w:r>
        <w:rPr>
          <w:rFonts w:hint="eastAsia" w:ascii="宋体" w:hAnsi="宋体" w:cs="宋体"/>
          <w:color w:val="auto"/>
          <w:sz w:val="24"/>
          <w:highlight w:val="none"/>
          <w:u w:val="single"/>
        </w:rPr>
        <w:t xml:space="preserve">（采购项目名称）</w:t>
      </w:r>
      <w:r>
        <w:rPr>
          <w:rFonts w:hint="eastAsia" w:ascii="宋体" w:hAnsi="宋体" w:cs="宋体"/>
          <w:color w:val="auto"/>
          <w:sz w:val="24"/>
          <w:highlight w:val="none"/>
        </w:rPr>
        <w:t xml:space="preserve">招标投标活动中，作为委托人的授权委托人。</w:t>
      </w:r>
      <w:r/>
    </w:p>
    <w:p>
      <w:pPr>
        <w:ind w:firstLine="435"/>
        <w:spacing w:line="500" w:lineRule="exact"/>
        <w:rPr>
          <w:rFonts w:ascii="宋体" w:hAnsi="宋体" w:cs="宋体"/>
          <w:color w:val="auto"/>
          <w:highlight w:val="none"/>
        </w:rPr>
      </w:pPr>
      <w:r>
        <w:rPr>
          <w:rFonts w:hint="eastAsia" w:ascii="宋体" w:hAnsi="宋体" w:cs="宋体"/>
          <w:color w:val="auto"/>
          <w:sz w:val="24"/>
          <w:highlight w:val="none"/>
        </w:rPr>
        <w:t xml:space="preserve">委托权限：领取竞争性磋商文件、与采购人（采购代理机构）接洽各项投标事宜，编制、签署、递交、澄清、说明、补正响应文件，参加开标，签订合同和处理有关事宜等特别授权。受委托人联独立行使的委托权限，其法律后果由委托人承担。</w:t>
      </w:r>
      <w:r/>
    </w:p>
    <w:p>
      <w:pPr>
        <w:ind w:firstLine="480"/>
        <w:spacing w:line="500" w:lineRule="exact"/>
        <w:rPr>
          <w:rFonts w:ascii="宋体" w:hAnsi="宋体" w:cs="宋体"/>
          <w:color w:val="auto"/>
          <w:highlight w:val="none"/>
        </w:rPr>
      </w:pPr>
      <w:r>
        <w:rPr>
          <w:rFonts w:hint="eastAsia" w:ascii="宋体" w:hAnsi="宋体" w:cs="宋体"/>
          <w:color w:val="auto"/>
          <w:sz w:val="24"/>
          <w:highlight w:val="none"/>
        </w:rPr>
        <w:t xml:space="preserve">授权委托人无转委托权。采购人（采购代理机构）有权拒绝其他任何代表委托人行使的投标事宜，以及超出本授权范围的其他事宜。</w:t>
      </w:r>
      <w:r/>
    </w:p>
    <w:p>
      <w:pPr>
        <w:ind w:firstLine="435"/>
        <w:spacing w:line="500" w:lineRule="exact"/>
        <w:rPr>
          <w:rFonts w:ascii="宋体" w:hAnsi="宋体" w:cs="宋体"/>
          <w:color w:val="auto"/>
          <w:highlight w:val="none"/>
        </w:rPr>
      </w:pPr>
      <w:r>
        <w:rPr>
          <w:rFonts w:hint="eastAsia" w:ascii="宋体" w:hAnsi="宋体" w:cs="宋体"/>
          <w:color w:val="auto"/>
          <w:sz w:val="24"/>
          <w:highlight w:val="none"/>
        </w:rPr>
        <w:t xml:space="preserve">委托期限自年月日起，至年月日止。</w:t>
      </w:r>
      <w:r/>
    </w:p>
    <w:p>
      <w:pPr>
        <w:ind w:firstLine="3290"/>
        <w:spacing w:line="500" w:lineRule="exact"/>
        <w:rPr>
          <w:rFonts w:ascii="宋体" w:hAnsi="宋体" w:cs="宋体"/>
          <w:color w:val="auto"/>
          <w:highlight w:val="none"/>
        </w:rPr>
      </w:pPr>
      <w:r>
        <w:rPr>
          <w:rFonts w:ascii="宋体" w:hAnsi="宋体" w:cs="宋体"/>
          <w:color w:val="auto"/>
          <w:highlight w:val="none"/>
        </w:rPr>
      </w:r>
      <w:r/>
    </w:p>
    <w:p>
      <w:pPr>
        <w:ind w:firstLine="3290"/>
        <w:spacing w:line="500" w:lineRule="exact"/>
        <w:rPr>
          <w:rFonts w:ascii="宋体" w:hAnsi="宋体" w:cs="宋体"/>
          <w:color w:val="auto"/>
          <w:highlight w:val="none"/>
        </w:rPr>
      </w:pPr>
      <w:r>
        <w:rPr>
          <w:rFonts w:ascii="宋体" w:hAnsi="宋体" w:cs="宋体"/>
          <w:color w:val="auto"/>
          <w:highlight w:val="none"/>
        </w:rPr>
      </w:r>
      <w:r/>
    </w:p>
    <w:p>
      <w:pPr>
        <w:ind w:firstLine="480"/>
        <w:spacing w:line="500" w:lineRule="exact"/>
        <w:tabs>
          <w:tab w:val="left" w:pos="720" w:leader="none"/>
          <w:tab w:val="left" w:pos="900" w:leader="none"/>
        </w:tabs>
        <w:rPr>
          <w:rFonts w:ascii="宋体" w:hAnsi="宋体" w:cs="宋体"/>
          <w:color w:val="auto"/>
          <w:highlight w:val="none"/>
        </w:rPr>
      </w:pPr>
      <w:r>
        <w:rPr>
          <w:rFonts w:hint="eastAsia" w:ascii="宋体" w:hAnsi="宋体" w:cs="宋体"/>
          <w:color w:val="auto"/>
          <w:sz w:val="24"/>
          <w:highlight w:val="none"/>
          <w:u w:val="single"/>
        </w:rPr>
        <w:t xml:space="preserve">（须附法定代表人、受委托人身份证复印件）</w:t>
      </w:r>
      <w:r/>
    </w:p>
    <w:p>
      <w:pPr>
        <w:ind w:firstLine="3290"/>
        <w:spacing w:line="500" w:lineRule="exact"/>
        <w:rPr>
          <w:rFonts w:ascii="宋体" w:hAnsi="宋体" w:cs="宋体"/>
          <w:color w:val="auto"/>
          <w:highlight w:val="none"/>
        </w:rPr>
      </w:pPr>
      <w:r>
        <w:rPr>
          <w:rFonts w:ascii="宋体" w:hAnsi="宋体" w:cs="宋体"/>
          <w:color w:val="auto"/>
          <w:highlight w:val="none"/>
        </w:rPr>
      </w:r>
      <w:r/>
    </w:p>
    <w:p>
      <w:pPr>
        <w:ind w:firstLine="3290"/>
        <w:spacing w:line="500" w:lineRule="exact"/>
        <w:rPr>
          <w:rFonts w:ascii="宋体" w:hAnsi="宋体" w:cs="宋体"/>
          <w:color w:val="auto"/>
          <w:highlight w:val="none"/>
          <w:u w:val="single"/>
        </w:rPr>
      </w:pPr>
      <w:r>
        <w:rPr>
          <w:rFonts w:hint="eastAsia" w:ascii="宋体" w:hAnsi="宋体" w:cs="宋体"/>
          <w:color w:val="auto"/>
          <w:sz w:val="24"/>
          <w:highlight w:val="none"/>
        </w:rPr>
        <w:t xml:space="preserve">委托人：</w:t>
      </w:r>
      <w:r>
        <w:rPr>
          <w:rFonts w:hint="eastAsia" w:ascii="宋体" w:hAnsi="宋体" w:cs="宋体"/>
          <w:color w:val="auto"/>
          <w:sz w:val="24"/>
          <w:highlight w:val="none"/>
          <w:u w:val="single"/>
        </w:rPr>
        <w:t xml:space="preserve">（加盖CA电子公章）</w:t>
      </w:r>
      <w:r/>
    </w:p>
    <w:p>
      <w:pPr>
        <w:ind w:firstLine="3290"/>
        <w:spacing w:line="500" w:lineRule="exact"/>
        <w:rPr>
          <w:rFonts w:ascii="宋体" w:hAnsi="宋体" w:cs="宋体"/>
          <w:color w:val="auto"/>
          <w:highlight w:val="none"/>
          <w:u w:val="singl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u w:val="single"/>
        </w:rPr>
        <w:t xml:space="preserve">（签字）</w:t>
      </w:r>
      <w:r/>
    </w:p>
    <w:p>
      <w:pPr>
        <w:ind w:firstLine="3290"/>
        <w:spacing w:line="500" w:lineRule="exact"/>
        <w:rPr>
          <w:rFonts w:ascii="宋体" w:hAnsi="宋体" w:cs="宋体"/>
          <w:color w:val="auto"/>
          <w:highlight w:val="none"/>
          <w:u w:val="single"/>
        </w:rPr>
      </w:pPr>
      <w:r>
        <w:rPr>
          <w:rFonts w:hint="eastAsia" w:ascii="宋体" w:hAnsi="宋体" w:cs="宋体"/>
          <w:color w:val="auto"/>
          <w:sz w:val="24"/>
          <w:highlight w:val="none"/>
        </w:rPr>
        <w:t xml:space="preserve">受委托人：</w:t>
      </w:r>
      <w:r>
        <w:rPr>
          <w:rFonts w:hint="eastAsia" w:ascii="宋体" w:hAnsi="宋体" w:cs="宋体"/>
          <w:color w:val="auto"/>
          <w:sz w:val="24"/>
          <w:highlight w:val="none"/>
          <w:u w:val="single"/>
        </w:rPr>
        <w:t xml:space="preserve">（签字）</w:t>
      </w:r>
      <w:r/>
    </w:p>
    <w:p>
      <w:pPr>
        <w:jc w:val="right"/>
        <w:spacing w:line="500" w:lineRule="exact"/>
        <w:rPr>
          <w:rFonts w:ascii="宋体" w:hAnsi="宋体" w:cs="宋体"/>
          <w:b/>
          <w:bCs/>
          <w:color w:val="auto"/>
          <w:sz w:val="24"/>
          <w:highlight w:val="none"/>
          <w:u w:val="single"/>
        </w:rPr>
      </w:pPr>
      <w:r>
        <w:rPr>
          <w:rFonts w:hint="eastAsia" w:ascii="宋体" w:hAnsi="宋体" w:cs="宋体"/>
          <w:color w:val="auto"/>
          <w:sz w:val="24"/>
          <w:highlight w:val="none"/>
        </w:rPr>
        <w:t xml:space="preserve">年月日</w:t>
      </w:r>
      <w:r/>
    </w:p>
    <w:p>
      <w:pPr>
        <w:rPr>
          <w:rFonts w:ascii="宋体" w:hAnsi="宋体" w:cs="宋体"/>
          <w:color w:val="auto"/>
          <w:highlight w:val="none"/>
        </w:rPr>
      </w:pPr>
      <w:r>
        <w:rPr>
          <w:rFonts w:hint="eastAsia" w:ascii="宋体" w:hAnsi="宋体" w:cs="宋体"/>
          <w:b/>
          <w:bCs/>
          <w:color w:val="auto"/>
          <w:sz w:val="30"/>
          <w:szCs w:val="30"/>
          <w:highlight w:val="none"/>
        </w:rPr>
        <w:br w:type="page" w:clear="all"/>
      </w:r>
      <w:r/>
    </w:p>
    <w:p>
      <w:pPr>
        <w:jc w:val="center"/>
        <w:spacing w:line="360" w:lineRule="auto"/>
        <w:rPr>
          <w:rFonts w:ascii="宋体" w:hAnsi="宋体" w:cs="宋体"/>
          <w:b/>
          <w:color w:val="auto"/>
          <w:sz w:val="32"/>
          <w:szCs w:val="32"/>
          <w:highlight w:val="none"/>
        </w:rPr>
        <w:sectPr>
          <w:headerReference w:type="default" r:id="rId9"/>
          <w:footerReference w:type="default" r:id="rId14"/>
          <w:footnotePr/>
          <w:endnotePr/>
          <w:type w:val="nextPage"/>
          <w:pgSz w:w="11906" w:h="16838" w:orient="portrait"/>
          <w:pgMar w:top="1508" w:right="1746" w:bottom="1395" w:left="1746" w:header="850" w:footer="992" w:gutter="0"/>
          <w:cols w:num="1" w:sep="0" w:space="720" w:equalWidth="1"/>
          <w:docGrid w:linePitch="360"/>
        </w:sectPr>
      </w:pPr>
      <w:r>
        <w:rPr>
          <w:rFonts w:ascii="宋体" w:hAnsi="宋体" w:cs="宋体"/>
          <w:b/>
          <w:color w:val="auto"/>
          <w:sz w:val="32"/>
          <w:szCs w:val="32"/>
          <w:highlight w:val="none"/>
        </w:rPr>
      </w:r>
      <w:r/>
    </w:p>
    <w:p>
      <w:pPr>
        <w:ind w:left="480"/>
        <w:jc w:val="right"/>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中小企业声明函（格式）：</w:t>
      </w:r>
      <w:r/>
    </w:p>
    <w:p>
      <w:pPr>
        <w:ind w:left="1480" w:right="1678"/>
        <w:jc w:val="center"/>
        <w:spacing w:before="156" w:after="156" w:line="360" w:lineRule="auto"/>
        <w:rPr>
          <w:rFonts w:ascii="宋体" w:hAnsi="宋体" w:cs="宋体"/>
          <w:b/>
          <w:bCs/>
          <w:color w:val="auto"/>
          <w:sz w:val="24"/>
          <w:highlight w:val="none"/>
          <w:lang w:val="zh-CN" w:bidi="zh-CN"/>
        </w:rPr>
      </w:pPr>
      <w:r/>
      <w:bookmarkStart w:id="609" w:name="_Toc8832"/>
      <w:r>
        <w:rPr>
          <w:rFonts w:hint="eastAsia" w:ascii="宋体" w:hAnsi="宋体" w:cs="宋体"/>
          <w:b/>
          <w:bCs/>
          <w:color w:val="auto"/>
          <w:sz w:val="24"/>
          <w:highlight w:val="none"/>
          <w:lang w:bidi="zh-CN"/>
        </w:rPr>
        <w:t xml:space="preserve">中小微</w:t>
      </w:r>
      <w:r>
        <w:rPr>
          <w:rFonts w:hint="eastAsia" w:ascii="宋体" w:hAnsi="宋体" w:cs="宋体"/>
          <w:b/>
          <w:bCs/>
          <w:color w:val="auto"/>
          <w:sz w:val="24"/>
          <w:highlight w:val="none"/>
          <w:lang w:val="zh-CN" w:bidi="zh-CN"/>
        </w:rPr>
        <w:t xml:space="preserve">企业声明函（</w:t>
      </w:r>
      <w:r>
        <w:rPr>
          <w:rFonts w:hint="eastAsia" w:ascii="宋体" w:hAnsi="宋体" w:cs="宋体"/>
          <w:b/>
          <w:bCs/>
          <w:color w:val="auto"/>
          <w:sz w:val="24"/>
          <w:highlight w:val="none"/>
          <w:lang w:bidi="zh-CN"/>
        </w:rPr>
        <w:t xml:space="preserve">工程</w:t>
      </w:r>
      <w:r>
        <w:rPr>
          <w:rFonts w:hint="eastAsia" w:ascii="宋体" w:hAnsi="宋体" w:cs="宋体"/>
          <w:b/>
          <w:bCs/>
          <w:color w:val="auto"/>
          <w:sz w:val="24"/>
          <w:highlight w:val="none"/>
          <w:lang w:val="zh-CN" w:bidi="zh-CN"/>
        </w:rPr>
        <w:t xml:space="preserve">）</w:t>
      </w:r>
      <w:bookmarkEnd w:id="609"/>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lang w:val="zh-CN" w:bidi="zh-CN"/>
        </w:rPr>
        <w:t xml:space="preserve">本公司（联合体）郑重声明，根据《政府采购促进中小企业发展管理办法》（财库﹝2020﹞46 号）的规定，本公司（联合体）参加</w:t>
      </w:r>
      <w:r>
        <w:rPr>
          <w:rFonts w:hint="eastAsia" w:ascii="宋体" w:hAnsi="宋体" w:cs="宋体"/>
          <w:bCs/>
          <w:color w:val="auto"/>
          <w:sz w:val="24"/>
          <w:highlight w:val="none"/>
          <w:u w:val="single"/>
          <w:lang w:val="zh-CN" w:bidi="zh-CN"/>
        </w:rPr>
        <w:t xml:space="preserve">（单位名称）</w:t>
      </w:r>
      <w:r>
        <w:rPr>
          <w:rFonts w:hint="eastAsia" w:ascii="宋体" w:hAnsi="宋体" w:cs="宋体"/>
          <w:bCs/>
          <w:color w:val="auto"/>
          <w:sz w:val="24"/>
          <w:highlight w:val="none"/>
          <w:lang w:val="zh-CN" w:bidi="zh-CN"/>
        </w:rPr>
        <w:t xml:space="preserve">的</w:t>
      </w:r>
      <w:r>
        <w:rPr>
          <w:rFonts w:hint="eastAsia" w:ascii="宋体" w:hAnsi="宋体" w:cs="宋体"/>
          <w:bCs/>
          <w:color w:val="auto"/>
          <w:sz w:val="24"/>
          <w:highlight w:val="none"/>
          <w:u w:val="single"/>
          <w:lang w:val="zh-CN" w:bidi="zh-CN"/>
        </w:rPr>
        <w:t xml:space="preserve">（项目名称）</w:t>
      </w:r>
      <w:r>
        <w:rPr>
          <w:rFonts w:hint="eastAsia" w:ascii="宋体" w:hAnsi="宋体" w:cs="宋体"/>
          <w:bCs/>
          <w:color w:val="auto"/>
          <w:sz w:val="24"/>
          <w:highlight w:val="none"/>
          <w:lang w:val="zh-CN" w:bidi="zh-CN"/>
        </w:rPr>
        <w:t xml:space="preserve">采购活动，</w:t>
      </w:r>
      <w:r>
        <w:rPr>
          <w:rFonts w:hint="eastAsia" w:ascii="宋体" w:hAnsi="宋体" w:cs="宋体"/>
          <w:bCs/>
          <w:color w:val="auto"/>
          <w:sz w:val="24"/>
          <w:highlight w:val="none"/>
          <w:lang w:bidi="zh-CN"/>
        </w:rPr>
        <w:t xml:space="preserve">工程的施工单位</w:t>
      </w:r>
      <w:r>
        <w:rPr>
          <w:rFonts w:hint="eastAsia" w:ascii="宋体" w:hAnsi="宋体" w:cs="宋体"/>
          <w:bCs/>
          <w:color w:val="auto"/>
          <w:sz w:val="24"/>
          <w:highlight w:val="none"/>
          <w:lang w:val="zh-CN" w:bidi="zh-CN"/>
        </w:rPr>
        <w:t xml:space="preserve">全部</w:t>
      </w:r>
      <w:r>
        <w:rPr>
          <w:rFonts w:hint="eastAsia" w:ascii="宋体" w:hAnsi="宋体" w:cs="宋体"/>
          <w:bCs/>
          <w:color w:val="auto"/>
          <w:sz w:val="24"/>
          <w:highlight w:val="none"/>
          <w:lang w:bidi="zh-CN"/>
        </w:rPr>
        <w:t xml:space="preserve">为</w:t>
      </w:r>
      <w:r>
        <w:rPr>
          <w:rFonts w:hint="eastAsia" w:ascii="宋体" w:hAnsi="宋体" w:cs="宋体"/>
          <w:bCs/>
          <w:color w:val="auto"/>
          <w:sz w:val="24"/>
          <w:highlight w:val="none"/>
          <w:lang w:val="zh-CN" w:bidi="zh-CN"/>
        </w:rPr>
        <w:t xml:space="preserve">符合政策要求的</w:t>
      </w:r>
      <w:r>
        <w:rPr>
          <w:rFonts w:hint="eastAsia" w:ascii="宋体" w:hAnsi="宋体" w:cs="宋体"/>
          <w:bCs/>
          <w:color w:val="auto"/>
          <w:sz w:val="24"/>
          <w:highlight w:val="none"/>
          <w:lang w:bidi="zh-CN"/>
        </w:rPr>
        <w:t xml:space="preserve">中小</w:t>
      </w:r>
      <w:r>
        <w:rPr>
          <w:rFonts w:hint="eastAsia" w:ascii="宋体" w:hAnsi="宋体" w:cs="宋体"/>
          <w:bCs/>
          <w:color w:val="auto"/>
          <w:sz w:val="24"/>
          <w:highlight w:val="none"/>
          <w:lang w:val="zh-CN" w:bidi="zh-CN"/>
        </w:rPr>
        <w:t xml:space="preserve">企业。相关企业的具体情况如下：</w:t>
      </w:r>
      <w:r/>
    </w:p>
    <w:p>
      <w:pPr>
        <w:ind w:firstLine="480"/>
        <w:jc w:val="left"/>
        <w:spacing w:line="360" w:lineRule="auto"/>
        <w:rPr>
          <w:rFonts w:ascii="宋体" w:hAnsi="宋体" w:cs="宋体"/>
          <w:color w:val="auto"/>
          <w:sz w:val="24"/>
          <w:highlight w:val="none"/>
        </w:rPr>
      </w:pPr>
      <w:r>
        <w:rPr>
          <w:rFonts w:hint="eastAsia" w:ascii="宋体" w:hAnsi="宋体" w:cs="宋体"/>
          <w:bCs/>
          <w:color w:val="auto"/>
          <w:sz w:val="24"/>
          <w:highlight w:val="none"/>
          <w:lang w:val="zh-CN" w:bidi="zh-CN"/>
        </w:rPr>
        <w:t xml:space="preserve">1.</w:t>
      </w:r>
      <w:r>
        <w:rPr>
          <w:rFonts w:hint="eastAsia" w:ascii="宋体" w:hAnsi="宋体" w:cs="宋体"/>
          <w:bCs/>
          <w:color w:val="auto"/>
          <w:sz w:val="24"/>
          <w:highlight w:val="none"/>
          <w:u w:val="single"/>
          <w:lang w:val="zh-CN" w:bidi="zh-CN"/>
        </w:rPr>
        <w:t xml:space="preserve">（标的名称）</w:t>
      </w:r>
      <w:r>
        <w:rPr>
          <w:rFonts w:hint="eastAsia" w:ascii="宋体" w:hAnsi="宋体" w:cs="宋体"/>
          <w:bCs/>
          <w:color w:val="auto"/>
          <w:sz w:val="24"/>
          <w:highlight w:val="none"/>
          <w:lang w:val="zh-CN" w:bidi="zh-CN"/>
        </w:rPr>
        <w:t xml:space="preserve">，属于</w:t>
      </w:r>
      <w:r>
        <w:rPr>
          <w:rFonts w:hint="eastAsia" w:ascii="宋体" w:hAnsi="宋体" w:cs="宋体"/>
          <w:bCs/>
          <w:color w:val="auto"/>
          <w:sz w:val="24"/>
          <w:highlight w:val="none"/>
          <w:u w:val="single"/>
          <w:lang w:bidi="zh-CN"/>
        </w:rPr>
        <w:t xml:space="preserve">建筑业</w:t>
      </w:r>
      <w:r>
        <w:rPr>
          <w:rFonts w:hint="eastAsia" w:ascii="宋体" w:hAnsi="宋体" w:cs="宋体"/>
          <w:bCs/>
          <w:color w:val="auto"/>
          <w:sz w:val="24"/>
          <w:highlight w:val="none"/>
          <w:lang w:val="zh-CN" w:bidi="zh-CN"/>
        </w:rPr>
        <w:t xml:space="preserve">行业；</w:t>
      </w:r>
      <w:r>
        <w:rPr>
          <w:rFonts w:hint="eastAsia" w:ascii="宋体" w:hAnsi="宋体" w:cs="宋体"/>
          <w:bCs/>
          <w:color w:val="auto"/>
          <w:sz w:val="24"/>
          <w:highlight w:val="none"/>
          <w:lang w:bidi="zh-CN"/>
        </w:rPr>
        <w:t xml:space="preserve">承建企业</w:t>
      </w:r>
      <w:r>
        <w:rPr>
          <w:rFonts w:hint="eastAsia" w:ascii="宋体" w:hAnsi="宋体" w:cs="宋体"/>
          <w:bCs/>
          <w:color w:val="auto"/>
          <w:sz w:val="24"/>
          <w:highlight w:val="none"/>
          <w:lang w:val="zh-CN" w:bidi="zh-CN"/>
        </w:rPr>
        <w:t xml:space="preserve">为</w:t>
      </w:r>
      <w:r>
        <w:rPr>
          <w:rFonts w:hint="eastAsia" w:ascii="宋体" w:hAnsi="宋体" w:cs="宋体"/>
          <w:bCs/>
          <w:color w:val="auto"/>
          <w:sz w:val="24"/>
          <w:highlight w:val="none"/>
          <w:u w:val="single"/>
          <w:lang w:bidi="zh-CN"/>
        </w:rPr>
        <w:t xml:space="preserve">     </w:t>
      </w:r>
      <w:r>
        <w:rPr>
          <w:rFonts w:hint="eastAsia" w:ascii="宋体" w:hAnsi="宋体" w:cs="宋体"/>
          <w:bCs/>
          <w:color w:val="auto"/>
          <w:sz w:val="24"/>
          <w:highlight w:val="none"/>
          <w:u w:val="single"/>
          <w:lang w:val="zh-CN" w:bidi="zh-CN"/>
        </w:rPr>
        <w:t xml:space="preserve">（企业名称）</w:t>
      </w:r>
      <w:r>
        <w:rPr>
          <w:rFonts w:hint="eastAsia" w:ascii="宋体" w:hAnsi="宋体" w:cs="宋体"/>
          <w:bCs/>
          <w:color w:val="auto"/>
          <w:sz w:val="24"/>
          <w:highlight w:val="none"/>
          <w:lang w:val="zh-CN" w:bidi="zh-CN"/>
        </w:rPr>
        <w:t xml:space="preserve">，营业收入为</w:t>
      </w:r>
      <w:r>
        <w:rPr>
          <w:rFonts w:hint="eastAsia" w:ascii="宋体" w:hAnsi="宋体" w:cs="宋体"/>
          <w:bCs/>
          <w:color w:val="auto"/>
          <w:sz w:val="24"/>
          <w:highlight w:val="none"/>
          <w:u w:val="single"/>
          <w:lang w:bidi="zh-CN"/>
        </w:rPr>
        <w:t xml:space="preserve">     </w:t>
      </w:r>
      <w:r>
        <w:rPr>
          <w:rFonts w:hint="eastAsia" w:ascii="宋体" w:hAnsi="宋体" w:cs="宋体"/>
          <w:bCs/>
          <w:color w:val="auto"/>
          <w:sz w:val="24"/>
          <w:highlight w:val="none"/>
          <w:lang w:val="zh-CN" w:bidi="zh-CN"/>
        </w:rPr>
        <w:t xml:space="preserve">万元，资产总额为</w:t>
      </w:r>
      <w:r>
        <w:rPr>
          <w:rFonts w:hint="eastAsia" w:ascii="宋体" w:hAnsi="宋体" w:cs="宋体"/>
          <w:bCs/>
          <w:color w:val="auto"/>
          <w:sz w:val="24"/>
          <w:highlight w:val="none"/>
          <w:u w:val="single"/>
          <w:lang w:bidi="zh-CN"/>
        </w:rPr>
        <w:t xml:space="preserve">      </w:t>
      </w:r>
      <w:r>
        <w:rPr>
          <w:rFonts w:hint="eastAsia" w:ascii="宋体" w:hAnsi="宋体" w:cs="宋体"/>
          <w:bCs/>
          <w:color w:val="auto"/>
          <w:sz w:val="24"/>
          <w:highlight w:val="none"/>
          <w:lang w:val="zh-CN" w:bidi="zh-CN"/>
        </w:rPr>
        <w:t xml:space="preserve">万元，属于</w:t>
      </w:r>
      <w:r>
        <w:rPr>
          <w:rFonts w:hint="eastAsia" w:ascii="宋体" w:hAnsi="宋体" w:cs="宋体"/>
          <w:bCs/>
          <w:color w:val="auto"/>
          <w:sz w:val="24"/>
          <w:highlight w:val="none"/>
          <w:u w:val="single"/>
          <w:lang w:bidi="zh-CN"/>
        </w:rPr>
        <w:t xml:space="preserve">         </w:t>
      </w:r>
      <w:r>
        <w:rPr>
          <w:rFonts w:hint="eastAsia" w:ascii="宋体" w:hAnsi="宋体" w:cs="宋体"/>
          <w:bCs/>
          <w:color w:val="auto"/>
          <w:sz w:val="24"/>
          <w:highlight w:val="none"/>
          <w:u w:val="single"/>
          <w:lang w:val="zh-CN" w:bidi="zh-CN"/>
        </w:rPr>
        <w:t xml:space="preserve">（</w:t>
      </w:r>
      <w:r>
        <w:rPr>
          <w:rFonts w:hint="eastAsia" w:ascii="宋体" w:hAnsi="宋体" w:cs="宋体"/>
          <w:bCs/>
          <w:color w:val="auto"/>
          <w:sz w:val="24"/>
          <w:highlight w:val="none"/>
          <w:u w:val="single"/>
          <w:lang w:bidi="zh-CN"/>
        </w:rPr>
        <w:t xml:space="preserve">中型企业、</w:t>
      </w:r>
      <w:r>
        <w:rPr>
          <w:rFonts w:hint="eastAsia" w:ascii="宋体" w:hAnsi="宋体" w:cs="宋体"/>
          <w:bCs/>
          <w:color w:val="auto"/>
          <w:sz w:val="24"/>
          <w:highlight w:val="none"/>
          <w:u w:val="single"/>
          <w:lang w:val="zh-CN" w:bidi="zh-CN"/>
        </w:rPr>
        <w:t xml:space="preserve">小型企业、微型企业）</w:t>
      </w:r>
      <w:r>
        <w:rPr>
          <w:rFonts w:hint="eastAsia" w:ascii="宋体" w:hAnsi="宋体" w:cs="宋体"/>
          <w:bCs/>
          <w:color w:val="auto"/>
          <w:sz w:val="24"/>
          <w:highlight w:val="none"/>
          <w:lang w:val="zh-CN" w:bidi="zh-CN"/>
        </w:rPr>
        <w:t xml:space="preserve">；</w:t>
      </w:r>
      <w:r/>
    </w:p>
    <w:p>
      <w:pPr>
        <w:ind w:firstLine="480"/>
        <w:jc w:val="left"/>
        <w:spacing w:before="2" w:line="360" w:lineRule="auto"/>
        <w:rPr>
          <w:rFonts w:ascii="宋体" w:hAnsi="宋体" w:cs="宋体"/>
          <w:color w:val="auto"/>
          <w:sz w:val="24"/>
          <w:highlight w:val="none"/>
        </w:rPr>
      </w:pPr>
      <w:r>
        <w:rPr>
          <w:rFonts w:hint="eastAsia" w:ascii="宋体" w:hAnsi="宋体" w:cs="宋体"/>
          <w:bCs/>
          <w:color w:val="auto"/>
          <w:sz w:val="24"/>
          <w:highlight w:val="none"/>
          <w:lang w:val="zh-CN" w:bidi="zh-CN"/>
        </w:rPr>
        <w:t xml:space="preserve">……</w:t>
      </w:r>
      <w:r/>
    </w:p>
    <w:p>
      <w:pPr>
        <w:ind w:firstLine="480"/>
        <w:jc w:val="left"/>
        <w:spacing w:before="2" w:line="360" w:lineRule="auto"/>
        <w:rPr>
          <w:rFonts w:ascii="宋体" w:hAnsi="宋体" w:cs="宋体"/>
          <w:color w:val="auto"/>
          <w:sz w:val="24"/>
          <w:highlight w:val="none"/>
        </w:rPr>
      </w:pPr>
      <w:r>
        <w:rPr>
          <w:rFonts w:hint="eastAsia" w:ascii="宋体" w:hAnsi="宋体" w:cs="宋体"/>
          <w:bCs/>
          <w:color w:val="auto"/>
          <w:sz w:val="24"/>
          <w:highlight w:val="none"/>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right"/>
        <w:spacing w:before="2" w:line="480" w:lineRule="auto"/>
        <w:rPr>
          <w:rFonts w:ascii="宋体" w:hAnsi="宋体" w:cs="宋体"/>
          <w:color w:val="auto"/>
          <w:sz w:val="24"/>
          <w:highlight w:val="none"/>
        </w:rPr>
      </w:pPr>
      <w:r>
        <w:rPr>
          <w:rFonts w:hint="eastAsia" w:ascii="宋体" w:hAnsi="宋体" w:cs="宋体"/>
          <w:bCs/>
          <w:color w:val="auto"/>
          <w:sz w:val="24"/>
          <w:highlight w:val="none"/>
          <w:lang w:val="zh-CN" w:bidi="zh-CN"/>
        </w:rPr>
        <w:t xml:space="preserve">企业名称（加盖CA电子公章）： </w:t>
      </w:r>
      <w:r/>
    </w:p>
    <w:p>
      <w:pPr>
        <w:ind w:firstLine="480"/>
        <w:jc w:val="right"/>
        <w:spacing w:before="2" w:line="480" w:lineRule="auto"/>
        <w:rPr>
          <w:rFonts w:ascii="宋体" w:hAnsi="宋体" w:cs="宋体"/>
          <w:color w:val="auto"/>
          <w:szCs w:val="21"/>
          <w:highlight w:val="none"/>
        </w:rPr>
      </w:pPr>
      <w:r>
        <w:rPr>
          <w:rFonts w:hint="eastAsia" w:ascii="宋体" w:hAnsi="宋体" w:cs="宋体"/>
          <w:bCs/>
          <w:color w:val="auto"/>
          <w:sz w:val="24"/>
          <w:highlight w:val="none"/>
          <w:lang w:val="zh-CN" w:bidi="zh-CN"/>
        </w:rPr>
        <w:t xml:space="preserve">日 期：</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注：（1）营业收入、资产总额填报上一年度数据，无上一年度数据的新成立企业可不填报。</w:t>
      </w:r>
      <w:r/>
    </w:p>
    <w:p>
      <w:pPr>
        <w:pStyle w:val="1075"/>
        <w:rPr>
          <w:rFonts w:ascii="宋体" w:hAnsi="宋体" w:cs="宋体"/>
          <w:color w:val="auto"/>
          <w:highlight w:val="none"/>
        </w:rPr>
      </w:pPr>
      <w:r>
        <w:rPr>
          <w:rFonts w:hint="eastAsia" w:ascii="宋体" w:hAnsi="宋体" w:cs="宋体"/>
          <w:color w:val="auto"/>
          <w:highlight w:val="none"/>
        </w:rPr>
        <w:t xml:space="preserve">（2）中小企业划分标准详见“工信部联企业〔2011〕300号通知中的《中小企业划型标准规定》。</w:t>
      </w:r>
      <w:bookmarkStart w:id="610" w:name="_Toc4248"/>
      <w:r/>
      <w:bookmarkEnd w:id="610"/>
      <w:r/>
      <w:r/>
    </w:p>
    <w:p>
      <w:pPr>
        <w:pStyle w:val="1075"/>
        <w:rPr>
          <w:rFonts w:ascii="宋体" w:hAnsi="宋体" w:cs="宋体"/>
          <w:color w:val="auto"/>
          <w:highlight w:val="none"/>
        </w:rPr>
      </w:pPr>
      <w:r>
        <w:rPr>
          <w:rFonts w:hint="eastAsia" w:ascii="宋体" w:hAnsi="宋体" w:cs="宋体"/>
          <w:color w:val="auto"/>
          <w:highlight w:val="none"/>
        </w:rPr>
        <w:t xml:space="preserve">（3）从业人员、营业收入、资产总额填报上一-年度数据，无上一年度数据的新成立企业可不填报。</w:t>
      </w:r>
      <w:r/>
    </w:p>
    <w:p>
      <w:pPr>
        <w:pStyle w:val="1075"/>
        <w:rPr>
          <w:rFonts w:ascii="宋体" w:hAnsi="宋体" w:cs="宋体"/>
          <w:color w:val="auto"/>
          <w:highlight w:val="none"/>
        </w:rPr>
      </w:pPr>
      <w:r>
        <w:rPr>
          <w:rFonts w:hint="eastAsia" w:ascii="宋体" w:hAnsi="宋体" w:cs="宋体"/>
          <w:color w:val="auto"/>
          <w:highlight w:val="none"/>
        </w:rPr>
        <w:t xml:space="preserve">（4）响应单位根据《政府采购促进中小企业发展管理办法》提供的“中小企业声明函”内容不实，属于提供虚假材料谋取中标、成交，依照《中华人民共和国政府采购法》等国家有关规定追究相应责任。</w:t>
      </w:r>
      <w:r/>
    </w:p>
    <w:p>
      <w:pPr>
        <w:pStyle w:val="1075"/>
        <w:rPr>
          <w:rFonts w:ascii="宋体" w:hAnsi="宋体" w:cs="宋体"/>
          <w:color w:val="auto"/>
          <w:highlight w:val="none"/>
        </w:rPr>
      </w:pPr>
      <w:r>
        <w:rPr>
          <w:rFonts w:hint="eastAsia" w:ascii="宋体" w:hAnsi="宋体" w:cs="宋体"/>
          <w:color w:val="auto"/>
          <w:highlight w:val="none"/>
        </w:rPr>
        <w:t xml:space="preserve">（5）若本项目为专门面向中小企业的，响应单位必须提供中小企业声明函，否则作无效响应文件处理。</w:t>
      </w:r>
      <w:r/>
    </w:p>
    <w:p>
      <w:pPr>
        <w:pStyle w:val="1075"/>
        <w:rPr>
          <w:rFonts w:ascii="宋体" w:hAnsi="宋体" w:cs="宋体"/>
          <w:color w:val="auto"/>
          <w:highlight w:val="none"/>
        </w:rPr>
      </w:pPr>
      <w:r>
        <w:rPr>
          <w:rFonts w:ascii="宋体" w:hAnsi="宋体" w:cs="宋体"/>
          <w:color w:val="auto"/>
          <w:highlight w:val="none"/>
        </w:rPr>
      </w:r>
      <w:r/>
    </w:p>
    <w:p>
      <w:pPr>
        <w:pStyle w:val="1075"/>
        <w:rPr>
          <w:rFonts w:ascii="宋体" w:hAnsi="宋体" w:cs="宋体"/>
          <w:color w:val="auto"/>
          <w:highlight w:val="none"/>
        </w:rPr>
      </w:pPr>
      <w:r>
        <w:rPr>
          <w:rFonts w:ascii="宋体" w:hAnsi="宋体" w:cs="宋体"/>
          <w:color w:val="auto"/>
          <w:highlight w:val="none"/>
        </w:rPr>
      </w:r>
      <w:r/>
    </w:p>
    <w:p>
      <w:pPr>
        <w:pStyle w:val="1070"/>
        <w:spacing w:before="156" w:after="156" w:line="360" w:lineRule="exact"/>
        <w:rPr>
          <w:rFonts w:ascii="宋体" w:hAnsi="宋体" w:cs="宋体"/>
          <w:color w:val="auto"/>
          <w:sz w:val="24"/>
          <w:szCs w:val="24"/>
          <w:highlight w:val="none"/>
        </w:rPr>
        <w:outlineLvl w:val="9"/>
      </w:pPr>
      <w:r>
        <w:rPr>
          <w:rFonts w:ascii="宋体" w:hAnsi="宋体" w:cs="宋体"/>
          <w:color w:val="auto"/>
          <w:sz w:val="24"/>
          <w:szCs w:val="24"/>
          <w:highlight w:val="none"/>
        </w:rPr>
      </w:r>
      <w:r/>
    </w:p>
    <w:p>
      <w:pPr>
        <w:jc w:val="center"/>
        <w:spacing w:line="400" w:lineRule="exact"/>
        <w:rPr>
          <w:rFonts w:hAnsi="宋体"/>
          <w:b/>
          <w:bCs/>
          <w:color w:val="auto"/>
          <w:sz w:val="32"/>
          <w:szCs w:val="32"/>
          <w:highlight w:val="none"/>
        </w:rPr>
        <w:outlineLvl w:val="2"/>
      </w:pPr>
      <w:r>
        <w:rPr>
          <w:rFonts w:hint="eastAsia" w:ascii="宋体" w:hAnsi="宋体" w:cs="宋体"/>
          <w:color w:val="auto"/>
          <w:sz w:val="24"/>
          <w:highlight w:val="none"/>
        </w:rPr>
        <w:br w:type="page" w:clear="all"/>
      </w:r>
      <w:r>
        <w:rPr>
          <w:rFonts w:hint="eastAsia" w:hAnsi="宋体"/>
          <w:b/>
          <w:bCs/>
          <w:color w:val="auto"/>
          <w:sz w:val="32"/>
          <w:szCs w:val="32"/>
          <w:highlight w:val="none"/>
        </w:rPr>
        <w:t xml:space="preserve">监狱和戒毒企业（监狱企业）证明</w:t>
      </w:r>
      <w:r/>
    </w:p>
    <w:p>
      <w:pPr>
        <w:jc w:val="center"/>
        <w:spacing w:line="400" w:lineRule="exact"/>
        <w:rPr>
          <w:color w:val="auto"/>
          <w:sz w:val="24"/>
          <w:highlight w:val="none"/>
        </w:rPr>
      </w:pPr>
      <w:r>
        <w:rPr>
          <w:rFonts w:hint="eastAsia"/>
          <w:color w:val="auto"/>
          <w:sz w:val="24"/>
          <w:highlight w:val="none"/>
        </w:rPr>
        <w:t xml:space="preserve">（注：符合条件的监狱企业请提供，不符合的不提供）</w:t>
      </w:r>
      <w:r/>
    </w:p>
    <w:p>
      <w:pPr>
        <w:pStyle w:val="1234"/>
        <w:spacing w:before="156" w:line="400" w:lineRule="exact"/>
        <w:rPr>
          <w:rFonts w:hAnsi="宋体" w:cs="宋体"/>
          <w:b/>
          <w:bCs/>
          <w:color w:val="auto"/>
          <w:sz w:val="24"/>
          <w:szCs w:val="24"/>
          <w:highlight w:val="none"/>
        </w:rPr>
      </w:pPr>
      <w:r>
        <w:rPr>
          <w:rFonts w:hint="eastAsia" w:hAnsi="宋体" w:cs="宋体"/>
          <w:b/>
          <w:bCs/>
          <w:color w:val="auto"/>
          <w:sz w:val="24"/>
          <w:szCs w:val="24"/>
          <w:highlight w:val="none"/>
        </w:rPr>
        <w:t xml:space="preserve">提供由省级以上监狱管理局、戒毒管理局（含新疆生产建设兵团）出具的属于监狱企业的证明文件。</w:t>
      </w:r>
      <w:r/>
    </w:p>
    <w:p>
      <w:pPr>
        <w:spacing w:line="400" w:lineRule="exact"/>
        <w:rPr>
          <w:rFonts w:hAnsi="宋体"/>
          <w:color w:val="auto"/>
          <w:sz w:val="32"/>
          <w:szCs w:val="32"/>
          <w:highlight w:val="none"/>
        </w:rPr>
        <w:outlineLvl w:val="2"/>
      </w:pPr>
      <w:r>
        <w:rPr>
          <w:rFonts w:hAnsi="宋体"/>
          <w:color w:val="auto"/>
          <w:sz w:val="32"/>
          <w:szCs w:val="32"/>
          <w:highlight w:val="none"/>
        </w:rPr>
      </w:r>
      <w:r/>
    </w:p>
    <w:p>
      <w:pPr>
        <w:pStyle w:val="1095"/>
        <w:rPr>
          <w:rFonts w:hAnsi="宋体"/>
          <w:color w:val="auto"/>
          <w:sz w:val="32"/>
          <w:szCs w:val="32"/>
          <w:highlight w:val="none"/>
        </w:rPr>
      </w:pPr>
      <w:r>
        <w:rPr>
          <w:rFonts w:hAnsi="宋体"/>
          <w:color w:val="auto"/>
          <w:sz w:val="32"/>
          <w:szCs w:val="32"/>
          <w:highlight w:val="none"/>
        </w:rPr>
      </w:r>
      <w:r/>
    </w:p>
    <w:p>
      <w:pPr>
        <w:rPr>
          <w:color w:val="auto"/>
          <w:highlight w:val="none"/>
        </w:rPr>
      </w:pPr>
      <w:r>
        <w:rPr>
          <w:color w:val="auto"/>
          <w:highlight w:val="none"/>
        </w:rPr>
      </w:r>
      <w:r/>
    </w:p>
    <w:p>
      <w:pPr>
        <w:jc w:val="center"/>
        <w:spacing w:line="400" w:lineRule="exact"/>
        <w:rPr>
          <w:rFonts w:hAnsi="宋体"/>
          <w:b/>
          <w:bCs/>
          <w:color w:val="auto"/>
          <w:sz w:val="32"/>
          <w:szCs w:val="32"/>
          <w:highlight w:val="none"/>
        </w:rPr>
        <w:outlineLvl w:val="2"/>
      </w:pPr>
      <w:r>
        <w:rPr>
          <w:rFonts w:hint="eastAsia" w:hAnsi="宋体"/>
          <w:b/>
          <w:bCs/>
          <w:color w:val="auto"/>
          <w:sz w:val="32"/>
          <w:szCs w:val="32"/>
          <w:highlight w:val="none"/>
        </w:rPr>
        <w:t xml:space="preserve">残疾人福利性单位声明函</w:t>
      </w:r>
      <w:r/>
    </w:p>
    <w:p>
      <w:pPr>
        <w:jc w:val="center"/>
        <w:spacing w:line="400" w:lineRule="exact"/>
        <w:rPr>
          <w:color w:val="auto"/>
          <w:szCs w:val="21"/>
          <w:highlight w:val="none"/>
        </w:rPr>
      </w:pPr>
      <w:r>
        <w:rPr>
          <w:rFonts w:hint="eastAsia"/>
          <w:color w:val="auto"/>
          <w:szCs w:val="21"/>
          <w:highlight w:val="none"/>
        </w:rPr>
        <w:t xml:space="preserve">（注：符合条件的残疾人福利性单位请提供本函，不符合的不提供本函）</w:t>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ind w:firstLine="420"/>
        <w:spacing w:line="400" w:lineRule="exact"/>
        <w:rPr>
          <w:color w:val="auto"/>
          <w:sz w:val="24"/>
          <w:szCs w:val="24"/>
          <w:highlight w:val="none"/>
        </w:rPr>
      </w:pPr>
      <w:r>
        <w:rPr>
          <w:rFonts w:hint="eastAsia"/>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color w:val="auto"/>
          <w:sz w:val="24"/>
          <w:szCs w:val="24"/>
          <w:highlight w:val="none"/>
        </w:rPr>
      </w:pPr>
      <w:r>
        <w:rPr>
          <w:color w:val="auto"/>
          <w:sz w:val="24"/>
          <w:szCs w:val="24"/>
          <w:highlight w:val="none"/>
        </w:rPr>
      </w:r>
      <w:r/>
    </w:p>
    <w:p>
      <w:pPr>
        <w:ind w:firstLine="420"/>
        <w:spacing w:line="400" w:lineRule="exact"/>
        <w:rPr>
          <w:color w:val="auto"/>
          <w:sz w:val="24"/>
          <w:szCs w:val="24"/>
          <w:highlight w:val="none"/>
        </w:rPr>
      </w:pPr>
      <w:r>
        <w:rPr>
          <w:rFonts w:hint="eastAsia"/>
          <w:color w:val="auto"/>
          <w:sz w:val="24"/>
          <w:szCs w:val="24"/>
          <w:highlight w:val="none"/>
        </w:rPr>
        <w:t xml:space="preserve">本单位对上述声明的真实性负责。如有虚假，将依法承担相应责任。</w:t>
      </w:r>
      <w:r/>
    </w:p>
    <w:p>
      <w:pPr>
        <w:ind w:firstLine="420"/>
        <w:spacing w:line="400" w:lineRule="exact"/>
        <w:rPr>
          <w:color w:val="auto"/>
          <w:sz w:val="24"/>
          <w:szCs w:val="24"/>
          <w:highlight w:val="none"/>
        </w:rPr>
      </w:pPr>
      <w:r>
        <w:rPr>
          <w:color w:val="auto"/>
          <w:sz w:val="24"/>
          <w:szCs w:val="24"/>
          <w:highlight w:val="none"/>
        </w:rPr>
      </w:r>
      <w:r/>
    </w:p>
    <w:p>
      <w:pPr>
        <w:ind w:firstLine="420"/>
        <w:spacing w:line="400" w:lineRule="exact"/>
        <w:rPr>
          <w:color w:val="auto"/>
          <w:sz w:val="24"/>
          <w:szCs w:val="24"/>
          <w:highlight w:val="none"/>
        </w:rPr>
      </w:pPr>
      <w:r>
        <w:rPr>
          <w:color w:val="auto"/>
          <w:sz w:val="24"/>
          <w:szCs w:val="24"/>
          <w:highlight w:val="none"/>
        </w:rPr>
      </w:r>
      <w:r/>
    </w:p>
    <w:p>
      <w:pPr>
        <w:spacing w:line="400" w:lineRule="exact"/>
        <w:rPr>
          <w:color w:val="auto"/>
          <w:sz w:val="24"/>
          <w:szCs w:val="24"/>
          <w:highlight w:val="none"/>
        </w:rPr>
      </w:pPr>
      <w:r>
        <w:rPr>
          <w:color w:val="auto"/>
          <w:sz w:val="24"/>
          <w:szCs w:val="24"/>
          <w:highlight w:val="none"/>
        </w:rPr>
      </w:r>
      <w:r/>
    </w:p>
    <w:p>
      <w:pPr>
        <w:ind w:firstLine="4620"/>
        <w:spacing w:line="400" w:lineRule="exact"/>
        <w:rPr>
          <w:color w:val="auto"/>
          <w:sz w:val="24"/>
          <w:szCs w:val="24"/>
          <w:highlight w:val="none"/>
        </w:rPr>
      </w:pPr>
      <w:r>
        <w:rPr>
          <w:rFonts w:hint="eastAsia"/>
          <w:color w:val="auto"/>
          <w:sz w:val="24"/>
          <w:szCs w:val="24"/>
          <w:highlight w:val="none"/>
        </w:rPr>
        <w:t xml:space="preserve">单位名称（盖章）：</w:t>
      </w:r>
      <w:r/>
    </w:p>
    <w:p>
      <w:pPr>
        <w:spacing w:line="400" w:lineRule="exact"/>
        <w:rPr>
          <w:color w:val="auto"/>
          <w:sz w:val="24"/>
          <w:szCs w:val="24"/>
          <w:highlight w:val="none"/>
        </w:rPr>
      </w:pPr>
      <w:r>
        <w:rPr>
          <w:color w:val="auto"/>
          <w:sz w:val="24"/>
          <w:szCs w:val="24"/>
          <w:highlight w:val="none"/>
        </w:rPr>
      </w:r>
      <w:r/>
    </w:p>
    <w:p>
      <w:pPr>
        <w:ind w:firstLine="4620"/>
        <w:spacing w:line="400" w:lineRule="exact"/>
        <w:rPr>
          <w:color w:val="auto"/>
          <w:sz w:val="24"/>
          <w:szCs w:val="24"/>
          <w:highlight w:val="none"/>
        </w:rPr>
      </w:pPr>
      <w:r>
        <w:rPr>
          <w:rFonts w:hint="eastAsia"/>
          <w:color w:val="auto"/>
          <w:sz w:val="24"/>
          <w:szCs w:val="24"/>
          <w:highlight w:val="none"/>
        </w:rPr>
        <w:t xml:space="preserve">日  期：</w:t>
      </w:r>
      <w:r/>
    </w:p>
    <w:p>
      <w:pPr>
        <w:rPr>
          <w:rFonts w:hint="eastAsia" w:ascii="宋体" w:hAnsi="宋体" w:cs="宋体"/>
          <w:color w:val="auto"/>
          <w:sz w:val="28"/>
          <w:szCs w:val="28"/>
          <w:highlight w:val="none"/>
        </w:rPr>
        <w:outlineLvl w:val="2"/>
      </w:pPr>
      <w:r>
        <w:rPr>
          <w:rFonts w:hint="eastAsia"/>
          <w:color w:val="auto"/>
          <w:szCs w:val="21"/>
          <w:highlight w:val="none"/>
        </w:rPr>
        <w:br w:type="page" w:clear="all"/>
      </w:r>
      <w:r>
        <w:rPr>
          <w:rFonts w:hint="eastAsia" w:ascii="宋体" w:hAnsi="宋体" w:cs="宋体"/>
          <w:color w:val="auto"/>
          <w:sz w:val="28"/>
          <w:szCs w:val="28"/>
          <w:highlight w:val="none"/>
        </w:rPr>
        <w:t xml:space="preserve">3.6采购需求响应表</w:t>
      </w:r>
      <w:r/>
    </w:p>
    <w:p>
      <w:pPr>
        <w:jc w:val="center"/>
        <w:keepLines w:val="0"/>
        <w:keepNext w:val="0"/>
        <w:pageBreakBefore w:val="0"/>
        <w:spacing w:before="240" w:after="240" w:line="400" w:lineRule="exact"/>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采购需求响应表</w:t>
      </w:r>
      <w:r/>
    </w:p>
    <w:tbl>
      <w:tblPr>
        <w:tblStyle w:val="870"/>
        <w:tblW w:w="8662" w:type="dxa"/>
        <w:tblInd w:w="-15" w:type="dxa"/>
        <w:tblLayout w:type="fixed"/>
        <w:tblCellMar>
          <w:left w:w="15" w:type="dxa"/>
          <w:top w:w="15" w:type="dxa"/>
          <w:right w:w="15" w:type="dxa"/>
          <w:bottom w:w="0" w:type="dxa"/>
        </w:tblCellMar>
        <w:tblLook w:val="04A0" w:firstRow="1" w:lastRow="0" w:firstColumn="1" w:lastColumn="0" w:noHBand="0" w:noVBand="1"/>
      </w:tblPr>
      <w:tblGrid>
        <w:gridCol w:w="2165"/>
        <w:gridCol w:w="2166"/>
        <w:gridCol w:w="2165"/>
        <w:gridCol w:w="2166"/>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5" w:type="dxa"/>
            <w:vAlign w:val="center"/>
            <w:textDirection w:val="lrTb"/>
            <w:noWrap/>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5" w:type="dxa"/>
            <w:vAlign w:val="center"/>
            <w:textDirection w:val="lrTb"/>
            <w:noWrap/>
          </w:tcPr>
          <w:p>
            <w:pPr>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ascii="宋体" w:hAnsi="宋体" w:cs="宋体"/>
                <w:bCs/>
                <w:color w:val="auto"/>
                <w:sz w:val="24"/>
                <w:highlight w:val="none"/>
              </w:rPr>
            </w:pPr>
            <w:r>
              <w:rPr>
                <w:rFonts w:ascii="宋体" w:hAnsi="宋体" w:cs="宋体"/>
                <w:bCs/>
                <w:color w:val="auto"/>
                <w:sz w:val="24"/>
                <w:highlight w:val="none"/>
              </w:rPr>
            </w:r>
            <w:r/>
          </w:p>
        </w:tc>
      </w:tr>
    </w:tbl>
    <w:p>
      <w:pPr>
        <w:rPr>
          <w:rFonts w:ascii="宋体" w:hAnsi="宋体" w:cs="宋体"/>
          <w:b/>
          <w:color w:val="auto"/>
          <w:sz w:val="24"/>
          <w:highlight w:val="none"/>
        </w:rPr>
      </w:pPr>
      <w:r>
        <w:rPr>
          <w:rFonts w:ascii="宋体" w:hAnsi="宋体" w:cs="宋体"/>
          <w:b/>
          <w:color w:val="auto"/>
          <w:sz w:val="24"/>
          <w:highlight w:val="none"/>
        </w:rPr>
      </w:r>
      <w:r/>
    </w:p>
    <w:p>
      <w:pPr>
        <w:ind w:left="360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供应商（加盖CA电子公章）：</w:t>
      </w:r>
      <w:r/>
    </w:p>
    <w:p>
      <w:pPr>
        <w:ind w:left="3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p>
    <w:p>
      <w:pPr>
        <w:ind w:left="3600"/>
        <w:spacing w:line="360" w:lineRule="auto"/>
        <w:rPr>
          <w:rFonts w:ascii="宋体" w:hAnsi="宋体" w:cs="宋体"/>
          <w:color w:val="auto"/>
          <w:sz w:val="24"/>
          <w:highlight w:val="none"/>
        </w:rPr>
      </w:pPr>
      <w:r>
        <w:rPr>
          <w:rFonts w:ascii="宋体" w:hAnsi="宋体" w:cs="宋体"/>
          <w:color w:val="auto"/>
          <w:sz w:val="24"/>
          <w:highlight w:val="none"/>
        </w:rPr>
      </w:r>
      <w:r/>
    </w:p>
    <w:p>
      <w:pPr>
        <w:ind w:left="48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spacing w:line="520" w:lineRule="exact"/>
        <w:rPr>
          <w:rFonts w:ascii="宋体" w:hAnsi="宋体" w:cs="宋体"/>
          <w:bCs/>
          <w:color w:val="auto"/>
          <w:sz w:val="24"/>
          <w:highlight w:val="none"/>
        </w:rPr>
      </w:pPr>
      <w:r>
        <w:rPr>
          <w:rFonts w:hint="eastAsia" w:ascii="宋体" w:hAnsi="宋体" w:cs="宋体"/>
          <w:bCs/>
          <w:color w:val="auto"/>
          <w:sz w:val="24"/>
          <w:highlight w:val="none"/>
        </w:rPr>
        <w:t xml:space="preserve">注：（1）本表不得删除；</w:t>
      </w:r>
      <w:r/>
    </w:p>
    <w:p>
      <w:pPr>
        <w:ind w:firstLine="480"/>
        <w:spacing w:line="520" w:lineRule="exact"/>
        <w:rPr>
          <w:rFonts w:ascii="宋体" w:hAnsi="宋体" w:cs="宋体"/>
          <w:bCs/>
          <w:color w:val="auto"/>
          <w:sz w:val="24"/>
          <w:highlight w:val="none"/>
        </w:rPr>
      </w:pPr>
      <w:r>
        <w:rPr>
          <w:rFonts w:hint="eastAsia" w:ascii="宋体" w:hAnsi="宋体" w:cs="宋体"/>
          <w:bCs/>
          <w:color w:val="auto"/>
          <w:sz w:val="24"/>
          <w:highlight w:val="none"/>
        </w:rPr>
        <w:t xml:space="preserve">   （2）如无任何偏离，请于本表 “偏离说明”中注明“无偏离”；</w:t>
      </w:r>
      <w:r/>
    </w:p>
    <w:p>
      <w:pPr>
        <w:ind w:firstLine="480"/>
        <w:spacing w:line="520" w:lineRule="exact"/>
        <w:rPr>
          <w:rFonts w:ascii="宋体" w:hAnsi="宋体" w:cs="宋体"/>
          <w:bCs/>
          <w:color w:val="auto"/>
          <w:sz w:val="24"/>
          <w:highlight w:val="none"/>
        </w:rPr>
      </w:pPr>
      <w:r>
        <w:rPr>
          <w:rFonts w:hint="eastAsia" w:ascii="宋体" w:hAnsi="宋体" w:cs="宋体"/>
          <w:bCs/>
          <w:color w:val="auto"/>
          <w:sz w:val="24"/>
          <w:highlight w:val="none"/>
        </w:rPr>
        <w:t xml:space="preserve">   （3）如有偏离项，请于本表中列明偏离内容，如需要可自行延长，其余无偏离内容不须赘述。</w:t>
      </w:r>
      <w:r/>
    </w:p>
    <w:p>
      <w:pPr>
        <w:rPr>
          <w:rFonts w:ascii="宋体" w:hAnsi="宋体" w:cs="宋体"/>
          <w:color w:val="auto"/>
          <w:sz w:val="24"/>
          <w:highlight w:val="none"/>
        </w:rPr>
      </w:pPr>
      <w:r>
        <w:rPr>
          <w:rFonts w:ascii="宋体" w:hAnsi="宋体" w:cs="宋体"/>
          <w:color w:val="auto"/>
          <w:sz w:val="24"/>
          <w:highlight w:val="none"/>
        </w:rPr>
      </w:r>
      <w:r/>
    </w:p>
    <w:p>
      <w:pPr>
        <w:pStyle w:val="1075"/>
        <w:ind w:firstLine="0"/>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8"/>
          <w:szCs w:val="28"/>
          <w:highlight w:val="none"/>
        </w:rPr>
        <w:outlineLvl w:val="2"/>
      </w:pPr>
      <w:r>
        <w:rPr>
          <w:rFonts w:hint="eastAsia" w:ascii="宋体" w:hAnsi="宋体" w:cs="宋体"/>
          <w:color w:val="auto"/>
          <w:sz w:val="24"/>
          <w:highlight w:val="none"/>
        </w:rPr>
        <w:br w:type="page" w:clear="all"/>
      </w:r>
      <w:r>
        <w:rPr>
          <w:rFonts w:hint="eastAsia" w:ascii="宋体" w:hAnsi="宋体" w:cs="宋体"/>
          <w:color w:val="auto"/>
          <w:sz w:val="28"/>
          <w:szCs w:val="28"/>
          <w:highlight w:val="none"/>
        </w:rPr>
        <w:t xml:space="preserve">3.7诚信投标承诺书</w:t>
      </w:r>
      <w:r/>
    </w:p>
    <w:p>
      <w:pPr>
        <w:jc w:val="center"/>
        <w:keepLines/>
        <w:keepNext/>
        <w:spacing w:before="240" w:after="120" w:line="360" w:lineRule="auto"/>
        <w:rPr>
          <w:rFonts w:ascii="宋体" w:hAnsi="宋体" w:cs="宋体"/>
          <w:b/>
          <w:bCs/>
          <w:color w:val="auto"/>
          <w:highlight w:val="none"/>
        </w:rPr>
      </w:pPr>
      <w:r>
        <w:rPr>
          <w:rFonts w:hint="eastAsia" w:ascii="宋体" w:hAnsi="宋体" w:cs="宋体"/>
          <w:b/>
          <w:bCs/>
          <w:color w:val="auto"/>
          <w:sz w:val="28"/>
          <w:szCs w:val="28"/>
          <w:highlight w:val="none"/>
        </w:rPr>
        <w:t xml:space="preserve">诚信投标承诺书</w:t>
      </w:r>
      <w:r/>
    </w:p>
    <w:p>
      <w:pPr>
        <w:jc w:val="left"/>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32"/>
          <w:highlight w:val="none"/>
          <w:u w:val="single"/>
        </w:rPr>
        <w:t xml:space="preserve">（采购人）    </w:t>
      </w:r>
      <w:r>
        <w:rPr>
          <w:rFonts w:hint="eastAsia" w:ascii="宋体" w:hAnsi="宋体" w:cs="宋体"/>
          <w:color w:val="auto"/>
          <w:sz w:val="24"/>
          <w:szCs w:val="32"/>
          <w:highlight w:val="none"/>
        </w:rPr>
        <w:t xml:space="preserve">：</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24"/>
          <w:highlight w:val="none"/>
          <w:u w:val="single"/>
        </w:rPr>
        <w:t xml:space="preserve">       （供应商名称）</w:t>
      </w:r>
      <w:r>
        <w:rPr>
          <w:rFonts w:hint="eastAsia" w:ascii="宋体" w:hAnsi="宋体" w:cs="宋体"/>
          <w:color w:val="auto"/>
          <w:sz w:val="24"/>
          <w:szCs w:val="32"/>
          <w:highlight w:val="none"/>
        </w:rPr>
        <w:t xml:space="preserve">自愿参加</w:t>
      </w:r>
      <w:r>
        <w:rPr>
          <w:rFonts w:hint="eastAsia" w:ascii="宋体" w:hAnsi="宋体" w:cs="宋体"/>
          <w:color w:val="auto"/>
          <w:sz w:val="24"/>
          <w:szCs w:val="32"/>
          <w:highlight w:val="none"/>
          <w:u w:val="single"/>
        </w:rPr>
        <w:t xml:space="preserve">              （项目名称）</w:t>
      </w:r>
      <w:r>
        <w:rPr>
          <w:rFonts w:hint="eastAsia" w:ascii="宋体" w:hAnsi="宋体" w:cs="宋体"/>
          <w:color w:val="auto"/>
          <w:sz w:val="24"/>
          <w:szCs w:val="32"/>
          <w:highlight w:val="none"/>
        </w:rPr>
        <w:t xml:space="preserve">的竞争性磋商活动，并做如下承诺：</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1.在本项目的竞争性磋商活动中，自觉遵守相关法律法规的规定，遵循诚实信用的原则。</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2.响应文件中所有内容均为我单位真实意思表达，且均已核实并保证真实有效。</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3.无法律、法规及磋商文件中规定的限制参加投标的行为。</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4.不以他人名义投标或者以其他方式弄虚作假，骗取中标。</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5.不与采购人（招标代理）或其他供应商相互串通投标，损害国家利益、社会公共利益或者他人的合法权益。</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6.公平竞争，不背后搞小动作，无恶意投诉、诋毁、排挤其他供应商的行为。</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7.不向采购人（招标代理）或者磋商小组成员行贿、打招呼，以谋取中标。</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8.</w:t>
      </w:r>
      <w:r>
        <w:rPr>
          <w:rFonts w:hint="eastAsia" w:ascii="宋体" w:hAnsi="宋体" w:cs="宋体"/>
          <w:color w:val="auto"/>
          <w:sz w:val="24"/>
          <w:szCs w:val="32"/>
          <w:highlight w:val="none"/>
          <w:lang w:val="en-US" w:eastAsia="zh-CN"/>
        </w:rPr>
        <w:t xml:space="preserve">成交</w:t>
      </w:r>
      <w:r>
        <w:rPr>
          <w:rFonts w:hint="eastAsia" w:ascii="宋体" w:hAnsi="宋体" w:cs="宋体"/>
          <w:color w:val="auto"/>
          <w:sz w:val="24"/>
          <w:szCs w:val="32"/>
          <w:highlight w:val="none"/>
        </w:rPr>
        <w:t xml:space="preserve">后在响应文件规定的时间内依法与采购人签订合同。</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9.不进行缺乏事实根据或法律依据的投诉。</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10.本公司拟派往本工程的项目负责人现阶段没有担任其他在建工程项目的项目经理。</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11.本公司拟派往本工程的项目负责人未同时在两个或者两个以上单位受聘或者执业。</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12.无建筑市场不良行为在江苏建设工程招标网、泰州市住房和城乡建设局官网、泰州市公共资源交易平台上被曝光。</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13.</w:t>
      </w:r>
      <w:r>
        <w:rPr>
          <w:rFonts w:hint="eastAsia" w:ascii="宋体" w:hAnsi="宋体" w:cs="宋体"/>
          <w:color w:val="auto"/>
          <w:sz w:val="24"/>
          <w:szCs w:val="32"/>
          <w:highlight w:val="none"/>
          <w:lang w:val="en-US" w:eastAsia="zh-CN"/>
        </w:rPr>
        <w:t xml:space="preserve">我</w:t>
      </w:r>
      <w:r>
        <w:rPr>
          <w:rFonts w:hint="eastAsia" w:ascii="宋体" w:hAnsi="宋体" w:cs="宋体"/>
          <w:color w:val="auto"/>
          <w:sz w:val="24"/>
          <w:szCs w:val="32"/>
          <w:highlight w:val="none"/>
        </w:rPr>
        <w:t xml:space="preserve">单位</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具备履行合同所必需的专业技术能力</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且</w:t>
      </w:r>
      <w:r>
        <w:rPr>
          <w:rFonts w:hint="eastAsia" w:ascii="宋体" w:hAnsi="宋体" w:cs="宋体"/>
          <w:color w:val="auto"/>
          <w:sz w:val="24"/>
          <w:szCs w:val="32"/>
          <w:highlight w:val="none"/>
        </w:rPr>
        <w:t xml:space="preserve">不存在竞争性磋商文件第二章供应商须知第1.4.</w:t>
      </w:r>
      <w:r>
        <w:rPr>
          <w:rFonts w:hint="eastAsia" w:ascii="宋体" w:hAnsi="宋体" w:cs="宋体"/>
          <w:color w:val="auto"/>
          <w:sz w:val="24"/>
          <w:szCs w:val="32"/>
          <w:highlight w:val="none"/>
          <w:lang w:val="en-US" w:eastAsia="zh-CN"/>
        </w:rPr>
        <w:t xml:space="preserve">4</w:t>
      </w:r>
      <w:r>
        <w:rPr>
          <w:rFonts w:hint="eastAsia" w:ascii="宋体" w:hAnsi="宋体" w:cs="宋体"/>
          <w:color w:val="auto"/>
          <w:sz w:val="24"/>
          <w:szCs w:val="32"/>
          <w:highlight w:val="none"/>
        </w:rPr>
        <w:t xml:space="preserve">项规定的情形。</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14.符合竞争性磋商公告3（4）、3（6）、3（7）的规定。</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如我单位违反上述承诺内容，自愿接受采购人、主管部门调查处理，并承担由此引发的一切后果。</w:t>
      </w:r>
      <w:r/>
    </w:p>
    <w:p>
      <w:pPr>
        <w:ind w:firstLine="4515"/>
        <w:keepLines w:val="0"/>
        <w:keepNext w:val="0"/>
        <w:pageBreakBefore w:val="0"/>
        <w:spacing w:line="312" w:lineRule="auto"/>
        <w:widowControl w:val="off"/>
        <w:rPr>
          <w:rFonts w:ascii="宋体" w:hAnsi="宋体" w:cs="宋体"/>
          <w:color w:val="auto"/>
          <w:sz w:val="24"/>
          <w:szCs w:val="32"/>
          <w:highlight w:val="none"/>
        </w:rPr>
      </w:pPr>
      <w:r>
        <w:rPr>
          <w:rFonts w:ascii="宋体" w:hAnsi="宋体" w:cs="宋体"/>
          <w:color w:val="auto"/>
          <w:sz w:val="24"/>
          <w:szCs w:val="32"/>
          <w:highlight w:val="none"/>
        </w:rPr>
      </w:r>
      <w:r/>
    </w:p>
    <w:p>
      <w:pPr>
        <w:ind w:firstLine="420"/>
        <w:keepLines w:val="0"/>
        <w:keepNext w:val="0"/>
        <w:pageBreakBefore w:val="0"/>
        <w:spacing w:line="312" w:lineRule="auto"/>
        <w:widowControl w:val="off"/>
        <w:rPr>
          <w:rFonts w:ascii="宋体" w:hAnsi="宋体" w:cs="宋体"/>
          <w:color w:val="auto"/>
          <w:sz w:val="24"/>
          <w:szCs w:val="32"/>
          <w:highlight w:val="none"/>
          <w:u w:val="single"/>
        </w:rPr>
      </w:pPr>
      <w:r>
        <w:rPr>
          <w:rFonts w:hint="eastAsia" w:ascii="宋体" w:hAnsi="宋体" w:cs="宋体"/>
          <w:color w:val="auto"/>
          <w:sz w:val="24"/>
          <w:szCs w:val="24"/>
          <w:highlight w:val="none"/>
        </w:rPr>
        <w:t xml:space="preserve">承诺人（盖法人公章）</w:t>
      </w:r>
      <w:r>
        <w:rPr>
          <w:rFonts w:hint="eastAsia" w:ascii="宋体" w:hAnsi="宋体" w:cs="宋体"/>
          <w:color w:val="auto"/>
          <w:sz w:val="24"/>
          <w:szCs w:val="32"/>
          <w:highlight w:val="none"/>
        </w:rPr>
        <w:t xml:space="preserve">：</w:t>
      </w:r>
      <w:r/>
    </w:p>
    <w:p>
      <w:pPr>
        <w:ind w:firstLine="420"/>
        <w:keepLines w:val="0"/>
        <w:keepNext w:val="0"/>
        <w:pageBreakBefore w:val="0"/>
        <w:spacing w:line="312"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法定代表人或其委托代理人（签字或盖章）：</w:t>
      </w:r>
      <w:r/>
    </w:p>
    <w:p>
      <w:pPr>
        <w:ind w:left="3" w:right="1" w:firstLine="420"/>
        <w:keepLines w:val="0"/>
        <w:keepNext w:val="0"/>
        <w:pageBreakBefore w:val="0"/>
        <w:spacing w:line="312"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年    月    日 </w:t>
      </w:r>
      <w:r/>
    </w:p>
    <w:p>
      <w:pPr>
        <w:spacing w:after="60"/>
        <w:rPr>
          <w:rFonts w:ascii="宋体" w:hAnsi="宋体" w:cs="宋体"/>
          <w:color w:val="auto"/>
          <w:sz w:val="24"/>
          <w:highlight w:val="none"/>
        </w:rPr>
      </w:pPr>
      <w:r>
        <w:rPr>
          <w:rFonts w:ascii="宋体" w:hAnsi="宋体" w:cs="宋体"/>
          <w:color w:val="auto"/>
          <w:sz w:val="24"/>
          <w:highlight w:val="none"/>
        </w:rPr>
      </w:r>
      <w:r/>
    </w:p>
    <w:p>
      <w:pPr>
        <w:spacing w:after="60"/>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3.8企业综合实力证明材料</w:t>
      </w:r>
      <w:r/>
    </w:p>
    <w:p>
      <w:pPr>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3.9 技术标</w:t>
      </w:r>
      <w:r/>
    </w:p>
    <w:p>
      <w:pPr>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3.10供应商认为应列入响应文件的其他材料</w:t>
      </w:r>
      <w:r/>
    </w:p>
    <w:sectPr>
      <w:footerReference w:type="default" r:id="rId15"/>
      <w:footnotePr/>
      <w:endnotePr/>
      <w:type w:val="nextPage"/>
      <w:pgSz w:w="11906" w:h="16838" w:orient="portrait"/>
      <w:pgMar w:top="1508" w:right="1746" w:bottom="1395" w:left="1746"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楷体_GB2312">
    <w:panose1 w:val="02010609060101010101"/>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w:r/>
  </w:p>
  <w:p>
    <w:pPr>
      <w:pStyle w:val="11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p>
    <w:pPr>
      <w:pStyle w:val="111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74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74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2">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18"/>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link w:val="919"/>
    <w:uiPriority w:val="9"/>
    <w:qFormat/>
    <w:pPr>
      <w:keepLines/>
      <w:keepNext/>
      <w:spacing w:before="360" w:after="200"/>
      <w:outlineLvl w:val="1"/>
    </w:pPr>
    <w:rPr>
      <w:rFonts w:ascii="Arial" w:hAnsi="Arial" w:eastAsia="Arial" w:cs="Arial"/>
      <w:sz w:val="34"/>
    </w:rPr>
  </w:style>
  <w:style w:type="paragraph" w:styleId="862">
    <w:name w:val="Heading 3"/>
    <w:basedOn w:val="859"/>
    <w:next w:val="859"/>
    <w:link w:val="920"/>
    <w:uiPriority w:val="9"/>
    <w:qFormat/>
    <w:pPr>
      <w:keepLines/>
      <w:keepNext/>
      <w:spacing w:before="320" w:after="200"/>
      <w:outlineLvl w:val="2"/>
    </w:pPr>
    <w:rPr>
      <w:rFonts w:ascii="Arial" w:hAnsi="Arial" w:eastAsia="Arial" w:cs="Arial"/>
      <w:sz w:val="30"/>
      <w:szCs w:val="30"/>
    </w:rPr>
  </w:style>
  <w:style w:type="paragraph" w:styleId="863">
    <w:name w:val="Heading 4"/>
    <w:basedOn w:val="859"/>
    <w:next w:val="859"/>
    <w:link w:val="921"/>
    <w:uiPriority w:val="9"/>
    <w:qFormat/>
    <w:pPr>
      <w:keepLines/>
      <w:keepNext/>
      <w:spacing w:before="320" w:after="200"/>
      <w:outlineLvl w:val="3"/>
    </w:pPr>
    <w:rPr>
      <w:rFonts w:ascii="Arial" w:hAnsi="Arial" w:eastAsia="Arial" w:cs="Arial"/>
      <w:b/>
      <w:bCs/>
      <w:sz w:val="26"/>
      <w:szCs w:val="26"/>
    </w:rPr>
  </w:style>
  <w:style w:type="paragraph" w:styleId="864">
    <w:name w:val="Heading 5"/>
    <w:basedOn w:val="859"/>
    <w:next w:val="859"/>
    <w:link w:val="922"/>
    <w:uiPriority w:val="9"/>
    <w:qFormat/>
    <w:pPr>
      <w:keepLines/>
      <w:keepNext/>
      <w:spacing w:before="320" w:after="200"/>
      <w:outlineLvl w:val="4"/>
    </w:pPr>
    <w:rPr>
      <w:rFonts w:ascii="Arial" w:hAnsi="Arial" w:eastAsia="Arial" w:cs="Arial"/>
      <w:b/>
      <w:bCs/>
      <w:sz w:val="24"/>
    </w:rPr>
  </w:style>
  <w:style w:type="paragraph" w:styleId="865">
    <w:name w:val="Heading 6"/>
    <w:basedOn w:val="859"/>
    <w:next w:val="859"/>
    <w:link w:val="923"/>
    <w:uiPriority w:val="9"/>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24"/>
    <w:uiPriority w:val="9"/>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25"/>
    <w:uiPriority w:val="9"/>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26"/>
    <w:uiPriority w:val="9"/>
    <w:qFormat/>
    <w:pPr>
      <w:keepLines/>
      <w:keepNext/>
      <w:spacing w:before="320" w:after="200"/>
      <w:outlineLvl w:val="8"/>
    </w:pPr>
    <w:rPr>
      <w:rFonts w:ascii="Arial" w:hAnsi="Arial" w:eastAsia="Arial" w:cs="Arial"/>
      <w:i/>
      <w:iCs/>
      <w:szCs w:val="21"/>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spacing w:after="57"/>
    </w:pPr>
  </w:style>
  <w:style w:type="paragraph" w:styleId="872">
    <w:name w:val="Caption"/>
    <w:basedOn w:val="859"/>
    <w:next w:val="859"/>
    <w:uiPriority w:val="35"/>
    <w:qFormat/>
    <w:pPr>
      <w:spacing w:line="276" w:lineRule="auto"/>
    </w:pPr>
    <w:rPr>
      <w:b/>
      <w:bCs/>
      <w:color w:val="4f81bd"/>
      <w:sz w:val="18"/>
      <w:szCs w:val="18"/>
    </w:rPr>
  </w:style>
  <w:style w:type="paragraph" w:styleId="873">
    <w:name w:val="Body Text"/>
    <w:basedOn w:val="859"/>
    <w:uiPriority w:val="0"/>
    <w:qFormat/>
    <w:pPr>
      <w:spacing w:after="120"/>
    </w:pPr>
    <w:rPr>
      <w:rFonts w:ascii="Calibri" w:hAnsi="Calibri"/>
      <w:sz w:val="20"/>
    </w:rPr>
  </w:style>
  <w:style w:type="paragraph" w:styleId="874">
    <w:name w:val="toc 5"/>
    <w:basedOn w:val="859"/>
    <w:next w:val="859"/>
    <w:uiPriority w:val="39"/>
    <w:unhideWhenUsed/>
    <w:qFormat/>
    <w:pPr>
      <w:ind w:left="1134"/>
      <w:spacing w:after="57"/>
    </w:pPr>
  </w:style>
  <w:style w:type="paragraph" w:styleId="875">
    <w:name w:val="toc 3"/>
    <w:basedOn w:val="859"/>
    <w:next w:val="859"/>
    <w:uiPriority w:val="39"/>
    <w:unhideWhenUsed/>
    <w:qFormat/>
    <w:pPr>
      <w:ind w:left="567"/>
      <w:spacing w:after="57"/>
    </w:pPr>
  </w:style>
  <w:style w:type="paragraph" w:styleId="876">
    <w:name w:val="toc 8"/>
    <w:basedOn w:val="859"/>
    <w:next w:val="859"/>
    <w:uiPriority w:val="39"/>
    <w:unhideWhenUsed/>
    <w:qFormat/>
    <w:pPr>
      <w:ind w:left="1984"/>
      <w:spacing w:after="57"/>
    </w:pPr>
  </w:style>
  <w:style w:type="paragraph" w:styleId="877">
    <w:name w:val="endnote text"/>
    <w:basedOn w:val="859"/>
    <w:link w:val="927"/>
    <w:uiPriority w:val="99"/>
    <w:unhideWhenUsed/>
    <w:qFormat/>
    <w:rPr>
      <w:sz w:val="20"/>
    </w:rPr>
  </w:style>
  <w:style w:type="paragraph" w:styleId="878">
    <w:name w:val="Balloon Text"/>
    <w:basedOn w:val="859"/>
    <w:link w:val="1233"/>
    <w:uiPriority w:val="99"/>
    <w:semiHidden/>
    <w:unhideWhenUsed/>
    <w:qFormat/>
    <w:rPr>
      <w:sz w:val="18"/>
      <w:szCs w:val="18"/>
    </w:rPr>
  </w:style>
  <w:style w:type="paragraph" w:styleId="879">
    <w:name w:val="Footer"/>
    <w:basedOn w:val="859"/>
    <w:link w:val="928"/>
    <w:uiPriority w:val="99"/>
    <w:unhideWhenUsed/>
    <w:qFormat/>
    <w:pPr>
      <w:tabs>
        <w:tab w:val="center" w:pos="7143" w:leader="none"/>
        <w:tab w:val="right" w:pos="14287" w:leader="none"/>
      </w:tabs>
    </w:pPr>
  </w:style>
  <w:style w:type="paragraph" w:styleId="880">
    <w:name w:val="Header"/>
    <w:basedOn w:val="859"/>
    <w:link w:val="929"/>
    <w:uiPriority w:val="99"/>
    <w:unhideWhenUsed/>
    <w:qFormat/>
    <w:pPr>
      <w:tabs>
        <w:tab w:val="center" w:pos="7143" w:leader="none"/>
        <w:tab w:val="right" w:pos="14287" w:leader="none"/>
      </w:tabs>
    </w:pPr>
  </w:style>
  <w:style w:type="paragraph" w:styleId="881">
    <w:name w:val="toc 1"/>
    <w:basedOn w:val="859"/>
    <w:next w:val="859"/>
    <w:uiPriority w:val="39"/>
    <w:unhideWhenUsed/>
    <w:qFormat/>
    <w:pPr>
      <w:spacing w:after="57"/>
    </w:pPr>
  </w:style>
  <w:style w:type="paragraph" w:styleId="882">
    <w:name w:val="toc 4"/>
    <w:basedOn w:val="859"/>
    <w:next w:val="859"/>
    <w:uiPriority w:val="39"/>
    <w:unhideWhenUsed/>
    <w:qFormat/>
    <w:pPr>
      <w:ind w:left="850"/>
      <w:spacing w:after="57"/>
    </w:pPr>
  </w:style>
  <w:style w:type="paragraph" w:styleId="883">
    <w:name w:val="Subtitle"/>
    <w:basedOn w:val="859"/>
    <w:next w:val="859"/>
    <w:link w:val="930"/>
    <w:uiPriority w:val="11"/>
    <w:qFormat/>
    <w:pPr>
      <w:spacing w:before="200" w:after="200"/>
    </w:pPr>
    <w:rPr>
      <w:sz w:val="24"/>
    </w:rPr>
  </w:style>
  <w:style w:type="paragraph" w:styleId="884">
    <w:name w:val="footnote text"/>
    <w:basedOn w:val="859"/>
    <w:link w:val="931"/>
    <w:uiPriority w:val="99"/>
    <w:unhideWhenUsed/>
    <w:qFormat/>
    <w:pPr>
      <w:spacing w:after="40"/>
    </w:pPr>
    <w:rPr>
      <w:sz w:val="18"/>
    </w:rPr>
  </w:style>
  <w:style w:type="paragraph" w:styleId="885">
    <w:name w:val="toc 6"/>
    <w:basedOn w:val="859"/>
    <w:next w:val="859"/>
    <w:uiPriority w:val="39"/>
    <w:unhideWhenUsed/>
    <w:qFormat/>
    <w:pPr>
      <w:ind w:left="1417"/>
      <w:spacing w:after="57"/>
    </w:pPr>
  </w:style>
  <w:style w:type="paragraph" w:styleId="886">
    <w:name w:val="table of figures"/>
    <w:basedOn w:val="859"/>
    <w:next w:val="859"/>
    <w:uiPriority w:val="99"/>
    <w:unhideWhenUsed/>
    <w:qFormat/>
  </w:style>
  <w:style w:type="paragraph" w:styleId="887">
    <w:name w:val="toc 2"/>
    <w:basedOn w:val="859"/>
    <w:next w:val="859"/>
    <w:uiPriority w:val="39"/>
    <w:unhideWhenUsed/>
    <w:qFormat/>
    <w:pPr>
      <w:ind w:left="283"/>
      <w:spacing w:after="57"/>
    </w:pPr>
  </w:style>
  <w:style w:type="paragraph" w:styleId="888">
    <w:name w:val="toc 9"/>
    <w:basedOn w:val="859"/>
    <w:next w:val="859"/>
    <w:uiPriority w:val="39"/>
    <w:unhideWhenUsed/>
    <w:qFormat/>
    <w:pPr>
      <w:ind w:left="2268"/>
      <w:spacing w:after="57"/>
    </w:pPr>
  </w:style>
  <w:style w:type="paragraph" w:styleId="889">
    <w:name w:val="Normal (Web)"/>
    <w:basedOn w:val="859"/>
    <w:uiPriority w:val="0"/>
    <w:unhideWhenUsed/>
    <w:qFormat/>
    <w:pPr>
      <w:jc w:val="left"/>
      <w:spacing w:before="100" w:beforeAutospacing="1" w:after="100" w:afterAutospacing="1"/>
      <w:widowControl/>
    </w:pPr>
    <w:rPr>
      <w:rFonts w:ascii="宋体" w:hAnsi="宋体" w:cs="宋体"/>
      <w:sz w:val="24"/>
    </w:rPr>
  </w:style>
  <w:style w:type="paragraph" w:styleId="890">
    <w:name w:val="Title"/>
    <w:basedOn w:val="859"/>
    <w:next w:val="859"/>
    <w:link w:val="932"/>
    <w:uiPriority w:val="10"/>
    <w:qFormat/>
    <w:pPr>
      <w:contextualSpacing/>
      <w:spacing w:before="300" w:after="200"/>
    </w:pPr>
    <w:rPr>
      <w:sz w:val="48"/>
      <w:szCs w:val="48"/>
    </w:rPr>
  </w:style>
  <w:style w:type="paragraph" w:styleId="891">
    <w:name w:val="Body Text First Indent"/>
    <w:basedOn w:val="873"/>
    <w:uiPriority w:val="0"/>
    <w:qFormat/>
    <w:pPr>
      <w:ind w:firstLine="200"/>
      <w:spacing w:line="360" w:lineRule="auto"/>
    </w:pPr>
    <w:rPr>
      <w:rFonts w:ascii="仿宋_GB2312" w:hAnsi="Arial" w:eastAsia="仿宋_GB2312"/>
      <w:sz w:val="30"/>
      <w:szCs w:val="30"/>
    </w:rPr>
  </w:style>
  <w:style w:type="table" w:styleId="892">
    <w:name w:val="Table Grid"/>
    <w:uiPriority w:val="59"/>
    <w:qFormat/>
    <w:tblPr>
      <w:tblCellMar>
        <w:left w:w="0" w:type="dxa"/>
        <w:top w:w="0" w:type="dxa"/>
        <w:right w:w="0" w:type="dxa"/>
        <w:bottom w:w="0" w:type="dxa"/>
      </w:tblCellMar>
    </w:tblPr>
  </w:style>
  <w:style w:type="character" w:styleId="893">
    <w:name w:val="Strong"/>
    <w:basedOn w:val="869"/>
    <w:uiPriority w:val="22"/>
    <w:qFormat/>
    <w:rPr>
      <w:b/>
    </w:rPr>
  </w:style>
  <w:style w:type="character" w:styleId="894">
    <w:name w:val="endnote reference"/>
    <w:uiPriority w:val="99"/>
    <w:unhideWhenUsed/>
    <w:qFormat/>
    <w:rPr>
      <w:vertAlign w:val="superscript"/>
    </w:rPr>
  </w:style>
  <w:style w:type="character" w:styleId="895">
    <w:name w:val="Hyperlink"/>
    <w:uiPriority w:val="99"/>
    <w:unhideWhenUsed/>
    <w:qFormat/>
    <w:rPr>
      <w:color w:val="0000ff"/>
      <w:u w:val="single"/>
    </w:rPr>
  </w:style>
  <w:style w:type="character" w:styleId="896">
    <w:name w:val="footnote reference"/>
    <w:uiPriority w:val="99"/>
    <w:unhideWhenUsed/>
    <w:qFormat/>
    <w:rPr>
      <w:vertAlign w:val="superscript"/>
    </w:rPr>
  </w:style>
  <w:style w:type="character" w:styleId="897" w:customStyle="1">
    <w:name w:val="Heading 1 Char"/>
    <w:uiPriority w:val="9"/>
    <w:qFormat/>
    <w:rPr>
      <w:rFonts w:ascii="Arial" w:hAnsi="Arial" w:eastAsia="Arial" w:cs="Arial"/>
      <w:sz w:val="40"/>
      <w:szCs w:val="40"/>
    </w:rPr>
  </w:style>
  <w:style w:type="character" w:styleId="898" w:customStyle="1">
    <w:name w:val="Heading 2 Char"/>
    <w:uiPriority w:val="9"/>
    <w:qFormat/>
    <w:rPr>
      <w:rFonts w:ascii="Arial" w:hAnsi="Arial" w:eastAsia="Arial" w:cs="Arial"/>
      <w:sz w:val="34"/>
    </w:rPr>
  </w:style>
  <w:style w:type="character" w:styleId="899" w:customStyle="1">
    <w:name w:val="Heading 3 Char"/>
    <w:uiPriority w:val="9"/>
    <w:qFormat/>
    <w:rPr>
      <w:rFonts w:ascii="Arial" w:hAnsi="Arial" w:eastAsia="Arial" w:cs="Arial"/>
      <w:sz w:val="30"/>
      <w:szCs w:val="30"/>
    </w:rPr>
  </w:style>
  <w:style w:type="character" w:styleId="900" w:customStyle="1">
    <w:name w:val="Heading 4 Char"/>
    <w:uiPriority w:val="9"/>
    <w:qFormat/>
    <w:rPr>
      <w:rFonts w:ascii="Arial" w:hAnsi="Arial" w:eastAsia="Arial" w:cs="Arial"/>
      <w:b/>
      <w:bCs/>
      <w:sz w:val="26"/>
      <w:szCs w:val="26"/>
    </w:rPr>
  </w:style>
  <w:style w:type="character" w:styleId="901" w:customStyle="1">
    <w:name w:val="Heading 5 Char"/>
    <w:uiPriority w:val="9"/>
    <w:qFormat/>
    <w:rPr>
      <w:rFonts w:ascii="Arial" w:hAnsi="Arial" w:eastAsia="Arial" w:cs="Arial"/>
      <w:b/>
      <w:bCs/>
      <w:sz w:val="24"/>
      <w:szCs w:val="24"/>
    </w:rPr>
  </w:style>
  <w:style w:type="character" w:styleId="902" w:customStyle="1">
    <w:name w:val="Heading 6 Char"/>
    <w:uiPriority w:val="9"/>
    <w:qFormat/>
    <w:rPr>
      <w:rFonts w:ascii="Arial" w:hAnsi="Arial" w:eastAsia="Arial" w:cs="Arial"/>
      <w:b/>
      <w:bCs/>
      <w:sz w:val="22"/>
      <w:szCs w:val="22"/>
    </w:rPr>
  </w:style>
  <w:style w:type="character" w:styleId="903" w:customStyle="1">
    <w:name w:val="Heading 7 Char"/>
    <w:uiPriority w:val="9"/>
    <w:qFormat/>
    <w:rPr>
      <w:rFonts w:ascii="Arial" w:hAnsi="Arial" w:eastAsia="Arial" w:cs="Arial"/>
      <w:b/>
      <w:bCs/>
      <w:i/>
      <w:iCs/>
      <w:sz w:val="22"/>
      <w:szCs w:val="22"/>
    </w:rPr>
  </w:style>
  <w:style w:type="character" w:styleId="904" w:customStyle="1">
    <w:name w:val="Heading 8 Char"/>
    <w:uiPriority w:val="9"/>
    <w:qFormat/>
    <w:rPr>
      <w:rFonts w:ascii="Arial" w:hAnsi="Arial" w:eastAsia="Arial" w:cs="Arial"/>
      <w:i/>
      <w:iCs/>
      <w:sz w:val="22"/>
      <w:szCs w:val="22"/>
    </w:rPr>
  </w:style>
  <w:style w:type="character" w:styleId="905" w:customStyle="1">
    <w:name w:val="Heading 9 Char"/>
    <w:uiPriority w:val="9"/>
    <w:qFormat/>
    <w:rPr>
      <w:rFonts w:ascii="Arial" w:hAnsi="Arial" w:eastAsia="Arial" w:cs="Arial"/>
      <w:i/>
      <w:iCs/>
      <w:sz w:val="21"/>
      <w:szCs w:val="21"/>
    </w:rPr>
  </w:style>
  <w:style w:type="paragraph" w:styleId="906">
    <w:name w:val="List Paragraph"/>
    <w:basedOn w:val="859"/>
    <w:uiPriority w:val="34"/>
    <w:qFormat/>
    <w:pPr>
      <w:contextualSpacing/>
      <w:ind w:left="720"/>
    </w:pPr>
  </w:style>
  <w:style w:type="paragraph" w:styleId="907">
    <w:name w:val="No Spacing"/>
    <w:uiPriority w:val="1"/>
    <w:qFormat/>
    <w:rPr>
      <w:rFonts w:hint="default" w:ascii="Times New Roman" w:hAnsi="Times New Roman" w:eastAsia="宋体" w:cs="Times New Roman"/>
      <w:lang w:val="en-US" w:eastAsia="zh-CN" w:bidi="ar-SA"/>
    </w:rPr>
  </w:style>
  <w:style w:type="character" w:styleId="908" w:customStyle="1">
    <w:name w:val="Title Char"/>
    <w:uiPriority w:val="10"/>
    <w:qFormat/>
    <w:rPr>
      <w:sz w:val="48"/>
      <w:szCs w:val="48"/>
    </w:rPr>
  </w:style>
  <w:style w:type="character" w:styleId="909" w:customStyle="1">
    <w:name w:val="Subtitle Char"/>
    <w:uiPriority w:val="11"/>
    <w:qFormat/>
    <w:rPr>
      <w:sz w:val="24"/>
      <w:szCs w:val="24"/>
    </w:rPr>
  </w:style>
  <w:style w:type="paragraph" w:styleId="910">
    <w:name w:val="Quote"/>
    <w:basedOn w:val="859"/>
    <w:next w:val="859"/>
    <w:link w:val="938"/>
    <w:uiPriority w:val="29"/>
    <w:qFormat/>
    <w:pPr>
      <w:ind w:left="720" w:right="720"/>
    </w:pPr>
    <w:rPr>
      <w:i/>
    </w:rPr>
  </w:style>
  <w:style w:type="character" w:styleId="911" w:customStyle="1">
    <w:name w:val="Quote Char"/>
    <w:uiPriority w:val="29"/>
    <w:qFormat/>
    <w:rPr>
      <w:i/>
    </w:rPr>
  </w:style>
  <w:style w:type="paragraph" w:styleId="912">
    <w:name w:val="Intense Quote"/>
    <w:basedOn w:val="859"/>
    <w:next w:val="859"/>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Intense Quote Char"/>
    <w:uiPriority w:val="30"/>
    <w:qFormat/>
    <w:rPr>
      <w:i/>
    </w:rPr>
  </w:style>
  <w:style w:type="character" w:styleId="914" w:customStyle="1">
    <w:name w:val="Header Char"/>
    <w:uiPriority w:val="99"/>
    <w:qFormat/>
  </w:style>
  <w:style w:type="character" w:styleId="915" w:customStyle="1">
    <w:name w:val="Caption Char"/>
    <w:uiPriority w:val="99"/>
    <w:qFormat/>
  </w:style>
  <w:style w:type="character" w:styleId="916" w:customStyle="1">
    <w:name w:val="Footnote Text Char"/>
    <w:uiPriority w:val="99"/>
    <w:qFormat/>
    <w:rPr>
      <w:sz w:val="18"/>
    </w:rPr>
  </w:style>
  <w:style w:type="character" w:styleId="917" w:customStyle="1">
    <w:name w:val="Endnote Text Char"/>
    <w:uiPriority w:val="99"/>
    <w:qFormat/>
    <w:rPr>
      <w:sz w:val="20"/>
    </w:rPr>
  </w:style>
  <w:style w:type="character" w:styleId="918" w:customStyle="1">
    <w:name w:val="标题 1 Char"/>
    <w:link w:val="860"/>
    <w:uiPriority w:val="9"/>
    <w:qFormat/>
    <w:rPr>
      <w:rFonts w:ascii="Arial" w:hAnsi="Arial" w:eastAsia="Arial" w:cs="Arial"/>
      <w:sz w:val="40"/>
      <w:szCs w:val="40"/>
    </w:rPr>
  </w:style>
  <w:style w:type="character" w:styleId="919" w:customStyle="1">
    <w:name w:val="标题 2 Char"/>
    <w:link w:val="861"/>
    <w:uiPriority w:val="9"/>
    <w:qFormat/>
    <w:rPr>
      <w:rFonts w:ascii="Arial" w:hAnsi="Arial" w:eastAsia="Arial" w:cs="Arial"/>
      <w:sz w:val="34"/>
    </w:rPr>
  </w:style>
  <w:style w:type="character" w:styleId="920" w:customStyle="1">
    <w:name w:val="标题 3 Char"/>
    <w:link w:val="862"/>
    <w:uiPriority w:val="9"/>
    <w:qFormat/>
    <w:rPr>
      <w:rFonts w:ascii="Arial" w:hAnsi="Arial" w:eastAsia="Arial" w:cs="Arial"/>
      <w:sz w:val="30"/>
      <w:szCs w:val="30"/>
    </w:rPr>
  </w:style>
  <w:style w:type="character" w:styleId="921" w:customStyle="1">
    <w:name w:val="标题 4 Char"/>
    <w:link w:val="863"/>
    <w:uiPriority w:val="9"/>
    <w:qFormat/>
    <w:rPr>
      <w:rFonts w:ascii="Arial" w:hAnsi="Arial" w:eastAsia="Arial" w:cs="Arial"/>
      <w:b/>
      <w:bCs/>
      <w:sz w:val="26"/>
      <w:szCs w:val="26"/>
    </w:rPr>
  </w:style>
  <w:style w:type="character" w:styleId="922" w:customStyle="1">
    <w:name w:val="标题 5 Char"/>
    <w:link w:val="864"/>
    <w:uiPriority w:val="9"/>
    <w:qFormat/>
    <w:rPr>
      <w:rFonts w:ascii="Arial" w:hAnsi="Arial" w:eastAsia="Arial" w:cs="Arial"/>
      <w:b/>
      <w:bCs/>
      <w:sz w:val="24"/>
      <w:szCs w:val="24"/>
    </w:rPr>
  </w:style>
  <w:style w:type="character" w:styleId="923" w:customStyle="1">
    <w:name w:val="标题 6 Char"/>
    <w:link w:val="865"/>
    <w:uiPriority w:val="9"/>
    <w:qFormat/>
    <w:rPr>
      <w:rFonts w:ascii="Arial" w:hAnsi="Arial" w:eastAsia="Arial" w:cs="Arial"/>
      <w:b/>
      <w:bCs/>
      <w:sz w:val="22"/>
      <w:szCs w:val="22"/>
    </w:rPr>
  </w:style>
  <w:style w:type="character" w:styleId="924" w:customStyle="1">
    <w:name w:val="标题 7 Char"/>
    <w:link w:val="866"/>
    <w:uiPriority w:val="9"/>
    <w:qFormat/>
    <w:rPr>
      <w:rFonts w:ascii="Arial" w:hAnsi="Arial" w:eastAsia="Arial" w:cs="Arial"/>
      <w:b/>
      <w:bCs/>
      <w:i/>
      <w:iCs/>
      <w:sz w:val="22"/>
      <w:szCs w:val="22"/>
    </w:rPr>
  </w:style>
  <w:style w:type="character" w:styleId="925" w:customStyle="1">
    <w:name w:val="标题 8 Char"/>
    <w:link w:val="867"/>
    <w:uiPriority w:val="9"/>
    <w:qFormat/>
    <w:rPr>
      <w:rFonts w:ascii="Arial" w:hAnsi="Arial" w:eastAsia="Arial" w:cs="Arial"/>
      <w:i/>
      <w:iCs/>
      <w:sz w:val="22"/>
      <w:szCs w:val="22"/>
    </w:rPr>
  </w:style>
  <w:style w:type="character" w:styleId="926" w:customStyle="1">
    <w:name w:val="标题 9 Char"/>
    <w:link w:val="868"/>
    <w:uiPriority w:val="9"/>
    <w:qFormat/>
    <w:rPr>
      <w:rFonts w:ascii="Arial" w:hAnsi="Arial" w:eastAsia="Arial" w:cs="Arial"/>
      <w:i/>
      <w:iCs/>
      <w:sz w:val="21"/>
      <w:szCs w:val="21"/>
    </w:rPr>
  </w:style>
  <w:style w:type="character" w:styleId="927" w:customStyle="1">
    <w:name w:val="尾注文本 Char"/>
    <w:link w:val="877"/>
    <w:uiPriority w:val="99"/>
    <w:qFormat/>
    <w:rPr>
      <w:sz w:val="20"/>
    </w:rPr>
  </w:style>
  <w:style w:type="character" w:styleId="928" w:customStyle="1">
    <w:name w:val="页脚 Char1"/>
    <w:link w:val="879"/>
    <w:uiPriority w:val="99"/>
    <w:qFormat/>
  </w:style>
  <w:style w:type="character" w:styleId="929" w:customStyle="1">
    <w:name w:val="页眉 Char1"/>
    <w:link w:val="880"/>
    <w:uiPriority w:val="99"/>
    <w:qFormat/>
  </w:style>
  <w:style w:type="character" w:styleId="930" w:customStyle="1">
    <w:name w:val="副标题 Char"/>
    <w:link w:val="883"/>
    <w:uiPriority w:val="11"/>
    <w:qFormat/>
    <w:rPr>
      <w:sz w:val="24"/>
      <w:szCs w:val="24"/>
    </w:rPr>
  </w:style>
  <w:style w:type="character" w:styleId="931" w:customStyle="1">
    <w:name w:val="脚注文本 Char"/>
    <w:link w:val="884"/>
    <w:uiPriority w:val="99"/>
    <w:qFormat/>
    <w:rPr>
      <w:sz w:val="18"/>
    </w:rPr>
  </w:style>
  <w:style w:type="character" w:styleId="932" w:customStyle="1">
    <w:name w:val="标题 Char"/>
    <w:link w:val="890"/>
    <w:uiPriority w:val="10"/>
    <w:qFormat/>
    <w:rPr>
      <w:sz w:val="48"/>
      <w:szCs w:val="48"/>
    </w:rPr>
  </w:style>
  <w:style w:type="character" w:styleId="933" w:customStyle="1">
    <w:name w:val="Footer Char"/>
    <w:uiPriority w:val="99"/>
    <w:qFormat/>
  </w:style>
  <w:style w:type="paragraph" w:styleId="934" w:customStyle="1">
    <w:name w:val="正文首行缩进 21"/>
    <w:basedOn w:val="935"/>
    <w:link w:val="936"/>
    <w:uiPriority w:val="0"/>
    <w:qFormat/>
    <w:pPr>
      <w:ind w:firstLine="420"/>
      <w:spacing w:line="360" w:lineRule="auto"/>
    </w:pPr>
    <w:rPr>
      <w:rFonts w:ascii="宋体" w:hAnsi="宋体"/>
    </w:rPr>
  </w:style>
  <w:style w:type="paragraph" w:styleId="935" w:customStyle="1">
    <w:name w:val="正文文本缩进11"/>
    <w:basedOn w:val="859"/>
    <w:uiPriority w:val="99"/>
    <w:unhideWhenUsed/>
    <w:qFormat/>
    <w:pPr>
      <w:ind w:left="420"/>
      <w:spacing w:after="120"/>
    </w:pPr>
  </w:style>
  <w:style w:type="character" w:styleId="936" w:customStyle="1">
    <w:name w:val="正文文本首行缩进 2 字符"/>
    <w:link w:val="934"/>
    <w:uiPriority w:val="0"/>
    <w:semiHidden/>
    <w:qFormat/>
    <w:rPr>
      <w:rFonts w:ascii="宋体" w:hAnsi="宋体" w:eastAsia="楷体_GB2312"/>
      <w:sz w:val="21"/>
      <w:szCs w:val="32"/>
      <w:lang w:val="en-US" w:eastAsia="zh-CN" w:bidi="ar-SA"/>
    </w:rPr>
  </w:style>
  <w:style w:type="character" w:styleId="937" w:customStyle="1">
    <w:name w:val="active"/>
    <w:uiPriority w:val="0"/>
    <w:qFormat/>
    <w:rPr>
      <w:color w:val="ffffff"/>
      <w:shd w:val="clear" w:color="auto" w:fill="0f5bb9"/>
    </w:rPr>
  </w:style>
  <w:style w:type="character" w:styleId="938" w:customStyle="1">
    <w:name w:val="引用 Char"/>
    <w:link w:val="910"/>
    <w:uiPriority w:val="29"/>
    <w:qFormat/>
    <w:rPr>
      <w:i/>
    </w:rPr>
  </w:style>
  <w:style w:type="character" w:styleId="939" w:customStyle="1">
    <w:name w:val="明显引用 Char"/>
    <w:link w:val="912"/>
    <w:uiPriority w:val="30"/>
    <w:qFormat/>
    <w:rPr>
      <w:i/>
    </w:rPr>
  </w:style>
  <w:style w:type="table" w:styleId="940" w:customStyle="1">
    <w:name w:val="Table Grid Light"/>
    <w:uiPriority w:val="59"/>
    <w:qFormat/>
    <w:tblPr>
      <w:tblCellMar>
        <w:left w:w="0" w:type="dxa"/>
        <w:top w:w="0" w:type="dxa"/>
        <w:right w:w="0" w:type="dxa"/>
        <w:bottom w:w="0" w:type="dxa"/>
      </w:tblCellMar>
    </w:tblPr>
  </w:style>
  <w:style w:type="table" w:styleId="941" w:customStyle="1">
    <w:name w:val="Plain Table 1"/>
    <w:uiPriority w:val="59"/>
    <w:qFormat/>
    <w:tblPr>
      <w:tblCellMar>
        <w:left w:w="0" w:type="dxa"/>
        <w:top w:w="0" w:type="dxa"/>
        <w:right w:w="0" w:type="dxa"/>
        <w:bottom w:w="0" w:type="dxa"/>
      </w:tblCellMar>
    </w:tblPr>
  </w:style>
  <w:style w:type="table" w:styleId="942" w:customStyle="1">
    <w:name w:val="Plain Table 2"/>
    <w:uiPriority w:val="59"/>
    <w:qFormat/>
    <w:tblPr>
      <w:tblCellMar>
        <w:left w:w="0" w:type="dxa"/>
        <w:top w:w="0" w:type="dxa"/>
        <w:right w:w="0" w:type="dxa"/>
        <w:bottom w:w="0" w:type="dxa"/>
      </w:tblCellMar>
    </w:tblPr>
  </w:style>
  <w:style w:type="table" w:styleId="943" w:customStyle="1">
    <w:name w:val="Plain Table 3"/>
    <w:uiPriority w:val="99"/>
    <w:qFormat/>
    <w:tblPr>
      <w:tblCellMar>
        <w:left w:w="0" w:type="dxa"/>
        <w:top w:w="0" w:type="dxa"/>
        <w:right w:w="0" w:type="dxa"/>
        <w:bottom w:w="0" w:type="dxa"/>
      </w:tblCellMar>
    </w:tblPr>
  </w:style>
  <w:style w:type="table" w:styleId="944" w:customStyle="1">
    <w:name w:val="Plain Table 4"/>
    <w:uiPriority w:val="99"/>
    <w:qFormat/>
    <w:tblPr>
      <w:tblCellMar>
        <w:left w:w="0" w:type="dxa"/>
        <w:top w:w="0" w:type="dxa"/>
        <w:right w:w="0" w:type="dxa"/>
        <w:bottom w:w="0" w:type="dxa"/>
      </w:tblCellMar>
    </w:tblPr>
  </w:style>
  <w:style w:type="table" w:styleId="945" w:customStyle="1">
    <w:name w:val="Plain Table 5"/>
    <w:uiPriority w:val="99"/>
    <w:qFormat/>
    <w:tblPr>
      <w:tblCellMar>
        <w:left w:w="0" w:type="dxa"/>
        <w:top w:w="0" w:type="dxa"/>
        <w:right w:w="0" w:type="dxa"/>
        <w:bottom w:w="0" w:type="dxa"/>
      </w:tblCellMar>
    </w:tblPr>
  </w:style>
  <w:style w:type="table" w:styleId="946" w:customStyle="1">
    <w:name w:val="Grid Table 1 Light"/>
    <w:uiPriority w:val="99"/>
    <w:qFormat/>
    <w:tblPr>
      <w:tblCellMar>
        <w:left w:w="0" w:type="dxa"/>
        <w:top w:w="0" w:type="dxa"/>
        <w:right w:w="0" w:type="dxa"/>
        <w:bottom w:w="0" w:type="dxa"/>
      </w:tblCellMar>
    </w:tblPr>
  </w:style>
  <w:style w:type="table" w:styleId="947" w:customStyle="1">
    <w:name w:val="Grid Table 1 Light - Accent 1"/>
    <w:uiPriority w:val="99"/>
    <w:qFormat/>
    <w:tblPr>
      <w:tblCellMar>
        <w:left w:w="0" w:type="dxa"/>
        <w:top w:w="0" w:type="dxa"/>
        <w:right w:w="0" w:type="dxa"/>
        <w:bottom w:w="0" w:type="dxa"/>
      </w:tblCellMar>
    </w:tblPr>
  </w:style>
  <w:style w:type="table" w:styleId="948" w:customStyle="1">
    <w:name w:val="Grid Table 1 Light - Accent 2"/>
    <w:uiPriority w:val="99"/>
    <w:qFormat/>
    <w:tblPr>
      <w:tblCellMar>
        <w:left w:w="0" w:type="dxa"/>
        <w:top w:w="0" w:type="dxa"/>
        <w:right w:w="0" w:type="dxa"/>
        <w:bottom w:w="0" w:type="dxa"/>
      </w:tblCellMar>
    </w:tblPr>
  </w:style>
  <w:style w:type="table" w:styleId="949" w:customStyle="1">
    <w:name w:val="Grid Table 1 Light - Accent 3"/>
    <w:uiPriority w:val="99"/>
    <w:qFormat/>
    <w:tblPr>
      <w:tblCellMar>
        <w:left w:w="0" w:type="dxa"/>
        <w:top w:w="0" w:type="dxa"/>
        <w:right w:w="0" w:type="dxa"/>
        <w:bottom w:w="0" w:type="dxa"/>
      </w:tblCellMar>
    </w:tblPr>
  </w:style>
  <w:style w:type="table" w:styleId="950" w:customStyle="1">
    <w:name w:val="Grid Table 1 Light - Accent 4"/>
    <w:uiPriority w:val="99"/>
    <w:qFormat/>
    <w:tblPr>
      <w:tblCellMar>
        <w:left w:w="0" w:type="dxa"/>
        <w:top w:w="0" w:type="dxa"/>
        <w:right w:w="0" w:type="dxa"/>
        <w:bottom w:w="0" w:type="dxa"/>
      </w:tblCellMar>
    </w:tblPr>
  </w:style>
  <w:style w:type="table" w:styleId="951" w:customStyle="1">
    <w:name w:val="Grid Table 1 Light - Accent 5"/>
    <w:uiPriority w:val="99"/>
    <w:qFormat/>
    <w:tblPr>
      <w:tblCellMar>
        <w:left w:w="0" w:type="dxa"/>
        <w:top w:w="0" w:type="dxa"/>
        <w:right w:w="0" w:type="dxa"/>
        <w:bottom w:w="0" w:type="dxa"/>
      </w:tblCellMar>
    </w:tblPr>
  </w:style>
  <w:style w:type="table" w:styleId="952" w:customStyle="1">
    <w:name w:val="Grid Table 1 Light - Accent 6"/>
    <w:uiPriority w:val="99"/>
    <w:qFormat/>
    <w:tblPr>
      <w:tblCellMar>
        <w:left w:w="0" w:type="dxa"/>
        <w:top w:w="0" w:type="dxa"/>
        <w:right w:w="0" w:type="dxa"/>
        <w:bottom w:w="0" w:type="dxa"/>
      </w:tblCellMar>
    </w:tblPr>
  </w:style>
  <w:style w:type="table" w:styleId="953" w:customStyle="1">
    <w:name w:val="Grid Table 2"/>
    <w:uiPriority w:val="99"/>
    <w:qFormat/>
    <w:tblPr>
      <w:tblCellMar>
        <w:left w:w="0" w:type="dxa"/>
        <w:top w:w="0" w:type="dxa"/>
        <w:right w:w="0" w:type="dxa"/>
        <w:bottom w:w="0" w:type="dxa"/>
      </w:tblCellMar>
    </w:tblPr>
  </w:style>
  <w:style w:type="table" w:styleId="954" w:customStyle="1">
    <w:name w:val="Grid Table 2 - Accent 1"/>
    <w:uiPriority w:val="99"/>
    <w:qFormat/>
    <w:tblPr>
      <w:tblCellMar>
        <w:left w:w="0" w:type="dxa"/>
        <w:top w:w="0" w:type="dxa"/>
        <w:right w:w="0" w:type="dxa"/>
        <w:bottom w:w="0" w:type="dxa"/>
      </w:tblCellMar>
    </w:tblPr>
  </w:style>
  <w:style w:type="table" w:styleId="955" w:customStyle="1">
    <w:name w:val="Grid Table 2 - Accent 2"/>
    <w:uiPriority w:val="99"/>
    <w:qFormat/>
    <w:tblPr>
      <w:tblCellMar>
        <w:left w:w="0" w:type="dxa"/>
        <w:top w:w="0" w:type="dxa"/>
        <w:right w:w="0" w:type="dxa"/>
        <w:bottom w:w="0" w:type="dxa"/>
      </w:tblCellMar>
    </w:tblPr>
  </w:style>
  <w:style w:type="table" w:styleId="956" w:customStyle="1">
    <w:name w:val="Grid Table 2 - Accent 3"/>
    <w:uiPriority w:val="99"/>
    <w:qFormat/>
    <w:tblPr>
      <w:tblCellMar>
        <w:left w:w="0" w:type="dxa"/>
        <w:top w:w="0" w:type="dxa"/>
        <w:right w:w="0" w:type="dxa"/>
        <w:bottom w:w="0" w:type="dxa"/>
      </w:tblCellMar>
    </w:tblPr>
  </w:style>
  <w:style w:type="table" w:styleId="957" w:customStyle="1">
    <w:name w:val="Grid Table 2 - Accent 4"/>
    <w:uiPriority w:val="99"/>
    <w:qFormat/>
    <w:tblPr>
      <w:tblCellMar>
        <w:left w:w="0" w:type="dxa"/>
        <w:top w:w="0" w:type="dxa"/>
        <w:right w:w="0" w:type="dxa"/>
        <w:bottom w:w="0" w:type="dxa"/>
      </w:tblCellMar>
    </w:tblPr>
  </w:style>
  <w:style w:type="table" w:styleId="958" w:customStyle="1">
    <w:name w:val="Grid Table 2 - Accent 5"/>
    <w:uiPriority w:val="99"/>
    <w:qFormat/>
    <w:tblPr>
      <w:tblCellMar>
        <w:left w:w="0" w:type="dxa"/>
        <w:top w:w="0" w:type="dxa"/>
        <w:right w:w="0" w:type="dxa"/>
        <w:bottom w:w="0" w:type="dxa"/>
      </w:tblCellMar>
    </w:tblPr>
  </w:style>
  <w:style w:type="table" w:styleId="959" w:customStyle="1">
    <w:name w:val="Grid Table 2 - Accent 6"/>
    <w:uiPriority w:val="99"/>
    <w:qFormat/>
    <w:tblPr>
      <w:tblCellMar>
        <w:left w:w="0" w:type="dxa"/>
        <w:top w:w="0" w:type="dxa"/>
        <w:right w:w="0" w:type="dxa"/>
        <w:bottom w:w="0" w:type="dxa"/>
      </w:tblCellMar>
    </w:tblPr>
  </w:style>
  <w:style w:type="table" w:styleId="960" w:customStyle="1">
    <w:name w:val="Grid Table 3"/>
    <w:uiPriority w:val="99"/>
    <w:qFormat/>
    <w:tblPr>
      <w:tblCellMar>
        <w:left w:w="0" w:type="dxa"/>
        <w:top w:w="0" w:type="dxa"/>
        <w:right w:w="0" w:type="dxa"/>
        <w:bottom w:w="0" w:type="dxa"/>
      </w:tblCellMar>
    </w:tblPr>
  </w:style>
  <w:style w:type="table" w:styleId="961" w:customStyle="1">
    <w:name w:val="Grid Table 3 - Accent 1"/>
    <w:uiPriority w:val="99"/>
    <w:qFormat/>
    <w:tblPr>
      <w:tblCellMar>
        <w:left w:w="0" w:type="dxa"/>
        <w:top w:w="0" w:type="dxa"/>
        <w:right w:w="0" w:type="dxa"/>
        <w:bottom w:w="0" w:type="dxa"/>
      </w:tblCellMar>
    </w:tblPr>
  </w:style>
  <w:style w:type="table" w:styleId="962" w:customStyle="1">
    <w:name w:val="Grid Table 3 - Accent 2"/>
    <w:uiPriority w:val="99"/>
    <w:qFormat/>
    <w:tblPr>
      <w:tblCellMar>
        <w:left w:w="0" w:type="dxa"/>
        <w:top w:w="0" w:type="dxa"/>
        <w:right w:w="0" w:type="dxa"/>
        <w:bottom w:w="0" w:type="dxa"/>
      </w:tblCellMar>
    </w:tblPr>
  </w:style>
  <w:style w:type="table" w:styleId="963" w:customStyle="1">
    <w:name w:val="Grid Table 3 - Accent 3"/>
    <w:uiPriority w:val="99"/>
    <w:qFormat/>
    <w:tblPr>
      <w:tblCellMar>
        <w:left w:w="0" w:type="dxa"/>
        <w:top w:w="0" w:type="dxa"/>
        <w:right w:w="0" w:type="dxa"/>
        <w:bottom w:w="0" w:type="dxa"/>
      </w:tblCellMar>
    </w:tblPr>
  </w:style>
  <w:style w:type="table" w:styleId="964" w:customStyle="1">
    <w:name w:val="Grid Table 3 - Accent 4"/>
    <w:uiPriority w:val="99"/>
    <w:qFormat/>
    <w:tblPr>
      <w:tblCellMar>
        <w:left w:w="0" w:type="dxa"/>
        <w:top w:w="0" w:type="dxa"/>
        <w:right w:w="0" w:type="dxa"/>
        <w:bottom w:w="0" w:type="dxa"/>
      </w:tblCellMar>
    </w:tblPr>
  </w:style>
  <w:style w:type="table" w:styleId="965" w:customStyle="1">
    <w:name w:val="Grid Table 3 - Accent 5"/>
    <w:uiPriority w:val="99"/>
    <w:qFormat/>
    <w:tblPr>
      <w:tblCellMar>
        <w:left w:w="0" w:type="dxa"/>
        <w:top w:w="0" w:type="dxa"/>
        <w:right w:w="0" w:type="dxa"/>
        <w:bottom w:w="0" w:type="dxa"/>
      </w:tblCellMar>
    </w:tblPr>
  </w:style>
  <w:style w:type="table" w:styleId="966" w:customStyle="1">
    <w:name w:val="Grid Table 3 - Accent 6"/>
    <w:uiPriority w:val="99"/>
    <w:qFormat/>
    <w:tblPr>
      <w:tblCellMar>
        <w:left w:w="0" w:type="dxa"/>
        <w:top w:w="0" w:type="dxa"/>
        <w:right w:w="0" w:type="dxa"/>
        <w:bottom w:w="0" w:type="dxa"/>
      </w:tblCellMar>
    </w:tblPr>
  </w:style>
  <w:style w:type="table" w:styleId="967" w:customStyle="1">
    <w:name w:val="Grid Table 4"/>
    <w:uiPriority w:val="59"/>
    <w:qFormat/>
    <w:tblPr>
      <w:tblCellMar>
        <w:left w:w="0" w:type="dxa"/>
        <w:top w:w="0" w:type="dxa"/>
        <w:right w:w="0" w:type="dxa"/>
        <w:bottom w:w="0" w:type="dxa"/>
      </w:tblCellMar>
    </w:tblPr>
  </w:style>
  <w:style w:type="table" w:styleId="968" w:customStyle="1">
    <w:name w:val="Grid Table 4 - Accent 1"/>
    <w:uiPriority w:val="59"/>
    <w:qFormat/>
    <w:tblPr>
      <w:tblCellMar>
        <w:left w:w="0" w:type="dxa"/>
        <w:top w:w="0" w:type="dxa"/>
        <w:right w:w="0" w:type="dxa"/>
        <w:bottom w:w="0" w:type="dxa"/>
      </w:tblCellMar>
    </w:tblPr>
  </w:style>
  <w:style w:type="table" w:styleId="969" w:customStyle="1">
    <w:name w:val="Grid Table 4 - Accent 2"/>
    <w:uiPriority w:val="59"/>
    <w:qFormat/>
    <w:tblPr>
      <w:tblCellMar>
        <w:left w:w="0" w:type="dxa"/>
        <w:top w:w="0" w:type="dxa"/>
        <w:right w:w="0" w:type="dxa"/>
        <w:bottom w:w="0" w:type="dxa"/>
      </w:tblCellMar>
    </w:tblPr>
  </w:style>
  <w:style w:type="table" w:styleId="970" w:customStyle="1">
    <w:name w:val="Grid Table 4 - Accent 3"/>
    <w:uiPriority w:val="59"/>
    <w:qFormat/>
    <w:tblPr>
      <w:tblCellMar>
        <w:left w:w="0" w:type="dxa"/>
        <w:top w:w="0" w:type="dxa"/>
        <w:right w:w="0" w:type="dxa"/>
        <w:bottom w:w="0" w:type="dxa"/>
      </w:tblCellMar>
    </w:tblPr>
  </w:style>
  <w:style w:type="table" w:styleId="971" w:customStyle="1">
    <w:name w:val="Grid Table 4 - Accent 4"/>
    <w:uiPriority w:val="59"/>
    <w:qFormat/>
    <w:tblPr>
      <w:tblCellMar>
        <w:left w:w="0" w:type="dxa"/>
        <w:top w:w="0" w:type="dxa"/>
        <w:right w:w="0" w:type="dxa"/>
        <w:bottom w:w="0" w:type="dxa"/>
      </w:tblCellMar>
    </w:tblPr>
  </w:style>
  <w:style w:type="table" w:styleId="972" w:customStyle="1">
    <w:name w:val="Grid Table 4 - Accent 5"/>
    <w:uiPriority w:val="59"/>
    <w:qFormat/>
    <w:tblPr>
      <w:tblCellMar>
        <w:left w:w="0" w:type="dxa"/>
        <w:top w:w="0" w:type="dxa"/>
        <w:right w:w="0" w:type="dxa"/>
        <w:bottom w:w="0" w:type="dxa"/>
      </w:tblCellMar>
    </w:tblPr>
  </w:style>
  <w:style w:type="table" w:styleId="973" w:customStyle="1">
    <w:name w:val="Grid Table 4 - Accent 6"/>
    <w:uiPriority w:val="59"/>
    <w:qFormat/>
    <w:tblPr>
      <w:tblCellMar>
        <w:left w:w="0" w:type="dxa"/>
        <w:top w:w="0" w:type="dxa"/>
        <w:right w:w="0" w:type="dxa"/>
        <w:bottom w:w="0" w:type="dxa"/>
      </w:tblCellMar>
    </w:tblPr>
  </w:style>
  <w:style w:type="table" w:styleId="974" w:customStyle="1">
    <w:name w:val="Grid Table 5 Dark"/>
    <w:uiPriority w:val="99"/>
    <w:qFormat/>
    <w:tblPr>
      <w:tblCellMar>
        <w:left w:w="0" w:type="dxa"/>
        <w:top w:w="0" w:type="dxa"/>
        <w:right w:w="0" w:type="dxa"/>
        <w:bottom w:w="0" w:type="dxa"/>
      </w:tblCellMar>
    </w:tblPr>
  </w:style>
  <w:style w:type="table" w:styleId="975" w:customStyle="1">
    <w:name w:val="Grid Table 5 Dark- Accent 1"/>
    <w:uiPriority w:val="99"/>
    <w:qFormat/>
    <w:tblPr>
      <w:tblCellMar>
        <w:left w:w="0" w:type="dxa"/>
        <w:top w:w="0" w:type="dxa"/>
        <w:right w:w="0" w:type="dxa"/>
        <w:bottom w:w="0" w:type="dxa"/>
      </w:tblCellMar>
    </w:tblPr>
  </w:style>
  <w:style w:type="table" w:styleId="976" w:customStyle="1">
    <w:name w:val="Grid Table 5 Dark - Accent 2"/>
    <w:uiPriority w:val="99"/>
    <w:qFormat/>
    <w:tblPr>
      <w:tblCellMar>
        <w:left w:w="0" w:type="dxa"/>
        <w:top w:w="0" w:type="dxa"/>
        <w:right w:w="0" w:type="dxa"/>
        <w:bottom w:w="0" w:type="dxa"/>
      </w:tblCellMar>
    </w:tblPr>
  </w:style>
  <w:style w:type="table" w:styleId="977" w:customStyle="1">
    <w:name w:val="Grid Table 5 Dark - Accent 3"/>
    <w:uiPriority w:val="99"/>
    <w:qFormat/>
    <w:tblPr>
      <w:tblCellMar>
        <w:left w:w="0" w:type="dxa"/>
        <w:top w:w="0" w:type="dxa"/>
        <w:right w:w="0" w:type="dxa"/>
        <w:bottom w:w="0" w:type="dxa"/>
      </w:tblCellMar>
    </w:tblPr>
  </w:style>
  <w:style w:type="table" w:styleId="978" w:customStyle="1">
    <w:name w:val="Grid Table 5 Dark- Accent 4"/>
    <w:uiPriority w:val="99"/>
    <w:qFormat/>
    <w:tblPr>
      <w:tblCellMar>
        <w:left w:w="0" w:type="dxa"/>
        <w:top w:w="0" w:type="dxa"/>
        <w:right w:w="0" w:type="dxa"/>
        <w:bottom w:w="0" w:type="dxa"/>
      </w:tblCellMar>
    </w:tblPr>
  </w:style>
  <w:style w:type="table" w:styleId="979" w:customStyle="1">
    <w:name w:val="Grid Table 5 Dark - Accent 5"/>
    <w:uiPriority w:val="99"/>
    <w:qFormat/>
    <w:tblPr>
      <w:tblCellMar>
        <w:left w:w="0" w:type="dxa"/>
        <w:top w:w="0" w:type="dxa"/>
        <w:right w:w="0" w:type="dxa"/>
        <w:bottom w:w="0" w:type="dxa"/>
      </w:tblCellMar>
    </w:tblPr>
  </w:style>
  <w:style w:type="table" w:styleId="980" w:customStyle="1">
    <w:name w:val="Grid Table 5 Dark - Accent 6"/>
    <w:uiPriority w:val="99"/>
    <w:qFormat/>
    <w:tblPr>
      <w:tblCellMar>
        <w:left w:w="0" w:type="dxa"/>
        <w:top w:w="0" w:type="dxa"/>
        <w:right w:w="0" w:type="dxa"/>
        <w:bottom w:w="0" w:type="dxa"/>
      </w:tblCellMar>
    </w:tblPr>
  </w:style>
  <w:style w:type="table" w:styleId="981" w:customStyle="1">
    <w:name w:val="Grid Table 6 Colorful"/>
    <w:uiPriority w:val="99"/>
    <w:qFormat/>
    <w:tblPr>
      <w:tblCellMar>
        <w:left w:w="0" w:type="dxa"/>
        <w:top w:w="0" w:type="dxa"/>
        <w:right w:w="0" w:type="dxa"/>
        <w:bottom w:w="0" w:type="dxa"/>
      </w:tblCellMar>
    </w:tblPr>
  </w:style>
  <w:style w:type="table" w:styleId="982" w:customStyle="1">
    <w:name w:val="Grid Table 6 Colorful - Accent 1"/>
    <w:uiPriority w:val="99"/>
    <w:qFormat/>
    <w:tblPr>
      <w:tblCellMar>
        <w:left w:w="0" w:type="dxa"/>
        <w:top w:w="0" w:type="dxa"/>
        <w:right w:w="0" w:type="dxa"/>
        <w:bottom w:w="0" w:type="dxa"/>
      </w:tblCellMar>
    </w:tblPr>
  </w:style>
  <w:style w:type="table" w:styleId="983" w:customStyle="1">
    <w:name w:val="Grid Table 6 Colorful - Accent 2"/>
    <w:uiPriority w:val="99"/>
    <w:qFormat/>
    <w:tblPr>
      <w:tblCellMar>
        <w:left w:w="0" w:type="dxa"/>
        <w:top w:w="0" w:type="dxa"/>
        <w:right w:w="0" w:type="dxa"/>
        <w:bottom w:w="0" w:type="dxa"/>
      </w:tblCellMar>
    </w:tblPr>
  </w:style>
  <w:style w:type="table" w:styleId="984" w:customStyle="1">
    <w:name w:val="Grid Table 6 Colorful - Accent 3"/>
    <w:uiPriority w:val="99"/>
    <w:qFormat/>
    <w:tblPr>
      <w:tblCellMar>
        <w:left w:w="0" w:type="dxa"/>
        <w:top w:w="0" w:type="dxa"/>
        <w:right w:w="0" w:type="dxa"/>
        <w:bottom w:w="0" w:type="dxa"/>
      </w:tblCellMar>
    </w:tblPr>
  </w:style>
  <w:style w:type="table" w:styleId="985" w:customStyle="1">
    <w:name w:val="Grid Table 6 Colorful - Accent 4"/>
    <w:uiPriority w:val="99"/>
    <w:qFormat/>
    <w:tblPr>
      <w:tblCellMar>
        <w:left w:w="0" w:type="dxa"/>
        <w:top w:w="0" w:type="dxa"/>
        <w:right w:w="0" w:type="dxa"/>
        <w:bottom w:w="0" w:type="dxa"/>
      </w:tblCellMar>
    </w:tblPr>
  </w:style>
  <w:style w:type="table" w:styleId="986" w:customStyle="1">
    <w:name w:val="Grid Table 6 Colorful - Accent 5"/>
    <w:uiPriority w:val="99"/>
    <w:qFormat/>
    <w:tblPr>
      <w:tblCellMar>
        <w:left w:w="0" w:type="dxa"/>
        <w:top w:w="0" w:type="dxa"/>
        <w:right w:w="0" w:type="dxa"/>
        <w:bottom w:w="0" w:type="dxa"/>
      </w:tblCellMar>
    </w:tblPr>
  </w:style>
  <w:style w:type="table" w:styleId="987" w:customStyle="1">
    <w:name w:val="Grid Table 6 Colorful - Accent 6"/>
    <w:uiPriority w:val="99"/>
    <w:qFormat/>
    <w:tblPr>
      <w:tblCellMar>
        <w:left w:w="0" w:type="dxa"/>
        <w:top w:w="0" w:type="dxa"/>
        <w:right w:w="0" w:type="dxa"/>
        <w:bottom w:w="0" w:type="dxa"/>
      </w:tblCellMar>
    </w:tblPr>
  </w:style>
  <w:style w:type="table" w:styleId="988" w:customStyle="1">
    <w:name w:val="Grid Table 7 Colorful"/>
    <w:uiPriority w:val="99"/>
    <w:qFormat/>
    <w:tblPr>
      <w:tblCellMar>
        <w:left w:w="0" w:type="dxa"/>
        <w:top w:w="0" w:type="dxa"/>
        <w:right w:w="0" w:type="dxa"/>
        <w:bottom w:w="0" w:type="dxa"/>
      </w:tblCellMar>
    </w:tblPr>
  </w:style>
  <w:style w:type="table" w:styleId="989" w:customStyle="1">
    <w:name w:val="Grid Table 7 Colorful - Accent 1"/>
    <w:uiPriority w:val="99"/>
    <w:qFormat/>
    <w:tblPr>
      <w:tblCellMar>
        <w:left w:w="0" w:type="dxa"/>
        <w:top w:w="0" w:type="dxa"/>
        <w:right w:w="0" w:type="dxa"/>
        <w:bottom w:w="0" w:type="dxa"/>
      </w:tblCellMar>
    </w:tblPr>
  </w:style>
  <w:style w:type="table" w:styleId="990" w:customStyle="1">
    <w:name w:val="Grid Table 7 Colorful - Accent 2"/>
    <w:uiPriority w:val="99"/>
    <w:qFormat/>
    <w:tblPr>
      <w:tblCellMar>
        <w:left w:w="0" w:type="dxa"/>
        <w:top w:w="0" w:type="dxa"/>
        <w:right w:w="0" w:type="dxa"/>
        <w:bottom w:w="0" w:type="dxa"/>
      </w:tblCellMar>
    </w:tblPr>
  </w:style>
  <w:style w:type="table" w:styleId="991" w:customStyle="1">
    <w:name w:val="Grid Table 7 Colorful - Accent 3"/>
    <w:uiPriority w:val="99"/>
    <w:qFormat/>
    <w:tblPr>
      <w:tblCellMar>
        <w:left w:w="0" w:type="dxa"/>
        <w:top w:w="0" w:type="dxa"/>
        <w:right w:w="0" w:type="dxa"/>
        <w:bottom w:w="0" w:type="dxa"/>
      </w:tblCellMar>
    </w:tblPr>
  </w:style>
  <w:style w:type="table" w:styleId="992" w:customStyle="1">
    <w:name w:val="Grid Table 7 Colorful - Accent 4"/>
    <w:uiPriority w:val="99"/>
    <w:qFormat/>
    <w:tblPr>
      <w:tblCellMar>
        <w:left w:w="0" w:type="dxa"/>
        <w:top w:w="0" w:type="dxa"/>
        <w:right w:w="0" w:type="dxa"/>
        <w:bottom w:w="0" w:type="dxa"/>
      </w:tblCellMar>
    </w:tblPr>
  </w:style>
  <w:style w:type="table" w:styleId="993" w:customStyle="1">
    <w:name w:val="Grid Table 7 Colorful - Accent 5"/>
    <w:uiPriority w:val="99"/>
    <w:qFormat/>
    <w:tblPr>
      <w:tblCellMar>
        <w:left w:w="0" w:type="dxa"/>
        <w:top w:w="0" w:type="dxa"/>
        <w:right w:w="0" w:type="dxa"/>
        <w:bottom w:w="0" w:type="dxa"/>
      </w:tblCellMar>
    </w:tblPr>
  </w:style>
  <w:style w:type="table" w:styleId="994" w:customStyle="1">
    <w:name w:val="Grid Table 7 Colorful - Accent 6"/>
    <w:uiPriority w:val="99"/>
    <w:qFormat/>
    <w:tblPr>
      <w:tblCellMar>
        <w:left w:w="0" w:type="dxa"/>
        <w:top w:w="0" w:type="dxa"/>
        <w:right w:w="0" w:type="dxa"/>
        <w:bottom w:w="0" w:type="dxa"/>
      </w:tblCellMar>
    </w:tblPr>
  </w:style>
  <w:style w:type="table" w:styleId="995" w:customStyle="1">
    <w:name w:val="List Table 1 Light"/>
    <w:uiPriority w:val="99"/>
    <w:qFormat/>
    <w:tblPr>
      <w:tblCellMar>
        <w:left w:w="0" w:type="dxa"/>
        <w:top w:w="0" w:type="dxa"/>
        <w:right w:w="0" w:type="dxa"/>
        <w:bottom w:w="0" w:type="dxa"/>
      </w:tblCellMar>
    </w:tblPr>
  </w:style>
  <w:style w:type="table" w:styleId="996" w:customStyle="1">
    <w:name w:val="List Table 1 Light - Accent 1"/>
    <w:uiPriority w:val="99"/>
    <w:qFormat/>
    <w:tblPr>
      <w:tblCellMar>
        <w:left w:w="0" w:type="dxa"/>
        <w:top w:w="0" w:type="dxa"/>
        <w:right w:w="0" w:type="dxa"/>
        <w:bottom w:w="0" w:type="dxa"/>
      </w:tblCellMar>
    </w:tblPr>
  </w:style>
  <w:style w:type="table" w:styleId="997" w:customStyle="1">
    <w:name w:val="List Table 1 Light - Accent 2"/>
    <w:uiPriority w:val="99"/>
    <w:qFormat/>
    <w:tblPr>
      <w:tblCellMar>
        <w:left w:w="0" w:type="dxa"/>
        <w:top w:w="0" w:type="dxa"/>
        <w:right w:w="0" w:type="dxa"/>
        <w:bottom w:w="0" w:type="dxa"/>
      </w:tblCellMar>
    </w:tblPr>
  </w:style>
  <w:style w:type="table" w:styleId="998" w:customStyle="1">
    <w:name w:val="List Table 1 Light - Accent 3"/>
    <w:uiPriority w:val="99"/>
    <w:qFormat/>
    <w:tblPr>
      <w:tblCellMar>
        <w:left w:w="0" w:type="dxa"/>
        <w:top w:w="0" w:type="dxa"/>
        <w:right w:w="0" w:type="dxa"/>
        <w:bottom w:w="0" w:type="dxa"/>
      </w:tblCellMar>
    </w:tblPr>
  </w:style>
  <w:style w:type="table" w:styleId="999" w:customStyle="1">
    <w:name w:val="List Table 1 Light - Accent 4"/>
    <w:uiPriority w:val="99"/>
    <w:qFormat/>
    <w:tblPr>
      <w:tblCellMar>
        <w:left w:w="0" w:type="dxa"/>
        <w:top w:w="0" w:type="dxa"/>
        <w:right w:w="0" w:type="dxa"/>
        <w:bottom w:w="0" w:type="dxa"/>
      </w:tblCellMar>
    </w:tblPr>
  </w:style>
  <w:style w:type="table" w:styleId="1000" w:customStyle="1">
    <w:name w:val="List Table 1 Light - Accent 5"/>
    <w:uiPriority w:val="99"/>
    <w:qFormat/>
    <w:tblPr>
      <w:tblCellMar>
        <w:left w:w="0" w:type="dxa"/>
        <w:top w:w="0" w:type="dxa"/>
        <w:right w:w="0" w:type="dxa"/>
        <w:bottom w:w="0" w:type="dxa"/>
      </w:tblCellMar>
    </w:tblPr>
  </w:style>
  <w:style w:type="table" w:styleId="1001" w:customStyle="1">
    <w:name w:val="List Table 1 Light - Accent 6"/>
    <w:uiPriority w:val="99"/>
    <w:qFormat/>
    <w:tblPr>
      <w:tblCellMar>
        <w:left w:w="0" w:type="dxa"/>
        <w:top w:w="0" w:type="dxa"/>
        <w:right w:w="0" w:type="dxa"/>
        <w:bottom w:w="0" w:type="dxa"/>
      </w:tblCellMar>
    </w:tblPr>
  </w:style>
  <w:style w:type="table" w:styleId="1002" w:customStyle="1">
    <w:name w:val="List Table 2"/>
    <w:uiPriority w:val="99"/>
    <w:qFormat/>
    <w:tblPr>
      <w:tblCellMar>
        <w:left w:w="0" w:type="dxa"/>
        <w:top w:w="0" w:type="dxa"/>
        <w:right w:w="0" w:type="dxa"/>
        <w:bottom w:w="0" w:type="dxa"/>
      </w:tblCellMar>
    </w:tblPr>
  </w:style>
  <w:style w:type="table" w:styleId="1003" w:customStyle="1">
    <w:name w:val="List Table 2 - Accent 1"/>
    <w:uiPriority w:val="99"/>
    <w:qFormat/>
    <w:tblPr>
      <w:tblCellMar>
        <w:left w:w="0" w:type="dxa"/>
        <w:top w:w="0" w:type="dxa"/>
        <w:right w:w="0" w:type="dxa"/>
        <w:bottom w:w="0" w:type="dxa"/>
      </w:tblCellMar>
    </w:tblPr>
  </w:style>
  <w:style w:type="table" w:styleId="1004" w:customStyle="1">
    <w:name w:val="List Table 2 - Accent 2"/>
    <w:uiPriority w:val="99"/>
    <w:qFormat/>
    <w:tblPr>
      <w:tblCellMar>
        <w:left w:w="0" w:type="dxa"/>
        <w:top w:w="0" w:type="dxa"/>
        <w:right w:w="0" w:type="dxa"/>
        <w:bottom w:w="0" w:type="dxa"/>
      </w:tblCellMar>
    </w:tblPr>
  </w:style>
  <w:style w:type="table" w:styleId="1005" w:customStyle="1">
    <w:name w:val="List Table 2 - Accent 3"/>
    <w:uiPriority w:val="99"/>
    <w:qFormat/>
    <w:tblPr>
      <w:tblCellMar>
        <w:left w:w="0" w:type="dxa"/>
        <w:top w:w="0" w:type="dxa"/>
        <w:right w:w="0" w:type="dxa"/>
        <w:bottom w:w="0" w:type="dxa"/>
      </w:tblCellMar>
    </w:tblPr>
  </w:style>
  <w:style w:type="table" w:styleId="1006" w:customStyle="1">
    <w:name w:val="List Table 2 - Accent 4"/>
    <w:uiPriority w:val="99"/>
    <w:qFormat/>
    <w:tblPr>
      <w:tblCellMar>
        <w:left w:w="0" w:type="dxa"/>
        <w:top w:w="0" w:type="dxa"/>
        <w:right w:w="0" w:type="dxa"/>
        <w:bottom w:w="0" w:type="dxa"/>
      </w:tblCellMar>
    </w:tblPr>
  </w:style>
  <w:style w:type="table" w:styleId="1007" w:customStyle="1">
    <w:name w:val="List Table 2 - Accent 5"/>
    <w:uiPriority w:val="99"/>
    <w:qFormat/>
    <w:tblPr>
      <w:tblCellMar>
        <w:left w:w="0" w:type="dxa"/>
        <w:top w:w="0" w:type="dxa"/>
        <w:right w:w="0" w:type="dxa"/>
        <w:bottom w:w="0" w:type="dxa"/>
      </w:tblCellMar>
    </w:tblPr>
  </w:style>
  <w:style w:type="table" w:styleId="1008" w:customStyle="1">
    <w:name w:val="List Table 2 - Accent 6"/>
    <w:uiPriority w:val="99"/>
    <w:qFormat/>
    <w:tblPr>
      <w:tblCellMar>
        <w:left w:w="0" w:type="dxa"/>
        <w:top w:w="0" w:type="dxa"/>
        <w:right w:w="0" w:type="dxa"/>
        <w:bottom w:w="0" w:type="dxa"/>
      </w:tblCellMar>
    </w:tblPr>
  </w:style>
  <w:style w:type="table" w:styleId="1009" w:customStyle="1">
    <w:name w:val="List Table 3"/>
    <w:uiPriority w:val="99"/>
    <w:qFormat/>
    <w:tblPr>
      <w:tblCellMar>
        <w:left w:w="0" w:type="dxa"/>
        <w:top w:w="0" w:type="dxa"/>
        <w:right w:w="0" w:type="dxa"/>
        <w:bottom w:w="0" w:type="dxa"/>
      </w:tblCellMar>
    </w:tblPr>
  </w:style>
  <w:style w:type="table" w:styleId="1010" w:customStyle="1">
    <w:name w:val="List Table 3 - Accent 1"/>
    <w:uiPriority w:val="99"/>
    <w:qFormat/>
    <w:tblPr>
      <w:tblCellMar>
        <w:left w:w="0" w:type="dxa"/>
        <w:top w:w="0" w:type="dxa"/>
        <w:right w:w="0" w:type="dxa"/>
        <w:bottom w:w="0" w:type="dxa"/>
      </w:tblCellMar>
    </w:tblPr>
  </w:style>
  <w:style w:type="table" w:styleId="1011" w:customStyle="1">
    <w:name w:val="List Table 3 - Accent 2"/>
    <w:uiPriority w:val="99"/>
    <w:qFormat/>
    <w:tblPr>
      <w:tblCellMar>
        <w:left w:w="0" w:type="dxa"/>
        <w:top w:w="0" w:type="dxa"/>
        <w:right w:w="0" w:type="dxa"/>
        <w:bottom w:w="0" w:type="dxa"/>
      </w:tblCellMar>
    </w:tblPr>
  </w:style>
  <w:style w:type="table" w:styleId="1012" w:customStyle="1">
    <w:name w:val="List Table 3 - Accent 3"/>
    <w:uiPriority w:val="99"/>
    <w:qFormat/>
    <w:tblPr>
      <w:tblCellMar>
        <w:left w:w="0" w:type="dxa"/>
        <w:top w:w="0" w:type="dxa"/>
        <w:right w:w="0" w:type="dxa"/>
        <w:bottom w:w="0" w:type="dxa"/>
      </w:tblCellMar>
    </w:tblPr>
  </w:style>
  <w:style w:type="table" w:styleId="1013" w:customStyle="1">
    <w:name w:val="List Table 3 - Accent 4"/>
    <w:uiPriority w:val="99"/>
    <w:qFormat/>
    <w:tblPr>
      <w:tblCellMar>
        <w:left w:w="0" w:type="dxa"/>
        <w:top w:w="0" w:type="dxa"/>
        <w:right w:w="0" w:type="dxa"/>
        <w:bottom w:w="0" w:type="dxa"/>
      </w:tblCellMar>
    </w:tblPr>
  </w:style>
  <w:style w:type="table" w:styleId="1014" w:customStyle="1">
    <w:name w:val="List Table 3 - Accent 5"/>
    <w:uiPriority w:val="99"/>
    <w:qFormat/>
    <w:tblPr>
      <w:tblCellMar>
        <w:left w:w="0" w:type="dxa"/>
        <w:top w:w="0" w:type="dxa"/>
        <w:right w:w="0" w:type="dxa"/>
        <w:bottom w:w="0" w:type="dxa"/>
      </w:tblCellMar>
    </w:tblPr>
  </w:style>
  <w:style w:type="table" w:styleId="1015" w:customStyle="1">
    <w:name w:val="List Table 3 - Accent 6"/>
    <w:uiPriority w:val="99"/>
    <w:qFormat/>
    <w:tblPr>
      <w:tblCellMar>
        <w:left w:w="0" w:type="dxa"/>
        <w:top w:w="0" w:type="dxa"/>
        <w:right w:w="0" w:type="dxa"/>
        <w:bottom w:w="0" w:type="dxa"/>
      </w:tblCellMar>
    </w:tblPr>
  </w:style>
  <w:style w:type="table" w:styleId="1016" w:customStyle="1">
    <w:name w:val="List Table 4"/>
    <w:uiPriority w:val="99"/>
    <w:qFormat/>
    <w:tblPr>
      <w:tblCellMar>
        <w:left w:w="0" w:type="dxa"/>
        <w:top w:w="0" w:type="dxa"/>
        <w:right w:w="0" w:type="dxa"/>
        <w:bottom w:w="0" w:type="dxa"/>
      </w:tblCellMar>
    </w:tblPr>
  </w:style>
  <w:style w:type="table" w:styleId="1017" w:customStyle="1">
    <w:name w:val="List Table 4 - Accent 1"/>
    <w:uiPriority w:val="99"/>
    <w:qFormat/>
    <w:tblPr>
      <w:tblCellMar>
        <w:left w:w="0" w:type="dxa"/>
        <w:top w:w="0" w:type="dxa"/>
        <w:right w:w="0" w:type="dxa"/>
        <w:bottom w:w="0" w:type="dxa"/>
      </w:tblCellMar>
    </w:tblPr>
  </w:style>
  <w:style w:type="table" w:styleId="1018" w:customStyle="1">
    <w:name w:val="List Table 4 - Accent 2"/>
    <w:uiPriority w:val="99"/>
    <w:qFormat/>
    <w:tblPr>
      <w:tblCellMar>
        <w:left w:w="0" w:type="dxa"/>
        <w:top w:w="0" w:type="dxa"/>
        <w:right w:w="0" w:type="dxa"/>
        <w:bottom w:w="0" w:type="dxa"/>
      </w:tblCellMar>
    </w:tblPr>
  </w:style>
  <w:style w:type="table" w:styleId="1019" w:customStyle="1">
    <w:name w:val="List Table 4 - Accent 3"/>
    <w:uiPriority w:val="99"/>
    <w:qFormat/>
    <w:tblPr>
      <w:tblCellMar>
        <w:left w:w="0" w:type="dxa"/>
        <w:top w:w="0" w:type="dxa"/>
        <w:right w:w="0" w:type="dxa"/>
        <w:bottom w:w="0" w:type="dxa"/>
      </w:tblCellMar>
    </w:tblPr>
  </w:style>
  <w:style w:type="table" w:styleId="1020" w:customStyle="1">
    <w:name w:val="List Table 4 - Accent 4"/>
    <w:uiPriority w:val="99"/>
    <w:qFormat/>
    <w:tblPr>
      <w:tblCellMar>
        <w:left w:w="0" w:type="dxa"/>
        <w:top w:w="0" w:type="dxa"/>
        <w:right w:w="0" w:type="dxa"/>
        <w:bottom w:w="0" w:type="dxa"/>
      </w:tblCellMar>
    </w:tblPr>
  </w:style>
  <w:style w:type="table" w:styleId="1021" w:customStyle="1">
    <w:name w:val="List Table 4 - Accent 5"/>
    <w:uiPriority w:val="99"/>
    <w:qFormat/>
    <w:tblPr>
      <w:tblCellMar>
        <w:left w:w="0" w:type="dxa"/>
        <w:top w:w="0" w:type="dxa"/>
        <w:right w:w="0" w:type="dxa"/>
        <w:bottom w:w="0" w:type="dxa"/>
      </w:tblCellMar>
    </w:tblPr>
  </w:style>
  <w:style w:type="table" w:styleId="1022" w:customStyle="1">
    <w:name w:val="List Table 4 - Accent 6"/>
    <w:uiPriority w:val="99"/>
    <w:qFormat/>
    <w:tblPr>
      <w:tblCellMar>
        <w:left w:w="0" w:type="dxa"/>
        <w:top w:w="0" w:type="dxa"/>
        <w:right w:w="0" w:type="dxa"/>
        <w:bottom w:w="0" w:type="dxa"/>
      </w:tblCellMar>
    </w:tblPr>
  </w:style>
  <w:style w:type="table" w:styleId="1023" w:customStyle="1">
    <w:name w:val="List Table 5 Dark"/>
    <w:uiPriority w:val="99"/>
    <w:qFormat/>
    <w:tblPr>
      <w:tblCellMar>
        <w:left w:w="0" w:type="dxa"/>
        <w:top w:w="0" w:type="dxa"/>
        <w:right w:w="0" w:type="dxa"/>
        <w:bottom w:w="0" w:type="dxa"/>
      </w:tblCellMar>
    </w:tblPr>
  </w:style>
  <w:style w:type="table" w:styleId="1024" w:customStyle="1">
    <w:name w:val="List Table 5 Dark - Accent 1"/>
    <w:uiPriority w:val="99"/>
    <w:qFormat/>
    <w:tblPr>
      <w:tblCellMar>
        <w:left w:w="0" w:type="dxa"/>
        <w:top w:w="0" w:type="dxa"/>
        <w:right w:w="0" w:type="dxa"/>
        <w:bottom w:w="0" w:type="dxa"/>
      </w:tblCellMar>
    </w:tblPr>
  </w:style>
  <w:style w:type="table" w:styleId="1025" w:customStyle="1">
    <w:name w:val="List Table 5 Dark - Accent 2"/>
    <w:uiPriority w:val="99"/>
    <w:qFormat/>
    <w:tblPr>
      <w:tblCellMar>
        <w:left w:w="0" w:type="dxa"/>
        <w:top w:w="0" w:type="dxa"/>
        <w:right w:w="0" w:type="dxa"/>
        <w:bottom w:w="0" w:type="dxa"/>
      </w:tblCellMar>
    </w:tblPr>
  </w:style>
  <w:style w:type="table" w:styleId="1026" w:customStyle="1">
    <w:name w:val="List Table 5 Dark - Accent 3"/>
    <w:uiPriority w:val="99"/>
    <w:qFormat/>
    <w:tblPr>
      <w:tblCellMar>
        <w:left w:w="0" w:type="dxa"/>
        <w:top w:w="0" w:type="dxa"/>
        <w:right w:w="0" w:type="dxa"/>
        <w:bottom w:w="0" w:type="dxa"/>
      </w:tblCellMar>
    </w:tblPr>
  </w:style>
  <w:style w:type="table" w:styleId="1027" w:customStyle="1">
    <w:name w:val="List Table 5 Dark - Accent 4"/>
    <w:uiPriority w:val="99"/>
    <w:qFormat/>
    <w:tblPr>
      <w:tblCellMar>
        <w:left w:w="0" w:type="dxa"/>
        <w:top w:w="0" w:type="dxa"/>
        <w:right w:w="0" w:type="dxa"/>
        <w:bottom w:w="0" w:type="dxa"/>
      </w:tblCellMar>
    </w:tblPr>
  </w:style>
  <w:style w:type="table" w:styleId="1028" w:customStyle="1">
    <w:name w:val="List Table 5 Dark - Accent 5"/>
    <w:uiPriority w:val="99"/>
    <w:qFormat/>
    <w:tblPr>
      <w:tblCellMar>
        <w:left w:w="0" w:type="dxa"/>
        <w:top w:w="0" w:type="dxa"/>
        <w:right w:w="0" w:type="dxa"/>
        <w:bottom w:w="0" w:type="dxa"/>
      </w:tblCellMar>
    </w:tblPr>
  </w:style>
  <w:style w:type="table" w:styleId="1029" w:customStyle="1">
    <w:name w:val="List Table 5 Dark - Accent 6"/>
    <w:uiPriority w:val="99"/>
    <w:qFormat/>
    <w:tblPr>
      <w:tblCellMar>
        <w:left w:w="0" w:type="dxa"/>
        <w:top w:w="0" w:type="dxa"/>
        <w:right w:w="0" w:type="dxa"/>
        <w:bottom w:w="0" w:type="dxa"/>
      </w:tblCellMar>
    </w:tblPr>
  </w:style>
  <w:style w:type="table" w:styleId="1030" w:customStyle="1">
    <w:name w:val="List Table 6 Colorful"/>
    <w:uiPriority w:val="99"/>
    <w:qFormat/>
    <w:tblPr>
      <w:tblCellMar>
        <w:left w:w="0" w:type="dxa"/>
        <w:top w:w="0" w:type="dxa"/>
        <w:right w:w="0" w:type="dxa"/>
        <w:bottom w:w="0" w:type="dxa"/>
      </w:tblCellMar>
    </w:tblPr>
  </w:style>
  <w:style w:type="table" w:styleId="1031" w:customStyle="1">
    <w:name w:val="List Table 6 Colorful - Accent 1"/>
    <w:uiPriority w:val="99"/>
    <w:qFormat/>
    <w:tblPr>
      <w:tblCellMar>
        <w:left w:w="0" w:type="dxa"/>
        <w:top w:w="0" w:type="dxa"/>
        <w:right w:w="0" w:type="dxa"/>
        <w:bottom w:w="0" w:type="dxa"/>
      </w:tblCellMar>
    </w:tblPr>
  </w:style>
  <w:style w:type="table" w:styleId="1032" w:customStyle="1">
    <w:name w:val="List Table 6 Colorful - Accent 2"/>
    <w:uiPriority w:val="99"/>
    <w:qFormat/>
    <w:tblPr>
      <w:tblCellMar>
        <w:left w:w="0" w:type="dxa"/>
        <w:top w:w="0" w:type="dxa"/>
        <w:right w:w="0" w:type="dxa"/>
        <w:bottom w:w="0" w:type="dxa"/>
      </w:tblCellMar>
    </w:tblPr>
  </w:style>
  <w:style w:type="table" w:styleId="1033" w:customStyle="1">
    <w:name w:val="List Table 6 Colorful - Accent 3"/>
    <w:uiPriority w:val="99"/>
    <w:qFormat/>
    <w:tblPr>
      <w:tblCellMar>
        <w:left w:w="0" w:type="dxa"/>
        <w:top w:w="0" w:type="dxa"/>
        <w:right w:w="0" w:type="dxa"/>
        <w:bottom w:w="0" w:type="dxa"/>
      </w:tblCellMar>
    </w:tblPr>
  </w:style>
  <w:style w:type="table" w:styleId="1034" w:customStyle="1">
    <w:name w:val="List Table 6 Colorful - Accent 4"/>
    <w:uiPriority w:val="99"/>
    <w:qFormat/>
    <w:tblPr>
      <w:tblCellMar>
        <w:left w:w="0" w:type="dxa"/>
        <w:top w:w="0" w:type="dxa"/>
        <w:right w:w="0" w:type="dxa"/>
        <w:bottom w:w="0" w:type="dxa"/>
      </w:tblCellMar>
    </w:tblPr>
  </w:style>
  <w:style w:type="table" w:styleId="1035" w:customStyle="1">
    <w:name w:val="List Table 6 Colorful - Accent 5"/>
    <w:uiPriority w:val="99"/>
    <w:qFormat/>
    <w:tblPr>
      <w:tblCellMar>
        <w:left w:w="0" w:type="dxa"/>
        <w:top w:w="0" w:type="dxa"/>
        <w:right w:w="0" w:type="dxa"/>
        <w:bottom w:w="0" w:type="dxa"/>
      </w:tblCellMar>
    </w:tblPr>
  </w:style>
  <w:style w:type="table" w:styleId="1036" w:customStyle="1">
    <w:name w:val="List Table 6 Colorful - Accent 6"/>
    <w:uiPriority w:val="99"/>
    <w:qFormat/>
    <w:tblPr>
      <w:tblCellMar>
        <w:left w:w="0" w:type="dxa"/>
        <w:top w:w="0" w:type="dxa"/>
        <w:right w:w="0" w:type="dxa"/>
        <w:bottom w:w="0" w:type="dxa"/>
      </w:tblCellMar>
    </w:tblPr>
  </w:style>
  <w:style w:type="table" w:styleId="1037" w:customStyle="1">
    <w:name w:val="List Table 7 Colorful"/>
    <w:uiPriority w:val="99"/>
    <w:qFormat/>
    <w:tblPr>
      <w:tblCellMar>
        <w:left w:w="0" w:type="dxa"/>
        <w:top w:w="0" w:type="dxa"/>
        <w:right w:w="0" w:type="dxa"/>
        <w:bottom w:w="0" w:type="dxa"/>
      </w:tblCellMar>
    </w:tblPr>
  </w:style>
  <w:style w:type="table" w:styleId="1038" w:customStyle="1">
    <w:name w:val="List Table 7 Colorful - Accent 1"/>
    <w:uiPriority w:val="99"/>
    <w:qFormat/>
    <w:tblPr>
      <w:tblCellMar>
        <w:left w:w="0" w:type="dxa"/>
        <w:top w:w="0" w:type="dxa"/>
        <w:right w:w="0" w:type="dxa"/>
        <w:bottom w:w="0" w:type="dxa"/>
      </w:tblCellMar>
    </w:tblPr>
  </w:style>
  <w:style w:type="table" w:styleId="1039" w:customStyle="1">
    <w:name w:val="List Table 7 Colorful - Accent 2"/>
    <w:uiPriority w:val="99"/>
    <w:qFormat/>
    <w:tblPr>
      <w:tblCellMar>
        <w:left w:w="0" w:type="dxa"/>
        <w:top w:w="0" w:type="dxa"/>
        <w:right w:w="0" w:type="dxa"/>
        <w:bottom w:w="0" w:type="dxa"/>
      </w:tblCellMar>
    </w:tblPr>
  </w:style>
  <w:style w:type="table" w:styleId="1040" w:customStyle="1">
    <w:name w:val="List Table 7 Colorful - Accent 3"/>
    <w:uiPriority w:val="99"/>
    <w:qFormat/>
    <w:tblPr>
      <w:tblCellMar>
        <w:left w:w="0" w:type="dxa"/>
        <w:top w:w="0" w:type="dxa"/>
        <w:right w:w="0" w:type="dxa"/>
        <w:bottom w:w="0" w:type="dxa"/>
      </w:tblCellMar>
    </w:tblPr>
  </w:style>
  <w:style w:type="table" w:styleId="1041" w:customStyle="1">
    <w:name w:val="List Table 7 Colorful - Accent 4"/>
    <w:uiPriority w:val="99"/>
    <w:qFormat/>
    <w:tblPr>
      <w:tblCellMar>
        <w:left w:w="0" w:type="dxa"/>
        <w:top w:w="0" w:type="dxa"/>
        <w:right w:w="0" w:type="dxa"/>
        <w:bottom w:w="0" w:type="dxa"/>
      </w:tblCellMar>
    </w:tblPr>
  </w:style>
  <w:style w:type="table" w:styleId="1042" w:customStyle="1">
    <w:name w:val="List Table 7 Colorful - Accent 5"/>
    <w:uiPriority w:val="99"/>
    <w:qFormat/>
    <w:tblPr>
      <w:tblCellMar>
        <w:left w:w="0" w:type="dxa"/>
        <w:top w:w="0" w:type="dxa"/>
        <w:right w:w="0" w:type="dxa"/>
        <w:bottom w:w="0" w:type="dxa"/>
      </w:tblCellMar>
    </w:tblPr>
  </w:style>
  <w:style w:type="table" w:styleId="1043" w:customStyle="1">
    <w:name w:val="List Table 7 Colorful - Accent 6"/>
    <w:uiPriority w:val="99"/>
    <w:qFormat/>
    <w:tblPr>
      <w:tblCellMar>
        <w:left w:w="0" w:type="dxa"/>
        <w:top w:w="0" w:type="dxa"/>
        <w:right w:w="0" w:type="dxa"/>
        <w:bottom w:w="0" w:type="dxa"/>
      </w:tblCellMar>
    </w:tblPr>
  </w:style>
  <w:style w:type="table" w:styleId="1044" w:customStyle="1">
    <w:name w:val="Lined - Accent"/>
    <w:uiPriority w:val="99"/>
    <w:qFormat/>
    <w:rPr>
      <w:color w:val="404040"/>
    </w:rPr>
    <w:tblPr>
      <w:tblCellMar>
        <w:left w:w="0" w:type="dxa"/>
        <w:top w:w="0" w:type="dxa"/>
        <w:right w:w="0" w:type="dxa"/>
        <w:bottom w:w="0" w:type="dxa"/>
      </w:tblCellMar>
    </w:tblPr>
  </w:style>
  <w:style w:type="table" w:styleId="1045" w:customStyle="1">
    <w:name w:val="Lined - Accent 1"/>
    <w:uiPriority w:val="99"/>
    <w:qFormat/>
    <w:rPr>
      <w:color w:val="404040"/>
    </w:rPr>
    <w:tblPr>
      <w:tblCellMar>
        <w:left w:w="0" w:type="dxa"/>
        <w:top w:w="0" w:type="dxa"/>
        <w:right w:w="0" w:type="dxa"/>
        <w:bottom w:w="0" w:type="dxa"/>
      </w:tblCellMar>
    </w:tblPr>
  </w:style>
  <w:style w:type="table" w:styleId="1046" w:customStyle="1">
    <w:name w:val="Lined - Accent 2"/>
    <w:uiPriority w:val="99"/>
    <w:qFormat/>
    <w:rPr>
      <w:color w:val="404040"/>
    </w:rPr>
    <w:tblPr>
      <w:tblCellMar>
        <w:left w:w="0" w:type="dxa"/>
        <w:top w:w="0" w:type="dxa"/>
        <w:right w:w="0" w:type="dxa"/>
        <w:bottom w:w="0" w:type="dxa"/>
      </w:tblCellMar>
    </w:tblPr>
  </w:style>
  <w:style w:type="table" w:styleId="1047" w:customStyle="1">
    <w:name w:val="Lined - Accent 3"/>
    <w:uiPriority w:val="99"/>
    <w:qFormat/>
    <w:rPr>
      <w:color w:val="404040"/>
    </w:rPr>
    <w:tblPr>
      <w:tblCellMar>
        <w:left w:w="0" w:type="dxa"/>
        <w:top w:w="0" w:type="dxa"/>
        <w:right w:w="0" w:type="dxa"/>
        <w:bottom w:w="0" w:type="dxa"/>
      </w:tblCellMar>
    </w:tblPr>
  </w:style>
  <w:style w:type="table" w:styleId="1048" w:customStyle="1">
    <w:name w:val="Lined - Accent 4"/>
    <w:uiPriority w:val="99"/>
    <w:qFormat/>
    <w:rPr>
      <w:color w:val="404040"/>
    </w:rPr>
    <w:tblPr>
      <w:tblCellMar>
        <w:left w:w="0" w:type="dxa"/>
        <w:top w:w="0" w:type="dxa"/>
        <w:right w:w="0" w:type="dxa"/>
        <w:bottom w:w="0" w:type="dxa"/>
      </w:tblCellMar>
    </w:tblPr>
  </w:style>
  <w:style w:type="table" w:styleId="1049" w:customStyle="1">
    <w:name w:val="Lined - Accent 5"/>
    <w:uiPriority w:val="99"/>
    <w:qFormat/>
    <w:rPr>
      <w:color w:val="404040"/>
    </w:rPr>
    <w:tblPr>
      <w:tblCellMar>
        <w:left w:w="0" w:type="dxa"/>
        <w:top w:w="0" w:type="dxa"/>
        <w:right w:w="0" w:type="dxa"/>
        <w:bottom w:w="0" w:type="dxa"/>
      </w:tblCellMar>
    </w:tblPr>
  </w:style>
  <w:style w:type="table" w:styleId="1050" w:customStyle="1">
    <w:name w:val="Lined - Accent 6"/>
    <w:uiPriority w:val="99"/>
    <w:qFormat/>
    <w:rPr>
      <w:color w:val="404040"/>
    </w:rPr>
    <w:tblPr>
      <w:tblCellMar>
        <w:left w:w="0" w:type="dxa"/>
        <w:top w:w="0" w:type="dxa"/>
        <w:right w:w="0" w:type="dxa"/>
        <w:bottom w:w="0" w:type="dxa"/>
      </w:tblCellMar>
    </w:tblPr>
  </w:style>
  <w:style w:type="table" w:styleId="1051" w:customStyle="1">
    <w:name w:val="Bordered &amp; Lined - Accent"/>
    <w:uiPriority w:val="99"/>
    <w:qFormat/>
    <w:rPr>
      <w:color w:val="404040"/>
    </w:rPr>
    <w:tblPr>
      <w:tblCellMar>
        <w:left w:w="0" w:type="dxa"/>
        <w:top w:w="0" w:type="dxa"/>
        <w:right w:w="0" w:type="dxa"/>
        <w:bottom w:w="0" w:type="dxa"/>
      </w:tblCellMar>
    </w:tblPr>
  </w:style>
  <w:style w:type="table" w:styleId="1052" w:customStyle="1">
    <w:name w:val="Bordered &amp; Lined - Accent 1"/>
    <w:uiPriority w:val="99"/>
    <w:qFormat/>
    <w:rPr>
      <w:color w:val="404040"/>
    </w:rPr>
    <w:tblPr>
      <w:tblCellMar>
        <w:left w:w="0" w:type="dxa"/>
        <w:top w:w="0" w:type="dxa"/>
        <w:right w:w="0" w:type="dxa"/>
        <w:bottom w:w="0" w:type="dxa"/>
      </w:tblCellMar>
    </w:tblPr>
  </w:style>
  <w:style w:type="table" w:styleId="1053" w:customStyle="1">
    <w:name w:val="Bordered &amp; Lined - Accent 2"/>
    <w:uiPriority w:val="99"/>
    <w:qFormat/>
    <w:rPr>
      <w:color w:val="404040"/>
    </w:rPr>
    <w:tblPr>
      <w:tblCellMar>
        <w:left w:w="0" w:type="dxa"/>
        <w:top w:w="0" w:type="dxa"/>
        <w:right w:w="0" w:type="dxa"/>
        <w:bottom w:w="0" w:type="dxa"/>
      </w:tblCellMar>
    </w:tblPr>
  </w:style>
  <w:style w:type="table" w:styleId="1054" w:customStyle="1">
    <w:name w:val="Bordered &amp; Lined - Accent 3"/>
    <w:uiPriority w:val="99"/>
    <w:qFormat/>
    <w:rPr>
      <w:color w:val="404040"/>
    </w:rPr>
    <w:tblPr>
      <w:tblCellMar>
        <w:left w:w="0" w:type="dxa"/>
        <w:top w:w="0" w:type="dxa"/>
        <w:right w:w="0" w:type="dxa"/>
        <w:bottom w:w="0" w:type="dxa"/>
      </w:tblCellMar>
    </w:tblPr>
  </w:style>
  <w:style w:type="table" w:styleId="1055" w:customStyle="1">
    <w:name w:val="Bordered &amp; Lined - Accent 4"/>
    <w:uiPriority w:val="99"/>
    <w:qFormat/>
    <w:rPr>
      <w:color w:val="404040"/>
    </w:rPr>
    <w:tblPr>
      <w:tblCellMar>
        <w:left w:w="0" w:type="dxa"/>
        <w:top w:w="0" w:type="dxa"/>
        <w:right w:w="0" w:type="dxa"/>
        <w:bottom w:w="0" w:type="dxa"/>
      </w:tblCellMar>
    </w:tblPr>
  </w:style>
  <w:style w:type="table" w:styleId="1056" w:customStyle="1">
    <w:name w:val="Bordered &amp; Lined - Accent 5"/>
    <w:uiPriority w:val="99"/>
    <w:qFormat/>
    <w:rPr>
      <w:color w:val="404040"/>
    </w:rPr>
    <w:tblPr>
      <w:tblCellMar>
        <w:left w:w="0" w:type="dxa"/>
        <w:top w:w="0" w:type="dxa"/>
        <w:right w:w="0" w:type="dxa"/>
        <w:bottom w:w="0" w:type="dxa"/>
      </w:tblCellMar>
    </w:tblPr>
  </w:style>
  <w:style w:type="table" w:styleId="1057" w:customStyle="1">
    <w:name w:val="Bordered &amp; Lined - Accent 6"/>
    <w:uiPriority w:val="99"/>
    <w:qFormat/>
    <w:rPr>
      <w:color w:val="404040"/>
    </w:rPr>
    <w:tblPr>
      <w:tblCellMar>
        <w:left w:w="0" w:type="dxa"/>
        <w:top w:w="0" w:type="dxa"/>
        <w:right w:w="0" w:type="dxa"/>
        <w:bottom w:w="0" w:type="dxa"/>
      </w:tblCellMar>
    </w:tblPr>
  </w:style>
  <w:style w:type="table" w:styleId="1058" w:customStyle="1">
    <w:name w:val="Bordered"/>
    <w:uiPriority w:val="99"/>
    <w:qFormat/>
    <w:tblPr>
      <w:tblCellMar>
        <w:left w:w="0" w:type="dxa"/>
        <w:top w:w="0" w:type="dxa"/>
        <w:right w:w="0" w:type="dxa"/>
        <w:bottom w:w="0" w:type="dxa"/>
      </w:tblCellMar>
    </w:tblPr>
  </w:style>
  <w:style w:type="table" w:styleId="1059" w:customStyle="1">
    <w:name w:val="Bordered - Accent 1"/>
    <w:uiPriority w:val="99"/>
    <w:qFormat/>
    <w:tblPr>
      <w:tblCellMar>
        <w:left w:w="0" w:type="dxa"/>
        <w:top w:w="0" w:type="dxa"/>
        <w:right w:w="0" w:type="dxa"/>
        <w:bottom w:w="0" w:type="dxa"/>
      </w:tblCellMar>
    </w:tblPr>
  </w:style>
  <w:style w:type="table" w:styleId="1060" w:customStyle="1">
    <w:name w:val="Bordered - Accent 2"/>
    <w:uiPriority w:val="99"/>
    <w:qFormat/>
    <w:tblPr>
      <w:tblCellMar>
        <w:left w:w="0" w:type="dxa"/>
        <w:top w:w="0" w:type="dxa"/>
        <w:right w:w="0" w:type="dxa"/>
        <w:bottom w:w="0" w:type="dxa"/>
      </w:tblCellMar>
    </w:tblPr>
  </w:style>
  <w:style w:type="table" w:styleId="1061" w:customStyle="1">
    <w:name w:val="Bordered - Accent 3"/>
    <w:uiPriority w:val="99"/>
    <w:qFormat/>
    <w:tblPr>
      <w:tblCellMar>
        <w:left w:w="0" w:type="dxa"/>
        <w:top w:w="0" w:type="dxa"/>
        <w:right w:w="0" w:type="dxa"/>
        <w:bottom w:w="0" w:type="dxa"/>
      </w:tblCellMar>
    </w:tblPr>
  </w:style>
  <w:style w:type="table" w:styleId="1062" w:customStyle="1">
    <w:name w:val="Bordered - Accent 4"/>
    <w:uiPriority w:val="99"/>
    <w:qFormat/>
    <w:tblPr>
      <w:tblCellMar>
        <w:left w:w="0" w:type="dxa"/>
        <w:top w:w="0" w:type="dxa"/>
        <w:right w:w="0" w:type="dxa"/>
        <w:bottom w:w="0" w:type="dxa"/>
      </w:tblCellMar>
    </w:tblPr>
  </w:style>
  <w:style w:type="table" w:styleId="1063" w:customStyle="1">
    <w:name w:val="Bordered - Accent 5"/>
    <w:uiPriority w:val="99"/>
    <w:qFormat/>
    <w:tblPr>
      <w:tblCellMar>
        <w:left w:w="0" w:type="dxa"/>
        <w:top w:w="0" w:type="dxa"/>
        <w:right w:w="0" w:type="dxa"/>
        <w:bottom w:w="0" w:type="dxa"/>
      </w:tblCellMar>
    </w:tblPr>
  </w:style>
  <w:style w:type="table" w:styleId="1064" w:customStyle="1">
    <w:name w:val="Bordered - Accent 6"/>
    <w:uiPriority w:val="99"/>
    <w:qFormat/>
    <w:tblPr>
      <w:tblCellMar>
        <w:left w:w="0" w:type="dxa"/>
        <w:top w:w="0" w:type="dxa"/>
        <w:right w:w="0" w:type="dxa"/>
        <w:bottom w:w="0" w:type="dxa"/>
      </w:tblCellMar>
    </w:tblPr>
  </w:style>
  <w:style w:type="paragraph" w:styleId="1065" w:customStyle="1">
    <w:name w:val="TOC Heading"/>
    <w:uiPriority w:val="39"/>
    <w:unhideWhenUsed/>
    <w:qFormat/>
    <w:rPr>
      <w:rFonts w:hint="default" w:ascii="Times New Roman" w:hAnsi="Times New Roman" w:eastAsia="宋体" w:cs="Times New Roman"/>
      <w:lang w:val="en-US" w:eastAsia="zh-CN" w:bidi="ar-SA"/>
    </w:rPr>
  </w:style>
  <w:style w:type="paragraph" w:styleId="1066" w:customStyle="1">
    <w:name w:val="标题 111"/>
    <w:basedOn w:val="859"/>
    <w:next w:val="859"/>
    <w:link w:val="1067"/>
    <w:uiPriority w:val="0"/>
    <w:qFormat/>
    <w:pPr>
      <w:jc w:val="center"/>
      <w:keepNext/>
      <w:outlineLvl w:val="0"/>
    </w:pPr>
    <w:rPr>
      <w:rFonts w:ascii="楷体_GB2312" w:eastAsia="楷体_GB2312"/>
      <w:sz w:val="28"/>
      <w:szCs w:val="28"/>
    </w:rPr>
  </w:style>
  <w:style w:type="character" w:styleId="1067" w:customStyle="1">
    <w:name w:val="标题 1 字符"/>
    <w:link w:val="1066"/>
    <w:uiPriority w:val="9"/>
    <w:qFormat/>
    <w:rPr>
      <w:rFonts w:ascii="楷体_GB2312" w:eastAsia="楷体_GB2312"/>
      <w:sz w:val="28"/>
      <w:szCs w:val="28"/>
      <w:lang w:val="en-US" w:eastAsia="zh-CN" w:bidi="ar-SA"/>
    </w:rPr>
  </w:style>
  <w:style w:type="paragraph" w:styleId="1068" w:customStyle="1">
    <w:name w:val="标题 21"/>
    <w:basedOn w:val="859"/>
    <w:next w:val="859"/>
    <w:link w:val="1069"/>
    <w:uiPriority w:val="0"/>
    <w:qFormat/>
    <w:pPr>
      <w:jc w:val="left"/>
      <w:keepLines/>
      <w:keepNext/>
      <w:spacing w:before="260" w:after="260" w:line="415" w:lineRule="auto"/>
      <w:outlineLvl w:val="1"/>
    </w:pPr>
    <w:rPr>
      <w:rFonts w:ascii="Arial" w:hAnsi="Arial" w:eastAsia="仿宋_GB2312" w:cs="Arial"/>
      <w:sz w:val="28"/>
      <w:szCs w:val="44"/>
    </w:rPr>
  </w:style>
  <w:style w:type="character" w:styleId="1069" w:customStyle="1">
    <w:name w:val="标题 2 字符"/>
    <w:link w:val="1068"/>
    <w:uiPriority w:val="0"/>
    <w:qFormat/>
    <w:rPr>
      <w:rFonts w:ascii="Arial" w:hAnsi="Arial" w:eastAsia="仿宋_GB2312" w:cs="Arial"/>
      <w:sz w:val="28"/>
      <w:szCs w:val="44"/>
      <w:lang w:val="en-US" w:eastAsia="zh-CN" w:bidi="ar-SA"/>
    </w:rPr>
  </w:style>
  <w:style w:type="paragraph" w:styleId="1070" w:customStyle="1">
    <w:name w:val="标题 31"/>
    <w:basedOn w:val="859"/>
    <w:next w:val="859"/>
    <w:link w:val="1071"/>
    <w:uiPriority w:val="0"/>
    <w:qFormat/>
    <w:pPr>
      <w:keepLines/>
      <w:keepNext/>
      <w:spacing w:before="260" w:after="260" w:line="415" w:lineRule="auto"/>
      <w:outlineLvl w:val="2"/>
    </w:pPr>
    <w:rPr>
      <w:sz w:val="32"/>
      <w:szCs w:val="32"/>
    </w:rPr>
  </w:style>
  <w:style w:type="character" w:styleId="1071" w:customStyle="1">
    <w:name w:val="标题 3 字符1"/>
    <w:link w:val="1070"/>
    <w:uiPriority w:val="9"/>
    <w:qFormat/>
    <w:rPr>
      <w:rFonts w:eastAsia="宋体"/>
      <w:sz w:val="32"/>
      <w:szCs w:val="32"/>
      <w:lang w:val="en-US" w:eastAsia="zh-CN" w:bidi="ar-SA"/>
    </w:rPr>
  </w:style>
  <w:style w:type="paragraph" w:styleId="1072" w:customStyle="1">
    <w:name w:val="标题 41"/>
    <w:basedOn w:val="859"/>
    <w:next w:val="859"/>
    <w:link w:val="1073"/>
    <w:uiPriority w:val="0"/>
    <w:qFormat/>
    <w:pPr>
      <w:keepLines/>
      <w:keepNext/>
      <w:spacing w:before="280" w:after="290" w:line="374" w:lineRule="auto"/>
      <w:outlineLvl w:val="3"/>
    </w:pPr>
    <w:rPr>
      <w:rFonts w:ascii="Arial" w:hAnsi="Arial" w:eastAsia="黑体" w:cs="Arial"/>
      <w:sz w:val="28"/>
      <w:szCs w:val="28"/>
    </w:rPr>
  </w:style>
  <w:style w:type="character" w:styleId="1073" w:customStyle="1">
    <w:name w:val="标题 4 字符"/>
    <w:link w:val="1072"/>
    <w:uiPriority w:val="0"/>
    <w:qFormat/>
    <w:rPr>
      <w:rFonts w:ascii="Arial" w:hAnsi="Arial" w:eastAsia="黑体" w:cs="Arial"/>
      <w:sz w:val="28"/>
      <w:szCs w:val="28"/>
      <w:lang w:val="en-US" w:eastAsia="zh-CN" w:bidi="ar-SA"/>
    </w:rPr>
  </w:style>
  <w:style w:type="paragraph" w:styleId="1074" w:customStyle="1">
    <w:name w:val="标题 51"/>
    <w:basedOn w:val="859"/>
    <w:next w:val="1075"/>
    <w:link w:val="1076"/>
    <w:uiPriority w:val="0"/>
    <w:qFormat/>
    <w:pPr>
      <w:keepNext/>
      <w:outlineLvl w:val="4"/>
    </w:pPr>
    <w:rPr>
      <w:rFonts w:ascii="宋体"/>
      <w:color w:val="000000"/>
      <w:sz w:val="28"/>
      <w:szCs w:val="28"/>
    </w:rPr>
  </w:style>
  <w:style w:type="paragraph" w:styleId="1075" w:customStyle="1">
    <w:name w:val="正文缩进111"/>
    <w:basedOn w:val="859"/>
    <w:next w:val="859"/>
    <w:uiPriority w:val="0"/>
    <w:qFormat/>
    <w:pPr>
      <w:ind w:firstLine="420"/>
    </w:pPr>
    <w:rPr>
      <w:szCs w:val="21"/>
    </w:rPr>
  </w:style>
  <w:style w:type="character" w:styleId="1076" w:customStyle="1">
    <w:name w:val="标题 5 字符"/>
    <w:link w:val="1074"/>
    <w:uiPriority w:val="0"/>
    <w:qFormat/>
    <w:rPr>
      <w:rFonts w:ascii="宋体" w:eastAsia="宋体"/>
      <w:color w:val="000000"/>
      <w:sz w:val="28"/>
      <w:szCs w:val="28"/>
      <w:lang w:val="en-US" w:eastAsia="zh-CN" w:bidi="ar-SA"/>
    </w:rPr>
  </w:style>
  <w:style w:type="paragraph" w:styleId="1077" w:customStyle="1">
    <w:name w:val="标题 61"/>
    <w:basedOn w:val="859"/>
    <w:next w:val="859"/>
    <w:link w:val="1078"/>
    <w:uiPriority w:val="99"/>
    <w:qFormat/>
    <w:pPr>
      <w:keepLines/>
      <w:keepNext/>
      <w:spacing w:before="240" w:after="64" w:line="319" w:lineRule="auto"/>
      <w:outlineLvl w:val="5"/>
    </w:pPr>
    <w:rPr>
      <w:rFonts w:ascii="Arial" w:hAnsi="Arial" w:eastAsia="黑体"/>
      <w:b/>
      <w:bCs/>
      <w:sz w:val="24"/>
    </w:rPr>
  </w:style>
  <w:style w:type="character" w:styleId="1078" w:customStyle="1">
    <w:name w:val="标题 6 字符"/>
    <w:link w:val="1077"/>
    <w:uiPriority w:val="99"/>
    <w:qFormat/>
    <w:rPr>
      <w:rFonts w:ascii="Arial" w:hAnsi="Arial" w:eastAsia="黑体"/>
      <w:b/>
      <w:bCs/>
      <w:sz w:val="24"/>
      <w:szCs w:val="24"/>
      <w:lang w:val="en-US" w:eastAsia="zh-CN" w:bidi="ar-SA"/>
    </w:rPr>
  </w:style>
  <w:style w:type="paragraph" w:styleId="1079" w:customStyle="1">
    <w:name w:val="标题 71"/>
    <w:basedOn w:val="859"/>
    <w:next w:val="859"/>
    <w:link w:val="1080"/>
    <w:uiPriority w:val="99"/>
    <w:qFormat/>
    <w:pPr>
      <w:keepLines/>
      <w:keepNext/>
      <w:spacing w:before="240" w:after="64" w:line="319" w:lineRule="auto"/>
      <w:outlineLvl w:val="6"/>
    </w:pPr>
    <w:rPr>
      <w:b/>
      <w:bCs/>
      <w:sz w:val="24"/>
    </w:rPr>
  </w:style>
  <w:style w:type="character" w:styleId="1080" w:customStyle="1">
    <w:name w:val="标题 7 字符"/>
    <w:link w:val="1079"/>
    <w:uiPriority w:val="99"/>
    <w:qFormat/>
    <w:rPr>
      <w:rFonts w:eastAsia="宋体"/>
      <w:b/>
      <w:bCs/>
      <w:sz w:val="24"/>
      <w:szCs w:val="24"/>
      <w:lang w:val="en-US" w:eastAsia="zh-CN" w:bidi="ar-SA"/>
    </w:rPr>
  </w:style>
  <w:style w:type="paragraph" w:styleId="1081" w:customStyle="1">
    <w:name w:val="标题 81"/>
    <w:basedOn w:val="859"/>
    <w:next w:val="859"/>
    <w:link w:val="1082"/>
    <w:uiPriority w:val="0"/>
    <w:qFormat/>
    <w:pPr>
      <w:keepLines/>
      <w:keepNext/>
      <w:spacing w:before="240" w:after="64" w:line="319" w:lineRule="auto"/>
      <w:outlineLvl w:val="7"/>
    </w:pPr>
    <w:rPr>
      <w:rFonts w:ascii="Arial" w:hAnsi="Arial" w:eastAsia="黑体"/>
      <w:sz w:val="24"/>
    </w:rPr>
  </w:style>
  <w:style w:type="character" w:styleId="1082" w:customStyle="1">
    <w:name w:val="标题 8 字符"/>
    <w:link w:val="1081"/>
    <w:uiPriority w:val="0"/>
    <w:qFormat/>
    <w:rPr>
      <w:rFonts w:ascii="Arial" w:hAnsi="Arial" w:eastAsia="黑体"/>
      <w:sz w:val="24"/>
      <w:szCs w:val="24"/>
      <w:lang w:val="en-US" w:eastAsia="zh-CN" w:bidi="ar-SA"/>
    </w:rPr>
  </w:style>
  <w:style w:type="paragraph" w:styleId="1083" w:customStyle="1">
    <w:name w:val="标题 91"/>
    <w:basedOn w:val="859"/>
    <w:next w:val="859"/>
    <w:link w:val="1084"/>
    <w:uiPriority w:val="0"/>
    <w:qFormat/>
    <w:pPr>
      <w:keepLines/>
      <w:keepNext/>
      <w:spacing w:before="240" w:after="64" w:line="319" w:lineRule="auto"/>
      <w:outlineLvl w:val="8"/>
    </w:pPr>
    <w:rPr>
      <w:rFonts w:ascii="Arial" w:hAnsi="Arial" w:eastAsia="黑体"/>
      <w:szCs w:val="21"/>
    </w:rPr>
  </w:style>
  <w:style w:type="character" w:styleId="1084" w:customStyle="1">
    <w:name w:val="标题 9 字符"/>
    <w:link w:val="1083"/>
    <w:uiPriority w:val="0"/>
    <w:qFormat/>
    <w:rPr>
      <w:rFonts w:ascii="Arial" w:hAnsi="Arial" w:eastAsia="黑体"/>
      <w:sz w:val="21"/>
      <w:szCs w:val="21"/>
      <w:lang w:val="en-US" w:eastAsia="zh-CN" w:bidi="ar-SA"/>
    </w:rPr>
  </w:style>
  <w:style w:type="character" w:styleId="1085" w:customStyle="1">
    <w:name w:val="默认段落字体1"/>
    <w:uiPriority w:val="1"/>
    <w:unhideWhenUsed/>
    <w:qFormat/>
  </w:style>
  <w:style w:type="table" w:styleId="1086" w:customStyle="1">
    <w:name w:val="普通表格1"/>
    <w:uiPriority w:val="99"/>
    <w:unhideWhenUsed/>
    <w:qFormat/>
    <w:tblPr>
      <w:tblCellMar>
        <w:left w:w="0" w:type="dxa"/>
        <w:top w:w="0" w:type="dxa"/>
        <w:right w:w="0" w:type="dxa"/>
        <w:bottom w:w="0" w:type="dxa"/>
      </w:tblCellMar>
    </w:tblPr>
  </w:style>
  <w:style w:type="paragraph" w:styleId="1087" w:customStyle="1">
    <w:name w:val="目录 71"/>
    <w:basedOn w:val="859"/>
    <w:next w:val="859"/>
    <w:uiPriority w:val="39"/>
    <w:unhideWhenUsed/>
    <w:qFormat/>
    <w:pPr>
      <w:ind w:left="1260"/>
      <w:jc w:val="left"/>
    </w:pPr>
    <w:rPr>
      <w:sz w:val="18"/>
      <w:szCs w:val="18"/>
    </w:rPr>
  </w:style>
  <w:style w:type="paragraph" w:styleId="1088" w:customStyle="1">
    <w:name w:val="题注1"/>
    <w:basedOn w:val="859"/>
    <w:next w:val="859"/>
    <w:uiPriority w:val="0"/>
    <w:qFormat/>
    <w:pPr>
      <w:jc w:val="center"/>
      <w:spacing w:line="360" w:lineRule="auto"/>
    </w:pPr>
    <w:rPr>
      <w:rFonts w:ascii="Arial Unicode MS" w:hAnsi="Arial Unicode MS" w:cs="宋体"/>
      <w:szCs w:val="21"/>
    </w:rPr>
  </w:style>
  <w:style w:type="paragraph" w:styleId="1089" w:customStyle="1">
    <w:name w:val="文档结构图1"/>
    <w:basedOn w:val="859"/>
    <w:link w:val="1090"/>
    <w:uiPriority w:val="0"/>
    <w:semiHidden/>
    <w:qFormat/>
    <w:pPr>
      <w:shd w:val="clear" w:color="auto" w:fill="000080"/>
    </w:pPr>
    <w:rPr>
      <w:rFonts w:ascii="Calibri" w:hAnsi="Calibri"/>
    </w:rPr>
  </w:style>
  <w:style w:type="character" w:styleId="1090" w:customStyle="1">
    <w:name w:val="文档结构图 字符"/>
    <w:link w:val="1089"/>
    <w:uiPriority w:val="0"/>
    <w:semiHidden/>
    <w:qFormat/>
    <w:rPr>
      <w:rFonts w:ascii="Calibri" w:hAnsi="Calibri" w:eastAsia="宋体"/>
      <w:sz w:val="21"/>
      <w:szCs w:val="24"/>
      <w:lang w:val="en-US" w:eastAsia="zh-CN" w:bidi="ar-SA"/>
    </w:rPr>
  </w:style>
  <w:style w:type="paragraph" w:styleId="1091" w:customStyle="1">
    <w:name w:val="批注文字1"/>
    <w:basedOn w:val="859"/>
    <w:link w:val="1092"/>
    <w:uiPriority w:val="99"/>
    <w:semiHidden/>
    <w:qFormat/>
    <w:pPr>
      <w:jc w:val="left"/>
    </w:pPr>
    <w:rPr>
      <w:rFonts w:ascii="Calibri" w:hAnsi="Calibri"/>
    </w:rPr>
  </w:style>
  <w:style w:type="character" w:styleId="1092" w:customStyle="1">
    <w:name w:val="批注文字 字符"/>
    <w:link w:val="1091"/>
    <w:uiPriority w:val="99"/>
    <w:semiHidden/>
    <w:qFormat/>
    <w:rPr>
      <w:rFonts w:ascii="Calibri" w:hAnsi="Calibri" w:eastAsia="宋体"/>
      <w:sz w:val="21"/>
      <w:szCs w:val="24"/>
      <w:lang w:val="en-US" w:eastAsia="zh-CN" w:bidi="ar-SA"/>
    </w:rPr>
  </w:style>
  <w:style w:type="paragraph" w:styleId="1093" w:customStyle="1">
    <w:name w:val="正文文本 31"/>
    <w:basedOn w:val="859"/>
    <w:link w:val="1094"/>
    <w:uiPriority w:val="0"/>
    <w:qFormat/>
    <w:rPr>
      <w:rFonts w:ascii="仿宋_GB2312" w:hAnsi="Arial" w:eastAsia="仿宋_GB2312"/>
      <w:sz w:val="32"/>
      <w:szCs w:val="32"/>
    </w:rPr>
  </w:style>
  <w:style w:type="character" w:styleId="1094" w:customStyle="1">
    <w:name w:val="正文文本 3 字符"/>
    <w:link w:val="1093"/>
    <w:uiPriority w:val="0"/>
    <w:semiHidden/>
    <w:qFormat/>
    <w:rPr>
      <w:rFonts w:ascii="仿宋_GB2312" w:hAnsi="Arial" w:eastAsia="仿宋_GB2312"/>
      <w:sz w:val="32"/>
      <w:szCs w:val="32"/>
      <w:lang w:val="en-US" w:eastAsia="zh-CN" w:bidi="ar-SA"/>
    </w:rPr>
  </w:style>
  <w:style w:type="paragraph" w:styleId="1095" w:customStyle="1">
    <w:name w:val="正文文本11"/>
    <w:basedOn w:val="859"/>
    <w:link w:val="1096"/>
    <w:uiPriority w:val="99"/>
    <w:qFormat/>
    <w:pPr>
      <w:spacing w:after="120"/>
    </w:pPr>
    <w:rPr>
      <w:rFonts w:ascii="Calibri" w:hAnsi="Calibri"/>
    </w:rPr>
  </w:style>
  <w:style w:type="character" w:styleId="1096" w:customStyle="1">
    <w:name w:val="正文文本 字符1"/>
    <w:link w:val="1095"/>
    <w:uiPriority w:val="0"/>
    <w:semiHidden/>
    <w:qFormat/>
    <w:rPr>
      <w:rFonts w:ascii="Calibri" w:hAnsi="Calibri" w:eastAsia="宋体"/>
      <w:sz w:val="21"/>
      <w:szCs w:val="24"/>
      <w:lang w:val="en-US" w:eastAsia="zh-CN" w:bidi="ar-SA"/>
    </w:rPr>
  </w:style>
  <w:style w:type="paragraph" w:styleId="1097" w:customStyle="1">
    <w:name w:val="正文文本缩进1"/>
    <w:basedOn w:val="859"/>
    <w:link w:val="1098"/>
    <w:uiPriority w:val="0"/>
    <w:qFormat/>
    <w:pPr>
      <w:ind w:firstLine="645"/>
    </w:pPr>
    <w:rPr>
      <w:rFonts w:ascii="楷体_GB2312" w:hAnsi="Calibri" w:eastAsia="楷体_GB2312"/>
      <w:sz w:val="32"/>
      <w:szCs w:val="32"/>
    </w:rPr>
  </w:style>
  <w:style w:type="character" w:styleId="1098" w:customStyle="1">
    <w:name w:val="正文文本缩进 字符"/>
    <w:link w:val="1097"/>
    <w:uiPriority w:val="0"/>
    <w:semiHidden/>
    <w:qFormat/>
    <w:rPr>
      <w:rFonts w:ascii="楷体_GB2312" w:hAnsi="Calibri" w:eastAsia="楷体_GB2312"/>
      <w:sz w:val="32"/>
      <w:szCs w:val="32"/>
      <w:lang w:val="en-US" w:eastAsia="zh-CN" w:bidi="ar-SA"/>
    </w:rPr>
  </w:style>
  <w:style w:type="paragraph" w:styleId="1099" w:customStyle="1">
    <w:name w:val="目录 51"/>
    <w:basedOn w:val="859"/>
    <w:next w:val="859"/>
    <w:uiPriority w:val="39"/>
    <w:unhideWhenUsed/>
    <w:qFormat/>
    <w:pPr>
      <w:ind w:left="840"/>
      <w:jc w:val="left"/>
    </w:pPr>
    <w:rPr>
      <w:sz w:val="18"/>
      <w:szCs w:val="18"/>
    </w:rPr>
  </w:style>
  <w:style w:type="paragraph" w:styleId="1100" w:customStyle="1">
    <w:name w:val="目录 31"/>
    <w:basedOn w:val="859"/>
    <w:next w:val="859"/>
    <w:uiPriority w:val="0"/>
    <w:qFormat/>
    <w:pPr>
      <w:ind w:left="420"/>
      <w:jc w:val="left"/>
    </w:pPr>
    <w:rPr>
      <w:i/>
      <w:iCs/>
      <w:sz w:val="20"/>
      <w:szCs w:val="20"/>
    </w:rPr>
  </w:style>
  <w:style w:type="paragraph" w:styleId="1101" w:customStyle="1">
    <w:name w:val="纯文本11"/>
    <w:basedOn w:val="859"/>
    <w:next w:val="1075"/>
    <w:link w:val="1102"/>
    <w:uiPriority w:val="0"/>
    <w:qFormat/>
    <w:rPr>
      <w:rFonts w:ascii="宋体" w:hAnsi="Courier New"/>
      <w:szCs w:val="22"/>
    </w:rPr>
  </w:style>
  <w:style w:type="character" w:styleId="1102" w:customStyle="1">
    <w:name w:val="纯文本 字符1"/>
    <w:link w:val="1101"/>
    <w:uiPriority w:val="0"/>
    <w:qFormat/>
    <w:rPr>
      <w:rFonts w:ascii="宋体" w:hAnsi="Courier New" w:eastAsia="宋体"/>
      <w:sz w:val="21"/>
      <w:szCs w:val="22"/>
      <w:lang w:val="en-US" w:eastAsia="zh-CN" w:bidi="ar-SA"/>
    </w:rPr>
  </w:style>
  <w:style w:type="paragraph" w:styleId="1103" w:customStyle="1">
    <w:name w:val="目录 81"/>
    <w:basedOn w:val="859"/>
    <w:next w:val="859"/>
    <w:uiPriority w:val="39"/>
    <w:unhideWhenUsed/>
    <w:qFormat/>
    <w:pPr>
      <w:ind w:left="1470"/>
      <w:jc w:val="left"/>
    </w:pPr>
    <w:rPr>
      <w:sz w:val="18"/>
      <w:szCs w:val="18"/>
    </w:rPr>
  </w:style>
  <w:style w:type="paragraph" w:styleId="1104" w:customStyle="1">
    <w:name w:val="日期1"/>
    <w:basedOn w:val="859"/>
    <w:next w:val="859"/>
    <w:link w:val="1105"/>
    <w:uiPriority w:val="0"/>
    <w:qFormat/>
    <w:rPr>
      <w:rFonts w:ascii="Calibri" w:hAnsi="Calibri"/>
      <w:sz w:val="24"/>
    </w:rPr>
  </w:style>
  <w:style w:type="character" w:styleId="1105" w:customStyle="1">
    <w:name w:val="日期 字符"/>
    <w:link w:val="1104"/>
    <w:uiPriority w:val="99"/>
    <w:qFormat/>
    <w:rPr>
      <w:rFonts w:ascii="Calibri" w:hAnsi="Calibri" w:eastAsia="宋体"/>
      <w:sz w:val="24"/>
      <w:szCs w:val="24"/>
      <w:lang w:val="en-US" w:eastAsia="zh-CN" w:bidi="ar-SA"/>
    </w:rPr>
  </w:style>
  <w:style w:type="paragraph" w:styleId="1106" w:customStyle="1">
    <w:name w:val="正文文本缩进 21"/>
    <w:basedOn w:val="859"/>
    <w:link w:val="1107"/>
    <w:uiPriority w:val="0"/>
    <w:qFormat/>
    <w:pPr>
      <w:ind w:left="630" w:firstLine="645"/>
    </w:pPr>
    <w:rPr>
      <w:rFonts w:ascii="Arial" w:hAnsi="Arial" w:eastAsia="仿宋_GB2312"/>
      <w:sz w:val="32"/>
      <w:szCs w:val="32"/>
    </w:rPr>
  </w:style>
  <w:style w:type="character" w:styleId="1107" w:customStyle="1">
    <w:name w:val="正文文本缩进 2 字符"/>
    <w:link w:val="1106"/>
    <w:uiPriority w:val="0"/>
    <w:semiHidden/>
    <w:qFormat/>
    <w:rPr>
      <w:rFonts w:ascii="Arial" w:hAnsi="Arial" w:eastAsia="仿宋_GB2312"/>
      <w:sz w:val="32"/>
      <w:szCs w:val="32"/>
      <w:lang w:val="en-US" w:eastAsia="zh-CN" w:bidi="ar-SA"/>
    </w:rPr>
  </w:style>
  <w:style w:type="paragraph" w:styleId="1108" w:customStyle="1">
    <w:name w:val="批注框文本1"/>
    <w:basedOn w:val="859"/>
    <w:link w:val="1109"/>
    <w:uiPriority w:val="0"/>
    <w:qFormat/>
    <w:rPr>
      <w:rFonts w:ascii="Calibri" w:hAnsi="Calibri"/>
      <w:sz w:val="18"/>
      <w:szCs w:val="18"/>
    </w:rPr>
  </w:style>
  <w:style w:type="character" w:styleId="1109" w:customStyle="1">
    <w:name w:val="批注框文本 字符"/>
    <w:link w:val="1108"/>
    <w:uiPriority w:val="0"/>
    <w:semiHidden/>
    <w:qFormat/>
    <w:rPr>
      <w:rFonts w:ascii="Calibri" w:hAnsi="Calibri" w:eastAsia="宋体"/>
      <w:sz w:val="18"/>
      <w:szCs w:val="18"/>
      <w:lang w:val="en-US" w:eastAsia="zh-CN" w:bidi="ar-SA"/>
    </w:rPr>
  </w:style>
  <w:style w:type="paragraph" w:styleId="1110" w:customStyle="1">
    <w:name w:val="页脚1"/>
    <w:basedOn w:val="859"/>
    <w:link w:val="1111"/>
    <w:uiPriority w:val="0"/>
    <w:qFormat/>
    <w:pPr>
      <w:jc w:val="left"/>
      <w:tabs>
        <w:tab w:val="center" w:pos="4153" w:leader="none"/>
        <w:tab w:val="right" w:pos="8306" w:leader="none"/>
      </w:tabs>
    </w:pPr>
    <w:rPr>
      <w:rFonts w:ascii="Calibri" w:hAnsi="Calibri"/>
      <w:sz w:val="18"/>
      <w:szCs w:val="18"/>
    </w:rPr>
  </w:style>
  <w:style w:type="character" w:styleId="1111" w:customStyle="1">
    <w:name w:val="页脚 字符1"/>
    <w:link w:val="1110"/>
    <w:uiPriority w:val="0"/>
    <w:semiHidden/>
    <w:qFormat/>
    <w:rPr>
      <w:rFonts w:ascii="Calibri" w:hAnsi="Calibri" w:eastAsia="宋体"/>
      <w:sz w:val="18"/>
      <w:szCs w:val="18"/>
      <w:lang w:val="en-US" w:eastAsia="zh-CN" w:bidi="ar-SA"/>
    </w:rPr>
  </w:style>
  <w:style w:type="paragraph" w:styleId="1112" w:customStyle="1">
    <w:name w:val="页眉1"/>
    <w:basedOn w:val="859"/>
    <w:link w:val="1113"/>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13" w:customStyle="1">
    <w:name w:val="页眉 字符"/>
    <w:link w:val="1112"/>
    <w:uiPriority w:val="0"/>
    <w:semiHidden/>
    <w:qFormat/>
    <w:rPr>
      <w:rFonts w:ascii="Calibri" w:hAnsi="Calibri" w:eastAsia="宋体"/>
      <w:sz w:val="18"/>
      <w:szCs w:val="18"/>
      <w:lang w:val="en-US" w:eastAsia="zh-CN" w:bidi="ar-SA"/>
    </w:rPr>
  </w:style>
  <w:style w:type="paragraph" w:styleId="1114" w:customStyle="1">
    <w:name w:val="目录 11"/>
    <w:basedOn w:val="859"/>
    <w:next w:val="859"/>
    <w:uiPriority w:val="0"/>
    <w:qFormat/>
    <w:pPr>
      <w:jc w:val="left"/>
      <w:spacing w:before="120" w:after="120"/>
    </w:pPr>
    <w:rPr>
      <w:b/>
      <w:bCs/>
      <w:caps/>
      <w:sz w:val="20"/>
      <w:szCs w:val="20"/>
    </w:rPr>
  </w:style>
  <w:style w:type="paragraph" w:styleId="1115" w:customStyle="1">
    <w:name w:val="目录 41"/>
    <w:basedOn w:val="859"/>
    <w:next w:val="859"/>
    <w:uiPriority w:val="39"/>
    <w:unhideWhenUsed/>
    <w:qFormat/>
    <w:pPr>
      <w:ind w:left="630"/>
      <w:jc w:val="left"/>
    </w:pPr>
    <w:rPr>
      <w:sz w:val="18"/>
      <w:szCs w:val="18"/>
    </w:rPr>
  </w:style>
  <w:style w:type="paragraph" w:styleId="1116" w:customStyle="1">
    <w:name w:val="副标题1"/>
    <w:basedOn w:val="859"/>
    <w:next w:val="859"/>
    <w:uiPriority w:val="0"/>
    <w:qFormat/>
    <w:pPr>
      <w:ind w:firstLine="200"/>
      <w:jc w:val="left"/>
      <w:spacing w:line="360" w:lineRule="auto"/>
      <w:outlineLvl w:val="1"/>
    </w:pPr>
    <w:rPr>
      <w:rFonts w:ascii="Cambria" w:hAnsi="Cambria"/>
      <w:b/>
      <w:bCs/>
      <w:sz w:val="24"/>
      <w:szCs w:val="32"/>
    </w:rPr>
  </w:style>
  <w:style w:type="paragraph" w:styleId="1117" w:customStyle="1">
    <w:name w:val="目录 61"/>
    <w:basedOn w:val="859"/>
    <w:next w:val="859"/>
    <w:uiPriority w:val="39"/>
    <w:unhideWhenUsed/>
    <w:qFormat/>
    <w:pPr>
      <w:ind w:left="1050"/>
      <w:jc w:val="left"/>
    </w:pPr>
    <w:rPr>
      <w:sz w:val="18"/>
      <w:szCs w:val="18"/>
    </w:rPr>
  </w:style>
  <w:style w:type="paragraph" w:styleId="1118" w:customStyle="1">
    <w:name w:val="正文文本缩进 31"/>
    <w:basedOn w:val="859"/>
    <w:link w:val="1119"/>
    <w:uiPriority w:val="0"/>
    <w:qFormat/>
    <w:pPr>
      <w:ind w:left="645" w:firstLine="645"/>
    </w:pPr>
    <w:rPr>
      <w:rFonts w:ascii="Arial" w:hAnsi="Arial" w:eastAsia="仿宋_GB2312"/>
      <w:color w:val="ffff00"/>
      <w:sz w:val="32"/>
      <w:szCs w:val="32"/>
    </w:rPr>
  </w:style>
  <w:style w:type="character" w:styleId="1119" w:customStyle="1">
    <w:name w:val="正文文本缩进 3 字符"/>
    <w:link w:val="1118"/>
    <w:uiPriority w:val="0"/>
    <w:semiHidden/>
    <w:qFormat/>
    <w:rPr>
      <w:rFonts w:ascii="Arial" w:hAnsi="Arial" w:eastAsia="仿宋_GB2312"/>
      <w:color w:val="ffff00"/>
      <w:sz w:val="32"/>
      <w:szCs w:val="32"/>
      <w:lang w:val="en-US" w:eastAsia="zh-CN" w:bidi="ar-SA"/>
    </w:rPr>
  </w:style>
  <w:style w:type="paragraph" w:styleId="1120" w:customStyle="1">
    <w:name w:val="目录 211"/>
    <w:basedOn w:val="859"/>
    <w:next w:val="859"/>
    <w:uiPriority w:val="0"/>
    <w:qFormat/>
    <w:pPr>
      <w:ind w:left="210"/>
      <w:jc w:val="left"/>
    </w:pPr>
    <w:rPr>
      <w:smallCaps/>
      <w:sz w:val="20"/>
      <w:szCs w:val="20"/>
    </w:rPr>
  </w:style>
  <w:style w:type="paragraph" w:styleId="1121" w:customStyle="1">
    <w:name w:val="目录 91"/>
    <w:basedOn w:val="859"/>
    <w:next w:val="859"/>
    <w:uiPriority w:val="39"/>
    <w:unhideWhenUsed/>
    <w:qFormat/>
    <w:pPr>
      <w:ind w:left="1680"/>
      <w:jc w:val="left"/>
    </w:pPr>
    <w:rPr>
      <w:sz w:val="18"/>
      <w:szCs w:val="18"/>
    </w:rPr>
  </w:style>
  <w:style w:type="paragraph" w:styleId="1122" w:customStyle="1">
    <w:name w:val="正文文本 21"/>
    <w:basedOn w:val="859"/>
    <w:link w:val="1123"/>
    <w:uiPriority w:val="0"/>
    <w:qFormat/>
    <w:pPr>
      <w:jc w:val="center"/>
      <w:widowControl/>
    </w:pPr>
    <w:rPr>
      <w:rFonts w:ascii="楷体_GB2312" w:hAnsi="Calibri" w:eastAsia="楷体_GB2312"/>
      <w:sz w:val="28"/>
      <w:szCs w:val="28"/>
    </w:rPr>
  </w:style>
  <w:style w:type="character" w:styleId="1123" w:customStyle="1">
    <w:name w:val="正文文本 2 字符"/>
    <w:link w:val="1122"/>
    <w:uiPriority w:val="0"/>
    <w:semiHidden/>
    <w:qFormat/>
    <w:rPr>
      <w:rFonts w:ascii="楷体_GB2312" w:hAnsi="Calibri" w:eastAsia="楷体_GB2312"/>
      <w:sz w:val="28"/>
      <w:szCs w:val="28"/>
      <w:lang w:val="en-US" w:eastAsia="zh-CN" w:bidi="ar-SA"/>
    </w:rPr>
  </w:style>
  <w:style w:type="paragraph" w:styleId="1124" w:customStyle="1">
    <w:name w:val="普通(网站)11"/>
    <w:basedOn w:val="859"/>
    <w:link w:val="1125"/>
    <w:uiPriority w:val="0"/>
    <w:unhideWhenUsed/>
    <w:qFormat/>
    <w:pPr>
      <w:jc w:val="left"/>
      <w:spacing w:before="100" w:beforeAutospacing="1" w:after="100" w:afterAutospacing="1"/>
      <w:widowControl/>
    </w:pPr>
    <w:rPr>
      <w:rFonts w:ascii="宋体" w:hAnsi="宋体" w:cs="宋体"/>
      <w:sz w:val="24"/>
    </w:rPr>
  </w:style>
  <w:style w:type="character" w:styleId="1125" w:customStyle="1">
    <w:name w:val="普通(网站) 字符"/>
    <w:link w:val="1124"/>
    <w:uiPriority w:val="0"/>
    <w:qFormat/>
    <w:rPr>
      <w:rFonts w:ascii="宋体" w:hAnsi="宋体" w:cs="宋体"/>
      <w:sz w:val="24"/>
      <w:szCs w:val="24"/>
    </w:rPr>
  </w:style>
  <w:style w:type="paragraph" w:styleId="1126" w:customStyle="1">
    <w:name w:val="批注主题1"/>
    <w:basedOn w:val="1091"/>
    <w:next w:val="1091"/>
    <w:link w:val="1127"/>
    <w:uiPriority w:val="0"/>
    <w:qFormat/>
    <w:rPr>
      <w:b/>
      <w:bCs/>
    </w:rPr>
  </w:style>
  <w:style w:type="character" w:styleId="1127" w:customStyle="1">
    <w:name w:val="批注主题 字符"/>
    <w:link w:val="1126"/>
    <w:uiPriority w:val="0"/>
    <w:semiHidden/>
    <w:qFormat/>
    <w:rPr>
      <w:rFonts w:ascii="Calibri" w:hAnsi="Calibri" w:eastAsia="宋体"/>
      <w:b/>
      <w:bCs/>
      <w:sz w:val="21"/>
      <w:szCs w:val="24"/>
      <w:lang w:val="en-US" w:eastAsia="zh-CN" w:bidi="ar-SA"/>
    </w:rPr>
  </w:style>
  <w:style w:type="paragraph" w:styleId="1128" w:customStyle="1">
    <w:name w:val="正文首行缩进11"/>
    <w:basedOn w:val="1095"/>
    <w:next w:val="1075"/>
    <w:link w:val="1129"/>
    <w:uiPriority w:val="0"/>
    <w:qFormat/>
    <w:pPr>
      <w:ind w:firstLine="200"/>
      <w:spacing w:line="360" w:lineRule="auto"/>
    </w:pPr>
    <w:rPr>
      <w:rFonts w:ascii="仿宋_GB2312" w:hAnsi="Arial" w:eastAsia="仿宋_GB2312"/>
      <w:sz w:val="30"/>
      <w:szCs w:val="30"/>
    </w:rPr>
  </w:style>
  <w:style w:type="character" w:styleId="1129" w:customStyle="1">
    <w:name w:val="正文文本首行缩进 字符"/>
    <w:link w:val="1128"/>
    <w:uiPriority w:val="0"/>
    <w:semiHidden/>
    <w:qFormat/>
    <w:rPr>
      <w:rFonts w:ascii="仿宋_GB2312" w:hAnsi="Arial" w:eastAsia="仿宋_GB2312"/>
      <w:sz w:val="30"/>
      <w:szCs w:val="30"/>
      <w:lang w:val="en-US" w:eastAsia="zh-CN" w:bidi="ar-SA"/>
    </w:rPr>
  </w:style>
  <w:style w:type="table" w:styleId="1130" w:customStyle="1">
    <w:name w:val="网格型1"/>
    <w:basedOn w:val="1086"/>
    <w:uiPriority w:val="59"/>
    <w:qFormat/>
    <w:pPr>
      <w:jc w:val="both"/>
      <w:widowControl w:val="off"/>
    </w:pPr>
    <w:tblPr>
      <w:tblCellMar>
        <w:left w:w="0" w:type="dxa"/>
        <w:top w:w="0" w:type="dxa"/>
        <w:right w:w="0" w:type="dxa"/>
        <w:bottom w:w="0" w:type="dxa"/>
      </w:tblCellMar>
    </w:tblPr>
  </w:style>
  <w:style w:type="character" w:styleId="1131" w:customStyle="1">
    <w:name w:val="要点1"/>
    <w:uiPriority w:val="22"/>
    <w:qFormat/>
    <w:rPr>
      <w:b/>
      <w:bCs/>
    </w:rPr>
  </w:style>
  <w:style w:type="character" w:styleId="1132" w:customStyle="1">
    <w:name w:val="页码1"/>
    <w:uiPriority w:val="0"/>
    <w:qFormat/>
  </w:style>
  <w:style w:type="character" w:styleId="1133" w:customStyle="1">
    <w:name w:val="已访问的超链接1"/>
    <w:uiPriority w:val="0"/>
    <w:unhideWhenUsed/>
    <w:qFormat/>
    <w:rPr>
      <w:color w:val="333333"/>
      <w:u w:val="none"/>
    </w:rPr>
  </w:style>
  <w:style w:type="character" w:styleId="1134" w:customStyle="1">
    <w:name w:val="强调1"/>
    <w:uiPriority w:val="0"/>
    <w:qFormat/>
    <w:rPr>
      <w:color w:val="cc0000"/>
    </w:rPr>
  </w:style>
  <w:style w:type="character" w:styleId="1135" w:customStyle="1">
    <w:name w:val="超链接1"/>
    <w:uiPriority w:val="0"/>
    <w:qFormat/>
    <w:rPr>
      <w:color w:val="336699"/>
      <w:sz w:val="18"/>
      <w:szCs w:val="18"/>
      <w:u w:val="none"/>
    </w:rPr>
  </w:style>
  <w:style w:type="character" w:styleId="1136" w:customStyle="1">
    <w:name w:val="批注引用1"/>
    <w:uiPriority w:val="99"/>
    <w:qFormat/>
    <w:rPr>
      <w:sz w:val="21"/>
      <w:szCs w:val="21"/>
    </w:rPr>
  </w:style>
  <w:style w:type="paragraph" w:styleId="1137" w:customStyle="1">
    <w:name w:val="首行缩进"/>
    <w:basedOn w:val="859"/>
    <w:uiPriority w:val="99"/>
    <w:qFormat/>
    <w:pPr>
      <w:ind w:firstLine="480"/>
    </w:pPr>
    <w:rPr>
      <w:rFonts w:ascii="Calibri" w:hAnsi="Calibri"/>
      <w:lang w:val="zh-CN"/>
    </w:rPr>
  </w:style>
  <w:style w:type="character" w:styleId="1138" w:customStyle="1">
    <w:name w:val="页脚 Char"/>
    <w:uiPriority w:val="99"/>
    <w:qFormat/>
    <w:rPr>
      <w:sz w:val="18"/>
      <w:szCs w:val="18"/>
    </w:rPr>
  </w:style>
  <w:style w:type="character" w:styleId="1139" w:customStyle="1">
    <w:name w:val="页眉 Char"/>
    <w:uiPriority w:val="0"/>
    <w:qFormat/>
    <w:rPr>
      <w:sz w:val="18"/>
      <w:szCs w:val="18"/>
    </w:rPr>
  </w:style>
  <w:style w:type="character" w:styleId="1140" w:customStyle="1">
    <w:name w:val="页脚 字符"/>
    <w:uiPriority w:val="99"/>
    <w:qFormat/>
    <w:rPr>
      <w:sz w:val="18"/>
      <w:szCs w:val="18"/>
    </w:rPr>
  </w:style>
  <w:style w:type="character" w:styleId="1141" w:customStyle="1">
    <w:name w:val="正文文本 3 Char"/>
    <w:uiPriority w:val="0"/>
    <w:qFormat/>
    <w:rPr>
      <w:rFonts w:hint="eastAsia" w:ascii="仿宋_GB2312" w:hAnsi="Arial" w:eastAsia="仿宋_GB2312"/>
      <w:sz w:val="32"/>
      <w:szCs w:val="32"/>
    </w:rPr>
  </w:style>
  <w:style w:type="character" w:styleId="1142" w:customStyle="1">
    <w:name w:val="正文首行缩进 2 Char"/>
    <w:uiPriority w:val="0"/>
    <w:qFormat/>
    <w:rPr>
      <w:rFonts w:hint="eastAsia" w:ascii="宋体" w:hAnsi="宋体" w:eastAsia="楷体_GB2312"/>
      <w:szCs w:val="32"/>
    </w:rPr>
  </w:style>
  <w:style w:type="character" w:styleId="1143" w:customStyle="1">
    <w:name w:val="DL 段落缩进2 Char Char"/>
    <w:link w:val="1144"/>
    <w:uiPriority w:val="0"/>
    <w:qFormat/>
    <w:rPr>
      <w:sz w:val="21"/>
      <w:szCs w:val="21"/>
    </w:rPr>
  </w:style>
  <w:style w:type="paragraph" w:styleId="1144" w:customStyle="1">
    <w:name w:val="DL 段落缩进2"/>
    <w:basedOn w:val="859"/>
    <w:link w:val="1143"/>
    <w:uiPriority w:val="0"/>
    <w:qFormat/>
    <w:pPr>
      <w:ind w:firstLine="420"/>
    </w:pPr>
    <w:rPr>
      <w:szCs w:val="21"/>
    </w:rPr>
  </w:style>
  <w:style w:type="character" w:styleId="1145" w:customStyle="1">
    <w:name w:val="正文文本缩进 3 Char"/>
    <w:uiPriority w:val="0"/>
    <w:qFormat/>
    <w:rPr>
      <w:rFonts w:ascii="Arial" w:hAnsi="Arial" w:eastAsia="仿宋_GB2312" w:cs="Arial"/>
      <w:color w:val="ffff00"/>
      <w:sz w:val="32"/>
      <w:szCs w:val="32"/>
    </w:rPr>
  </w:style>
  <w:style w:type="character" w:styleId="1146" w:customStyle="1">
    <w:name w:val="纯文本 Char"/>
    <w:uiPriority w:val="0"/>
    <w:qFormat/>
    <w:rPr>
      <w:rFonts w:hint="eastAsia" w:ascii="宋体" w:hAnsi="Courier New" w:eastAsia="宋体"/>
    </w:rPr>
  </w:style>
  <w:style w:type="character" w:styleId="1147" w:customStyle="1">
    <w:name w:val="H3 Char"/>
    <w:uiPriority w:val="0"/>
    <w:qFormat/>
    <w:rPr>
      <w:rFonts w:hint="eastAsia" w:ascii="宋体" w:hAnsi="宋体" w:eastAsia="宋体"/>
      <w:b/>
      <w:bCs/>
      <w:sz w:val="32"/>
      <w:szCs w:val="32"/>
      <w:lang w:val="en-US" w:eastAsia="zh-CN" w:bidi="ar-SA"/>
    </w:rPr>
  </w:style>
  <w:style w:type="character" w:styleId="1148" w:customStyle="1">
    <w:name w:val="正文文本 Char"/>
    <w:uiPriority w:val="0"/>
    <w:qFormat/>
    <w:rPr>
      <w:rFonts w:hint="eastAsia" w:ascii="宋体" w:hAnsi="宋体" w:eastAsia="宋体"/>
      <w:szCs w:val="24"/>
    </w:rPr>
  </w:style>
  <w:style w:type="character" w:styleId="1149" w:customStyle="1">
    <w:name w:val="正文文本缩进 Char"/>
    <w:uiPriority w:val="0"/>
    <w:qFormat/>
    <w:rPr>
      <w:rFonts w:hint="eastAsia" w:ascii="楷体_GB2312" w:eastAsia="楷体_GB2312"/>
      <w:sz w:val="32"/>
      <w:szCs w:val="32"/>
    </w:rPr>
  </w:style>
  <w:style w:type="character" w:styleId="1150" w:customStyle="1">
    <w:name w:val="正文文本 2 Char"/>
    <w:uiPriority w:val="0"/>
    <w:qFormat/>
    <w:rPr>
      <w:rFonts w:hint="eastAsia" w:ascii="楷体_GB2312" w:eastAsia="楷体_GB2312"/>
      <w:sz w:val="28"/>
      <w:szCs w:val="28"/>
    </w:rPr>
  </w:style>
  <w:style w:type="character" w:styleId="1151" w:customStyle="1">
    <w:name w:val="日期 Char"/>
    <w:uiPriority w:val="0"/>
    <w:qFormat/>
    <w:rPr>
      <w:sz w:val="24"/>
      <w:szCs w:val="24"/>
    </w:rPr>
  </w:style>
  <w:style w:type="character" w:styleId="1152" w:customStyle="1">
    <w:name w:val="H2 Char"/>
    <w:uiPriority w:val="0"/>
    <w:qFormat/>
    <w:rPr>
      <w:rFonts w:ascii="Arial" w:hAnsi="Arial" w:eastAsia="仿宋_GB2312" w:cs="Arial"/>
      <w:b/>
      <w:bCs/>
      <w:sz w:val="28"/>
      <w:szCs w:val="44"/>
      <w:lang w:val="en-US" w:eastAsia="zh-CN" w:bidi="ar-SA"/>
    </w:rPr>
  </w:style>
  <w:style w:type="character" w:styleId="1153" w:customStyle="1">
    <w:name w:val="样式 样式 正文缩进四号ALT+Z段1 Char Char Char段1 Char Char标题4body text鋘d... ...1 Char"/>
    <w:link w:val="1154"/>
    <w:uiPriority w:val="0"/>
    <w:qFormat/>
    <w:rPr>
      <w:rFonts w:ascii="宋体" w:hAnsi="宋体" w:eastAsia="宋体"/>
      <w:color w:val="000000"/>
      <w:szCs w:val="21"/>
      <w:lang w:bidi="ar-SA"/>
    </w:rPr>
  </w:style>
  <w:style w:type="paragraph" w:styleId="1154" w:customStyle="1">
    <w:name w:val="样式 样式 正文缩进四号ALT+Z段1 Char Char Char段1 Char Char标题4body text鋘d... ...1"/>
    <w:basedOn w:val="859"/>
    <w:link w:val="1153"/>
    <w:uiPriority w:val="0"/>
    <w:qFormat/>
    <w:pPr>
      <w:ind w:firstLine="420"/>
    </w:pPr>
    <w:rPr>
      <w:rFonts w:ascii="宋体" w:hAnsi="宋体"/>
      <w:color w:val="000000"/>
      <w:sz w:val="20"/>
      <w:szCs w:val="21"/>
    </w:rPr>
  </w:style>
  <w:style w:type="character" w:styleId="1155" w:customStyle="1">
    <w:name w:val="正文文本缩进 2 Char"/>
    <w:uiPriority w:val="0"/>
    <w:qFormat/>
    <w:rPr>
      <w:rFonts w:ascii="Arial" w:hAnsi="Arial" w:eastAsia="仿宋_GB2312" w:cs="Arial"/>
      <w:sz w:val="32"/>
      <w:szCs w:val="32"/>
    </w:rPr>
  </w:style>
  <w:style w:type="character" w:styleId="1156" w:customStyle="1">
    <w:name w:val="正文首行缩进 Char"/>
    <w:uiPriority w:val="0"/>
    <w:qFormat/>
    <w:rPr>
      <w:rFonts w:hint="eastAsia" w:ascii="仿宋_GB2312" w:hAnsi="Arial" w:eastAsia="仿宋_GB2312"/>
      <w:sz w:val="30"/>
      <w:szCs w:val="30"/>
    </w:rPr>
  </w:style>
  <w:style w:type="character" w:styleId="1157" w:customStyle="1">
    <w:name w:val="正文缩进 Char"/>
    <w:link w:val="1158"/>
    <w:uiPriority w:val="0"/>
    <w:qFormat/>
    <w:rPr>
      <w:rFonts w:ascii="楷体_GB2312" w:eastAsia="楷体_GB2312"/>
      <w:sz w:val="24"/>
      <w:lang w:bidi="ar-SA"/>
    </w:rPr>
  </w:style>
  <w:style w:type="paragraph" w:styleId="1158" w:customStyle="1">
    <w:name w:val="正文缩进1"/>
    <w:basedOn w:val="859"/>
    <w:link w:val="1157"/>
    <w:uiPriority w:val="0"/>
    <w:qFormat/>
    <w:pPr>
      <w:ind w:firstLine="420"/>
      <w:jc w:val="left"/>
    </w:pPr>
    <w:rPr>
      <w:rFonts w:ascii="楷体_GB2312" w:eastAsia="楷体_GB2312"/>
      <w:sz w:val="24"/>
      <w:szCs w:val="20"/>
    </w:rPr>
  </w:style>
  <w:style w:type="character" w:styleId="1159" w:customStyle="1">
    <w:name w:val="批注主题 Char"/>
    <w:uiPriority w:val="0"/>
    <w:qFormat/>
    <w:rPr>
      <w:rFonts w:hint="eastAsia" w:ascii="宋体" w:hAnsi="宋体" w:eastAsia="宋体"/>
      <w:b/>
      <w:bCs/>
      <w:szCs w:val="24"/>
    </w:rPr>
  </w:style>
  <w:style w:type="character" w:styleId="1160" w:customStyle="1">
    <w:name w:val="批注框文本 Char"/>
    <w:uiPriority w:val="0"/>
    <w:qFormat/>
    <w:rPr>
      <w:sz w:val="18"/>
      <w:szCs w:val="18"/>
    </w:rPr>
  </w:style>
  <w:style w:type="character" w:styleId="1161" w:customStyle="1">
    <w:name w:val="md"/>
    <w:uiPriority w:val="0"/>
    <w:qFormat/>
  </w:style>
  <w:style w:type="character" w:styleId="1162" w:customStyle="1">
    <w:name w:val="H4 Char"/>
    <w:uiPriority w:val="0"/>
    <w:qFormat/>
    <w:rPr>
      <w:rFonts w:ascii="Arial" w:hAnsi="Arial" w:eastAsia="黑体" w:cs="Arial"/>
      <w:b/>
      <w:bCs/>
      <w:sz w:val="28"/>
      <w:szCs w:val="28"/>
      <w:lang w:val="en-US" w:eastAsia="zh-CN" w:bidi="ar-SA"/>
    </w:rPr>
  </w:style>
  <w:style w:type="character" w:styleId="1163" w:customStyle="1">
    <w:name w:val="普通文字 Char Char1"/>
    <w:uiPriority w:val="0"/>
    <w:qFormat/>
    <w:rPr>
      <w:rFonts w:ascii="宋体" w:hAnsi="Courier New" w:eastAsia="宋体"/>
      <w:sz w:val="21"/>
      <w:lang w:val="en-US" w:eastAsia="zh-CN" w:bidi="ar-SA"/>
    </w:rPr>
  </w:style>
  <w:style w:type="character" w:styleId="1164" w:customStyle="1">
    <w:name w:val="列表段落 字符"/>
    <w:link w:val="1165"/>
    <w:uiPriority w:val="34"/>
    <w:qFormat/>
    <w:rPr>
      <w:rFonts w:ascii="Calibri" w:hAnsi="Calibri" w:eastAsia="宋体" w:cs="Times New Roman"/>
      <w:sz w:val="21"/>
      <w:szCs w:val="22"/>
    </w:rPr>
  </w:style>
  <w:style w:type="paragraph" w:styleId="1165" w:customStyle="1">
    <w:name w:val="列表段落"/>
    <w:basedOn w:val="859"/>
    <w:link w:val="1164"/>
    <w:uiPriority w:val="34"/>
    <w:qFormat/>
    <w:pPr>
      <w:ind w:firstLine="420"/>
    </w:pPr>
    <w:rPr>
      <w:rFonts w:ascii="Calibri" w:hAnsi="Calibri"/>
      <w:szCs w:val="22"/>
    </w:rPr>
  </w:style>
  <w:style w:type="character" w:styleId="1166" w:customStyle="1">
    <w:name w:val="纯文本 字符"/>
    <w:uiPriority w:val="0"/>
    <w:qFormat/>
    <w:rPr>
      <w:rFonts w:ascii="宋体" w:hAnsi="Courier New" w:eastAsia="宋体"/>
      <w:sz w:val="21"/>
      <w:szCs w:val="22"/>
      <w:lang w:val="en-US" w:eastAsia="zh-CN" w:bidi="ar-SA"/>
    </w:rPr>
  </w:style>
  <w:style w:type="character" w:styleId="1167" w:customStyle="1">
    <w:name w:val="标题 3 字符"/>
    <w:uiPriority w:val="0"/>
    <w:qFormat/>
    <w:rPr>
      <w:rFonts w:eastAsia="宋体"/>
      <w:sz w:val="32"/>
      <w:szCs w:val="32"/>
      <w:lang w:val="en-US" w:eastAsia="zh-CN" w:bidi="ar-SA"/>
    </w:rPr>
  </w:style>
  <w:style w:type="character" w:styleId="1168" w:customStyle="1">
    <w:name w:val="正文文本 字符"/>
    <w:uiPriority w:val="0"/>
    <w:qFormat/>
    <w:rPr>
      <w:rFonts w:ascii="Calibri" w:hAnsi="Calibri" w:eastAsia="宋体"/>
      <w:sz w:val="21"/>
      <w:szCs w:val="24"/>
      <w:lang w:val="en-US" w:eastAsia="zh-CN" w:bidi="ar-SA"/>
    </w:rPr>
  </w:style>
  <w:style w:type="character" w:styleId="1169" w:customStyle="1">
    <w:name w:val="angel 字符"/>
    <w:link w:val="1170"/>
    <w:uiPriority w:val="0"/>
    <w:qFormat/>
    <w:rPr>
      <w:rFonts w:ascii="宋体" w:hAnsi="宋体"/>
      <w:sz w:val="21"/>
      <w:szCs w:val="24"/>
    </w:rPr>
  </w:style>
  <w:style w:type="paragraph" w:styleId="1170" w:customStyle="1">
    <w:name w:val="angel"/>
    <w:basedOn w:val="859"/>
    <w:link w:val="1169"/>
    <w:uiPriority w:val="0"/>
    <w:qFormat/>
    <w:pPr>
      <w:ind w:firstLine="200"/>
      <w:spacing w:line="360" w:lineRule="auto"/>
    </w:pPr>
    <w:rPr>
      <w:rFonts w:ascii="宋体" w:hAnsi="宋体"/>
    </w:rPr>
  </w:style>
  <w:style w:type="character" w:styleId="1171" w:customStyle="1">
    <w:name w:val="Indent Normal Char"/>
    <w:link w:val="1172"/>
    <w:uiPriority w:val="0"/>
    <w:qFormat/>
    <w:rPr>
      <w:sz w:val="24"/>
      <w:szCs w:val="24"/>
    </w:rPr>
  </w:style>
  <w:style w:type="paragraph" w:styleId="1172" w:customStyle="1">
    <w:name w:val="Indent Normal"/>
    <w:basedOn w:val="859"/>
    <w:link w:val="1171"/>
    <w:uiPriority w:val="0"/>
    <w:qFormat/>
    <w:pPr>
      <w:ind w:firstLine="150"/>
    </w:pPr>
    <w:rPr>
      <w:sz w:val="24"/>
    </w:rPr>
  </w:style>
  <w:style w:type="character" w:styleId="1173" w:customStyle="1">
    <w:name w:val="样式1 Char"/>
    <w:link w:val="1174"/>
    <w:uiPriority w:val="0"/>
    <w:qFormat/>
    <w:rPr>
      <w:sz w:val="24"/>
      <w:szCs w:val="24"/>
    </w:rPr>
  </w:style>
  <w:style w:type="paragraph" w:styleId="1174" w:customStyle="1">
    <w:name w:val="样式1"/>
    <w:basedOn w:val="859"/>
    <w:link w:val="1173"/>
    <w:uiPriority w:val="0"/>
    <w:qFormat/>
    <w:pPr>
      <w:ind w:firstLine="480"/>
      <w:spacing w:line="300" w:lineRule="auto"/>
    </w:pPr>
    <w:rPr>
      <w:sz w:val="24"/>
    </w:rPr>
  </w:style>
  <w:style w:type="paragraph" w:styleId="1175" w:customStyle="1">
    <w:name w:val="GP正文(首行缩进)"/>
    <w:basedOn w:val="859"/>
    <w:uiPriority w:val="0"/>
    <w:qFormat/>
    <w:pPr>
      <w:ind w:firstLine="200"/>
      <w:jc w:val="left"/>
      <w:spacing w:line="440" w:lineRule="exact"/>
    </w:pPr>
    <w:rPr>
      <w:sz w:val="24"/>
    </w:rPr>
  </w:style>
  <w:style w:type="paragraph" w:styleId="1176" w:customStyle="1">
    <w:name w:val="WPS Plain"/>
    <w:uiPriority w:val="0"/>
    <w:qFormat/>
    <w:rPr>
      <w:rFonts w:hint="default" w:ascii="Times New Roman" w:hAnsi="Times New Roman" w:eastAsia="宋体" w:cs="Times New Roman"/>
      <w:lang w:val="en-US" w:eastAsia="zh-CN" w:bidi="ar-SA"/>
    </w:rPr>
  </w:style>
  <w:style w:type="paragraph" w:styleId="1177" w:customStyle="1">
    <w:name w:val="列出段落1"/>
    <w:basedOn w:val="859"/>
    <w:uiPriority w:val="99"/>
    <w:qFormat/>
    <w:pPr>
      <w:ind w:firstLine="420"/>
    </w:pPr>
    <w:rPr>
      <w:rFonts w:ascii="Calibri" w:hAnsi="Calibri"/>
      <w:szCs w:val="22"/>
    </w:rPr>
  </w:style>
  <w:style w:type="paragraph" w:styleId="1178"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79" w:customStyle="1">
    <w:name w:val="Date1"/>
    <w:basedOn w:val="859"/>
    <w:next w:val="859"/>
    <w:uiPriority w:val="0"/>
    <w:qFormat/>
    <w:pPr>
      <w:spacing w:line="360" w:lineRule="atLeast"/>
    </w:pPr>
    <w:rPr>
      <w:sz w:val="28"/>
      <w:szCs w:val="28"/>
    </w:rPr>
  </w:style>
  <w:style w:type="paragraph" w:styleId="1180" w:customStyle="1">
    <w:name w:val="样式"/>
    <w:uiPriority w:val="0"/>
    <w:qFormat/>
    <w:pPr>
      <w:widowControl w:val="off"/>
    </w:pPr>
    <w:rPr>
      <w:rFonts w:hint="default" w:ascii="宋体" w:hAnsi="Times New Roman" w:eastAsia="宋体" w:cs="宋体"/>
      <w:sz w:val="24"/>
      <w:szCs w:val="24"/>
      <w:lang w:val="en-US" w:eastAsia="zh-CN" w:bidi="ar-SA"/>
    </w:rPr>
  </w:style>
  <w:style w:type="paragraph" w:styleId="1181" w:customStyle="1">
    <w:name w:val="reader-word-layer reader-word-s1-7"/>
    <w:basedOn w:val="859"/>
    <w:uiPriority w:val="0"/>
    <w:qFormat/>
    <w:pPr>
      <w:jc w:val="left"/>
      <w:spacing w:before="100" w:beforeAutospacing="1" w:after="100" w:afterAutospacing="1"/>
      <w:widowControl/>
    </w:pPr>
    <w:rPr>
      <w:rFonts w:ascii="宋体" w:hAnsi="宋体" w:cs="宋体"/>
      <w:sz w:val="24"/>
    </w:rPr>
  </w:style>
  <w:style w:type="paragraph" w:styleId="1182" w:customStyle="1">
    <w:name w:val="图例"/>
    <w:basedOn w:val="859"/>
    <w:uiPriority w:val="0"/>
    <w:qFormat/>
    <w:pPr>
      <w:jc w:val="center"/>
      <w:spacing w:before="120" w:after="120" w:line="360" w:lineRule="auto"/>
    </w:pPr>
    <w:rPr>
      <w:rFonts w:eastAsia="仿宋_GB2312"/>
      <w:b/>
      <w:bCs/>
      <w:sz w:val="24"/>
    </w:rPr>
  </w:style>
  <w:style w:type="paragraph" w:styleId="1183" w:customStyle="1">
    <w:name w:val="reader-word-layer reader-word-s1-6"/>
    <w:basedOn w:val="859"/>
    <w:uiPriority w:val="0"/>
    <w:qFormat/>
    <w:pPr>
      <w:jc w:val="left"/>
      <w:spacing w:before="100" w:beforeAutospacing="1" w:after="100" w:afterAutospacing="1"/>
      <w:widowControl/>
    </w:pPr>
    <w:rPr>
      <w:rFonts w:ascii="宋体" w:hAnsi="宋体" w:cs="宋体"/>
      <w:sz w:val="24"/>
    </w:rPr>
  </w:style>
  <w:style w:type="paragraph" w:styleId="1184" w:customStyle="1">
    <w:name w:val="普通正文"/>
    <w:basedOn w:val="859"/>
    <w:uiPriority w:val="0"/>
    <w:qFormat/>
    <w:pPr>
      <w:ind w:firstLine="480"/>
      <w:jc w:val="left"/>
      <w:spacing w:before="120" w:after="120" w:line="360" w:lineRule="auto"/>
    </w:pPr>
    <w:rPr>
      <w:rFonts w:ascii="Arial" w:hAnsi="Arial"/>
      <w:sz w:val="24"/>
    </w:rPr>
  </w:style>
  <w:style w:type="paragraph" w:styleId="1185" w:customStyle="1">
    <w:name w:val="标题1"/>
    <w:basedOn w:val="859"/>
    <w:next w:val="8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86" w:customStyle="1">
    <w:name w:val="段"/>
    <w:next w:val="859"/>
    <w:uiPriority w:val="0"/>
    <w:qFormat/>
    <w:pPr>
      <w:ind w:firstLine="200"/>
      <w:jc w:val="both"/>
    </w:pPr>
    <w:rPr>
      <w:rFonts w:hint="default" w:ascii="宋体" w:hAnsi="Times New Roman" w:eastAsia="宋体" w:cs="Times New Roman"/>
      <w:sz w:val="21"/>
      <w:lang w:val="en-US" w:eastAsia="zh-CN" w:bidi="ar-SA"/>
    </w:rPr>
  </w:style>
  <w:style w:type="paragraph" w:styleId="1187" w:customStyle="1">
    <w:name w:val="reader-word-layer reader-word-s1-9"/>
    <w:basedOn w:val="859"/>
    <w:uiPriority w:val="0"/>
    <w:qFormat/>
    <w:pPr>
      <w:jc w:val="left"/>
      <w:spacing w:before="100" w:beforeAutospacing="1" w:after="100" w:afterAutospacing="1"/>
      <w:widowControl/>
    </w:pPr>
    <w:rPr>
      <w:rFonts w:ascii="宋体" w:hAnsi="宋体" w:cs="宋体"/>
      <w:sz w:val="24"/>
    </w:rPr>
  </w:style>
  <w:style w:type="paragraph" w:styleId="1188" w:customStyle="1">
    <w:name w:val="reader-word-layer reader-word-s1-5"/>
    <w:basedOn w:val="859"/>
    <w:uiPriority w:val="0"/>
    <w:qFormat/>
    <w:pPr>
      <w:jc w:val="left"/>
      <w:spacing w:before="100" w:beforeAutospacing="1" w:after="100" w:afterAutospacing="1"/>
      <w:widowControl/>
    </w:pPr>
    <w:rPr>
      <w:rFonts w:ascii="宋体" w:hAnsi="宋体" w:cs="宋体"/>
      <w:sz w:val="24"/>
    </w:rPr>
  </w:style>
  <w:style w:type="paragraph" w:styleId="1189" w:customStyle="1">
    <w:name w:val="List Paragraph1"/>
    <w:basedOn w:val="859"/>
    <w:uiPriority w:val="0"/>
    <w:qFormat/>
    <w:pPr>
      <w:ind w:firstLine="420"/>
    </w:pPr>
    <w:rPr>
      <w:sz w:val="28"/>
      <w:szCs w:val="28"/>
    </w:rPr>
  </w:style>
  <w:style w:type="paragraph" w:styleId="1190" w:customStyle="1">
    <w:name w:val="1册标题2"/>
    <w:basedOn w:val="859"/>
    <w:next w:val="859"/>
    <w:uiPriority w:val="0"/>
    <w:qFormat/>
    <w:pPr>
      <w:jc w:val="center"/>
      <w:spacing w:line="300" w:lineRule="auto"/>
      <w:outlineLvl w:val="1"/>
    </w:pPr>
    <w:rPr>
      <w:rFonts w:ascii="Arial" w:hAnsi="Arial" w:eastAsia="黑体"/>
      <w:bCs/>
      <w:sz w:val="32"/>
    </w:rPr>
  </w:style>
  <w:style w:type="paragraph" w:styleId="119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92" w:customStyle="1">
    <w:name w:val="二级条标题"/>
    <w:basedOn w:val="859"/>
    <w:next w:val="1186"/>
    <w:uiPriority w:val="0"/>
    <w:qFormat/>
    <w:pPr>
      <w:jc w:val="left"/>
      <w:spacing w:line="360" w:lineRule="auto"/>
      <w:widowControl/>
      <w:outlineLvl w:val="3"/>
    </w:pPr>
    <w:rPr>
      <w:rFonts w:ascii="宋体" w:hAnsi="宋体"/>
      <w:sz w:val="32"/>
      <w:szCs w:val="32"/>
    </w:rPr>
  </w:style>
  <w:style w:type="paragraph" w:styleId="1193" w:customStyle="1">
    <w:name w:val="DL 4.1"/>
    <w:basedOn w:val="859"/>
    <w:next w:val="859"/>
    <w:uiPriority w:val="0"/>
    <w:qFormat/>
    <w:pPr>
      <w:ind w:left="840" w:hanging="420"/>
      <w:jc w:val="left"/>
      <w:keepLines/>
      <w:keepNext/>
      <w:spacing w:line="400" w:lineRule="atLeast"/>
      <w:widowControl/>
      <w:outlineLvl w:val="1"/>
    </w:pPr>
    <w:rPr>
      <w:rFonts w:eastAsia="黑体" w:cs="宋体"/>
      <w:b/>
      <w:sz w:val="24"/>
      <w:szCs w:val="20"/>
    </w:rPr>
  </w:style>
  <w:style w:type="paragraph" w:styleId="1194" w:customStyle="1">
    <w:name w:val="xl25"/>
    <w:basedOn w:val="85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95" w:customStyle="1">
    <w:name w:val="3.1DL"/>
    <w:basedOn w:val="859"/>
    <w:next w:val="859"/>
    <w:uiPriority w:val="0"/>
    <w:qFormat/>
    <w:pPr>
      <w:ind w:left="1155" w:hanging="420"/>
      <w:keepLines/>
      <w:keepNext/>
      <w:spacing w:line="400" w:lineRule="atLeast"/>
      <w:outlineLvl w:val="1"/>
    </w:pPr>
    <w:rPr>
      <w:rFonts w:eastAsia="黑体" w:cs="宋体"/>
      <w:sz w:val="24"/>
      <w:szCs w:val="20"/>
    </w:rPr>
  </w:style>
  <w:style w:type="character" w:styleId="1196" w:customStyle="1">
    <w:name w:val="未处理的提及1"/>
    <w:uiPriority w:val="99"/>
    <w:unhideWhenUsed/>
    <w:qFormat/>
    <w:rPr>
      <w:color w:val="605e5c"/>
      <w:shd w:val="clear" w:color="auto" w:fill="e1dfdd"/>
    </w:rPr>
  </w:style>
  <w:style w:type="paragraph" w:styleId="1197" w:customStyle="1">
    <w:name w:val="Table Paragraph"/>
    <w:basedOn w:val="859"/>
    <w:uiPriority w:val="1"/>
    <w:qFormat/>
    <w:pPr>
      <w:jc w:val="left"/>
    </w:pPr>
    <w:rPr>
      <w:rFonts w:ascii="宋体" w:hAnsi="宋体" w:cs="宋体"/>
      <w:sz w:val="22"/>
      <w:szCs w:val="22"/>
      <w:lang w:eastAsia="en-US"/>
    </w:rPr>
  </w:style>
  <w:style w:type="character" w:styleId="1198" w:customStyle="1">
    <w:name w:val="l-btn-left"/>
    <w:uiPriority w:val="0"/>
    <w:qFormat/>
  </w:style>
  <w:style w:type="character" w:styleId="1199" w:customStyle="1">
    <w:name w:val="current"/>
    <w:uiPriority w:val="0"/>
    <w:qFormat/>
    <w:rPr>
      <w:b/>
      <w:bCs/>
      <w:color w:val="05a7d8"/>
      <w:sz w:val="18"/>
      <w:szCs w:val="18"/>
    </w:rPr>
  </w:style>
  <w:style w:type="character" w:styleId="1200" w:customStyle="1">
    <w:name w:val="l-btn-text31"/>
    <w:uiPriority w:val="0"/>
    <w:qFormat/>
  </w:style>
  <w:style w:type="character" w:styleId="1201" w:customStyle="1">
    <w:name w:val="l-btn-text25"/>
    <w:uiPriority w:val="0"/>
    <w:qFormat/>
  </w:style>
  <w:style w:type="character" w:styleId="1202" w:customStyle="1">
    <w:name w:val="l-btn-text"/>
    <w:uiPriority w:val="0"/>
    <w:qFormat/>
  </w:style>
  <w:style w:type="paragraph" w:styleId="1203" w:customStyle="1">
    <w:name w:val="纯文本1"/>
    <w:basedOn w:val="859"/>
    <w:uiPriority w:val="0"/>
    <w:qFormat/>
    <w:rPr>
      <w:rFonts w:ascii="宋体" w:hAnsi="Courier New" w:eastAsia="楷体_GB2312"/>
      <w:sz w:val="26"/>
      <w:szCs w:val="22"/>
    </w:rPr>
  </w:style>
  <w:style w:type="paragraph" w:styleId="1204" w:customStyle="1">
    <w:name w:val="UserStyle_0"/>
    <w:next w:val="859"/>
    <w:uiPriority w:val="0"/>
    <w:qFormat/>
    <w:rPr>
      <w:rFonts w:hint="default" w:ascii="Times New Roman" w:hAnsi="Times New Roman" w:eastAsia="Times New Roman" w:cs="Times New Roman"/>
      <w:sz w:val="24"/>
      <w:szCs w:val="24"/>
      <w:lang w:val="en-US" w:eastAsia="zh-CN" w:bidi="ar-SA"/>
    </w:rPr>
  </w:style>
  <w:style w:type="paragraph" w:styleId="1205" w:customStyle="1">
    <w:name w:val="_Style 39"/>
    <w:basedOn w:val="859"/>
    <w:next w:val="859"/>
    <w:uiPriority w:val="0"/>
    <w:qFormat/>
    <w:pPr>
      <w:jc w:val="left"/>
      <w:spacing w:before="120" w:after="120"/>
    </w:pPr>
    <w:rPr>
      <w:rFonts w:ascii="仿宋" w:hAnsi="仿宋" w:eastAsia="仿宋"/>
      <w:b/>
      <w:bCs/>
      <w:caps/>
      <w:sz w:val="20"/>
      <w:szCs w:val="20"/>
    </w:rPr>
  </w:style>
  <w:style w:type="character" w:styleId="1206" w:customStyle="1">
    <w:name w:val="未处理的提及2"/>
    <w:uiPriority w:val="99"/>
    <w:unhideWhenUsed/>
    <w:qFormat/>
    <w:rPr>
      <w:color w:val="605e5c"/>
      <w:shd w:val="clear" w:color="auto" w:fill="e1dfdd"/>
    </w:rPr>
  </w:style>
  <w:style w:type="character" w:styleId="1207" w:customStyle="1">
    <w:name w:val="NormalCharacter1"/>
    <w:uiPriority w:val="0"/>
    <w:qFormat/>
  </w:style>
  <w:style w:type="character" w:styleId="1208" w:customStyle="1">
    <w:name w:val="jj101"/>
    <w:uiPriority w:val="0"/>
    <w:qFormat/>
    <w:rPr>
      <w:sz w:val="20"/>
      <w:szCs w:val="20"/>
      <w:u w:val="none"/>
    </w:rPr>
  </w:style>
  <w:style w:type="paragraph" w:styleId="1209" w:customStyle="1">
    <w:name w:val="正文_1_0"/>
    <w:basedOn w:val="1210"/>
    <w:uiPriority w:val="0"/>
    <w:qFormat/>
    <w:pPr>
      <w:jc w:val="both"/>
      <w:widowControl w:val="off"/>
    </w:pPr>
    <w:rPr>
      <w:rFonts w:ascii="Calibri" w:hAnsi="Calibri"/>
    </w:rPr>
  </w:style>
  <w:style w:type="paragraph" w:styleId="1210"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1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212" w:customStyle="1">
    <w:name w:val="active15"/>
    <w:uiPriority w:val="0"/>
    <w:qFormat/>
    <w:rPr>
      <w:color w:val="ffffff"/>
      <w:shd w:val="clear" w:color="auto" w:fill="0f5bb9"/>
    </w:rPr>
  </w:style>
  <w:style w:type="paragraph" w:styleId="1213" w:customStyle="1">
    <w:name w:val="标题 4_0_0"/>
    <w:basedOn w:val="1209"/>
    <w:next w:val="1209"/>
    <w:uiPriority w:val="0"/>
    <w:qFormat/>
    <w:pPr>
      <w:keepLines/>
      <w:keepNext/>
      <w:spacing w:before="280" w:after="290" w:line="372" w:lineRule="auto"/>
      <w:outlineLvl w:val="3"/>
    </w:pPr>
    <w:rPr>
      <w:rFonts w:ascii="Arial" w:hAnsi="Arial" w:eastAsia="黑体"/>
      <w:b/>
      <w:sz w:val="28"/>
    </w:rPr>
  </w:style>
  <w:style w:type="paragraph" w:styleId="1214" w:customStyle="1">
    <w:name w:val="正文_1_0_0"/>
    <w:uiPriority w:val="0"/>
    <w:qFormat/>
    <w:pPr>
      <w:jc w:val="both"/>
      <w:widowControl w:val="off"/>
    </w:pPr>
    <w:rPr>
      <w:rFonts w:hint="default" w:ascii="Calibri" w:hAnsi="Calibri" w:eastAsia="宋体" w:cs="Times New Roman"/>
      <w:lang w:val="en-US" w:eastAsia="zh-CN" w:bidi="ar-SA"/>
    </w:rPr>
  </w:style>
  <w:style w:type="paragraph" w:styleId="1215" w:customStyle="1">
    <w:name w:val="正文_5"/>
    <w:uiPriority w:val="0"/>
    <w:qFormat/>
    <w:pPr>
      <w:jc w:val="both"/>
      <w:widowControl w:val="off"/>
    </w:pPr>
    <w:rPr>
      <w:rFonts w:hint="default" w:ascii="Calibri" w:hAnsi="Calibri" w:eastAsia="宋体" w:cs="Times New Roman"/>
      <w:lang w:val="en-US" w:eastAsia="zh-CN" w:bidi="ar-SA"/>
    </w:rPr>
  </w:style>
  <w:style w:type="paragraph" w:styleId="1216"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17" w:customStyle="1">
    <w:name w:val="正文_1_1"/>
    <w:uiPriority w:val="0"/>
    <w:qFormat/>
    <w:pPr>
      <w:jc w:val="both"/>
      <w:widowControl w:val="off"/>
    </w:pPr>
    <w:rPr>
      <w:rFonts w:hint="default" w:ascii="Calibri" w:hAnsi="Calibri" w:eastAsia="宋体" w:cs="Times New Roman"/>
      <w:lang w:val="en-US" w:eastAsia="zh-CN" w:bidi="ar-SA"/>
    </w:rPr>
  </w:style>
  <w:style w:type="paragraph" w:styleId="1218" w:customStyle="1">
    <w:name w:val="正文文本_0_0"/>
    <w:basedOn w:val="1217"/>
    <w:uiPriority w:val="0"/>
    <w:qFormat/>
    <w:pPr>
      <w:tabs>
        <w:tab w:val="left" w:pos="5250" w:leader="none"/>
      </w:tabs>
    </w:pPr>
    <w:rPr>
      <w:rFonts w:ascii="Times New Roman" w:hAnsi="Times New Roman"/>
      <w:sz w:val="28"/>
    </w:rPr>
  </w:style>
  <w:style w:type="paragraph" w:styleId="1219" w:customStyle="1">
    <w:name w:val="正文文本_0_0_0"/>
    <w:basedOn w:val="1209"/>
    <w:uiPriority w:val="0"/>
    <w:qFormat/>
    <w:pPr>
      <w:tabs>
        <w:tab w:val="left" w:pos="5250" w:leader="none"/>
      </w:tabs>
    </w:pPr>
    <w:rPr>
      <w:rFonts w:ascii="Times New Roman" w:hAnsi="Times New Roman"/>
      <w:sz w:val="28"/>
    </w:rPr>
  </w:style>
  <w:style w:type="paragraph" w:styleId="122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标题 11"/>
    <w:basedOn w:val="859"/>
    <w:next w:val="859"/>
    <w:uiPriority w:val="0"/>
    <w:qFormat/>
    <w:pPr>
      <w:keepNext/>
      <w:outlineLvl w:val="0"/>
    </w:pPr>
    <w:rPr>
      <w:rFonts w:ascii="楷体_GB2312" w:eastAsia="楷体_GB2312"/>
      <w:sz w:val="28"/>
      <w:szCs w:val="20"/>
    </w:rPr>
  </w:style>
  <w:style w:type="paragraph" w:styleId="1222" w:customStyle="1">
    <w:name w:val="普通(网站)1"/>
    <w:basedOn w:val="859"/>
    <w:uiPriority w:val="99"/>
    <w:qFormat/>
    <w:pPr>
      <w:jc w:val="left"/>
      <w:spacing w:before="100" w:beforeAutospacing="1" w:after="100" w:afterAutospacing="1"/>
      <w:widowControl/>
    </w:pPr>
    <w:rPr>
      <w:rFonts w:ascii="宋体" w:hAnsi="宋体" w:cs="宋体"/>
      <w:sz w:val="24"/>
    </w:rPr>
  </w:style>
  <w:style w:type="paragraph" w:styleId="1223" w:customStyle="1">
    <w:name w:val="简单回函地址"/>
    <w:basedOn w:val="859"/>
    <w:uiPriority w:val="0"/>
    <w:qFormat/>
    <w:rPr>
      <w:rFonts w:cs="宋体"/>
      <w:szCs w:val="21"/>
    </w:rPr>
  </w:style>
  <w:style w:type="paragraph" w:styleId="1224" w:customStyle="1">
    <w:name w:val="正文首行缩进1"/>
    <w:basedOn w:val="1225"/>
    <w:next w:val="1227"/>
    <w:uiPriority w:val="0"/>
    <w:qFormat/>
    <w:pPr>
      <w:ind w:firstLine="200"/>
      <w:spacing w:line="360" w:lineRule="auto"/>
    </w:pPr>
    <w:rPr>
      <w:rFonts w:ascii="仿宋_GB2312" w:hAnsi="Arial" w:eastAsia="仿宋_GB2312"/>
      <w:sz w:val="30"/>
      <w:szCs w:val="30"/>
    </w:rPr>
  </w:style>
  <w:style w:type="paragraph" w:styleId="1225" w:customStyle="1">
    <w:name w:val="正文文本1"/>
    <w:basedOn w:val="859"/>
    <w:next w:val="1226"/>
    <w:uiPriority w:val="0"/>
    <w:qFormat/>
    <w:pPr>
      <w:spacing w:after="120"/>
    </w:pPr>
    <w:rPr>
      <w:rFonts w:ascii="Calibri" w:hAnsi="Calibri"/>
    </w:rPr>
  </w:style>
  <w:style w:type="paragraph" w:styleId="1226" w:customStyle="1">
    <w:name w:val="目录 21"/>
    <w:basedOn w:val="859"/>
    <w:next w:val="859"/>
    <w:uiPriority w:val="39"/>
    <w:qFormat/>
    <w:pPr>
      <w:ind w:left="210"/>
      <w:jc w:val="left"/>
    </w:pPr>
    <w:rPr>
      <w:smallCaps/>
      <w:sz w:val="20"/>
      <w:szCs w:val="20"/>
    </w:rPr>
  </w:style>
  <w:style w:type="paragraph" w:styleId="1227" w:customStyle="1">
    <w:name w:val="正文缩进11"/>
    <w:basedOn w:val="859"/>
    <w:next w:val="859"/>
    <w:uiPriority w:val="0"/>
    <w:qFormat/>
    <w:pPr>
      <w:ind w:firstLine="420"/>
    </w:pPr>
    <w:rPr>
      <w:szCs w:val="21"/>
    </w:rPr>
  </w:style>
  <w:style w:type="paragraph" w:styleId="1228" w:customStyle="1">
    <w:name w:val="reader-word-layer reader-word-s1-45"/>
    <w:basedOn w:val="859"/>
    <w:uiPriority w:val="0"/>
    <w:qFormat/>
    <w:pPr>
      <w:jc w:val="left"/>
      <w:spacing w:before="100" w:beforeAutospacing="1" w:after="100" w:afterAutospacing="1"/>
      <w:widowControl/>
    </w:pPr>
    <w:rPr>
      <w:rFonts w:ascii="宋体" w:hAnsi="宋体" w:cs="宋体"/>
      <w:sz w:val="24"/>
    </w:rPr>
  </w:style>
  <w:style w:type="paragraph" w:styleId="1229" w:customStyle="1">
    <w:name w:val="reader-word-layer reader-word-s1-0"/>
    <w:basedOn w:val="859"/>
    <w:uiPriority w:val="0"/>
    <w:qFormat/>
    <w:pPr>
      <w:jc w:val="left"/>
      <w:spacing w:before="100" w:beforeAutospacing="1" w:after="100" w:afterAutospacing="1"/>
      <w:widowControl/>
    </w:pPr>
    <w:rPr>
      <w:rFonts w:ascii="宋体" w:hAnsi="宋体" w:cs="宋体"/>
      <w:sz w:val="24"/>
    </w:rPr>
  </w:style>
  <w:style w:type="paragraph" w:styleId="1230" w:customStyle="1">
    <w:name w:val="reader-word-layer reader-word-s1-39"/>
    <w:basedOn w:val="859"/>
    <w:uiPriority w:val="0"/>
    <w:qFormat/>
    <w:pPr>
      <w:jc w:val="left"/>
      <w:spacing w:before="100" w:beforeAutospacing="1" w:after="100" w:afterAutospacing="1"/>
      <w:widowControl/>
    </w:pPr>
    <w:rPr>
      <w:rFonts w:ascii="宋体" w:hAnsi="宋体" w:cs="宋体"/>
      <w:sz w:val="24"/>
    </w:rPr>
  </w:style>
  <w:style w:type="paragraph" w:styleId="1231" w:customStyle="1">
    <w:name w:val="WPSOffice手动目录 1"/>
    <w:uiPriority w:val="0"/>
    <w:qFormat/>
    <w:rPr>
      <w:rFonts w:hint="default" w:ascii="Times New Roman" w:hAnsi="Times New Roman" w:eastAsia="宋体" w:cs="Times New Roman"/>
      <w:lang w:val="en-US" w:eastAsia="zh-CN" w:bidi="ar-SA"/>
    </w:rPr>
  </w:style>
  <w:style w:type="paragraph" w:styleId="1232" w:customStyle="1">
    <w:name w:val="WPSOffice手动目录 2"/>
    <w:uiPriority w:val="0"/>
    <w:qFormat/>
    <w:rPr>
      <w:rFonts w:hint="default" w:ascii="Times New Roman" w:hAnsi="Times New Roman" w:eastAsia="宋体" w:cs="Times New Roman"/>
      <w:lang w:val="en-US" w:eastAsia="zh-CN" w:bidi="ar-SA"/>
    </w:rPr>
  </w:style>
  <w:style w:type="character" w:styleId="1233" w:customStyle="1">
    <w:name w:val="批注框文本 Char1"/>
    <w:link w:val="878"/>
    <w:uiPriority w:val="99"/>
    <w:semiHidden/>
    <w:qFormat/>
    <w:rPr>
      <w:sz w:val="18"/>
      <w:szCs w:val="18"/>
    </w:rPr>
  </w:style>
  <w:style w:type="paragraph" w:styleId="1234" w:customStyle="1">
    <w:name w:val="纯文本2"/>
    <w:basedOn w:val="859"/>
    <w:uiPriority w:val="0"/>
    <w:qFormat/>
    <w:rPr>
      <w:rFonts w:ascii="宋体" w:hAnsi="Courier New" w:cs="Courier New"/>
      <w:szCs w:val="21"/>
    </w:r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Zhu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Lenovo</dc:creator>
  <cp:lastModifiedBy>殷瑶</cp:lastModifiedBy>
  <cp:revision>41</cp:revision>
  <dcterms:created xsi:type="dcterms:W3CDTF">2025-04-02T07:15:00Z</dcterms:created>
  <dcterms:modified xsi:type="dcterms:W3CDTF">2026-04-27T09:21:40Z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eyJoZGlkIjoiZTdkYmYyMmNlYTM3NzJmZTZiZTk1ZGE4NDZmMTQ1MzEiLCJ1c2VySWQiOiI2NDk3MjYyNzUifQ==</vt:lpwstr>
  </property>
  <property fmtid="{D5CDD505-2E9C-101B-9397-08002B2CF9AE}" pid="3" name="KSOProductBuildVer">
    <vt:lpwstr>2052-12.1.0.25865</vt:lpwstr>
  </property>
  <property fmtid="{D5CDD505-2E9C-101B-9397-08002B2CF9AE}" pid="4" name="ICV">
    <vt:lpwstr>C1F0518E60AF4D8B9EE047AA961DD60C_13</vt:lpwstr>
  </property>
</Properties>
</file>