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105B9">
      <w:pPr>
        <w:rPr>
          <w:rFonts w:hint="eastAsia" w:ascii="宋体" w:hAnsi="宋体" w:eastAsia="宋体" w:cs="宋体"/>
          <w:color w:val="auto"/>
          <w:highlight w:val="none"/>
        </w:rPr>
      </w:pPr>
      <w:bookmarkStart w:id="335" w:name="_GoBack"/>
    </w:p>
    <w:p w14:paraId="45057C3C">
      <w:pPr>
        <w:rPr>
          <w:rFonts w:hint="eastAsia" w:ascii="宋体" w:hAnsi="宋体" w:eastAsia="宋体" w:cs="宋体"/>
          <w:color w:val="auto"/>
          <w:highlight w:val="none"/>
        </w:rPr>
      </w:pPr>
    </w:p>
    <w:p w14:paraId="09CDD57F">
      <w:pPr>
        <w:rPr>
          <w:rFonts w:hint="eastAsia" w:ascii="宋体" w:hAnsi="宋体" w:eastAsia="宋体" w:cs="宋体"/>
          <w:b/>
          <w:color w:val="auto"/>
          <w:sz w:val="96"/>
          <w:szCs w:val="96"/>
          <w:highlight w:val="none"/>
        </w:rPr>
      </w:pPr>
    </w:p>
    <w:p w14:paraId="3E8BE85D">
      <w:pPr>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招 标 文 件</w:t>
      </w:r>
    </w:p>
    <w:p w14:paraId="3CF72D43">
      <w:pPr>
        <w:rPr>
          <w:rFonts w:hint="eastAsia" w:ascii="宋体" w:hAnsi="宋体" w:eastAsia="宋体" w:cs="宋体"/>
          <w:color w:val="auto"/>
          <w:highlight w:val="none"/>
        </w:rPr>
      </w:pPr>
    </w:p>
    <w:p w14:paraId="501038BE">
      <w:pPr>
        <w:rPr>
          <w:rFonts w:hint="eastAsia" w:ascii="宋体" w:hAnsi="宋体" w:eastAsia="宋体" w:cs="宋体"/>
          <w:color w:val="auto"/>
          <w:highlight w:val="none"/>
        </w:rPr>
      </w:pPr>
    </w:p>
    <w:p w14:paraId="7D34899B">
      <w:pPr>
        <w:rPr>
          <w:rFonts w:hint="eastAsia" w:ascii="宋体" w:hAnsi="宋体" w:eastAsia="宋体" w:cs="宋体"/>
          <w:color w:val="auto"/>
          <w:highlight w:val="none"/>
        </w:rPr>
      </w:pPr>
    </w:p>
    <w:p w14:paraId="3E9A6C22">
      <w:pPr>
        <w:rPr>
          <w:rFonts w:hint="eastAsia" w:ascii="宋体" w:hAnsi="宋体" w:eastAsia="宋体" w:cs="宋体"/>
          <w:b/>
          <w:color w:val="auto"/>
          <w:sz w:val="44"/>
          <w:szCs w:val="44"/>
          <w:highlight w:val="none"/>
        </w:rPr>
      </w:pPr>
    </w:p>
    <w:p w14:paraId="5ABE2319">
      <w:pPr>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项目编号：</w:t>
      </w:r>
      <w:r>
        <w:rPr>
          <w:rFonts w:hint="eastAsia" w:ascii="宋体" w:hAnsi="宋体" w:eastAsia="宋体" w:cs="宋体"/>
          <w:b/>
          <w:color w:val="auto"/>
          <w:sz w:val="40"/>
          <w:szCs w:val="40"/>
          <w:highlight w:val="none"/>
          <w:lang w:eastAsia="zh-CN"/>
        </w:rPr>
        <w:t>JSZC-320581-SZDS-G2026-0004</w:t>
      </w:r>
    </w:p>
    <w:p w14:paraId="1748DD41">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项目名称：</w:t>
      </w:r>
      <w:r>
        <w:rPr>
          <w:rFonts w:hint="eastAsia" w:ascii="宋体" w:hAnsi="宋体" w:eastAsia="宋体" w:cs="宋体"/>
          <w:b/>
          <w:color w:val="auto"/>
          <w:sz w:val="40"/>
          <w:szCs w:val="40"/>
          <w:highlight w:val="none"/>
          <w:lang w:eastAsia="zh-CN"/>
        </w:rPr>
        <w:t>常熟市第二人民医院（台山路院区）能源站运维服务</w:t>
      </w:r>
    </w:p>
    <w:p w14:paraId="1B785FD6">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项目属性：服务类项目</w:t>
      </w:r>
    </w:p>
    <w:p w14:paraId="24489664">
      <w:pPr>
        <w:autoSpaceDE w:val="0"/>
        <w:autoSpaceDN w:val="0"/>
        <w:adjustRightInd w:val="0"/>
        <w:spacing w:line="360" w:lineRule="auto"/>
        <w:ind w:left="-38" w:leftChars="-18" w:firstLine="36" w:firstLineChars="9"/>
        <w:jc w:val="lef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rPr>
        <w:t>标的所属行业：</w:t>
      </w:r>
      <w:r>
        <w:rPr>
          <w:rFonts w:hint="eastAsia" w:ascii="宋体" w:hAnsi="宋体" w:eastAsia="宋体" w:cs="宋体"/>
          <w:b/>
          <w:color w:val="auto"/>
          <w:sz w:val="40"/>
          <w:szCs w:val="40"/>
          <w:highlight w:val="none"/>
          <w:lang w:eastAsia="zh-CN"/>
        </w:rPr>
        <w:t>其他未列明行业</w:t>
      </w:r>
    </w:p>
    <w:p w14:paraId="6653A386">
      <w:pPr>
        <w:autoSpaceDE w:val="0"/>
        <w:autoSpaceDN w:val="0"/>
        <w:adjustRightInd w:val="0"/>
        <w:spacing w:line="360" w:lineRule="auto"/>
        <w:ind w:leftChars="-95" w:hanging="199" w:hangingChars="45"/>
        <w:jc w:val="left"/>
        <w:rPr>
          <w:rFonts w:hint="eastAsia" w:ascii="宋体" w:hAnsi="宋体" w:eastAsia="宋体" w:cs="宋体"/>
          <w:b/>
          <w:color w:val="auto"/>
          <w:sz w:val="44"/>
          <w:szCs w:val="44"/>
          <w:highlight w:val="none"/>
        </w:rPr>
      </w:pPr>
    </w:p>
    <w:p w14:paraId="39FDE10D">
      <w:pPr>
        <w:autoSpaceDE w:val="0"/>
        <w:autoSpaceDN w:val="0"/>
        <w:adjustRightInd w:val="0"/>
        <w:spacing w:line="360" w:lineRule="auto"/>
        <w:jc w:val="center"/>
        <w:rPr>
          <w:rFonts w:hint="eastAsia" w:ascii="宋体" w:hAnsi="宋体" w:eastAsia="宋体" w:cs="宋体"/>
          <w:b/>
          <w:color w:val="auto"/>
          <w:sz w:val="44"/>
          <w:szCs w:val="44"/>
          <w:highlight w:val="none"/>
          <w:u w:val="single"/>
        </w:rPr>
      </w:pPr>
    </w:p>
    <w:p w14:paraId="0F1FCAF9">
      <w:pPr>
        <w:jc w:val="center"/>
        <w:rPr>
          <w:rFonts w:hint="eastAsia" w:ascii="宋体" w:hAnsi="宋体" w:eastAsia="宋体" w:cs="宋体"/>
          <w:b/>
          <w:color w:val="auto"/>
          <w:sz w:val="44"/>
          <w:szCs w:val="44"/>
          <w:highlight w:val="none"/>
        </w:rPr>
      </w:pPr>
    </w:p>
    <w:p w14:paraId="4F992EBB">
      <w:pPr>
        <w:rPr>
          <w:rFonts w:hint="eastAsia" w:ascii="宋体" w:hAnsi="宋体" w:eastAsia="宋体" w:cs="宋体"/>
          <w:b/>
          <w:color w:val="auto"/>
          <w:sz w:val="44"/>
          <w:szCs w:val="44"/>
          <w:highlight w:val="none"/>
        </w:rPr>
      </w:pPr>
    </w:p>
    <w:p w14:paraId="6063E584">
      <w:pPr>
        <w:rPr>
          <w:rFonts w:hint="eastAsia" w:ascii="宋体" w:hAnsi="宋体" w:eastAsia="宋体" w:cs="宋体"/>
          <w:b/>
          <w:color w:val="auto"/>
          <w:sz w:val="44"/>
          <w:szCs w:val="44"/>
          <w:highlight w:val="none"/>
        </w:rPr>
      </w:pPr>
    </w:p>
    <w:p w14:paraId="732A073A">
      <w:pPr>
        <w:rPr>
          <w:rFonts w:hint="eastAsia" w:ascii="宋体" w:hAnsi="宋体" w:eastAsia="宋体" w:cs="宋体"/>
          <w:b/>
          <w:color w:val="auto"/>
          <w:sz w:val="44"/>
          <w:szCs w:val="44"/>
          <w:highlight w:val="none"/>
        </w:rPr>
      </w:pPr>
    </w:p>
    <w:p w14:paraId="68E99855">
      <w:pPr>
        <w:spacing w:line="360" w:lineRule="auto"/>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苏州信达顺工程建设咨询有限公司</w:t>
      </w:r>
    </w:p>
    <w:p w14:paraId="7BA44BF9">
      <w:pPr>
        <w:jc w:val="center"/>
        <w:rPr>
          <w:rFonts w:hint="eastAsia" w:ascii="宋体" w:hAnsi="宋体" w:eastAsia="宋体" w:cs="宋体"/>
          <w:b/>
          <w:color w:val="auto"/>
          <w:sz w:val="44"/>
          <w:szCs w:val="44"/>
          <w:highlight w:val="none"/>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fmt="decimal" w:start="0"/>
          <w:cols w:space="720" w:num="1"/>
          <w:titlePg/>
          <w:docGrid w:type="lines" w:linePitch="305" w:charSpace="0"/>
        </w:sectPr>
      </w:pPr>
      <w:r>
        <w:rPr>
          <w:rFonts w:hint="eastAsia" w:ascii="宋体" w:hAnsi="宋体" w:eastAsia="宋体" w:cs="宋体"/>
          <w:b/>
          <w:color w:val="auto"/>
          <w:sz w:val="44"/>
          <w:szCs w:val="44"/>
          <w:highlight w:val="none"/>
          <w:lang w:eastAsia="zh-CN"/>
        </w:rPr>
        <w:t>2026</w:t>
      </w:r>
      <w:r>
        <w:rPr>
          <w:rFonts w:hint="eastAsia" w:ascii="宋体" w:hAnsi="宋体" w:eastAsia="宋体" w:cs="宋体"/>
          <w:b/>
          <w:color w:val="auto"/>
          <w:sz w:val="44"/>
          <w:szCs w:val="44"/>
          <w:highlight w:val="none"/>
        </w:rPr>
        <w:t>年</w:t>
      </w:r>
      <w:r>
        <w:rPr>
          <w:rFonts w:hint="eastAsia" w:ascii="宋体" w:hAnsi="宋体" w:eastAsia="宋体" w:cs="宋体"/>
          <w:b/>
          <w:color w:val="auto"/>
          <w:sz w:val="44"/>
          <w:szCs w:val="44"/>
          <w:highlight w:val="none"/>
          <w:lang w:val="en-US" w:eastAsia="zh-CN"/>
        </w:rPr>
        <w:t>04</w:t>
      </w:r>
      <w:r>
        <w:rPr>
          <w:rFonts w:hint="eastAsia" w:ascii="宋体" w:hAnsi="宋体" w:eastAsia="宋体" w:cs="宋体"/>
          <w:b/>
          <w:color w:val="auto"/>
          <w:sz w:val="44"/>
          <w:szCs w:val="44"/>
          <w:highlight w:val="none"/>
        </w:rPr>
        <w:t>月</w:t>
      </w:r>
      <w:r>
        <w:rPr>
          <w:rFonts w:hint="eastAsia" w:ascii="宋体" w:hAnsi="宋体" w:eastAsia="宋体" w:cs="宋体"/>
          <w:b/>
          <w:color w:val="auto"/>
          <w:sz w:val="44"/>
          <w:szCs w:val="44"/>
          <w:highlight w:val="none"/>
          <w:lang w:val="en-US" w:eastAsia="zh-CN"/>
        </w:rPr>
        <w:t>24</w:t>
      </w:r>
      <w:r>
        <w:rPr>
          <w:rFonts w:hint="eastAsia" w:ascii="宋体" w:hAnsi="宋体" w:eastAsia="宋体" w:cs="宋体"/>
          <w:b/>
          <w:color w:val="auto"/>
          <w:sz w:val="44"/>
          <w:szCs w:val="44"/>
          <w:highlight w:val="none"/>
        </w:rPr>
        <w:t>日</w:t>
      </w:r>
    </w:p>
    <w:p w14:paraId="14F68B3B">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目录</w:t>
      </w:r>
      <w:bookmarkStart w:id="0" w:name="_Toc158691765"/>
    </w:p>
    <w:p w14:paraId="7D92506B">
      <w:pPr>
        <w:pStyle w:val="37"/>
        <w:tabs>
          <w:tab w:val="right" w:leader="dot" w:pos="9660"/>
          <w:tab w:val="clear" w:pos="9450"/>
        </w:tabs>
        <w:rPr>
          <w:rFonts w:hint="eastAsia" w:ascii="宋体" w:hAnsi="宋体" w:eastAsia="宋体" w:cs="宋体"/>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_Toc30062 </w:instrText>
      </w:r>
      <w:r>
        <w:rPr>
          <w:rFonts w:hint="eastAsia" w:ascii="宋体" w:hAnsi="宋体" w:eastAsia="宋体" w:cs="宋体"/>
          <w:highlight w:val="none"/>
        </w:rPr>
        <w:fldChar w:fldCharType="separate"/>
      </w:r>
      <w:r>
        <w:rPr>
          <w:rFonts w:hint="eastAsia" w:ascii="宋体" w:hAnsi="宋体" w:eastAsia="宋体" w:cs="宋体"/>
          <w:highlight w:val="none"/>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_Toc30062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color w:val="auto"/>
          <w:highlight w:val="none"/>
        </w:rPr>
        <w:fldChar w:fldCharType="end"/>
      </w:r>
    </w:p>
    <w:p w14:paraId="1AFC9CC5">
      <w:pPr>
        <w:pStyle w:val="3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_Toc22326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_Toc22326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45A2AD27">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_Toc10610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_Toc10610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1A7B722C">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_Toc7158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二、招标文件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_Toc7158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4062FB67">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_Toc22774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三、投标文件的编制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_Toc22774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7B68A074">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_Toc13245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四、投标文件的递交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_Toc13245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2977F494">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_Toc16319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五、开标与评审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_Toc16319 \h </w:instrText>
      </w:r>
      <w:r>
        <w:rPr>
          <w:rFonts w:hint="eastAsia" w:ascii="宋体" w:hAnsi="宋体" w:eastAsia="宋体" w:cs="宋体"/>
        </w:rPr>
        <w:fldChar w:fldCharType="separate"/>
      </w:r>
      <w:r>
        <w:rPr>
          <w:rFonts w:hint="eastAsia" w:ascii="宋体" w:hAnsi="宋体" w:eastAsia="宋体" w:cs="宋体"/>
        </w:rPr>
        <w:t>7</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57D404B7">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_Toc4520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六、定标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_Toc4520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53074B86">
      <w:pPr>
        <w:pStyle w:val="27"/>
        <w:tabs>
          <w:tab w:val="right" w:leader="dot" w:pos="966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_Toc6483 </w:instrText>
      </w:r>
      <w:r>
        <w:rPr>
          <w:rFonts w:hint="eastAsia" w:ascii="宋体" w:hAnsi="宋体" w:eastAsia="宋体" w:cs="宋体"/>
          <w:szCs w:val="36"/>
          <w:highlight w:val="none"/>
        </w:rPr>
        <w:fldChar w:fldCharType="separate"/>
      </w:r>
      <w:r>
        <w:rPr>
          <w:rFonts w:hint="eastAsia" w:ascii="宋体" w:hAnsi="宋体" w:eastAsia="宋体" w:cs="宋体"/>
          <w:bCs/>
          <w:szCs w:val="32"/>
          <w:highlight w:val="none"/>
        </w:rPr>
        <w:t>七、授予合同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_Toc6483 \h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51F21F0C">
      <w:pPr>
        <w:pStyle w:val="3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_Toc11409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_Toc11409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476DA11A">
      <w:pPr>
        <w:pStyle w:val="3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_Toc19659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_Toc19659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0E1DC235">
      <w:pPr>
        <w:pStyle w:val="3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_Toc5166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第五章 评审方法与评审标准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_Toc5166 \h </w:instrText>
      </w:r>
      <w:r>
        <w:rPr>
          <w:rFonts w:hint="eastAsia" w:ascii="宋体" w:hAnsi="宋体" w:eastAsia="宋体" w:cs="宋体"/>
        </w:rPr>
        <w:fldChar w:fldCharType="separate"/>
      </w:r>
      <w:r>
        <w:rPr>
          <w:rFonts w:hint="eastAsia" w:ascii="宋体" w:hAnsi="宋体" w:eastAsia="宋体" w:cs="宋体"/>
        </w:rPr>
        <w:t>29</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0E606751">
      <w:pPr>
        <w:pStyle w:val="3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_Toc25600 </w:instrText>
      </w:r>
      <w:r>
        <w:rPr>
          <w:rFonts w:hint="eastAsia" w:ascii="宋体" w:hAnsi="宋体" w:eastAsia="宋体" w:cs="宋体"/>
          <w:szCs w:val="36"/>
          <w:highlight w:val="none"/>
        </w:rPr>
        <w:fldChar w:fldCharType="separate"/>
      </w:r>
      <w:r>
        <w:rPr>
          <w:rFonts w:hint="eastAsia" w:ascii="宋体" w:hAnsi="宋体" w:eastAsia="宋体" w:cs="宋体"/>
          <w:highlight w:val="none"/>
        </w:rPr>
        <w:t>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_Toc25600 \h </w:instrText>
      </w:r>
      <w:r>
        <w:rPr>
          <w:rFonts w:hint="eastAsia" w:ascii="宋体" w:hAnsi="宋体" w:eastAsia="宋体" w:cs="宋体"/>
        </w:rPr>
        <w:fldChar w:fldCharType="separate"/>
      </w:r>
      <w:r>
        <w:rPr>
          <w:rFonts w:hint="eastAsia" w:ascii="宋体" w:hAnsi="宋体" w:eastAsia="宋体" w:cs="宋体"/>
        </w:rPr>
        <w:t>33</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62B6CBBE">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_Toc4384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 开标一览表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_Toc4384 \h </w:instrText>
      </w:r>
      <w:r>
        <w:rPr>
          <w:rFonts w:hint="eastAsia" w:ascii="宋体" w:hAnsi="宋体" w:eastAsia="宋体" w:cs="宋体"/>
        </w:rPr>
        <w:fldChar w:fldCharType="separate"/>
      </w:r>
      <w:r>
        <w:rPr>
          <w:rFonts w:hint="eastAsia" w:ascii="宋体" w:hAnsi="宋体" w:eastAsia="宋体" w:cs="宋体"/>
        </w:rPr>
        <w:t>35</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466AC25A">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_Toc1852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附件2 报价明细表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_Toc1852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558044F7">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_Toc24050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附件3 具备履行合同所必需的设备和专业技术能力的书面声明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_Toc24050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1C8EDDAE">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_Toc18208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附件4 参加政府采购活动前3年内在经营活动中没有重大违法记录的书面声明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_Toc18208 \h </w:instrText>
      </w:r>
      <w:r>
        <w:rPr>
          <w:rFonts w:hint="eastAsia" w:ascii="宋体" w:hAnsi="宋体" w:eastAsia="宋体" w:cs="宋体"/>
        </w:rPr>
        <w:fldChar w:fldCharType="separate"/>
      </w:r>
      <w:r>
        <w:rPr>
          <w:rFonts w:hint="eastAsia" w:ascii="宋体" w:hAnsi="宋体" w:eastAsia="宋体" w:cs="宋体"/>
        </w:rPr>
        <w:t>38</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15A9FAB4">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_Toc14939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附件5 法人授权书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_Toc14939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4AF850C1">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_Toc12357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附件6 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_Toc12357 \h </w:instrText>
      </w:r>
      <w:r>
        <w:rPr>
          <w:rFonts w:hint="eastAsia" w:ascii="宋体" w:hAnsi="宋体" w:eastAsia="宋体" w:cs="宋体"/>
        </w:rPr>
        <w:fldChar w:fldCharType="separate"/>
      </w:r>
      <w:r>
        <w:rPr>
          <w:rFonts w:hint="eastAsia" w:ascii="宋体" w:hAnsi="宋体" w:eastAsia="宋体" w:cs="宋体"/>
        </w:rPr>
        <w:t>40</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347040D1">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_Toc3040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附件7 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_Toc3040 \h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655CBDD0">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_Toc31864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附件8 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_Toc31864 \h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51A78696">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_Toc11816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附件9 实质性要求响应及偏离表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_Toc11816 \h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579ECB22">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_Toc9628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附件10 服务要求响应及偏离表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_Toc9628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77A7394A">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_Toc5346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附件11 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_Toc5346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17A8CE76">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_Toc5279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附件12 项目组人员一览表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_Toc5279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187D0CB6">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_Toc366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3</w:t>
      </w:r>
      <w:r>
        <w:rPr>
          <w:rFonts w:hint="eastAsia" w:ascii="宋体" w:hAnsi="宋体" w:eastAsia="宋体" w:cs="宋体"/>
          <w:highlight w:val="none"/>
        </w:rPr>
        <w:t xml:space="preserve"> 业绩一览表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_Toc366 \h </w:instrText>
      </w:r>
      <w:r>
        <w:rPr>
          <w:rFonts w:hint="eastAsia" w:ascii="宋体" w:hAnsi="宋体" w:eastAsia="宋体" w:cs="宋体"/>
        </w:rPr>
        <w:fldChar w:fldCharType="separate"/>
      </w:r>
      <w:r>
        <w:rPr>
          <w:rFonts w:hint="eastAsia" w:ascii="宋体" w:hAnsi="宋体" w:eastAsia="宋体" w:cs="宋体"/>
        </w:rPr>
        <w:t>47</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3EAA590A">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_Toc14554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4</w:t>
      </w:r>
      <w:r>
        <w:rPr>
          <w:rFonts w:hint="eastAsia" w:ascii="宋体" w:hAnsi="宋体" w:eastAsia="宋体" w:cs="宋体"/>
          <w:highlight w:val="none"/>
        </w:rPr>
        <w:t xml:space="preserve"> 商务条件响应及偏离表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_Toc14554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7ACD1F94">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_Toc4925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5</w:t>
      </w:r>
      <w:r>
        <w:rPr>
          <w:rFonts w:hint="eastAsia" w:ascii="宋体" w:hAnsi="宋体" w:eastAsia="宋体" w:cs="宋体"/>
          <w:highlight w:val="none"/>
        </w:rPr>
        <w:t xml:space="preserve"> </w:t>
      </w:r>
      <w:r>
        <w:rPr>
          <w:rFonts w:hint="eastAsia" w:ascii="宋体" w:hAnsi="宋体" w:eastAsia="宋体" w:cs="宋体"/>
          <w:highlight w:val="none"/>
          <w:lang w:val="en-US" w:eastAsia="zh-CN"/>
        </w:rPr>
        <w:t>供应商与其他单位存在直接控股、管理关系情况表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_Toc4925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2C13C81B">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_Toc21394 </w:instrText>
      </w:r>
      <w:r>
        <w:rPr>
          <w:rFonts w:hint="eastAsia" w:ascii="宋体" w:hAnsi="宋体" w:eastAsia="宋体" w:cs="宋体"/>
          <w:szCs w:val="36"/>
          <w:highlight w:val="none"/>
        </w:rPr>
        <w:fldChar w:fldCharType="separate"/>
      </w:r>
      <w:r>
        <w:rPr>
          <w:rFonts w:hint="eastAsia" w:ascii="宋体" w:hAnsi="宋体" w:eastAsia="宋体" w:cs="宋体"/>
          <w:bCs/>
          <w:kern w:val="2"/>
          <w:szCs w:val="28"/>
          <w:highlight w:val="none"/>
          <w:lang w:val="en-US" w:eastAsia="zh-CN" w:bidi="ar-SA"/>
        </w:rPr>
        <w:t>附件16 季度考核评分表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_Toc21394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33688473">
      <w:pPr>
        <w:pStyle w:val="47"/>
        <w:tabs>
          <w:tab w:val="right" w:leader="dot" w:pos="9660"/>
          <w:tab w:val="clear" w:pos="9450"/>
        </w:tabs>
        <w:rPr>
          <w:rFonts w:hint="eastAsia" w:ascii="宋体" w:hAnsi="宋体" w:eastAsia="宋体" w:cs="宋体"/>
        </w:rPr>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_Toc28615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附件1</w:t>
      </w:r>
      <w:r>
        <w:rPr>
          <w:rFonts w:hint="eastAsia" w:ascii="宋体" w:hAnsi="宋体" w:eastAsia="宋体" w:cs="宋体"/>
          <w:bCs/>
          <w:szCs w:val="28"/>
          <w:highlight w:val="none"/>
          <w:lang w:val="en-US" w:eastAsia="zh-CN"/>
        </w:rPr>
        <w:t xml:space="preserve">7 </w:t>
      </w:r>
      <w:r>
        <w:rPr>
          <w:rFonts w:hint="eastAsia" w:ascii="宋体" w:hAnsi="宋体" w:eastAsia="宋体" w:cs="宋体"/>
          <w:bCs/>
          <w:szCs w:val="28"/>
          <w:highlight w:val="none"/>
        </w:rPr>
        <w:t>关于符合本国产品标准的声明函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_Toc28615 \h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rPr>
        <w:fldChar w:fldCharType="end"/>
      </w:r>
      <w:r>
        <w:rPr>
          <w:rFonts w:hint="eastAsia" w:ascii="宋体" w:hAnsi="宋体" w:eastAsia="宋体" w:cs="宋体"/>
          <w:color w:val="auto"/>
          <w:szCs w:val="36"/>
          <w:highlight w:val="none"/>
        </w:rPr>
        <w:fldChar w:fldCharType="end"/>
      </w:r>
    </w:p>
    <w:p w14:paraId="47D64020">
      <w:pPr>
        <w:pStyle w:val="2"/>
        <w:rPr>
          <w:rFonts w:hint="eastAsia" w:ascii="宋体" w:hAnsi="宋体" w:eastAsia="宋体" w:cs="宋体"/>
          <w:color w:val="auto"/>
          <w:szCs w:val="36"/>
          <w:highlight w:val="none"/>
        </w:rPr>
        <w:sectPr>
          <w:footerReference r:id="rId9" w:type="first"/>
          <w:footerReference r:id="rId8" w:type="default"/>
          <w:pgSz w:w="11907" w:h="16840"/>
          <w:pgMar w:top="1134" w:right="882" w:bottom="1134" w:left="1365" w:header="567" w:footer="794" w:gutter="0"/>
          <w:pgNumType w:fmt="decimal"/>
          <w:cols w:space="720" w:num="1"/>
          <w:titlePg/>
          <w:docGrid w:type="lines" w:linePitch="305" w:charSpace="0"/>
        </w:sectPr>
      </w:pPr>
      <w:r>
        <w:rPr>
          <w:rFonts w:hint="eastAsia" w:ascii="宋体" w:hAnsi="宋体" w:eastAsia="宋体" w:cs="宋体"/>
          <w:color w:val="auto"/>
          <w:szCs w:val="36"/>
          <w:highlight w:val="none"/>
        </w:rPr>
        <w:fldChar w:fldCharType="end"/>
      </w:r>
      <w:bookmarkStart w:id="1" w:name="_Toc315875312"/>
      <w:bookmarkStart w:id="2" w:name="_Toc315868049"/>
    </w:p>
    <w:p w14:paraId="36D8CC49">
      <w:pPr>
        <w:pStyle w:val="2"/>
        <w:rPr>
          <w:rFonts w:hint="eastAsia" w:ascii="宋体" w:hAnsi="宋体" w:eastAsia="宋体" w:cs="宋体"/>
          <w:color w:val="auto"/>
          <w:highlight w:val="none"/>
        </w:rPr>
      </w:pPr>
      <w:bookmarkStart w:id="3" w:name="_Toc30062"/>
      <w:r>
        <w:rPr>
          <w:rFonts w:hint="eastAsia" w:ascii="宋体" w:hAnsi="宋体" w:eastAsia="宋体" w:cs="宋体"/>
          <w:color w:val="auto"/>
          <w:highlight w:val="none"/>
        </w:rPr>
        <w:t>第一章 投标邀请</w:t>
      </w:r>
      <w:bookmarkEnd w:id="0"/>
      <w:bookmarkEnd w:id="1"/>
      <w:bookmarkEnd w:id="2"/>
      <w:bookmarkEnd w:id="3"/>
    </w:p>
    <w:p w14:paraId="6B02A9CD">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lang w:eastAsia="zh-CN"/>
        </w:rPr>
        <w:t>常熟市第二人民医院</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常熟市第二人民医院（台山路院区）能源站运维服务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JSZC-320581-SZDS-G2026-0004</w:t>
      </w:r>
      <w:r>
        <w:rPr>
          <w:rFonts w:hint="eastAsia" w:ascii="宋体" w:hAnsi="宋体" w:eastAsia="宋体" w:cs="宋体"/>
          <w:color w:val="auto"/>
          <w:sz w:val="24"/>
          <w:szCs w:val="24"/>
          <w:highlight w:val="none"/>
        </w:rPr>
        <w:t>）项目进行公开招标采购，欢迎符合条件的供应商投标。</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14:paraId="23B8B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9876" w:type="dxa"/>
          </w:tcPr>
          <w:p w14:paraId="61D42B3F">
            <w:pPr>
              <w:spacing w:line="440" w:lineRule="exact"/>
              <w:jc w:val="left"/>
              <w:rPr>
                <w:rFonts w:hint="eastAsia" w:ascii="宋体" w:hAnsi="宋体" w:eastAsia="宋体" w:cs="宋体"/>
                <w:color w:val="auto"/>
                <w:sz w:val="24"/>
                <w:szCs w:val="24"/>
                <w:highlight w:val="none"/>
              </w:rPr>
            </w:pPr>
            <w:bookmarkStart w:id="4" w:name="OLE_LINK1"/>
            <w:r>
              <w:rPr>
                <w:rFonts w:hint="eastAsia" w:ascii="宋体" w:hAnsi="宋体" w:eastAsia="宋体" w:cs="宋体"/>
                <w:color w:val="auto"/>
                <w:sz w:val="24"/>
                <w:szCs w:val="24"/>
                <w:highlight w:val="none"/>
              </w:rPr>
              <w:t>项目概况：</w:t>
            </w:r>
          </w:p>
          <w:p w14:paraId="01802775">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常熟市第二人民医院（台山路院区）能源站运维服务</w:t>
            </w:r>
            <w:r>
              <w:rPr>
                <w:rFonts w:hint="eastAsia" w:ascii="宋体" w:hAnsi="宋体" w:eastAsia="宋体" w:cs="宋体"/>
                <w:color w:val="auto"/>
                <w:sz w:val="24"/>
                <w:szCs w:val="24"/>
                <w:highlight w:val="none"/>
              </w:rPr>
              <w:t>项目的潜在供应商应在“苏采云政府采购一体化平台”中参与项目获取招标文件，并于</w:t>
            </w:r>
            <w:r>
              <w:rPr>
                <w:rFonts w:hint="eastAsia" w:ascii="宋体" w:hAnsi="宋体" w:eastAsia="宋体" w:cs="宋体"/>
                <w:color w:val="auto"/>
                <w:sz w:val="24"/>
                <w:szCs w:val="24"/>
                <w:highlight w:val="none"/>
                <w:u w:val="single"/>
                <w:lang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18</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13</w:t>
            </w:r>
            <w:r>
              <w:rPr>
                <w:rFonts w:hint="eastAsia" w:ascii="宋体" w:hAnsi="宋体" w:eastAsia="宋体" w:cs="宋体"/>
                <w:color w:val="auto"/>
                <w:sz w:val="24"/>
                <w:szCs w:val="24"/>
                <w:highlight w:val="none"/>
                <w:u w:val="single"/>
              </w:rPr>
              <w:t>点00分</w:t>
            </w:r>
            <w:r>
              <w:rPr>
                <w:rFonts w:hint="eastAsia" w:ascii="宋体" w:hAnsi="宋体" w:eastAsia="宋体" w:cs="宋体"/>
                <w:color w:val="auto"/>
                <w:sz w:val="24"/>
                <w:szCs w:val="24"/>
                <w:highlight w:val="none"/>
              </w:rPr>
              <w:t>（北京时间）前按规定提交投标文件。</w:t>
            </w:r>
          </w:p>
        </w:tc>
      </w:tr>
    </w:tbl>
    <w:p w14:paraId="6B4179F0">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7452ED61">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JSZC-320581-SZDS-G2026-0004</w:t>
      </w:r>
    </w:p>
    <w:p w14:paraId="7D72228C">
      <w:pPr>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常熟市第二人民医院（台山路院区）能源站运维服务</w:t>
      </w:r>
    </w:p>
    <w:p w14:paraId="5DD349F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6438648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2000000.00</w:t>
      </w:r>
      <w:r>
        <w:rPr>
          <w:rFonts w:hint="eastAsia" w:ascii="宋体" w:hAnsi="宋体" w:eastAsia="宋体" w:cs="宋体"/>
          <w:color w:val="auto"/>
          <w:sz w:val="24"/>
          <w:szCs w:val="24"/>
          <w:highlight w:val="none"/>
        </w:rPr>
        <w:t>元（人民币</w:t>
      </w:r>
      <w:r>
        <w:rPr>
          <w:rFonts w:hint="eastAsia" w:ascii="宋体" w:hAnsi="宋体" w:eastAsia="宋体" w:cs="宋体"/>
          <w:color w:val="auto"/>
          <w:sz w:val="24"/>
          <w:szCs w:val="24"/>
          <w:highlight w:val="none"/>
          <w:lang w:val="en-US" w:eastAsia="zh-CN"/>
        </w:rPr>
        <w:t>贰佰万</w:t>
      </w:r>
      <w:r>
        <w:rPr>
          <w:rFonts w:hint="eastAsia" w:ascii="宋体" w:hAnsi="宋体" w:eastAsia="宋体" w:cs="宋体"/>
          <w:color w:val="auto"/>
          <w:sz w:val="24"/>
          <w:szCs w:val="24"/>
          <w:highlight w:val="none"/>
        </w:rPr>
        <w:t>元整）</w:t>
      </w:r>
    </w:p>
    <w:p w14:paraId="6F7FBD22">
      <w:pPr>
        <w:spacing w:line="440" w:lineRule="exact"/>
        <w:ind w:firstLine="480" w:firstLineChars="200"/>
        <w:rPr>
          <w:rFonts w:hint="eastAsia" w:ascii="宋体" w:hAnsi="宋体" w:eastAsia="宋体" w:cs="宋体"/>
          <w:color w:val="auto"/>
          <w:sz w:val="24"/>
          <w:szCs w:val="24"/>
          <w:highlight w:val="none"/>
        </w:rPr>
      </w:pPr>
      <w:bookmarkStart w:id="5" w:name="_Toc35393791"/>
      <w:bookmarkStart w:id="6" w:name="_Toc35393622"/>
      <w:bookmarkStart w:id="7" w:name="_Toc28359080"/>
      <w:bookmarkStart w:id="8" w:name="_Toc28359003"/>
      <w:r>
        <w:rPr>
          <w:rFonts w:hint="eastAsia" w:ascii="宋体" w:hAnsi="宋体" w:eastAsia="宋体" w:cs="宋体"/>
          <w:color w:val="auto"/>
          <w:sz w:val="24"/>
          <w:szCs w:val="24"/>
          <w:highlight w:val="none"/>
        </w:rPr>
        <w:t>采购需求：本项目采购内容为</w:t>
      </w:r>
      <w:r>
        <w:rPr>
          <w:rFonts w:hint="eastAsia" w:ascii="宋体" w:hAnsi="宋体" w:eastAsia="宋体" w:cs="宋体"/>
          <w:color w:val="auto"/>
          <w:sz w:val="24"/>
          <w:szCs w:val="24"/>
          <w:highlight w:val="none"/>
          <w:lang w:eastAsia="zh-CN"/>
        </w:rPr>
        <w:t>常熟市第二人民医院</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常熟市第二人民医院（台山路院区）能源站运维服务</w:t>
      </w:r>
      <w:r>
        <w:rPr>
          <w:rFonts w:hint="eastAsia" w:ascii="宋体" w:hAnsi="宋体" w:eastAsia="宋体" w:cs="宋体"/>
          <w:color w:val="auto"/>
          <w:sz w:val="24"/>
          <w:szCs w:val="24"/>
          <w:highlight w:val="none"/>
        </w:rPr>
        <w:t>。</w:t>
      </w:r>
    </w:p>
    <w:p w14:paraId="29DE13A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合同履行期限：自运行人员进场之日起2年（具体的运行人员进场时间，采购人提前两个月书面通知中标人）。</w:t>
      </w:r>
    </w:p>
    <w:p w14:paraId="0858188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w:t>
      </w:r>
    </w:p>
    <w:p w14:paraId="058F5384">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bookmarkEnd w:id="5"/>
      <w:bookmarkEnd w:id="6"/>
      <w:bookmarkEnd w:id="7"/>
      <w:bookmarkEnd w:id="8"/>
    </w:p>
    <w:p w14:paraId="43A85777">
      <w:pPr>
        <w:spacing w:line="440" w:lineRule="exact"/>
        <w:ind w:firstLine="480" w:firstLineChars="200"/>
        <w:rPr>
          <w:rFonts w:hint="eastAsia" w:ascii="宋体" w:hAnsi="宋体" w:eastAsia="宋体" w:cs="宋体"/>
          <w:color w:val="auto"/>
          <w:sz w:val="24"/>
          <w:szCs w:val="24"/>
          <w:highlight w:val="none"/>
        </w:rPr>
      </w:pPr>
      <w:bookmarkStart w:id="9" w:name="_Toc35393627"/>
      <w:bookmarkStart w:id="10" w:name="_Toc28359008"/>
      <w:bookmarkStart w:id="11" w:name="_Toc28359085"/>
      <w:bookmarkStart w:id="12" w:name="_Toc35393796"/>
      <w:r>
        <w:rPr>
          <w:rFonts w:hint="eastAsia" w:ascii="宋体" w:hAnsi="宋体" w:eastAsia="宋体" w:cs="宋体"/>
          <w:color w:val="auto"/>
          <w:sz w:val="24"/>
          <w:szCs w:val="24"/>
          <w:highlight w:val="none"/>
        </w:rPr>
        <w:t>1、满足《中华人民共和国政府采购法》第二十二条规定；</w:t>
      </w:r>
    </w:p>
    <w:p w14:paraId="2908A608">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7AED5D9E">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46DC165C">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597BC610">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4BDF05A2">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参加采购活动前三年内，在经营活动中没有重大违法记录。</w:t>
      </w:r>
    </w:p>
    <w:p w14:paraId="4BDB7694">
      <w:pPr>
        <w:spacing w:line="44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法律、行政法规规定的其他条件。</w:t>
      </w:r>
    </w:p>
    <w:p w14:paraId="02446E0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0C1431A7">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w:t>
      </w:r>
      <w:r>
        <w:rPr>
          <w:rFonts w:hint="eastAsia" w:ascii="宋体" w:hAnsi="宋体" w:eastAsia="宋体" w:cs="宋体"/>
          <w:b/>
          <w:bCs/>
          <w:color w:val="auto"/>
          <w:sz w:val="24"/>
          <w:szCs w:val="24"/>
          <w:highlight w:val="none"/>
          <w:lang w:eastAsia="zh-CN"/>
        </w:rPr>
        <w:t>其他未列明行业</w:t>
      </w:r>
      <w:r>
        <w:rPr>
          <w:rFonts w:hint="eastAsia" w:ascii="宋体" w:hAnsi="宋体" w:eastAsia="宋体" w:cs="宋体"/>
          <w:b/>
          <w:bCs/>
          <w:color w:val="auto"/>
          <w:sz w:val="24"/>
          <w:szCs w:val="24"/>
          <w:highlight w:val="none"/>
        </w:rPr>
        <w:t>，投标时须提供《中小企业声明函》。</w:t>
      </w:r>
    </w:p>
    <w:p w14:paraId="42978B29">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00D431D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0BF04E05">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3AEC8CD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w:t>
      </w:r>
    </w:p>
    <w:p w14:paraId="37E90F2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20CF3DD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p>
    <w:p w14:paraId="3EE5A0B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4D875C3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售价：免费。</w:t>
      </w:r>
    </w:p>
    <w:p w14:paraId="2B098D56">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7299E59F">
      <w:pPr>
        <w:widowControl/>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2026</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05</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点00分（北京时间）</w:t>
      </w:r>
    </w:p>
    <w:p w14:paraId="51D97C83">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本项目采用电子化采购形式，供应商应当按照《苏采云系统供应商操作手册》规定，须在投标截止时间前制作并上传电子投标文件至“苏采云”系统，否则视为放弃参加该采购项目。</w:t>
      </w:r>
    </w:p>
    <w:p w14:paraId="630AD0B0">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本项目采用不见面开标，供应商登录“苏采云”系统在平台首页点击“开标大厅”，进入江苏省政府采购一体化不见面开标（采购）大厅，选择对应项目，并按系统提示完成开标流程。</w:t>
      </w:r>
    </w:p>
    <w:p w14:paraId="5D8E10D0">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开标地点：苏采云系统网上开标大厅</w:t>
      </w:r>
    </w:p>
    <w:p w14:paraId="5559EDFB">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w:t>
      </w:r>
      <w:bookmarkEnd w:id="4"/>
      <w:bookmarkEnd w:id="9"/>
      <w:bookmarkEnd w:id="10"/>
      <w:bookmarkEnd w:id="11"/>
      <w:bookmarkEnd w:id="12"/>
      <w:r>
        <w:rPr>
          <w:rFonts w:hint="eastAsia" w:ascii="宋体" w:hAnsi="宋体" w:eastAsia="宋体" w:cs="宋体"/>
          <w:b/>
          <w:color w:val="auto"/>
          <w:sz w:val="24"/>
          <w:szCs w:val="24"/>
          <w:highlight w:val="none"/>
        </w:rPr>
        <w:t>公告期限：</w:t>
      </w:r>
    </w:p>
    <w:p w14:paraId="4D5F09B8">
      <w:pPr>
        <w:widowControl/>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10D9AA0D">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2CF22311">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BC83508">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2、供应商在“苏采云”系统操作过程中如有疑问，请按以下方式联系：</w:t>
      </w:r>
    </w:p>
    <w:p w14:paraId="58987939">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CA技术咨询电话：400-608-6099；电子签章技术咨询电话:15380932027、13675197356、025-83633811、025-83633812；系统使用指导与咨询电话：18261002950、13914088964、0519-86722802；智能客服：登录苏采云系统后，联系系统右下方智能客服图标进行咨询。</w:t>
      </w:r>
    </w:p>
    <w:p w14:paraId="4A02CDB0">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3、有关本次采购的事项若存在变动或修改，敬请及时关注“苏州市政府采购网”发布的更正公告</w:t>
      </w:r>
      <w:bookmarkStart w:id="13" w:name="_Hlk87882297"/>
      <w:r>
        <w:rPr>
          <w:rFonts w:hint="eastAsia" w:ascii="宋体" w:hAnsi="宋体" w:eastAsia="宋体" w:cs="宋体"/>
          <w:color w:val="auto"/>
          <w:sz w:val="24"/>
          <w:szCs w:val="32"/>
          <w:highlight w:val="none"/>
        </w:rPr>
        <w:t>，并按规定获取相关信息内容。</w:t>
      </w:r>
      <w:bookmarkEnd w:id="13"/>
    </w:p>
    <w:p w14:paraId="6A72028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4、本次采购项目有关时间要求均以北京时间为标准，使用24小时制。</w:t>
      </w:r>
    </w:p>
    <w:p w14:paraId="7CEE0F3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5、公告媒体：</w:t>
      </w:r>
      <w:r>
        <w:rPr>
          <w:rFonts w:hint="eastAsia" w:ascii="宋体" w:hAnsi="宋体" w:eastAsia="宋体" w:cs="宋体"/>
          <w:color w:val="auto"/>
          <w:sz w:val="24"/>
          <w:highlight w:val="none"/>
        </w:rPr>
        <w:t>苏州市政府采购网、江苏政府采购网</w:t>
      </w:r>
      <w:r>
        <w:rPr>
          <w:rFonts w:hint="eastAsia" w:ascii="宋体" w:hAnsi="宋体" w:eastAsia="宋体" w:cs="宋体"/>
          <w:color w:val="auto"/>
          <w:sz w:val="24"/>
          <w:szCs w:val="32"/>
          <w:highlight w:val="none"/>
        </w:rPr>
        <w:t>。</w:t>
      </w:r>
    </w:p>
    <w:p w14:paraId="1D96F1D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6、</w:t>
      </w:r>
      <w:r>
        <w:rPr>
          <w:rFonts w:hint="eastAsia" w:ascii="宋体" w:hAnsi="宋体" w:eastAsia="宋体" w:cs="宋体"/>
          <w:color w:val="auto"/>
          <w:sz w:val="24"/>
          <w:szCs w:val="24"/>
          <w:highlight w:val="none"/>
        </w:rPr>
        <w:t>其他要求：</w:t>
      </w:r>
    </w:p>
    <w:p w14:paraId="7FFCE58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4D695586">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731771DC">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七、凡对本次采购提出询问，请按以下方式联系。</w:t>
      </w:r>
    </w:p>
    <w:p w14:paraId="188BE489">
      <w:pPr>
        <w:spacing w:line="440" w:lineRule="exact"/>
        <w:ind w:firstLine="480" w:firstLineChars="200"/>
        <w:rPr>
          <w:rFonts w:hint="eastAsia" w:ascii="宋体" w:hAnsi="宋体" w:eastAsia="宋体" w:cs="宋体"/>
          <w:color w:val="auto"/>
          <w:sz w:val="24"/>
          <w:szCs w:val="32"/>
          <w:highlight w:val="none"/>
        </w:rPr>
      </w:pPr>
      <w:bookmarkStart w:id="14" w:name="_Toc158691766"/>
      <w:bookmarkStart w:id="15" w:name="_Toc315868050"/>
      <w:bookmarkStart w:id="16" w:name="_Toc315875313"/>
      <w:r>
        <w:rPr>
          <w:rFonts w:hint="eastAsia" w:ascii="宋体" w:hAnsi="宋体" w:eastAsia="宋体" w:cs="宋体"/>
          <w:color w:val="auto"/>
          <w:sz w:val="24"/>
          <w:szCs w:val="32"/>
          <w:highlight w:val="none"/>
        </w:rPr>
        <w:t>1、采购人信息</w:t>
      </w:r>
    </w:p>
    <w:p w14:paraId="21B9DD18">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eastAsia="宋体" w:cs="宋体"/>
          <w:color w:val="auto"/>
          <w:sz w:val="24"/>
          <w:szCs w:val="32"/>
          <w:highlight w:val="none"/>
          <w:lang w:eastAsia="zh-CN"/>
        </w:rPr>
        <w:t>常熟市第二人民医院</w:t>
      </w:r>
    </w:p>
    <w:p w14:paraId="5F5F0EA7">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单位地址：</w:t>
      </w:r>
      <w:r>
        <w:rPr>
          <w:rFonts w:hint="eastAsia" w:ascii="宋体" w:hAnsi="宋体" w:eastAsia="宋体" w:cs="宋体"/>
          <w:color w:val="auto"/>
          <w:sz w:val="24"/>
          <w:szCs w:val="32"/>
          <w:highlight w:val="none"/>
          <w:lang w:val="en-US" w:eastAsia="zh-CN"/>
        </w:rPr>
        <w:t>常熟市</w:t>
      </w:r>
      <w:r>
        <w:rPr>
          <w:rFonts w:hint="eastAsia" w:ascii="宋体" w:hAnsi="宋体" w:eastAsia="宋体" w:cs="宋体"/>
          <w:color w:val="auto"/>
          <w:sz w:val="24"/>
          <w:szCs w:val="24"/>
          <w:highlight w:val="none"/>
          <w:lang w:val="en-US" w:eastAsia="zh-CN"/>
        </w:rPr>
        <w:t>台山路1</w:t>
      </w:r>
      <w:r>
        <w:rPr>
          <w:rFonts w:hint="eastAsia" w:ascii="宋体" w:hAnsi="宋体" w:eastAsia="宋体" w:cs="宋体"/>
          <w:color w:val="auto"/>
          <w:sz w:val="24"/>
          <w:szCs w:val="24"/>
          <w:highlight w:val="none"/>
        </w:rPr>
        <w:t>8号</w:t>
      </w:r>
    </w:p>
    <w:p w14:paraId="5A38EB50">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联系人：陈雪锋</w:t>
      </w:r>
    </w:p>
    <w:p w14:paraId="3ABE39E9">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联系方式：</w:t>
      </w:r>
      <w:bookmarkStart w:id="17" w:name="_Toc28359086"/>
      <w:bookmarkStart w:id="18" w:name="_Toc28359009"/>
      <w:r>
        <w:rPr>
          <w:rFonts w:hint="eastAsia" w:ascii="宋体" w:hAnsi="宋体" w:eastAsia="宋体" w:cs="宋体"/>
          <w:color w:val="auto"/>
          <w:sz w:val="24"/>
          <w:szCs w:val="32"/>
          <w:highlight w:val="none"/>
        </w:rPr>
        <w:t>0512-52277982</w:t>
      </w:r>
    </w:p>
    <w:bookmarkEnd w:id="17"/>
    <w:bookmarkEnd w:id="18"/>
    <w:p w14:paraId="0E779292">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2、采购代理机构信息</w:t>
      </w:r>
    </w:p>
    <w:p w14:paraId="0749D16C">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单位名称：</w:t>
      </w:r>
      <w:r>
        <w:rPr>
          <w:rFonts w:hint="eastAsia" w:ascii="宋体" w:hAnsi="宋体" w:eastAsia="宋体" w:cs="宋体"/>
          <w:color w:val="auto"/>
          <w:sz w:val="24"/>
          <w:szCs w:val="32"/>
          <w:highlight w:val="none"/>
          <w:lang w:eastAsia="zh-CN"/>
        </w:rPr>
        <w:t>苏州信达顺工程建设咨询有限公司</w:t>
      </w:r>
    </w:p>
    <w:p w14:paraId="4B50057B">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单位地址：常熟市海虞镇河滨路100-5号</w:t>
      </w:r>
    </w:p>
    <w:p w14:paraId="4D3F38B2">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联系人：王丹婷、</w:t>
      </w:r>
      <w:r>
        <w:rPr>
          <w:rFonts w:hint="eastAsia" w:ascii="宋体" w:hAnsi="宋体" w:eastAsia="宋体" w:cs="宋体"/>
          <w:color w:val="auto"/>
          <w:sz w:val="24"/>
          <w:szCs w:val="32"/>
          <w:highlight w:val="none"/>
          <w:lang w:eastAsia="zh-CN"/>
        </w:rPr>
        <w:t>王春佳</w:t>
      </w:r>
    </w:p>
    <w:p w14:paraId="62EF67C5">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联系方式：0512-52156272</w:t>
      </w:r>
    </w:p>
    <w:p w14:paraId="4A3A2DE7">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3、项目联系方式</w:t>
      </w:r>
    </w:p>
    <w:p w14:paraId="3ED9A3A2">
      <w:pPr>
        <w:spacing w:line="440" w:lineRule="exact"/>
        <w:ind w:firstLine="480" w:firstLineChars="20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项目联系人：王丹婷、</w:t>
      </w:r>
      <w:r>
        <w:rPr>
          <w:rFonts w:hint="eastAsia" w:ascii="宋体" w:hAnsi="宋体" w:eastAsia="宋体" w:cs="宋体"/>
          <w:color w:val="auto"/>
          <w:sz w:val="24"/>
          <w:szCs w:val="32"/>
          <w:highlight w:val="none"/>
          <w:lang w:eastAsia="zh-CN"/>
        </w:rPr>
        <w:t>王春佳</w:t>
      </w:r>
    </w:p>
    <w:p w14:paraId="17E04D9B">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电话：0512-52156272</w:t>
      </w:r>
    </w:p>
    <w:p w14:paraId="1ECA2A6B">
      <w:pPr>
        <w:spacing w:line="440" w:lineRule="exact"/>
        <w:ind w:firstLine="5400" w:firstLineChars="2250"/>
        <w:jc w:val="right"/>
        <w:rPr>
          <w:rFonts w:hint="eastAsia" w:ascii="宋体" w:hAnsi="宋体" w:eastAsia="宋体" w:cs="宋体"/>
          <w:color w:val="auto"/>
          <w:sz w:val="24"/>
          <w:szCs w:val="24"/>
          <w:highlight w:val="none"/>
        </w:rPr>
      </w:pPr>
    </w:p>
    <w:p w14:paraId="217249CD">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C022A75">
      <w:pPr>
        <w:pStyle w:val="2"/>
        <w:rPr>
          <w:rFonts w:hint="eastAsia" w:ascii="宋体" w:hAnsi="宋体" w:eastAsia="宋体" w:cs="宋体"/>
          <w:color w:val="auto"/>
          <w:highlight w:val="none"/>
        </w:rPr>
      </w:pPr>
      <w:bookmarkStart w:id="19" w:name="_Toc22326"/>
      <w:r>
        <w:rPr>
          <w:rFonts w:hint="eastAsia" w:ascii="宋体" w:hAnsi="宋体" w:eastAsia="宋体" w:cs="宋体"/>
          <w:color w:val="auto"/>
          <w:highlight w:val="none"/>
        </w:rPr>
        <w:t>第二章 投标人须知</w:t>
      </w:r>
      <w:bookmarkEnd w:id="14"/>
      <w:bookmarkEnd w:id="15"/>
      <w:bookmarkEnd w:id="16"/>
      <w:bookmarkEnd w:id="19"/>
    </w:p>
    <w:p w14:paraId="287E8332">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20" w:name="_Toc19236"/>
      <w:bookmarkStart w:id="21" w:name="_Toc4302"/>
      <w:bookmarkStart w:id="22" w:name="_Toc26983"/>
      <w:bookmarkStart w:id="23" w:name="_Toc1525"/>
      <w:bookmarkStart w:id="24" w:name="_Toc22217"/>
      <w:bookmarkStart w:id="25" w:name="_Toc11952"/>
      <w:bookmarkStart w:id="26" w:name="_Toc25166"/>
      <w:bookmarkStart w:id="27" w:name="_Toc13772"/>
      <w:bookmarkStart w:id="28" w:name="_Toc14411"/>
      <w:bookmarkStart w:id="29" w:name="_Toc21213"/>
      <w:bookmarkStart w:id="30" w:name="_Toc10610"/>
      <w:r>
        <w:rPr>
          <w:rFonts w:hint="eastAsia" w:ascii="宋体" w:hAnsi="宋体" w:eastAsia="宋体" w:cs="宋体"/>
          <w:b/>
          <w:bCs/>
          <w:color w:val="auto"/>
          <w:sz w:val="32"/>
          <w:szCs w:val="32"/>
          <w:highlight w:val="none"/>
        </w:rPr>
        <w:t>一、总则</w:t>
      </w:r>
      <w:bookmarkEnd w:id="20"/>
      <w:bookmarkEnd w:id="21"/>
      <w:bookmarkEnd w:id="22"/>
      <w:bookmarkEnd w:id="23"/>
      <w:bookmarkEnd w:id="24"/>
      <w:bookmarkEnd w:id="25"/>
      <w:bookmarkEnd w:id="26"/>
      <w:bookmarkEnd w:id="27"/>
      <w:bookmarkEnd w:id="28"/>
      <w:bookmarkEnd w:id="29"/>
      <w:bookmarkEnd w:id="30"/>
    </w:p>
    <w:p w14:paraId="371E453D">
      <w:pPr>
        <w:keepNext/>
        <w:keepLines/>
        <w:spacing w:line="440" w:lineRule="exact"/>
        <w:ind w:firstLine="138" w:firstLineChars="4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8"/>
          <w:szCs w:val="28"/>
          <w:highlight w:val="none"/>
        </w:rPr>
        <w:t>1、采购方式及适用法律</w:t>
      </w:r>
    </w:p>
    <w:p w14:paraId="6E976B5E">
      <w:pPr>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 本次政府采购活动采取公开招标方式，本招标文件仅适用于招标公告中所述项目。</w:t>
      </w:r>
    </w:p>
    <w:p w14:paraId="1A32CA0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1.2本次招标及由此产生的合同受中华人民共和国有关的法律法规制约和保护。</w:t>
      </w:r>
    </w:p>
    <w:p w14:paraId="1C4526CA">
      <w:pPr>
        <w:keepNext/>
        <w:keepLines/>
        <w:spacing w:line="440" w:lineRule="exact"/>
        <w:ind w:firstLine="138" w:firstLineChars="4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8"/>
          <w:szCs w:val="28"/>
          <w:highlight w:val="none"/>
        </w:rPr>
        <w:t>2、定义</w:t>
      </w:r>
    </w:p>
    <w:p w14:paraId="371567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2.1“采购人”系指购买本项目货物并接受相关服务的国家机关、事业单位、团体组织。</w:t>
      </w:r>
    </w:p>
    <w:p w14:paraId="6EC6400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2.2“采购代理机构”系指依法接受采购人委托，从事货物和服务等政府采购业务的采购代理机构（以下简称“代理机构”）。本项目采购代理机构为</w:t>
      </w:r>
      <w:r>
        <w:rPr>
          <w:rFonts w:hint="eastAsia" w:ascii="宋体" w:hAnsi="宋体" w:eastAsia="宋体" w:cs="宋体"/>
          <w:color w:val="auto"/>
          <w:kern w:val="0"/>
          <w:sz w:val="24"/>
          <w:szCs w:val="24"/>
          <w:highlight w:val="none"/>
          <w:lang w:eastAsia="zh-CN"/>
        </w:rPr>
        <w:t>苏州信达顺工程建设咨询有限公司</w:t>
      </w:r>
      <w:r>
        <w:rPr>
          <w:rFonts w:hint="eastAsia" w:ascii="宋体" w:hAnsi="宋体" w:eastAsia="宋体" w:cs="宋体"/>
          <w:color w:val="auto"/>
          <w:kern w:val="0"/>
          <w:sz w:val="24"/>
          <w:szCs w:val="24"/>
          <w:highlight w:val="none"/>
        </w:rPr>
        <w:t>。</w:t>
      </w:r>
    </w:p>
    <w:p w14:paraId="4665C3B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r>
        <w:rPr>
          <w:rFonts w:hint="eastAsia" w:ascii="宋体" w:hAnsi="宋体" w:eastAsia="宋体" w:cs="宋体"/>
          <w:color w:val="auto"/>
          <w:sz w:val="24"/>
          <w:szCs w:val="21"/>
          <w:highlight w:val="none"/>
        </w:rPr>
        <w:t>投标人</w:t>
      </w:r>
      <w:r>
        <w:rPr>
          <w:rFonts w:hint="eastAsia" w:ascii="宋体" w:hAnsi="宋体" w:eastAsia="宋体" w:cs="宋体"/>
          <w:color w:val="auto"/>
          <w:kern w:val="0"/>
          <w:sz w:val="24"/>
          <w:szCs w:val="24"/>
          <w:highlight w:val="none"/>
        </w:rPr>
        <w:t>”系指响应招标、参加投标竞争的供应商。</w:t>
      </w:r>
    </w:p>
    <w:p w14:paraId="1F8CEF3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3、合格的投标人</w:t>
      </w:r>
    </w:p>
    <w:p w14:paraId="04B52BC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 满足招标公告中供应商的资格要求的规定，详见《第一章 投标邀请》中投标人资格要求。</w:t>
      </w:r>
    </w:p>
    <w:p w14:paraId="3BB2DB6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 满足本文件实质性要求和条件的规定。</w:t>
      </w:r>
    </w:p>
    <w:p w14:paraId="3E5028C9">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4、投标费用</w:t>
      </w:r>
    </w:p>
    <w:p w14:paraId="6031201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4.1无论投标过程中的做法和结果如何，投标人应自行承担所有与准备和参加投标有关的全部费用。</w:t>
      </w:r>
    </w:p>
    <w:p w14:paraId="40E70FB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4.2本次招标采购代理机构和采购人不收取标书工本费。</w:t>
      </w:r>
    </w:p>
    <w:p w14:paraId="5F3434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4.3本项目采购代理服务费由</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人支付，采购代理服务费</w:t>
      </w:r>
      <w:r>
        <w:rPr>
          <w:rFonts w:hint="eastAsia" w:ascii="宋体" w:hAnsi="宋体" w:eastAsia="宋体" w:cs="宋体"/>
          <w:color w:val="auto"/>
          <w:kern w:val="0"/>
          <w:sz w:val="24"/>
          <w:szCs w:val="24"/>
          <w:highlight w:val="none"/>
          <w:lang w:val="en-US" w:eastAsia="zh-CN"/>
        </w:rPr>
        <w:t>金额</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100.00</w:t>
      </w:r>
      <w:r>
        <w:rPr>
          <w:rFonts w:hint="eastAsia" w:ascii="宋体" w:hAnsi="宋体" w:eastAsia="宋体" w:cs="宋体"/>
          <w:color w:val="auto"/>
          <w:kern w:val="0"/>
          <w:sz w:val="24"/>
          <w:szCs w:val="24"/>
          <w:highlight w:val="none"/>
        </w:rPr>
        <w:t>元（人民币</w:t>
      </w:r>
      <w:r>
        <w:rPr>
          <w:rFonts w:hint="eastAsia" w:ascii="宋体" w:hAnsi="宋体" w:eastAsia="宋体" w:cs="宋体"/>
          <w:color w:val="auto"/>
          <w:kern w:val="0"/>
          <w:sz w:val="24"/>
          <w:szCs w:val="24"/>
          <w:highlight w:val="none"/>
          <w:lang w:val="en-US" w:eastAsia="zh-CN"/>
        </w:rPr>
        <w:t>壹万</w:t>
      </w:r>
      <w:r>
        <w:rPr>
          <w:rFonts w:hint="eastAsia" w:ascii="宋体" w:hAnsi="宋体" w:eastAsia="宋体" w:cs="宋体"/>
          <w:color w:val="auto"/>
          <w:kern w:val="0"/>
          <w:sz w:val="24"/>
          <w:szCs w:val="24"/>
          <w:highlight w:val="none"/>
          <w:lang w:val="en-US" w:eastAsia="zh-CN"/>
        </w:rPr>
        <w:t>柒</w:t>
      </w:r>
      <w:r>
        <w:rPr>
          <w:rFonts w:hint="eastAsia" w:ascii="宋体" w:hAnsi="宋体" w:eastAsia="宋体" w:cs="宋体"/>
          <w:color w:val="auto"/>
          <w:kern w:val="0"/>
          <w:sz w:val="24"/>
          <w:szCs w:val="24"/>
          <w:highlight w:val="none"/>
          <w:lang w:val="en-US" w:eastAsia="zh-CN"/>
        </w:rPr>
        <w:t>仟壹佰</w:t>
      </w:r>
      <w:r>
        <w:rPr>
          <w:rFonts w:hint="eastAsia" w:ascii="宋体" w:hAnsi="宋体" w:eastAsia="宋体" w:cs="宋体"/>
          <w:color w:val="auto"/>
          <w:kern w:val="0"/>
          <w:sz w:val="24"/>
          <w:szCs w:val="24"/>
          <w:highlight w:val="none"/>
        </w:rPr>
        <w:t>元整）。</w:t>
      </w:r>
    </w:p>
    <w:p w14:paraId="6AF9A3DC">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5、招标文件的约束力</w:t>
      </w:r>
    </w:p>
    <w:p w14:paraId="2ED5291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29E9E90A">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31" w:name="_Toc15419"/>
      <w:bookmarkStart w:id="32" w:name="_Toc24886"/>
      <w:bookmarkStart w:id="33" w:name="_Toc3850"/>
      <w:bookmarkStart w:id="34" w:name="_Toc11533"/>
      <w:bookmarkStart w:id="35" w:name="_Toc5354"/>
      <w:bookmarkStart w:id="36" w:name="_Toc5867"/>
      <w:bookmarkStart w:id="37" w:name="_Toc2267"/>
      <w:bookmarkStart w:id="38" w:name="_Toc13416"/>
      <w:bookmarkStart w:id="39" w:name="_Toc10408"/>
      <w:bookmarkStart w:id="40" w:name="_Toc20302"/>
      <w:bookmarkStart w:id="41" w:name="_Toc7158"/>
      <w:r>
        <w:rPr>
          <w:rFonts w:hint="eastAsia" w:ascii="宋体" w:hAnsi="宋体" w:eastAsia="宋体" w:cs="宋体"/>
          <w:b/>
          <w:bCs/>
          <w:color w:val="auto"/>
          <w:sz w:val="32"/>
          <w:szCs w:val="32"/>
          <w:highlight w:val="none"/>
        </w:rPr>
        <w:t>二、</w:t>
      </w:r>
      <w:bookmarkEnd w:id="31"/>
      <w:bookmarkEnd w:id="32"/>
      <w:bookmarkEnd w:id="33"/>
      <w:bookmarkEnd w:id="34"/>
      <w:bookmarkEnd w:id="35"/>
      <w:bookmarkEnd w:id="36"/>
      <w:r>
        <w:rPr>
          <w:rFonts w:hint="eastAsia" w:ascii="宋体" w:hAnsi="宋体" w:eastAsia="宋体" w:cs="宋体"/>
          <w:b/>
          <w:bCs/>
          <w:color w:val="auto"/>
          <w:sz w:val="32"/>
          <w:szCs w:val="32"/>
          <w:highlight w:val="none"/>
        </w:rPr>
        <w:t>招标文件</w:t>
      </w:r>
      <w:bookmarkEnd w:id="37"/>
      <w:bookmarkEnd w:id="38"/>
      <w:bookmarkEnd w:id="39"/>
      <w:bookmarkEnd w:id="40"/>
      <w:bookmarkEnd w:id="41"/>
    </w:p>
    <w:p w14:paraId="3491DC99">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6、招标文件构成</w:t>
      </w:r>
    </w:p>
    <w:p w14:paraId="5EDA545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6.1招标文件由以下部分组成：</w:t>
      </w:r>
    </w:p>
    <w:p w14:paraId="5EF4C94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（1）投标邀请</w:t>
      </w:r>
    </w:p>
    <w:p w14:paraId="5736C9A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（2）投标人须知</w:t>
      </w:r>
    </w:p>
    <w:p w14:paraId="44D20C44">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（3）合同文本</w:t>
      </w:r>
    </w:p>
    <w:p w14:paraId="3337F40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（4）采购需求</w:t>
      </w:r>
    </w:p>
    <w:p w14:paraId="4A50309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（5）评标方法与评标标准</w:t>
      </w:r>
    </w:p>
    <w:p w14:paraId="5DCC6520">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（6）投标文件格式</w:t>
      </w:r>
    </w:p>
    <w:p w14:paraId="7CB5FAA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请仔细检查招标文件是否齐全，如有缺漏请立即与代理机构联系解决。</w:t>
      </w:r>
    </w:p>
    <w:p w14:paraId="30151911">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1A7DC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6.3 招标文件及其更正事项如不是直接从指定媒体地址下载获得的，采购人或代理机构对招标文件及其补遗的真实性、完整性不承担任何责任。</w:t>
      </w:r>
    </w:p>
    <w:p w14:paraId="5071680D">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7、招标文件的澄清、修改</w:t>
      </w:r>
    </w:p>
    <w:p w14:paraId="46F2847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7.1</w:t>
      </w:r>
      <w:bookmarkStart w:id="42" w:name="_Toc25813"/>
      <w:bookmarkStart w:id="43" w:name="_Toc20364"/>
      <w:bookmarkStart w:id="44" w:name="_Toc18617"/>
      <w:bookmarkStart w:id="45" w:name="_Toc9687"/>
      <w:bookmarkStart w:id="46" w:name="_Toc19823"/>
      <w:bookmarkStart w:id="47" w:name="_Toc20675"/>
      <w:r>
        <w:rPr>
          <w:rFonts w:hint="eastAsia" w:ascii="宋体" w:hAnsi="宋体" w:eastAsia="宋体" w:cs="宋体"/>
          <w:color w:val="auto"/>
          <w:kern w:val="0"/>
          <w:sz w:val="24"/>
          <w:szCs w:val="24"/>
          <w:highlight w:val="none"/>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14:paraId="2274A9B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 代理机构有权按照法定的要求顺延投标截止时间和开标时间。</w:t>
      </w:r>
    </w:p>
    <w:p w14:paraId="437E145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 有关澄清或者修改的内容将作为招标文件的组成部分，对所有投标人具有约束力。</w:t>
      </w:r>
    </w:p>
    <w:p w14:paraId="783AB864">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48" w:name="_Toc23549"/>
      <w:bookmarkStart w:id="49" w:name="_Toc8969"/>
      <w:bookmarkStart w:id="50" w:name="_Toc8359"/>
      <w:bookmarkStart w:id="51" w:name="_Toc31086"/>
      <w:bookmarkStart w:id="52" w:name="_Toc22774"/>
      <w:r>
        <w:rPr>
          <w:rFonts w:hint="eastAsia" w:ascii="宋体" w:hAnsi="宋体" w:eastAsia="宋体" w:cs="宋体"/>
          <w:b/>
          <w:bCs/>
          <w:color w:val="auto"/>
          <w:sz w:val="32"/>
          <w:szCs w:val="32"/>
          <w:highlight w:val="none"/>
        </w:rPr>
        <w:t>三、投标文件的编制</w:t>
      </w:r>
      <w:bookmarkEnd w:id="42"/>
      <w:bookmarkEnd w:id="43"/>
      <w:bookmarkEnd w:id="44"/>
      <w:bookmarkEnd w:id="45"/>
      <w:bookmarkEnd w:id="46"/>
      <w:bookmarkEnd w:id="47"/>
      <w:bookmarkEnd w:id="48"/>
      <w:bookmarkEnd w:id="49"/>
      <w:bookmarkEnd w:id="50"/>
      <w:bookmarkEnd w:id="51"/>
      <w:bookmarkEnd w:id="52"/>
    </w:p>
    <w:p w14:paraId="1ADB2297">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8、投标文件的语言及度量衡单位</w:t>
      </w:r>
    </w:p>
    <w:p w14:paraId="2DF9B2B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8.1投标人提交的投标文件以及投标人与代理机构就有关投标的所有来往通知、函件和文件均应使用</w:t>
      </w:r>
      <w:r>
        <w:rPr>
          <w:rFonts w:hint="eastAsia" w:ascii="宋体" w:hAnsi="宋体" w:eastAsia="宋体" w:cs="宋体"/>
          <w:b/>
          <w:bCs/>
          <w:color w:val="auto"/>
          <w:kern w:val="0"/>
          <w:sz w:val="24"/>
          <w:szCs w:val="24"/>
          <w:highlight w:val="none"/>
        </w:rPr>
        <w:t>简体中文</w:t>
      </w:r>
      <w:r>
        <w:rPr>
          <w:rFonts w:hint="eastAsia" w:ascii="宋体" w:hAnsi="宋体" w:eastAsia="宋体" w:cs="宋体"/>
          <w:color w:val="auto"/>
          <w:kern w:val="0"/>
          <w:sz w:val="24"/>
          <w:szCs w:val="24"/>
          <w:highlight w:val="none"/>
        </w:rPr>
        <w:t>。</w:t>
      </w:r>
    </w:p>
    <w:p w14:paraId="07D2029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8.2除技术性能另有规定外，投标文件所使用的度量衡单位，均须采用国家法定计量单位。</w:t>
      </w:r>
    </w:p>
    <w:p w14:paraId="70C18C8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9、投标文件构成</w:t>
      </w:r>
    </w:p>
    <w:p w14:paraId="339ABE6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9.1投标人编写的投标文件应包括资格证明文件、开标一览表、报价明细表、投标函、技术（或商务）要求响应及偏离表、项目实施方案、其他证明文件等部分。</w:t>
      </w:r>
    </w:p>
    <w:p w14:paraId="0E9F8D5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9.2 如标书制作工具中格式和内容与指定媒体发布的招标文件不一致，请以指定媒体发布的招标文件为准。</w:t>
      </w:r>
    </w:p>
    <w:p w14:paraId="60ACCCA6">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10、证明投标人及投标标的符合招标文件规定的文件</w:t>
      </w:r>
    </w:p>
    <w:p w14:paraId="5B0C39A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10.1 投标人应按照招标文件要求提交证明文件，证明其及投标标的符合招标文件规定。</w:t>
      </w:r>
    </w:p>
    <w:p w14:paraId="336550C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10.2招标文件对证明文件无明确形式要求的，证明文件可以以文字资料、图纸和数据等形式提交。</w:t>
      </w:r>
    </w:p>
    <w:p w14:paraId="768D813F">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11、投标函和开标一览表</w:t>
      </w:r>
    </w:p>
    <w:p w14:paraId="7444102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11.1投标人应按照招标文件中提供的格式完整、正确填写投标函、开标一览表。</w:t>
      </w:r>
    </w:p>
    <w:p w14:paraId="46334BA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 对于采用货币报价的项目，开标一览表中的投标总报价应与报价明细表中的投标总报价一致，如不一致不作为无效投标处理，但评标时按开标一览表中价格为准。</w:t>
      </w:r>
    </w:p>
    <w:p w14:paraId="658006F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12、报价明细表</w:t>
      </w:r>
    </w:p>
    <w:p w14:paraId="4453B11B">
      <w:pPr>
        <w:spacing w:line="500" w:lineRule="exact"/>
        <w:ind w:firstLine="480"/>
        <w:rPr>
          <w:rFonts w:hint="eastAsia" w:ascii="宋体" w:hAnsi="宋体" w:eastAsia="宋体" w:cs="宋体"/>
          <w:bCs/>
          <w:color w:val="auto"/>
          <w:sz w:val="24"/>
          <w:szCs w:val="21"/>
          <w:highlight w:val="none"/>
        </w:rPr>
      </w:pPr>
      <w:r>
        <w:rPr>
          <w:rFonts w:hint="eastAsia" w:ascii="宋体" w:hAnsi="宋体" w:eastAsia="宋体" w:cs="宋体"/>
          <w:color w:val="auto"/>
          <w:kern w:val="0"/>
          <w:sz w:val="24"/>
          <w:szCs w:val="24"/>
          <w:highlight w:val="none"/>
        </w:rPr>
        <w:t>12.1</w:t>
      </w:r>
      <w:r>
        <w:rPr>
          <w:rFonts w:hint="eastAsia" w:ascii="宋体" w:hAnsi="宋体" w:eastAsia="宋体" w:cs="宋体"/>
          <w:color w:val="auto"/>
          <w:sz w:val="24"/>
          <w:szCs w:val="21"/>
          <w:highlight w:val="none"/>
        </w:rPr>
        <w:t>投标人应按照招标文件规定格式填报报价明细表。</w:t>
      </w:r>
    </w:p>
    <w:p w14:paraId="549A9F8F">
      <w:pPr>
        <w:spacing w:line="50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1"/>
          <w:highlight w:val="none"/>
        </w:rPr>
        <w:t xml:space="preserve"> </w:t>
      </w:r>
      <w:r>
        <w:rPr>
          <w:rFonts w:hint="eastAsia" w:ascii="宋体" w:hAnsi="宋体" w:eastAsia="宋体" w:cs="宋体"/>
          <w:bCs/>
          <w:color w:val="auto"/>
          <w:sz w:val="24"/>
          <w:szCs w:val="21"/>
          <w:highlight w:val="none"/>
        </w:rPr>
        <w:t>投标货币。投标文件中的单价和总价无特殊规定的采用人民币报价，以元为单位标注。</w:t>
      </w:r>
      <w:r>
        <w:rPr>
          <w:rFonts w:hint="eastAsia" w:ascii="宋体" w:hAnsi="宋体" w:eastAsia="宋体" w:cs="宋体"/>
          <w:color w:val="auto"/>
          <w:sz w:val="24"/>
          <w:szCs w:val="21"/>
          <w:highlight w:val="none"/>
        </w:rPr>
        <w:t>招标文件中另有规定的按规定执行。</w:t>
      </w:r>
    </w:p>
    <w:p w14:paraId="78195EB4">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13、服务、商务要求响应及偏离表</w:t>
      </w:r>
    </w:p>
    <w:p w14:paraId="2F629EAD">
      <w:pPr>
        <w:spacing w:line="500" w:lineRule="exact"/>
        <w:ind w:firstLine="480"/>
        <w:rPr>
          <w:rFonts w:hint="eastAsia" w:ascii="宋体" w:hAnsi="宋体" w:eastAsia="宋体" w:cs="宋体"/>
          <w:color w:val="auto"/>
          <w:sz w:val="24"/>
          <w:szCs w:val="21"/>
          <w:highlight w:val="none"/>
          <w:lang w:val="zh-CN"/>
        </w:rPr>
      </w:pPr>
      <w:r>
        <w:rPr>
          <w:rFonts w:hint="eastAsia" w:ascii="宋体" w:hAnsi="宋体" w:eastAsia="宋体" w:cs="宋体"/>
          <w:color w:val="auto"/>
          <w:kern w:val="0"/>
          <w:sz w:val="24"/>
          <w:szCs w:val="24"/>
          <w:highlight w:val="none"/>
        </w:rPr>
        <w:t>13.1</w:t>
      </w:r>
      <w:r>
        <w:rPr>
          <w:rFonts w:hint="eastAsia" w:ascii="宋体" w:hAnsi="宋体" w:eastAsia="宋体" w:cs="宋体"/>
          <w:color w:val="auto"/>
          <w:sz w:val="24"/>
          <w:szCs w:val="21"/>
          <w:highlight w:val="none"/>
          <w:lang w:val="zh-CN"/>
        </w:rPr>
        <w:t>投标人需对招标文件中的服务要求与商务要求逐项作出响应或偏离，并说明原因。</w:t>
      </w:r>
    </w:p>
    <w:p w14:paraId="3506E095">
      <w:pPr>
        <w:spacing w:line="50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1"/>
          <w:highlight w:val="none"/>
          <w:lang w:val="zh-CN"/>
        </w:rPr>
        <w:t xml:space="preserve"> </w:t>
      </w:r>
      <w:r>
        <w:rPr>
          <w:rFonts w:hint="eastAsia" w:ascii="宋体" w:hAnsi="宋体" w:eastAsia="宋体" w:cs="宋体"/>
          <w:color w:val="auto"/>
          <w:sz w:val="24"/>
          <w:highlight w:val="none"/>
          <w:lang w:val="zh-CN"/>
        </w:rPr>
        <w:t>投标人需按照招标文件要求，在投标文件中提供与服务要求和商务要求相关的证明材料。（如有）</w:t>
      </w:r>
    </w:p>
    <w:p w14:paraId="625B4C2B">
      <w:pPr>
        <w:keepNext/>
        <w:keepLines/>
        <w:spacing w:line="440" w:lineRule="exact"/>
        <w:ind w:firstLine="141" w:firstLineChars="50"/>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14、项目</w:t>
      </w:r>
      <w:r>
        <w:rPr>
          <w:rFonts w:hint="eastAsia" w:ascii="宋体" w:hAnsi="宋体" w:eastAsia="宋体" w:cs="宋体"/>
          <w:b/>
          <w:color w:val="auto"/>
          <w:kern w:val="0"/>
          <w:sz w:val="28"/>
          <w:szCs w:val="28"/>
          <w:highlight w:val="none"/>
          <w:lang w:val="en-US" w:eastAsia="zh-CN"/>
        </w:rPr>
        <w:t>实施</w:t>
      </w:r>
      <w:r>
        <w:rPr>
          <w:rFonts w:hint="eastAsia" w:ascii="宋体" w:hAnsi="宋体" w:eastAsia="宋体" w:cs="宋体"/>
          <w:b/>
          <w:color w:val="auto"/>
          <w:kern w:val="0"/>
          <w:sz w:val="28"/>
          <w:szCs w:val="28"/>
          <w:highlight w:val="none"/>
        </w:rPr>
        <w:t>方案、项目组人员一览表、业绩情况</w:t>
      </w:r>
    </w:p>
    <w:p w14:paraId="714D651D">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bookmarkStart w:id="53" w:name="_Toc49090510"/>
      <w:bookmarkStart w:id="54" w:name="_Toc14577359"/>
      <w:r>
        <w:rPr>
          <w:rFonts w:hint="eastAsia" w:ascii="宋体" w:hAnsi="宋体" w:eastAsia="宋体" w:cs="宋体"/>
          <w:color w:val="auto"/>
          <w:sz w:val="24"/>
          <w:szCs w:val="24"/>
          <w:highlight w:val="none"/>
        </w:rPr>
        <w:t>投标人需根据招标文件要求提供有关项目</w:t>
      </w:r>
      <w:r>
        <w:rPr>
          <w:rFonts w:hint="eastAsia" w:ascii="宋体" w:hAnsi="宋体" w:eastAsia="宋体" w:cs="宋体"/>
          <w:color w:val="auto"/>
          <w:sz w:val="24"/>
          <w:szCs w:val="24"/>
          <w:highlight w:val="none"/>
          <w:lang w:val="en-US" w:eastAsia="zh-CN"/>
        </w:rPr>
        <w:t>实施</w:t>
      </w:r>
      <w:r>
        <w:rPr>
          <w:rFonts w:hint="eastAsia" w:ascii="宋体" w:hAnsi="宋体" w:eastAsia="宋体" w:cs="宋体"/>
          <w:color w:val="auto"/>
          <w:sz w:val="24"/>
          <w:szCs w:val="24"/>
          <w:highlight w:val="none"/>
        </w:rPr>
        <w:t>方案、项目组人员一览表等。</w:t>
      </w:r>
    </w:p>
    <w:p w14:paraId="5272E1B5">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投标人需根据招标文件要求提供实施的类似项目业绩情况。</w:t>
      </w:r>
    </w:p>
    <w:bookmarkEnd w:id="53"/>
    <w:bookmarkEnd w:id="54"/>
    <w:p w14:paraId="5E49717E">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15、投标有效期</w:t>
      </w:r>
    </w:p>
    <w:p w14:paraId="66B917C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15.1投标有效期为代理机构规定的提交投标文件截止之日后</w:t>
      </w:r>
      <w:r>
        <w:rPr>
          <w:rFonts w:hint="eastAsia" w:ascii="宋体" w:hAnsi="宋体" w:eastAsia="宋体" w:cs="宋体"/>
          <w:b/>
          <w:bCs/>
          <w:color w:val="auto"/>
          <w:kern w:val="0"/>
          <w:sz w:val="24"/>
          <w:szCs w:val="24"/>
          <w:highlight w:val="none"/>
          <w:u w:val="single"/>
        </w:rPr>
        <w:t>六十（60）天</w:t>
      </w:r>
      <w:r>
        <w:rPr>
          <w:rFonts w:hint="eastAsia" w:ascii="宋体" w:hAnsi="宋体" w:eastAsia="宋体" w:cs="宋体"/>
          <w:color w:val="auto"/>
          <w:kern w:val="0"/>
          <w:sz w:val="24"/>
          <w:szCs w:val="24"/>
          <w:highlight w:val="none"/>
        </w:rPr>
        <w:t>。投标有效期比规定短的将被视为非实质性响应招标文件而予以拒绝。</w:t>
      </w:r>
    </w:p>
    <w:p w14:paraId="3A5E7D6C">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16、投标有效期的延长</w:t>
      </w:r>
    </w:p>
    <w:p w14:paraId="6256170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D7FCABD">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55" w:name="_Toc8187"/>
      <w:bookmarkStart w:id="56" w:name="_Toc25796"/>
      <w:bookmarkStart w:id="57" w:name="_Toc13568"/>
      <w:bookmarkStart w:id="58" w:name="_Toc1373"/>
      <w:bookmarkStart w:id="59" w:name="_Toc24414"/>
      <w:bookmarkStart w:id="60" w:name="_Toc5321"/>
      <w:bookmarkStart w:id="61" w:name="_Toc30450"/>
      <w:bookmarkStart w:id="62" w:name="_Toc16363"/>
      <w:bookmarkStart w:id="63" w:name="_Toc14870"/>
      <w:bookmarkStart w:id="64" w:name="_Toc959"/>
      <w:bookmarkStart w:id="65" w:name="_Toc13245"/>
      <w:r>
        <w:rPr>
          <w:rFonts w:hint="eastAsia" w:ascii="宋体" w:hAnsi="宋体" w:eastAsia="宋体" w:cs="宋体"/>
          <w:b/>
          <w:bCs/>
          <w:color w:val="auto"/>
          <w:sz w:val="32"/>
          <w:szCs w:val="32"/>
          <w:highlight w:val="none"/>
        </w:rPr>
        <w:t>四、投标文件的递交</w:t>
      </w:r>
      <w:bookmarkEnd w:id="55"/>
      <w:bookmarkEnd w:id="56"/>
      <w:bookmarkEnd w:id="57"/>
      <w:bookmarkEnd w:id="58"/>
      <w:bookmarkEnd w:id="59"/>
      <w:bookmarkEnd w:id="60"/>
      <w:bookmarkEnd w:id="61"/>
      <w:bookmarkEnd w:id="62"/>
      <w:bookmarkEnd w:id="63"/>
      <w:bookmarkEnd w:id="64"/>
      <w:bookmarkEnd w:id="65"/>
    </w:p>
    <w:p w14:paraId="2F0122F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17、电子投标文件的递交</w:t>
      </w:r>
    </w:p>
    <w:p w14:paraId="4DE5D4F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17.1投标人应当按照《苏采云系统投标人操作手册》规定，在提交投标文件截止时间前制作并上传电子投标文件。</w:t>
      </w:r>
    </w:p>
    <w:p w14:paraId="5458D02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14:paraId="28A1276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18、提交投标文件截止时间</w:t>
      </w:r>
    </w:p>
    <w:p w14:paraId="48A00615">
      <w:pPr>
        <w:spacing w:line="440" w:lineRule="exact"/>
        <w:ind w:firstLine="480"/>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18.1投标人上传电子投标文件的时间不得迟于招标公告中规定的提交投标文件截止时间。</w:t>
      </w:r>
    </w:p>
    <w:p w14:paraId="0BF223B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投标人应充分考虑到网络环境、网络带宽等风险因素，如因投标人自身原因造成的电子投标文件上传不成功的作无效响应处理。</w:t>
      </w:r>
    </w:p>
    <w:p w14:paraId="568681E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18.2代理机构可以按照规定，通过修改招标文件酌情延长提交投标文件截止日期，在此情况下，投标人的所有权利和义务以及投标人受制的截止日期均应以延长后新的截止日期为准。</w:t>
      </w:r>
    </w:p>
    <w:p w14:paraId="51A579B2">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19、投标文件的拒收</w:t>
      </w:r>
    </w:p>
    <w:p w14:paraId="1E15C09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19.1代理机构拒绝接收在其规定的提交投标文件截止时间后上传的任何电子投标文件。</w:t>
      </w:r>
    </w:p>
    <w:p w14:paraId="00923F14">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20、投标文件的撤回和修改</w:t>
      </w:r>
    </w:p>
    <w:p w14:paraId="7434718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20.1投标文件的撤回</w:t>
      </w:r>
    </w:p>
    <w:p w14:paraId="7C396A27">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21.1.1电子投标文件的撤回</w:t>
      </w:r>
    </w:p>
    <w:p w14:paraId="2125D6AE">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投标人可在提交投标文件截止时间前，撤回其电子投标文件，具体操作方法见《</w:t>
      </w:r>
      <w:r>
        <w:rPr>
          <w:rFonts w:hint="eastAsia" w:ascii="宋体" w:hAnsi="宋体" w:eastAsia="宋体" w:cs="宋体"/>
          <w:color w:val="auto"/>
          <w:sz w:val="24"/>
          <w:szCs w:val="24"/>
          <w:highlight w:val="none"/>
        </w:rPr>
        <w:t>苏采云系统投标人操作手册</w:t>
      </w:r>
      <w:r>
        <w:rPr>
          <w:rFonts w:hint="eastAsia" w:ascii="宋体" w:hAnsi="宋体" w:eastAsia="宋体" w:cs="宋体"/>
          <w:color w:val="auto"/>
          <w:kern w:val="0"/>
          <w:sz w:val="24"/>
          <w:szCs w:val="24"/>
          <w:highlight w:val="none"/>
        </w:rPr>
        <w:t>》。</w:t>
      </w:r>
    </w:p>
    <w:p w14:paraId="1444487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21.1.2投标人撤回电子投标文件，则认为其不再参与本项目投标活动。</w:t>
      </w:r>
    </w:p>
    <w:p w14:paraId="22FBAE9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20.2投标文件的修改</w:t>
      </w:r>
    </w:p>
    <w:p w14:paraId="4D169BC2">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投标人可在提交投标文件截止时间前，对其电子投标文件进行修改，具体操作方法见《</w:t>
      </w:r>
      <w:r>
        <w:rPr>
          <w:rFonts w:hint="eastAsia" w:ascii="宋体" w:hAnsi="宋体" w:eastAsia="宋体" w:cs="宋体"/>
          <w:color w:val="auto"/>
          <w:sz w:val="24"/>
          <w:szCs w:val="24"/>
          <w:highlight w:val="none"/>
        </w:rPr>
        <w:t>苏采云系统投标人操作手册</w:t>
      </w:r>
      <w:r>
        <w:rPr>
          <w:rFonts w:hint="eastAsia" w:ascii="宋体" w:hAnsi="宋体" w:eastAsia="宋体" w:cs="宋体"/>
          <w:color w:val="auto"/>
          <w:kern w:val="0"/>
          <w:sz w:val="24"/>
          <w:szCs w:val="24"/>
          <w:highlight w:val="none"/>
        </w:rPr>
        <w:t>》。</w:t>
      </w:r>
    </w:p>
    <w:p w14:paraId="7988AFA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20.3在提交投标文件截止时间之后，投标人不得对其电子投标文件作任何修改。</w:t>
      </w:r>
    </w:p>
    <w:p w14:paraId="14FC98D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20.4在提交投标文件截止时间至招标文件中规定的投标有效期满之间的这段时间内，投标人不得撤回其投标文件。</w:t>
      </w:r>
    </w:p>
    <w:p w14:paraId="7ADDCD6C">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66" w:name="_Toc7502"/>
      <w:bookmarkStart w:id="67" w:name="_Toc5428"/>
      <w:bookmarkStart w:id="68" w:name="_Toc1603"/>
      <w:bookmarkStart w:id="69" w:name="_Toc28189"/>
      <w:bookmarkStart w:id="70" w:name="_Toc15284"/>
      <w:bookmarkStart w:id="71" w:name="_Toc19354"/>
      <w:bookmarkStart w:id="72" w:name="_Toc8142"/>
      <w:bookmarkStart w:id="73" w:name="_Toc32035"/>
      <w:bookmarkStart w:id="74" w:name="_Toc29345"/>
      <w:bookmarkStart w:id="75" w:name="_Toc26408"/>
      <w:bookmarkStart w:id="76" w:name="_Toc16319"/>
      <w:r>
        <w:rPr>
          <w:rFonts w:hint="eastAsia" w:ascii="宋体" w:hAnsi="宋体" w:eastAsia="宋体" w:cs="宋体"/>
          <w:b/>
          <w:bCs/>
          <w:color w:val="auto"/>
          <w:sz w:val="32"/>
          <w:szCs w:val="32"/>
          <w:highlight w:val="none"/>
        </w:rPr>
        <w:t>五、开标与评审</w:t>
      </w:r>
      <w:bookmarkEnd w:id="66"/>
      <w:bookmarkEnd w:id="67"/>
      <w:bookmarkEnd w:id="68"/>
      <w:bookmarkEnd w:id="69"/>
      <w:bookmarkEnd w:id="70"/>
      <w:bookmarkEnd w:id="71"/>
      <w:bookmarkEnd w:id="72"/>
      <w:bookmarkEnd w:id="73"/>
      <w:bookmarkEnd w:id="74"/>
      <w:bookmarkEnd w:id="75"/>
      <w:bookmarkEnd w:id="76"/>
    </w:p>
    <w:p w14:paraId="217F1477">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21、开标</w:t>
      </w:r>
    </w:p>
    <w:p w14:paraId="692F2A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21.1代理机构将在招标公告中规定的时间和地点组织公开开标。投标人应当按照《苏采云系统投标人操作手册》规定，参加开标活动和在苏采云系统规定的时间内对投标文件进行解密。</w:t>
      </w:r>
    </w:p>
    <w:p w14:paraId="0E9CF6C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21.2开标仪式由代理机构组织。苏采云系统将自动对项目进行开标，并宣布各投标人名称。</w:t>
      </w:r>
    </w:p>
    <w:p w14:paraId="6E61EFF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21.3投标人在开标过程中涉及到的投标文件解密、开标结果确认等工作，应按照《苏采云系统投标人操作手册》规定执行。</w:t>
      </w:r>
    </w:p>
    <w:p w14:paraId="1171674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21.4投标人如果对开标过程和开标记录有疑义，应当根据《操作手册》规定提出，如苏采云系统中《开标记录表》宣布后5分钟内未提出的，视同认可开标结果。</w:t>
      </w:r>
    </w:p>
    <w:p w14:paraId="5B5C868D">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22、评标委员会</w:t>
      </w:r>
    </w:p>
    <w:p w14:paraId="4362E51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22.1 开标后，代理机构将立即组织评标委员会（以下简称评委会）进行评标。</w:t>
      </w:r>
    </w:p>
    <w:p w14:paraId="0830257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22.2 </w:t>
      </w:r>
      <w:r>
        <w:rPr>
          <w:rFonts w:hint="eastAsia" w:ascii="宋体" w:hAnsi="宋体" w:eastAsia="宋体" w:cs="宋体"/>
          <w:color w:val="auto"/>
          <w:sz w:val="24"/>
          <w:szCs w:val="24"/>
          <w:highlight w:val="none"/>
        </w:rPr>
        <w:t>评委会由采购人代表和有关技术、经济等方面的专家组成，且人员构成符合政府采购有关规定</w:t>
      </w:r>
      <w:r>
        <w:rPr>
          <w:rFonts w:hint="eastAsia" w:ascii="宋体" w:hAnsi="宋体" w:eastAsia="宋体" w:cs="宋体"/>
          <w:color w:val="auto"/>
          <w:kern w:val="0"/>
          <w:sz w:val="24"/>
          <w:szCs w:val="24"/>
          <w:highlight w:val="none"/>
        </w:rPr>
        <w:t>。</w:t>
      </w:r>
    </w:p>
    <w:p w14:paraId="77D033D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22.3评委会独立工作，负责评审所有投标文件并确定中标侯选人。</w:t>
      </w:r>
    </w:p>
    <w:p w14:paraId="2FFA8A7A">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23、评审过程的保密与公正</w:t>
      </w:r>
    </w:p>
    <w:p w14:paraId="3A4F06D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23.1凡是与审查、澄清、评价和比较投标的有关资料以及授标建议等，采购人、评委、代理机构均不得向投标人或与评标无关的其他人员透露。</w:t>
      </w:r>
    </w:p>
    <w:p w14:paraId="39DC2CC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23.2在评标过程中，投标人不得以任何行为影响评标过程，否则其投标文件将被作为无效投标文件。</w:t>
      </w:r>
    </w:p>
    <w:p w14:paraId="1A5D61A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23.3 代理机构和评委会不向未中标的投标人解释未中标原因，也不公布评标过程中的相关细节。</w:t>
      </w:r>
    </w:p>
    <w:p w14:paraId="05B8E59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23.4 采用综合评分法的项目，未中标的投标人可于中标结果公告期限届满之日起通过苏采云系统查看自己的评审得分及排序情况。</w:t>
      </w:r>
    </w:p>
    <w:p w14:paraId="54E7982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24、投标文件的澄清</w:t>
      </w:r>
    </w:p>
    <w:p w14:paraId="1BF73FD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评标期间，评委会对投标文件中含义不明确、同类问题表述不一致或者有明显文字和计算错误的内容，有权要求投标人作出必要的澄清、说明或者补正。</w:t>
      </w:r>
    </w:p>
    <w:p w14:paraId="33F49C9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投标人的澄清、说明或者补正不得超出投标文件的范围或者改变投标文件的实质性内容。</w:t>
      </w:r>
    </w:p>
    <w:p w14:paraId="56BC99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评标委员会并非对每个投标人都做澄清要求。</w:t>
      </w:r>
    </w:p>
    <w:p w14:paraId="14CB4E2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50C1339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24.3 接到评委会澄清、说明和补正要求的投标人如未按规定做出澄清、说明和补正，其风险由投标人自行承担。</w:t>
      </w:r>
    </w:p>
    <w:p w14:paraId="33269AF6">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25、对投标文件的审查</w:t>
      </w:r>
    </w:p>
    <w:p w14:paraId="2D088F4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25.1投标文件审查分为资格审查和符合性审查。</w:t>
      </w:r>
    </w:p>
    <w:p w14:paraId="7301C6AE">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25.1.1</w:t>
      </w:r>
      <w:r>
        <w:rPr>
          <w:rFonts w:hint="eastAsia" w:ascii="宋体" w:hAnsi="宋体" w:eastAsia="宋体" w:cs="宋体"/>
          <w:bCs/>
          <w:color w:val="auto"/>
          <w:sz w:val="24"/>
          <w:szCs w:val="21"/>
          <w:highlight w:val="none"/>
        </w:rPr>
        <w:t>资格审查：依据法律法规和招标文件的规定，由采购人对投标文件中的资格证明文件进行审查。资格审查的结论，采购人以书面形式向评委会进行反馈。</w:t>
      </w:r>
    </w:p>
    <w:p w14:paraId="24FE160F">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采购人在进行资格审查的同时，将在信用中国 （ https://www.creditchina.gov.cn/ ） 对投标人的诚信记录进行查询，以确定投标人是否具备投标资格,查询结果留存并归档。</w:t>
      </w:r>
    </w:p>
    <w:p w14:paraId="10E4F2E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16553B24">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25.1.2符合性审查：依据招标文件的规定，由评委会从投标文件的有效性、完整性和对招标文件的响应程度进行审查，以确定是否对招标文件的实质性要求作出响应。</w:t>
      </w:r>
    </w:p>
    <w:p w14:paraId="2214DC0D">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25.1.3未通过资格审查或符合性审查的投标人，评委会将在苏采云系统中告知未通过资格审查或符合性审查的原因，评审结束后，评委会将不再告知未通过资格审查或符合性审查的原因。</w:t>
      </w:r>
    </w:p>
    <w:p w14:paraId="675A41C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25.2在详细评审之前，评委会将首先审查每份投标文件是否实质性响应了招标文件的要求。实质性响应的投标文件应该是与招标文件要求的条款、条件和规格相符，没有重大偏离或保留。</w:t>
      </w:r>
    </w:p>
    <w:p w14:paraId="732D931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由评委会按照少数服从多数的原则认定。评委会决定投标文件的响应性只根据投标文件本身的内容，而不寻求外部的证据。</w:t>
      </w:r>
    </w:p>
    <w:p w14:paraId="1A3469E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25.3如果投标文件实质上没有响应招标文件的要求，评委会将予以拒绝，投标人不得通过修改或撤销不合要求的偏离或保留而使其投标成为实质性响应的投标。</w:t>
      </w:r>
    </w:p>
    <w:p w14:paraId="650B260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25.4评委会将对确定为实质性响应的投标文件进行进一步审核，看其是否有计算上或累加上的算术错误，修正错误的原则如下：</w:t>
      </w:r>
    </w:p>
    <w:p w14:paraId="7524F188">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（1）投标文件中开标一览表内容与投标文件中相应内容不一致的，以开标一览表为准。</w:t>
      </w:r>
    </w:p>
    <w:p w14:paraId="627659F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（2）大写金额和小写金额不一致的，以大写金额为准。</w:t>
      </w:r>
    </w:p>
    <w:p w14:paraId="0591069B">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（3）单价金额小数点或者百分比有明显错位的，以开标一览表的总价为准，并修改单价。</w:t>
      </w:r>
    </w:p>
    <w:p w14:paraId="22F7BC8D">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（4）总价金额与按单价汇总金额不一致的，以单价金额计算结果为准。</w:t>
      </w:r>
    </w:p>
    <w:p w14:paraId="5F33DEE2">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同时出现两种以上错误的，按照前款规定的顺序修正。</w:t>
      </w:r>
    </w:p>
    <w:p w14:paraId="16D94C7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25.5评委会将按上述修正错误的方法调整投标文件中的报价价格，并通过苏采云系统告知投标人，调整后的价格应对投标人具有约束力。如果投标人不接受修正后的价格，则其投标将被拒绝。</w:t>
      </w:r>
    </w:p>
    <w:p w14:paraId="5E05D960">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1746FC8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25.7投标人在开、评标全过程中应保持通讯畅通，及时登录苏采云系统查阅、答复相关信息，并安排专人与代理机构及评委会联系。</w:t>
      </w:r>
    </w:p>
    <w:p w14:paraId="6833AA53">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26、无效投标条款和废标条款</w:t>
      </w:r>
    </w:p>
    <w:p w14:paraId="07C7322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26.1无效投标条款</w:t>
      </w:r>
    </w:p>
    <w:p w14:paraId="0CF7F485">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26.1.1投标人在苏采云系统规定的时间内未成功解密电子投标文件的。</w:t>
      </w:r>
    </w:p>
    <w:p w14:paraId="0F5CB26D">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26.1.2投标人未按照招标文件要求上传电子投标文件的。</w:t>
      </w:r>
    </w:p>
    <w:p w14:paraId="186D3DEC">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26.1.3同一投标人提交两个（含两个）以上不同的投标报价的。</w:t>
      </w:r>
    </w:p>
    <w:p w14:paraId="6BDA5462">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26.1.4投标人不具备招标文件中规定资格要求的。</w:t>
      </w:r>
    </w:p>
    <w:p w14:paraId="0733A689">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26.1.5投标人的报价超过了采购预算</w:t>
      </w:r>
      <w:r>
        <w:rPr>
          <w:rFonts w:hint="eastAsia" w:ascii="宋体" w:hAnsi="宋体" w:eastAsia="宋体" w:cs="宋体"/>
          <w:color w:val="auto"/>
          <w:sz w:val="24"/>
          <w:highlight w:val="none"/>
        </w:rPr>
        <w:t>或最高限价的</w:t>
      </w:r>
      <w:r>
        <w:rPr>
          <w:rFonts w:hint="eastAsia" w:ascii="宋体" w:hAnsi="宋体" w:eastAsia="宋体" w:cs="宋体"/>
          <w:color w:val="auto"/>
          <w:kern w:val="0"/>
          <w:sz w:val="24"/>
          <w:szCs w:val="24"/>
          <w:highlight w:val="none"/>
        </w:rPr>
        <w:t>。</w:t>
      </w:r>
    </w:p>
    <w:p w14:paraId="525BF082">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26.1.6未通过符合性审查的。</w:t>
      </w:r>
    </w:p>
    <w:p w14:paraId="7C332DBF">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26.1.7不符合招标文件中规定的实质性要求和条件的（</w:t>
      </w:r>
      <w:r>
        <w:rPr>
          <w:rFonts w:hint="eastAsia" w:ascii="宋体" w:hAnsi="宋体" w:eastAsia="宋体" w:cs="宋体"/>
          <w:b/>
          <w:bCs/>
          <w:color w:val="auto"/>
          <w:kern w:val="0"/>
          <w:sz w:val="24"/>
          <w:szCs w:val="24"/>
          <w:highlight w:val="none"/>
        </w:rPr>
        <w:t>本招标文件中标“★”的相关要求为实质性要求和条件）</w:t>
      </w:r>
      <w:r>
        <w:rPr>
          <w:rFonts w:hint="eastAsia" w:ascii="宋体" w:hAnsi="宋体" w:eastAsia="宋体" w:cs="宋体"/>
          <w:color w:val="auto"/>
          <w:kern w:val="0"/>
          <w:sz w:val="24"/>
          <w:szCs w:val="24"/>
          <w:highlight w:val="none"/>
        </w:rPr>
        <w:t>。</w:t>
      </w:r>
    </w:p>
    <w:p w14:paraId="2A04A1DA">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09F701CD">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26.1.9投标文件含有采购人不能接受的附加条件的。</w:t>
      </w:r>
    </w:p>
    <w:p w14:paraId="55923267">
      <w:pPr>
        <w:spacing w:line="44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26.1.10评标委员会认为投标人的报价明显低于其他通过符合性审查投标人的报价，有可能影响产品质量或者不能诚信履约的，将通过</w:t>
      </w:r>
      <w:r>
        <w:rPr>
          <w:rFonts w:hint="eastAsia" w:ascii="宋体" w:hAnsi="宋体" w:eastAsia="宋体" w:cs="宋体"/>
          <w:color w:val="auto"/>
          <w:kern w:val="0"/>
          <w:sz w:val="24"/>
          <w:szCs w:val="24"/>
          <w:highlight w:val="none"/>
        </w:rPr>
        <w:t>苏采云系统</w:t>
      </w:r>
      <w:r>
        <w:rPr>
          <w:rFonts w:hint="eastAsia" w:ascii="宋体" w:hAnsi="宋体" w:eastAsia="宋体" w:cs="宋体"/>
          <w:bCs/>
          <w:color w:val="auto"/>
          <w:kern w:val="0"/>
          <w:sz w:val="24"/>
          <w:szCs w:val="24"/>
          <w:highlight w:val="none"/>
        </w:rPr>
        <w:t>要求其在合理的时间内提供说明，必要时提交相关证明材料；投标人不能证明其报价合理性的，评标委员会应当将其作为无效投标处理。</w:t>
      </w:r>
    </w:p>
    <w:p w14:paraId="168E5F31">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1E06A0E">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26.1.12投标文件未按照招标文件要求加盖CA电子公章的。</w:t>
      </w:r>
    </w:p>
    <w:p w14:paraId="64D32147">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26.1.13</w:t>
      </w:r>
      <w:r>
        <w:rPr>
          <w:rFonts w:hint="eastAsia" w:ascii="宋体" w:hAnsi="宋体" w:eastAsia="宋体" w:cs="宋体"/>
          <w:bCs/>
          <w:color w:val="auto"/>
          <w:sz w:val="24"/>
          <w:szCs w:val="21"/>
          <w:highlight w:val="none"/>
        </w:rPr>
        <w:t>其他法律、法规及本招标文件规定的属无效投标的情形。</w:t>
      </w:r>
    </w:p>
    <w:p w14:paraId="06598D7D">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26.2废标条款</w:t>
      </w:r>
    </w:p>
    <w:p w14:paraId="078F26E4">
      <w:pPr>
        <w:spacing w:line="440" w:lineRule="exact"/>
        <w:ind w:firstLine="720" w:firstLineChars="300"/>
        <w:rPr>
          <w:rFonts w:hint="eastAsia" w:ascii="宋体" w:hAnsi="宋体" w:eastAsia="宋体" w:cs="宋体"/>
          <w:bCs/>
          <w:color w:val="auto"/>
          <w:sz w:val="24"/>
          <w:szCs w:val="21"/>
          <w:highlight w:val="none"/>
        </w:rPr>
      </w:pPr>
      <w:r>
        <w:rPr>
          <w:rFonts w:hint="eastAsia" w:ascii="宋体" w:hAnsi="宋体" w:eastAsia="宋体" w:cs="宋体"/>
          <w:color w:val="auto"/>
          <w:kern w:val="0"/>
          <w:sz w:val="24"/>
          <w:szCs w:val="24"/>
          <w:highlight w:val="none"/>
        </w:rPr>
        <w:t>26.2.1</w:t>
      </w:r>
      <w:r>
        <w:rPr>
          <w:rFonts w:hint="eastAsia" w:ascii="宋体" w:hAnsi="宋体" w:eastAsia="宋体" w:cs="宋体"/>
          <w:bCs/>
          <w:color w:val="auto"/>
          <w:sz w:val="24"/>
          <w:szCs w:val="21"/>
          <w:highlight w:val="none"/>
        </w:rPr>
        <w:t>符合专业条件的投标人或者对招标文件作实质响应的投标人不足三家的。</w:t>
      </w:r>
    </w:p>
    <w:p w14:paraId="5B1E0318">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26.2.2出现影响采购公正的违法、违规行为的。</w:t>
      </w:r>
    </w:p>
    <w:p w14:paraId="74B88DFB">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26.2.3因重大变故，采购任务取消的。</w:t>
      </w:r>
    </w:p>
    <w:p w14:paraId="6136F655">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26.2.4评标委员会认定招标文件存在歧义、重大缺陷导致评审工作无法进行。</w:t>
      </w:r>
    </w:p>
    <w:p w14:paraId="7117A238">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26.2.5因苏采云系统系统故障原因造成开标不成功的。</w:t>
      </w:r>
    </w:p>
    <w:p w14:paraId="58D79A9A">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26.2.6</w:t>
      </w:r>
      <w:r>
        <w:rPr>
          <w:rFonts w:hint="eastAsia" w:ascii="宋体" w:hAnsi="宋体" w:eastAsia="宋体" w:cs="宋体"/>
          <w:color w:val="auto"/>
          <w:sz w:val="24"/>
          <w:highlight w:val="none"/>
        </w:rPr>
        <w:t>投标文件接受截止时间结束后参加投标的投标人不足</w:t>
      </w:r>
      <w:r>
        <w:rPr>
          <w:rFonts w:hint="eastAsia" w:ascii="宋体" w:hAnsi="宋体" w:eastAsia="宋体" w:cs="宋体"/>
          <w:color w:val="auto"/>
          <w:kern w:val="0"/>
          <w:sz w:val="24"/>
          <w:szCs w:val="24"/>
          <w:highlight w:val="none"/>
        </w:rPr>
        <w:t>三家的处理：</w:t>
      </w:r>
    </w:p>
    <w:p w14:paraId="628B8B96">
      <w:pPr>
        <w:spacing w:line="44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26.2.7如出现投标截止时间结束后参加投标的投标人或者在评标期间对招标文件做出实质响应的投标人不足三家情况，按政府采购相关规定执行。</w:t>
      </w:r>
    </w:p>
    <w:p w14:paraId="0F1BB60A">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77" w:name="_Toc19188"/>
      <w:bookmarkStart w:id="78" w:name="_Toc17432"/>
      <w:bookmarkStart w:id="79" w:name="_Toc48"/>
      <w:bookmarkStart w:id="80" w:name="_Toc15817"/>
      <w:bookmarkStart w:id="81" w:name="_Toc9362"/>
      <w:bookmarkStart w:id="82" w:name="_Toc13187"/>
      <w:bookmarkStart w:id="83" w:name="_Toc881"/>
      <w:bookmarkStart w:id="84" w:name="_Toc6218"/>
      <w:bookmarkStart w:id="85" w:name="_Toc207"/>
      <w:bookmarkStart w:id="86" w:name="_Toc30141"/>
      <w:bookmarkStart w:id="87" w:name="_Toc4520"/>
      <w:r>
        <w:rPr>
          <w:rFonts w:hint="eastAsia" w:ascii="宋体" w:hAnsi="宋体" w:eastAsia="宋体" w:cs="宋体"/>
          <w:b/>
          <w:bCs/>
          <w:color w:val="auto"/>
          <w:sz w:val="32"/>
          <w:szCs w:val="32"/>
          <w:highlight w:val="none"/>
        </w:rPr>
        <w:t>六、</w:t>
      </w:r>
      <w:bookmarkEnd w:id="77"/>
      <w:bookmarkEnd w:id="78"/>
      <w:bookmarkEnd w:id="79"/>
      <w:bookmarkEnd w:id="80"/>
      <w:bookmarkEnd w:id="81"/>
      <w:bookmarkEnd w:id="82"/>
      <w:r>
        <w:rPr>
          <w:rFonts w:hint="eastAsia" w:ascii="宋体" w:hAnsi="宋体" w:eastAsia="宋体" w:cs="宋体"/>
          <w:b/>
          <w:bCs/>
          <w:color w:val="auto"/>
          <w:sz w:val="32"/>
          <w:szCs w:val="32"/>
          <w:highlight w:val="none"/>
        </w:rPr>
        <w:t>定标</w:t>
      </w:r>
      <w:bookmarkEnd w:id="83"/>
      <w:bookmarkEnd w:id="84"/>
      <w:bookmarkEnd w:id="85"/>
      <w:bookmarkEnd w:id="86"/>
      <w:bookmarkEnd w:id="87"/>
    </w:p>
    <w:p w14:paraId="2125D53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27、确定中标单位</w:t>
      </w:r>
    </w:p>
    <w:p w14:paraId="159E071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27.1中标候选人的选取原则和数量见招标文件第五章规定。 </w:t>
      </w:r>
    </w:p>
    <w:p w14:paraId="6AE5AD8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27.2 采购人应根据评委会推荐的中标候选人确定中标人。</w:t>
      </w:r>
    </w:p>
    <w:p w14:paraId="1233CEF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27.3 代理机构将在指定媒体上发布中标公告，公告期限为1个工作日。</w:t>
      </w:r>
    </w:p>
    <w:p w14:paraId="5DABC44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  若有充分证据证明，中标人出现下列情况之一的，一经查实，将被取消中标资格：</w:t>
      </w:r>
    </w:p>
    <w:p w14:paraId="20F611CB">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27.4.1提供虚假材料谋取中标的。</w:t>
      </w:r>
    </w:p>
    <w:p w14:paraId="407C1C99">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27.4.2向采购人、代理机构行贿或者提供其他不正当利益的。</w:t>
      </w:r>
    </w:p>
    <w:p w14:paraId="27230B1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27.4.3属于本文件规定的无效条件，但在评标过程中又未被评委会发现的。</w:t>
      </w:r>
    </w:p>
    <w:p w14:paraId="522325CD">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27.4.4与采购人或者其他投标人恶意串通的。</w:t>
      </w:r>
    </w:p>
    <w:p w14:paraId="5FBA4976">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27.4.5采取不正当手段诋毁、排挤其他投标人的。</w:t>
      </w:r>
    </w:p>
    <w:p w14:paraId="183E530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 有下列情形之一的，视为投标人串通投标，投标无效：</w:t>
      </w:r>
    </w:p>
    <w:p w14:paraId="3E9132E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27.5.1不同投标人的投标文件由同一单位或者个人编制；</w:t>
      </w:r>
    </w:p>
    <w:p w14:paraId="792B553B">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27.5.2不同投标人委托同一单位或者个人办理投标事宜；</w:t>
      </w:r>
    </w:p>
    <w:p w14:paraId="5A1B8D35">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27.5.3 不同投标人的投标文件载明的项目管理成员或者联系人员为同一人；</w:t>
      </w:r>
    </w:p>
    <w:p w14:paraId="3B3EE37C">
      <w:pPr>
        <w:spacing w:line="440" w:lineRule="exact"/>
        <w:ind w:firstLine="787" w:firstLineChars="328"/>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28.5.4不同投标人的投标文件异常一致或者投标报价呈规律性差异。</w:t>
      </w:r>
    </w:p>
    <w:p w14:paraId="6D72D5C0">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28、质疑处理</w:t>
      </w:r>
    </w:p>
    <w:p w14:paraId="02703A7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28.1 提出质疑的投标人应当是参与所质疑项目采购活动的投标人，潜在投标人已依法获取其可质疑的招标文件的，可以对该文件提出质疑。请将</w:t>
      </w:r>
      <w:bookmarkStart w:id="88" w:name="_Hlk98510751"/>
      <w:r>
        <w:rPr>
          <w:rFonts w:hint="eastAsia" w:ascii="宋体" w:hAnsi="宋体" w:eastAsia="宋体" w:cs="宋体"/>
          <w:color w:val="auto"/>
          <w:kern w:val="0"/>
          <w:sz w:val="24"/>
          <w:szCs w:val="24"/>
          <w:highlight w:val="none"/>
        </w:rPr>
        <w:t>获取采购文件后打印留存的《投标供应商确认函》等</w:t>
      </w:r>
      <w:bookmarkEnd w:id="88"/>
      <w:r>
        <w:rPr>
          <w:rFonts w:hint="eastAsia" w:ascii="宋体" w:hAnsi="宋体" w:eastAsia="宋体" w:cs="宋体"/>
          <w:color w:val="auto"/>
          <w:kern w:val="0"/>
          <w:sz w:val="24"/>
          <w:szCs w:val="24"/>
          <w:highlight w:val="none"/>
        </w:rPr>
        <w:t>必要的证明材料与质疑函一起递交，否则不予受理。</w:t>
      </w:r>
    </w:p>
    <w:p w14:paraId="6AAF662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p>
    <w:p w14:paraId="5206878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14:paraId="3125C26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（1）对可以质疑的招标文件提出质疑的，为收到招标文件之日或者招标文件公告期限届满之日；</w:t>
      </w:r>
    </w:p>
    <w:p w14:paraId="3091603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（2）对采购过程提出质疑的，为各采购程序环节结束之日；</w:t>
      </w:r>
    </w:p>
    <w:p w14:paraId="369AA722">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（3）对中标或者中标结果提出质疑的，为中标或者中标结果公告期限届满之日。</w:t>
      </w:r>
    </w:p>
    <w:p w14:paraId="4BA7560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投标人应当在法定质疑期内一次性提出针对同一采购程序环节的质疑。投标人如在法定期限内对同一采购程序环节提出多次质疑的，代理机构、采购人将只对投标人第一次质疑作出答复。</w:t>
      </w:r>
    </w:p>
    <w:p w14:paraId="57604CF4">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14:paraId="0BA14E1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28.4 代理机构及采购人只接收以纸质原件形式送达（当场送达或邮寄方式）的质疑。</w:t>
      </w:r>
    </w:p>
    <w:p w14:paraId="6121A3C9">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代理机构质疑接收部门为：</w:t>
      </w:r>
      <w:r>
        <w:rPr>
          <w:rFonts w:hint="eastAsia" w:ascii="宋体" w:hAnsi="宋体" w:eastAsia="宋体" w:cs="宋体"/>
          <w:color w:val="auto"/>
          <w:kern w:val="0"/>
          <w:sz w:val="24"/>
          <w:szCs w:val="24"/>
          <w:highlight w:val="none"/>
          <w:lang w:eastAsia="zh-CN"/>
        </w:rPr>
        <w:t>苏州信达顺工程建设咨询有限公司</w:t>
      </w:r>
      <w:r>
        <w:rPr>
          <w:rFonts w:hint="eastAsia" w:ascii="宋体" w:hAnsi="宋体" w:eastAsia="宋体" w:cs="宋体"/>
          <w:color w:val="auto"/>
          <w:kern w:val="0"/>
          <w:sz w:val="24"/>
          <w:szCs w:val="24"/>
          <w:highlight w:val="none"/>
        </w:rPr>
        <w:t>，联系地址：常熟市海虞镇河滨路100-5号。</w:t>
      </w:r>
    </w:p>
    <w:p w14:paraId="6F1BCED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质疑接收人及联系方式见招标文件“第一章 投标邀请”。</w:t>
      </w:r>
    </w:p>
    <w:p w14:paraId="7BBB605C">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28.5 以下情形的质疑不予受理</w:t>
      </w:r>
    </w:p>
    <w:p w14:paraId="41EAE83B">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（1）内容不符合《政府采购质疑和投诉办法》第十二条规定的质疑。</w:t>
      </w:r>
    </w:p>
    <w:p w14:paraId="4AB06F1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（2）超出政府采购法定期限的质疑。</w:t>
      </w:r>
    </w:p>
    <w:p w14:paraId="05916CB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（3）以传真、电子邮件等方式递交的非原件形式的质疑。</w:t>
      </w:r>
    </w:p>
    <w:p w14:paraId="0343172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（4）未参加投标活动的投标人或在投标活动中自身权益未受到损害的投标人所提出的质疑。</w:t>
      </w:r>
    </w:p>
    <w:p w14:paraId="339D9588">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（5）如投标人组成联合体参加投标，联合体中任何一方或多方未按要求签字或盖章、加盖公章的质疑。</w:t>
      </w:r>
    </w:p>
    <w:p w14:paraId="0681B3CA">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2DBDB87B">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29、中标通知书</w:t>
      </w:r>
    </w:p>
    <w:p w14:paraId="6BD4A3B6">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F20E865">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E1C718F">
      <w:pPr>
        <w:keepNext/>
        <w:keepLines/>
        <w:spacing w:before="152" w:beforeLines="50" w:after="152" w:afterLines="50" w:line="440" w:lineRule="exact"/>
        <w:outlineLvl w:val="2"/>
        <w:rPr>
          <w:rFonts w:hint="eastAsia" w:ascii="宋体" w:hAnsi="宋体" w:eastAsia="宋体" w:cs="宋体"/>
          <w:b/>
          <w:bCs/>
          <w:color w:val="auto"/>
          <w:sz w:val="32"/>
          <w:szCs w:val="32"/>
          <w:highlight w:val="none"/>
        </w:rPr>
      </w:pPr>
      <w:bookmarkStart w:id="89" w:name="_Toc22686"/>
      <w:bookmarkStart w:id="90" w:name="_Toc4987"/>
      <w:bookmarkStart w:id="91" w:name="_Toc8381"/>
      <w:bookmarkStart w:id="92" w:name="_Toc1951"/>
      <w:bookmarkStart w:id="93" w:name="_Toc21840"/>
      <w:bookmarkStart w:id="94" w:name="_Toc11451"/>
      <w:bookmarkStart w:id="95" w:name="_Toc24233"/>
      <w:bookmarkStart w:id="96" w:name="_Toc31598"/>
      <w:bookmarkStart w:id="97" w:name="_Toc31645"/>
      <w:bookmarkStart w:id="98" w:name="_Toc17654"/>
      <w:bookmarkStart w:id="99" w:name="_Toc6483"/>
      <w:r>
        <w:rPr>
          <w:rFonts w:hint="eastAsia" w:ascii="宋体" w:hAnsi="宋体" w:eastAsia="宋体" w:cs="宋体"/>
          <w:b/>
          <w:bCs/>
          <w:color w:val="auto"/>
          <w:sz w:val="32"/>
          <w:szCs w:val="32"/>
          <w:highlight w:val="none"/>
        </w:rPr>
        <w:t>七、授予合同</w:t>
      </w:r>
      <w:bookmarkEnd w:id="89"/>
      <w:bookmarkEnd w:id="90"/>
      <w:bookmarkEnd w:id="91"/>
      <w:bookmarkEnd w:id="92"/>
      <w:bookmarkEnd w:id="93"/>
      <w:bookmarkEnd w:id="94"/>
      <w:bookmarkEnd w:id="95"/>
      <w:bookmarkEnd w:id="96"/>
      <w:bookmarkEnd w:id="97"/>
      <w:bookmarkEnd w:id="98"/>
      <w:bookmarkEnd w:id="99"/>
    </w:p>
    <w:p w14:paraId="6648F285">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30、签订合同</w:t>
      </w:r>
    </w:p>
    <w:p w14:paraId="073E17D7">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30.l中标人应当在中标通知书发出之日起三十日内，按照招标文件确定的事项与采购人签订政府采购合同。</w:t>
      </w:r>
    </w:p>
    <w:p w14:paraId="4B4DD6DF">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30.2招标文件、中标人的投标文件及投标过程中有关澄清、承诺文件均应作为合同附件。</w:t>
      </w:r>
    </w:p>
    <w:p w14:paraId="3D9792C3">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9220630">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31、标的物的追加</w:t>
      </w:r>
    </w:p>
    <w:p w14:paraId="387770CE">
      <w:pPr>
        <w:spacing w:line="440" w:lineRule="exact"/>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p>
    <w:p w14:paraId="58DFF6D2">
      <w:pPr>
        <w:keepNext/>
        <w:keepLines/>
        <w:spacing w:line="440" w:lineRule="exact"/>
        <w:ind w:firstLine="138" w:firstLineChars="49"/>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32、政府采购履约资金扶持政策</w:t>
      </w:r>
    </w:p>
    <w:p w14:paraId="06DA2FD0">
      <w:pPr>
        <w:tabs>
          <w:tab w:val="left" w:pos="200"/>
        </w:tabs>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中标人可凭政府采购合同办理融资贷款，详情请见苏州市政府采购网“政府采购合同信用融资”专栏。</w:t>
      </w:r>
    </w:p>
    <w:p w14:paraId="01C6360E">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r>
    </w:p>
    <w:p w14:paraId="5437CDAA">
      <w:pPr>
        <w:pStyle w:val="2"/>
        <w:rPr>
          <w:rFonts w:hint="eastAsia" w:ascii="宋体" w:hAnsi="宋体" w:eastAsia="宋体" w:cs="宋体"/>
          <w:color w:val="auto"/>
          <w:highlight w:val="none"/>
        </w:rPr>
      </w:pPr>
      <w:bookmarkStart w:id="100" w:name="_Toc9908"/>
      <w:bookmarkStart w:id="101" w:name="_Toc11409"/>
      <w:bookmarkStart w:id="102" w:name="_Toc315868058"/>
      <w:bookmarkStart w:id="103" w:name="_Toc158691774"/>
      <w:bookmarkStart w:id="104" w:name="_Toc315875321"/>
      <w:r>
        <w:rPr>
          <w:rFonts w:hint="eastAsia" w:ascii="宋体" w:hAnsi="宋体" w:eastAsia="宋体" w:cs="宋体"/>
          <w:color w:val="auto"/>
          <w:highlight w:val="none"/>
        </w:rPr>
        <w:t>第三章 合同</w:t>
      </w:r>
      <w:bookmarkEnd w:id="100"/>
      <w:r>
        <w:rPr>
          <w:rFonts w:hint="eastAsia" w:ascii="宋体" w:hAnsi="宋体" w:eastAsia="宋体" w:cs="宋体"/>
          <w:color w:val="auto"/>
          <w:highlight w:val="none"/>
        </w:rPr>
        <w:t>文本</w:t>
      </w:r>
      <w:bookmarkEnd w:id="101"/>
    </w:p>
    <w:p w14:paraId="62C98FE4">
      <w:pPr>
        <w:spacing w:before="305" w:beforeLines="100"/>
        <w:ind w:right="105" w:rightChars="50" w:firstLine="6720" w:firstLineChars="2800"/>
        <w:rPr>
          <w:rFonts w:hint="eastAsia" w:ascii="宋体" w:hAnsi="宋体" w:eastAsia="宋体" w:cs="宋体"/>
          <w:b/>
          <w:bCs/>
          <w:color w:val="auto"/>
          <w:kern w:val="0"/>
          <w:sz w:val="72"/>
          <w:szCs w:val="72"/>
          <w:highlight w:val="none"/>
        </w:rPr>
      </w:pPr>
      <w:r>
        <w:rPr>
          <w:rFonts w:hint="eastAsia" w:ascii="宋体" w:hAnsi="宋体" w:eastAsia="宋体" w:cs="宋体"/>
          <w:color w:val="auto"/>
          <w:sz w:val="24"/>
          <w:szCs w:val="24"/>
          <w:highlight w:val="none"/>
        </w:rPr>
        <w:t>合同编号：</w:t>
      </w:r>
    </w:p>
    <w:p w14:paraId="16E92AC6">
      <w:pPr>
        <w:spacing w:before="305" w:beforeLines="100"/>
        <w:ind w:right="105" w:rightChars="50" w:firstLine="2530" w:firstLineChars="350"/>
        <w:rPr>
          <w:rFonts w:hint="eastAsia" w:ascii="宋体" w:hAnsi="宋体" w:eastAsia="宋体" w:cs="宋体"/>
          <w:b/>
          <w:bCs/>
          <w:color w:val="auto"/>
          <w:kern w:val="0"/>
          <w:sz w:val="72"/>
          <w:szCs w:val="72"/>
          <w:highlight w:val="none"/>
        </w:rPr>
      </w:pPr>
    </w:p>
    <w:p w14:paraId="29A8DA3D">
      <w:pPr>
        <w:spacing w:before="305" w:beforeLines="100"/>
        <w:ind w:right="105" w:rightChars="50" w:firstLine="2530" w:firstLineChars="350"/>
        <w:rPr>
          <w:rFonts w:hint="eastAsia" w:ascii="宋体" w:hAnsi="宋体" w:eastAsia="宋体" w:cs="宋体"/>
          <w:b/>
          <w:bCs/>
          <w:color w:val="auto"/>
          <w:kern w:val="0"/>
          <w:sz w:val="72"/>
          <w:szCs w:val="72"/>
          <w:highlight w:val="none"/>
        </w:rPr>
      </w:pPr>
      <w:r>
        <w:rPr>
          <w:rFonts w:hint="eastAsia" w:ascii="宋体" w:hAnsi="宋体" w:eastAsia="宋体" w:cs="宋体"/>
          <w:b/>
          <w:bCs/>
          <w:color w:val="auto"/>
          <w:kern w:val="0"/>
          <w:sz w:val="72"/>
          <w:szCs w:val="72"/>
          <w:highlight w:val="none"/>
        </w:rPr>
        <w:t>政府采购合同</w:t>
      </w:r>
    </w:p>
    <w:p w14:paraId="369332DD">
      <w:pPr>
        <w:spacing w:line="420" w:lineRule="exact"/>
        <w:ind w:firstLine="1807" w:firstLineChars="250"/>
        <w:rPr>
          <w:rFonts w:hint="eastAsia" w:ascii="宋体" w:hAnsi="宋体" w:eastAsia="宋体" w:cs="宋体"/>
          <w:b/>
          <w:bCs/>
          <w:color w:val="auto"/>
          <w:kern w:val="0"/>
          <w:sz w:val="72"/>
          <w:szCs w:val="72"/>
          <w:highlight w:val="none"/>
        </w:rPr>
      </w:pPr>
    </w:p>
    <w:p w14:paraId="3D205243">
      <w:pPr>
        <w:spacing w:line="420" w:lineRule="exact"/>
        <w:ind w:firstLine="1807" w:firstLineChars="250"/>
        <w:rPr>
          <w:rFonts w:hint="eastAsia" w:ascii="宋体" w:hAnsi="宋体" w:eastAsia="宋体" w:cs="宋体"/>
          <w:b/>
          <w:bCs/>
          <w:color w:val="auto"/>
          <w:kern w:val="0"/>
          <w:sz w:val="72"/>
          <w:szCs w:val="72"/>
          <w:highlight w:val="none"/>
        </w:rPr>
      </w:pPr>
    </w:p>
    <w:p w14:paraId="2CC2930F">
      <w:pPr>
        <w:autoSpaceDE w:val="0"/>
        <w:autoSpaceDN w:val="0"/>
        <w:adjustRightInd w:val="0"/>
        <w:spacing w:line="480" w:lineRule="exact"/>
        <w:ind w:firstLine="2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第一部分 合同书</w:t>
      </w:r>
    </w:p>
    <w:p w14:paraId="491EFD18">
      <w:pPr>
        <w:widowControl/>
        <w:spacing w:before="120" w:after="160" w:line="22" w:lineRule="atLeast"/>
        <w:rPr>
          <w:rFonts w:hint="eastAsia" w:ascii="宋体" w:hAnsi="宋体" w:eastAsia="宋体" w:cs="宋体"/>
          <w:bCs/>
          <w:color w:val="auto"/>
          <w:kern w:val="0"/>
          <w:sz w:val="24"/>
          <w:szCs w:val="24"/>
          <w:highlight w:val="none"/>
        </w:rPr>
      </w:pPr>
    </w:p>
    <w:p w14:paraId="5E47828B">
      <w:pPr>
        <w:widowControl/>
        <w:spacing w:before="120" w:after="160" w:line="22" w:lineRule="atLeast"/>
        <w:jc w:val="center"/>
        <w:rPr>
          <w:rFonts w:hint="eastAsia" w:ascii="宋体" w:hAnsi="宋体" w:eastAsia="宋体" w:cs="宋体"/>
          <w:b/>
          <w:bCs/>
          <w:color w:val="auto"/>
          <w:kern w:val="0"/>
          <w:sz w:val="36"/>
          <w:szCs w:val="36"/>
          <w:highlight w:val="none"/>
          <w:u w:val="single"/>
          <w:lang w:eastAsia="zh-CN"/>
        </w:rPr>
      </w:pPr>
      <w:r>
        <w:rPr>
          <w:rFonts w:hint="eastAsia" w:ascii="宋体" w:hAnsi="宋体" w:eastAsia="宋体" w:cs="宋体"/>
          <w:b/>
          <w:bCs/>
          <w:color w:val="auto"/>
          <w:spacing w:val="-6"/>
          <w:kern w:val="0"/>
          <w:sz w:val="36"/>
          <w:szCs w:val="36"/>
          <w:highlight w:val="none"/>
        </w:rPr>
        <w:t>项目名称：</w:t>
      </w:r>
      <w:r>
        <w:rPr>
          <w:rFonts w:hint="eastAsia" w:ascii="宋体" w:hAnsi="宋体" w:eastAsia="宋体" w:cs="宋体"/>
          <w:color w:val="auto"/>
          <w:spacing w:val="-6"/>
          <w:sz w:val="36"/>
          <w:szCs w:val="36"/>
          <w:highlight w:val="none"/>
          <w:u w:val="single"/>
          <w:lang w:eastAsia="zh-CN"/>
        </w:rPr>
        <w:t>常熟市第二人民医院（台山路院区）能源站运维服务</w:t>
      </w:r>
    </w:p>
    <w:p w14:paraId="771F2313">
      <w:pPr>
        <w:widowControl/>
        <w:spacing w:before="120" w:after="160" w:line="22" w:lineRule="atLeast"/>
        <w:ind w:firstLine="1807" w:firstLineChars="500"/>
        <w:rPr>
          <w:rFonts w:hint="eastAsia" w:ascii="宋体" w:hAnsi="宋体" w:eastAsia="宋体" w:cs="宋体"/>
          <w:b/>
          <w:bCs/>
          <w:color w:val="auto"/>
          <w:kern w:val="0"/>
          <w:sz w:val="36"/>
          <w:szCs w:val="36"/>
          <w:highlight w:val="none"/>
          <w:lang w:eastAsia="zh-CN"/>
        </w:rPr>
      </w:pPr>
      <w:r>
        <w:rPr>
          <w:rFonts w:hint="eastAsia" w:ascii="宋体" w:hAnsi="宋体" w:eastAsia="宋体" w:cs="宋体"/>
          <w:b/>
          <w:bCs/>
          <w:color w:val="auto"/>
          <w:kern w:val="0"/>
          <w:sz w:val="36"/>
          <w:szCs w:val="36"/>
          <w:highlight w:val="none"/>
        </w:rPr>
        <w:t>项目编号：</w:t>
      </w:r>
      <w:r>
        <w:rPr>
          <w:rFonts w:hint="eastAsia" w:ascii="宋体" w:hAnsi="宋体" w:eastAsia="宋体" w:cs="宋体"/>
          <w:color w:val="auto"/>
          <w:sz w:val="36"/>
          <w:szCs w:val="36"/>
          <w:highlight w:val="none"/>
          <w:u w:val="single"/>
          <w:lang w:eastAsia="zh-CN"/>
        </w:rPr>
        <w:t>JSZC-320581-SZDS-G2026-0004</w:t>
      </w:r>
    </w:p>
    <w:p w14:paraId="4F16CBFB">
      <w:pPr>
        <w:spacing w:line="420" w:lineRule="exact"/>
        <w:ind w:firstLine="1807" w:firstLineChars="250"/>
        <w:rPr>
          <w:rFonts w:hint="eastAsia" w:ascii="宋体" w:hAnsi="宋体" w:eastAsia="宋体" w:cs="宋体"/>
          <w:b/>
          <w:bCs/>
          <w:color w:val="auto"/>
          <w:kern w:val="0"/>
          <w:sz w:val="72"/>
          <w:szCs w:val="72"/>
          <w:highlight w:val="none"/>
        </w:rPr>
      </w:pPr>
    </w:p>
    <w:p w14:paraId="7B8449F4">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甲方（采  购  人）：</w:t>
      </w:r>
      <w:r>
        <w:rPr>
          <w:rFonts w:hint="eastAsia" w:ascii="宋体" w:hAnsi="宋体" w:eastAsia="宋体" w:cs="宋体"/>
          <w:bCs/>
          <w:color w:val="auto"/>
          <w:sz w:val="24"/>
          <w:szCs w:val="24"/>
          <w:highlight w:val="none"/>
          <w:u w:val="single"/>
        </w:rPr>
        <w:t xml:space="preserve">                                   </w:t>
      </w:r>
    </w:p>
    <w:p w14:paraId="70A72BB8">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  标  人）：</w:t>
      </w:r>
      <w:r>
        <w:rPr>
          <w:rFonts w:hint="eastAsia" w:ascii="宋体" w:hAnsi="宋体" w:eastAsia="宋体" w:cs="宋体"/>
          <w:bCs/>
          <w:color w:val="auto"/>
          <w:sz w:val="24"/>
          <w:szCs w:val="24"/>
          <w:highlight w:val="none"/>
          <w:u w:val="single"/>
        </w:rPr>
        <w:t xml:space="preserve">                                   </w:t>
      </w:r>
    </w:p>
    <w:p w14:paraId="4B68AEF0">
      <w:pPr>
        <w:spacing w:before="120" w:line="22" w:lineRule="atLeast"/>
        <w:ind w:left="960" w:firstLine="840" w:firstLineChars="3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信用融资回款账户：</w:t>
      </w:r>
      <w:r>
        <w:rPr>
          <w:rFonts w:hint="eastAsia" w:ascii="宋体" w:hAnsi="宋体" w:eastAsia="宋体" w:cs="宋体"/>
          <w:bCs/>
          <w:color w:val="auto"/>
          <w:sz w:val="24"/>
          <w:szCs w:val="24"/>
          <w:highlight w:val="none"/>
          <w:u w:val="single"/>
        </w:rPr>
        <w:t xml:space="preserve">                                   </w:t>
      </w:r>
    </w:p>
    <w:p w14:paraId="0879CEC1">
      <w:pPr>
        <w:spacing w:before="120" w:line="22" w:lineRule="atLeast"/>
        <w:ind w:left="96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w:t>
      </w:r>
      <w:r>
        <w:rPr>
          <w:rFonts w:hint="eastAsia" w:ascii="宋体" w:hAnsi="宋体" w:eastAsia="宋体" w:cs="宋体"/>
          <w:bCs/>
          <w:color w:val="auto"/>
          <w:sz w:val="24"/>
          <w:szCs w:val="24"/>
          <w:highlight w:val="none"/>
          <w:u w:val="single"/>
        </w:rPr>
        <w:t xml:space="preserve">                                   </w:t>
      </w:r>
    </w:p>
    <w:p w14:paraId="03C1C32C">
      <w:pPr>
        <w:spacing w:before="120" w:line="22" w:lineRule="atLeast"/>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签 订 地：</w:t>
      </w:r>
      <w:r>
        <w:rPr>
          <w:rFonts w:hint="eastAsia" w:ascii="宋体" w:hAnsi="宋体" w:eastAsia="宋体" w:cs="宋体"/>
          <w:bCs/>
          <w:color w:val="auto"/>
          <w:sz w:val="24"/>
          <w:szCs w:val="24"/>
          <w:highlight w:val="none"/>
          <w:u w:val="single"/>
        </w:rPr>
        <w:t xml:space="preserve">            常熟市                </w:t>
      </w:r>
    </w:p>
    <w:p w14:paraId="409454FC">
      <w:pPr>
        <w:spacing w:before="120" w:line="22" w:lineRule="atLeast"/>
        <w:ind w:firstLine="1800" w:firstLineChars="75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F525EE7">
      <w:pPr>
        <w:spacing w:line="440" w:lineRule="exact"/>
        <w:ind w:firstLine="480" w:firstLineChars="200"/>
        <w:rPr>
          <w:rFonts w:hint="eastAsia" w:ascii="宋体" w:hAnsi="宋体" w:eastAsia="宋体" w:cs="宋体"/>
          <w:color w:val="auto"/>
          <w:sz w:val="24"/>
          <w:szCs w:val="24"/>
          <w:highlight w:val="none"/>
          <w:u w:val="single"/>
          <w:lang w:val="zh-CN"/>
        </w:rPr>
      </w:pPr>
    </w:p>
    <w:p w14:paraId="7D167B8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br w:type="page"/>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公开招标</w:t>
      </w:r>
      <w:r>
        <w:rPr>
          <w:rFonts w:hint="eastAsia" w:ascii="宋体" w:hAnsi="宋体" w:eastAsia="宋体" w:cs="宋体"/>
          <w:color w:val="auto"/>
          <w:sz w:val="24"/>
          <w:szCs w:val="24"/>
          <w:highlight w:val="none"/>
        </w:rPr>
        <w:t xml:space="preserve"> 对</w:t>
      </w:r>
      <w:r>
        <w:rPr>
          <w:rFonts w:hint="eastAsia" w:ascii="宋体" w:hAnsi="宋体" w:eastAsia="宋体" w:cs="宋体"/>
          <w:color w:val="auto"/>
          <w:sz w:val="24"/>
          <w:szCs w:val="24"/>
          <w:highlight w:val="none"/>
          <w:u w:val="single"/>
        </w:rPr>
        <w:t xml:space="preserve">   （同前页项目名称）   </w:t>
      </w:r>
      <w:r>
        <w:rPr>
          <w:rFonts w:hint="eastAsia" w:ascii="宋体" w:hAnsi="宋体" w:eastAsia="宋体" w:cs="宋体"/>
          <w:color w:val="auto"/>
          <w:sz w:val="24"/>
          <w:szCs w:val="24"/>
          <w:highlight w:val="none"/>
        </w:rPr>
        <w:t>项目进行了采购。经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rPr>
        <w:t>为该项目中标人。现于中标通知书发出之日起三十日内，按照采购文件确定的事项签订本合同。</w:t>
      </w:r>
    </w:p>
    <w:p w14:paraId="0FC072F9">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bookmarkStart w:id="105" w:name="_Hlk63008672"/>
      <w:bookmarkStart w:id="106" w:name="_Hlk63008690"/>
      <w:r>
        <w:rPr>
          <w:rFonts w:hint="eastAsia" w:ascii="宋体" w:hAnsi="宋体" w:eastAsia="宋体" w:cs="宋体"/>
          <w:color w:val="auto"/>
          <w:sz w:val="24"/>
          <w:szCs w:val="24"/>
          <w:highlight w:val="none"/>
        </w:rPr>
        <w:t>根据《中华人民共和国政府采购法》及其实施条例、《中华人民共和国民法典》</w:t>
      </w:r>
      <w:bookmarkEnd w:id="105"/>
      <w:r>
        <w:rPr>
          <w:rFonts w:hint="eastAsia" w:ascii="宋体" w:hAnsi="宋体" w:eastAsia="宋体" w:cs="宋体"/>
          <w:color w:val="auto"/>
          <w:sz w:val="24"/>
          <w:szCs w:val="24"/>
          <w:highlight w:val="none"/>
        </w:rPr>
        <w:t>等法律法规的规定</w:t>
      </w:r>
      <w:bookmarkEnd w:id="106"/>
      <w:r>
        <w:rPr>
          <w:rFonts w:hint="eastAsia" w:ascii="宋体" w:hAnsi="宋体" w:eastAsia="宋体" w:cs="宋体"/>
          <w:color w:val="auto"/>
          <w:sz w:val="24"/>
          <w:szCs w:val="24"/>
          <w:highlight w:val="none"/>
          <w:lang w:val="zh-CN"/>
        </w:rPr>
        <w:t>，按照平等、自愿、公平和诚实信用的原则，经</w:t>
      </w:r>
      <w:r>
        <w:rPr>
          <w:rFonts w:hint="eastAsia" w:ascii="宋体" w:hAnsi="宋体" w:eastAsia="宋体" w:cs="宋体"/>
          <w:color w:val="auto"/>
          <w:sz w:val="24"/>
          <w:szCs w:val="24"/>
          <w:highlight w:val="none"/>
          <w:u w:val="single"/>
          <w:lang w:eastAsia="zh-CN"/>
        </w:rPr>
        <w:t>常熟市第二人民医院</w:t>
      </w:r>
      <w:r>
        <w:rPr>
          <w:rFonts w:hint="eastAsia" w:ascii="宋体" w:hAnsi="宋体" w:eastAsia="宋体" w:cs="宋体"/>
          <w:color w:val="auto"/>
          <w:sz w:val="24"/>
          <w:szCs w:val="24"/>
          <w:highlight w:val="none"/>
          <w:lang w:val="zh-CN"/>
        </w:rPr>
        <w:t>(以下简称：甲方)和</w:t>
      </w:r>
      <w:r>
        <w:rPr>
          <w:rFonts w:hint="eastAsia" w:ascii="宋体" w:hAnsi="宋体" w:eastAsia="宋体" w:cs="宋体"/>
          <w:color w:val="auto"/>
          <w:sz w:val="24"/>
          <w:szCs w:val="24"/>
          <w:highlight w:val="none"/>
          <w:u w:val="single"/>
        </w:rPr>
        <w:t xml:space="preserve">   （中标人名称）   </w:t>
      </w:r>
      <w:r>
        <w:rPr>
          <w:rFonts w:hint="eastAsia" w:ascii="宋体" w:hAnsi="宋体" w:eastAsia="宋体" w:cs="宋体"/>
          <w:color w:val="auto"/>
          <w:sz w:val="24"/>
          <w:szCs w:val="24"/>
          <w:highlight w:val="none"/>
          <w:lang w:val="zh-CN"/>
        </w:rPr>
        <w:t>(以下简称：乙方)协商一致，约定以下合同</w:t>
      </w:r>
      <w:r>
        <w:rPr>
          <w:rFonts w:hint="eastAsia" w:ascii="宋体" w:hAnsi="宋体" w:eastAsia="宋体" w:cs="宋体"/>
          <w:color w:val="auto"/>
          <w:sz w:val="24"/>
          <w:szCs w:val="24"/>
          <w:highlight w:val="none"/>
        </w:rPr>
        <w:t>条款，以兹共同遵守、全面履行。</w:t>
      </w:r>
    </w:p>
    <w:p w14:paraId="319D68B1">
      <w:pPr>
        <w:keepNext w:val="0"/>
        <w:keepLines w:val="0"/>
        <w:pageBreakBefore w:val="0"/>
        <w:kinsoku/>
        <w:wordWrap/>
        <w:overflowPunct/>
        <w:topLinePunct w:val="0"/>
        <w:bidi w:val="0"/>
        <w:snapToGrid/>
        <w:spacing w:line="460" w:lineRule="exact"/>
        <w:rPr>
          <w:rFonts w:hint="eastAsia" w:ascii="宋体" w:hAnsi="宋体" w:eastAsia="宋体" w:cs="宋体"/>
          <w:color w:val="auto"/>
          <w:sz w:val="24"/>
          <w:szCs w:val="24"/>
          <w:highlight w:val="none"/>
        </w:rPr>
      </w:pPr>
      <w:bookmarkStart w:id="107" w:name="_Toc20421"/>
      <w:bookmarkStart w:id="108" w:name="_Toc19273"/>
      <w:bookmarkStart w:id="109" w:name="_Toc22967"/>
      <w:bookmarkStart w:id="110" w:name="_Toc15367"/>
      <w:bookmarkStart w:id="111" w:name="_Toc28855"/>
      <w:r>
        <w:rPr>
          <w:rFonts w:hint="eastAsia" w:ascii="宋体" w:hAnsi="宋体" w:eastAsia="宋体" w:cs="宋体"/>
          <w:b/>
          <w:color w:val="auto"/>
          <w:sz w:val="24"/>
          <w:szCs w:val="24"/>
          <w:highlight w:val="none"/>
        </w:rPr>
        <w:t>1.1 合同组成部分</w:t>
      </w:r>
      <w:bookmarkEnd w:id="107"/>
      <w:bookmarkEnd w:id="108"/>
      <w:bookmarkEnd w:id="109"/>
      <w:bookmarkEnd w:id="110"/>
      <w:bookmarkEnd w:id="111"/>
    </w:p>
    <w:p w14:paraId="13F66D5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340EE1A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本合同及其补充合同、变更协议。</w:t>
      </w:r>
    </w:p>
    <w:p w14:paraId="54C8AAB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中标通知书。</w:t>
      </w:r>
    </w:p>
    <w:p w14:paraId="12121E3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投标文件（含澄清或者说明文件）。</w:t>
      </w:r>
    </w:p>
    <w:p w14:paraId="2FD08B93">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招标文件（含澄清或者修改文件）。</w:t>
      </w:r>
    </w:p>
    <w:p w14:paraId="714C0EF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其他相关采购文件。</w:t>
      </w:r>
    </w:p>
    <w:p w14:paraId="2DAA67FF">
      <w:pPr>
        <w:keepNext w:val="0"/>
        <w:keepLines w:val="0"/>
        <w:pageBreakBefore w:val="0"/>
        <w:kinsoku/>
        <w:wordWrap/>
        <w:overflowPunct/>
        <w:topLinePunct w:val="0"/>
        <w:bidi w:val="0"/>
        <w:snapToGrid/>
        <w:spacing w:line="460" w:lineRule="exact"/>
        <w:rPr>
          <w:rFonts w:hint="eastAsia" w:ascii="宋体" w:hAnsi="宋体" w:eastAsia="宋体" w:cs="宋体"/>
          <w:b/>
          <w:color w:val="auto"/>
          <w:sz w:val="24"/>
          <w:szCs w:val="24"/>
          <w:highlight w:val="none"/>
        </w:rPr>
      </w:pPr>
      <w:bookmarkStart w:id="112" w:name="_Toc6773"/>
      <w:bookmarkStart w:id="113" w:name="_Toc22185"/>
      <w:bookmarkStart w:id="114" w:name="_Toc18585"/>
      <w:bookmarkStart w:id="115" w:name="_Toc2918"/>
      <w:bookmarkStart w:id="116" w:name="_Toc6311"/>
      <w:r>
        <w:rPr>
          <w:rFonts w:hint="eastAsia" w:ascii="宋体" w:hAnsi="宋体" w:eastAsia="宋体" w:cs="宋体"/>
          <w:b/>
          <w:color w:val="auto"/>
          <w:sz w:val="24"/>
          <w:szCs w:val="24"/>
          <w:highlight w:val="none"/>
        </w:rPr>
        <w:t>1.2 标的</w:t>
      </w:r>
      <w:bookmarkEnd w:id="112"/>
      <w:bookmarkEnd w:id="113"/>
      <w:bookmarkEnd w:id="114"/>
      <w:bookmarkEnd w:id="115"/>
      <w:bookmarkEnd w:id="116"/>
    </w:p>
    <w:p w14:paraId="6814747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1.2.1 标的名称：</w:t>
      </w:r>
      <w:r>
        <w:rPr>
          <w:rFonts w:hint="eastAsia" w:ascii="宋体" w:hAnsi="宋体" w:eastAsia="宋体" w:cs="宋体"/>
          <w:color w:val="auto"/>
          <w:sz w:val="24"/>
          <w:szCs w:val="24"/>
          <w:highlight w:val="none"/>
          <w:u w:val="single"/>
          <w:lang w:eastAsia="zh-CN"/>
        </w:rPr>
        <w:t>常熟市第二人民医院（台山路院区）能源站运维服务</w:t>
      </w:r>
      <w:r>
        <w:rPr>
          <w:rFonts w:hint="eastAsia" w:ascii="宋体" w:hAnsi="宋体" w:eastAsia="宋体" w:cs="宋体"/>
          <w:color w:val="auto"/>
          <w:sz w:val="24"/>
          <w:szCs w:val="24"/>
          <w:highlight w:val="none"/>
          <w:u w:val="single"/>
        </w:rPr>
        <w:t>。</w:t>
      </w:r>
    </w:p>
    <w:p w14:paraId="72AC408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标的数量：</w:t>
      </w:r>
      <w:r>
        <w:rPr>
          <w:rFonts w:hint="eastAsia" w:ascii="宋体" w:hAnsi="宋体" w:eastAsia="宋体" w:cs="宋体"/>
          <w:color w:val="auto"/>
          <w:sz w:val="24"/>
          <w:szCs w:val="24"/>
          <w:highlight w:val="none"/>
          <w:u w:val="single"/>
        </w:rPr>
        <w:t>1项。</w:t>
      </w:r>
    </w:p>
    <w:p w14:paraId="06279E0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1.2.3 标的内容：</w:t>
      </w:r>
      <w:r>
        <w:rPr>
          <w:rFonts w:hint="eastAsia" w:ascii="宋体" w:hAnsi="宋体" w:eastAsia="宋体" w:cs="宋体"/>
          <w:color w:val="auto"/>
          <w:sz w:val="24"/>
          <w:szCs w:val="24"/>
          <w:highlight w:val="none"/>
          <w:u w:val="single"/>
        </w:rPr>
        <w:t xml:space="preserve">          。</w:t>
      </w:r>
    </w:p>
    <w:p w14:paraId="76F5E9BA">
      <w:pPr>
        <w:keepNext w:val="0"/>
        <w:keepLines w:val="0"/>
        <w:pageBreakBefore w:val="0"/>
        <w:widowControl w:val="0"/>
        <w:kinsoku/>
        <w:wordWrap/>
        <w:overflowPunct/>
        <w:topLinePunct w:val="0"/>
        <w:bidi w:val="0"/>
        <w:snapToGrid/>
        <w:spacing w:line="460" w:lineRule="exact"/>
        <w:rPr>
          <w:rFonts w:hint="eastAsia" w:ascii="宋体" w:hAnsi="宋体" w:eastAsia="宋体" w:cs="宋体"/>
          <w:b/>
          <w:color w:val="auto"/>
          <w:sz w:val="24"/>
          <w:szCs w:val="24"/>
          <w:highlight w:val="none"/>
        </w:rPr>
      </w:pPr>
      <w:bookmarkStart w:id="117" w:name="_Toc1386"/>
      <w:bookmarkStart w:id="118" w:name="_Toc13918"/>
      <w:bookmarkStart w:id="119" w:name="_Toc21124"/>
      <w:bookmarkStart w:id="120" w:name="_Toc4929"/>
      <w:bookmarkStart w:id="121" w:name="_Toc5635"/>
      <w:r>
        <w:rPr>
          <w:rFonts w:hint="eastAsia" w:ascii="宋体" w:hAnsi="宋体" w:eastAsia="宋体" w:cs="宋体"/>
          <w:b/>
          <w:color w:val="auto"/>
          <w:sz w:val="24"/>
          <w:szCs w:val="24"/>
          <w:highlight w:val="none"/>
        </w:rPr>
        <w:t>1.3 价款</w:t>
      </w:r>
      <w:bookmarkEnd w:id="117"/>
      <w:bookmarkEnd w:id="118"/>
      <w:bookmarkEnd w:id="119"/>
      <w:bookmarkEnd w:id="120"/>
      <w:bookmarkEnd w:id="121"/>
    </w:p>
    <w:p w14:paraId="49F1C21A">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22" w:name="_Toc14993"/>
      <w:bookmarkStart w:id="123" w:name="_Toc30158"/>
      <w:bookmarkStart w:id="124" w:name="_Toc26916"/>
      <w:bookmarkStart w:id="125" w:name="_Toc30506"/>
      <w:bookmarkStart w:id="126" w:name="_Toc3654"/>
      <w:r>
        <w:rPr>
          <w:rFonts w:hint="eastAsia" w:ascii="宋体" w:hAnsi="宋体" w:eastAsia="宋体" w:cs="宋体"/>
          <w:bCs/>
          <w:color w:val="auto"/>
          <w:kern w:val="0"/>
          <w:sz w:val="24"/>
          <w:szCs w:val="24"/>
          <w:highlight w:val="none"/>
        </w:rPr>
        <w:t>本合同总价为：￥</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元（大写：人民币</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元）。</w:t>
      </w:r>
    </w:p>
    <w:p w14:paraId="798318DB">
      <w:pPr>
        <w:keepNext w:val="0"/>
        <w:keepLines w:val="0"/>
        <w:pageBreakBefore w:val="0"/>
        <w:widowControl w:val="0"/>
        <w:kinsoku/>
        <w:wordWrap/>
        <w:overflowPunct/>
        <w:topLinePunct w:val="0"/>
        <w:bidi w:val="0"/>
        <w:snapToGrid/>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1.4 付款方式、开票方式</w:t>
      </w:r>
      <w:bookmarkEnd w:id="122"/>
      <w:bookmarkEnd w:id="123"/>
      <w:bookmarkEnd w:id="124"/>
      <w:bookmarkEnd w:id="125"/>
      <w:bookmarkEnd w:id="126"/>
    </w:p>
    <w:p w14:paraId="2E7EB098">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本合同项下所有款项均以人民币支付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以总价合同方式结算</w:t>
      </w:r>
      <w:r>
        <w:rPr>
          <w:rFonts w:hint="eastAsia" w:ascii="宋体" w:hAnsi="宋体" w:eastAsia="宋体" w:cs="宋体"/>
          <w:color w:val="auto"/>
          <w:sz w:val="24"/>
          <w:szCs w:val="24"/>
          <w:highlight w:val="none"/>
        </w:rPr>
        <w:t>。</w:t>
      </w:r>
    </w:p>
    <w:p w14:paraId="1B5B2EBD">
      <w:pPr>
        <w:keepNext w:val="0"/>
        <w:keepLines w:val="0"/>
        <w:pageBreakBefore w:val="0"/>
        <w:widowControl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付款方式：</w:t>
      </w:r>
    </w:p>
    <w:p w14:paraId="0988F48E">
      <w:pPr>
        <w:autoSpaceDE w:val="0"/>
        <w:autoSpaceDN w:val="0"/>
        <w:adjustRightInd w:val="0"/>
        <w:spacing w:line="440" w:lineRule="exact"/>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第一年：</w:t>
      </w:r>
    </w:p>
    <w:p w14:paraId="6D188640">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合同签订后的30个自然日内，</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支付年度服务费（合同总价）的10%作为预付款</w:t>
      </w:r>
      <w:r>
        <w:rPr>
          <w:rFonts w:hint="eastAsia" w:ascii="宋体" w:hAnsi="宋体" w:eastAsia="宋体" w:cs="宋体"/>
          <w:color w:val="auto"/>
          <w:sz w:val="24"/>
          <w:szCs w:val="24"/>
          <w:highlight w:val="none"/>
          <w:lang w:val="zh-CN"/>
        </w:rPr>
        <w:t>。</w:t>
      </w:r>
    </w:p>
    <w:p w14:paraId="22B9955F">
      <w:pPr>
        <w:autoSpaceDE w:val="0"/>
        <w:autoSpaceDN w:val="0"/>
        <w:adjustRightInd w:val="0"/>
        <w:spacing w:line="44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服务费用按季考核按季按绩结算</w:t>
      </w:r>
      <w:r>
        <w:rPr>
          <w:rFonts w:hint="eastAsia" w:ascii="宋体" w:hAnsi="宋体" w:eastAsia="宋体" w:cs="宋体"/>
          <w:color w:val="auto"/>
          <w:kern w:val="0"/>
          <w:sz w:val="24"/>
          <w:szCs w:val="24"/>
          <w:highlight w:val="none"/>
          <w:lang w:eastAsia="zh-CN"/>
        </w:rPr>
        <w:t>。</w:t>
      </w:r>
    </w:p>
    <w:p w14:paraId="3D24FFE4">
      <w:pPr>
        <w:autoSpaceDE w:val="0"/>
        <w:autoSpaceDN w:val="0"/>
        <w:adjustRightInd w:val="0"/>
        <w:spacing w:line="44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③服务期开始之日起每个季度之后的30个自然日内，</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向</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支付上个季度的服务费（季度服务费按剩余年度服务费/4计算），季度考核扣款从季度服务费中扣除</w:t>
      </w:r>
      <w:r>
        <w:rPr>
          <w:rFonts w:hint="eastAsia" w:ascii="宋体" w:hAnsi="宋体" w:eastAsia="宋体" w:cs="宋体"/>
          <w:b w:val="0"/>
          <w:bCs/>
          <w:kern w:val="0"/>
          <w:sz w:val="24"/>
          <w:highlight w:val="none"/>
        </w:rPr>
        <w:t>。</w:t>
      </w:r>
      <w:r>
        <w:rPr>
          <w:rFonts w:hint="eastAsia" w:ascii="宋体" w:hAnsi="宋体" w:eastAsia="宋体" w:cs="宋体"/>
          <w:b w:val="0"/>
          <w:bCs/>
          <w:color w:val="auto"/>
          <w:sz w:val="24"/>
          <w:szCs w:val="24"/>
          <w:highlight w:val="none"/>
          <w:lang w:val="en-US" w:eastAsia="zh-CN"/>
        </w:rPr>
        <w:t>（具体考核细则详见附件16 季度考核评分表）</w:t>
      </w:r>
      <w:r>
        <w:rPr>
          <w:rFonts w:hint="eastAsia" w:ascii="宋体" w:hAnsi="宋体" w:eastAsia="宋体" w:cs="宋体"/>
          <w:b w:val="0"/>
          <w:bCs/>
          <w:kern w:val="0"/>
          <w:sz w:val="24"/>
          <w:highlight w:val="none"/>
          <w:lang w:val="en-US" w:eastAsia="zh-CN"/>
        </w:rPr>
        <w:t>季度</w:t>
      </w:r>
      <w:r>
        <w:rPr>
          <w:rFonts w:hint="eastAsia" w:ascii="宋体" w:hAnsi="宋体" w:eastAsia="宋体" w:cs="宋体"/>
          <w:b w:val="0"/>
          <w:bCs/>
          <w:kern w:val="0"/>
          <w:sz w:val="24"/>
          <w:highlight w:val="none"/>
          <w:lang w:eastAsia="zh-CN"/>
        </w:rPr>
        <w:t>考核评分</w:t>
      </w:r>
      <w:r>
        <w:rPr>
          <w:rFonts w:hint="eastAsia" w:ascii="宋体" w:hAnsi="宋体" w:eastAsia="宋体" w:cs="宋体"/>
          <w:b w:val="0"/>
          <w:bCs/>
          <w:kern w:val="0"/>
          <w:sz w:val="24"/>
          <w:highlight w:val="none"/>
          <w:lang w:val="en-US" w:eastAsia="zh-CN"/>
        </w:rPr>
        <w:t>在90分以上（含）的不扣款；季度</w:t>
      </w:r>
      <w:r>
        <w:rPr>
          <w:rFonts w:hint="eastAsia" w:ascii="宋体" w:hAnsi="宋体" w:eastAsia="宋体" w:cs="宋体"/>
          <w:b w:val="0"/>
          <w:bCs/>
          <w:color w:val="auto"/>
          <w:sz w:val="24"/>
          <w:szCs w:val="24"/>
          <w:highlight w:val="none"/>
          <w:lang w:val="en-US" w:eastAsia="zh-CN"/>
        </w:rPr>
        <w:t>考核得分在</w:t>
      </w:r>
      <w:r>
        <w:rPr>
          <w:rFonts w:hint="eastAsia" w:ascii="宋体" w:hAnsi="宋体" w:eastAsia="宋体" w:cs="宋体"/>
          <w:b w:val="0"/>
          <w:bCs/>
          <w:kern w:val="0"/>
          <w:sz w:val="24"/>
          <w:highlight w:val="none"/>
          <w:lang w:val="en-US" w:eastAsia="zh-CN"/>
        </w:rPr>
        <w:t>90分以下每扣一分扣500元</w:t>
      </w:r>
      <w:r>
        <w:rPr>
          <w:rFonts w:hint="eastAsia" w:ascii="宋体" w:hAnsi="宋体" w:eastAsia="宋体" w:cs="宋体"/>
          <w:color w:val="auto"/>
          <w:kern w:val="0"/>
          <w:sz w:val="24"/>
          <w:szCs w:val="24"/>
          <w:highlight w:val="none"/>
          <w:lang w:eastAsia="zh-CN"/>
        </w:rPr>
        <w:t>。</w:t>
      </w:r>
    </w:p>
    <w:p w14:paraId="64CF16EF">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第二年：</w:t>
      </w:r>
    </w:p>
    <w:p w14:paraId="68BE85C8">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服务费用按季考核按季按绩结算</w:t>
      </w:r>
      <w:r>
        <w:rPr>
          <w:rFonts w:hint="eastAsia" w:ascii="宋体" w:hAnsi="宋体" w:eastAsia="宋体" w:cs="宋体"/>
          <w:bCs/>
          <w:color w:val="auto"/>
          <w:sz w:val="24"/>
          <w:szCs w:val="24"/>
          <w:highlight w:val="none"/>
          <w:lang w:eastAsia="zh-CN"/>
        </w:rPr>
        <w:t>。</w:t>
      </w:r>
    </w:p>
    <w:p w14:paraId="25B00161">
      <w:pPr>
        <w:autoSpaceDE w:val="0"/>
        <w:autoSpaceDN w:val="0"/>
        <w:adjustRightInd w:val="0"/>
        <w:spacing w:line="44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color w:val="auto"/>
          <w:sz w:val="24"/>
          <w:szCs w:val="24"/>
          <w:highlight w:val="none"/>
          <w:lang w:val="zh-CN"/>
        </w:rPr>
        <w:t>服务期开始之日起每个季度之后的30个自然日内，</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向</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支付上个季度的服务费（季度服务费按剩余年度服务费/4计算），季度考核扣款从季度服务费中扣除</w:t>
      </w:r>
      <w:r>
        <w:rPr>
          <w:rFonts w:hint="eastAsia" w:ascii="宋体" w:hAnsi="宋体" w:eastAsia="宋体" w:cs="宋体"/>
          <w:b w:val="0"/>
          <w:bCs/>
          <w:kern w:val="0"/>
          <w:sz w:val="24"/>
          <w:highlight w:val="none"/>
        </w:rPr>
        <w:t>。</w:t>
      </w:r>
      <w:r>
        <w:rPr>
          <w:rFonts w:hint="eastAsia" w:ascii="宋体" w:hAnsi="宋体" w:eastAsia="宋体" w:cs="宋体"/>
          <w:b w:val="0"/>
          <w:bCs/>
          <w:color w:val="auto"/>
          <w:sz w:val="24"/>
          <w:szCs w:val="24"/>
          <w:highlight w:val="none"/>
          <w:lang w:val="en-US" w:eastAsia="zh-CN"/>
        </w:rPr>
        <w:t>（具体考核细则详见附件16 季度考核评分表）</w:t>
      </w:r>
      <w:r>
        <w:rPr>
          <w:rFonts w:hint="eastAsia" w:ascii="宋体" w:hAnsi="宋体" w:eastAsia="宋体" w:cs="宋体"/>
          <w:b w:val="0"/>
          <w:bCs/>
          <w:kern w:val="0"/>
          <w:sz w:val="24"/>
          <w:highlight w:val="none"/>
          <w:lang w:val="en-US" w:eastAsia="zh-CN"/>
        </w:rPr>
        <w:t>季度</w:t>
      </w:r>
      <w:r>
        <w:rPr>
          <w:rFonts w:hint="eastAsia" w:ascii="宋体" w:hAnsi="宋体" w:eastAsia="宋体" w:cs="宋体"/>
          <w:b w:val="0"/>
          <w:bCs/>
          <w:kern w:val="0"/>
          <w:sz w:val="24"/>
          <w:highlight w:val="none"/>
          <w:lang w:eastAsia="zh-CN"/>
        </w:rPr>
        <w:t>考核评分</w:t>
      </w:r>
      <w:r>
        <w:rPr>
          <w:rFonts w:hint="eastAsia" w:ascii="宋体" w:hAnsi="宋体" w:eastAsia="宋体" w:cs="宋体"/>
          <w:b w:val="0"/>
          <w:bCs/>
          <w:kern w:val="0"/>
          <w:sz w:val="24"/>
          <w:highlight w:val="none"/>
          <w:lang w:val="en-US" w:eastAsia="zh-CN"/>
        </w:rPr>
        <w:t>在90分以上（含）的不扣款；季度</w:t>
      </w:r>
      <w:r>
        <w:rPr>
          <w:rFonts w:hint="eastAsia" w:ascii="宋体" w:hAnsi="宋体" w:eastAsia="宋体" w:cs="宋体"/>
          <w:b w:val="0"/>
          <w:bCs/>
          <w:color w:val="auto"/>
          <w:sz w:val="24"/>
          <w:szCs w:val="24"/>
          <w:highlight w:val="none"/>
          <w:lang w:val="en-US" w:eastAsia="zh-CN"/>
        </w:rPr>
        <w:t>考核得分在</w:t>
      </w:r>
      <w:r>
        <w:rPr>
          <w:rFonts w:hint="eastAsia" w:ascii="宋体" w:hAnsi="宋体" w:eastAsia="宋体" w:cs="宋体"/>
          <w:b w:val="0"/>
          <w:bCs/>
          <w:kern w:val="0"/>
          <w:sz w:val="24"/>
          <w:highlight w:val="none"/>
          <w:lang w:val="en-US" w:eastAsia="zh-CN"/>
        </w:rPr>
        <w:t>90分以下每扣一分扣500元。</w:t>
      </w:r>
    </w:p>
    <w:p w14:paraId="571AA297">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注：（1）签订合同时，</w:t>
      </w:r>
      <w:r>
        <w:rPr>
          <w:rFonts w:hint="eastAsia" w:ascii="宋体" w:hAnsi="宋体" w:eastAsia="宋体" w:cs="宋体"/>
          <w:b/>
          <w:color w:val="auto"/>
          <w:sz w:val="24"/>
          <w:szCs w:val="24"/>
          <w:highlight w:val="none"/>
          <w:lang w:val="en-US" w:eastAsia="zh-CN"/>
        </w:rPr>
        <w:t>乙方</w:t>
      </w:r>
      <w:r>
        <w:rPr>
          <w:rFonts w:hint="eastAsia" w:ascii="宋体" w:hAnsi="宋体" w:eastAsia="宋体" w:cs="宋体"/>
          <w:b/>
          <w:color w:val="auto"/>
          <w:sz w:val="24"/>
          <w:szCs w:val="24"/>
          <w:highlight w:val="none"/>
        </w:rPr>
        <w:t>明确表示</w:t>
      </w:r>
      <w:r>
        <w:rPr>
          <w:rFonts w:hint="eastAsia" w:ascii="宋体" w:hAnsi="宋体" w:eastAsia="宋体" w:cs="宋体"/>
          <w:b/>
          <w:color w:val="auto"/>
          <w:sz w:val="24"/>
          <w:szCs w:val="24"/>
          <w:highlight w:val="none"/>
          <w:lang w:val="en-US" w:eastAsia="zh-CN"/>
        </w:rPr>
        <w:t>第一年付款时</w:t>
      </w:r>
      <w:r>
        <w:rPr>
          <w:rFonts w:hint="eastAsia" w:ascii="宋体" w:hAnsi="宋体" w:eastAsia="宋体" w:cs="宋体"/>
          <w:b/>
          <w:color w:val="auto"/>
          <w:sz w:val="24"/>
          <w:szCs w:val="24"/>
          <w:highlight w:val="none"/>
        </w:rPr>
        <w:t>无需预付款或者主动要求降低预付款比例的，</w:t>
      </w:r>
      <w:r>
        <w:rPr>
          <w:rFonts w:hint="eastAsia" w:ascii="宋体" w:hAnsi="宋体" w:eastAsia="宋体" w:cs="宋体"/>
          <w:b/>
          <w:color w:val="auto"/>
          <w:sz w:val="24"/>
          <w:szCs w:val="24"/>
          <w:highlight w:val="none"/>
          <w:lang w:val="en-US" w:eastAsia="zh-CN"/>
        </w:rPr>
        <w:t>甲方</w:t>
      </w:r>
      <w:r>
        <w:rPr>
          <w:rFonts w:hint="eastAsia" w:ascii="宋体" w:hAnsi="宋体" w:eastAsia="宋体" w:cs="宋体"/>
          <w:b/>
          <w:color w:val="auto"/>
          <w:sz w:val="24"/>
          <w:szCs w:val="24"/>
          <w:highlight w:val="none"/>
        </w:rPr>
        <w:t>可不适用上述</w:t>
      </w:r>
      <w:r>
        <w:rPr>
          <w:rFonts w:hint="eastAsia" w:ascii="宋体" w:hAnsi="宋体" w:eastAsia="宋体" w:cs="宋体"/>
          <w:b/>
          <w:color w:val="auto"/>
          <w:sz w:val="24"/>
          <w:szCs w:val="24"/>
          <w:highlight w:val="none"/>
          <w:lang w:val="en-US" w:eastAsia="zh-CN"/>
        </w:rPr>
        <w:t>第一年付款时</w:t>
      </w:r>
      <w:r>
        <w:rPr>
          <w:rFonts w:hint="eastAsia" w:ascii="宋体" w:hAnsi="宋体" w:eastAsia="宋体" w:cs="宋体"/>
          <w:b/>
          <w:color w:val="auto"/>
          <w:sz w:val="24"/>
          <w:szCs w:val="24"/>
          <w:highlight w:val="none"/>
        </w:rPr>
        <w:t>①规定。</w:t>
      </w:r>
    </w:p>
    <w:p w14:paraId="45F8C6BC">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lang w:val="zh-CN"/>
        </w:rPr>
        <w:t>以上每次付款前，</w:t>
      </w:r>
      <w:r>
        <w:rPr>
          <w:rFonts w:hint="eastAsia" w:ascii="宋体" w:hAnsi="宋体" w:eastAsia="宋体" w:cs="宋体"/>
          <w:b/>
          <w:bCs/>
          <w:color w:val="auto"/>
          <w:sz w:val="24"/>
          <w:szCs w:val="24"/>
          <w:highlight w:val="none"/>
          <w:lang w:val="en-US" w:eastAsia="zh-CN"/>
        </w:rPr>
        <w:t>乙方</w:t>
      </w:r>
      <w:r>
        <w:rPr>
          <w:rFonts w:hint="eastAsia" w:ascii="宋体" w:hAnsi="宋体" w:eastAsia="宋体" w:cs="宋体"/>
          <w:b/>
          <w:bCs/>
          <w:color w:val="auto"/>
          <w:sz w:val="24"/>
          <w:szCs w:val="24"/>
          <w:highlight w:val="none"/>
          <w:lang w:val="zh-CN"/>
        </w:rPr>
        <w:t>均应提供符合</w:t>
      </w:r>
      <w:r>
        <w:rPr>
          <w:rFonts w:hint="eastAsia" w:ascii="宋体" w:hAnsi="宋体" w:eastAsia="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lang w:val="zh-CN"/>
        </w:rPr>
        <w:t>要求的同等金额的合法有效发票。否则，</w:t>
      </w:r>
      <w:r>
        <w:rPr>
          <w:rFonts w:hint="eastAsia" w:ascii="宋体" w:hAnsi="宋体" w:eastAsia="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lang w:val="zh-CN"/>
        </w:rPr>
        <w:t>有权顺延付款时间，且不承担任何违约及/或赔偿责任</w:t>
      </w:r>
      <w:r>
        <w:rPr>
          <w:rFonts w:hint="eastAsia" w:ascii="宋体" w:hAnsi="宋体" w:eastAsia="宋体" w:cs="宋体"/>
          <w:b/>
          <w:color w:val="auto"/>
          <w:sz w:val="24"/>
          <w:szCs w:val="24"/>
          <w:highlight w:val="none"/>
        </w:rPr>
        <w:t>。</w:t>
      </w:r>
    </w:p>
    <w:p w14:paraId="10C0FCF5">
      <w:pPr>
        <w:keepNext w:val="0"/>
        <w:keepLines w:val="0"/>
        <w:pageBreakBefore w:val="0"/>
        <w:kinsoku/>
        <w:wordWrap/>
        <w:overflowPunct/>
        <w:topLinePunct w:val="0"/>
        <w:autoSpaceDE w:val="0"/>
        <w:autoSpaceDN w:val="0"/>
        <w:bidi w:val="0"/>
        <w:adjustRightInd w:val="0"/>
        <w:snapToGrid/>
        <w:spacing w:line="4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（3）本项目支付方式</w:t>
      </w:r>
      <w:r>
        <w:rPr>
          <w:rFonts w:hint="eastAsia" w:ascii="宋体" w:hAnsi="宋体" w:eastAsia="宋体" w:cs="宋体"/>
          <w:b/>
          <w:color w:val="auto"/>
          <w:sz w:val="24"/>
          <w:szCs w:val="24"/>
          <w:highlight w:val="none"/>
          <w:lang w:val="en-US" w:eastAsia="zh-CN"/>
        </w:rPr>
        <w:t>包括但不限于</w:t>
      </w:r>
      <w:r>
        <w:rPr>
          <w:rFonts w:hint="eastAsia" w:ascii="宋体" w:hAnsi="宋体" w:eastAsia="宋体" w:cs="宋体"/>
          <w:b/>
          <w:bCs/>
          <w:color w:val="auto"/>
          <w:sz w:val="24"/>
          <w:szCs w:val="24"/>
          <w:highlight w:val="none"/>
        </w:rPr>
        <w:t>数字人民币、现金、银行汇票、转账支票等。</w:t>
      </w:r>
    </w:p>
    <w:p w14:paraId="5585A1AC">
      <w:pPr>
        <w:keepNext w:val="0"/>
        <w:keepLines w:val="0"/>
        <w:pageBreakBefore w:val="0"/>
        <w:kinsoku/>
        <w:wordWrap/>
        <w:overflowPunct/>
        <w:topLinePunct w:val="0"/>
        <w:autoSpaceDE w:val="0"/>
        <w:autoSpaceDN w:val="0"/>
        <w:bidi w:val="0"/>
        <w:adjustRightInd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发票开具方式：</w:t>
      </w:r>
      <w:r>
        <w:rPr>
          <w:rFonts w:hint="eastAsia" w:ascii="宋体" w:hAnsi="宋体" w:eastAsia="宋体" w:cs="宋体"/>
          <w:b/>
          <w:bCs/>
          <w:color w:val="auto"/>
          <w:sz w:val="24"/>
          <w:szCs w:val="24"/>
          <w:highlight w:val="none"/>
          <w:u w:val="single"/>
        </w:rPr>
        <w:t>增值税专用发票或增值税普通发票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36EE45">
      <w:pPr>
        <w:keepNext w:val="0"/>
        <w:keepLines w:val="0"/>
        <w:pageBreakBefore w:val="0"/>
        <w:kinsoku/>
        <w:wordWrap/>
        <w:overflowPunct/>
        <w:topLinePunct w:val="0"/>
        <w:bidi w:val="0"/>
        <w:snapToGrid/>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 服务期限和地点</w:t>
      </w:r>
    </w:p>
    <w:p w14:paraId="42A4E96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1.5.1 服务期限：</w:t>
      </w:r>
      <w:r>
        <w:rPr>
          <w:rFonts w:hint="eastAsia" w:ascii="宋体" w:hAnsi="宋体" w:eastAsia="宋体" w:cs="宋体"/>
          <w:bCs/>
          <w:color w:val="auto"/>
          <w:kern w:val="0"/>
          <w:sz w:val="24"/>
          <w:szCs w:val="24"/>
          <w:highlight w:val="none"/>
        </w:rPr>
        <w:t>自运行人员进场之日起2年（具体的运行人员进场时间，</w:t>
      </w:r>
      <w:r>
        <w:rPr>
          <w:rFonts w:hint="eastAsia" w:ascii="宋体" w:hAnsi="宋体" w:eastAsia="宋体" w:cs="宋体"/>
          <w:bCs/>
          <w:color w:val="auto"/>
          <w:kern w:val="0"/>
          <w:sz w:val="24"/>
          <w:szCs w:val="24"/>
          <w:highlight w:val="none"/>
          <w:lang w:val="en-US" w:eastAsia="zh-CN"/>
        </w:rPr>
        <w:t>甲方</w:t>
      </w:r>
      <w:r>
        <w:rPr>
          <w:rFonts w:hint="eastAsia" w:ascii="宋体" w:hAnsi="宋体" w:eastAsia="宋体" w:cs="宋体"/>
          <w:bCs/>
          <w:color w:val="auto"/>
          <w:kern w:val="0"/>
          <w:sz w:val="24"/>
          <w:szCs w:val="24"/>
          <w:highlight w:val="none"/>
        </w:rPr>
        <w:t>提前两个月书面通知</w:t>
      </w:r>
      <w:r>
        <w:rPr>
          <w:rFonts w:hint="eastAsia" w:ascii="宋体" w:hAnsi="宋体" w:eastAsia="宋体" w:cs="宋体"/>
          <w:bCs/>
          <w:color w:val="auto"/>
          <w:kern w:val="0"/>
          <w:sz w:val="24"/>
          <w:szCs w:val="24"/>
          <w:highlight w:val="none"/>
          <w:lang w:val="en-US" w:eastAsia="zh-CN"/>
        </w:rPr>
        <w:t>乙方</w:t>
      </w:r>
      <w:r>
        <w:rPr>
          <w:rFonts w:hint="eastAsia" w:ascii="宋体" w:hAnsi="宋体" w:eastAsia="宋体" w:cs="宋体"/>
          <w:bCs/>
          <w:color w:val="auto"/>
          <w:kern w:val="0"/>
          <w:sz w:val="24"/>
          <w:szCs w:val="24"/>
          <w:highlight w:val="none"/>
        </w:rPr>
        <w:t>）。</w:t>
      </w:r>
    </w:p>
    <w:p w14:paraId="379B19F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u w:val="single"/>
          <w:lang w:eastAsia="zh-CN"/>
        </w:rPr>
      </w:pPr>
      <w:r>
        <w:rPr>
          <w:rFonts w:hint="eastAsia" w:ascii="宋体" w:hAnsi="宋体" w:eastAsia="宋体" w:cs="宋体"/>
          <w:color w:val="auto"/>
          <w:sz w:val="24"/>
          <w:szCs w:val="24"/>
          <w:highlight w:val="none"/>
        </w:rPr>
        <w:t xml:space="preserve">1.5.2 </w:t>
      </w:r>
      <w:r>
        <w:rPr>
          <w:rFonts w:hint="eastAsia" w:ascii="宋体" w:hAnsi="宋体" w:eastAsia="宋体" w:cs="宋体"/>
          <w:bCs/>
          <w:color w:val="auto"/>
          <w:kern w:val="0"/>
          <w:sz w:val="24"/>
          <w:szCs w:val="24"/>
          <w:highlight w:val="none"/>
        </w:rPr>
        <w:t>服务地点：常熟市第二人民医院（台山路院区）（常熟市台山路18号）</w:t>
      </w:r>
      <w:bookmarkStart w:id="127" w:name="_Toc8586"/>
      <w:bookmarkStart w:id="128" w:name="_Toc2375"/>
      <w:bookmarkStart w:id="129" w:name="_Toc5698"/>
      <w:bookmarkStart w:id="130" w:name="_Toc3079"/>
      <w:bookmarkStart w:id="131" w:name="_Toc24662"/>
      <w:r>
        <w:rPr>
          <w:rFonts w:hint="eastAsia" w:ascii="宋体" w:hAnsi="宋体" w:eastAsia="宋体" w:cs="宋体"/>
          <w:bCs/>
          <w:color w:val="auto"/>
          <w:kern w:val="0"/>
          <w:sz w:val="24"/>
          <w:szCs w:val="24"/>
          <w:highlight w:val="none"/>
          <w:lang w:eastAsia="zh-CN"/>
        </w:rPr>
        <w:t>。</w:t>
      </w:r>
    </w:p>
    <w:p w14:paraId="40838B67">
      <w:pPr>
        <w:keepNext w:val="0"/>
        <w:keepLines w:val="0"/>
        <w:pageBreakBefore w:val="0"/>
        <w:kinsoku/>
        <w:wordWrap/>
        <w:overflowPunct/>
        <w:topLinePunct w:val="0"/>
        <w:bidi w:val="0"/>
        <w:snapToGrid/>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1.6 双方权利义务：</w:t>
      </w:r>
    </w:p>
    <w:p w14:paraId="0E66F54A">
      <w:pPr>
        <w:keepNext w:val="0"/>
        <w:keepLines w:val="0"/>
        <w:pageBreakBefore w:val="0"/>
        <w:kinsoku/>
        <w:wordWrap/>
        <w:overflowPunct/>
        <w:topLinePunct w:val="0"/>
        <w:bidi w:val="0"/>
        <w:snapToGrid/>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1.6.1甲方权利义务</w:t>
      </w:r>
    </w:p>
    <w:p w14:paraId="2F40F3C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（1）甲方可指派代表作为项目负责人，与乙方进行及时的联络并监督、协调服务的执行情况。</w:t>
      </w:r>
    </w:p>
    <w:p w14:paraId="03A949A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按考核细则对乙方进行考核，甲方有权要求乙方加强对所派遣人员的管理，如乙方所派遣人员不符合甲方要求，甲方有权要求乙方更换人员</w:t>
      </w:r>
      <w:r>
        <w:rPr>
          <w:rFonts w:hint="eastAsia" w:ascii="宋体" w:hAnsi="宋体" w:eastAsia="宋体" w:cs="宋体"/>
          <w:color w:val="auto"/>
          <w:sz w:val="24"/>
          <w:szCs w:val="24"/>
          <w:highlight w:val="none"/>
        </w:rPr>
        <w:t>。</w:t>
      </w:r>
    </w:p>
    <w:p w14:paraId="4C22CB8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按时支付费用</w:t>
      </w:r>
      <w:r>
        <w:rPr>
          <w:rFonts w:hint="eastAsia" w:ascii="宋体" w:hAnsi="宋体" w:eastAsia="宋体" w:cs="宋体"/>
          <w:color w:val="auto"/>
          <w:sz w:val="24"/>
          <w:szCs w:val="24"/>
          <w:highlight w:val="none"/>
          <w:lang w:eastAsia="zh-CN"/>
        </w:rPr>
        <w:t>。</w:t>
      </w:r>
    </w:p>
    <w:p w14:paraId="33B685F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配合乙方协调</w:t>
      </w:r>
      <w:r>
        <w:rPr>
          <w:rFonts w:hint="eastAsia" w:ascii="宋体" w:hAnsi="宋体" w:eastAsia="宋体" w:cs="宋体"/>
          <w:color w:val="auto"/>
          <w:sz w:val="24"/>
          <w:szCs w:val="24"/>
          <w:highlight w:val="none"/>
          <w:lang w:eastAsia="zh-CN"/>
        </w:rPr>
        <w:t>。</w:t>
      </w:r>
    </w:p>
    <w:p w14:paraId="638527C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）法规、政策规定由甲方承担的其他责任。</w:t>
      </w:r>
    </w:p>
    <w:p w14:paraId="0686E6F9">
      <w:pPr>
        <w:keepNext w:val="0"/>
        <w:keepLines w:val="0"/>
        <w:pageBreakBefore w:val="0"/>
        <w:kinsoku/>
        <w:wordWrap/>
        <w:overflowPunct/>
        <w:topLinePunct w:val="0"/>
        <w:bidi w:val="0"/>
        <w:snapToGrid/>
        <w:spacing w:line="4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1.6.2乙方权利义务</w:t>
      </w:r>
    </w:p>
    <w:p w14:paraId="07DB6ED3">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（1）乙方应及时履行合同一般性义务和文件中规定的具体义务。</w:t>
      </w:r>
    </w:p>
    <w:p w14:paraId="0863BE0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（2）乙方将根据本合同的条款和条件提供服务。乙方所提供服务的质量应与招标文件规定及投标文件承诺的内容相一致。</w:t>
      </w:r>
    </w:p>
    <w:p w14:paraId="12314AB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乙方根据考核细则和投标文件所作的承诺自觉开展各项工作。接受甲方和各级管理部门的考核及其结果。</w:t>
      </w:r>
    </w:p>
    <w:p w14:paraId="6CDE0AB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（4）乙方有权按照合同获得合同价款；乙方有权根据服务内容的需要，请求甲方予以配合。</w:t>
      </w:r>
    </w:p>
    <w:p w14:paraId="665A918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（5）乙方负责项目的日常管理工作，并对其负担全部责任。</w:t>
      </w:r>
    </w:p>
    <w:p w14:paraId="66CB731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（6）乙方应独立承担服务中由乙方原因引起的各类责任（安全责任、用工责任和经济责任等）。</w:t>
      </w:r>
    </w:p>
    <w:p w14:paraId="724F457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lang w:val="zh-CN" w:eastAsia="zh-CN"/>
        </w:rPr>
        <w:t>乙方根据甲方要求，在规定的时间内安排相应人员进行服务，并负责维护、管理工作环境。乙方派出的</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lang w:val="zh-CN" w:eastAsia="zh-CN"/>
        </w:rPr>
        <w:t>人员应服从甲方的统一调度和指挥，若不服从甲方的指挥或有其他违法违纪行为，甲方有权要求乙方更换人员，乙方应于接到甲方的更换要求之日起两日内完成，不得借口推辞</w:t>
      </w:r>
      <w:r>
        <w:rPr>
          <w:rFonts w:hint="eastAsia" w:ascii="宋体" w:hAnsi="宋体" w:eastAsia="宋体" w:cs="宋体"/>
          <w:color w:val="auto"/>
          <w:sz w:val="24"/>
          <w:szCs w:val="24"/>
          <w:highlight w:val="none"/>
          <w:lang w:eastAsia="zh-CN"/>
        </w:rPr>
        <w:t>。</w:t>
      </w:r>
    </w:p>
    <w:p w14:paraId="09A6507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zh-CN" w:eastAsia="zh-CN"/>
        </w:rPr>
        <w:t>）乙方应安排身体健康、品性良好的</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lang w:val="zh-CN" w:eastAsia="zh-CN"/>
        </w:rPr>
        <w:t>人员到甲方上岗，做到着装整洁、仪表端庄、礼貌服务，遵守国家法律和单位内部规章制度，不得迟到、早退、脱岗、串岗，不得有违法乱纪的行为。</w:t>
      </w:r>
    </w:p>
    <w:p w14:paraId="36D5FB27">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zh-CN" w:eastAsia="zh-CN"/>
        </w:rPr>
        <w:t>）乙方应保证在岗</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lang w:val="zh-CN" w:eastAsia="zh-CN"/>
        </w:rPr>
        <w:t>人员的人数，</w:t>
      </w:r>
      <w:r>
        <w:rPr>
          <w:rFonts w:hint="eastAsia" w:ascii="宋体" w:hAnsi="宋体" w:eastAsia="宋体" w:cs="宋体"/>
          <w:color w:val="auto"/>
          <w:sz w:val="24"/>
          <w:szCs w:val="24"/>
          <w:highlight w:val="none"/>
          <w:lang w:eastAsia="zh-CN"/>
        </w:rPr>
        <w:t>工作</w:t>
      </w:r>
      <w:r>
        <w:rPr>
          <w:rFonts w:hint="eastAsia" w:ascii="宋体" w:hAnsi="宋体" w:eastAsia="宋体" w:cs="宋体"/>
          <w:color w:val="auto"/>
          <w:sz w:val="24"/>
          <w:szCs w:val="24"/>
          <w:highlight w:val="none"/>
          <w:lang w:val="zh-CN" w:eastAsia="zh-CN"/>
        </w:rPr>
        <w:t>人员若请假，乙方应及时调整替班人员。</w:t>
      </w:r>
    </w:p>
    <w:p w14:paraId="65274B91">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lang w:val="zh-CN" w:eastAsia="zh-CN"/>
        </w:rPr>
        <w:t>）在本合同期内或合同终止后，未经得甲方同意，不得泄露与本项目有关的保密资料。</w:t>
      </w:r>
    </w:p>
    <w:p w14:paraId="52D9D85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lang w:val="zh-CN" w:eastAsia="zh-CN"/>
        </w:rPr>
        <w:t>）定期组织人员进行培训、学习知识，不断提高人员业务技能。</w:t>
      </w:r>
    </w:p>
    <w:p w14:paraId="32BF515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zh-CN" w:eastAsia="zh-CN"/>
        </w:rPr>
        <w:t>）乙方应根据国家法律法规的规定与其派遣至甲方服务的人员签署合同，并负责上述人员的工资和社会劳动保险、奖金、福利等费用，若发生劳动争议均由乙方自己解决并承担所有责任，甲方无任何连带关系和责任。</w:t>
      </w:r>
    </w:p>
    <w:p w14:paraId="4597A99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（13）服务期限内由于乙方工作人员原因造成设备损坏及人身伤害事故，乙方负全责。</w:t>
      </w:r>
    </w:p>
    <w:p w14:paraId="343FD7D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14</w:t>
      </w:r>
      <w:r>
        <w:rPr>
          <w:rFonts w:hint="eastAsia" w:ascii="宋体" w:hAnsi="宋体" w:eastAsia="宋体" w:cs="宋体"/>
          <w:color w:val="auto"/>
          <w:sz w:val="24"/>
          <w:szCs w:val="24"/>
          <w:highlight w:val="none"/>
          <w:lang w:val="zh-CN" w:eastAsia="zh-CN"/>
        </w:rPr>
        <w:t>）乙方在被授予合同后不得转包，如发现分包或转包，按乙方违约处理，甲方有权解除合同</w:t>
      </w:r>
      <w:r>
        <w:rPr>
          <w:rFonts w:hint="eastAsia" w:ascii="宋体" w:hAnsi="宋体" w:eastAsia="宋体" w:cs="宋体"/>
          <w:color w:val="auto"/>
          <w:sz w:val="24"/>
          <w:szCs w:val="24"/>
          <w:highlight w:val="none"/>
          <w:lang w:eastAsia="zh-CN"/>
        </w:rPr>
        <w:t>。</w:t>
      </w:r>
    </w:p>
    <w:p w14:paraId="6BC0059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（15）法规、政策规定由乙方承担的其他责任。</w:t>
      </w:r>
    </w:p>
    <w:bookmarkEnd w:id="127"/>
    <w:bookmarkEnd w:id="128"/>
    <w:bookmarkEnd w:id="129"/>
    <w:bookmarkEnd w:id="130"/>
    <w:bookmarkEnd w:id="131"/>
    <w:p w14:paraId="033E5C88">
      <w:pPr>
        <w:keepNext w:val="0"/>
        <w:keepLines w:val="0"/>
        <w:pageBreakBefore w:val="0"/>
        <w:kinsoku/>
        <w:wordWrap/>
        <w:overflowPunct/>
        <w:topLinePunct w:val="0"/>
        <w:bidi w:val="0"/>
        <w:snapToGrid/>
        <w:spacing w:line="460" w:lineRule="exact"/>
        <w:rPr>
          <w:rFonts w:hint="eastAsia" w:ascii="宋体" w:hAnsi="宋体" w:eastAsia="宋体" w:cs="宋体"/>
          <w:bCs/>
          <w:color w:val="auto"/>
          <w:kern w:val="0"/>
          <w:sz w:val="24"/>
          <w:szCs w:val="24"/>
          <w:highlight w:val="none"/>
          <w:u w:val="single"/>
        </w:rPr>
      </w:pPr>
      <w:r>
        <w:rPr>
          <w:rFonts w:hint="eastAsia" w:ascii="宋体" w:hAnsi="宋体" w:eastAsia="宋体" w:cs="宋体"/>
          <w:b/>
          <w:bCs/>
          <w:color w:val="auto"/>
          <w:kern w:val="0"/>
          <w:sz w:val="24"/>
          <w:szCs w:val="24"/>
          <w:highlight w:val="none"/>
        </w:rPr>
        <w:t>1.7 违约责任</w:t>
      </w:r>
    </w:p>
    <w:p w14:paraId="05660A3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1.7.1甲方未按合同规定期限向乙方支付合同价款的，每逾期一天向乙方偿付欠款总额 </w:t>
      </w:r>
      <w:r>
        <w:rPr>
          <w:rFonts w:hint="eastAsia" w:ascii="宋体" w:hAnsi="宋体" w:eastAsia="宋体" w:cs="宋体"/>
          <w:bCs/>
          <w:color w:val="auto"/>
          <w:kern w:val="0"/>
          <w:sz w:val="24"/>
          <w:szCs w:val="24"/>
          <w:highlight w:val="none"/>
          <w:u w:val="single"/>
        </w:rPr>
        <w:t xml:space="preserve">0.5 </w:t>
      </w:r>
      <w:r>
        <w:rPr>
          <w:rFonts w:hint="eastAsia" w:ascii="宋体" w:hAnsi="宋体" w:eastAsia="宋体" w:cs="宋体"/>
          <w:bCs/>
          <w:color w:val="auto"/>
          <w:kern w:val="0"/>
          <w:sz w:val="24"/>
          <w:szCs w:val="24"/>
          <w:highlight w:val="none"/>
        </w:rPr>
        <w:t>％的滞纳金，但累计总额不超过欠款总额的</w:t>
      </w:r>
      <w:r>
        <w:rPr>
          <w:rFonts w:hint="eastAsia" w:ascii="宋体" w:hAnsi="宋体" w:eastAsia="宋体" w:cs="宋体"/>
          <w:bCs/>
          <w:color w:val="auto"/>
          <w:kern w:val="0"/>
          <w:sz w:val="24"/>
          <w:szCs w:val="24"/>
          <w:highlight w:val="none"/>
          <w:u w:val="single"/>
        </w:rPr>
        <w:t xml:space="preserve"> 5 </w:t>
      </w:r>
      <w:r>
        <w:rPr>
          <w:rFonts w:hint="eastAsia" w:ascii="宋体" w:hAnsi="宋体" w:eastAsia="宋体" w:cs="宋体"/>
          <w:bCs/>
          <w:color w:val="auto"/>
          <w:kern w:val="0"/>
          <w:sz w:val="24"/>
          <w:szCs w:val="24"/>
          <w:highlight w:val="none"/>
        </w:rPr>
        <w:t>％。</w:t>
      </w:r>
    </w:p>
    <w:p w14:paraId="6C985DA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1.7.2有下列情形之一的，</w:t>
      </w:r>
      <w:r>
        <w:rPr>
          <w:rFonts w:hint="eastAsia" w:ascii="宋体" w:hAnsi="宋体" w:eastAsia="宋体" w:cs="宋体"/>
          <w:color w:val="auto"/>
          <w:sz w:val="24"/>
          <w:szCs w:val="24"/>
          <w:highlight w:val="none"/>
        </w:rPr>
        <w:t>乙方应当向甲方支付合同约定合同价款金额5%的违约金</w:t>
      </w:r>
      <w:r>
        <w:rPr>
          <w:rFonts w:hint="eastAsia" w:ascii="宋体" w:hAnsi="宋体" w:eastAsia="宋体" w:cs="宋体"/>
          <w:bCs/>
          <w:color w:val="auto"/>
          <w:kern w:val="0"/>
          <w:sz w:val="24"/>
          <w:szCs w:val="24"/>
          <w:highlight w:val="none"/>
        </w:rPr>
        <w:t>。</w:t>
      </w:r>
    </w:p>
    <w:p w14:paraId="6D66162B">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1.7.2.1乙方服务团队成员未经甲方同意发生变更，经甲方要求恢复后，未在合理期限内（7日内）恢复的；</w:t>
      </w:r>
    </w:p>
    <w:p w14:paraId="3BA18D5B">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1.7.2.2</w:t>
      </w:r>
      <w:r>
        <w:rPr>
          <w:rFonts w:hint="eastAsia" w:ascii="宋体" w:hAnsi="宋体" w:eastAsia="宋体" w:cs="宋体"/>
          <w:color w:val="auto"/>
          <w:sz w:val="24"/>
          <w:szCs w:val="24"/>
          <w:highlight w:val="none"/>
        </w:rPr>
        <w:t>乙方单位总体服务能力发生下降，专业技术人员减员或资质下降人数达到2人的</w:t>
      </w:r>
      <w:r>
        <w:rPr>
          <w:rFonts w:hint="eastAsia" w:ascii="宋体" w:hAnsi="宋体" w:eastAsia="宋体" w:cs="宋体"/>
          <w:bCs/>
          <w:color w:val="auto"/>
          <w:kern w:val="0"/>
          <w:sz w:val="24"/>
          <w:szCs w:val="24"/>
          <w:highlight w:val="none"/>
        </w:rPr>
        <w:t>；</w:t>
      </w:r>
    </w:p>
    <w:p w14:paraId="21ECE566">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1.7.2.3</w:t>
      </w:r>
      <w:r>
        <w:rPr>
          <w:rFonts w:hint="eastAsia" w:ascii="宋体" w:hAnsi="宋体" w:eastAsia="宋体" w:cs="宋体"/>
          <w:color w:val="auto"/>
          <w:sz w:val="24"/>
          <w:szCs w:val="24"/>
          <w:highlight w:val="none"/>
        </w:rPr>
        <w:t>乙方人员无故未能按约到甲方提供服务，服务期限内达到5人次的</w:t>
      </w:r>
      <w:r>
        <w:rPr>
          <w:rFonts w:hint="eastAsia" w:ascii="宋体" w:hAnsi="宋体" w:eastAsia="宋体" w:cs="宋体"/>
          <w:bCs/>
          <w:color w:val="auto"/>
          <w:kern w:val="0"/>
          <w:sz w:val="24"/>
          <w:szCs w:val="24"/>
          <w:highlight w:val="none"/>
        </w:rPr>
        <w:t>；</w:t>
      </w:r>
    </w:p>
    <w:p w14:paraId="47B1F32C">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1.7.2.4</w:t>
      </w:r>
      <w:r>
        <w:rPr>
          <w:rFonts w:hint="eastAsia" w:ascii="宋体" w:hAnsi="宋体" w:eastAsia="宋体" w:cs="宋体"/>
          <w:color w:val="auto"/>
          <w:sz w:val="24"/>
          <w:szCs w:val="24"/>
          <w:highlight w:val="none"/>
        </w:rPr>
        <w:t>乙方人员不能响应甲方紧急服务需求的</w:t>
      </w:r>
      <w:r>
        <w:rPr>
          <w:rFonts w:hint="eastAsia" w:ascii="宋体" w:hAnsi="宋体" w:eastAsia="宋体" w:cs="宋体"/>
          <w:bCs/>
          <w:color w:val="auto"/>
          <w:kern w:val="0"/>
          <w:sz w:val="24"/>
          <w:szCs w:val="24"/>
          <w:highlight w:val="none"/>
        </w:rPr>
        <w:t>；</w:t>
      </w:r>
    </w:p>
    <w:p w14:paraId="42FA9576">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1.7.2.5</w:t>
      </w:r>
      <w:r>
        <w:rPr>
          <w:rFonts w:hint="eastAsia" w:ascii="宋体" w:hAnsi="宋体" w:eastAsia="宋体" w:cs="宋体"/>
          <w:color w:val="auto"/>
          <w:sz w:val="24"/>
          <w:szCs w:val="24"/>
          <w:highlight w:val="none"/>
        </w:rPr>
        <w:t>因乙方</w:t>
      </w:r>
      <w:r>
        <w:rPr>
          <w:rFonts w:hint="eastAsia" w:ascii="宋体" w:hAnsi="宋体" w:eastAsia="宋体" w:cs="宋体"/>
          <w:color w:val="auto"/>
          <w:sz w:val="24"/>
          <w:highlight w:val="none"/>
        </w:rPr>
        <w:t>工作</w:t>
      </w:r>
      <w:r>
        <w:rPr>
          <w:rFonts w:hint="eastAsia" w:ascii="宋体" w:hAnsi="宋体" w:eastAsia="宋体" w:cs="宋体"/>
          <w:color w:val="auto"/>
          <w:sz w:val="24"/>
          <w:szCs w:val="24"/>
          <w:highlight w:val="none"/>
        </w:rPr>
        <w:t>人员原因在服务期间给甲方造成不良影响的，服务期限内达到2次的</w:t>
      </w:r>
      <w:r>
        <w:rPr>
          <w:rFonts w:hint="eastAsia" w:ascii="宋体" w:hAnsi="宋体" w:eastAsia="宋体" w:cs="宋体"/>
          <w:bCs/>
          <w:color w:val="auto"/>
          <w:kern w:val="0"/>
          <w:sz w:val="24"/>
          <w:szCs w:val="24"/>
          <w:highlight w:val="none"/>
        </w:rPr>
        <w:t>；</w:t>
      </w:r>
    </w:p>
    <w:p w14:paraId="368219CE">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1.7.2.6</w:t>
      </w:r>
      <w:r>
        <w:rPr>
          <w:rFonts w:hint="eastAsia" w:ascii="宋体" w:hAnsi="宋体" w:eastAsia="宋体" w:cs="宋体"/>
          <w:color w:val="auto"/>
          <w:sz w:val="24"/>
          <w:szCs w:val="24"/>
          <w:highlight w:val="none"/>
        </w:rPr>
        <w:t>乙方及其</w:t>
      </w:r>
      <w:r>
        <w:rPr>
          <w:rFonts w:hint="eastAsia" w:ascii="宋体" w:hAnsi="宋体" w:eastAsia="宋体" w:cs="宋体"/>
          <w:color w:val="auto"/>
          <w:sz w:val="24"/>
          <w:highlight w:val="none"/>
        </w:rPr>
        <w:t>工作</w:t>
      </w:r>
      <w:r>
        <w:rPr>
          <w:rFonts w:hint="eastAsia" w:ascii="宋体" w:hAnsi="宋体" w:eastAsia="宋体" w:cs="宋体"/>
          <w:color w:val="auto"/>
          <w:sz w:val="24"/>
          <w:szCs w:val="24"/>
          <w:highlight w:val="none"/>
        </w:rPr>
        <w:t>人员虚报服务内容、服务时间等，骗取甲方服务费用的</w:t>
      </w:r>
      <w:r>
        <w:rPr>
          <w:rFonts w:hint="eastAsia" w:ascii="宋体" w:hAnsi="宋体" w:eastAsia="宋体" w:cs="宋体"/>
          <w:bCs/>
          <w:color w:val="auto"/>
          <w:kern w:val="0"/>
          <w:sz w:val="24"/>
          <w:szCs w:val="24"/>
          <w:highlight w:val="none"/>
        </w:rPr>
        <w:t>。</w:t>
      </w:r>
    </w:p>
    <w:p w14:paraId="31807081">
      <w:pPr>
        <w:keepNext w:val="0"/>
        <w:keepLines w:val="0"/>
        <w:pageBreakBefore w:val="0"/>
        <w:kinsoku/>
        <w:wordWrap/>
        <w:overflowPunct/>
        <w:topLinePunct w:val="0"/>
        <w:bidi w:val="0"/>
        <w:snapToGrid/>
        <w:spacing w:line="460" w:lineRule="exact"/>
        <w:ind w:firstLine="720" w:firstLineChars="3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1.7.2.7</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条  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5%的违约金</w:t>
      </w:r>
      <w:r>
        <w:rPr>
          <w:rFonts w:hint="eastAsia" w:ascii="宋体" w:hAnsi="宋体" w:eastAsia="宋体" w:cs="宋体"/>
          <w:color w:val="auto"/>
          <w:sz w:val="24"/>
          <w:szCs w:val="24"/>
          <w:highlight w:val="none"/>
          <w:lang w:eastAsia="zh-CN"/>
        </w:rPr>
        <w:t>。</w:t>
      </w:r>
    </w:p>
    <w:p w14:paraId="045D222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1.7.3乙方在承担上述1.7.2项中一项或多项违约责任后，仍应继续履行合同规定的义务（甲方解除合同的除外）。甲方未能及时追究乙方的任何一项违约责任并不表明甲方放弃追究乙方该项或其他违约责任。</w:t>
      </w:r>
    </w:p>
    <w:p w14:paraId="2E291047">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32" w:name="_Toc30329"/>
      <w:bookmarkStart w:id="133" w:name="_Toc26807"/>
      <w:bookmarkStart w:id="134" w:name="_Toc9497"/>
      <w:bookmarkStart w:id="135" w:name="_Toc32454"/>
      <w:bookmarkStart w:id="136" w:name="_Toc18683"/>
      <w:r>
        <w:rPr>
          <w:rFonts w:hint="eastAsia" w:ascii="宋体" w:hAnsi="宋体" w:eastAsia="宋体" w:cs="宋体"/>
          <w:b/>
          <w:bCs/>
          <w:color w:val="auto"/>
          <w:kern w:val="0"/>
          <w:sz w:val="24"/>
          <w:szCs w:val="24"/>
          <w:highlight w:val="none"/>
        </w:rPr>
        <w:t>1.8合同的解除</w:t>
      </w:r>
    </w:p>
    <w:p w14:paraId="1E5B9B81">
      <w:pPr>
        <w:keepNext w:val="0"/>
        <w:keepLines w:val="0"/>
        <w:pageBreakBefore w:val="0"/>
        <w:kinsoku/>
        <w:wordWrap/>
        <w:overflowPunct/>
        <w:topLinePunct w:val="0"/>
        <w:bidi w:val="0"/>
        <w:snapToGrid/>
        <w:spacing w:line="460" w:lineRule="exac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出现下列情形之一的，甲方有权解除本合同：</w:t>
      </w:r>
    </w:p>
    <w:p w14:paraId="5E841E71">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1.8.1乙方单位总体服务能力发生下降，专业技术人员减员或资质下降人数达到 30%的；</w:t>
      </w:r>
    </w:p>
    <w:p w14:paraId="39ECC929">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1.8.2乙方人员无故未能按约到甲方提供服务，服务期限内达到 3 人次的；</w:t>
      </w:r>
    </w:p>
    <w:p w14:paraId="64F6B817">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1.8.3乙方人员不能响应甲方紧急服务需求的，经甲方指出后未能改正的；</w:t>
      </w:r>
    </w:p>
    <w:p w14:paraId="73A0BC27">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1.8.4因乙方服务人员原因在服务期间给甲方造成不良影响的，服务期限内达到 2 次的；</w:t>
      </w:r>
    </w:p>
    <w:p w14:paraId="4569E173">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1.8.5乙方及其服务人员虚报服务内容、服务时间等，骗取甲方服务费用的;</w:t>
      </w:r>
    </w:p>
    <w:p w14:paraId="6B4ADAF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1.8.6因乙方不当服务或服务人员违法，给甲方造成严重不良影响的；</w:t>
      </w:r>
    </w:p>
    <w:p w14:paraId="182DF7C1">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1.8.7乙方一年内因生产安全事故受到行政处罚达到3次的，或者因为乙方发生生产安全事故、环境损害事故，给甲方造成重大不良影响的或导致甲方受到行政处罚的。</w:t>
      </w:r>
    </w:p>
    <w:p w14:paraId="506B4D1D">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1.9合同争议的解决</w:t>
      </w:r>
      <w:bookmarkEnd w:id="132"/>
      <w:bookmarkEnd w:id="133"/>
      <w:bookmarkEnd w:id="134"/>
      <w:bookmarkEnd w:id="135"/>
      <w:bookmarkEnd w:id="136"/>
    </w:p>
    <w:p w14:paraId="7D08DFF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bCs/>
          <w:color w:val="auto"/>
          <w:kern w:val="0"/>
          <w:sz w:val="24"/>
          <w:szCs w:val="24"/>
          <w:highlight w:val="none"/>
          <w:u w:val="single"/>
        </w:rPr>
        <w:t>1.9.1</w:t>
      </w:r>
      <w:r>
        <w:rPr>
          <w:rFonts w:hint="eastAsia" w:ascii="宋体" w:hAnsi="宋体" w:eastAsia="宋体" w:cs="宋体"/>
          <w:bCs/>
          <w:color w:val="auto"/>
          <w:kern w:val="0"/>
          <w:sz w:val="24"/>
          <w:szCs w:val="24"/>
          <w:highlight w:val="none"/>
        </w:rPr>
        <w:t>种方式解决：</w:t>
      </w:r>
    </w:p>
    <w:p w14:paraId="3B43BB5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1.9.1向</w:t>
      </w:r>
      <w:r>
        <w:rPr>
          <w:rFonts w:hint="eastAsia" w:ascii="宋体" w:hAnsi="宋体" w:eastAsia="宋体" w:cs="宋体"/>
          <w:bCs/>
          <w:color w:val="auto"/>
          <w:kern w:val="0"/>
          <w:sz w:val="24"/>
          <w:szCs w:val="24"/>
          <w:highlight w:val="none"/>
          <w:u w:val="single"/>
        </w:rPr>
        <w:t>（项目所在地、合同履行地、标的物所在地等）</w:t>
      </w:r>
      <w:r>
        <w:rPr>
          <w:rFonts w:hint="eastAsia" w:ascii="宋体" w:hAnsi="宋体" w:eastAsia="宋体" w:cs="宋体"/>
          <w:bCs/>
          <w:color w:val="auto"/>
          <w:kern w:val="0"/>
          <w:sz w:val="24"/>
          <w:szCs w:val="24"/>
          <w:highlight w:val="none"/>
        </w:rPr>
        <w:t>人民法院起诉。</w:t>
      </w:r>
    </w:p>
    <w:p w14:paraId="0A06DC9B">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37" w:name="_Toc26227"/>
      <w:bookmarkStart w:id="138" w:name="_Toc12273"/>
      <w:bookmarkStart w:id="139" w:name="_Toc15827"/>
      <w:bookmarkStart w:id="140" w:name="_Toc23784"/>
      <w:bookmarkStart w:id="141" w:name="_Toc16417"/>
      <w:r>
        <w:rPr>
          <w:rFonts w:hint="eastAsia" w:ascii="宋体" w:hAnsi="宋体" w:eastAsia="宋体" w:cs="宋体"/>
          <w:b/>
          <w:bCs/>
          <w:color w:val="auto"/>
          <w:kern w:val="0"/>
          <w:sz w:val="24"/>
          <w:szCs w:val="24"/>
          <w:highlight w:val="none"/>
        </w:rPr>
        <w:t>1.10 合同生效</w:t>
      </w:r>
      <w:bookmarkEnd w:id="137"/>
      <w:bookmarkEnd w:id="138"/>
      <w:bookmarkEnd w:id="139"/>
      <w:bookmarkEnd w:id="140"/>
      <w:bookmarkEnd w:id="141"/>
      <w:r>
        <w:rPr>
          <w:rFonts w:hint="eastAsia" w:ascii="宋体" w:hAnsi="宋体" w:eastAsia="宋体" w:cs="宋体"/>
          <w:b/>
          <w:bCs/>
          <w:color w:val="auto"/>
          <w:kern w:val="0"/>
          <w:sz w:val="24"/>
          <w:szCs w:val="24"/>
          <w:highlight w:val="none"/>
        </w:rPr>
        <w:t>及其他</w:t>
      </w:r>
    </w:p>
    <w:p w14:paraId="0C11B2C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1.10.1合同应在甲乙双方代表签字并加盖公章后生效。</w:t>
      </w:r>
    </w:p>
    <w:p w14:paraId="4DB7C00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1.10.2本合同一式五份，以简体中文书写，甲方两份、乙方两份、</w:t>
      </w:r>
      <w:r>
        <w:rPr>
          <w:rFonts w:hint="eastAsia" w:ascii="宋体" w:hAnsi="宋体" w:eastAsia="宋体" w:cs="宋体"/>
          <w:bCs/>
          <w:color w:val="auto"/>
          <w:kern w:val="0"/>
          <w:sz w:val="24"/>
          <w:szCs w:val="24"/>
          <w:highlight w:val="none"/>
          <w:lang w:val="en-US" w:eastAsia="zh-CN"/>
        </w:rPr>
        <w:t>代理机构</w:t>
      </w:r>
      <w:r>
        <w:rPr>
          <w:rFonts w:hint="eastAsia" w:ascii="宋体" w:hAnsi="宋体" w:eastAsia="宋体" w:cs="宋体"/>
          <w:bCs/>
          <w:color w:val="auto"/>
          <w:kern w:val="0"/>
          <w:sz w:val="24"/>
          <w:szCs w:val="24"/>
          <w:highlight w:val="none"/>
        </w:rPr>
        <w:t>一份。</w:t>
      </w:r>
    </w:p>
    <w:p w14:paraId="343B556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1.10.3本合同应按照中华人民共和国的现行法律进行解释。</w:t>
      </w:r>
      <w:bookmarkStart w:id="142" w:name="_Toc331685783"/>
    </w:p>
    <w:p w14:paraId="66C6E67E">
      <w:pPr>
        <w:keepNext w:val="0"/>
        <w:keepLines w:val="0"/>
        <w:pageBreakBefore w:val="0"/>
        <w:kinsoku/>
        <w:wordWrap/>
        <w:overflowPunct/>
        <w:topLinePunct w:val="0"/>
        <w:autoSpaceDE w:val="0"/>
        <w:autoSpaceDN w:val="0"/>
        <w:bidi w:val="0"/>
        <w:adjustRightInd w:val="0"/>
        <w:snapToGrid/>
        <w:spacing w:line="460" w:lineRule="exact"/>
        <w:ind w:firstLine="2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第二部分 合同一般条款</w:t>
      </w:r>
      <w:bookmarkEnd w:id="142"/>
    </w:p>
    <w:p w14:paraId="45438948">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43" w:name="_Toc5228"/>
      <w:bookmarkStart w:id="144" w:name="_Toc19680"/>
      <w:bookmarkStart w:id="145" w:name="_Ref467379225"/>
      <w:bookmarkStart w:id="146" w:name="_Toc279701240"/>
      <w:bookmarkStart w:id="147" w:name="_Ref467378404"/>
      <w:bookmarkStart w:id="148" w:name="_Ref467379109"/>
      <w:bookmarkStart w:id="149" w:name="_Toc487900349"/>
      <w:bookmarkStart w:id="150" w:name="_Ref467379214"/>
      <w:bookmarkStart w:id="151" w:name="_Ref467378499"/>
      <w:bookmarkStart w:id="152" w:name="_Toc14021"/>
      <w:bookmarkStart w:id="153" w:name="_Ref467379101"/>
      <w:bookmarkStart w:id="154" w:name="_Ref467379205"/>
      <w:bookmarkStart w:id="155" w:name="_Ref467378463"/>
      <w:bookmarkStart w:id="156" w:name="_Toc25079"/>
      <w:bookmarkStart w:id="157" w:name="_Toc31297"/>
      <w:bookmarkStart w:id="158" w:name="_Ref467379094"/>
      <w:bookmarkStart w:id="159" w:name="_Ref467379195"/>
      <w:bookmarkStart w:id="160" w:name="_Toc259093669"/>
      <w:r>
        <w:rPr>
          <w:rFonts w:hint="eastAsia" w:ascii="宋体" w:hAnsi="宋体" w:eastAsia="宋体" w:cs="宋体"/>
          <w:b/>
          <w:bCs/>
          <w:color w:val="auto"/>
          <w:kern w:val="0"/>
          <w:sz w:val="24"/>
          <w:szCs w:val="24"/>
          <w:highlight w:val="none"/>
        </w:rPr>
        <w:t>2.1 定义</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B4AA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本合同中的下列词语应按以下内容进行解释：</w:t>
      </w:r>
    </w:p>
    <w:p w14:paraId="68C0B25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2.1.1“合同”系指采购人和中标人签订的载明双方当事人所达成的协议，并包括所有的附件、附录和构成合同的其他文件。</w:t>
      </w:r>
    </w:p>
    <w:p w14:paraId="75D0AF4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2.1.2“合同价”系指根据合同约定，中标人在完全履行合同义务后，采购人应支付给中标人的价格。</w:t>
      </w:r>
    </w:p>
    <w:p w14:paraId="6240609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2.1.3“服务”系指中标人根据合同约定应向采购人履行的除货物和工程以外的其他政府采购对象，包括采购人自身需要的服务和向社会公众提供的公共服务。</w:t>
      </w:r>
    </w:p>
    <w:p w14:paraId="4429C14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61" w:name="_Ref467378840"/>
      <w:r>
        <w:rPr>
          <w:rFonts w:hint="eastAsia" w:ascii="宋体" w:hAnsi="宋体" w:eastAsia="宋体" w:cs="宋体"/>
          <w:bCs/>
          <w:color w:val="auto"/>
          <w:kern w:val="0"/>
          <w:sz w:val="24"/>
          <w:szCs w:val="24"/>
          <w:highlight w:val="none"/>
        </w:rPr>
        <w:t>2.1.4“甲方”系指与中标人签署合同的采购人</w:t>
      </w:r>
      <w:bookmarkEnd w:id="161"/>
      <w:r>
        <w:rPr>
          <w:rFonts w:hint="eastAsia" w:ascii="宋体" w:hAnsi="宋体" w:eastAsia="宋体" w:cs="宋体"/>
          <w:bCs/>
          <w:color w:val="auto"/>
          <w:kern w:val="0"/>
          <w:sz w:val="24"/>
          <w:szCs w:val="24"/>
          <w:highlight w:val="none"/>
        </w:rPr>
        <w:t>；采购人委托采购代理机构代表其与乙方签订合同的，采购人的授权委托书作为合同附件。</w:t>
      </w:r>
    </w:p>
    <w:p w14:paraId="4CC6EF8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62" w:name="_Ref467379400"/>
      <w:r>
        <w:rPr>
          <w:rFonts w:hint="eastAsia" w:ascii="宋体" w:hAnsi="宋体" w:eastAsia="宋体" w:cs="宋体"/>
          <w:bCs/>
          <w:color w:val="auto"/>
          <w:kern w:val="0"/>
          <w:sz w:val="24"/>
          <w:szCs w:val="24"/>
          <w:highlight w:val="none"/>
        </w:rPr>
        <w:t>2.1.5“乙方”系指根据合同约定提供服务的</w:t>
      </w:r>
      <w:bookmarkEnd w:id="162"/>
      <w:r>
        <w:rPr>
          <w:rFonts w:hint="eastAsia" w:ascii="宋体" w:hAnsi="宋体" w:eastAsia="宋体" w:cs="宋体"/>
          <w:bCs/>
          <w:color w:val="auto"/>
          <w:kern w:val="0"/>
          <w:sz w:val="24"/>
          <w:szCs w:val="24"/>
          <w:highlight w:val="none"/>
        </w:rPr>
        <w:t>中标人。</w:t>
      </w:r>
      <w:bookmarkStart w:id="163" w:name="_Ref467379436"/>
    </w:p>
    <w:p w14:paraId="4D67093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2.1.6“现场”系指合同约定提供服务的地点。</w:t>
      </w:r>
      <w:bookmarkEnd w:id="163"/>
    </w:p>
    <w:p w14:paraId="236A4437">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64" w:name="_Toc487900350"/>
      <w:bookmarkStart w:id="165" w:name="_Toc279701241"/>
      <w:bookmarkStart w:id="166" w:name="_Toc259093670"/>
      <w:bookmarkStart w:id="167" w:name="_Toc19539"/>
      <w:bookmarkStart w:id="168" w:name="_Toc3769"/>
      <w:bookmarkStart w:id="169" w:name="_Toc31402"/>
      <w:bookmarkStart w:id="170" w:name="_Toc16752"/>
      <w:bookmarkStart w:id="171" w:name="_Toc23289"/>
      <w:r>
        <w:rPr>
          <w:rFonts w:hint="eastAsia" w:ascii="宋体" w:hAnsi="宋体" w:eastAsia="宋体" w:cs="宋体"/>
          <w:b/>
          <w:bCs/>
          <w:color w:val="auto"/>
          <w:kern w:val="0"/>
          <w:sz w:val="24"/>
          <w:szCs w:val="24"/>
          <w:highlight w:val="none"/>
        </w:rPr>
        <w:t>2.2 技术规范</w:t>
      </w:r>
      <w:bookmarkEnd w:id="164"/>
      <w:bookmarkEnd w:id="165"/>
      <w:bookmarkEnd w:id="166"/>
      <w:bookmarkEnd w:id="167"/>
      <w:bookmarkEnd w:id="168"/>
      <w:bookmarkEnd w:id="169"/>
      <w:bookmarkEnd w:id="170"/>
      <w:bookmarkEnd w:id="171"/>
    </w:p>
    <w:p w14:paraId="4A887F1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6E9C285E">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72" w:name="_Toc27945"/>
      <w:bookmarkStart w:id="173" w:name="_Toc13673"/>
      <w:bookmarkStart w:id="174" w:name="_Toc259093671"/>
      <w:bookmarkStart w:id="175" w:name="_Toc4133"/>
      <w:bookmarkStart w:id="176" w:name="_Toc487900351"/>
      <w:bookmarkStart w:id="177" w:name="_Toc279701242"/>
      <w:bookmarkStart w:id="178" w:name="_Toc12412"/>
      <w:bookmarkStart w:id="179" w:name="_Toc9161"/>
      <w:r>
        <w:rPr>
          <w:rFonts w:hint="eastAsia" w:ascii="宋体" w:hAnsi="宋体" w:eastAsia="宋体" w:cs="宋体"/>
          <w:b/>
          <w:bCs/>
          <w:color w:val="auto"/>
          <w:kern w:val="0"/>
          <w:sz w:val="24"/>
          <w:szCs w:val="24"/>
          <w:highlight w:val="none"/>
        </w:rPr>
        <w:t>2.3 知识产权</w:t>
      </w:r>
      <w:bookmarkEnd w:id="172"/>
      <w:bookmarkEnd w:id="173"/>
      <w:bookmarkEnd w:id="174"/>
      <w:bookmarkEnd w:id="175"/>
      <w:bookmarkEnd w:id="176"/>
      <w:bookmarkEnd w:id="177"/>
      <w:bookmarkEnd w:id="178"/>
      <w:bookmarkEnd w:id="179"/>
    </w:p>
    <w:p w14:paraId="5B50DD5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54A0A7D6">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2.4 履约检查和问题反馈</w:t>
      </w:r>
    </w:p>
    <w:p w14:paraId="5D03306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180" w:name="_Toc186431854"/>
      <w:bookmarkStart w:id="181" w:name="_Toc279701247"/>
      <w:bookmarkStart w:id="182" w:name="_Ref467379793"/>
      <w:bookmarkStart w:id="183" w:name="_Toc487900357"/>
      <w:bookmarkStart w:id="184" w:name="_Ref467379807"/>
      <w:bookmarkStart w:id="185" w:name="_Toc259093676"/>
      <w:r>
        <w:rPr>
          <w:rFonts w:hint="eastAsia" w:ascii="宋体" w:hAnsi="宋体" w:eastAsia="宋体" w:cs="宋体"/>
          <w:bCs/>
          <w:color w:val="auto"/>
          <w:kern w:val="0"/>
          <w:sz w:val="24"/>
          <w:szCs w:val="24"/>
          <w:highlight w:val="none"/>
        </w:rPr>
        <w:t>2.4.1甲方有权在其认为必要时，对乙方是否能够按照合同约定提供服务进行履约检查，以确保乙方所提供的服务能够依约满足甲方之项目需求，但不得因履约检查妨碍乙方的正常工作，乙方应予积极配合。</w:t>
      </w:r>
    </w:p>
    <w:p w14:paraId="65D8E10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2.4.2合同履行期间，甲方有权将履行过程中出现的问题反馈给乙方，双方当事人应以书面形式约定需要完善和改进的内容</w:t>
      </w:r>
      <w:bookmarkEnd w:id="180"/>
      <w:bookmarkStart w:id="186" w:name="_Toc186431855"/>
      <w:r>
        <w:rPr>
          <w:rFonts w:hint="eastAsia" w:ascii="宋体" w:hAnsi="宋体" w:eastAsia="宋体" w:cs="宋体"/>
          <w:bCs/>
          <w:color w:val="auto"/>
          <w:kern w:val="0"/>
          <w:sz w:val="24"/>
          <w:szCs w:val="24"/>
          <w:highlight w:val="none"/>
        </w:rPr>
        <w:t>。</w:t>
      </w:r>
    </w:p>
    <w:bookmarkEnd w:id="181"/>
    <w:bookmarkEnd w:id="182"/>
    <w:bookmarkEnd w:id="183"/>
    <w:bookmarkEnd w:id="184"/>
    <w:bookmarkEnd w:id="185"/>
    <w:bookmarkEnd w:id="186"/>
    <w:p w14:paraId="61B76115">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187" w:name="_Ref467379923"/>
      <w:bookmarkStart w:id="188" w:name="_Ref467379863"/>
      <w:bookmarkStart w:id="189" w:name="_Ref467379852"/>
      <w:bookmarkStart w:id="190" w:name="_Toc279701248"/>
      <w:bookmarkStart w:id="191" w:name="_Toc259093677"/>
      <w:bookmarkStart w:id="192" w:name="_Toc487900358"/>
      <w:bookmarkStart w:id="193" w:name="_Toc30507"/>
      <w:bookmarkStart w:id="194" w:name="_Toc13154"/>
      <w:bookmarkStart w:id="195" w:name="_Toc13467"/>
      <w:bookmarkStart w:id="196" w:name="_Toc16163"/>
      <w:bookmarkStart w:id="197" w:name="_Toc18990"/>
      <w:r>
        <w:rPr>
          <w:rFonts w:hint="eastAsia" w:ascii="宋体" w:hAnsi="宋体" w:eastAsia="宋体" w:cs="宋体"/>
          <w:b/>
          <w:bCs/>
          <w:color w:val="auto"/>
          <w:kern w:val="0"/>
          <w:sz w:val="24"/>
          <w:szCs w:val="24"/>
          <w:highlight w:val="none"/>
        </w:rPr>
        <w:t>2.5 技术资料</w:t>
      </w:r>
      <w:bookmarkEnd w:id="187"/>
      <w:bookmarkEnd w:id="188"/>
      <w:bookmarkEnd w:id="189"/>
      <w:bookmarkEnd w:id="190"/>
      <w:bookmarkEnd w:id="191"/>
      <w:bookmarkEnd w:id="192"/>
      <w:r>
        <w:rPr>
          <w:rFonts w:hint="eastAsia" w:ascii="宋体" w:hAnsi="宋体" w:eastAsia="宋体" w:cs="宋体"/>
          <w:b/>
          <w:bCs/>
          <w:color w:val="auto"/>
          <w:kern w:val="0"/>
          <w:sz w:val="24"/>
          <w:szCs w:val="24"/>
          <w:highlight w:val="none"/>
        </w:rPr>
        <w:t>和保密义务</w:t>
      </w:r>
      <w:bookmarkEnd w:id="193"/>
      <w:bookmarkEnd w:id="194"/>
      <w:bookmarkEnd w:id="195"/>
      <w:bookmarkEnd w:id="196"/>
      <w:bookmarkEnd w:id="197"/>
    </w:p>
    <w:p w14:paraId="2F33A287">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2.5.1乙方有权依据合同约定和项目需要，向甲方了解有关情况，调阅有关资料等，甲方应予积极配合。</w:t>
      </w:r>
    </w:p>
    <w:p w14:paraId="4CE683A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2.5.2乙方有义务妥善保管和保护由甲方提供的前款信息和资料等。</w:t>
      </w:r>
    </w:p>
    <w:p w14:paraId="1213F1A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2.5.3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27675EF">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lang w:val="en-US" w:eastAsia="zh-CN"/>
        </w:rPr>
      </w:pPr>
      <w:bookmarkStart w:id="198" w:name="_Toc19069"/>
      <w:bookmarkStart w:id="199" w:name="_Toc259093681"/>
      <w:bookmarkStart w:id="200" w:name="_Toc279701252"/>
      <w:bookmarkStart w:id="201" w:name="_Toc487900362"/>
      <w:r>
        <w:rPr>
          <w:rFonts w:hint="eastAsia" w:ascii="宋体" w:hAnsi="宋体" w:eastAsia="宋体" w:cs="宋体"/>
          <w:b/>
          <w:bCs/>
          <w:color w:val="auto"/>
          <w:kern w:val="0"/>
          <w:sz w:val="24"/>
          <w:szCs w:val="24"/>
          <w:highlight w:val="none"/>
        </w:rPr>
        <w:t>2.6 质量保证</w:t>
      </w:r>
      <w:bookmarkEnd w:id="198"/>
      <w:r>
        <w:rPr>
          <w:rFonts w:hint="eastAsia" w:ascii="宋体" w:hAnsi="宋体" w:eastAsia="宋体" w:cs="宋体"/>
          <w:b/>
          <w:bCs/>
          <w:color w:val="auto"/>
          <w:kern w:val="0"/>
          <w:sz w:val="24"/>
          <w:szCs w:val="24"/>
          <w:highlight w:val="none"/>
          <w:lang w:val="en-US" w:eastAsia="zh-CN"/>
        </w:rPr>
        <w:t>及验收办法</w:t>
      </w:r>
    </w:p>
    <w:p w14:paraId="496E8F2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2.6.1乙方应建立和完善履行合同的内部质量保证体系，并提供相关内部规章制度给甲方，以便甲方进行监督检查；</w:t>
      </w:r>
    </w:p>
    <w:p w14:paraId="1E31AB1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2.6.2乙方应保证履行合同的人员数量和素质、软件和硬件设备的配置、场地、环境和设施等满足全面履行合同的要求，并应接受甲方的监督检查。</w:t>
      </w:r>
    </w:p>
    <w:p w14:paraId="4DC79DA9">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2.6.3其他</w:t>
      </w:r>
      <w:r>
        <w:rPr>
          <w:rFonts w:hint="eastAsia" w:ascii="宋体" w:hAnsi="宋体" w:eastAsia="宋体" w:cs="宋体"/>
          <w:color w:val="auto"/>
          <w:sz w:val="24"/>
          <w:szCs w:val="24"/>
          <w:highlight w:val="none"/>
        </w:rPr>
        <w:t>各项服务承诺指标及所采取的措施符合“投标文件”要求及投标响应承诺。</w:t>
      </w:r>
    </w:p>
    <w:p w14:paraId="073D8B1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4</w:t>
      </w:r>
      <w:r>
        <w:rPr>
          <w:rFonts w:hint="eastAsia" w:ascii="宋体" w:hAnsi="宋体" w:eastAsia="宋体" w:cs="宋体"/>
          <w:bCs/>
          <w:color w:val="auto"/>
          <w:kern w:val="0"/>
          <w:sz w:val="24"/>
          <w:szCs w:val="24"/>
          <w:highlight w:val="none"/>
        </w:rPr>
        <w:t>甲方依法组织履约验收工作。</w:t>
      </w:r>
    </w:p>
    <w:p w14:paraId="5E85433A">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5</w:t>
      </w:r>
      <w:r>
        <w:rPr>
          <w:rFonts w:hint="eastAsia" w:ascii="宋体" w:hAnsi="宋体" w:eastAsia="宋体" w:cs="宋体"/>
          <w:bCs/>
          <w:color w:val="auto"/>
          <w:kern w:val="0"/>
          <w:sz w:val="24"/>
          <w:szCs w:val="24"/>
          <w:highlight w:val="none"/>
        </w:rPr>
        <w:t>甲方按照采购文件确定的考核细则（详见附件</w:t>
      </w:r>
      <w:r>
        <w:rPr>
          <w:rFonts w:hint="eastAsia" w:ascii="宋体" w:hAnsi="宋体" w:eastAsia="宋体" w:cs="宋体"/>
          <w:bCs/>
          <w:color w:val="auto"/>
          <w:kern w:val="0"/>
          <w:sz w:val="24"/>
          <w:szCs w:val="24"/>
          <w:highlight w:val="none"/>
          <w:lang w:val="en-US" w:eastAsia="zh-CN"/>
        </w:rPr>
        <w:t>16</w:t>
      </w:r>
      <w:r>
        <w:rPr>
          <w:rFonts w:hint="eastAsia" w:ascii="宋体" w:hAnsi="宋体" w:eastAsia="宋体" w:cs="宋体"/>
          <w:bCs/>
          <w:color w:val="auto"/>
          <w:kern w:val="0"/>
          <w:sz w:val="24"/>
          <w:szCs w:val="24"/>
          <w:highlight w:val="none"/>
        </w:rPr>
        <w:t>-考核评分表），综合考核情况和服务效果进行验收。乙方应根据验收方案内容做好相应配合工作。</w:t>
      </w:r>
    </w:p>
    <w:p w14:paraId="5646AC8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对于实际使用人和甲方分离的项目，甲方邀请实际使用人参与验收。</w:t>
      </w:r>
    </w:p>
    <w:p w14:paraId="37F728A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7</w:t>
      </w:r>
      <w:r>
        <w:rPr>
          <w:rFonts w:hint="eastAsia" w:ascii="宋体" w:hAnsi="宋体" w:eastAsia="宋体" w:cs="宋体"/>
          <w:bCs/>
          <w:color w:val="auto"/>
          <w:kern w:val="0"/>
          <w:sz w:val="24"/>
          <w:szCs w:val="24"/>
          <w:highlight w:val="none"/>
        </w:rPr>
        <w:t>如有必要，甲方邀请参加本项目的其他投标人或第三方专业机构及专家参与验收，相关意见将作为验收书的参考资料。</w:t>
      </w:r>
    </w:p>
    <w:p w14:paraId="25CD54A2">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8</w:t>
      </w:r>
      <w:r>
        <w:rPr>
          <w:rFonts w:hint="eastAsia" w:ascii="宋体" w:hAnsi="宋体" w:eastAsia="宋体" w:cs="宋体"/>
          <w:bCs/>
          <w:color w:val="auto"/>
          <w:kern w:val="0"/>
          <w:sz w:val="24"/>
          <w:szCs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p>
    <w:p w14:paraId="04203E9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2.6.</w:t>
      </w:r>
      <w:r>
        <w:rPr>
          <w:rFonts w:hint="eastAsia" w:ascii="宋体" w:hAnsi="宋体" w:eastAsia="宋体" w:cs="宋体"/>
          <w:bCs/>
          <w:color w:val="auto"/>
          <w:kern w:val="0"/>
          <w:sz w:val="24"/>
          <w:szCs w:val="24"/>
          <w:highlight w:val="none"/>
          <w:lang w:val="en-US" w:eastAsia="zh-CN"/>
        </w:rPr>
        <w:t>9</w:t>
      </w:r>
      <w:r>
        <w:rPr>
          <w:rFonts w:hint="eastAsia" w:ascii="宋体" w:hAnsi="宋体" w:eastAsia="宋体" w:cs="宋体"/>
          <w:bCs/>
          <w:color w:val="auto"/>
          <w:kern w:val="0"/>
          <w:sz w:val="24"/>
          <w:szCs w:val="24"/>
          <w:highlight w:val="none"/>
        </w:rPr>
        <w:t>验收合格的项目，甲方根据采购合同的约定及时向乙方支付合同款项、退还履约保证金（如有）。验收不合格的项目，甲方依法及时处理。</w:t>
      </w:r>
    </w:p>
    <w:p w14:paraId="0CBACBEB">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02" w:name="_Toc22267"/>
      <w:r>
        <w:rPr>
          <w:rFonts w:hint="eastAsia" w:ascii="宋体" w:hAnsi="宋体" w:eastAsia="宋体" w:cs="宋体"/>
          <w:b/>
          <w:bCs/>
          <w:color w:val="auto"/>
          <w:kern w:val="0"/>
          <w:sz w:val="24"/>
          <w:szCs w:val="24"/>
          <w:highlight w:val="none"/>
        </w:rPr>
        <w:t>2.7 延迟</w:t>
      </w:r>
      <w:bookmarkEnd w:id="199"/>
      <w:bookmarkEnd w:id="200"/>
      <w:bookmarkEnd w:id="201"/>
      <w:r>
        <w:rPr>
          <w:rFonts w:hint="eastAsia" w:ascii="宋体" w:hAnsi="宋体" w:eastAsia="宋体" w:cs="宋体"/>
          <w:b/>
          <w:bCs/>
          <w:color w:val="auto"/>
          <w:kern w:val="0"/>
          <w:sz w:val="24"/>
          <w:szCs w:val="24"/>
          <w:highlight w:val="none"/>
        </w:rPr>
        <w:t>履行</w:t>
      </w:r>
      <w:bookmarkEnd w:id="202"/>
    </w:p>
    <w:p w14:paraId="3C774B9D">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95F653E">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03" w:name="_Toc10611"/>
      <w:bookmarkStart w:id="204" w:name="_Toc279701254"/>
      <w:bookmarkStart w:id="205" w:name="_Toc487900364"/>
      <w:bookmarkStart w:id="206" w:name="_Ref467378121"/>
      <w:bookmarkStart w:id="207" w:name="_Toc259093683"/>
      <w:r>
        <w:rPr>
          <w:rFonts w:hint="eastAsia" w:ascii="宋体" w:hAnsi="宋体" w:eastAsia="宋体" w:cs="宋体"/>
          <w:b/>
          <w:bCs/>
          <w:color w:val="auto"/>
          <w:kern w:val="0"/>
          <w:sz w:val="24"/>
          <w:szCs w:val="24"/>
          <w:highlight w:val="none"/>
        </w:rPr>
        <w:t>2.8 合同变更</w:t>
      </w:r>
      <w:bookmarkEnd w:id="203"/>
    </w:p>
    <w:p w14:paraId="5A2AE0C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2.8.1双方当事人协商一致，可以签订书面补充合同的形式变更合同，但不得违背采购文件确定的事项，且如果系追加与合同标的相同的服务的，那么所有补充合同的采购金额不得超过原合同价的10%。</w:t>
      </w:r>
    </w:p>
    <w:p w14:paraId="5570BF9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2.8.2合同继续履行将损害国家利益和社会公共利益的，甲方有权变更合同。有过错的一方应当承担赔偿责任，双方当事人都有过错的，各自承担相应的责任。</w:t>
      </w:r>
      <w:bookmarkStart w:id="208" w:name="_Toc259093688"/>
      <w:bookmarkStart w:id="209" w:name="_Toc487900369"/>
      <w:bookmarkStart w:id="210" w:name="_Toc279701259"/>
    </w:p>
    <w:p w14:paraId="4D3DAF30">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11" w:name="_Toc26689"/>
      <w:bookmarkStart w:id="212" w:name="_Toc42"/>
      <w:bookmarkStart w:id="213" w:name="_Toc23368"/>
      <w:bookmarkStart w:id="214" w:name="_Toc10663"/>
      <w:bookmarkStart w:id="215" w:name="_Toc21830"/>
      <w:r>
        <w:rPr>
          <w:rFonts w:hint="eastAsia" w:ascii="宋体" w:hAnsi="宋体" w:eastAsia="宋体" w:cs="宋体"/>
          <w:b/>
          <w:bCs/>
          <w:color w:val="auto"/>
          <w:kern w:val="0"/>
          <w:sz w:val="24"/>
          <w:szCs w:val="24"/>
          <w:highlight w:val="none"/>
        </w:rPr>
        <w:t>2.9 合同转让</w:t>
      </w:r>
      <w:bookmarkEnd w:id="208"/>
      <w:bookmarkEnd w:id="209"/>
      <w:bookmarkEnd w:id="210"/>
      <w:r>
        <w:rPr>
          <w:rFonts w:hint="eastAsia" w:ascii="宋体" w:hAnsi="宋体" w:eastAsia="宋体" w:cs="宋体"/>
          <w:b/>
          <w:bCs/>
          <w:color w:val="auto"/>
          <w:kern w:val="0"/>
          <w:sz w:val="24"/>
          <w:szCs w:val="24"/>
          <w:highlight w:val="none"/>
        </w:rPr>
        <w:t>和分包</w:t>
      </w:r>
      <w:bookmarkEnd w:id="211"/>
      <w:bookmarkEnd w:id="212"/>
      <w:bookmarkEnd w:id="213"/>
      <w:bookmarkEnd w:id="214"/>
      <w:bookmarkEnd w:id="215"/>
    </w:p>
    <w:p w14:paraId="58942ED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216" w:name="_Toc32494"/>
      <w:bookmarkStart w:id="217" w:name="_Toc26633"/>
      <w:bookmarkStart w:id="218" w:name="_Toc25571"/>
      <w:bookmarkStart w:id="219" w:name="_Toc4720"/>
      <w:bookmarkStart w:id="220" w:name="_Toc14371"/>
      <w:r>
        <w:rPr>
          <w:rFonts w:hint="eastAsia" w:ascii="宋体" w:hAnsi="宋体" w:eastAsia="宋体" w:cs="宋体"/>
          <w:bCs/>
          <w:color w:val="auto"/>
          <w:kern w:val="0"/>
          <w:sz w:val="24"/>
          <w:szCs w:val="24"/>
          <w:highlight w:val="none"/>
        </w:rPr>
        <w:t>2.9.1本项目不得以任何形式进行转包及分包。</w:t>
      </w:r>
    </w:p>
    <w:p w14:paraId="22F9A054">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2.10 不可抗力</w:t>
      </w:r>
      <w:bookmarkEnd w:id="216"/>
      <w:bookmarkEnd w:id="217"/>
      <w:bookmarkEnd w:id="218"/>
      <w:bookmarkEnd w:id="219"/>
      <w:bookmarkEnd w:id="220"/>
    </w:p>
    <w:p w14:paraId="3FA6E7A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2.10.1如果任何一方遭遇法律规定的不可抗力，致使合同履行受阻时，履行合同的期限应予延长，延长的期限应相当于不可抗力所影响的时间。</w:t>
      </w:r>
    </w:p>
    <w:p w14:paraId="6AB6A89E">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2.10.2因不可抗力致使不能实现合同目的的，当事人可以解除合同。</w:t>
      </w:r>
    </w:p>
    <w:p w14:paraId="0E60E49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2.10.3因不可抗力致使合同有变更必要的，双方当事人应在</w:t>
      </w:r>
      <w:r>
        <w:rPr>
          <w:rFonts w:hint="eastAsia" w:ascii="宋体" w:hAnsi="宋体" w:eastAsia="宋体" w:cs="宋体"/>
          <w:b/>
          <w:bCs/>
          <w:color w:val="auto"/>
          <w:kern w:val="0"/>
          <w:sz w:val="24"/>
          <w:szCs w:val="24"/>
          <w:highlight w:val="none"/>
          <w:u w:val="single"/>
        </w:rPr>
        <w:t>7个工作日内</w:t>
      </w:r>
      <w:r>
        <w:rPr>
          <w:rFonts w:hint="eastAsia" w:ascii="宋体" w:hAnsi="宋体" w:eastAsia="宋体" w:cs="宋体"/>
          <w:bCs/>
          <w:color w:val="auto"/>
          <w:kern w:val="0"/>
          <w:sz w:val="24"/>
          <w:szCs w:val="24"/>
          <w:highlight w:val="none"/>
        </w:rPr>
        <w:t>以书面形式变更合同。</w:t>
      </w:r>
    </w:p>
    <w:p w14:paraId="673F7CC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2.10.4受不可抗力影响的一方在不可抗力发生后，应在</w:t>
      </w:r>
      <w:r>
        <w:rPr>
          <w:rFonts w:hint="eastAsia" w:ascii="宋体" w:hAnsi="宋体" w:eastAsia="宋体" w:cs="宋体"/>
          <w:b/>
          <w:bCs/>
          <w:color w:val="auto"/>
          <w:kern w:val="0"/>
          <w:sz w:val="24"/>
          <w:szCs w:val="24"/>
          <w:highlight w:val="none"/>
          <w:u w:val="single"/>
        </w:rPr>
        <w:t>7个工作日</w:t>
      </w:r>
      <w:r>
        <w:rPr>
          <w:rFonts w:hint="eastAsia" w:ascii="宋体" w:hAnsi="宋体" w:eastAsia="宋体" w:cs="宋体"/>
          <w:bCs/>
          <w:color w:val="auto"/>
          <w:kern w:val="0"/>
          <w:sz w:val="24"/>
          <w:szCs w:val="24"/>
          <w:highlight w:val="none"/>
        </w:rPr>
        <w:t>内以书面形式通知对方当事人，并在</w:t>
      </w:r>
      <w:r>
        <w:rPr>
          <w:rFonts w:hint="eastAsia" w:ascii="宋体" w:hAnsi="宋体" w:eastAsia="宋体" w:cs="宋体"/>
          <w:b/>
          <w:bCs/>
          <w:color w:val="auto"/>
          <w:kern w:val="0"/>
          <w:sz w:val="24"/>
          <w:szCs w:val="24"/>
          <w:highlight w:val="none"/>
          <w:u w:val="single"/>
        </w:rPr>
        <w:t>7个工作日</w:t>
      </w:r>
      <w:r>
        <w:rPr>
          <w:rFonts w:hint="eastAsia" w:ascii="宋体" w:hAnsi="宋体" w:eastAsia="宋体" w:cs="宋体"/>
          <w:bCs/>
          <w:color w:val="auto"/>
          <w:kern w:val="0"/>
          <w:sz w:val="24"/>
          <w:szCs w:val="24"/>
          <w:highlight w:val="none"/>
        </w:rPr>
        <w:t>内，将有关部门出具的证明文件送达对方当事人。</w:t>
      </w:r>
    </w:p>
    <w:p w14:paraId="283906AA">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21" w:name="_Toc487900365"/>
      <w:bookmarkStart w:id="222" w:name="_Toc259093684"/>
      <w:bookmarkStart w:id="223" w:name="_Toc279701255"/>
      <w:bookmarkStart w:id="224" w:name="_Toc3638"/>
      <w:bookmarkStart w:id="225" w:name="_Toc25783"/>
      <w:bookmarkStart w:id="226" w:name="_Toc23854"/>
      <w:bookmarkStart w:id="227" w:name="_Toc14115"/>
      <w:bookmarkStart w:id="228" w:name="_Toc24465"/>
      <w:r>
        <w:rPr>
          <w:rFonts w:hint="eastAsia" w:ascii="宋体" w:hAnsi="宋体" w:eastAsia="宋体" w:cs="宋体"/>
          <w:b/>
          <w:bCs/>
          <w:color w:val="auto"/>
          <w:kern w:val="0"/>
          <w:sz w:val="24"/>
          <w:szCs w:val="24"/>
          <w:highlight w:val="none"/>
        </w:rPr>
        <w:t>2.11 税费</w:t>
      </w:r>
      <w:bookmarkEnd w:id="221"/>
      <w:bookmarkEnd w:id="222"/>
      <w:bookmarkEnd w:id="223"/>
      <w:bookmarkEnd w:id="224"/>
      <w:bookmarkEnd w:id="225"/>
      <w:bookmarkEnd w:id="226"/>
      <w:bookmarkEnd w:id="227"/>
      <w:bookmarkEnd w:id="228"/>
    </w:p>
    <w:p w14:paraId="5B8F1308">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与合同有关的一切税费，均按照中华人民共和国法律的相关规定缴纳。</w:t>
      </w:r>
    </w:p>
    <w:p w14:paraId="279A06DF">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29" w:name="_Toc7315"/>
      <w:bookmarkStart w:id="230" w:name="_Toc279701258"/>
      <w:bookmarkStart w:id="231" w:name="_Toc14814"/>
      <w:bookmarkStart w:id="232" w:name="_Toc26883"/>
      <w:bookmarkStart w:id="233" w:name="_Toc25525"/>
      <w:bookmarkStart w:id="234" w:name="_Toc259093687"/>
      <w:bookmarkStart w:id="235" w:name="_Toc30105"/>
      <w:bookmarkStart w:id="236" w:name="_Toc487900368"/>
      <w:r>
        <w:rPr>
          <w:rFonts w:hint="eastAsia" w:ascii="宋体" w:hAnsi="宋体" w:eastAsia="宋体" w:cs="宋体"/>
          <w:b/>
          <w:bCs/>
          <w:color w:val="auto"/>
          <w:kern w:val="0"/>
          <w:sz w:val="24"/>
          <w:szCs w:val="24"/>
          <w:highlight w:val="none"/>
        </w:rPr>
        <w:t>2.12 乙方破产</w:t>
      </w:r>
      <w:bookmarkEnd w:id="229"/>
      <w:bookmarkEnd w:id="230"/>
      <w:bookmarkEnd w:id="231"/>
      <w:bookmarkEnd w:id="232"/>
      <w:bookmarkEnd w:id="233"/>
      <w:bookmarkEnd w:id="234"/>
      <w:bookmarkEnd w:id="235"/>
      <w:bookmarkEnd w:id="236"/>
    </w:p>
    <w:p w14:paraId="6A0A4EF4">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0EACBE09">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37" w:name="_Toc1123"/>
      <w:bookmarkStart w:id="238" w:name="_Toc23323"/>
      <w:bookmarkStart w:id="239" w:name="_Toc2016"/>
      <w:r>
        <w:rPr>
          <w:rFonts w:hint="eastAsia" w:ascii="宋体" w:hAnsi="宋体" w:eastAsia="宋体" w:cs="宋体"/>
          <w:b/>
          <w:bCs/>
          <w:color w:val="auto"/>
          <w:kern w:val="0"/>
          <w:sz w:val="24"/>
          <w:szCs w:val="24"/>
          <w:highlight w:val="none"/>
        </w:rPr>
        <w:t>2.13 合同中止、终止</w:t>
      </w:r>
      <w:bookmarkEnd w:id="237"/>
      <w:bookmarkEnd w:id="238"/>
      <w:bookmarkEnd w:id="239"/>
    </w:p>
    <w:p w14:paraId="708EDFAF">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2.13.1双方当事人不得擅自中止或者终止合同。</w:t>
      </w:r>
    </w:p>
    <w:p w14:paraId="3CA2C540">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2.13.2合同继续履行将损害国家利益和社会公共利益的，甲方有权中止或者终止、解除合同。有过错的一方应当承担赔偿责任，双方当事人都有过错的，各自承担相应的责任。</w:t>
      </w:r>
    </w:p>
    <w:bookmarkEnd w:id="204"/>
    <w:bookmarkEnd w:id="205"/>
    <w:bookmarkEnd w:id="206"/>
    <w:bookmarkEnd w:id="207"/>
    <w:p w14:paraId="6A164FC8">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40" w:name="_Toc487900371"/>
      <w:bookmarkStart w:id="241" w:name="_Toc259093690"/>
      <w:bookmarkStart w:id="242" w:name="_Toc279701261"/>
      <w:bookmarkStart w:id="243" w:name="_Toc2308"/>
      <w:bookmarkStart w:id="244" w:name="_Toc9808"/>
      <w:bookmarkStart w:id="245" w:name="_Toc25198"/>
      <w:bookmarkStart w:id="246" w:name="_Toc12666"/>
      <w:bookmarkStart w:id="247" w:name="_Toc31892"/>
      <w:r>
        <w:rPr>
          <w:rFonts w:hint="eastAsia" w:ascii="宋体" w:hAnsi="宋体" w:eastAsia="宋体" w:cs="宋体"/>
          <w:b/>
          <w:bCs/>
          <w:color w:val="auto"/>
          <w:kern w:val="0"/>
          <w:sz w:val="24"/>
          <w:szCs w:val="24"/>
          <w:highlight w:val="none"/>
        </w:rPr>
        <w:t>2.14 通知</w:t>
      </w:r>
      <w:bookmarkEnd w:id="240"/>
      <w:bookmarkEnd w:id="241"/>
      <w:bookmarkEnd w:id="242"/>
      <w:r>
        <w:rPr>
          <w:rFonts w:hint="eastAsia" w:ascii="宋体" w:hAnsi="宋体" w:eastAsia="宋体" w:cs="宋体"/>
          <w:b/>
          <w:bCs/>
          <w:color w:val="auto"/>
          <w:kern w:val="0"/>
          <w:sz w:val="24"/>
          <w:szCs w:val="24"/>
          <w:highlight w:val="none"/>
        </w:rPr>
        <w:t>和送达</w:t>
      </w:r>
      <w:bookmarkEnd w:id="243"/>
      <w:bookmarkEnd w:id="244"/>
      <w:bookmarkEnd w:id="245"/>
      <w:bookmarkEnd w:id="246"/>
      <w:bookmarkEnd w:id="247"/>
    </w:p>
    <w:p w14:paraId="5517A51C">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248" w:name="_Toc29220"/>
      <w:bookmarkStart w:id="249" w:name="_Toc7073"/>
      <w:bookmarkStart w:id="250" w:name="_Toc279701262"/>
      <w:bookmarkStart w:id="251" w:name="_Toc487900372"/>
      <w:bookmarkStart w:id="252" w:name="_Toc259093691"/>
      <w:r>
        <w:rPr>
          <w:rFonts w:hint="eastAsia" w:ascii="宋体" w:hAnsi="宋体" w:eastAsia="宋体" w:cs="宋体"/>
          <w:bCs/>
          <w:color w:val="auto"/>
          <w:kern w:val="0"/>
          <w:sz w:val="24"/>
          <w:szCs w:val="24"/>
          <w:highlight w:val="none"/>
        </w:rPr>
        <w:t>2.14.1任何一方因履行合同而以合同第一部分尾部所列明的</w:t>
      </w:r>
      <w:r>
        <w:rPr>
          <w:rFonts w:hint="eastAsia" w:ascii="宋体" w:hAnsi="宋体" w:eastAsia="宋体" w:cs="宋体"/>
          <w:b/>
          <w:bCs/>
          <w:color w:val="auto"/>
          <w:kern w:val="0"/>
          <w:sz w:val="24"/>
          <w:szCs w:val="24"/>
          <w:highlight w:val="none"/>
          <w:u w:val="single"/>
        </w:rPr>
        <w:t>内容</w:t>
      </w:r>
      <w:r>
        <w:rPr>
          <w:rFonts w:hint="eastAsia" w:ascii="宋体" w:hAnsi="宋体" w:eastAsia="宋体" w:cs="宋体"/>
          <w:bCs/>
          <w:color w:val="auto"/>
          <w:kern w:val="0"/>
          <w:sz w:val="24"/>
          <w:szCs w:val="24"/>
          <w:highlight w:val="none"/>
        </w:rPr>
        <w:t>发出的所有通知、文件、材料，均视为已向对方当事人送达；任何一方变更上述送达方式或者地址的，应于</w:t>
      </w:r>
      <w:r>
        <w:rPr>
          <w:rFonts w:hint="eastAsia" w:ascii="宋体" w:hAnsi="宋体" w:eastAsia="宋体" w:cs="宋体"/>
          <w:b/>
          <w:bCs/>
          <w:color w:val="auto"/>
          <w:kern w:val="0"/>
          <w:sz w:val="24"/>
          <w:szCs w:val="24"/>
          <w:highlight w:val="none"/>
          <w:u w:val="single"/>
        </w:rPr>
        <w:t>5个工作日</w:t>
      </w:r>
      <w:r>
        <w:rPr>
          <w:rFonts w:hint="eastAsia" w:ascii="宋体" w:hAnsi="宋体" w:eastAsia="宋体" w:cs="宋体"/>
          <w:bCs/>
          <w:color w:val="auto"/>
          <w:kern w:val="0"/>
          <w:sz w:val="24"/>
          <w:szCs w:val="24"/>
          <w:highlight w:val="none"/>
        </w:rPr>
        <w:t>内书面通知对方当事人，在对方当事人收到有关变更通知之前，变更前的约定送达方式或者地址仍视为有效。</w:t>
      </w:r>
      <w:bookmarkEnd w:id="248"/>
      <w:bookmarkEnd w:id="249"/>
    </w:p>
    <w:p w14:paraId="2479F0B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bookmarkStart w:id="253" w:name="_Toc18401"/>
      <w:bookmarkStart w:id="254" w:name="_Toc27674"/>
      <w:r>
        <w:rPr>
          <w:rFonts w:hint="eastAsia" w:ascii="宋体" w:hAnsi="宋体" w:eastAsia="宋体" w:cs="宋体"/>
          <w:bCs/>
          <w:color w:val="auto"/>
          <w:kern w:val="0"/>
          <w:sz w:val="24"/>
          <w:szCs w:val="24"/>
          <w:highlight w:val="none"/>
        </w:rPr>
        <w:t>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bookmarkEnd w:id="254"/>
    </w:p>
    <w:bookmarkEnd w:id="250"/>
    <w:bookmarkEnd w:id="251"/>
    <w:bookmarkEnd w:id="252"/>
    <w:p w14:paraId="66885041">
      <w:pPr>
        <w:keepNext w:val="0"/>
        <w:keepLines w:val="0"/>
        <w:pageBreakBefore w:val="0"/>
        <w:kinsoku/>
        <w:wordWrap/>
        <w:overflowPunct/>
        <w:topLinePunct w:val="0"/>
        <w:bidi w:val="0"/>
        <w:snapToGrid/>
        <w:spacing w:line="460" w:lineRule="exact"/>
        <w:rPr>
          <w:rFonts w:hint="eastAsia" w:ascii="宋体" w:hAnsi="宋体" w:eastAsia="宋体" w:cs="宋体"/>
          <w:b/>
          <w:bCs/>
          <w:color w:val="auto"/>
          <w:kern w:val="0"/>
          <w:sz w:val="24"/>
          <w:szCs w:val="24"/>
          <w:highlight w:val="none"/>
        </w:rPr>
      </w:pPr>
      <w:bookmarkStart w:id="255" w:name="_Toc27644"/>
      <w:bookmarkStart w:id="256" w:name="_Toc279701263"/>
      <w:bookmarkStart w:id="257" w:name="_Toc487900373"/>
      <w:bookmarkStart w:id="258" w:name="_Toc28906"/>
      <w:bookmarkStart w:id="259" w:name="_Toc12254"/>
      <w:bookmarkStart w:id="260" w:name="_Toc5063"/>
      <w:bookmarkStart w:id="261" w:name="_Toc259093692"/>
      <w:bookmarkStart w:id="262" w:name="_Toc20808"/>
      <w:r>
        <w:rPr>
          <w:rFonts w:hint="eastAsia" w:ascii="宋体" w:hAnsi="宋体" w:eastAsia="宋体" w:cs="宋体"/>
          <w:b/>
          <w:bCs/>
          <w:color w:val="auto"/>
          <w:kern w:val="0"/>
          <w:sz w:val="24"/>
          <w:szCs w:val="24"/>
          <w:highlight w:val="none"/>
        </w:rPr>
        <w:t>2.15 合同使用的文字和适用的法律</w:t>
      </w:r>
      <w:bookmarkEnd w:id="255"/>
      <w:bookmarkEnd w:id="256"/>
      <w:bookmarkEnd w:id="257"/>
      <w:bookmarkEnd w:id="258"/>
      <w:bookmarkEnd w:id="259"/>
      <w:bookmarkEnd w:id="260"/>
      <w:bookmarkEnd w:id="261"/>
      <w:bookmarkEnd w:id="262"/>
    </w:p>
    <w:p w14:paraId="5C4E9156">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2.15.1合同使用汉语书就、变更和解释。</w:t>
      </w:r>
    </w:p>
    <w:p w14:paraId="5C7A34FB">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2.15.2合同适用中华人民共和国法律。</w:t>
      </w:r>
    </w:p>
    <w:p w14:paraId="2D6298DF">
      <w:pPr>
        <w:keepNext w:val="0"/>
        <w:keepLines w:val="0"/>
        <w:pageBreakBefore w:val="0"/>
        <w:kinsoku/>
        <w:wordWrap/>
        <w:overflowPunct/>
        <w:topLinePunct w:val="0"/>
        <w:bidi w:val="0"/>
        <w:snapToGrid/>
        <w:spacing w:line="460" w:lineRule="exact"/>
        <w:rPr>
          <w:rFonts w:hint="eastAsia" w:ascii="宋体" w:hAnsi="宋体" w:eastAsia="宋体" w:cs="宋体"/>
          <w:bCs/>
          <w:color w:val="auto"/>
          <w:kern w:val="0"/>
          <w:sz w:val="24"/>
          <w:szCs w:val="24"/>
          <w:highlight w:val="none"/>
        </w:rPr>
      </w:pPr>
      <w:bookmarkStart w:id="263" w:name="_Toc487900374"/>
      <w:bookmarkStart w:id="264" w:name="_Toc259093693"/>
      <w:bookmarkStart w:id="265" w:name="_Toc30096"/>
      <w:bookmarkStart w:id="266" w:name="_Toc1492"/>
      <w:bookmarkStart w:id="267" w:name="_Toc22266"/>
      <w:bookmarkStart w:id="268" w:name="_Toc27127"/>
      <w:bookmarkStart w:id="269" w:name="_Toc27403"/>
      <w:bookmarkStart w:id="270" w:name="_Toc279701264"/>
      <w:r>
        <w:rPr>
          <w:rFonts w:hint="eastAsia" w:ascii="宋体" w:hAnsi="宋体" w:eastAsia="宋体" w:cs="宋体"/>
          <w:b/>
          <w:bCs/>
          <w:color w:val="auto"/>
          <w:kern w:val="0"/>
          <w:sz w:val="24"/>
          <w:szCs w:val="24"/>
          <w:highlight w:val="none"/>
        </w:rPr>
        <w:t>2.16 履约保证金</w:t>
      </w:r>
      <w:bookmarkEnd w:id="263"/>
      <w:bookmarkEnd w:id="264"/>
      <w:bookmarkEnd w:id="265"/>
      <w:bookmarkEnd w:id="266"/>
      <w:bookmarkEnd w:id="267"/>
      <w:bookmarkEnd w:id="268"/>
      <w:bookmarkEnd w:id="269"/>
      <w:bookmarkEnd w:id="270"/>
      <w:bookmarkStart w:id="271" w:name="_Toc331685784"/>
    </w:p>
    <w:p w14:paraId="25A8D1C5">
      <w:pPr>
        <w:keepNext w:val="0"/>
        <w:keepLines w:val="0"/>
        <w:pageBreakBefore w:val="0"/>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无</w:t>
      </w:r>
      <w:r>
        <w:rPr>
          <w:rFonts w:hint="eastAsia" w:ascii="宋体" w:hAnsi="宋体" w:eastAsia="宋体" w:cs="宋体"/>
          <w:bCs/>
          <w:color w:val="auto"/>
          <w:kern w:val="0"/>
          <w:sz w:val="24"/>
          <w:szCs w:val="24"/>
          <w:highlight w:val="none"/>
        </w:rPr>
        <w:t>。</w:t>
      </w:r>
    </w:p>
    <w:p w14:paraId="34CD8CAB">
      <w:pPr>
        <w:keepNext w:val="0"/>
        <w:keepLines w:val="0"/>
        <w:pageBreakBefore w:val="0"/>
        <w:kinsoku/>
        <w:wordWrap/>
        <w:overflowPunct/>
        <w:topLinePunct w:val="0"/>
        <w:bidi w:val="0"/>
        <w:snapToGrid/>
        <w:spacing w:line="46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第三部分  合同专用条款</w:t>
      </w:r>
      <w:bookmarkEnd w:id="271"/>
    </w:p>
    <w:p w14:paraId="6E2A0E59">
      <w:pPr>
        <w:keepNext w:val="0"/>
        <w:keepLines w:val="0"/>
        <w:pageBreakBefore w:val="0"/>
        <w:widowControl/>
        <w:kinsoku/>
        <w:wordWrap/>
        <w:overflowPunct/>
        <w:topLinePunct w:val="0"/>
        <w:bidi w:val="0"/>
        <w:snapToGrid/>
        <w:spacing w:line="46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1BEAA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trPr>
        <w:tc>
          <w:tcPr>
            <w:tcW w:w="1162" w:type="dxa"/>
            <w:tcBorders>
              <w:left w:val="single" w:color="auto" w:sz="4" w:space="0"/>
            </w:tcBorders>
            <w:vAlign w:val="center"/>
          </w:tcPr>
          <w:p w14:paraId="59E29FFB">
            <w:pPr>
              <w:widowControl/>
              <w:spacing w:line="48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条款号</w:t>
            </w:r>
          </w:p>
        </w:tc>
        <w:tc>
          <w:tcPr>
            <w:tcW w:w="8505" w:type="dxa"/>
            <w:vAlign w:val="center"/>
          </w:tcPr>
          <w:p w14:paraId="615D620E">
            <w:pPr>
              <w:widowControl/>
              <w:spacing w:line="48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约定内容</w:t>
            </w:r>
          </w:p>
        </w:tc>
      </w:tr>
      <w:tr w14:paraId="3763E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7F3EB2D8">
            <w:pPr>
              <w:widowControl/>
              <w:spacing w:line="480" w:lineRule="exact"/>
              <w:jc w:val="center"/>
              <w:rPr>
                <w:rFonts w:hint="eastAsia" w:ascii="宋体" w:hAnsi="宋体" w:eastAsia="宋体" w:cs="宋体"/>
                <w:bCs/>
                <w:color w:val="auto"/>
                <w:kern w:val="0"/>
                <w:sz w:val="24"/>
                <w:szCs w:val="24"/>
                <w:highlight w:val="none"/>
              </w:rPr>
            </w:pPr>
          </w:p>
        </w:tc>
        <w:tc>
          <w:tcPr>
            <w:tcW w:w="8505" w:type="dxa"/>
            <w:vAlign w:val="center"/>
          </w:tcPr>
          <w:p w14:paraId="3DDFB432">
            <w:pPr>
              <w:widowControl/>
              <w:rPr>
                <w:rFonts w:hint="eastAsia" w:ascii="宋体" w:hAnsi="宋体" w:eastAsia="宋体" w:cs="宋体"/>
                <w:color w:val="auto"/>
                <w:sz w:val="24"/>
                <w:szCs w:val="24"/>
                <w:highlight w:val="none"/>
              </w:rPr>
            </w:pPr>
          </w:p>
        </w:tc>
      </w:tr>
      <w:tr w14:paraId="72A92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6E59D482">
            <w:pPr>
              <w:widowControl/>
              <w:spacing w:line="480" w:lineRule="exact"/>
              <w:jc w:val="center"/>
              <w:rPr>
                <w:rFonts w:hint="eastAsia" w:ascii="宋体" w:hAnsi="宋体" w:eastAsia="宋体" w:cs="宋体"/>
                <w:bCs/>
                <w:color w:val="auto"/>
                <w:kern w:val="0"/>
                <w:sz w:val="24"/>
                <w:szCs w:val="24"/>
                <w:highlight w:val="none"/>
              </w:rPr>
            </w:pPr>
          </w:p>
        </w:tc>
        <w:tc>
          <w:tcPr>
            <w:tcW w:w="8505" w:type="dxa"/>
            <w:vAlign w:val="center"/>
          </w:tcPr>
          <w:p w14:paraId="402BD83D">
            <w:pPr>
              <w:widowControl/>
              <w:spacing w:line="420" w:lineRule="exact"/>
              <w:rPr>
                <w:rFonts w:hint="eastAsia" w:ascii="宋体" w:hAnsi="宋体" w:eastAsia="宋体" w:cs="宋体"/>
                <w:color w:val="auto"/>
                <w:sz w:val="24"/>
                <w:szCs w:val="24"/>
                <w:highlight w:val="none"/>
              </w:rPr>
            </w:pPr>
          </w:p>
        </w:tc>
      </w:tr>
    </w:tbl>
    <w:p w14:paraId="342D944D">
      <w:pPr>
        <w:widowControl/>
        <w:autoSpaceDE w:val="0"/>
        <w:autoSpaceDN w:val="0"/>
        <w:adjustRightInd w:val="0"/>
        <w:spacing w:line="440" w:lineRule="exact"/>
        <w:rPr>
          <w:rFonts w:hint="eastAsia" w:ascii="宋体" w:hAnsi="宋体" w:eastAsia="宋体" w:cs="宋体"/>
          <w:bCs/>
          <w:color w:val="auto"/>
          <w:kern w:val="0"/>
          <w:sz w:val="24"/>
          <w:szCs w:val="24"/>
          <w:highlight w:val="none"/>
        </w:rPr>
      </w:pPr>
    </w:p>
    <w:p w14:paraId="1481F8A2">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甲方（盖章）：                         乙方（盖章）：</w:t>
      </w:r>
    </w:p>
    <w:p w14:paraId="1A7E40A7">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法定代表人（签名）：                   法定代表人（签名）：</w:t>
      </w:r>
    </w:p>
    <w:p w14:paraId="58436EC5">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或委托代理人（签名）：                 或委托代理人（签名）：</w:t>
      </w:r>
    </w:p>
    <w:p w14:paraId="61839E3E">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联系人：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 xml:space="preserve"> 联系人：</w:t>
      </w:r>
    </w:p>
    <w:p w14:paraId="3DB54479">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地址：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地址：</w:t>
      </w:r>
    </w:p>
    <w:p w14:paraId="72316C2D">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电话：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电话：</w:t>
      </w:r>
    </w:p>
    <w:p w14:paraId="0A87F642">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传真：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传真：</w:t>
      </w:r>
    </w:p>
    <w:p w14:paraId="207906D7">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开户银行：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开户银行：</w:t>
      </w:r>
    </w:p>
    <w:p w14:paraId="08DEA7EB">
      <w:pPr>
        <w:widowControl/>
        <w:autoSpaceDE w:val="0"/>
        <w:autoSpaceDN w:val="0"/>
        <w:adjustRightInd w:val="0"/>
        <w:spacing w:line="440" w:lineRule="exact"/>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 xml:space="preserve">银行账号：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银行账号：</w:t>
      </w:r>
    </w:p>
    <w:p w14:paraId="169D175D">
      <w:pPr>
        <w:rPr>
          <w:rFonts w:hint="eastAsia" w:ascii="宋体" w:hAnsi="宋体" w:eastAsia="宋体" w:cs="宋体"/>
          <w:color w:val="auto"/>
          <w:highlight w:val="none"/>
        </w:rPr>
      </w:pPr>
      <w:r>
        <w:rPr>
          <w:rFonts w:hint="eastAsia" w:ascii="宋体" w:hAnsi="宋体" w:eastAsia="宋体" w:cs="宋体"/>
          <w:bCs/>
          <w:color w:val="auto"/>
          <w:kern w:val="0"/>
          <w:sz w:val="24"/>
          <w:szCs w:val="24"/>
          <w:highlight w:val="none"/>
          <w:lang w:val="zh-CN"/>
        </w:rPr>
        <w:t xml:space="preserve">社会统一信用代码:                      </w:t>
      </w: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kern w:val="0"/>
          <w:sz w:val="24"/>
          <w:szCs w:val="24"/>
          <w:highlight w:val="none"/>
          <w:lang w:val="zh-CN"/>
        </w:rPr>
        <w:t>社会统一信用代码：</w:t>
      </w:r>
    </w:p>
    <w:p w14:paraId="2399AC0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22ABBDD">
      <w:pPr>
        <w:pStyle w:val="2"/>
        <w:rPr>
          <w:rFonts w:hint="eastAsia" w:ascii="宋体" w:hAnsi="宋体" w:eastAsia="宋体" w:cs="宋体"/>
          <w:color w:val="auto"/>
          <w:highlight w:val="none"/>
        </w:rPr>
      </w:pPr>
      <w:bookmarkStart w:id="272" w:name="_Toc19659"/>
      <w:r>
        <w:rPr>
          <w:rFonts w:hint="eastAsia" w:ascii="宋体" w:hAnsi="宋体" w:eastAsia="宋体" w:cs="宋体"/>
          <w:color w:val="auto"/>
          <w:highlight w:val="none"/>
        </w:rPr>
        <w:t>第四章 采购需求</w:t>
      </w:r>
      <w:bookmarkEnd w:id="102"/>
      <w:bookmarkEnd w:id="103"/>
      <w:bookmarkEnd w:id="104"/>
      <w:bookmarkEnd w:id="272"/>
    </w:p>
    <w:p w14:paraId="18F0FB28">
      <w:pPr>
        <w:spacing w:line="440" w:lineRule="exact"/>
        <w:rPr>
          <w:rFonts w:hint="eastAsia" w:ascii="宋体" w:hAnsi="宋体" w:eastAsia="宋体" w:cs="宋体"/>
          <w:b/>
          <w:bCs/>
          <w:color w:val="auto"/>
          <w:sz w:val="28"/>
          <w:highlight w:val="none"/>
          <w:lang w:eastAsia="zh-CN"/>
        </w:rPr>
      </w:pPr>
      <w:bookmarkStart w:id="273" w:name="_Toc158691776"/>
      <w:bookmarkStart w:id="274" w:name="_Toc315868060"/>
      <w:bookmarkStart w:id="275" w:name="_Toc315875323"/>
      <w:r>
        <w:rPr>
          <w:rFonts w:hint="eastAsia" w:ascii="宋体" w:hAnsi="宋体" w:eastAsia="宋体" w:cs="宋体"/>
          <w:b/>
          <w:bCs/>
          <w:color w:val="auto"/>
          <w:sz w:val="28"/>
          <w:highlight w:val="none"/>
        </w:rPr>
        <w:t>项目名称：</w:t>
      </w:r>
      <w:r>
        <w:rPr>
          <w:rFonts w:hint="eastAsia" w:ascii="宋体" w:hAnsi="宋体" w:eastAsia="宋体" w:cs="宋体"/>
          <w:b/>
          <w:color w:val="auto"/>
          <w:sz w:val="28"/>
          <w:szCs w:val="28"/>
          <w:highlight w:val="none"/>
          <w:lang w:eastAsia="zh-CN"/>
        </w:rPr>
        <w:t>常熟市第二人民医院（台山路院区）能源站运维服务</w:t>
      </w:r>
    </w:p>
    <w:p w14:paraId="4FA2E314">
      <w:pPr>
        <w:spacing w:line="44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项目编号：</w:t>
      </w:r>
      <w:r>
        <w:rPr>
          <w:rFonts w:hint="eastAsia" w:ascii="宋体" w:hAnsi="宋体" w:eastAsia="宋体" w:cs="宋体"/>
          <w:b/>
          <w:bCs/>
          <w:color w:val="auto"/>
          <w:sz w:val="28"/>
          <w:highlight w:val="none"/>
          <w:lang w:eastAsia="zh-CN"/>
        </w:rPr>
        <w:t>JSZC-320581-SZDS-G2026-0004</w:t>
      </w:r>
    </w:p>
    <w:p w14:paraId="75F10ADC">
      <w:pPr>
        <w:spacing w:line="440" w:lineRule="exact"/>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rPr>
        <w:t>采购人：</w:t>
      </w:r>
      <w:r>
        <w:rPr>
          <w:rFonts w:hint="eastAsia" w:ascii="宋体" w:hAnsi="宋体" w:eastAsia="宋体" w:cs="宋体"/>
          <w:b/>
          <w:bCs/>
          <w:color w:val="auto"/>
          <w:sz w:val="28"/>
          <w:highlight w:val="none"/>
          <w:lang w:eastAsia="zh-CN"/>
        </w:rPr>
        <w:t>常熟市第二人民医院</w:t>
      </w:r>
    </w:p>
    <w:p w14:paraId="58079A4C">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一、项目说明：</w:t>
      </w:r>
    </w:p>
    <w:p w14:paraId="025AF748">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zh-CN"/>
        </w:rPr>
      </w:pPr>
      <w:bookmarkStart w:id="276" w:name="_Toc89524316"/>
      <w:r>
        <w:rPr>
          <w:rFonts w:hint="eastAsia" w:ascii="宋体" w:hAnsi="宋体" w:eastAsia="宋体" w:cs="宋体"/>
          <w:color w:val="auto"/>
          <w:sz w:val="24"/>
          <w:szCs w:val="24"/>
          <w:highlight w:val="none"/>
          <w:lang w:val="zh-CN"/>
        </w:rPr>
        <w:t>1、项目概况：</w:t>
      </w:r>
      <w:r>
        <w:rPr>
          <w:rFonts w:hint="eastAsia" w:ascii="宋体" w:hAnsi="宋体" w:eastAsia="宋体" w:cs="宋体"/>
          <w:color w:val="auto"/>
          <w:sz w:val="24"/>
          <w:szCs w:val="24"/>
          <w:highlight w:val="none"/>
        </w:rPr>
        <w:t>本项目采购内容为</w:t>
      </w:r>
      <w:r>
        <w:rPr>
          <w:rFonts w:hint="eastAsia" w:ascii="宋体" w:hAnsi="宋体" w:eastAsia="宋体" w:cs="宋体"/>
          <w:color w:val="auto"/>
          <w:sz w:val="24"/>
          <w:szCs w:val="24"/>
          <w:highlight w:val="none"/>
          <w:lang w:eastAsia="zh-CN"/>
        </w:rPr>
        <w:t>常熟市第二人民医院</w:t>
      </w:r>
      <w:r>
        <w:rPr>
          <w:rFonts w:hint="eastAsia" w:ascii="宋体" w:hAnsi="宋体" w:eastAsia="宋体" w:cs="宋体"/>
          <w:color w:val="auto"/>
          <w:sz w:val="24"/>
          <w:szCs w:val="24"/>
          <w:highlight w:val="none"/>
        </w:rPr>
        <w:t>所需的</w:t>
      </w:r>
      <w:r>
        <w:rPr>
          <w:rFonts w:hint="eastAsia" w:ascii="宋体" w:hAnsi="宋体" w:eastAsia="宋体" w:cs="宋体"/>
          <w:color w:val="auto"/>
          <w:sz w:val="24"/>
          <w:szCs w:val="24"/>
          <w:highlight w:val="none"/>
          <w:lang w:eastAsia="zh-CN"/>
        </w:rPr>
        <w:t>常熟市第二人民医院（台山路院区）能源站运维服务</w:t>
      </w:r>
      <w:r>
        <w:rPr>
          <w:rFonts w:hint="eastAsia" w:ascii="宋体" w:hAnsi="宋体" w:eastAsia="宋体" w:cs="宋体"/>
          <w:color w:val="auto"/>
          <w:sz w:val="24"/>
          <w:szCs w:val="24"/>
          <w:highlight w:val="none"/>
          <w:lang w:val="zh-CN"/>
        </w:rPr>
        <w:t>。</w:t>
      </w:r>
    </w:p>
    <w:p w14:paraId="63FFB616">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投标人应对项目现场进行踏勘，但费用由投标人自行承担。现场踏勘联系人：陈雪锋，联系电话：0512-52277982。投标人在投标时应充分考虑现场实际情况，采购人不负担因投标人对项目现场情况考虑不周而产生的其他任何费用。</w:t>
      </w:r>
    </w:p>
    <w:p w14:paraId="72E2DA2C">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、服务地点：常熟市第二人民医院（台山路院区）（常熟市台山路18号）。</w:t>
      </w:r>
    </w:p>
    <w:p w14:paraId="4F124E66">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4、服务期限：自运行人员进场之日起2年（具体的运行人员进场时间，采购人提前两个月书面通知中标人）。</w:t>
      </w:r>
    </w:p>
    <w:p w14:paraId="68BFD97D">
      <w:pPr>
        <w:autoSpaceDE w:val="0"/>
        <w:autoSpaceDN w:val="0"/>
        <w:adjustRightInd w:val="0"/>
        <w:spacing w:line="440" w:lineRule="exact"/>
        <w:ind w:firstLine="482" w:firstLineChars="200"/>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、付款方式：</w:t>
      </w:r>
    </w:p>
    <w:p w14:paraId="7EB954A8">
      <w:pPr>
        <w:autoSpaceDE w:val="0"/>
        <w:autoSpaceDN w:val="0"/>
        <w:adjustRightInd w:val="0"/>
        <w:spacing w:line="440" w:lineRule="exact"/>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第一年：</w:t>
      </w:r>
    </w:p>
    <w:p w14:paraId="2A02FC41">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合同签订后的30个自然日内，采购人向中标人支付年度服务费（合同总价）的10%作为预付款</w:t>
      </w:r>
      <w:r>
        <w:rPr>
          <w:rFonts w:hint="eastAsia" w:ascii="宋体" w:hAnsi="宋体" w:eastAsia="宋体" w:cs="宋体"/>
          <w:color w:val="auto"/>
          <w:sz w:val="24"/>
          <w:szCs w:val="24"/>
          <w:highlight w:val="none"/>
          <w:lang w:val="zh-CN"/>
        </w:rPr>
        <w:t>。</w:t>
      </w:r>
    </w:p>
    <w:p w14:paraId="14949A3B">
      <w:pPr>
        <w:autoSpaceDE w:val="0"/>
        <w:autoSpaceDN w:val="0"/>
        <w:adjustRightInd w:val="0"/>
        <w:spacing w:line="440" w:lineRule="exact"/>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服务费用按季考核按季按绩结算</w:t>
      </w:r>
      <w:r>
        <w:rPr>
          <w:rFonts w:hint="eastAsia" w:ascii="宋体" w:hAnsi="宋体" w:eastAsia="宋体" w:cs="宋体"/>
          <w:color w:val="auto"/>
          <w:kern w:val="0"/>
          <w:sz w:val="24"/>
          <w:szCs w:val="24"/>
          <w:highlight w:val="none"/>
          <w:lang w:eastAsia="zh-CN"/>
        </w:rPr>
        <w:t>。</w:t>
      </w:r>
    </w:p>
    <w:p w14:paraId="091E2B09">
      <w:pPr>
        <w:autoSpaceDE w:val="0"/>
        <w:autoSpaceDN w:val="0"/>
        <w:adjustRightInd w:val="0"/>
        <w:spacing w:line="44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③服务期开始之日起每个季度之后的30个自然日内，</w:t>
      </w:r>
      <w:r>
        <w:rPr>
          <w:rFonts w:hint="eastAsia" w:ascii="宋体" w:hAnsi="宋体" w:eastAsia="宋体" w:cs="宋体"/>
          <w:color w:val="auto"/>
          <w:sz w:val="24"/>
          <w:szCs w:val="24"/>
          <w:highlight w:val="none"/>
          <w:lang w:val="zh-CN" w:eastAsia="zh-CN"/>
        </w:rPr>
        <w:t>采购人</w:t>
      </w:r>
      <w:r>
        <w:rPr>
          <w:rFonts w:hint="eastAsia" w:ascii="宋体" w:hAnsi="宋体" w:eastAsia="宋体" w:cs="宋体"/>
          <w:color w:val="auto"/>
          <w:sz w:val="24"/>
          <w:szCs w:val="24"/>
          <w:highlight w:val="none"/>
          <w:lang w:val="zh-CN"/>
        </w:rPr>
        <w:t>向</w:t>
      </w:r>
      <w:r>
        <w:rPr>
          <w:rFonts w:hint="eastAsia" w:ascii="宋体" w:hAnsi="宋体" w:eastAsia="宋体" w:cs="宋体"/>
          <w:color w:val="auto"/>
          <w:sz w:val="24"/>
          <w:szCs w:val="24"/>
          <w:highlight w:val="none"/>
          <w:lang w:val="zh-CN" w:eastAsia="zh-CN"/>
        </w:rPr>
        <w:t>中标人</w:t>
      </w:r>
      <w:r>
        <w:rPr>
          <w:rFonts w:hint="eastAsia" w:ascii="宋体" w:hAnsi="宋体" w:eastAsia="宋体" w:cs="宋体"/>
          <w:color w:val="auto"/>
          <w:sz w:val="24"/>
          <w:szCs w:val="24"/>
          <w:highlight w:val="none"/>
          <w:lang w:val="zh-CN"/>
        </w:rPr>
        <w:t>支付上个季度的服务费（季度服务费按剩余年度服务费/4计算），季度考核扣款从季度服务费中扣除</w:t>
      </w:r>
      <w:r>
        <w:rPr>
          <w:rFonts w:hint="eastAsia" w:ascii="宋体" w:hAnsi="宋体" w:eastAsia="宋体" w:cs="宋体"/>
          <w:b w:val="0"/>
          <w:bCs/>
          <w:kern w:val="0"/>
          <w:sz w:val="24"/>
          <w:highlight w:val="none"/>
        </w:rPr>
        <w:t>。</w:t>
      </w:r>
      <w:r>
        <w:rPr>
          <w:rFonts w:hint="eastAsia" w:ascii="宋体" w:hAnsi="宋体" w:eastAsia="宋体" w:cs="宋体"/>
          <w:b w:val="0"/>
          <w:bCs/>
          <w:color w:val="auto"/>
          <w:sz w:val="24"/>
          <w:szCs w:val="24"/>
          <w:highlight w:val="none"/>
          <w:lang w:val="en-US" w:eastAsia="zh-CN"/>
        </w:rPr>
        <w:t>（具体考核细则详见附件16 季度考核评分表）</w:t>
      </w:r>
      <w:r>
        <w:rPr>
          <w:rFonts w:hint="eastAsia" w:ascii="宋体" w:hAnsi="宋体" w:eastAsia="宋体" w:cs="宋体"/>
          <w:b w:val="0"/>
          <w:bCs/>
          <w:kern w:val="0"/>
          <w:sz w:val="24"/>
          <w:highlight w:val="none"/>
          <w:lang w:val="en-US" w:eastAsia="zh-CN"/>
        </w:rPr>
        <w:t>季度</w:t>
      </w:r>
      <w:r>
        <w:rPr>
          <w:rFonts w:hint="eastAsia" w:ascii="宋体" w:hAnsi="宋体" w:eastAsia="宋体" w:cs="宋体"/>
          <w:b w:val="0"/>
          <w:bCs/>
          <w:kern w:val="0"/>
          <w:sz w:val="24"/>
          <w:highlight w:val="none"/>
          <w:lang w:eastAsia="zh-CN"/>
        </w:rPr>
        <w:t>考核评分</w:t>
      </w:r>
      <w:r>
        <w:rPr>
          <w:rFonts w:hint="eastAsia" w:ascii="宋体" w:hAnsi="宋体" w:eastAsia="宋体" w:cs="宋体"/>
          <w:b w:val="0"/>
          <w:bCs/>
          <w:kern w:val="0"/>
          <w:sz w:val="24"/>
          <w:highlight w:val="none"/>
          <w:lang w:val="en-US" w:eastAsia="zh-CN"/>
        </w:rPr>
        <w:t>在90分以上（含）的不扣款；季度</w:t>
      </w:r>
      <w:r>
        <w:rPr>
          <w:rFonts w:hint="eastAsia" w:ascii="宋体" w:hAnsi="宋体" w:eastAsia="宋体" w:cs="宋体"/>
          <w:b w:val="0"/>
          <w:bCs/>
          <w:color w:val="auto"/>
          <w:sz w:val="24"/>
          <w:szCs w:val="24"/>
          <w:highlight w:val="none"/>
          <w:lang w:val="en-US" w:eastAsia="zh-CN"/>
        </w:rPr>
        <w:t>考核得分在</w:t>
      </w:r>
      <w:r>
        <w:rPr>
          <w:rFonts w:hint="eastAsia" w:ascii="宋体" w:hAnsi="宋体" w:eastAsia="宋体" w:cs="宋体"/>
          <w:b w:val="0"/>
          <w:bCs/>
          <w:kern w:val="0"/>
          <w:sz w:val="24"/>
          <w:highlight w:val="none"/>
          <w:lang w:val="en-US" w:eastAsia="zh-CN"/>
        </w:rPr>
        <w:t>90分以下每扣一分扣500元</w:t>
      </w:r>
      <w:r>
        <w:rPr>
          <w:rFonts w:hint="eastAsia" w:ascii="宋体" w:hAnsi="宋体" w:eastAsia="宋体" w:cs="宋体"/>
          <w:color w:val="auto"/>
          <w:kern w:val="0"/>
          <w:sz w:val="24"/>
          <w:szCs w:val="24"/>
          <w:highlight w:val="none"/>
          <w:lang w:eastAsia="zh-CN"/>
        </w:rPr>
        <w:t>。</w:t>
      </w:r>
    </w:p>
    <w:p w14:paraId="6E83AEA7">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第二年：</w:t>
      </w:r>
    </w:p>
    <w:p w14:paraId="7CE824A1">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服务费用按季考核按季按绩结算</w:t>
      </w:r>
      <w:r>
        <w:rPr>
          <w:rFonts w:hint="eastAsia" w:ascii="宋体" w:hAnsi="宋体" w:eastAsia="宋体" w:cs="宋体"/>
          <w:bCs/>
          <w:color w:val="auto"/>
          <w:sz w:val="24"/>
          <w:szCs w:val="24"/>
          <w:highlight w:val="none"/>
          <w:lang w:eastAsia="zh-CN"/>
        </w:rPr>
        <w:t>。</w:t>
      </w:r>
    </w:p>
    <w:p w14:paraId="30C3D29B">
      <w:pPr>
        <w:autoSpaceDE w:val="0"/>
        <w:autoSpaceDN w:val="0"/>
        <w:adjustRightInd w:val="0"/>
        <w:spacing w:line="44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color w:val="auto"/>
          <w:sz w:val="24"/>
          <w:szCs w:val="24"/>
          <w:highlight w:val="none"/>
          <w:lang w:val="zh-CN"/>
        </w:rPr>
        <w:t>服务期开始之日起每个季度之后的30个自然日内，</w:t>
      </w:r>
      <w:r>
        <w:rPr>
          <w:rFonts w:hint="eastAsia" w:ascii="宋体" w:hAnsi="宋体" w:eastAsia="宋体" w:cs="宋体"/>
          <w:color w:val="auto"/>
          <w:sz w:val="24"/>
          <w:szCs w:val="24"/>
          <w:highlight w:val="none"/>
          <w:lang w:val="zh-CN" w:eastAsia="zh-CN"/>
        </w:rPr>
        <w:t>采购人</w:t>
      </w:r>
      <w:r>
        <w:rPr>
          <w:rFonts w:hint="eastAsia" w:ascii="宋体" w:hAnsi="宋体" w:eastAsia="宋体" w:cs="宋体"/>
          <w:color w:val="auto"/>
          <w:sz w:val="24"/>
          <w:szCs w:val="24"/>
          <w:highlight w:val="none"/>
          <w:lang w:val="zh-CN"/>
        </w:rPr>
        <w:t>向</w:t>
      </w:r>
      <w:r>
        <w:rPr>
          <w:rFonts w:hint="eastAsia" w:ascii="宋体" w:hAnsi="宋体" w:eastAsia="宋体" w:cs="宋体"/>
          <w:color w:val="auto"/>
          <w:sz w:val="24"/>
          <w:szCs w:val="24"/>
          <w:highlight w:val="none"/>
          <w:lang w:val="zh-CN" w:eastAsia="zh-CN"/>
        </w:rPr>
        <w:t>中标人</w:t>
      </w:r>
      <w:r>
        <w:rPr>
          <w:rFonts w:hint="eastAsia" w:ascii="宋体" w:hAnsi="宋体" w:eastAsia="宋体" w:cs="宋体"/>
          <w:color w:val="auto"/>
          <w:sz w:val="24"/>
          <w:szCs w:val="24"/>
          <w:highlight w:val="none"/>
          <w:lang w:val="zh-CN"/>
        </w:rPr>
        <w:t>支付上个季度的服务费（季度服务费按剩余年度服务费/4计算），季度考核扣款从季度服务费中扣除</w:t>
      </w:r>
      <w:r>
        <w:rPr>
          <w:rFonts w:hint="eastAsia" w:ascii="宋体" w:hAnsi="宋体" w:eastAsia="宋体" w:cs="宋体"/>
          <w:b w:val="0"/>
          <w:bCs/>
          <w:kern w:val="0"/>
          <w:sz w:val="24"/>
          <w:highlight w:val="none"/>
        </w:rPr>
        <w:t>。</w:t>
      </w:r>
      <w:r>
        <w:rPr>
          <w:rFonts w:hint="eastAsia" w:ascii="宋体" w:hAnsi="宋体" w:eastAsia="宋体" w:cs="宋体"/>
          <w:b w:val="0"/>
          <w:bCs/>
          <w:color w:val="auto"/>
          <w:sz w:val="24"/>
          <w:szCs w:val="24"/>
          <w:highlight w:val="none"/>
          <w:lang w:val="en-US" w:eastAsia="zh-CN"/>
        </w:rPr>
        <w:t>（具体考核细则详见附件16 季度考核评分表）</w:t>
      </w:r>
      <w:r>
        <w:rPr>
          <w:rFonts w:hint="eastAsia" w:ascii="宋体" w:hAnsi="宋体" w:eastAsia="宋体" w:cs="宋体"/>
          <w:b w:val="0"/>
          <w:bCs/>
          <w:kern w:val="0"/>
          <w:sz w:val="24"/>
          <w:highlight w:val="none"/>
          <w:lang w:val="en-US" w:eastAsia="zh-CN"/>
        </w:rPr>
        <w:t>季度</w:t>
      </w:r>
      <w:r>
        <w:rPr>
          <w:rFonts w:hint="eastAsia" w:ascii="宋体" w:hAnsi="宋体" w:eastAsia="宋体" w:cs="宋体"/>
          <w:b w:val="0"/>
          <w:bCs/>
          <w:kern w:val="0"/>
          <w:sz w:val="24"/>
          <w:highlight w:val="none"/>
          <w:lang w:eastAsia="zh-CN"/>
        </w:rPr>
        <w:t>考核评分</w:t>
      </w:r>
      <w:r>
        <w:rPr>
          <w:rFonts w:hint="eastAsia" w:ascii="宋体" w:hAnsi="宋体" w:eastAsia="宋体" w:cs="宋体"/>
          <w:b w:val="0"/>
          <w:bCs/>
          <w:kern w:val="0"/>
          <w:sz w:val="24"/>
          <w:highlight w:val="none"/>
          <w:lang w:val="en-US" w:eastAsia="zh-CN"/>
        </w:rPr>
        <w:t>在90分以上（含）的不扣款；季度</w:t>
      </w:r>
      <w:r>
        <w:rPr>
          <w:rFonts w:hint="eastAsia" w:ascii="宋体" w:hAnsi="宋体" w:eastAsia="宋体" w:cs="宋体"/>
          <w:b w:val="0"/>
          <w:bCs/>
          <w:color w:val="auto"/>
          <w:sz w:val="24"/>
          <w:szCs w:val="24"/>
          <w:highlight w:val="none"/>
          <w:lang w:val="en-US" w:eastAsia="zh-CN"/>
        </w:rPr>
        <w:t>考核得分在</w:t>
      </w:r>
      <w:r>
        <w:rPr>
          <w:rFonts w:hint="eastAsia" w:ascii="宋体" w:hAnsi="宋体" w:eastAsia="宋体" w:cs="宋体"/>
          <w:b w:val="0"/>
          <w:bCs/>
          <w:kern w:val="0"/>
          <w:sz w:val="24"/>
          <w:highlight w:val="none"/>
          <w:lang w:val="en-US" w:eastAsia="zh-CN"/>
        </w:rPr>
        <w:t>90分以下每扣一分扣500元。</w:t>
      </w:r>
    </w:p>
    <w:p w14:paraId="32AA6A37">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注：（1）签订合同时，</w:t>
      </w:r>
      <w:r>
        <w:rPr>
          <w:rFonts w:hint="eastAsia" w:ascii="宋体" w:hAnsi="宋体" w:eastAsia="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明确表示</w:t>
      </w:r>
      <w:r>
        <w:rPr>
          <w:rFonts w:hint="eastAsia" w:ascii="宋体" w:hAnsi="宋体" w:eastAsia="宋体" w:cs="宋体"/>
          <w:b/>
          <w:color w:val="auto"/>
          <w:sz w:val="24"/>
          <w:szCs w:val="24"/>
          <w:highlight w:val="none"/>
          <w:lang w:val="en-US" w:eastAsia="zh-CN"/>
        </w:rPr>
        <w:t>第一年付款时</w:t>
      </w:r>
      <w:r>
        <w:rPr>
          <w:rFonts w:hint="eastAsia" w:ascii="宋体" w:hAnsi="宋体" w:eastAsia="宋体" w:cs="宋体"/>
          <w:b/>
          <w:color w:val="auto"/>
          <w:sz w:val="24"/>
          <w:szCs w:val="24"/>
          <w:highlight w:val="none"/>
        </w:rPr>
        <w:t>无需预付款或者主动要求降低预付款比例的，</w:t>
      </w:r>
      <w:r>
        <w:rPr>
          <w:rFonts w:hint="eastAsia" w:ascii="宋体" w:hAnsi="宋体" w:eastAsia="宋体" w:cs="宋体"/>
          <w:b/>
          <w:color w:val="auto"/>
          <w:sz w:val="24"/>
          <w:szCs w:val="24"/>
          <w:highlight w:val="none"/>
          <w:lang w:val="en-US" w:eastAsia="zh-CN"/>
        </w:rPr>
        <w:t>采购人</w:t>
      </w:r>
      <w:r>
        <w:rPr>
          <w:rFonts w:hint="eastAsia" w:ascii="宋体" w:hAnsi="宋体" w:eastAsia="宋体" w:cs="宋体"/>
          <w:b/>
          <w:color w:val="auto"/>
          <w:sz w:val="24"/>
          <w:szCs w:val="24"/>
          <w:highlight w:val="none"/>
        </w:rPr>
        <w:t>可不适用上述</w:t>
      </w:r>
      <w:r>
        <w:rPr>
          <w:rFonts w:hint="eastAsia" w:ascii="宋体" w:hAnsi="宋体" w:eastAsia="宋体" w:cs="宋体"/>
          <w:b/>
          <w:color w:val="auto"/>
          <w:sz w:val="24"/>
          <w:szCs w:val="24"/>
          <w:highlight w:val="none"/>
          <w:lang w:val="en-US" w:eastAsia="zh-CN"/>
        </w:rPr>
        <w:t>第一年付款时</w:t>
      </w:r>
      <w:r>
        <w:rPr>
          <w:rFonts w:hint="eastAsia" w:ascii="宋体" w:hAnsi="宋体" w:eastAsia="宋体" w:cs="宋体"/>
          <w:b/>
          <w:color w:val="auto"/>
          <w:sz w:val="24"/>
          <w:szCs w:val="24"/>
          <w:highlight w:val="none"/>
        </w:rPr>
        <w:t>①规定。</w:t>
      </w:r>
    </w:p>
    <w:p w14:paraId="4E3D576A">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lang w:val="zh-CN"/>
        </w:rPr>
        <w:t>以上每次付款前，</w:t>
      </w:r>
      <w:r>
        <w:rPr>
          <w:rFonts w:hint="eastAsia" w:ascii="宋体" w:hAnsi="宋体" w:eastAsia="宋体" w:cs="宋体"/>
          <w:b/>
          <w:bCs/>
          <w:color w:val="auto"/>
          <w:sz w:val="24"/>
          <w:szCs w:val="24"/>
          <w:highlight w:val="none"/>
          <w:lang w:val="en-US" w:eastAsia="zh-CN"/>
        </w:rPr>
        <w:t>中标人</w:t>
      </w:r>
      <w:r>
        <w:rPr>
          <w:rFonts w:hint="eastAsia" w:ascii="宋体" w:hAnsi="宋体" w:eastAsia="宋体" w:cs="宋体"/>
          <w:b/>
          <w:bCs/>
          <w:color w:val="auto"/>
          <w:sz w:val="24"/>
          <w:szCs w:val="24"/>
          <w:highlight w:val="none"/>
          <w:lang w:val="zh-CN"/>
        </w:rPr>
        <w:t>均应提供符合</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bCs/>
          <w:color w:val="auto"/>
          <w:sz w:val="24"/>
          <w:szCs w:val="24"/>
          <w:highlight w:val="none"/>
          <w:lang w:val="zh-CN"/>
        </w:rPr>
        <w:t>要求的同等金额的合法有效发票。否则，</w:t>
      </w:r>
      <w:r>
        <w:rPr>
          <w:rFonts w:hint="eastAsia" w:ascii="宋体" w:hAnsi="宋体" w:eastAsia="宋体" w:cs="宋体"/>
          <w:b/>
          <w:bCs/>
          <w:color w:val="auto"/>
          <w:sz w:val="24"/>
          <w:szCs w:val="24"/>
          <w:highlight w:val="none"/>
          <w:lang w:val="en-US" w:eastAsia="zh-CN"/>
        </w:rPr>
        <w:t>采购人</w:t>
      </w:r>
      <w:r>
        <w:rPr>
          <w:rFonts w:hint="eastAsia" w:ascii="宋体" w:hAnsi="宋体" w:eastAsia="宋体" w:cs="宋体"/>
          <w:b/>
          <w:bCs/>
          <w:color w:val="auto"/>
          <w:sz w:val="24"/>
          <w:szCs w:val="24"/>
          <w:highlight w:val="none"/>
          <w:lang w:val="zh-CN"/>
        </w:rPr>
        <w:t>有权顺延付款时间，且不承担任何违约及/或赔偿责任</w:t>
      </w:r>
      <w:r>
        <w:rPr>
          <w:rFonts w:hint="eastAsia" w:ascii="宋体" w:hAnsi="宋体" w:eastAsia="宋体" w:cs="宋体"/>
          <w:b/>
          <w:color w:val="auto"/>
          <w:sz w:val="24"/>
          <w:szCs w:val="24"/>
          <w:highlight w:val="none"/>
        </w:rPr>
        <w:t>。</w:t>
      </w:r>
    </w:p>
    <w:p w14:paraId="042B33A4">
      <w:pPr>
        <w:numPr>
          <w:ilvl w:val="0"/>
          <w:numId w:val="0"/>
        </w:num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（3）本项目支付方式</w:t>
      </w:r>
      <w:r>
        <w:rPr>
          <w:rFonts w:hint="eastAsia" w:ascii="宋体" w:hAnsi="宋体" w:eastAsia="宋体" w:cs="宋体"/>
          <w:b/>
          <w:color w:val="auto"/>
          <w:sz w:val="24"/>
          <w:szCs w:val="24"/>
          <w:highlight w:val="none"/>
          <w:lang w:val="en-US" w:eastAsia="zh-CN"/>
        </w:rPr>
        <w:t>包括但不限于</w:t>
      </w:r>
      <w:r>
        <w:rPr>
          <w:rFonts w:hint="eastAsia" w:ascii="宋体" w:hAnsi="宋体" w:eastAsia="宋体" w:cs="宋体"/>
          <w:b/>
          <w:bCs/>
          <w:color w:val="auto"/>
          <w:sz w:val="24"/>
          <w:szCs w:val="24"/>
          <w:highlight w:val="none"/>
        </w:rPr>
        <w:t>数字人民币、现金、银行汇票、转账支票等。</w:t>
      </w:r>
    </w:p>
    <w:p w14:paraId="4055F9B5">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不满足上述付款要求的</w:t>
      </w:r>
      <w:r>
        <w:rPr>
          <w:rFonts w:hint="eastAsia" w:ascii="宋体" w:hAnsi="宋体" w:eastAsia="宋体" w:cs="宋体"/>
          <w:b/>
          <w:color w:val="auto"/>
          <w:sz w:val="24"/>
          <w:szCs w:val="24"/>
          <w:highlight w:val="none"/>
          <w:lang w:val="zh-CN"/>
        </w:rPr>
        <w:t>将作无效投标处理</w:t>
      </w:r>
      <w:r>
        <w:rPr>
          <w:rFonts w:hint="eastAsia" w:ascii="宋体" w:hAnsi="宋体" w:eastAsia="宋体" w:cs="宋体"/>
          <w:b/>
          <w:color w:val="auto"/>
          <w:sz w:val="24"/>
          <w:szCs w:val="24"/>
          <w:highlight w:val="none"/>
        </w:rPr>
        <w:t>。</w:t>
      </w:r>
    </w:p>
    <w:p w14:paraId="4F9D20D1">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val="zh-CN"/>
        </w:rPr>
        <w:t>、本项目</w:t>
      </w:r>
      <w:r>
        <w:rPr>
          <w:rFonts w:hint="eastAsia" w:ascii="宋体" w:hAnsi="宋体" w:eastAsia="宋体" w:cs="宋体"/>
          <w:b/>
          <w:color w:val="auto"/>
          <w:sz w:val="24"/>
          <w:szCs w:val="24"/>
          <w:highlight w:val="none"/>
          <w:lang w:val="en-US" w:eastAsia="zh-CN"/>
        </w:rPr>
        <w:t>二年</w:t>
      </w:r>
      <w:r>
        <w:rPr>
          <w:rFonts w:hint="eastAsia" w:ascii="宋体" w:hAnsi="宋体" w:eastAsia="宋体" w:cs="宋体"/>
          <w:b/>
          <w:color w:val="auto"/>
          <w:sz w:val="24"/>
          <w:szCs w:val="24"/>
          <w:highlight w:val="none"/>
          <w:lang w:val="zh-CN"/>
        </w:rPr>
        <w:t>采购预算为¥</w:t>
      </w:r>
      <w:r>
        <w:rPr>
          <w:rFonts w:hint="eastAsia" w:ascii="宋体" w:hAnsi="宋体" w:eastAsia="宋体" w:cs="宋体"/>
          <w:b/>
          <w:color w:val="auto"/>
          <w:sz w:val="24"/>
          <w:szCs w:val="24"/>
          <w:highlight w:val="none"/>
          <w:lang w:val="en-US" w:eastAsia="zh-CN"/>
        </w:rPr>
        <w:t>2000000.00</w:t>
      </w:r>
      <w:r>
        <w:rPr>
          <w:rFonts w:hint="eastAsia" w:ascii="宋体" w:hAnsi="宋体" w:eastAsia="宋体" w:cs="宋体"/>
          <w:b/>
          <w:color w:val="auto"/>
          <w:sz w:val="24"/>
          <w:szCs w:val="24"/>
          <w:highlight w:val="none"/>
          <w:lang w:val="zh-CN"/>
        </w:rPr>
        <w:t>元（人民币</w:t>
      </w:r>
      <w:r>
        <w:rPr>
          <w:rFonts w:hint="eastAsia" w:ascii="宋体" w:hAnsi="宋体" w:eastAsia="宋体" w:cs="宋体"/>
          <w:b/>
          <w:color w:val="auto"/>
          <w:sz w:val="24"/>
          <w:szCs w:val="24"/>
          <w:highlight w:val="none"/>
          <w:lang w:val="en-US" w:eastAsia="zh-CN"/>
        </w:rPr>
        <w:t>贰佰万元整</w:t>
      </w:r>
      <w:r>
        <w:rPr>
          <w:rFonts w:hint="eastAsia" w:ascii="宋体" w:hAnsi="宋体" w:eastAsia="宋体" w:cs="宋体"/>
          <w:b/>
          <w:color w:val="auto"/>
          <w:sz w:val="24"/>
          <w:szCs w:val="24"/>
          <w:highlight w:val="none"/>
          <w:lang w:val="zh-CN"/>
        </w:rPr>
        <w:t>）。投标总价不得超过采购预算，否则将作无效投标处理。</w:t>
      </w:r>
    </w:p>
    <w:p w14:paraId="5E5E6F71">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7、采购人不提供食宿。</w:t>
      </w:r>
    </w:p>
    <w:p w14:paraId="160D54E5">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8、结算方式：本项目以总价合同方式结算。</w:t>
      </w:r>
    </w:p>
    <w:p w14:paraId="4D155151">
      <w:pPr>
        <w:autoSpaceDE w:val="0"/>
        <w:autoSpaceDN w:val="0"/>
        <w:adjustRightInd w:val="0"/>
        <w:spacing w:line="44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、本项目不得以任何形式进行转包及分包。</w:t>
      </w:r>
    </w:p>
    <w:p w14:paraId="52942396">
      <w:pPr>
        <w:spacing w:line="460" w:lineRule="exact"/>
        <w:rPr>
          <w:rFonts w:hint="eastAsia" w:ascii="宋体" w:hAnsi="宋体" w:eastAsia="宋体" w:cs="宋体"/>
          <w:b/>
          <w:bCs/>
          <w:color w:val="auto"/>
          <w:sz w:val="28"/>
          <w:szCs w:val="28"/>
          <w:highlight w:val="none"/>
          <w:lang w:val="zh-CN"/>
        </w:rPr>
      </w:pPr>
    </w:p>
    <w:p w14:paraId="40572F75">
      <w:pPr>
        <w:spacing w:line="460" w:lineRule="exac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二、</w:t>
      </w:r>
      <w:r>
        <w:rPr>
          <w:rFonts w:hint="eastAsia" w:ascii="宋体" w:hAnsi="宋体" w:eastAsia="宋体" w:cs="宋体"/>
          <w:b/>
          <w:bCs/>
          <w:color w:val="auto"/>
          <w:sz w:val="28"/>
          <w:szCs w:val="28"/>
          <w:highlight w:val="none"/>
          <w:lang w:val="en-US" w:eastAsia="zh-CN"/>
        </w:rPr>
        <w:t>运行维护清单</w:t>
      </w:r>
      <w:r>
        <w:rPr>
          <w:rFonts w:hint="eastAsia" w:ascii="宋体" w:hAnsi="宋体" w:eastAsia="宋体" w:cs="宋体"/>
          <w:b/>
          <w:bCs/>
          <w:color w:val="auto"/>
          <w:sz w:val="28"/>
          <w:szCs w:val="28"/>
          <w:highlight w:val="none"/>
          <w:lang w:val="zh-CN"/>
        </w:rPr>
        <w:t>：</w:t>
      </w:r>
    </w:p>
    <w:tbl>
      <w:tblPr>
        <w:tblStyle w:val="54"/>
        <w:tblW w:w="4811" w:type="pct"/>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2476"/>
        <w:gridCol w:w="4699"/>
        <w:gridCol w:w="837"/>
        <w:gridCol w:w="778"/>
      </w:tblGrid>
      <w:tr w14:paraId="5C4E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noWrap w:val="0"/>
            <w:vAlign w:val="center"/>
          </w:tcPr>
          <w:p w14:paraId="08AC6543">
            <w:pPr>
              <w:widowControl/>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序号</w:t>
            </w:r>
          </w:p>
        </w:tc>
        <w:tc>
          <w:tcPr>
            <w:tcW w:w="1302" w:type="pct"/>
            <w:noWrap w:val="0"/>
            <w:vAlign w:val="center"/>
          </w:tcPr>
          <w:p w14:paraId="4D3986E1">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服务名称</w:t>
            </w:r>
          </w:p>
        </w:tc>
        <w:tc>
          <w:tcPr>
            <w:tcW w:w="2471" w:type="pct"/>
            <w:noWrap w:val="0"/>
            <w:vAlign w:val="center"/>
          </w:tcPr>
          <w:p w14:paraId="307644EB">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运维设备/项目名称</w:t>
            </w:r>
          </w:p>
        </w:tc>
        <w:tc>
          <w:tcPr>
            <w:tcW w:w="440" w:type="pct"/>
            <w:tcBorders>
              <w:left w:val="single" w:color="000000" w:sz="4" w:space="0"/>
              <w:right w:val="single" w:color="000000" w:sz="4" w:space="0"/>
            </w:tcBorders>
            <w:noWrap w:val="0"/>
            <w:vAlign w:val="center"/>
          </w:tcPr>
          <w:p w14:paraId="0918C226">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409" w:type="pct"/>
            <w:tcBorders>
              <w:left w:val="single" w:color="000000" w:sz="4" w:space="0"/>
            </w:tcBorders>
            <w:noWrap w:val="0"/>
            <w:vAlign w:val="center"/>
          </w:tcPr>
          <w:p w14:paraId="2AD691A7">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45A5D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restart"/>
            <w:noWrap w:val="0"/>
            <w:vAlign w:val="center"/>
          </w:tcPr>
          <w:p w14:paraId="77FB59C7">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302" w:type="pct"/>
            <w:vMerge w:val="restart"/>
            <w:noWrap w:val="0"/>
            <w:vAlign w:val="center"/>
          </w:tcPr>
          <w:p w14:paraId="29A52B3D">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常熟市第二人民医院（台山路院区）能源站运维服务</w:t>
            </w:r>
          </w:p>
        </w:tc>
        <w:tc>
          <w:tcPr>
            <w:tcW w:w="2471" w:type="pct"/>
            <w:noWrap w:val="0"/>
            <w:vAlign w:val="center"/>
          </w:tcPr>
          <w:p w14:paraId="72E200FE">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燃气热水锅炉</w:t>
            </w:r>
          </w:p>
        </w:tc>
        <w:tc>
          <w:tcPr>
            <w:tcW w:w="440" w:type="pct"/>
            <w:tcBorders>
              <w:left w:val="single" w:color="000000" w:sz="4" w:space="0"/>
              <w:right w:val="single" w:color="000000" w:sz="4" w:space="0"/>
            </w:tcBorders>
            <w:noWrap w:val="0"/>
            <w:vAlign w:val="center"/>
          </w:tcPr>
          <w:p w14:paraId="45FC30CE">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5台</w:t>
            </w:r>
          </w:p>
        </w:tc>
        <w:tc>
          <w:tcPr>
            <w:tcW w:w="409" w:type="pct"/>
            <w:tcBorders>
              <w:left w:val="single" w:color="000000" w:sz="4" w:space="0"/>
            </w:tcBorders>
            <w:noWrap w:val="0"/>
            <w:vAlign w:val="center"/>
          </w:tcPr>
          <w:p w14:paraId="19C299A7">
            <w:pPr>
              <w:widowControl/>
              <w:spacing w:line="276" w:lineRule="auto"/>
              <w:jc w:val="center"/>
              <w:rPr>
                <w:rFonts w:hint="eastAsia" w:ascii="宋体" w:hAnsi="宋体" w:eastAsia="宋体" w:cs="宋体"/>
                <w:color w:val="auto"/>
                <w:kern w:val="0"/>
                <w:sz w:val="24"/>
                <w:szCs w:val="24"/>
                <w:highlight w:val="none"/>
              </w:rPr>
            </w:pPr>
          </w:p>
        </w:tc>
      </w:tr>
      <w:tr w14:paraId="388B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101AC4F5">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1EF57C1E">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074CC60C">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燃气蒸汽锅炉以及配套辅机</w:t>
            </w:r>
          </w:p>
        </w:tc>
        <w:tc>
          <w:tcPr>
            <w:tcW w:w="440" w:type="pct"/>
            <w:tcBorders>
              <w:left w:val="single" w:color="000000" w:sz="4" w:space="0"/>
              <w:right w:val="single" w:color="000000" w:sz="4" w:space="0"/>
            </w:tcBorders>
            <w:noWrap w:val="0"/>
            <w:vAlign w:val="center"/>
          </w:tcPr>
          <w:p w14:paraId="5C9DF371">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3套</w:t>
            </w:r>
          </w:p>
        </w:tc>
        <w:tc>
          <w:tcPr>
            <w:tcW w:w="409" w:type="pct"/>
            <w:tcBorders>
              <w:left w:val="single" w:color="000000" w:sz="4" w:space="0"/>
            </w:tcBorders>
            <w:noWrap w:val="0"/>
            <w:vAlign w:val="center"/>
          </w:tcPr>
          <w:p w14:paraId="016A7E9C">
            <w:pPr>
              <w:widowControl/>
              <w:spacing w:line="276" w:lineRule="auto"/>
              <w:jc w:val="center"/>
              <w:rPr>
                <w:rFonts w:hint="eastAsia" w:ascii="宋体" w:hAnsi="宋体" w:eastAsia="宋体" w:cs="宋体"/>
                <w:color w:val="auto"/>
                <w:kern w:val="0"/>
                <w:sz w:val="24"/>
                <w:szCs w:val="24"/>
                <w:highlight w:val="none"/>
              </w:rPr>
            </w:pPr>
          </w:p>
        </w:tc>
      </w:tr>
      <w:tr w14:paraId="01C3E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19D82564">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1634A6B9">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40A8FFED">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离心式电制冷机组</w:t>
            </w:r>
          </w:p>
        </w:tc>
        <w:tc>
          <w:tcPr>
            <w:tcW w:w="440" w:type="pct"/>
            <w:tcBorders>
              <w:left w:val="single" w:color="000000" w:sz="4" w:space="0"/>
              <w:right w:val="single" w:color="000000" w:sz="4" w:space="0"/>
            </w:tcBorders>
            <w:noWrap w:val="0"/>
            <w:vAlign w:val="center"/>
          </w:tcPr>
          <w:p w14:paraId="1A9FF7FE">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3台</w:t>
            </w:r>
          </w:p>
        </w:tc>
        <w:tc>
          <w:tcPr>
            <w:tcW w:w="409" w:type="pct"/>
            <w:tcBorders>
              <w:left w:val="single" w:color="000000" w:sz="4" w:space="0"/>
            </w:tcBorders>
            <w:noWrap w:val="0"/>
            <w:vAlign w:val="center"/>
          </w:tcPr>
          <w:p w14:paraId="5EC3582F">
            <w:pPr>
              <w:widowControl/>
              <w:spacing w:line="276" w:lineRule="auto"/>
              <w:jc w:val="center"/>
              <w:rPr>
                <w:rFonts w:hint="eastAsia" w:ascii="宋体" w:hAnsi="宋体" w:eastAsia="宋体" w:cs="宋体"/>
                <w:color w:val="auto"/>
                <w:kern w:val="0"/>
                <w:sz w:val="24"/>
                <w:szCs w:val="24"/>
                <w:highlight w:val="none"/>
              </w:rPr>
            </w:pPr>
          </w:p>
        </w:tc>
      </w:tr>
      <w:tr w14:paraId="6459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3E902921">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69A4CD72">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0AA78638">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磁悬浮离心电制冷机组以及配套辅机</w:t>
            </w:r>
          </w:p>
        </w:tc>
        <w:tc>
          <w:tcPr>
            <w:tcW w:w="440" w:type="pct"/>
            <w:tcBorders>
              <w:left w:val="single" w:color="000000" w:sz="4" w:space="0"/>
              <w:right w:val="single" w:color="000000" w:sz="4" w:space="0"/>
            </w:tcBorders>
            <w:noWrap w:val="0"/>
            <w:vAlign w:val="center"/>
          </w:tcPr>
          <w:p w14:paraId="5107BD53">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2套</w:t>
            </w:r>
          </w:p>
        </w:tc>
        <w:tc>
          <w:tcPr>
            <w:tcW w:w="409" w:type="pct"/>
            <w:tcBorders>
              <w:left w:val="single" w:color="000000" w:sz="4" w:space="0"/>
            </w:tcBorders>
            <w:noWrap w:val="0"/>
            <w:vAlign w:val="center"/>
          </w:tcPr>
          <w:p w14:paraId="411D946F">
            <w:pPr>
              <w:widowControl/>
              <w:spacing w:line="276" w:lineRule="auto"/>
              <w:jc w:val="center"/>
              <w:rPr>
                <w:rFonts w:hint="eastAsia" w:ascii="宋体" w:hAnsi="宋体" w:eastAsia="宋体" w:cs="宋体"/>
                <w:color w:val="auto"/>
                <w:kern w:val="0"/>
                <w:sz w:val="24"/>
                <w:szCs w:val="24"/>
                <w:highlight w:val="none"/>
              </w:rPr>
            </w:pPr>
          </w:p>
        </w:tc>
      </w:tr>
      <w:tr w14:paraId="468F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2CBE0A62">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1238A118">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204DF364">
            <w:pPr>
              <w:widowControl/>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住院楼、医技楼楼顶太阳能热水系统</w:t>
            </w:r>
          </w:p>
        </w:tc>
        <w:tc>
          <w:tcPr>
            <w:tcW w:w="837" w:type="dxa"/>
            <w:tcBorders>
              <w:left w:val="single" w:color="000000" w:sz="4" w:space="0"/>
              <w:right w:val="single" w:color="000000" w:sz="4" w:space="0"/>
            </w:tcBorders>
            <w:noWrap w:val="0"/>
            <w:vAlign w:val="center"/>
          </w:tcPr>
          <w:p w14:paraId="7BA02CA0">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3套</w:t>
            </w:r>
          </w:p>
        </w:tc>
        <w:tc>
          <w:tcPr>
            <w:tcW w:w="409" w:type="pct"/>
            <w:tcBorders>
              <w:left w:val="single" w:color="000000" w:sz="4" w:space="0"/>
            </w:tcBorders>
            <w:noWrap w:val="0"/>
            <w:vAlign w:val="center"/>
          </w:tcPr>
          <w:p w14:paraId="4BEED840">
            <w:pPr>
              <w:widowControl/>
              <w:spacing w:line="276" w:lineRule="auto"/>
              <w:jc w:val="center"/>
              <w:rPr>
                <w:rFonts w:hint="eastAsia" w:ascii="宋体" w:hAnsi="宋体" w:eastAsia="宋体" w:cs="宋体"/>
                <w:color w:val="auto"/>
                <w:kern w:val="0"/>
                <w:sz w:val="24"/>
                <w:szCs w:val="24"/>
                <w:highlight w:val="none"/>
              </w:rPr>
            </w:pPr>
          </w:p>
        </w:tc>
      </w:tr>
      <w:tr w14:paraId="4628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34B083A8">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4CE7D6E2">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18C9DCEE">
            <w:pPr>
              <w:widowControl/>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负二层生活热水系统</w:t>
            </w:r>
          </w:p>
        </w:tc>
        <w:tc>
          <w:tcPr>
            <w:tcW w:w="837" w:type="dxa"/>
            <w:tcBorders>
              <w:left w:val="single" w:color="000000" w:sz="4" w:space="0"/>
              <w:right w:val="single" w:color="000000" w:sz="4" w:space="0"/>
            </w:tcBorders>
            <w:noWrap w:val="0"/>
            <w:vAlign w:val="center"/>
          </w:tcPr>
          <w:p w14:paraId="1596A034">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1套</w:t>
            </w:r>
          </w:p>
        </w:tc>
        <w:tc>
          <w:tcPr>
            <w:tcW w:w="409" w:type="pct"/>
            <w:tcBorders>
              <w:left w:val="single" w:color="000000" w:sz="4" w:space="0"/>
            </w:tcBorders>
            <w:noWrap w:val="0"/>
            <w:vAlign w:val="center"/>
          </w:tcPr>
          <w:p w14:paraId="42DBF5FB">
            <w:pPr>
              <w:widowControl/>
              <w:spacing w:line="276" w:lineRule="auto"/>
              <w:jc w:val="center"/>
              <w:rPr>
                <w:rFonts w:hint="eastAsia" w:ascii="宋体" w:hAnsi="宋体" w:eastAsia="宋体" w:cs="宋体"/>
                <w:color w:val="auto"/>
                <w:kern w:val="0"/>
                <w:sz w:val="24"/>
                <w:szCs w:val="24"/>
                <w:highlight w:val="none"/>
              </w:rPr>
            </w:pPr>
          </w:p>
        </w:tc>
      </w:tr>
      <w:tr w14:paraId="48E8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0A26AF9E">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7991E55A">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59C20A52">
            <w:pPr>
              <w:widowControl/>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生活水二次供水系统</w:t>
            </w:r>
          </w:p>
        </w:tc>
        <w:tc>
          <w:tcPr>
            <w:tcW w:w="837" w:type="dxa"/>
            <w:tcBorders>
              <w:left w:val="single" w:color="000000" w:sz="4" w:space="0"/>
              <w:right w:val="single" w:color="000000" w:sz="4" w:space="0"/>
            </w:tcBorders>
            <w:noWrap w:val="0"/>
            <w:vAlign w:val="center"/>
          </w:tcPr>
          <w:p w14:paraId="6146415E">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2套</w:t>
            </w:r>
          </w:p>
        </w:tc>
        <w:tc>
          <w:tcPr>
            <w:tcW w:w="409" w:type="pct"/>
            <w:tcBorders>
              <w:left w:val="single" w:color="000000" w:sz="4" w:space="0"/>
            </w:tcBorders>
            <w:noWrap w:val="0"/>
            <w:vAlign w:val="center"/>
          </w:tcPr>
          <w:p w14:paraId="29DBEBC5">
            <w:pPr>
              <w:widowControl/>
              <w:spacing w:line="276" w:lineRule="auto"/>
              <w:jc w:val="center"/>
              <w:rPr>
                <w:rFonts w:hint="eastAsia" w:ascii="宋体" w:hAnsi="宋体" w:eastAsia="宋体" w:cs="宋体"/>
                <w:color w:val="auto"/>
                <w:kern w:val="0"/>
                <w:sz w:val="24"/>
                <w:szCs w:val="24"/>
                <w:highlight w:val="none"/>
              </w:rPr>
            </w:pPr>
          </w:p>
        </w:tc>
      </w:tr>
      <w:tr w14:paraId="7070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5" w:type="pct"/>
            <w:vMerge w:val="continue"/>
            <w:noWrap w:val="0"/>
            <w:vAlign w:val="center"/>
          </w:tcPr>
          <w:p w14:paraId="0173F02E">
            <w:pPr>
              <w:widowControl/>
              <w:spacing w:line="276" w:lineRule="auto"/>
              <w:jc w:val="center"/>
              <w:rPr>
                <w:rFonts w:hint="eastAsia" w:ascii="宋体" w:hAnsi="宋体" w:eastAsia="宋体" w:cs="宋体"/>
                <w:color w:val="auto"/>
                <w:kern w:val="0"/>
                <w:sz w:val="24"/>
                <w:szCs w:val="24"/>
                <w:highlight w:val="none"/>
              </w:rPr>
            </w:pPr>
          </w:p>
        </w:tc>
        <w:tc>
          <w:tcPr>
            <w:tcW w:w="1302" w:type="pct"/>
            <w:vMerge w:val="continue"/>
            <w:noWrap w:val="0"/>
            <w:vAlign w:val="center"/>
          </w:tcPr>
          <w:p w14:paraId="37888333">
            <w:pPr>
              <w:widowControl/>
              <w:spacing w:line="276" w:lineRule="auto"/>
              <w:jc w:val="center"/>
              <w:rPr>
                <w:rFonts w:hint="eastAsia" w:ascii="宋体" w:hAnsi="宋体" w:eastAsia="宋体" w:cs="宋体"/>
                <w:color w:val="auto"/>
                <w:kern w:val="0"/>
                <w:sz w:val="24"/>
                <w:szCs w:val="24"/>
                <w:highlight w:val="none"/>
              </w:rPr>
            </w:pPr>
          </w:p>
        </w:tc>
        <w:tc>
          <w:tcPr>
            <w:tcW w:w="2471" w:type="pct"/>
            <w:noWrap w:val="0"/>
            <w:vAlign w:val="center"/>
          </w:tcPr>
          <w:p w14:paraId="5FF95BF4">
            <w:pPr>
              <w:widowControl/>
              <w:spacing w:line="276" w:lineRule="auto"/>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天然气调压站系统</w:t>
            </w:r>
          </w:p>
        </w:tc>
        <w:tc>
          <w:tcPr>
            <w:tcW w:w="837" w:type="dxa"/>
            <w:tcBorders>
              <w:left w:val="single" w:color="000000" w:sz="4" w:space="0"/>
              <w:right w:val="single" w:color="000000" w:sz="4" w:space="0"/>
            </w:tcBorders>
            <w:noWrap w:val="0"/>
            <w:vAlign w:val="center"/>
          </w:tcPr>
          <w:p w14:paraId="5A49E8FB">
            <w:pPr>
              <w:widowControl/>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1套</w:t>
            </w:r>
          </w:p>
        </w:tc>
        <w:tc>
          <w:tcPr>
            <w:tcW w:w="409" w:type="pct"/>
            <w:tcBorders>
              <w:left w:val="single" w:color="000000" w:sz="4" w:space="0"/>
            </w:tcBorders>
            <w:noWrap w:val="0"/>
            <w:vAlign w:val="center"/>
          </w:tcPr>
          <w:p w14:paraId="548C7A28">
            <w:pPr>
              <w:widowControl/>
              <w:spacing w:line="276" w:lineRule="auto"/>
              <w:jc w:val="center"/>
              <w:rPr>
                <w:rFonts w:hint="eastAsia" w:ascii="宋体" w:hAnsi="宋体" w:eastAsia="宋体" w:cs="宋体"/>
                <w:color w:val="auto"/>
                <w:kern w:val="0"/>
                <w:sz w:val="24"/>
                <w:szCs w:val="24"/>
                <w:highlight w:val="none"/>
              </w:rPr>
            </w:pPr>
          </w:p>
        </w:tc>
      </w:tr>
    </w:tbl>
    <w:p w14:paraId="6339E4EE">
      <w:pPr>
        <w:numPr>
          <w:ilvl w:val="0"/>
          <w:numId w:val="0"/>
        </w:numPr>
        <w:autoSpaceDE w:val="0"/>
        <w:autoSpaceDN w:val="0"/>
        <w:adjustRightInd w:val="0"/>
        <w:spacing w:line="440" w:lineRule="exact"/>
        <w:rPr>
          <w:rFonts w:hint="eastAsia" w:ascii="宋体" w:hAnsi="宋体" w:eastAsia="宋体" w:cs="宋体"/>
          <w:b/>
          <w:color w:val="auto"/>
          <w:sz w:val="24"/>
          <w:szCs w:val="24"/>
          <w:highlight w:val="none"/>
          <w:lang w:val="en-US" w:eastAsia="zh-CN"/>
        </w:rPr>
      </w:pPr>
    </w:p>
    <w:p w14:paraId="6F03CC66">
      <w:pPr>
        <w:numPr>
          <w:ilvl w:val="0"/>
          <w:numId w:val="4"/>
        </w:numPr>
        <w:spacing w:line="460" w:lineRule="exact"/>
        <w:rPr>
          <w:rFonts w:hint="eastAsia" w:ascii="宋体" w:hAnsi="宋体" w:eastAsia="宋体" w:cs="宋体"/>
          <w:b/>
          <w:bCs/>
          <w:color w:val="auto"/>
          <w:sz w:val="28"/>
          <w:szCs w:val="28"/>
          <w:highlight w:val="none"/>
          <w:lang w:val="en-US" w:eastAsia="zh-CN"/>
        </w:rPr>
      </w:pPr>
      <w:bookmarkStart w:id="277" w:name="_Toc485977967"/>
      <w:bookmarkStart w:id="278" w:name="_Toc485992633"/>
      <w:r>
        <w:rPr>
          <w:rFonts w:hint="eastAsia" w:ascii="宋体" w:hAnsi="宋体" w:eastAsia="宋体" w:cs="宋体"/>
          <w:b/>
          <w:bCs/>
          <w:color w:val="auto"/>
          <w:sz w:val="28"/>
          <w:szCs w:val="28"/>
          <w:highlight w:val="none"/>
          <w:lang w:val="en-US" w:eastAsia="zh-CN"/>
        </w:rPr>
        <w:t>项目服务要求</w:t>
      </w:r>
    </w:p>
    <w:p w14:paraId="482A3552">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（一）总体目标</w:t>
      </w:r>
    </w:p>
    <w:p w14:paraId="115620C0">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负责常熟市第二人民医院（台山路院区）能源站内所有设备设施的运行管理工作，根据采购人的要求及实际情况，合理安排工作人员，保证为常熟市第二人民医院（台山路院区）提供安全、稳定的能源供给。</w:t>
      </w:r>
    </w:p>
    <w:p w14:paraId="60ADA6E9">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（二）人员要求</w:t>
      </w:r>
    </w:p>
    <w:p w14:paraId="6BEAE139">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1、项目组人员要求：根据工作需要，投标人需安排1名项目经理、</w:t>
      </w:r>
      <w:r>
        <w:rPr>
          <w:rFonts w:hint="eastAsia" w:ascii="宋体" w:hAnsi="宋体" w:eastAsia="宋体" w:cs="宋体"/>
          <w:color w:val="auto"/>
          <w:sz w:val="24"/>
          <w:szCs w:val="24"/>
          <w:highlight w:val="none"/>
          <w:lang w:val="en-US" w:eastAsia="zh-CN"/>
        </w:rPr>
        <w:t>8名运维人员</w:t>
      </w:r>
      <w:r>
        <w:rPr>
          <w:rFonts w:hint="eastAsia" w:ascii="宋体" w:hAnsi="宋体" w:eastAsia="宋体" w:cs="宋体"/>
          <w:color w:val="auto"/>
          <w:sz w:val="24"/>
          <w:szCs w:val="24"/>
          <w:highlight w:val="none"/>
        </w:rPr>
        <w:t>负责能源站运维服务工作（可随时接受采购人的临时性工作安排）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合同期内需配合</w:t>
      </w:r>
      <w:r>
        <w:rPr>
          <w:rFonts w:hint="eastAsia" w:ascii="宋体" w:hAnsi="宋体" w:eastAsia="宋体" w:cs="宋体"/>
          <w:color w:val="000000"/>
          <w:sz w:val="24"/>
          <w:szCs w:val="24"/>
          <w:highlight w:val="none"/>
          <w:lang w:val="en-US" w:eastAsia="zh-CN"/>
        </w:rPr>
        <w:t>采购人后勤一站式服务中心的组建，所有运维人员需服从采购人工作安排</w:t>
      </w:r>
      <w:r>
        <w:rPr>
          <w:rFonts w:hint="eastAsia" w:ascii="宋体" w:hAnsi="宋体" w:eastAsia="宋体" w:cs="宋体"/>
          <w:color w:val="auto"/>
          <w:sz w:val="24"/>
          <w:szCs w:val="24"/>
          <w:highlight w:val="none"/>
        </w:rPr>
        <w:t>。</w:t>
      </w:r>
    </w:p>
    <w:p w14:paraId="6278C6B3">
      <w:pPr>
        <w:autoSpaceDE w:val="0"/>
        <w:autoSpaceDN w:val="0"/>
        <w:adjustRightInd w:val="0"/>
        <w:spacing w:line="44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2、项目经理的要求：</w:t>
      </w:r>
    </w:p>
    <w:p w14:paraId="2A713E46">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负责做好运营服务规章制度和细则制定、系统规划年度工作计划，制定标准化、规范化的工作流程；负责为重大决策事项提供数据支持和专项研究报告；管理协调运营与维修人员的工作，确保运营服务系统整体功能发挥，对重大问题上报医院和公司共同商量裁决；</w:t>
      </w:r>
    </w:p>
    <w:p w14:paraId="0A390521">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负责组织制定运营服务部责任制考核制度和考核工作实施细则，按月考核评分及时公布；</w:t>
      </w:r>
    </w:p>
    <w:p w14:paraId="0D2AD7FF">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负责审查运营服务人员提交的各种工作汇报，评估工作效率并对存在的问题加以处理，定期听取直接下级述职，并做出工作评定；</w:t>
      </w:r>
    </w:p>
    <w:p w14:paraId="405B84DD">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负责指导、管理、监督运营服务部下属人员的工作，改善工作质量和服务态度，做好下属人员的绩效考核和奖励惩罚；</w:t>
      </w:r>
    </w:p>
    <w:p w14:paraId="411AF79C">
      <w:pPr>
        <w:autoSpaceDE w:val="0"/>
        <w:autoSpaceDN w:val="0"/>
        <w:adjustRightInd w:val="0"/>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负责组织对运营服务人员的技能培训</w:t>
      </w:r>
      <w:r>
        <w:rPr>
          <w:rFonts w:hint="eastAsia" w:ascii="宋体" w:hAnsi="宋体" w:eastAsia="宋体" w:cs="宋体"/>
          <w:b w:val="0"/>
          <w:bCs w:val="0"/>
          <w:color w:val="auto"/>
          <w:sz w:val="24"/>
          <w:szCs w:val="24"/>
          <w:highlight w:val="none"/>
        </w:rPr>
        <w:t>。</w:t>
      </w:r>
    </w:p>
    <w:p w14:paraId="36F3ED83">
      <w:pPr>
        <w:autoSpaceDE w:val="0"/>
        <w:autoSpaceDN w:val="0"/>
        <w:adjustRightInd w:val="0"/>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3、运维人员的要求：</w:t>
      </w:r>
    </w:p>
    <w:p w14:paraId="51554634">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3.1运维人员</w:t>
      </w:r>
      <w:r>
        <w:rPr>
          <w:rFonts w:hint="eastAsia" w:ascii="宋体" w:hAnsi="宋体" w:eastAsia="宋体" w:cs="宋体"/>
          <w:b/>
          <w:bCs/>
          <w:color w:val="auto"/>
          <w:sz w:val="24"/>
          <w:szCs w:val="24"/>
          <w:highlight w:val="none"/>
        </w:rPr>
        <w:t>中至少有一人持有《特种设备</w:t>
      </w:r>
      <w:r>
        <w:rPr>
          <w:rFonts w:hint="eastAsia" w:ascii="宋体" w:hAnsi="宋体" w:eastAsia="宋体" w:cs="宋体"/>
          <w:b/>
          <w:bCs/>
          <w:color w:val="auto"/>
          <w:sz w:val="24"/>
          <w:szCs w:val="24"/>
          <w:highlight w:val="none"/>
          <w:lang w:val="en-US" w:eastAsia="zh-CN"/>
        </w:rPr>
        <w:t>操作</w:t>
      </w:r>
      <w:r>
        <w:rPr>
          <w:rFonts w:hint="eastAsia" w:ascii="宋体" w:hAnsi="宋体" w:eastAsia="宋体" w:cs="宋体"/>
          <w:b/>
          <w:bCs/>
          <w:color w:val="auto"/>
          <w:sz w:val="24"/>
          <w:szCs w:val="24"/>
          <w:highlight w:val="none"/>
        </w:rPr>
        <w:t>证》（</w:t>
      </w:r>
      <w:r>
        <w:rPr>
          <w:rFonts w:hint="eastAsia" w:ascii="宋体" w:hAnsi="宋体" w:eastAsia="宋体" w:cs="宋体"/>
          <w:b/>
          <w:bCs/>
          <w:color w:val="auto"/>
          <w:sz w:val="24"/>
          <w:szCs w:val="24"/>
          <w:highlight w:val="none"/>
          <w:lang w:val="en-US" w:eastAsia="zh-CN"/>
        </w:rPr>
        <w:t>操作</w:t>
      </w:r>
      <w:r>
        <w:rPr>
          <w:rFonts w:hint="eastAsia" w:ascii="宋体" w:hAnsi="宋体" w:eastAsia="宋体" w:cs="宋体"/>
          <w:b/>
          <w:bCs/>
          <w:color w:val="auto"/>
          <w:sz w:val="24"/>
          <w:szCs w:val="24"/>
          <w:highlight w:val="none"/>
        </w:rPr>
        <w:t>项目：</w:t>
      </w:r>
      <w:r>
        <w:rPr>
          <w:rFonts w:hint="eastAsia" w:ascii="宋体" w:hAnsi="宋体" w:eastAsia="宋体" w:cs="宋体"/>
          <w:b/>
          <w:bCs/>
          <w:color w:val="auto"/>
          <w:sz w:val="24"/>
          <w:szCs w:val="24"/>
          <w:highlight w:val="none"/>
          <w:lang w:val="en-US" w:eastAsia="zh-CN"/>
        </w:rPr>
        <w:t>低压电工作业</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投标文件中提供有效证书扫描件</w:t>
      </w:r>
      <w:r>
        <w:rPr>
          <w:rFonts w:hint="eastAsia" w:ascii="宋体" w:hAnsi="宋体" w:eastAsia="宋体" w:cs="宋体"/>
          <w:b/>
          <w:bCs/>
          <w:color w:val="auto"/>
          <w:sz w:val="24"/>
          <w:szCs w:val="22"/>
          <w:highlight w:val="none"/>
        </w:rPr>
        <w:t>。</w:t>
      </w:r>
    </w:p>
    <w:p w14:paraId="3B0FCF00">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3.2运维人员</w:t>
      </w:r>
      <w:r>
        <w:rPr>
          <w:rFonts w:hint="eastAsia" w:ascii="宋体" w:hAnsi="宋体" w:eastAsia="宋体" w:cs="宋体"/>
          <w:b/>
          <w:bCs/>
          <w:color w:val="auto"/>
          <w:sz w:val="24"/>
          <w:szCs w:val="24"/>
          <w:highlight w:val="none"/>
        </w:rPr>
        <w:t>中至少有一人持有《特种设备</w:t>
      </w:r>
      <w:r>
        <w:rPr>
          <w:rFonts w:hint="eastAsia" w:ascii="宋体" w:hAnsi="宋体" w:eastAsia="宋体" w:cs="宋体"/>
          <w:b/>
          <w:bCs/>
          <w:color w:val="auto"/>
          <w:sz w:val="24"/>
          <w:szCs w:val="24"/>
          <w:highlight w:val="none"/>
          <w:lang w:val="en-US" w:eastAsia="zh-CN"/>
        </w:rPr>
        <w:t>安全管理和</w:t>
      </w:r>
      <w:r>
        <w:rPr>
          <w:rFonts w:hint="eastAsia" w:ascii="宋体" w:hAnsi="宋体" w:eastAsia="宋体" w:cs="宋体"/>
          <w:b/>
          <w:bCs/>
          <w:color w:val="auto"/>
          <w:sz w:val="24"/>
          <w:szCs w:val="24"/>
          <w:highlight w:val="none"/>
        </w:rPr>
        <w:t>作业人员证》（</w:t>
      </w:r>
      <w:r>
        <w:rPr>
          <w:rFonts w:hint="eastAsia" w:ascii="宋体" w:hAnsi="宋体" w:eastAsia="宋体" w:cs="宋体"/>
          <w:b/>
          <w:bCs/>
          <w:color w:val="auto"/>
          <w:sz w:val="24"/>
          <w:szCs w:val="24"/>
          <w:highlight w:val="none"/>
          <w:lang w:val="en-US" w:eastAsia="zh-CN"/>
        </w:rPr>
        <w:t>种类</w:t>
      </w:r>
      <w:r>
        <w:rPr>
          <w:rFonts w:hint="eastAsia" w:ascii="宋体" w:hAnsi="宋体" w:eastAsia="宋体" w:cs="宋体"/>
          <w:b/>
          <w:bCs/>
          <w:color w:val="auto"/>
          <w:sz w:val="24"/>
          <w:szCs w:val="24"/>
          <w:highlight w:val="none"/>
        </w:rPr>
        <w:t>：锅炉</w:t>
      </w:r>
      <w:r>
        <w:rPr>
          <w:rFonts w:hint="eastAsia" w:ascii="宋体" w:hAnsi="宋体" w:eastAsia="宋体" w:cs="宋体"/>
          <w:b/>
          <w:bCs/>
          <w:color w:val="auto"/>
          <w:sz w:val="24"/>
          <w:szCs w:val="24"/>
          <w:highlight w:val="none"/>
          <w:lang w:val="en-US" w:eastAsia="zh-CN"/>
        </w:rPr>
        <w:t>作业</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投标文件中提供有效证书扫描件</w:t>
      </w:r>
      <w:r>
        <w:rPr>
          <w:rFonts w:hint="eastAsia" w:ascii="宋体" w:hAnsi="宋体" w:eastAsia="宋体" w:cs="宋体"/>
          <w:b/>
          <w:bCs/>
          <w:color w:val="auto"/>
          <w:sz w:val="24"/>
          <w:szCs w:val="24"/>
          <w:highlight w:val="none"/>
        </w:rPr>
        <w:t>。</w:t>
      </w:r>
    </w:p>
    <w:p w14:paraId="05D524D5">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3.3运维人员</w:t>
      </w:r>
      <w:r>
        <w:rPr>
          <w:rFonts w:hint="eastAsia" w:ascii="宋体" w:hAnsi="宋体" w:eastAsia="宋体" w:cs="宋体"/>
          <w:b/>
          <w:bCs/>
          <w:color w:val="auto"/>
          <w:sz w:val="24"/>
          <w:szCs w:val="24"/>
          <w:highlight w:val="none"/>
        </w:rPr>
        <w:t>中至少有一人持有《特种设备</w:t>
      </w:r>
      <w:r>
        <w:rPr>
          <w:rFonts w:hint="eastAsia" w:ascii="宋体" w:hAnsi="宋体" w:eastAsia="宋体" w:cs="宋体"/>
          <w:b/>
          <w:bCs/>
          <w:color w:val="auto"/>
          <w:sz w:val="24"/>
          <w:szCs w:val="24"/>
          <w:highlight w:val="none"/>
          <w:lang w:val="en-US" w:eastAsia="zh-CN"/>
        </w:rPr>
        <w:t>操作</w:t>
      </w:r>
      <w:r>
        <w:rPr>
          <w:rFonts w:hint="eastAsia" w:ascii="宋体" w:hAnsi="宋体" w:eastAsia="宋体" w:cs="宋体"/>
          <w:b/>
          <w:bCs/>
          <w:color w:val="auto"/>
          <w:sz w:val="24"/>
          <w:szCs w:val="24"/>
          <w:highlight w:val="none"/>
        </w:rPr>
        <w:t>证》（</w:t>
      </w:r>
      <w:r>
        <w:rPr>
          <w:rFonts w:hint="eastAsia" w:ascii="宋体" w:hAnsi="宋体" w:eastAsia="宋体" w:cs="宋体"/>
          <w:b/>
          <w:bCs/>
          <w:color w:val="auto"/>
          <w:sz w:val="24"/>
          <w:szCs w:val="24"/>
          <w:highlight w:val="none"/>
          <w:lang w:val="en-US" w:eastAsia="zh-CN"/>
        </w:rPr>
        <w:t>操作</w:t>
      </w:r>
      <w:r>
        <w:rPr>
          <w:rFonts w:hint="eastAsia" w:ascii="宋体" w:hAnsi="宋体" w:eastAsia="宋体" w:cs="宋体"/>
          <w:b/>
          <w:bCs/>
          <w:color w:val="auto"/>
          <w:sz w:val="24"/>
          <w:szCs w:val="24"/>
          <w:highlight w:val="none"/>
        </w:rPr>
        <w:t>项目：</w:t>
      </w:r>
      <w:r>
        <w:rPr>
          <w:rFonts w:hint="eastAsia" w:ascii="宋体" w:hAnsi="宋体" w:eastAsia="宋体" w:cs="宋体"/>
          <w:b/>
          <w:bCs/>
          <w:color w:val="auto"/>
          <w:sz w:val="24"/>
          <w:szCs w:val="24"/>
          <w:highlight w:val="none"/>
          <w:lang w:val="en-US" w:eastAsia="zh-CN"/>
        </w:rPr>
        <w:t>制冷与空调设备运行</w:t>
      </w:r>
      <w:r>
        <w:rPr>
          <w:rFonts w:hint="eastAsia" w:ascii="宋体" w:hAnsi="宋体" w:eastAsia="宋体" w:cs="宋体"/>
          <w:b/>
          <w:bCs/>
          <w:color w:val="auto"/>
          <w:sz w:val="24"/>
          <w:szCs w:val="24"/>
          <w:highlight w:val="none"/>
          <w:lang w:val="en-US" w:eastAsia="zh-CN"/>
        </w:rPr>
        <w:t>作业</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投标文件中提供有效证书扫描件</w:t>
      </w:r>
      <w:r>
        <w:rPr>
          <w:rFonts w:hint="eastAsia" w:ascii="宋体" w:hAnsi="宋体" w:eastAsia="宋体" w:cs="宋体"/>
          <w:b/>
          <w:bCs/>
          <w:color w:val="auto"/>
          <w:sz w:val="24"/>
          <w:szCs w:val="24"/>
          <w:highlight w:val="none"/>
          <w:lang w:eastAsia="zh-CN"/>
        </w:rPr>
        <w:t>。</w:t>
      </w:r>
    </w:p>
    <w:p w14:paraId="54878CAB">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3.4各系统操作人员在履行各系统操作的基本职责基础上，还要满足节能岗位职责要求：</w:t>
      </w:r>
    </w:p>
    <w:p w14:paraId="605BECE2">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3.4.1需按规定的班次值班，不能迟到、早退、无故缺勤，不能私自调班、顶班，因故不能值班者必须向主管领导请假；</w:t>
      </w:r>
    </w:p>
    <w:p w14:paraId="4AB163FE">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3.4.2需按值班期间的室外气象情况和室内负荷情况，从安全、经济的角度，参照有关规定拟出值班期间的运行调节方案，并认真实施。</w:t>
      </w:r>
    </w:p>
    <w:p w14:paraId="41FEA6B4">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3.4.3需把停止的各系统运行起来时，在开机前要对有关设备与装置进行检查，做好运行前的准备工作，如无异常情况，准备工作也已就绪才可开机；开机要严格按照有关规程规定的操作程序认真、正确地操作，严禁违章操作，各设备启动后应马上巡视一次，观察设备运转是否正常；</w:t>
      </w:r>
    </w:p>
    <w:p w14:paraId="3345A02A">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3.4.4认真做好运行记录，读数要准确，填写要清楚，写错了只能重写，不能涂改；</w:t>
      </w:r>
    </w:p>
    <w:p w14:paraId="674E2841">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3.4.5按照巡回检查制度的要求，对中央空调系统的各设备、装置进行巡回检查；</w:t>
      </w:r>
    </w:p>
    <w:p w14:paraId="72CFCBF2">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3.4.6不能擅离职守，不能睡觉，不能做与值班工作无关的事情；要勤巡视、勤检查、勤调节；注意倾听运转设备的声音，感测设备的温度，观察仪表的指示情况，发现问题或故障要及时处理，并在运行记录表上做好详细记录，重大的及处理不了的问题和故障要立即向上级主管报告；</w:t>
      </w:r>
    </w:p>
    <w:p w14:paraId="33DEE41E">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3.4.7负责值班期间整个能源站的管理，来人参观必须有主管部门人员的陪同，并做好相关记录；</w:t>
      </w:r>
    </w:p>
    <w:p w14:paraId="7F9CACC6">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3.4.8保持值班室和机房的整洁，并按有关制度的规定做好各系统的维护保养工作；</w:t>
      </w:r>
    </w:p>
    <w:p w14:paraId="168F4E71">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3.4.9值班期间不得饮酒，不准在值班室和机房内吸烟；</w:t>
      </w:r>
    </w:p>
    <w:p w14:paraId="3F481BB4">
      <w:pPr>
        <w:autoSpaceDE w:val="0"/>
        <w:autoSpaceDN w:val="0"/>
        <w:adjustRightInd w:val="0"/>
        <w:snapToGrid/>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3.4.10要严格按交接班制度进行交接班。</w:t>
      </w:r>
    </w:p>
    <w:p w14:paraId="54E45B93">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（三）具体运维要求</w:t>
      </w:r>
    </w:p>
    <w:p w14:paraId="59FF66B6">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1、投标人应根据冷、热负荷特点、系统特性及电力供应状况等因素，经技术经济比较，制定合理的全年运行策略，并制定相应的操作规程。</w:t>
      </w:r>
    </w:p>
    <w:p w14:paraId="6BC2B70A">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2、在日常运行中，投标人应根据日冷、热负荷变化的特点选择合理的运行模式。</w:t>
      </w:r>
    </w:p>
    <w:p w14:paraId="4B6EE323">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3、投标人应按照国家标准安全运行锅炉，并做好运行记录；负责制冷系统的工作人员须具备相应系统操作和日常监控的知识与经验，并做好运行记录。</w:t>
      </w:r>
    </w:p>
    <w:p w14:paraId="7DE7DBE4">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4、每日进行安全自查，定期接受技术监督局安全检查。</w:t>
      </w:r>
    </w:p>
    <w:p w14:paraId="0B42837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5、每天对蒸汽系统、生活热水系统巡视，保障系统正常运行，并对每次巡视做好记录。</w:t>
      </w:r>
    </w:p>
    <w:p w14:paraId="3DA9F1FA">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6、采暖期（制冷期），每天对采暖系统（制冷系统）巡视，保障系统正常运行，并对每次巡视做好记录。</w:t>
      </w:r>
    </w:p>
    <w:p w14:paraId="6BC62E53">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7、根据设备设施的实际情况，定期提供主要设备检修和维护保养方案（采购人承担设备的检修和维护保养费用）。</w:t>
      </w:r>
    </w:p>
    <w:p w14:paraId="3282D818">
      <w:pPr>
        <w:spacing w:line="440" w:lineRule="exact"/>
        <w:ind w:firstLine="480" w:firstLineChars="200"/>
        <w:rPr>
          <w:rFonts w:hint="eastAsia" w:ascii="宋体" w:hAnsi="宋体" w:eastAsia="宋体" w:cs="宋体"/>
          <w:color w:val="auto"/>
          <w:sz w:val="24"/>
          <w:szCs w:val="24"/>
          <w:highlight w:val="none"/>
        </w:rPr>
      </w:pPr>
      <w:bookmarkStart w:id="279" w:name="_Toc40698082"/>
      <w:bookmarkStart w:id="280" w:name="_Toc40698669"/>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设备检修及</w:t>
      </w:r>
      <w:r>
        <w:rPr>
          <w:rFonts w:hint="eastAsia" w:ascii="宋体" w:hAnsi="宋体" w:eastAsia="宋体" w:cs="宋体"/>
          <w:color w:val="auto"/>
          <w:sz w:val="24"/>
          <w:szCs w:val="24"/>
          <w:highlight w:val="none"/>
          <w:lang w:val="en-US" w:eastAsia="zh-CN"/>
        </w:rPr>
        <w:t>日常</w:t>
      </w:r>
      <w:r>
        <w:rPr>
          <w:rFonts w:hint="eastAsia" w:ascii="宋体" w:hAnsi="宋体" w:eastAsia="宋体" w:cs="宋体"/>
          <w:color w:val="auto"/>
          <w:sz w:val="24"/>
          <w:szCs w:val="24"/>
          <w:highlight w:val="none"/>
        </w:rPr>
        <w:t>维护</w:t>
      </w:r>
      <w:bookmarkEnd w:id="279"/>
      <w:bookmarkEnd w:id="280"/>
    </w:p>
    <w:p w14:paraId="79D4459C">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应对系统设备巡检发现的问题和故障进行日常维护，同时根据系统和设备特点，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对各系统的设备设施、管道系统等定期提供</w:t>
      </w:r>
      <w:r>
        <w:rPr>
          <w:rFonts w:hint="eastAsia" w:ascii="宋体" w:hAnsi="宋体" w:eastAsia="宋体" w:cs="宋体"/>
          <w:color w:val="auto"/>
          <w:sz w:val="24"/>
          <w:szCs w:val="24"/>
          <w:highlight w:val="none"/>
          <w:lang w:val="en-US" w:eastAsia="zh-CN"/>
        </w:rPr>
        <w:t>日常</w:t>
      </w:r>
      <w:r>
        <w:rPr>
          <w:rFonts w:hint="eastAsia" w:ascii="宋体" w:hAnsi="宋体" w:eastAsia="宋体" w:cs="宋体"/>
          <w:color w:val="auto"/>
          <w:sz w:val="24"/>
          <w:szCs w:val="24"/>
          <w:highlight w:val="none"/>
        </w:rPr>
        <w:t>维护保养方案。主要</w:t>
      </w:r>
      <w:r>
        <w:rPr>
          <w:rFonts w:hint="eastAsia" w:ascii="宋体" w:hAnsi="宋体" w:eastAsia="宋体" w:cs="宋体"/>
          <w:color w:val="auto"/>
          <w:sz w:val="24"/>
          <w:szCs w:val="24"/>
          <w:highlight w:val="none"/>
          <w:lang w:val="en-US" w:eastAsia="zh-CN"/>
        </w:rPr>
        <w:t>针</w:t>
      </w:r>
      <w:r>
        <w:rPr>
          <w:rFonts w:hint="eastAsia" w:ascii="宋体" w:hAnsi="宋体" w:eastAsia="宋体" w:cs="宋体"/>
          <w:color w:val="auto"/>
          <w:sz w:val="24"/>
          <w:szCs w:val="24"/>
          <w:highlight w:val="none"/>
        </w:rPr>
        <w:t>对冷水机组、水泵机组、冷却塔风机、燃气热水锅炉、蒸汽锅炉等的检修维护保养，其具体的维护保养内容</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如下：</w:t>
      </w:r>
    </w:p>
    <w:p w14:paraId="0CC4DE95">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冷水机组的</w:t>
      </w:r>
      <w:r>
        <w:rPr>
          <w:rFonts w:hint="eastAsia" w:ascii="宋体" w:hAnsi="宋体" w:eastAsia="宋体" w:cs="宋体"/>
          <w:color w:val="auto"/>
          <w:sz w:val="24"/>
          <w:szCs w:val="24"/>
          <w:highlight w:val="none"/>
          <w:lang w:val="en-US" w:eastAsia="zh-CN"/>
        </w:rPr>
        <w:t>检修及日常</w:t>
      </w:r>
      <w:r>
        <w:rPr>
          <w:rFonts w:hint="eastAsia" w:ascii="宋体" w:hAnsi="宋体" w:eastAsia="宋体" w:cs="宋体"/>
          <w:color w:val="auto"/>
          <w:sz w:val="24"/>
          <w:szCs w:val="24"/>
          <w:highlight w:val="none"/>
        </w:rPr>
        <w:t>维护</w:t>
      </w:r>
      <w:r>
        <w:rPr>
          <w:rFonts w:hint="eastAsia" w:ascii="宋体" w:hAnsi="宋体" w:eastAsia="宋体" w:cs="宋体"/>
          <w:color w:val="auto"/>
          <w:sz w:val="24"/>
          <w:szCs w:val="24"/>
          <w:highlight w:val="none"/>
          <w:lang w:eastAsia="zh-CN"/>
        </w:rPr>
        <w:t>：</w:t>
      </w:r>
    </w:p>
    <w:p w14:paraId="322E2561">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检查螺丝、螺栓、螺母及接头紧密性，适当紧固以消除振动，防止泄漏，机体无漏水、漏油、漏冷媒。机组润滑、冷却、制冷系统检查；机组电气系统检查养。</w:t>
      </w:r>
    </w:p>
    <w:p w14:paraId="55DB4B20">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（2）水泵的检修及</w:t>
      </w:r>
      <w:r>
        <w:rPr>
          <w:rFonts w:hint="eastAsia" w:ascii="宋体" w:hAnsi="宋体" w:eastAsia="宋体" w:cs="宋体"/>
          <w:color w:val="auto"/>
          <w:sz w:val="24"/>
          <w:szCs w:val="24"/>
          <w:highlight w:val="none"/>
          <w:lang w:val="en-US" w:eastAsia="zh-CN"/>
        </w:rPr>
        <w:t>日常</w:t>
      </w:r>
      <w:r>
        <w:rPr>
          <w:rFonts w:hint="eastAsia" w:ascii="宋体" w:hAnsi="宋体" w:eastAsia="宋体" w:cs="宋体"/>
          <w:color w:val="auto"/>
          <w:sz w:val="24"/>
          <w:szCs w:val="24"/>
          <w:highlight w:val="none"/>
        </w:rPr>
        <w:t>维护</w:t>
      </w:r>
      <w:r>
        <w:rPr>
          <w:rFonts w:hint="eastAsia" w:ascii="宋体" w:hAnsi="宋体" w:eastAsia="宋体" w:cs="宋体"/>
          <w:color w:val="auto"/>
          <w:sz w:val="24"/>
          <w:szCs w:val="24"/>
          <w:highlight w:val="none"/>
          <w:lang w:eastAsia="zh-CN"/>
        </w:rPr>
        <w:t>：</w:t>
      </w:r>
    </w:p>
    <w:p w14:paraId="01020C0A">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及时处理日常巡检中发现的水泵运行问题。检查机体基础无异常，机体螺丝无松动，外表无生锈现象； 运行时机体无异常振动、无异常噪音，轴承无异响；连轴器定期检查减震胶是否磨损、连轴器间隙是否异常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无异物堵塞电机散热风扇，电机机体无明显积灰；运行时电机、轴承温度小于80度</w:t>
      </w:r>
    </w:p>
    <w:p w14:paraId="541B8060">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（3）冷却塔的检修</w:t>
      </w:r>
      <w:r>
        <w:rPr>
          <w:rFonts w:hint="eastAsia" w:ascii="宋体" w:hAnsi="宋体" w:eastAsia="宋体" w:cs="宋体"/>
          <w:color w:val="auto"/>
          <w:sz w:val="24"/>
          <w:szCs w:val="24"/>
          <w:highlight w:val="none"/>
          <w:lang w:val="en-US" w:eastAsia="zh-CN"/>
        </w:rPr>
        <w:t>及日常</w:t>
      </w:r>
      <w:r>
        <w:rPr>
          <w:rFonts w:hint="eastAsia" w:ascii="宋体" w:hAnsi="宋体" w:eastAsia="宋体" w:cs="宋体"/>
          <w:color w:val="auto"/>
          <w:sz w:val="24"/>
          <w:szCs w:val="24"/>
          <w:highlight w:val="none"/>
        </w:rPr>
        <w:t>维护</w:t>
      </w:r>
      <w:r>
        <w:rPr>
          <w:rFonts w:hint="eastAsia" w:ascii="宋体" w:hAnsi="宋体" w:eastAsia="宋体" w:cs="宋体"/>
          <w:color w:val="auto"/>
          <w:sz w:val="24"/>
          <w:szCs w:val="24"/>
          <w:highlight w:val="none"/>
          <w:lang w:eastAsia="zh-CN"/>
        </w:rPr>
        <w:t>：</w:t>
      </w:r>
    </w:p>
    <w:p w14:paraId="72D8E717">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每周检查一次电机风扇转动是否灵活，风叶螺栓紧固，转动是否有振动；对于使用皮带减速装置的电机，每半月检查一次皮带转动时松紧状况，调节松紧度或进行损坏更换；检查皮带是否开裂或磨损严重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每半月检查一次补水浮球阀动作是否可靠，否则应修复；冬季冷却塔停止使用期间，避免可能发生的冰冻现象，应将集水盘（槽）和管道中的水全部放光，以免冻坏设备和管道；</w:t>
      </w:r>
    </w:p>
    <w:p w14:paraId="245731CE">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（4）燃气热水锅炉的检修</w:t>
      </w:r>
      <w:r>
        <w:rPr>
          <w:rFonts w:hint="eastAsia" w:ascii="宋体" w:hAnsi="宋体" w:eastAsia="宋体" w:cs="宋体"/>
          <w:color w:val="auto"/>
          <w:sz w:val="24"/>
          <w:szCs w:val="24"/>
          <w:highlight w:val="none"/>
          <w:lang w:val="en-US" w:eastAsia="zh-CN"/>
        </w:rPr>
        <w:t>及日常</w:t>
      </w:r>
      <w:r>
        <w:rPr>
          <w:rFonts w:hint="eastAsia" w:ascii="宋体" w:hAnsi="宋体" w:eastAsia="宋体" w:cs="宋体"/>
          <w:color w:val="auto"/>
          <w:sz w:val="24"/>
          <w:szCs w:val="24"/>
          <w:highlight w:val="none"/>
        </w:rPr>
        <w:t>维护</w:t>
      </w:r>
    </w:p>
    <w:p w14:paraId="14A302A7">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检查锅炉出水阀、回水阀、排污阀是否严密；检查烟道门、防爆门是否正常；检查水循环系统是否漏水；检查烟道是否有漏风带水情况。</w:t>
      </w:r>
    </w:p>
    <w:p w14:paraId="1206435E">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蒸汽锅炉的检修</w:t>
      </w:r>
      <w:r>
        <w:rPr>
          <w:rFonts w:hint="eastAsia" w:ascii="宋体" w:hAnsi="宋体" w:eastAsia="宋体" w:cs="宋体"/>
          <w:color w:val="auto"/>
          <w:sz w:val="24"/>
          <w:szCs w:val="24"/>
          <w:highlight w:val="none"/>
          <w:lang w:val="en-US" w:eastAsia="zh-CN"/>
        </w:rPr>
        <w:t>及日常</w:t>
      </w:r>
      <w:r>
        <w:rPr>
          <w:rFonts w:hint="eastAsia" w:ascii="宋体" w:hAnsi="宋体" w:eastAsia="宋体" w:cs="宋体"/>
          <w:color w:val="auto"/>
          <w:sz w:val="24"/>
          <w:szCs w:val="24"/>
          <w:highlight w:val="none"/>
        </w:rPr>
        <w:t>保养</w:t>
      </w:r>
    </w:p>
    <w:p w14:paraId="0BE0817E">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检查水位计、安全阀、压力表是否正常；检查烟道是否有漏风带水情况；检查锅炉本体受热面是否受损；</w:t>
      </w:r>
    </w:p>
    <w:p w14:paraId="2408FCEF">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要不断提出节能降耗的建议和技改措施。</w:t>
      </w:r>
    </w:p>
    <w:p w14:paraId="58E5D179">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（四）档案管理要求</w:t>
      </w:r>
    </w:p>
    <w:p w14:paraId="2F9DFDC9">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1、档案包括管理性档案和运行档案，应存放整齐，便于查找、核对，并应分门别类建立资料清册。</w:t>
      </w:r>
    </w:p>
    <w:p w14:paraId="6B95086A">
      <w:pPr>
        <w:autoSpaceDE w:val="0"/>
        <w:autoSpaceDN w:val="0"/>
        <w:adjustRightInd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2、管理性档案应包括人员培训和考核，安全管理，应急预案演练记录管理，配件及耗材使用管理等内容。</w:t>
      </w:r>
    </w:p>
    <w:p w14:paraId="5E627080">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行档案应包括值班记录，报修服务记录，设备和系统部件的维修和更换情况记录，事故分析处理记录，外来人员进出登记，交接班记录，设备运行记录，巡回检查记录，维护保养记录，运行工作日志，系统运行总结和分析资料，能源消耗和分析记录等内容。</w:t>
      </w:r>
    </w:p>
    <w:p w14:paraId="5B570E7E">
      <w:pPr>
        <w:autoSpaceDE w:val="0"/>
        <w:autoSpaceDN w:val="0"/>
        <w:adjustRightInd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监督及验收</w:t>
      </w:r>
      <w:r>
        <w:rPr>
          <w:rFonts w:hint="eastAsia" w:ascii="宋体" w:hAnsi="宋体" w:eastAsia="宋体" w:cs="宋体"/>
          <w:b/>
          <w:bCs/>
          <w:color w:val="auto"/>
          <w:sz w:val="24"/>
          <w:szCs w:val="24"/>
          <w:highlight w:val="none"/>
        </w:rPr>
        <w:t>要求</w:t>
      </w:r>
    </w:p>
    <w:p w14:paraId="32952F86">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1、投标人</w:t>
      </w:r>
      <w:r>
        <w:rPr>
          <w:rFonts w:hint="eastAsia" w:ascii="宋体" w:hAnsi="宋体" w:eastAsia="宋体" w:cs="宋体"/>
          <w:color w:val="auto"/>
          <w:sz w:val="24"/>
          <w:szCs w:val="24"/>
          <w:highlight w:val="none"/>
          <w:lang w:val="zh-CN"/>
        </w:rPr>
        <w:t>在项目实施期间应无条件的接受采购人的监督管理，对采购人提出的质量问题要及时整改。</w:t>
      </w:r>
    </w:p>
    <w:p w14:paraId="38542028">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中标人必须在规定的时间内，保质保量完成服务工作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接到采购人通知后，应及时响应。项目实施过程中人员不得随意更换，如遇特殊情况需调换，必须征得采购人同意。</w:t>
      </w:r>
    </w:p>
    <w:p w14:paraId="3E69D127">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验收标准：根据招标文件、中标人的投标文件、双方签订的合同文件及其附件</w:t>
      </w:r>
      <w:r>
        <w:rPr>
          <w:rFonts w:hint="eastAsia" w:ascii="宋体" w:hAnsi="宋体" w:eastAsia="宋体" w:cs="宋体"/>
          <w:color w:val="auto"/>
          <w:sz w:val="24"/>
          <w:szCs w:val="24"/>
          <w:highlight w:val="none"/>
          <w:lang w:eastAsia="zh-CN"/>
        </w:rPr>
        <w:t>。</w:t>
      </w:r>
    </w:p>
    <w:p w14:paraId="69C76A09">
      <w:pPr>
        <w:autoSpaceDE w:val="0"/>
        <w:autoSpaceDN w:val="0"/>
        <w:adjustRightInd w:val="0"/>
        <w:spacing w:line="440" w:lineRule="exact"/>
        <w:ind w:firstLine="480" w:firstLineChars="200"/>
        <w:rPr>
          <w:rFonts w:hint="eastAsia" w:ascii="宋体" w:hAnsi="宋体" w:eastAsia="宋体" w:cs="宋体"/>
          <w:color w:val="auto"/>
          <w:sz w:val="24"/>
          <w:szCs w:val="24"/>
          <w:highlight w:val="none"/>
          <w:lang w:val="en-US" w:eastAsia="zh-CN"/>
        </w:rPr>
      </w:pPr>
    </w:p>
    <w:p w14:paraId="1CBC5766">
      <w:pPr>
        <w:numPr>
          <w:ilvl w:val="0"/>
          <w:numId w:val="4"/>
        </w:num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投标报价要求：</w:t>
      </w:r>
    </w:p>
    <w:p w14:paraId="7E614529">
      <w:pPr>
        <w:numPr>
          <w:ilvl w:val="0"/>
          <w:numId w:val="0"/>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投标人须对本项目中要求的所有服务进行投报，不得拆开投报或只投其中的部分内容，否则作无效投标处理。</w:t>
      </w:r>
    </w:p>
    <w:p w14:paraId="34592F93">
      <w:pPr>
        <w:numPr>
          <w:ilvl w:val="0"/>
          <w:numId w:val="0"/>
        </w:num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项目实施过程中由采购人承担的项目及费用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sz w:val="24"/>
          <w:szCs w:val="24"/>
          <w:highlight w:val="none"/>
        </w:rPr>
        <w:t>值班室</w:t>
      </w:r>
      <w:r>
        <w:rPr>
          <w:rFonts w:hint="eastAsia" w:ascii="宋体" w:hAnsi="宋体" w:eastAsia="宋体" w:cs="宋体"/>
          <w:color w:val="auto"/>
          <w:sz w:val="24"/>
          <w:szCs w:val="24"/>
          <w:highlight w:val="none"/>
          <w:lang w:eastAsia="zh-CN"/>
        </w:rPr>
        <w:t>。</w:t>
      </w:r>
    </w:p>
    <w:p w14:paraId="0416146E">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、投标应以人民币报价，投标总价为二年服务期限内完成本项目服务所需的所有费用，包括：人工费</w:t>
      </w:r>
      <w:r>
        <w:rPr>
          <w:rFonts w:hint="eastAsia" w:ascii="宋体" w:hAnsi="宋体" w:eastAsia="宋体" w:cs="宋体"/>
          <w:color w:val="auto"/>
          <w:sz w:val="24"/>
          <w:highlight w:val="none"/>
        </w:rPr>
        <w:t>（包括人员工资、社会保险费用、福利费、加班费、人身意外伤害险、</w:t>
      </w:r>
      <w:r>
        <w:rPr>
          <w:rFonts w:hint="eastAsia" w:ascii="宋体" w:hAnsi="宋体" w:eastAsia="宋体" w:cs="宋体"/>
          <w:bCs/>
          <w:color w:val="auto"/>
          <w:sz w:val="24"/>
          <w:szCs w:val="24"/>
          <w:highlight w:val="none"/>
        </w:rPr>
        <w:t>培训费</w:t>
      </w:r>
      <w:r>
        <w:rPr>
          <w:rFonts w:hint="eastAsia" w:ascii="宋体" w:hAnsi="宋体" w:eastAsia="宋体" w:cs="宋体"/>
          <w:color w:val="auto"/>
          <w:sz w:val="24"/>
          <w:highlight w:val="none"/>
        </w:rPr>
        <w:t>等）</w:t>
      </w:r>
      <w:r>
        <w:rPr>
          <w:rFonts w:hint="eastAsia" w:ascii="宋体" w:hAnsi="宋体" w:eastAsia="宋体" w:cs="宋体"/>
          <w:color w:val="auto"/>
          <w:sz w:val="24"/>
          <w:szCs w:val="24"/>
          <w:highlight w:val="none"/>
        </w:rPr>
        <w:t>、驻场费、</w:t>
      </w:r>
      <w:r>
        <w:rPr>
          <w:rFonts w:hint="eastAsia" w:ascii="宋体" w:hAnsi="宋体" w:eastAsia="宋体" w:cs="宋体"/>
          <w:color w:val="auto"/>
          <w:sz w:val="24"/>
          <w:highlight w:val="none"/>
        </w:rPr>
        <w:t>作业服装费、</w:t>
      </w:r>
      <w:r>
        <w:rPr>
          <w:rFonts w:hint="eastAsia" w:ascii="宋体" w:hAnsi="宋体" w:eastAsia="宋体" w:cs="宋体"/>
          <w:color w:val="auto"/>
          <w:sz w:val="24"/>
          <w:szCs w:val="24"/>
          <w:highlight w:val="none"/>
        </w:rPr>
        <w:t>设备工具费、印刷费、资料费、通讯费、伙食费、交通费、</w:t>
      </w:r>
      <w:r>
        <w:rPr>
          <w:rFonts w:hint="eastAsia" w:ascii="宋体" w:hAnsi="宋体" w:eastAsia="宋体" w:cs="宋体"/>
          <w:color w:val="auto"/>
          <w:sz w:val="24"/>
          <w:szCs w:val="22"/>
          <w:highlight w:val="none"/>
        </w:rPr>
        <w:t>住宿</w:t>
      </w:r>
      <w:r>
        <w:rPr>
          <w:rFonts w:hint="eastAsia" w:ascii="宋体" w:hAnsi="宋体" w:eastAsia="宋体" w:cs="宋体"/>
          <w:color w:val="auto"/>
          <w:sz w:val="24"/>
          <w:szCs w:val="24"/>
          <w:highlight w:val="none"/>
        </w:rPr>
        <w:t>费、服务费、管理费、风险费、利润、税费及政策性文件规定和合同所包含的所有风险、责任等各项应有费用。</w:t>
      </w:r>
    </w:p>
    <w:p w14:paraId="30905D2C">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b/>
          <w:bCs/>
          <w:color w:val="auto"/>
          <w:sz w:val="24"/>
          <w:highlight w:val="none"/>
        </w:rPr>
        <w:t>请投标人根据自身经验，充分考虑本项目的潜在风险，并自行承担由此而产生的一切费用，采购人不因项目不可预见的情况而支付任何费用</w:t>
      </w:r>
      <w:r>
        <w:rPr>
          <w:rFonts w:hint="eastAsia" w:ascii="宋体" w:hAnsi="宋体" w:eastAsia="宋体" w:cs="宋体"/>
          <w:color w:val="auto"/>
          <w:sz w:val="24"/>
          <w:szCs w:val="24"/>
          <w:highlight w:val="none"/>
        </w:rPr>
        <w:t>。</w:t>
      </w:r>
    </w:p>
    <w:p w14:paraId="7099D0D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2"/>
          <w:highlight w:val="none"/>
        </w:rPr>
        <w:t>投标人在投标报价时应考虑各种风险因素，</w:t>
      </w:r>
      <w:r>
        <w:rPr>
          <w:rFonts w:hint="eastAsia" w:ascii="宋体" w:hAnsi="宋体" w:eastAsia="宋体" w:cs="宋体"/>
          <w:color w:val="auto"/>
          <w:kern w:val="0"/>
          <w:sz w:val="24"/>
          <w:szCs w:val="24"/>
          <w:highlight w:val="none"/>
        </w:rPr>
        <w:t>并自行承担由此而产生的一切费用，</w:t>
      </w:r>
      <w:r>
        <w:rPr>
          <w:rFonts w:hint="eastAsia" w:ascii="宋体" w:hAnsi="宋体" w:eastAsia="宋体" w:cs="宋体"/>
          <w:color w:val="auto"/>
          <w:sz w:val="24"/>
          <w:szCs w:val="22"/>
          <w:highlight w:val="none"/>
        </w:rPr>
        <w:t>相关风险因素费用包含在投标总价中。</w:t>
      </w:r>
      <w:r>
        <w:rPr>
          <w:rFonts w:hint="eastAsia" w:ascii="宋体" w:hAnsi="宋体" w:eastAsia="宋体" w:cs="宋体"/>
          <w:color w:val="auto"/>
          <w:sz w:val="24"/>
          <w:highlight w:val="none"/>
        </w:rPr>
        <w:t>风险因素包括不可抗力、遇重大检查、突发情况、最低工资调整、社保调整、公积金调整、物价调整、税费调整等</w:t>
      </w:r>
      <w:r>
        <w:rPr>
          <w:rFonts w:hint="eastAsia" w:ascii="宋体" w:hAnsi="宋体" w:eastAsia="宋体" w:cs="宋体"/>
          <w:color w:val="auto"/>
          <w:sz w:val="24"/>
          <w:szCs w:val="24"/>
          <w:highlight w:val="none"/>
        </w:rPr>
        <w:t>。</w:t>
      </w:r>
    </w:p>
    <w:bookmarkEnd w:id="277"/>
    <w:bookmarkEnd w:id="278"/>
    <w:p w14:paraId="2D45AD47">
      <w:pPr>
        <w:spacing w:line="460" w:lineRule="exact"/>
        <w:rPr>
          <w:rFonts w:hint="eastAsia" w:ascii="宋体" w:hAnsi="宋体" w:eastAsia="宋体" w:cs="宋体"/>
          <w:b/>
          <w:bCs/>
          <w:color w:val="auto"/>
          <w:sz w:val="28"/>
          <w:szCs w:val="28"/>
          <w:highlight w:val="none"/>
        </w:rPr>
      </w:pPr>
    </w:p>
    <w:p w14:paraId="78630040">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w:t>
      </w:r>
      <w:r>
        <w:rPr>
          <w:rFonts w:hint="eastAsia" w:ascii="宋体" w:hAnsi="宋体" w:eastAsia="宋体" w:cs="宋体"/>
          <w:b/>
          <w:bCs/>
          <w:color w:val="auto"/>
          <w:sz w:val="28"/>
          <w:szCs w:val="28"/>
          <w:highlight w:val="none"/>
          <w:lang w:val="en-US" w:eastAsia="zh-CN"/>
        </w:rPr>
        <w:t>附件</w:t>
      </w:r>
      <w:r>
        <w:rPr>
          <w:rFonts w:hint="eastAsia" w:ascii="宋体" w:hAnsi="宋体" w:eastAsia="宋体" w:cs="宋体"/>
          <w:b/>
          <w:bCs/>
          <w:color w:val="auto"/>
          <w:sz w:val="28"/>
          <w:szCs w:val="28"/>
          <w:highlight w:val="none"/>
        </w:rPr>
        <w:t>：</w:t>
      </w:r>
    </w:p>
    <w:p w14:paraId="05316A99">
      <w:pPr>
        <w:spacing w:line="440" w:lineRule="exact"/>
        <w:ind w:firstLine="480" w:firstLineChars="200"/>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lang w:eastAsia="zh-CN"/>
        </w:rPr>
        <w:t>附件</w:t>
      </w: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季度</w:t>
      </w:r>
      <w:r>
        <w:rPr>
          <w:rFonts w:hint="eastAsia" w:ascii="宋体" w:hAnsi="宋体" w:eastAsia="宋体" w:cs="宋体"/>
          <w:color w:val="auto"/>
          <w:sz w:val="24"/>
          <w:highlight w:val="none"/>
        </w:rPr>
        <w:t>考核评分表</w:t>
      </w:r>
    </w:p>
    <w:p w14:paraId="63F63DBF">
      <w:pPr>
        <w:spacing w:line="460" w:lineRule="exact"/>
        <w:rPr>
          <w:rFonts w:hint="eastAsia" w:ascii="宋体" w:hAnsi="宋体" w:eastAsia="宋体" w:cs="宋体"/>
          <w:b/>
          <w:bCs/>
          <w:color w:val="auto"/>
          <w:sz w:val="28"/>
          <w:szCs w:val="28"/>
          <w:highlight w:val="none"/>
        </w:rPr>
      </w:pPr>
    </w:p>
    <w:p w14:paraId="70796335">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、其他说明：</w:t>
      </w:r>
    </w:p>
    <w:p w14:paraId="5100B32F">
      <w:pPr>
        <w:spacing w:line="450" w:lineRule="exact"/>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2"/>
          <w:highlight w:val="none"/>
        </w:rPr>
        <w:t>1、</w:t>
      </w:r>
      <w:r>
        <w:rPr>
          <w:rFonts w:hint="eastAsia" w:ascii="宋体" w:hAnsi="宋体" w:eastAsia="宋体" w:cs="宋体"/>
          <w:b/>
          <w:bCs/>
          <w:color w:val="auto"/>
          <w:sz w:val="24"/>
          <w:szCs w:val="24"/>
          <w:highlight w:val="none"/>
        </w:rPr>
        <w:t>本项目“项目需求”中标“★”的相关要求，为本招标文件实质性要求，必须满足，否则将作无效投标处理。</w:t>
      </w:r>
    </w:p>
    <w:p w14:paraId="642060E5">
      <w:pPr>
        <w:widowControl/>
        <w:jc w:val="left"/>
        <w:rPr>
          <w:rFonts w:hint="eastAsia" w:ascii="宋体" w:hAnsi="宋体" w:eastAsia="宋体" w:cs="宋体"/>
          <w:b/>
          <w:color w:val="auto"/>
          <w:sz w:val="36"/>
          <w:highlight w:val="none"/>
        </w:rPr>
      </w:pPr>
      <w:r>
        <w:rPr>
          <w:rFonts w:hint="eastAsia" w:ascii="宋体" w:hAnsi="宋体" w:eastAsia="宋体" w:cs="宋体"/>
          <w:color w:val="auto"/>
          <w:highlight w:val="none"/>
        </w:rPr>
        <w:br w:type="page"/>
      </w:r>
    </w:p>
    <w:p w14:paraId="371C5DEA">
      <w:pPr>
        <w:pStyle w:val="2"/>
        <w:spacing w:line="440" w:lineRule="exact"/>
        <w:rPr>
          <w:rFonts w:hint="eastAsia" w:ascii="宋体" w:hAnsi="宋体" w:eastAsia="宋体" w:cs="宋体"/>
          <w:color w:val="auto"/>
          <w:highlight w:val="none"/>
        </w:rPr>
      </w:pPr>
      <w:bookmarkStart w:id="281" w:name="_Toc5166"/>
      <w:r>
        <w:rPr>
          <w:rFonts w:hint="eastAsia" w:ascii="宋体" w:hAnsi="宋体" w:eastAsia="宋体" w:cs="宋体"/>
          <w:color w:val="auto"/>
          <w:highlight w:val="none"/>
        </w:rPr>
        <w:t>第五章 评审方法与评审标准</w:t>
      </w:r>
      <w:bookmarkEnd w:id="276"/>
      <w:bookmarkEnd w:id="281"/>
    </w:p>
    <w:p w14:paraId="46736686">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一、评标方法</w:t>
      </w:r>
    </w:p>
    <w:p w14:paraId="20F38A06">
      <w:pPr>
        <w:spacing w:line="48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评标办法采用</w:t>
      </w:r>
      <w:r>
        <w:rPr>
          <w:rFonts w:hint="eastAsia" w:ascii="宋体" w:hAnsi="宋体" w:eastAsia="宋体" w:cs="宋体"/>
          <w:b/>
          <w:color w:val="auto"/>
          <w:sz w:val="24"/>
          <w:szCs w:val="24"/>
          <w:highlight w:val="none"/>
        </w:rPr>
        <w:t>综合评分法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5D2553EB">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二、评审因素、权值及评分标准</w:t>
      </w:r>
    </w:p>
    <w:p w14:paraId="33F6EB65">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注：每部分的得分保留小数点后两位，合计得分保留小数点后两位。</w:t>
      </w:r>
    </w:p>
    <w:p w14:paraId="304E81D9">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1、报价得分25分</w:t>
      </w:r>
    </w:p>
    <w:p w14:paraId="64ABB785">
      <w:pPr>
        <w:spacing w:line="440" w:lineRule="exact"/>
        <w:ind w:firstLine="480" w:firstLineChars="200"/>
        <w:rPr>
          <w:rFonts w:hint="eastAsia" w:ascii="宋体" w:hAnsi="宋体" w:eastAsia="宋体" w:cs="宋体"/>
          <w:color w:val="auto"/>
          <w:sz w:val="24"/>
          <w:highlight w:val="none"/>
        </w:rPr>
      </w:pPr>
      <w:bookmarkStart w:id="282" w:name="_Toc29724"/>
      <w:r>
        <w:rPr>
          <w:rFonts w:hint="eastAsia" w:ascii="宋体" w:hAnsi="宋体" w:eastAsia="宋体" w:cs="宋体"/>
          <w:color w:val="auto"/>
          <w:sz w:val="24"/>
          <w:highlight w:val="none"/>
        </w:rPr>
        <w:t>满足招标文件要求且投标价格最低的投标报价为评标基准价，其价格分为25分；其他投标人的价格分按下列公式计算：投标报价得分＝（评标基准价／投标报价）×25分。</w:t>
      </w:r>
    </w:p>
    <w:p w14:paraId="7C94C264">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注：（一）采购人应当在采购文件中明确，政府采购评审中出现下列情形之一的，评审委员会应当启动异常低价投标（响应）审查程序： </w:t>
      </w:r>
    </w:p>
    <w:p w14:paraId="2635F28B">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1.投标（响应）报价低于全部通过符合性审查供应商投标（响应）报价平均值50%的，即投标（响应）报价&lt;全部通过符合性审查供应商投标（响应）报价平均值×50%； </w:t>
      </w:r>
    </w:p>
    <w:p w14:paraId="20BFBBED">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2.投标（响应）报价低于通过符合性审查的次低报价供应商投标（响应）报价50%的，即投标（响应）报价&lt;通过符合性审查的次低报价供应商投标（响应）报价×50%； </w:t>
      </w:r>
    </w:p>
    <w:p w14:paraId="705B9E79">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3.投标（响应）报价低于采购项目最高限价45%的，即投标（响应）报价&lt;采购项目最高限价×45%； </w:t>
      </w:r>
    </w:p>
    <w:p w14:paraId="772DB429">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4.评审委员会基于专业判断，认为供应商报价过低，有可能影响产品质量或者不能诚信履约的其他情形。</w:t>
      </w:r>
    </w:p>
    <w:p w14:paraId="11D09656">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8820ACF">
      <w:pPr>
        <w:keepNext w:val="0"/>
        <w:keepLines w:val="0"/>
        <w:pageBreakBefore w:val="0"/>
        <w:widowControl w:val="0"/>
        <w:tabs>
          <w:tab w:val="left" w:pos="0"/>
        </w:tabs>
        <w:kinsoku/>
        <w:wordWrap/>
        <w:overflowPunct/>
        <w:topLinePunct w:val="0"/>
        <w:autoSpaceDE/>
        <w:autoSpaceDN/>
        <w:bidi w:val="0"/>
        <w:adjustRightInd/>
        <w:snapToGrid/>
        <w:spacing w:line="380" w:lineRule="exact"/>
        <w:ind w:right="-27" w:rightChars="-13"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03D1389">
      <w:pPr>
        <w:spacing w:line="46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auto"/>
          <w:sz w:val="24"/>
          <w:highlight w:val="none"/>
        </w:rPr>
        <w:t>。</w:t>
      </w:r>
    </w:p>
    <w:p w14:paraId="7C1A6564">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2、服务质量保证</w:t>
      </w:r>
      <w:r>
        <w:rPr>
          <w:rFonts w:hint="eastAsia" w:ascii="宋体" w:hAnsi="宋体" w:eastAsia="宋体" w:cs="宋体"/>
          <w:b/>
          <w:color w:val="auto"/>
          <w:sz w:val="24"/>
          <w:szCs w:val="24"/>
          <w:highlight w:val="none"/>
          <w:lang w:val="en-US" w:eastAsia="zh-CN"/>
        </w:rPr>
        <w:t>46</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42"/>
        <w:gridCol w:w="1667"/>
        <w:gridCol w:w="777"/>
        <w:gridCol w:w="6649"/>
      </w:tblGrid>
      <w:tr w14:paraId="7988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742" w:type="dxa"/>
            <w:shd w:val="clear" w:color="000000" w:fill="FFFFFF"/>
            <w:noWrap w:val="0"/>
            <w:tcMar>
              <w:left w:w="108" w:type="dxa"/>
              <w:right w:w="108" w:type="dxa"/>
            </w:tcMar>
            <w:vAlign w:val="center"/>
          </w:tcPr>
          <w:p w14:paraId="17ABBB64">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序号</w:t>
            </w:r>
          </w:p>
        </w:tc>
        <w:tc>
          <w:tcPr>
            <w:tcW w:w="1667" w:type="dxa"/>
            <w:shd w:val="clear" w:color="000000" w:fill="FFFFFF"/>
            <w:noWrap w:val="0"/>
            <w:tcMar>
              <w:left w:w="108" w:type="dxa"/>
              <w:right w:w="108" w:type="dxa"/>
            </w:tcMar>
            <w:vAlign w:val="center"/>
          </w:tcPr>
          <w:p w14:paraId="11FA7AC9">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评审因素</w:t>
            </w:r>
          </w:p>
        </w:tc>
        <w:tc>
          <w:tcPr>
            <w:tcW w:w="777" w:type="dxa"/>
            <w:shd w:val="clear" w:color="000000" w:fill="FFFFFF"/>
            <w:noWrap w:val="0"/>
            <w:tcMar>
              <w:left w:w="108" w:type="dxa"/>
              <w:right w:w="108" w:type="dxa"/>
            </w:tcMar>
            <w:vAlign w:val="center"/>
          </w:tcPr>
          <w:p w14:paraId="56B3813F">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权值</w:t>
            </w:r>
          </w:p>
        </w:tc>
        <w:tc>
          <w:tcPr>
            <w:tcW w:w="6649" w:type="dxa"/>
            <w:shd w:val="clear" w:color="000000" w:fill="FFFFFF"/>
            <w:noWrap w:val="0"/>
            <w:tcMar>
              <w:left w:w="108" w:type="dxa"/>
              <w:right w:w="108" w:type="dxa"/>
            </w:tcMar>
            <w:vAlign w:val="center"/>
          </w:tcPr>
          <w:p w14:paraId="120E555C">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评分标准</w:t>
            </w:r>
          </w:p>
        </w:tc>
      </w:tr>
      <w:tr w14:paraId="2FE24D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636"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BAC044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1</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DBE9FBD">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2"/>
                <w:highlight w:val="none"/>
              </w:rPr>
            </w:pPr>
            <w:r>
              <w:rPr>
                <w:rFonts w:hint="eastAsia" w:ascii="宋体" w:hAnsi="宋体" w:eastAsia="宋体" w:cs="宋体"/>
                <w:sz w:val="24"/>
                <w:szCs w:val="24"/>
                <w:highlight w:val="none"/>
              </w:rPr>
              <w:t>服务响应情况</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6887B61">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2"/>
                <w:highlight w:val="none"/>
              </w:rPr>
            </w:pP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3EC2863">
            <w:pPr>
              <w:numPr>
                <w:ilvl w:val="0"/>
                <w:numId w:val="0"/>
              </w:numPr>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投标人承诺提供的服务全部满足招标文件要求（</w:t>
            </w:r>
            <w:r>
              <w:rPr>
                <w:rFonts w:hint="eastAsia" w:ascii="宋体" w:hAnsi="宋体" w:eastAsia="宋体" w:cs="宋体"/>
                <w:color w:val="auto"/>
                <w:sz w:val="24"/>
                <w:szCs w:val="24"/>
                <w:highlight w:val="none"/>
                <w:lang w:val="en-US" w:eastAsia="zh-CN"/>
              </w:rPr>
              <w:t>共30</w:t>
            </w:r>
            <w:r>
              <w:rPr>
                <w:rFonts w:hint="eastAsia" w:ascii="宋体" w:hAnsi="宋体" w:eastAsia="宋体" w:cs="宋体"/>
                <w:color w:val="auto"/>
                <w:sz w:val="24"/>
                <w:szCs w:val="24"/>
                <w:highlight w:val="none"/>
              </w:rPr>
              <w:t>条）的得基本分</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分；有负偏离条款的，每条扣</w:t>
            </w:r>
            <w:r>
              <w:rPr>
                <w:rFonts w:hint="eastAsia" w:ascii="宋体" w:hAnsi="宋体" w:eastAsia="宋体" w:cs="宋体"/>
                <w:color w:val="auto"/>
                <w:sz w:val="24"/>
                <w:szCs w:val="24"/>
                <w:highlight w:val="none"/>
                <w:lang w:val="en-US" w:eastAsia="zh-CN"/>
              </w:rPr>
              <w:t>0.4</w:t>
            </w:r>
            <w:r>
              <w:rPr>
                <w:rFonts w:hint="eastAsia" w:ascii="宋体" w:hAnsi="宋体" w:eastAsia="宋体" w:cs="宋体"/>
                <w:color w:val="auto"/>
                <w:sz w:val="24"/>
                <w:szCs w:val="24"/>
                <w:highlight w:val="none"/>
              </w:rPr>
              <w:t>分。</w:t>
            </w:r>
          </w:p>
        </w:tc>
      </w:tr>
      <w:tr w14:paraId="715CD9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1064"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C08F707">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rPr>
            </w:pPr>
            <w:r>
              <w:rPr>
                <w:rFonts w:hint="eastAsia" w:ascii="宋体" w:hAnsi="宋体" w:eastAsia="宋体" w:cs="宋体"/>
                <w:sz w:val="24"/>
                <w:highlight w:val="none"/>
              </w:rPr>
              <w:t>2</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73E7B30">
            <w:pPr>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项目服务方案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CFCD50F">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521A56B">
            <w:pPr>
              <w:numPr>
                <w:ilvl w:val="0"/>
                <w:numId w:val="0"/>
              </w:numPr>
              <w:ind w:left="0" w:leftChars="0" w:firstLine="0" w:firstLineChars="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项目服务方案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项）：①</w:t>
            </w:r>
            <w:r>
              <w:rPr>
                <w:rFonts w:hint="eastAsia" w:ascii="宋体" w:hAnsi="宋体" w:eastAsia="宋体" w:cs="宋体"/>
                <w:color w:val="auto"/>
                <w:sz w:val="24"/>
                <w:szCs w:val="24"/>
                <w:highlight w:val="none"/>
                <w:lang w:val="en-US" w:eastAsia="zh-CN"/>
              </w:rPr>
              <w:t>设备检修方案</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日常维保方案、</w:t>
            </w:r>
            <w:r>
              <w:rPr>
                <w:rFonts w:hint="eastAsia" w:ascii="宋体" w:hAnsi="宋体" w:eastAsia="宋体" w:cs="宋体"/>
                <w:sz w:val="24"/>
                <w:szCs w:val="24"/>
                <w:highlight w:val="none"/>
                <w:lang w:val="en-US" w:eastAsia="zh-CN"/>
              </w:rPr>
              <w:t>③人员配置计划、④人员培训方案</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。体现上述评审要点且内容完全贴合项目需求的，每有一项得3分；体现上述评审要点但内容无法完全贴合项目需求的，每有一项得1.5分；未能体现评审要点（或无实质性内容的），对应项得0分。</w:t>
            </w:r>
          </w:p>
        </w:tc>
      </w:tr>
      <w:tr w14:paraId="76949D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47E66D2">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59CD7C0">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质量保证方案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8E09CA0">
            <w:pPr>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752A6C9">
            <w:pPr>
              <w:numPr>
                <w:ilvl w:val="0"/>
                <w:numId w:val="0"/>
              </w:numPr>
              <w:ind w:left="0" w:lef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质量保证方案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项）：①</w:t>
            </w:r>
            <w:r>
              <w:rPr>
                <w:rFonts w:hint="eastAsia" w:ascii="宋体" w:hAnsi="宋体" w:eastAsia="宋体" w:cs="宋体"/>
                <w:sz w:val="24"/>
                <w:szCs w:val="24"/>
                <w:highlight w:val="none"/>
                <w:lang w:val="en-US" w:eastAsia="zh-CN"/>
              </w:rPr>
              <w:t>各项管理制度方案</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安全管理</w:t>
            </w:r>
            <w:r>
              <w:rPr>
                <w:rFonts w:hint="eastAsia" w:ascii="宋体" w:hAnsi="宋体" w:eastAsia="宋体" w:cs="宋体"/>
                <w:sz w:val="24"/>
                <w:szCs w:val="24"/>
                <w:highlight w:val="none"/>
              </w:rPr>
              <w:t>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③应急保障措施方案、④节能降耗的建议和技改措施</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。体现上述评审要点且内容完全贴合项目需求的，每有一项得3分；体现上述评审要点但内容无法完全贴合项目需求的，每有一项得1.5分；未能体现评审要点（或无实质性内容的），对应项得0分。</w:t>
            </w:r>
          </w:p>
        </w:tc>
      </w:tr>
      <w:tr w14:paraId="2F4707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1F2F05D">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08D8382">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档案管理方案</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ADB483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3FFE4B0">
            <w:pPr>
              <w:numPr>
                <w:ilvl w:val="0"/>
                <w:numId w:val="0"/>
              </w:numPr>
              <w:ind w:left="0" w:leftChars="0"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根据投标人提供的</w:t>
            </w:r>
            <w:r>
              <w:rPr>
                <w:rFonts w:hint="eastAsia" w:ascii="宋体" w:hAnsi="宋体" w:eastAsia="宋体" w:cs="宋体"/>
                <w:b/>
                <w:bCs/>
                <w:color w:val="auto"/>
                <w:sz w:val="24"/>
                <w:szCs w:val="24"/>
                <w:highlight w:val="none"/>
                <w:lang w:val="en-US" w:eastAsia="zh-CN"/>
              </w:rPr>
              <w:t>档案管理方案</w:t>
            </w:r>
            <w:r>
              <w:rPr>
                <w:rFonts w:hint="eastAsia" w:ascii="宋体" w:hAnsi="宋体" w:eastAsia="宋体" w:cs="宋体"/>
                <w:color w:val="auto"/>
                <w:sz w:val="24"/>
                <w:szCs w:val="24"/>
                <w:highlight w:val="none"/>
              </w:rPr>
              <w:t>（涉及评审要点（共</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项）：①</w:t>
            </w:r>
            <w:r>
              <w:rPr>
                <w:rFonts w:hint="eastAsia" w:ascii="宋体" w:hAnsi="宋体" w:eastAsia="宋体" w:cs="宋体"/>
                <w:sz w:val="24"/>
                <w:szCs w:val="24"/>
                <w:highlight w:val="none"/>
                <w:lang w:val="en-US" w:eastAsia="zh-CN"/>
              </w:rPr>
              <w:t>管理性档案管理方案</w:t>
            </w:r>
            <w:r>
              <w:rPr>
                <w:rFonts w:hint="eastAsia" w:ascii="宋体" w:hAnsi="宋体" w:eastAsia="宋体" w:cs="宋体"/>
                <w:color w:val="auto"/>
                <w:sz w:val="24"/>
                <w:szCs w:val="24"/>
                <w:highlight w:val="none"/>
              </w:rPr>
              <w:t>、②</w:t>
            </w:r>
            <w:r>
              <w:rPr>
                <w:rFonts w:hint="eastAsia" w:ascii="宋体" w:hAnsi="宋体" w:eastAsia="宋体" w:cs="宋体"/>
                <w:color w:val="auto"/>
                <w:sz w:val="24"/>
                <w:szCs w:val="24"/>
                <w:highlight w:val="none"/>
                <w:lang w:val="en-US" w:eastAsia="zh-CN"/>
              </w:rPr>
              <w:t>运行档案管理</w:t>
            </w:r>
            <w:r>
              <w:rPr>
                <w:rFonts w:hint="eastAsia" w:ascii="宋体" w:hAnsi="宋体" w:eastAsia="宋体" w:cs="宋体"/>
                <w:sz w:val="24"/>
                <w:szCs w:val="24"/>
                <w:highlight w:val="none"/>
              </w:rPr>
              <w:t>方案</w:t>
            </w:r>
            <w:r>
              <w:rPr>
                <w:rFonts w:hint="eastAsia" w:ascii="宋体" w:hAnsi="宋体" w:eastAsia="宋体" w:cs="宋体"/>
                <w:color w:val="auto"/>
                <w:sz w:val="24"/>
                <w:szCs w:val="24"/>
                <w:highlight w:val="none"/>
              </w:rPr>
              <w:t>）进行综合评定，</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r>
              <w:rPr>
                <w:rFonts w:hint="eastAsia" w:ascii="宋体" w:hAnsi="宋体" w:eastAsia="宋体" w:cs="宋体"/>
                <w:color w:val="auto"/>
                <w:sz w:val="24"/>
                <w:szCs w:val="24"/>
                <w:highlight w:val="none"/>
              </w:rPr>
              <w:t>。体现上述评审要点且内容完全贴合项目需求的，每有一项得3分；体现上述评审要点但内容无法完全贴合项目需求的，每有一项得1.5分；未能体现评审要点（或无实质性内容的），对应项得0分。</w:t>
            </w:r>
          </w:p>
        </w:tc>
      </w:tr>
      <w:tr w14:paraId="567DF1D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 w:type="dxa"/>
            <w:bottom w:w="0" w:type="dxa"/>
            <w:right w:w="10" w:type="dxa"/>
          </w:tblCellMar>
        </w:tblPrEx>
        <w:trPr>
          <w:trHeight w:val="711"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06F5B0">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66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F7E3FFA">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服务响应承诺</w:t>
            </w:r>
          </w:p>
        </w:tc>
        <w:tc>
          <w:tcPr>
            <w:tcW w:w="777"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94C9434">
            <w:pPr>
              <w:keepNext w:val="0"/>
              <w:keepLines w:val="0"/>
              <w:pageBreakBefore w:val="0"/>
              <w:kinsoku/>
              <w:wordWrap/>
              <w:overflowPunct/>
              <w:topLinePunct w:val="0"/>
              <w:bidi w:val="0"/>
              <w:adjustRightInd/>
              <w:snapToGrid/>
              <w:spacing w:line="40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4分</w:t>
            </w:r>
          </w:p>
        </w:tc>
        <w:tc>
          <w:tcPr>
            <w:tcW w:w="6649" w:type="dxa"/>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9EBCF30">
            <w:pPr>
              <w:pStyle w:val="22"/>
              <w:ind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根据</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sz w:val="24"/>
                <w:szCs w:val="24"/>
                <w:highlight w:val="none"/>
              </w:rPr>
              <w:t>接到采购人服务通知后的服务响应承诺进行评定。</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sz w:val="24"/>
                <w:szCs w:val="24"/>
                <w:highlight w:val="none"/>
              </w:rPr>
              <w:t>承诺在30分钟（含30分钟）~</w:t>
            </w:r>
            <w:r>
              <w:rPr>
                <w:rFonts w:hint="eastAsia" w:ascii="宋体" w:hAnsi="宋体" w:eastAsia="宋体" w:cs="宋体"/>
                <w:sz w:val="24"/>
                <w:szCs w:val="24"/>
                <w:highlight w:val="none"/>
                <w:lang w:val="en-US" w:eastAsia="zh-CN"/>
              </w:rPr>
              <w:t>60</w:t>
            </w:r>
            <w:r>
              <w:rPr>
                <w:rFonts w:hint="eastAsia" w:ascii="宋体" w:hAnsi="宋体" w:eastAsia="宋体" w:cs="宋体"/>
                <w:sz w:val="24"/>
                <w:szCs w:val="24"/>
                <w:highlight w:val="none"/>
              </w:rPr>
              <w:t>分钟（含</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0分钟）内到达服务现场的得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分；承诺</w:t>
            </w:r>
            <w:r>
              <w:rPr>
                <w:rFonts w:hint="eastAsia" w:ascii="宋体" w:hAnsi="宋体" w:eastAsia="宋体" w:cs="宋体"/>
                <w:sz w:val="24"/>
                <w:szCs w:val="24"/>
                <w:highlight w:val="none"/>
                <w:lang w:val="en-US" w:eastAsia="zh-CN"/>
              </w:rPr>
              <w:t>在60</w:t>
            </w:r>
            <w:r>
              <w:rPr>
                <w:rFonts w:hint="eastAsia" w:ascii="宋体" w:hAnsi="宋体" w:eastAsia="宋体" w:cs="宋体"/>
                <w:sz w:val="24"/>
                <w:szCs w:val="24"/>
                <w:highlight w:val="none"/>
              </w:rPr>
              <w:t>分钟（不含</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0分钟）~</w:t>
            </w:r>
            <w:r>
              <w:rPr>
                <w:rFonts w:hint="eastAsia" w:ascii="宋体" w:hAnsi="宋体" w:eastAsia="宋体" w:cs="宋体"/>
                <w:sz w:val="24"/>
                <w:szCs w:val="24"/>
                <w:highlight w:val="none"/>
                <w:lang w:val="en-US" w:eastAsia="zh-CN"/>
              </w:rPr>
              <w:t>120</w:t>
            </w:r>
            <w:r>
              <w:rPr>
                <w:rFonts w:hint="eastAsia" w:ascii="宋体" w:hAnsi="宋体" w:eastAsia="宋体" w:cs="宋体"/>
                <w:sz w:val="24"/>
                <w:szCs w:val="24"/>
                <w:highlight w:val="none"/>
              </w:rPr>
              <w:t>分钟（含</w:t>
            </w:r>
            <w:r>
              <w:rPr>
                <w:rFonts w:hint="eastAsia" w:ascii="宋体" w:hAnsi="宋体" w:eastAsia="宋体" w:cs="宋体"/>
                <w:sz w:val="24"/>
                <w:szCs w:val="24"/>
                <w:highlight w:val="none"/>
                <w:lang w:val="en-US" w:eastAsia="zh-CN"/>
              </w:rPr>
              <w:t>12</w:t>
            </w:r>
            <w:r>
              <w:rPr>
                <w:rFonts w:hint="eastAsia" w:ascii="宋体" w:hAnsi="宋体" w:eastAsia="宋体" w:cs="宋体"/>
                <w:sz w:val="24"/>
                <w:szCs w:val="24"/>
                <w:highlight w:val="none"/>
              </w:rPr>
              <w:t>0分钟）内到达服务现场的得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承诺超过120分钟或</w:t>
            </w:r>
            <w:r>
              <w:rPr>
                <w:rFonts w:hint="eastAsia" w:ascii="宋体" w:hAnsi="宋体" w:eastAsia="宋体" w:cs="宋体"/>
                <w:b w:val="0"/>
                <w:bCs w:val="0"/>
                <w:sz w:val="24"/>
                <w:szCs w:val="24"/>
                <w:highlight w:val="none"/>
              </w:rPr>
              <w:t>未提供承诺书</w:t>
            </w:r>
            <w:r>
              <w:rPr>
                <w:rFonts w:hint="eastAsia" w:ascii="宋体" w:hAnsi="宋体" w:eastAsia="宋体" w:cs="宋体"/>
                <w:b/>
                <w:bCs/>
                <w:sz w:val="24"/>
                <w:szCs w:val="24"/>
                <w:highlight w:val="none"/>
              </w:rPr>
              <w:t>（承诺书格式自拟，但必须加盖</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sz w:val="24"/>
                <w:szCs w:val="24"/>
                <w:highlight w:val="none"/>
              </w:rPr>
              <w:t>公章）</w:t>
            </w:r>
            <w:r>
              <w:rPr>
                <w:rFonts w:hint="eastAsia" w:ascii="宋体" w:hAnsi="宋体" w:eastAsia="宋体" w:cs="宋体"/>
                <w:b w:val="0"/>
                <w:bCs w:val="0"/>
                <w:sz w:val="24"/>
                <w:szCs w:val="24"/>
                <w:highlight w:val="none"/>
              </w:rPr>
              <w:t>的本项不得分</w:t>
            </w:r>
            <w:r>
              <w:rPr>
                <w:rFonts w:hint="eastAsia" w:ascii="宋体" w:hAnsi="宋体" w:eastAsia="宋体" w:cs="宋体"/>
                <w:b/>
                <w:bCs/>
                <w:sz w:val="24"/>
                <w:szCs w:val="24"/>
                <w:highlight w:val="none"/>
              </w:rPr>
              <w:t>。</w:t>
            </w:r>
          </w:p>
        </w:tc>
      </w:tr>
    </w:tbl>
    <w:p w14:paraId="297CE1EC">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人员配备</w:t>
      </w:r>
      <w:r>
        <w:rPr>
          <w:rFonts w:hint="eastAsia" w:ascii="宋体" w:hAnsi="宋体" w:eastAsia="宋体" w:cs="宋体"/>
          <w:b/>
          <w:color w:val="auto"/>
          <w:sz w:val="24"/>
          <w:szCs w:val="24"/>
          <w:highlight w:val="none"/>
        </w:rPr>
        <w:t>能力</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35"/>
        <w:gridCol w:w="1471"/>
        <w:gridCol w:w="777"/>
        <w:gridCol w:w="6649"/>
      </w:tblGrid>
      <w:tr w14:paraId="5C41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835" w:type="dxa"/>
            <w:shd w:val="clear" w:color="000000" w:fill="FFFFFF"/>
            <w:noWrap w:val="0"/>
            <w:tcMar>
              <w:left w:w="108" w:type="dxa"/>
              <w:right w:w="108" w:type="dxa"/>
            </w:tcMar>
            <w:vAlign w:val="center"/>
          </w:tcPr>
          <w:p w14:paraId="0EEA5158">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序号</w:t>
            </w:r>
          </w:p>
        </w:tc>
        <w:tc>
          <w:tcPr>
            <w:tcW w:w="1471" w:type="dxa"/>
            <w:shd w:val="clear" w:color="000000" w:fill="FFFFFF"/>
            <w:noWrap w:val="0"/>
            <w:tcMar>
              <w:left w:w="108" w:type="dxa"/>
              <w:right w:w="108" w:type="dxa"/>
            </w:tcMar>
            <w:vAlign w:val="center"/>
          </w:tcPr>
          <w:p w14:paraId="7B7C0DD4">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评审因素</w:t>
            </w:r>
          </w:p>
        </w:tc>
        <w:tc>
          <w:tcPr>
            <w:tcW w:w="777" w:type="dxa"/>
            <w:shd w:val="clear" w:color="000000" w:fill="FFFFFF"/>
            <w:noWrap w:val="0"/>
            <w:tcMar>
              <w:left w:w="108" w:type="dxa"/>
              <w:right w:w="108" w:type="dxa"/>
            </w:tcMar>
            <w:vAlign w:val="center"/>
          </w:tcPr>
          <w:p w14:paraId="4398C2C3">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权值</w:t>
            </w:r>
          </w:p>
        </w:tc>
        <w:tc>
          <w:tcPr>
            <w:tcW w:w="6649" w:type="dxa"/>
            <w:shd w:val="clear" w:color="000000" w:fill="FFFFFF"/>
            <w:noWrap w:val="0"/>
            <w:tcMar>
              <w:left w:w="108" w:type="dxa"/>
              <w:right w:w="108" w:type="dxa"/>
            </w:tcMar>
            <w:vAlign w:val="center"/>
          </w:tcPr>
          <w:p w14:paraId="2580808D">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highlight w:val="none"/>
              </w:rPr>
            </w:pPr>
            <w:r>
              <w:rPr>
                <w:rFonts w:hint="eastAsia" w:ascii="宋体" w:hAnsi="宋体" w:eastAsia="宋体" w:cs="宋体"/>
                <w:sz w:val="24"/>
                <w:highlight w:val="none"/>
              </w:rPr>
              <w:t>评分标准</w:t>
            </w:r>
          </w:p>
        </w:tc>
      </w:tr>
      <w:tr w14:paraId="0BD3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0" w:hRule="atLeast"/>
          <w:jc w:val="center"/>
        </w:trPr>
        <w:tc>
          <w:tcPr>
            <w:tcW w:w="835" w:type="dxa"/>
            <w:shd w:val="clear" w:color="000000" w:fill="FFFFFF"/>
            <w:noWrap w:val="0"/>
            <w:tcMar>
              <w:left w:w="108" w:type="dxa"/>
              <w:right w:w="108" w:type="dxa"/>
            </w:tcMar>
            <w:vAlign w:val="center"/>
          </w:tcPr>
          <w:p w14:paraId="04442338">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p>
        </w:tc>
        <w:tc>
          <w:tcPr>
            <w:tcW w:w="1471" w:type="dxa"/>
            <w:shd w:val="clear" w:color="000000" w:fill="FFFFFF"/>
            <w:noWrap w:val="0"/>
            <w:tcMar>
              <w:left w:w="108" w:type="dxa"/>
              <w:right w:w="108" w:type="dxa"/>
            </w:tcMar>
            <w:vAlign w:val="center"/>
          </w:tcPr>
          <w:p w14:paraId="4F40B4DD">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人员配备能力</w:t>
            </w:r>
          </w:p>
        </w:tc>
        <w:tc>
          <w:tcPr>
            <w:tcW w:w="777" w:type="dxa"/>
            <w:shd w:val="clear" w:color="000000" w:fill="FFFFFF"/>
            <w:noWrap w:val="0"/>
            <w:tcMar>
              <w:left w:w="108" w:type="dxa"/>
              <w:right w:w="108" w:type="dxa"/>
            </w:tcMar>
            <w:vAlign w:val="center"/>
          </w:tcPr>
          <w:p w14:paraId="781A7512">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15分</w:t>
            </w:r>
          </w:p>
        </w:tc>
        <w:tc>
          <w:tcPr>
            <w:tcW w:w="6649" w:type="dxa"/>
            <w:shd w:val="clear" w:color="000000" w:fill="FFFFFF"/>
            <w:noWrap w:val="0"/>
            <w:tcMar>
              <w:left w:w="108" w:type="dxa"/>
              <w:right w:w="108" w:type="dxa"/>
            </w:tcMar>
            <w:vAlign w:val="center"/>
          </w:tcPr>
          <w:p w14:paraId="6F4B8219">
            <w:pPr>
              <w:widowControl/>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根据投标人拟投入本项目的项目</w:t>
            </w:r>
            <w:r>
              <w:rPr>
                <w:rFonts w:hint="eastAsia" w:ascii="宋体" w:hAnsi="宋体" w:eastAsia="宋体" w:cs="宋体"/>
                <w:b w:val="0"/>
                <w:bCs w:val="0"/>
                <w:color w:val="auto"/>
                <w:sz w:val="24"/>
                <w:szCs w:val="24"/>
                <w:highlight w:val="none"/>
                <w:lang w:val="en-US" w:eastAsia="zh-CN"/>
              </w:rPr>
              <w:t>组</w:t>
            </w:r>
            <w:r>
              <w:rPr>
                <w:rFonts w:hint="eastAsia" w:ascii="宋体" w:hAnsi="宋体" w:eastAsia="宋体" w:cs="宋体"/>
                <w:b w:val="0"/>
                <w:bCs w:val="0"/>
                <w:color w:val="auto"/>
                <w:sz w:val="24"/>
                <w:szCs w:val="24"/>
                <w:highlight w:val="none"/>
              </w:rPr>
              <w:t>人员情况进行评定，本大项最高得</w:t>
            </w:r>
            <w:r>
              <w:rPr>
                <w:rFonts w:hint="eastAsia" w:ascii="宋体" w:hAnsi="宋体" w:eastAsia="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分，评分要点如下：</w:t>
            </w:r>
          </w:p>
          <w:p w14:paraId="45C4F221">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textAlignment w:val="auto"/>
              <w:rPr>
                <w:rFonts w:hint="eastAsia" w:ascii="宋体" w:hAnsi="宋体" w:eastAsia="宋体" w:cs="宋体"/>
                <w:kern w:val="2"/>
                <w:sz w:val="24"/>
                <w:highlight w:val="none"/>
                <w:lang w:val="en-US" w:eastAsia="zh-CN" w:bidi="ar-SA"/>
              </w:rPr>
            </w:pPr>
            <w:r>
              <w:rPr>
                <w:rFonts w:hint="eastAsia" w:ascii="宋体" w:hAnsi="宋体" w:eastAsia="宋体" w:cs="宋体"/>
                <w:kern w:val="2"/>
                <w:sz w:val="24"/>
                <w:highlight w:val="none"/>
                <w:lang w:val="en-US" w:eastAsia="zh-CN" w:bidi="ar-SA"/>
              </w:rPr>
              <w:t>1、具有电力工程相关专业本科及以上学历的，每提供一人得1分，最高得6分。【电力工程相关专业包括热能动力工程、水能动力工程、核电工程，风电、太阳能及其它能源工程，电力系统及其自动化、电气工程及其自动化、电力科学与工程、高电压与绝缘技术、电机与变压器、电力电子与电力传动、工业自动化（电气专业方向）】</w:t>
            </w:r>
          </w:p>
          <w:p w14:paraId="7EBD5E51">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textAlignment w:val="auto"/>
              <w:rPr>
                <w:rFonts w:hint="eastAsia" w:ascii="宋体" w:hAnsi="宋体" w:eastAsia="宋体" w:cs="宋体"/>
                <w:sz w:val="24"/>
                <w:highlight w:val="none"/>
                <w:lang w:eastAsia="zh-CN"/>
              </w:rPr>
            </w:pPr>
            <w:r>
              <w:rPr>
                <w:rFonts w:hint="eastAsia" w:ascii="宋体" w:hAnsi="宋体" w:eastAsia="宋体" w:cs="宋体"/>
                <w:kern w:val="2"/>
                <w:sz w:val="24"/>
                <w:highlight w:val="none"/>
                <w:lang w:val="en-US" w:eastAsia="zh-CN" w:bidi="ar-SA"/>
              </w:rPr>
              <w:t>2、</w:t>
            </w:r>
            <w:r>
              <w:rPr>
                <w:rFonts w:hint="eastAsia" w:ascii="宋体" w:hAnsi="宋体" w:eastAsia="宋体" w:cs="宋体"/>
                <w:sz w:val="24"/>
                <w:highlight w:val="none"/>
                <w:lang w:val="en-US" w:eastAsia="zh-CN"/>
              </w:rPr>
              <w:t>具有电力工程相关专业或机电工程相关专业中级及以上</w:t>
            </w:r>
            <w:r>
              <w:rPr>
                <w:rFonts w:hint="eastAsia" w:ascii="宋体" w:hAnsi="宋体" w:eastAsia="宋体" w:cs="宋体"/>
                <w:sz w:val="24"/>
                <w:highlight w:val="none"/>
              </w:rPr>
              <w:t>职称的</w:t>
            </w:r>
            <w:r>
              <w:rPr>
                <w:rFonts w:hint="eastAsia" w:ascii="宋体" w:hAnsi="宋体" w:eastAsia="宋体" w:cs="宋体"/>
                <w:sz w:val="24"/>
                <w:highlight w:val="none"/>
                <w:lang w:eastAsia="zh-CN"/>
              </w:rPr>
              <w:t>，</w:t>
            </w:r>
            <w:r>
              <w:rPr>
                <w:rFonts w:hint="eastAsia" w:ascii="宋体" w:hAnsi="宋体" w:eastAsia="宋体" w:cs="宋体"/>
                <w:kern w:val="2"/>
                <w:sz w:val="24"/>
                <w:highlight w:val="none"/>
                <w:lang w:val="en-US" w:eastAsia="zh-CN" w:bidi="ar-SA"/>
              </w:rPr>
              <w:t>每提供一人得3分，最高得9分。</w:t>
            </w:r>
            <w:r>
              <w:rPr>
                <w:rFonts w:hint="eastAsia" w:ascii="宋体" w:hAnsi="宋体" w:eastAsia="宋体" w:cs="宋体"/>
                <w:sz w:val="24"/>
                <w:highlight w:val="none"/>
              </w:rPr>
              <w:t>初级职称的不得分。</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电力工程相关专业包括热能动力工程、水能动力工程、核电工程，风电、太阳能及其它能源工程，输配电及用电工程、电力系统及其自动化（含：发电、变电、供用电、电力网、电气、电气工程、电力工程技术），电力电子、电气设备安装、电气自动化</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机电工程相关专业包括暖通、给排水、电气、机械设备、焊接和自动化控制</w:t>
            </w:r>
            <w:r>
              <w:rPr>
                <w:rFonts w:hint="eastAsia" w:ascii="宋体" w:hAnsi="宋体" w:eastAsia="宋体" w:cs="宋体"/>
                <w:sz w:val="24"/>
                <w:highlight w:val="none"/>
                <w:lang w:eastAsia="zh-CN"/>
              </w:rPr>
              <w:t>】</w:t>
            </w:r>
          </w:p>
          <w:p w14:paraId="3112874F">
            <w:pPr>
              <w:keepNext w:val="0"/>
              <w:keepLines w:val="0"/>
              <w:pageBreakBefore w:val="0"/>
              <w:widowControl w:val="0"/>
              <w:numPr>
                <w:ilvl w:val="0"/>
                <w:numId w:val="0"/>
              </w:numPr>
              <w:kinsoku/>
              <w:wordWrap/>
              <w:overflowPunct/>
              <w:topLinePunct w:val="0"/>
              <w:autoSpaceDE w:val="0"/>
              <w:autoSpaceDN w:val="0"/>
              <w:bidi w:val="0"/>
              <w:adjustRightInd/>
              <w:snapToGrid/>
              <w:spacing w:line="400" w:lineRule="exact"/>
              <w:textAlignment w:val="auto"/>
              <w:rPr>
                <w:rFonts w:hint="eastAsia" w:ascii="宋体" w:hAnsi="宋体" w:eastAsia="宋体" w:cs="宋体"/>
                <w:sz w:val="24"/>
                <w:highlight w:val="none"/>
                <w:lang w:val="en-US" w:eastAsia="zh-CN"/>
              </w:rPr>
            </w:pPr>
            <w:r>
              <w:rPr>
                <w:rFonts w:hint="eastAsia" w:ascii="宋体" w:hAnsi="宋体" w:eastAsia="宋体" w:cs="宋体"/>
                <w:b/>
                <w:sz w:val="24"/>
                <w:highlight w:val="none"/>
              </w:rPr>
              <w:t>注：投标文件提供人员相关证书及投标人为其缴纳的近三个月内任意一个月的社保证明扫描件，未提供的不得分。</w:t>
            </w:r>
          </w:p>
        </w:tc>
      </w:tr>
    </w:tbl>
    <w:p w14:paraId="3E425E34">
      <w:pPr>
        <w:spacing w:line="44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4、综合实力</w:t>
      </w: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835"/>
        <w:gridCol w:w="1471"/>
        <w:gridCol w:w="777"/>
        <w:gridCol w:w="6649"/>
      </w:tblGrid>
      <w:tr w14:paraId="7B3B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2" w:hRule="atLeast"/>
          <w:jc w:val="center"/>
        </w:trPr>
        <w:tc>
          <w:tcPr>
            <w:tcW w:w="835" w:type="dxa"/>
            <w:shd w:val="clear" w:color="000000" w:fill="FFFFFF"/>
            <w:noWrap w:val="0"/>
            <w:tcMar>
              <w:left w:w="108" w:type="dxa"/>
              <w:right w:w="108" w:type="dxa"/>
            </w:tcMar>
            <w:vAlign w:val="center"/>
          </w:tcPr>
          <w:p w14:paraId="36B21BB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1471" w:type="dxa"/>
            <w:shd w:val="clear" w:color="000000" w:fill="FFFFFF"/>
            <w:noWrap w:val="0"/>
            <w:tcMar>
              <w:left w:w="108" w:type="dxa"/>
              <w:right w:w="108" w:type="dxa"/>
            </w:tcMar>
            <w:vAlign w:val="center"/>
          </w:tcPr>
          <w:p w14:paraId="15C8EC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评审因素</w:t>
            </w:r>
          </w:p>
        </w:tc>
        <w:tc>
          <w:tcPr>
            <w:tcW w:w="777" w:type="dxa"/>
            <w:shd w:val="clear" w:color="000000" w:fill="FFFFFF"/>
            <w:noWrap w:val="0"/>
            <w:tcMar>
              <w:left w:w="108" w:type="dxa"/>
              <w:right w:w="108" w:type="dxa"/>
            </w:tcMar>
            <w:vAlign w:val="center"/>
          </w:tcPr>
          <w:p w14:paraId="297199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权值</w:t>
            </w:r>
          </w:p>
        </w:tc>
        <w:tc>
          <w:tcPr>
            <w:tcW w:w="6649" w:type="dxa"/>
            <w:shd w:val="clear" w:color="000000" w:fill="FFFFFF"/>
            <w:noWrap w:val="0"/>
            <w:tcMar>
              <w:left w:w="108" w:type="dxa"/>
              <w:right w:w="108" w:type="dxa"/>
            </w:tcMar>
            <w:vAlign w:val="center"/>
          </w:tcPr>
          <w:p w14:paraId="5E48BC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评分标准</w:t>
            </w:r>
          </w:p>
        </w:tc>
      </w:tr>
      <w:tr w14:paraId="09BB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1" w:hRule="atLeast"/>
          <w:jc w:val="center"/>
        </w:trPr>
        <w:tc>
          <w:tcPr>
            <w:tcW w:w="835" w:type="dxa"/>
            <w:shd w:val="clear" w:color="000000" w:fill="FFFFFF"/>
            <w:noWrap w:val="0"/>
            <w:tcMar>
              <w:left w:w="108" w:type="dxa"/>
              <w:right w:w="108" w:type="dxa"/>
            </w:tcMar>
            <w:vAlign w:val="center"/>
          </w:tcPr>
          <w:p w14:paraId="6227F0F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471" w:type="dxa"/>
            <w:shd w:val="clear" w:color="000000" w:fill="FFFFFF"/>
            <w:noWrap w:val="0"/>
            <w:tcMar>
              <w:left w:w="108" w:type="dxa"/>
              <w:right w:w="108" w:type="dxa"/>
            </w:tcMar>
            <w:vAlign w:val="center"/>
          </w:tcPr>
          <w:p w14:paraId="1873E26A">
            <w:pPr>
              <w:keepNext w:val="0"/>
              <w:keepLines w:val="0"/>
              <w:pageBreakBefore w:val="0"/>
              <w:widowControl w:val="0"/>
              <w:suppressAutoHyphen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商务条件响应性</w:t>
            </w:r>
          </w:p>
        </w:tc>
        <w:tc>
          <w:tcPr>
            <w:tcW w:w="777" w:type="dxa"/>
            <w:shd w:val="clear" w:color="000000" w:fill="FFFFFF"/>
            <w:noWrap w:val="0"/>
            <w:tcMar>
              <w:left w:w="108" w:type="dxa"/>
              <w:right w:w="108" w:type="dxa"/>
            </w:tcMar>
            <w:vAlign w:val="center"/>
          </w:tcPr>
          <w:p w14:paraId="4D3983E7">
            <w:pPr>
              <w:keepNext w:val="0"/>
              <w:keepLines w:val="0"/>
              <w:pageBreakBefore w:val="0"/>
              <w:widowControl w:val="0"/>
              <w:suppressAutoHyphens/>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6649" w:type="dxa"/>
            <w:shd w:val="clear" w:color="000000" w:fill="FFFFFF"/>
            <w:noWrap w:val="0"/>
            <w:tcMar>
              <w:left w:w="108" w:type="dxa"/>
              <w:right w:w="108" w:type="dxa"/>
            </w:tcMar>
            <w:vAlign w:val="center"/>
          </w:tcPr>
          <w:p w14:paraId="325CFBD5">
            <w:pPr>
              <w:keepNext w:val="0"/>
              <w:keepLines w:val="0"/>
              <w:pageBreakBefore w:val="0"/>
              <w:widowControl w:val="0"/>
              <w:suppressAutoHyphens/>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投标人对招标文件中合同条款等商务条件完全响应的得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分（共</w:t>
            </w: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color w:val="000000" w:themeColor="text1"/>
                <w:sz w:val="24"/>
                <w:szCs w:val="24"/>
                <w:highlight w:val="none"/>
                <w14:textFill>
                  <w14:solidFill>
                    <w14:schemeClr w14:val="tx1"/>
                  </w14:solidFill>
                </w14:textFill>
              </w:rPr>
              <w:t>条）；有负偏离条款，每项扣0.</w:t>
            </w:r>
            <w:r>
              <w:rPr>
                <w:rFonts w:hint="eastAsia" w:ascii="宋体" w:hAnsi="宋体" w:eastAsia="宋体" w:cs="宋体"/>
                <w:color w:val="000000" w:themeColor="text1"/>
                <w:sz w:val="24"/>
                <w:szCs w:val="24"/>
                <w:highlight w:val="none"/>
                <w:lang w:val="en-US" w:eastAsia="zh-CN"/>
                <w14:textFill>
                  <w14:solidFill>
                    <w14:schemeClr w14:val="tx1"/>
                  </w14:solidFill>
                </w14:textFill>
              </w:rPr>
              <w:t>48</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（付款方式必须完全响应，</w:t>
            </w:r>
            <w:r>
              <w:rPr>
                <w:rFonts w:hint="eastAsia" w:ascii="宋体" w:hAnsi="宋体" w:eastAsia="宋体" w:cs="宋体"/>
                <w:b/>
                <w:color w:val="000000" w:themeColor="text1"/>
                <w:sz w:val="24"/>
                <w:szCs w:val="24"/>
                <w:highlight w:val="none"/>
                <w14:textFill>
                  <w14:solidFill>
                    <w14:schemeClr w14:val="tx1"/>
                  </w14:solidFill>
                </w14:textFill>
              </w:rPr>
              <w:t>否则将作</w:t>
            </w:r>
            <w:r>
              <w:rPr>
                <w:rFonts w:hint="eastAsia" w:ascii="宋体" w:hAnsi="宋体" w:eastAsia="宋体" w:cs="宋体"/>
                <w:b/>
                <w:color w:val="000000" w:themeColor="text1"/>
                <w:sz w:val="24"/>
                <w:szCs w:val="24"/>
                <w:highlight w:val="none"/>
                <w:lang w:val="zh-CN"/>
                <w14:textFill>
                  <w14:solidFill>
                    <w14:schemeClr w14:val="tx1"/>
                  </w14:solidFill>
                </w14:textFill>
              </w:rPr>
              <w:t>无效投标处理</w:t>
            </w:r>
            <w:r>
              <w:rPr>
                <w:rFonts w:hint="eastAsia" w:ascii="宋体" w:hAnsi="宋体" w:eastAsia="宋体" w:cs="宋体"/>
                <w:b/>
                <w:bCs/>
                <w:color w:val="000000" w:themeColor="text1"/>
                <w:sz w:val="24"/>
                <w:szCs w:val="24"/>
                <w:highlight w:val="none"/>
                <w14:textFill>
                  <w14:solidFill>
                    <w14:schemeClr w14:val="tx1"/>
                  </w14:solidFill>
                </w14:textFill>
              </w:rPr>
              <w:t>）</w:t>
            </w:r>
          </w:p>
        </w:tc>
      </w:tr>
      <w:tr w14:paraId="7DE8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64" w:hRule="atLeast"/>
          <w:jc w:val="center"/>
        </w:trPr>
        <w:tc>
          <w:tcPr>
            <w:tcW w:w="835" w:type="dxa"/>
            <w:shd w:val="clear" w:color="000000" w:fill="FFFFFF"/>
            <w:noWrap w:val="0"/>
            <w:tcMar>
              <w:left w:w="108" w:type="dxa"/>
              <w:right w:w="108" w:type="dxa"/>
            </w:tcMar>
            <w:vAlign w:val="center"/>
          </w:tcPr>
          <w:p w14:paraId="5D9CD1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1471" w:type="dxa"/>
            <w:shd w:val="clear" w:color="000000" w:fill="FFFFFF"/>
            <w:noWrap w:val="0"/>
            <w:tcMar>
              <w:left w:w="108" w:type="dxa"/>
              <w:right w:w="108" w:type="dxa"/>
            </w:tcMar>
            <w:vAlign w:val="center"/>
          </w:tcPr>
          <w:p w14:paraId="3C89DD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业绩情况</w:t>
            </w:r>
          </w:p>
        </w:tc>
        <w:tc>
          <w:tcPr>
            <w:tcW w:w="777" w:type="dxa"/>
            <w:shd w:val="clear" w:color="000000" w:fill="FFFFFF"/>
            <w:noWrap w:val="0"/>
            <w:tcMar>
              <w:left w:w="108" w:type="dxa"/>
              <w:right w:w="108" w:type="dxa"/>
            </w:tcMar>
            <w:vAlign w:val="center"/>
          </w:tcPr>
          <w:p w14:paraId="1D6687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w:t>
            </w:r>
          </w:p>
        </w:tc>
        <w:tc>
          <w:tcPr>
            <w:tcW w:w="6649" w:type="dxa"/>
            <w:shd w:val="clear" w:color="000000" w:fill="FFFFFF"/>
            <w:noWrap w:val="0"/>
            <w:tcMar>
              <w:left w:w="108" w:type="dxa"/>
              <w:right w:w="108" w:type="dxa"/>
            </w:tcMar>
            <w:vAlign w:val="center"/>
          </w:tcPr>
          <w:p w14:paraId="0BFE86F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根据投标人自20</w:t>
            </w:r>
            <w:r>
              <w:rPr>
                <w:rFonts w:hint="eastAsia" w:ascii="宋体" w:hAnsi="宋体" w:eastAsia="宋体" w:cs="宋体"/>
                <w:color w:val="000000" w:themeColor="text1"/>
                <w:sz w:val="24"/>
                <w:highlight w:val="none"/>
                <w:lang w:val="en-US" w:eastAsia="zh-CN"/>
                <w14:textFill>
                  <w14:solidFill>
                    <w14:schemeClr w14:val="tx1"/>
                  </w14:solidFill>
                </w14:textFill>
              </w:rPr>
              <w:t>23</w:t>
            </w:r>
            <w:r>
              <w:rPr>
                <w:rFonts w:hint="eastAsia" w:ascii="宋体" w:hAnsi="宋体" w:eastAsia="宋体" w:cs="宋体"/>
                <w:color w:val="000000" w:themeColor="text1"/>
                <w:sz w:val="24"/>
                <w:highlight w:val="none"/>
                <w14:textFill>
                  <w14:solidFill>
                    <w14:schemeClr w14:val="tx1"/>
                  </w14:solidFill>
                </w14:textFill>
              </w:rPr>
              <w:t>年1月1日至今（以合同签订日期为准）完成的</w:t>
            </w:r>
            <w:r>
              <w:rPr>
                <w:rFonts w:hint="eastAsia" w:ascii="宋体" w:hAnsi="宋体" w:eastAsia="宋体" w:cs="宋体"/>
                <w:b/>
                <w:bCs/>
                <w:color w:val="000000" w:themeColor="text1"/>
                <w:sz w:val="24"/>
                <w:highlight w:val="none"/>
                <w:lang w:val="en-US" w:eastAsia="zh-CN"/>
                <w14:textFill>
                  <w14:solidFill>
                    <w14:schemeClr w14:val="tx1"/>
                  </w14:solidFill>
                </w14:textFill>
              </w:rPr>
              <w:t>中央空调系统及生活冷热水系统运维</w:t>
            </w:r>
            <w:r>
              <w:rPr>
                <w:rFonts w:hint="eastAsia" w:ascii="宋体" w:hAnsi="宋体" w:eastAsia="宋体" w:cs="宋体"/>
                <w:color w:val="000000" w:themeColor="text1"/>
                <w:sz w:val="24"/>
                <w:highlight w:val="none"/>
                <w14:textFill>
                  <w14:solidFill>
                    <w14:schemeClr w14:val="tx1"/>
                  </w14:solidFill>
                </w14:textFill>
              </w:rPr>
              <w:t>业绩情况进行评定，有一个得</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分，最高得</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分。没有的不得分。</w:t>
            </w:r>
          </w:p>
          <w:p w14:paraId="6D97A0F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w:t>
            </w:r>
            <w:r>
              <w:rPr>
                <w:rFonts w:hint="eastAsia" w:ascii="宋体" w:hAnsi="宋体" w:eastAsia="宋体" w:cs="宋体"/>
                <w:b/>
                <w:bCs/>
                <w:color w:val="auto"/>
                <w:sz w:val="24"/>
                <w:highlight w:val="none"/>
              </w:rPr>
              <w:t>①投标文件中需提供相关业绩合同证明材料（须至少包括合同首页、具体内容页、合同金额所在页、签字盖章页），未提供或提供不全或提供的证明材料无法佐证的不得分。</w:t>
            </w:r>
            <w:r>
              <w:rPr>
                <w:rFonts w:hint="eastAsia" w:ascii="宋体" w:hAnsi="宋体" w:eastAsia="宋体" w:cs="宋体"/>
                <w:b/>
                <w:bCs/>
                <w:color w:val="auto"/>
                <w:sz w:val="24"/>
                <w:szCs w:val="22"/>
                <w:highlight w:val="none"/>
              </w:rPr>
              <w:t>②单个合同连续年度按一个业绩计算。</w:t>
            </w:r>
          </w:p>
        </w:tc>
      </w:tr>
    </w:tbl>
    <w:p w14:paraId="24C82B3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2A7F3BA1">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（2）投标人在制作投标文件时请按投标文件规定的顺序编制，要求简洁、明了，并添加投标文件目录、页码、书签，便于评标委员会评审查阅。</w:t>
      </w:r>
    </w:p>
    <w:p w14:paraId="22CCBF34">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（3）对应第五章评分中服务响应/商务条件响应性说明：负偏离【以（一）****(每条)1.1****(每项)】。</w:t>
      </w:r>
    </w:p>
    <w:p w14:paraId="4F3D573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三、政府采购政策：</w:t>
      </w:r>
      <w:bookmarkEnd w:id="282"/>
    </w:p>
    <w:p w14:paraId="2D203D20">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highlight w:val="none"/>
        </w:rPr>
      </w:pPr>
      <w:bookmarkStart w:id="283" w:name="_Toc22323"/>
      <w:r>
        <w:rPr>
          <w:rFonts w:hint="eastAsia" w:ascii="宋体" w:hAnsi="宋体" w:eastAsia="宋体" w:cs="宋体"/>
          <w:b/>
          <w:bCs/>
          <w:color w:val="auto"/>
          <w:sz w:val="24"/>
          <w:szCs w:val="24"/>
          <w:highlight w:val="none"/>
        </w:rPr>
        <w:t>1、落实政府采购政策需满足的资格要求：</w:t>
      </w:r>
    </w:p>
    <w:p w14:paraId="1C1EE2D3">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（1）本项目专门面向中小企业采购，所属行业为</w:t>
      </w:r>
      <w:r>
        <w:rPr>
          <w:rFonts w:hint="eastAsia" w:ascii="宋体" w:hAnsi="宋体" w:eastAsia="宋体" w:cs="宋体"/>
          <w:b/>
          <w:bCs/>
          <w:color w:val="auto"/>
          <w:sz w:val="24"/>
          <w:szCs w:val="24"/>
          <w:highlight w:val="none"/>
          <w:lang w:eastAsia="zh-CN"/>
        </w:rPr>
        <w:t>其他未列明行业</w:t>
      </w:r>
      <w:r>
        <w:rPr>
          <w:rFonts w:hint="eastAsia" w:ascii="宋体" w:hAnsi="宋体" w:eastAsia="宋体" w:cs="宋体"/>
          <w:b/>
          <w:bCs/>
          <w:color w:val="auto"/>
          <w:sz w:val="24"/>
          <w:szCs w:val="24"/>
          <w:highlight w:val="none"/>
        </w:rPr>
        <w:t>。</w:t>
      </w:r>
    </w:p>
    <w:p w14:paraId="02DC6AA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（2）在投标文件中须提供《中小企业声明函》。（填报严格按工信部联企业〔2011〕300号通知中的《中小企业划型标准规定》进行）。</w:t>
      </w:r>
    </w:p>
    <w:p w14:paraId="47E0E57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58F588D5">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（4）享受政府采购支持政策的残疾人福利性单位应当同时满足以下条件：</w:t>
      </w:r>
    </w:p>
    <w:p w14:paraId="3DBCC7C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6AFD3CC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3323808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5C19BE4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C3650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283"/>
    <w:p w14:paraId="53F4963C">
      <w:pPr>
        <w:keepNext w:val="0"/>
        <w:keepLines w:val="0"/>
        <w:pageBreakBefore w:val="0"/>
        <w:widowControl w:val="0"/>
        <w:kinsoku/>
        <w:wordWrap/>
        <w:overflowPunct/>
        <w:topLinePunct w:val="0"/>
        <w:autoSpaceDE/>
        <w:autoSpaceDN/>
        <w:bidi w:val="0"/>
        <w:adjustRightInd/>
        <w:snapToGrid/>
        <w:spacing w:line="420" w:lineRule="exact"/>
        <w:ind w:firstLine="241" w:firstLineChars="1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2、信用信息查询</w:t>
      </w:r>
    </w:p>
    <w:p w14:paraId="159BBF7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46DD39B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1、查询截止时点：投标文件递交截止时间。</w:t>
      </w:r>
    </w:p>
    <w:p w14:paraId="3C48CAA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2、查询渠道：信用中国 （ https://www.creditchina.gov.cn/ ）查询相关主体信用记录，并采取必要方式做好信用信息报告等查询记录留存，信用信息报告等查询记录应当与其他招标文件一并保存。 </w:t>
      </w:r>
    </w:p>
    <w:p w14:paraId="5B10925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w:t>
      </w:r>
    </w:p>
    <w:p w14:paraId="0EAF554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1B050C3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3EE5F4D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color w:val="auto"/>
          <w:sz w:val="36"/>
          <w:highlight w:val="none"/>
        </w:rPr>
      </w:pPr>
      <w:r>
        <w:rPr>
          <w:rFonts w:hint="eastAsia" w:ascii="宋体" w:hAnsi="宋体" w:eastAsia="宋体" w:cs="宋体"/>
          <w:color w:val="auto"/>
          <w:sz w:val="24"/>
          <w:szCs w:val="24"/>
          <w:highlight w:val="none"/>
        </w:rPr>
        <w:t>评标委员会在对投标人进行资格性审查时，应根据查询结果对投标人的不良信用记录逐项甄别确认</w:t>
      </w:r>
      <w:bookmarkEnd w:id="273"/>
      <w:bookmarkEnd w:id="274"/>
      <w:bookmarkEnd w:id="275"/>
      <w:bookmarkStart w:id="284" w:name="_Toc158691777"/>
      <w:bookmarkStart w:id="285" w:name="_Toc315875326"/>
      <w:bookmarkStart w:id="286" w:name="_Toc315868063"/>
      <w:r>
        <w:rPr>
          <w:rFonts w:hint="eastAsia" w:ascii="宋体" w:hAnsi="宋体" w:eastAsia="宋体" w:cs="宋体"/>
          <w:color w:val="auto"/>
          <w:sz w:val="24"/>
          <w:szCs w:val="24"/>
          <w:highlight w:val="none"/>
        </w:rPr>
        <w:t>。</w:t>
      </w:r>
    </w:p>
    <w:p w14:paraId="7176EC36">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14:paraId="47B30847">
      <w:pPr>
        <w:spacing w:line="360" w:lineRule="auto"/>
        <w:jc w:val="center"/>
        <w:outlineLvl w:val="0"/>
        <w:rPr>
          <w:rFonts w:hint="eastAsia" w:ascii="宋体" w:hAnsi="宋体" w:eastAsia="宋体" w:cs="宋体"/>
          <w:b/>
          <w:color w:val="auto"/>
          <w:sz w:val="36"/>
          <w:highlight w:val="none"/>
        </w:rPr>
      </w:pPr>
      <w:bookmarkStart w:id="287" w:name="_Toc25600"/>
      <w:r>
        <w:rPr>
          <w:rFonts w:hint="eastAsia" w:ascii="宋体" w:hAnsi="宋体" w:eastAsia="宋体" w:cs="宋体"/>
          <w:b/>
          <w:color w:val="auto"/>
          <w:sz w:val="36"/>
          <w:highlight w:val="none"/>
        </w:rPr>
        <w:t>第六章 投标文件格式</w:t>
      </w:r>
      <w:bookmarkEnd w:id="287"/>
    </w:p>
    <w:p w14:paraId="3FA0791F">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封面：</w:t>
      </w:r>
    </w:p>
    <w:p w14:paraId="4B469B20">
      <w:pPr>
        <w:jc w:val="center"/>
        <w:rPr>
          <w:rFonts w:hint="eastAsia" w:ascii="宋体" w:hAnsi="宋体" w:eastAsia="宋体" w:cs="宋体"/>
          <w:b/>
          <w:color w:val="auto"/>
          <w:sz w:val="72"/>
          <w:szCs w:val="72"/>
          <w:highlight w:val="none"/>
        </w:rPr>
      </w:pPr>
    </w:p>
    <w:p w14:paraId="147C4820">
      <w:pPr>
        <w:jc w:val="center"/>
        <w:rPr>
          <w:rFonts w:hint="eastAsia" w:ascii="宋体" w:hAnsi="宋体" w:eastAsia="宋体" w:cs="宋体"/>
          <w:b/>
          <w:color w:val="auto"/>
          <w:sz w:val="72"/>
          <w:szCs w:val="72"/>
          <w:highlight w:val="none"/>
        </w:rPr>
      </w:pPr>
    </w:p>
    <w:p w14:paraId="77A4E27B">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投标文件</w:t>
      </w:r>
    </w:p>
    <w:p w14:paraId="4483C8A3">
      <w:pPr>
        <w:rPr>
          <w:rFonts w:hint="eastAsia" w:ascii="宋体" w:hAnsi="宋体" w:eastAsia="宋体" w:cs="宋体"/>
          <w:b/>
          <w:color w:val="auto"/>
          <w:sz w:val="36"/>
          <w:szCs w:val="36"/>
          <w:highlight w:val="none"/>
        </w:rPr>
      </w:pPr>
    </w:p>
    <w:p w14:paraId="42305DCE">
      <w:pPr>
        <w:rPr>
          <w:rFonts w:hint="eastAsia" w:ascii="宋体" w:hAnsi="宋体" w:eastAsia="宋体" w:cs="宋体"/>
          <w:b/>
          <w:color w:val="auto"/>
          <w:sz w:val="36"/>
          <w:szCs w:val="36"/>
          <w:highlight w:val="none"/>
        </w:rPr>
      </w:pPr>
    </w:p>
    <w:p w14:paraId="20F7331B">
      <w:pPr>
        <w:rPr>
          <w:rFonts w:hint="eastAsia" w:ascii="宋体" w:hAnsi="宋体" w:eastAsia="宋体" w:cs="宋体"/>
          <w:b/>
          <w:color w:val="auto"/>
          <w:sz w:val="36"/>
          <w:szCs w:val="36"/>
          <w:highlight w:val="none"/>
        </w:rPr>
      </w:pPr>
    </w:p>
    <w:p w14:paraId="4B1A84B4">
      <w:pPr>
        <w:rPr>
          <w:rFonts w:hint="eastAsia" w:ascii="宋体" w:hAnsi="宋体" w:eastAsia="宋体" w:cs="宋体"/>
          <w:b/>
          <w:color w:val="auto"/>
          <w:sz w:val="36"/>
          <w:szCs w:val="36"/>
          <w:highlight w:val="none"/>
        </w:rPr>
      </w:pPr>
    </w:p>
    <w:p w14:paraId="0C23DEAA">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w w:val="90"/>
          <w:sz w:val="36"/>
          <w:szCs w:val="36"/>
          <w:highlight w:val="none"/>
        </w:rPr>
        <w:t>项目名称：</w:t>
      </w:r>
      <w:r>
        <w:rPr>
          <w:rFonts w:hint="eastAsia" w:ascii="宋体" w:hAnsi="宋体" w:eastAsia="宋体" w:cs="宋体"/>
          <w:b/>
          <w:color w:val="auto"/>
          <w:w w:val="90"/>
          <w:sz w:val="36"/>
          <w:szCs w:val="36"/>
          <w:highlight w:val="none"/>
          <w:lang w:eastAsia="zh-CN"/>
        </w:rPr>
        <w:t>常熟市第二人民医院（台山路院区）能源站运维服务</w:t>
      </w:r>
    </w:p>
    <w:p w14:paraId="154B95CB">
      <w:pPr>
        <w:ind w:firstLine="1084" w:firstLineChars="300"/>
        <w:jc w:val="center"/>
        <w:rPr>
          <w:rFonts w:hint="eastAsia" w:ascii="宋体" w:hAnsi="宋体" w:eastAsia="宋体" w:cs="宋体"/>
          <w:b/>
          <w:color w:val="auto"/>
          <w:sz w:val="36"/>
          <w:szCs w:val="36"/>
          <w:highlight w:val="none"/>
        </w:rPr>
      </w:pPr>
    </w:p>
    <w:p w14:paraId="4B48457E">
      <w:pPr>
        <w:ind w:left="0" w:leftChars="0" w:firstLine="0" w:firstLineChars="0"/>
        <w:jc w:val="center"/>
        <w:rPr>
          <w:rFonts w:hint="eastAsia" w:ascii="宋体" w:hAnsi="宋体" w:eastAsia="宋体" w:cs="宋体"/>
          <w:b/>
          <w:color w:val="auto"/>
          <w:sz w:val="10"/>
          <w:szCs w:val="10"/>
          <w:highlight w:val="none"/>
          <w:lang w:eastAsia="zh-CN"/>
        </w:rPr>
      </w:pPr>
      <w:r>
        <w:rPr>
          <w:rFonts w:hint="eastAsia" w:ascii="宋体" w:hAnsi="宋体" w:eastAsia="宋体" w:cs="宋体"/>
          <w:b/>
          <w:color w:val="auto"/>
          <w:sz w:val="36"/>
          <w:szCs w:val="36"/>
          <w:highlight w:val="none"/>
        </w:rPr>
        <w:t>项目编号：</w:t>
      </w:r>
      <w:r>
        <w:rPr>
          <w:rFonts w:hint="eastAsia" w:ascii="宋体" w:hAnsi="宋体" w:eastAsia="宋体" w:cs="宋体"/>
          <w:b/>
          <w:color w:val="auto"/>
          <w:sz w:val="36"/>
          <w:szCs w:val="36"/>
          <w:highlight w:val="none"/>
          <w:lang w:eastAsia="zh-CN"/>
        </w:rPr>
        <w:t>JSZC-320581-SZDS-G2026-0004</w:t>
      </w:r>
    </w:p>
    <w:p w14:paraId="3961D736">
      <w:pPr>
        <w:ind w:firstLine="2530" w:firstLineChars="700"/>
        <w:rPr>
          <w:rFonts w:hint="eastAsia" w:ascii="宋体" w:hAnsi="宋体" w:eastAsia="宋体" w:cs="宋体"/>
          <w:b/>
          <w:color w:val="auto"/>
          <w:sz w:val="36"/>
          <w:szCs w:val="36"/>
          <w:highlight w:val="none"/>
        </w:rPr>
      </w:pPr>
    </w:p>
    <w:p w14:paraId="76812F74">
      <w:pPr>
        <w:rPr>
          <w:rFonts w:hint="eastAsia" w:ascii="宋体" w:hAnsi="宋体" w:eastAsia="宋体" w:cs="宋体"/>
          <w:color w:val="auto"/>
          <w:sz w:val="36"/>
          <w:szCs w:val="36"/>
          <w:highlight w:val="none"/>
        </w:rPr>
      </w:pPr>
    </w:p>
    <w:p w14:paraId="6FC40382">
      <w:pPr>
        <w:rPr>
          <w:rFonts w:hint="eastAsia" w:ascii="宋体" w:hAnsi="宋体" w:eastAsia="宋体" w:cs="宋体"/>
          <w:b/>
          <w:color w:val="auto"/>
          <w:sz w:val="36"/>
          <w:szCs w:val="36"/>
          <w:highlight w:val="none"/>
        </w:rPr>
      </w:pPr>
    </w:p>
    <w:p w14:paraId="1513F777">
      <w:pPr>
        <w:ind w:firstLine="1084" w:firstLineChars="300"/>
        <w:jc w:val="center"/>
        <w:rPr>
          <w:rFonts w:hint="eastAsia" w:ascii="宋体" w:hAnsi="宋体" w:eastAsia="宋体" w:cs="宋体"/>
          <w:b/>
          <w:color w:val="auto"/>
          <w:sz w:val="36"/>
          <w:szCs w:val="36"/>
          <w:highlight w:val="none"/>
        </w:rPr>
      </w:pPr>
    </w:p>
    <w:p w14:paraId="63DC9773">
      <w:pPr>
        <w:ind w:left="0" w:leftChars="0" w:firstLine="0" w:firstLineChars="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21"/>
          <w:highlight w:val="none"/>
        </w:rPr>
        <w:t>投标人名称</w:t>
      </w:r>
      <w:r>
        <w:rPr>
          <w:rFonts w:hint="eastAsia" w:ascii="宋体" w:hAnsi="宋体" w:eastAsia="宋体" w:cs="宋体"/>
          <w:b/>
          <w:color w:val="auto"/>
          <w:sz w:val="36"/>
          <w:szCs w:val="36"/>
          <w:highlight w:val="none"/>
        </w:rPr>
        <w:t>：</w:t>
      </w:r>
      <w:r>
        <w:rPr>
          <w:rFonts w:hint="eastAsia" w:ascii="宋体" w:hAnsi="宋体" w:eastAsia="宋体" w:cs="宋体"/>
          <w:b/>
          <w:color w:val="auto"/>
          <w:sz w:val="36"/>
          <w:szCs w:val="21"/>
          <w:highlight w:val="none"/>
          <w:u w:val="single"/>
        </w:rPr>
        <w:t>（加盖CA电子公章）</w:t>
      </w:r>
    </w:p>
    <w:p w14:paraId="6A437A76">
      <w:pPr>
        <w:ind w:firstLine="1988" w:firstLineChars="550"/>
        <w:jc w:val="center"/>
        <w:rPr>
          <w:rFonts w:hint="eastAsia" w:ascii="宋体" w:hAnsi="宋体" w:eastAsia="宋体" w:cs="宋体"/>
          <w:b/>
          <w:color w:val="auto"/>
          <w:sz w:val="36"/>
          <w:szCs w:val="36"/>
          <w:highlight w:val="none"/>
        </w:rPr>
      </w:pPr>
    </w:p>
    <w:p w14:paraId="0201B9D3">
      <w:pPr>
        <w:ind w:left="0" w:leftChars="0" w:firstLine="0" w:firstLineChars="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日期：   年   月    日</w:t>
      </w:r>
    </w:p>
    <w:p w14:paraId="6869EAC1">
      <w:pPr>
        <w:ind w:firstLine="482" w:firstLineChars="200"/>
        <w:rPr>
          <w:rFonts w:hint="eastAsia" w:ascii="宋体" w:hAnsi="宋体" w:eastAsia="宋体" w:cs="宋体"/>
          <w:b/>
          <w:color w:val="auto"/>
          <w:sz w:val="24"/>
          <w:szCs w:val="24"/>
          <w:highlight w:val="none"/>
        </w:rPr>
      </w:pPr>
    </w:p>
    <w:p w14:paraId="78C668BA">
      <w:pPr>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目录</w:t>
      </w:r>
    </w:p>
    <w:p w14:paraId="7A141164">
      <w:pPr>
        <w:spacing w:line="400" w:lineRule="exact"/>
        <w:ind w:firstLine="482" w:firstLineChars="200"/>
        <w:rPr>
          <w:rFonts w:hint="eastAsia" w:ascii="宋体" w:hAnsi="宋体" w:eastAsia="宋体" w:cs="宋体"/>
          <w:b/>
          <w:bCs/>
          <w:color w:val="auto"/>
          <w:sz w:val="24"/>
          <w:szCs w:val="24"/>
          <w:highlight w:val="none"/>
        </w:rPr>
      </w:pPr>
      <w:bookmarkStart w:id="288" w:name="_Toc511680880"/>
      <w:r>
        <w:rPr>
          <w:rFonts w:hint="eastAsia" w:ascii="宋体" w:hAnsi="宋体" w:eastAsia="宋体" w:cs="宋体"/>
          <w:b/>
          <w:bCs/>
          <w:color w:val="auto"/>
          <w:sz w:val="24"/>
          <w:szCs w:val="24"/>
          <w:highlight w:val="none"/>
        </w:rPr>
        <w:t>一、基本目录</w:t>
      </w:r>
    </w:p>
    <w:p w14:paraId="2728C74C">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highlight w:val="none"/>
        </w:rPr>
        <w:t>开标一览表</w:t>
      </w:r>
      <w:r>
        <w:rPr>
          <w:rFonts w:hint="eastAsia" w:ascii="宋体" w:hAnsi="宋体" w:eastAsia="宋体" w:cs="宋体"/>
          <w:color w:val="auto"/>
          <w:sz w:val="24"/>
          <w:szCs w:val="24"/>
          <w:highlight w:val="none"/>
        </w:rPr>
        <w:t>（格式见附件）</w:t>
      </w:r>
    </w:p>
    <w:p w14:paraId="77988092">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报价明细表</w:t>
      </w:r>
      <w:r>
        <w:rPr>
          <w:rFonts w:hint="eastAsia" w:ascii="宋体" w:hAnsi="宋体" w:eastAsia="宋体" w:cs="宋体"/>
          <w:color w:val="auto"/>
          <w:sz w:val="24"/>
          <w:szCs w:val="24"/>
          <w:highlight w:val="none"/>
        </w:rPr>
        <w:t>（格式见附件）</w:t>
      </w:r>
    </w:p>
    <w:p w14:paraId="6DF6D551">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二、资格审查内容</w:t>
      </w:r>
    </w:p>
    <w:p w14:paraId="5858658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528132F3">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p>
    <w:p w14:paraId="5CF42F9E">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提供</w:t>
      </w:r>
      <w:r>
        <w:rPr>
          <w:rFonts w:hint="eastAsia" w:ascii="宋体" w:hAnsi="宋体" w:eastAsia="宋体" w:cs="宋体"/>
          <w:color w:val="auto"/>
          <w:sz w:val="24"/>
          <w:szCs w:val="24"/>
          <w:highlight w:val="none"/>
          <w:lang w:val="en-US" w:eastAsia="zh-CN"/>
        </w:rPr>
        <w:t>2024年至今任意</w:t>
      </w:r>
      <w:r>
        <w:rPr>
          <w:rFonts w:hint="eastAsia" w:ascii="宋体" w:hAnsi="宋体" w:eastAsia="宋体" w:cs="宋体"/>
          <w:color w:val="auto"/>
          <w:sz w:val="24"/>
          <w:szCs w:val="24"/>
          <w:highlight w:val="none"/>
        </w:rPr>
        <w:t>一期经会计事务所审计的财务报告（成立不满一年需提供资产负债表和利润表）或银行（金融机构）出具的资信证明</w:t>
      </w:r>
      <w:r>
        <w:rPr>
          <w:rFonts w:hint="eastAsia" w:ascii="宋体" w:hAnsi="宋体" w:eastAsia="宋体" w:cs="宋体"/>
          <w:b/>
          <w:bCs/>
          <w:color w:val="auto"/>
          <w:sz w:val="24"/>
          <w:szCs w:val="24"/>
          <w:highlight w:val="none"/>
        </w:rPr>
        <w:t>（距开标时间六个月内开具的资信证明）</w:t>
      </w:r>
    </w:p>
    <w:p w14:paraId="2FEC18D8">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04EF9CD0">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具备履行合同所必需的设备和专业技术能力的书面声明（格式见附件）</w:t>
      </w:r>
    </w:p>
    <w:p w14:paraId="5C1771FC">
      <w:pPr>
        <w:spacing w:line="4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参加政府采购活动前 3 年内在经营活动中没有重大违法记录的书面声明（格式见附件）</w:t>
      </w:r>
    </w:p>
    <w:p w14:paraId="03DF675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*2、中小企业声明函（格式见附件）或残疾人福利性单位声明函（格式见附件）或省级以上监狱管理局、戒毒管理局（含新疆生产建设兵团）出具的属于监狱企业的证明文件</w:t>
      </w:r>
    </w:p>
    <w:p w14:paraId="24C9D2F7">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注：其中加“*”项目若有缺失或无效，将导致其投标文件无效且不允许在投标文件开启时间后补正。</w:t>
      </w:r>
    </w:p>
    <w:p w14:paraId="2625C905">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三、符合性审查内容</w:t>
      </w:r>
    </w:p>
    <w:p w14:paraId="51B1053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法人授权书（格式见附件）（如法定代表人签署投标文件的，法人授权书无需提供）</w:t>
      </w:r>
    </w:p>
    <w:p w14:paraId="60A19D6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投标函（格式见附件）</w:t>
      </w:r>
    </w:p>
    <w:p w14:paraId="1951AA4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4"/>
          <w:highlight w:val="none"/>
        </w:rPr>
        <w:t>实质性要求响应及偏离表（格式见附件）</w:t>
      </w:r>
    </w:p>
    <w:p w14:paraId="60C99118">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服务要求响应及偏离表（格式见附件）</w:t>
      </w:r>
    </w:p>
    <w:p w14:paraId="1C04D47E">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商务要求响应及偏离表</w:t>
      </w:r>
      <w:r>
        <w:rPr>
          <w:rFonts w:hint="eastAsia" w:ascii="宋体" w:hAnsi="宋体" w:eastAsia="宋体" w:cs="宋体"/>
          <w:color w:val="auto"/>
          <w:sz w:val="24"/>
          <w:szCs w:val="24"/>
          <w:highlight w:val="none"/>
        </w:rPr>
        <w:t>（格式见附件）</w:t>
      </w:r>
    </w:p>
    <w:p w14:paraId="1D06FF5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6、供应商与其他单位存在直接控股、管理关系情况表</w:t>
      </w:r>
      <w:r>
        <w:rPr>
          <w:rFonts w:hint="eastAsia" w:ascii="宋体" w:hAnsi="宋体" w:eastAsia="宋体" w:cs="宋体"/>
          <w:color w:val="auto"/>
          <w:sz w:val="24"/>
          <w:szCs w:val="24"/>
          <w:highlight w:val="none"/>
        </w:rPr>
        <w:t>（格式见附件）</w:t>
      </w:r>
    </w:p>
    <w:p w14:paraId="43B15555">
      <w:pPr>
        <w:spacing w:line="4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7、关于符合本国产品标准的声明函</w:t>
      </w:r>
      <w:r>
        <w:rPr>
          <w:rFonts w:hint="eastAsia" w:ascii="宋体" w:hAnsi="宋体" w:eastAsia="宋体" w:cs="宋体"/>
          <w:color w:val="auto"/>
          <w:sz w:val="24"/>
          <w:szCs w:val="24"/>
          <w:highlight w:val="none"/>
        </w:rPr>
        <w:t>（格式见附件）</w:t>
      </w:r>
    </w:p>
    <w:p w14:paraId="64D6E6E4">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四、综合评审文件</w:t>
      </w:r>
    </w:p>
    <w:p w14:paraId="4D36AB91">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1、项目实施方案（格式见附件）</w:t>
      </w:r>
    </w:p>
    <w:p w14:paraId="0F5DA98A">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highlight w:val="none"/>
        </w:rPr>
        <w:t>项目组人员一览表</w:t>
      </w:r>
      <w:r>
        <w:rPr>
          <w:rFonts w:hint="eastAsia" w:ascii="宋体" w:hAnsi="宋体" w:eastAsia="宋体" w:cs="宋体"/>
          <w:color w:val="auto"/>
          <w:sz w:val="24"/>
          <w:szCs w:val="24"/>
          <w:highlight w:val="none"/>
        </w:rPr>
        <w:t>（格式见附件）</w:t>
      </w:r>
    </w:p>
    <w:p w14:paraId="71F3EC09">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、业绩一览表（格式见附件）</w:t>
      </w:r>
    </w:p>
    <w:p w14:paraId="46BF70BA">
      <w:pPr>
        <w:spacing w:line="4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备注：针对“二、资格审查内容”和“三、符合性审查内容”，投标人必须在投标文件中提供相关材料，若有缺失或无效的，将导致其投标无效。</w:t>
      </w:r>
    </w:p>
    <w:p w14:paraId="17E84FDD">
      <w:pPr>
        <w:rPr>
          <w:rFonts w:hint="eastAsia" w:ascii="宋体" w:hAnsi="宋体" w:eastAsia="宋体" w:cs="宋体"/>
          <w:b/>
          <w:color w:val="auto"/>
          <w:sz w:val="24"/>
          <w:szCs w:val="24"/>
          <w:highlight w:val="none"/>
        </w:rPr>
      </w:pPr>
      <w:r>
        <w:rPr>
          <w:rFonts w:hint="eastAsia" w:ascii="宋体" w:hAnsi="宋体" w:eastAsia="宋体" w:cs="宋体"/>
          <w:color w:val="auto"/>
          <w:highlight w:val="none"/>
        </w:rPr>
        <w:br w:type="page"/>
      </w:r>
      <w:bookmarkEnd w:id="288"/>
    </w:p>
    <w:p w14:paraId="43D9A6FA">
      <w:pPr>
        <w:pStyle w:val="3"/>
        <w:rPr>
          <w:rFonts w:hint="eastAsia" w:ascii="宋体" w:hAnsi="宋体" w:eastAsia="宋体" w:cs="宋体"/>
          <w:color w:val="auto"/>
          <w:highlight w:val="none"/>
        </w:rPr>
      </w:pPr>
      <w:bookmarkStart w:id="289" w:name="_Toc472326799"/>
      <w:bookmarkStart w:id="290" w:name="_Toc511680881"/>
      <w:bookmarkStart w:id="291" w:name="_Toc4384"/>
      <w:r>
        <w:rPr>
          <w:rFonts w:hint="eastAsia" w:ascii="宋体" w:hAnsi="宋体" w:eastAsia="宋体" w:cs="宋体"/>
          <w:color w:val="auto"/>
          <w:highlight w:val="none"/>
        </w:rPr>
        <w:t>附件1 开标一览表</w:t>
      </w:r>
      <w:bookmarkEnd w:id="289"/>
      <w:bookmarkEnd w:id="290"/>
      <w:bookmarkEnd w:id="291"/>
    </w:p>
    <w:bookmarkEnd w:id="284"/>
    <w:bookmarkEnd w:id="285"/>
    <w:bookmarkEnd w:id="286"/>
    <w:p w14:paraId="338F4980">
      <w:pPr>
        <w:spacing w:line="400" w:lineRule="exact"/>
        <w:ind w:firstLine="482"/>
        <w:rPr>
          <w:rFonts w:hint="eastAsia" w:ascii="宋体" w:hAnsi="宋体" w:eastAsia="宋体" w:cs="宋体"/>
          <w:color w:val="auto"/>
          <w:sz w:val="24"/>
          <w:szCs w:val="24"/>
          <w:highlight w:val="none"/>
        </w:rPr>
      </w:pPr>
      <w:bookmarkStart w:id="292" w:name="_Toc13333"/>
      <w:bookmarkStart w:id="293" w:name="_Toc507155725"/>
      <w:bookmarkStart w:id="294" w:name="_Toc504487339"/>
      <w:bookmarkStart w:id="295" w:name="_Toc501026326"/>
      <w:bookmarkStart w:id="296" w:name="_Toc500969519"/>
      <w:bookmarkStart w:id="297" w:name="_Toc10210"/>
      <w:r>
        <w:rPr>
          <w:rFonts w:hint="eastAsia" w:ascii="宋体" w:hAnsi="宋体" w:eastAsia="宋体" w:cs="宋体"/>
          <w:color w:val="auto"/>
          <w:sz w:val="24"/>
          <w:szCs w:val="24"/>
          <w:highlight w:val="none"/>
        </w:rPr>
        <w:t>投标人全称（加盖CA电子签章）：</w:t>
      </w:r>
    </w:p>
    <w:p w14:paraId="082EE196">
      <w:pP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常熟市第二人民医院（台山路院区）能源站运维服务</w:t>
      </w:r>
    </w:p>
    <w:p w14:paraId="4CF19767">
      <w:pP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bCs/>
          <w:color w:val="auto"/>
          <w:sz w:val="24"/>
          <w:szCs w:val="24"/>
          <w:highlight w:val="none"/>
          <w:lang w:eastAsia="zh-CN"/>
        </w:rPr>
        <w:t>JSZC-320581-SZDS-G2026-0004</w:t>
      </w:r>
    </w:p>
    <w:tbl>
      <w:tblPr>
        <w:tblStyle w:val="55"/>
        <w:tblpPr w:leftFromText="180" w:rightFromText="180" w:vertAnchor="text" w:horzAnchor="page" w:tblpX="1318" w:tblpY="279"/>
        <w:tblOverlap w:val="never"/>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0"/>
        <w:gridCol w:w="4469"/>
      </w:tblGrid>
      <w:tr w14:paraId="640E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130" w:type="dxa"/>
            <w:vAlign w:val="center"/>
          </w:tcPr>
          <w:p w14:paraId="76DFBFE8">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4469" w:type="dxa"/>
            <w:vAlign w:val="center"/>
          </w:tcPr>
          <w:p w14:paraId="34006696">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w:t>
            </w:r>
          </w:p>
        </w:tc>
      </w:tr>
      <w:tr w14:paraId="6154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5130" w:type="dxa"/>
            <w:vAlign w:val="center"/>
          </w:tcPr>
          <w:p w14:paraId="56016415">
            <w:pPr>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常熟市第二人民医院（台山路院区）能源站运维服务</w:t>
            </w:r>
          </w:p>
        </w:tc>
        <w:tc>
          <w:tcPr>
            <w:tcW w:w="4469" w:type="dxa"/>
            <w:vAlign w:val="center"/>
          </w:tcPr>
          <w:p w14:paraId="6904D779">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小写：          （元人民币）</w:t>
            </w:r>
          </w:p>
        </w:tc>
      </w:tr>
      <w:tr w14:paraId="7A30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130" w:type="dxa"/>
            <w:vAlign w:val="center"/>
          </w:tcPr>
          <w:p w14:paraId="49C75C05">
            <w:pPr>
              <w:jc w:val="center"/>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rPr>
              <w:t>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二年服务总费用</w:t>
            </w:r>
            <w:r>
              <w:rPr>
                <w:rFonts w:hint="eastAsia" w:ascii="宋体" w:hAnsi="宋体" w:eastAsia="宋体" w:cs="宋体"/>
                <w:bCs/>
                <w:color w:val="auto"/>
                <w:sz w:val="24"/>
                <w:szCs w:val="24"/>
                <w:highlight w:val="none"/>
                <w:lang w:eastAsia="zh-CN"/>
              </w:rPr>
              <w:t>）</w:t>
            </w:r>
          </w:p>
        </w:tc>
        <w:tc>
          <w:tcPr>
            <w:tcW w:w="4469" w:type="dxa"/>
            <w:vAlign w:val="center"/>
          </w:tcPr>
          <w:p w14:paraId="7D1CFFE2">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大写金额：</w:t>
            </w:r>
          </w:p>
        </w:tc>
      </w:tr>
    </w:tbl>
    <w:p w14:paraId="10293D37">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注：“投标报价”请保留小数点后两位。</w:t>
      </w:r>
    </w:p>
    <w:p w14:paraId="72D96489">
      <w:pPr>
        <w:jc w:val="right"/>
        <w:rPr>
          <w:rFonts w:hint="eastAsia" w:ascii="宋体" w:hAnsi="宋体" w:eastAsia="宋体" w:cs="宋体"/>
          <w:color w:val="auto"/>
          <w:sz w:val="24"/>
          <w:szCs w:val="24"/>
          <w:highlight w:val="none"/>
        </w:rPr>
      </w:pPr>
    </w:p>
    <w:p w14:paraId="5D4B31EC">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60118A7">
      <w:pPr>
        <w:spacing w:line="440" w:lineRule="exact"/>
        <w:ind w:firstLine="482"/>
        <w:jc w:val="center"/>
        <w:outlineLvl w:val="1"/>
        <w:rPr>
          <w:rFonts w:hint="eastAsia" w:ascii="宋体" w:hAnsi="宋体" w:eastAsia="宋体" w:cs="宋体"/>
          <w:b/>
          <w:bCs/>
          <w:color w:val="auto"/>
          <w:sz w:val="28"/>
          <w:szCs w:val="28"/>
          <w:highlight w:val="none"/>
        </w:rPr>
      </w:pPr>
      <w:bookmarkStart w:id="298" w:name="_Toc1320"/>
      <w:bookmarkStart w:id="299" w:name="_Toc1852"/>
      <w:r>
        <w:rPr>
          <w:rFonts w:hint="eastAsia" w:ascii="宋体" w:hAnsi="宋体" w:eastAsia="宋体" w:cs="宋体"/>
          <w:b/>
          <w:bCs/>
          <w:color w:val="auto"/>
          <w:sz w:val="28"/>
          <w:szCs w:val="28"/>
          <w:highlight w:val="none"/>
        </w:rPr>
        <w:t>附件2 报价明细表</w:t>
      </w:r>
      <w:bookmarkEnd w:id="298"/>
      <w:bookmarkEnd w:id="299"/>
    </w:p>
    <w:tbl>
      <w:tblPr>
        <w:tblStyle w:val="54"/>
        <w:tblW w:w="1023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3"/>
        <w:gridCol w:w="2103"/>
        <w:gridCol w:w="1560"/>
        <w:gridCol w:w="1440"/>
        <w:gridCol w:w="1365"/>
        <w:gridCol w:w="1685"/>
        <w:gridCol w:w="1331"/>
      </w:tblGrid>
      <w:tr w14:paraId="45F692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0" w:hRule="atLeast"/>
        </w:trPr>
        <w:tc>
          <w:tcPr>
            <w:tcW w:w="753" w:type="dxa"/>
            <w:tcBorders>
              <w:top w:val="single" w:color="auto" w:sz="4" w:space="0"/>
              <w:left w:val="single" w:color="auto" w:sz="4" w:space="0"/>
              <w:bottom w:val="single" w:color="auto" w:sz="4" w:space="0"/>
              <w:right w:val="single" w:color="auto" w:sz="4" w:space="0"/>
            </w:tcBorders>
            <w:vAlign w:val="center"/>
          </w:tcPr>
          <w:p w14:paraId="669993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03" w:type="dxa"/>
            <w:tcBorders>
              <w:top w:val="single" w:color="auto" w:sz="4" w:space="0"/>
              <w:left w:val="nil"/>
              <w:bottom w:val="single" w:color="auto" w:sz="4" w:space="0"/>
              <w:right w:val="single" w:color="auto" w:sz="4" w:space="0"/>
            </w:tcBorders>
            <w:vAlign w:val="center"/>
          </w:tcPr>
          <w:p w14:paraId="67888F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费用名称</w:t>
            </w:r>
          </w:p>
        </w:tc>
        <w:tc>
          <w:tcPr>
            <w:tcW w:w="1560" w:type="dxa"/>
            <w:tcBorders>
              <w:top w:val="single" w:color="auto" w:sz="4" w:space="0"/>
              <w:left w:val="nil"/>
              <w:bottom w:val="single" w:color="auto" w:sz="4" w:space="0"/>
              <w:right w:val="single" w:color="auto" w:sz="4" w:space="0"/>
            </w:tcBorders>
            <w:vAlign w:val="center"/>
          </w:tcPr>
          <w:p w14:paraId="084DC25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特征描述</w:t>
            </w:r>
          </w:p>
        </w:tc>
        <w:tc>
          <w:tcPr>
            <w:tcW w:w="1440" w:type="dxa"/>
            <w:tcBorders>
              <w:top w:val="single" w:color="auto" w:sz="4" w:space="0"/>
              <w:left w:val="nil"/>
              <w:bottom w:val="single" w:color="auto" w:sz="4" w:space="0"/>
              <w:right w:val="single" w:color="auto" w:sz="4" w:space="0"/>
            </w:tcBorders>
            <w:vAlign w:val="center"/>
          </w:tcPr>
          <w:p w14:paraId="68300E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365" w:type="dxa"/>
            <w:tcBorders>
              <w:top w:val="single" w:color="auto" w:sz="4" w:space="0"/>
              <w:left w:val="nil"/>
              <w:bottom w:val="single" w:color="auto" w:sz="4" w:space="0"/>
              <w:right w:val="single" w:color="auto" w:sz="4" w:space="0"/>
            </w:tcBorders>
            <w:vAlign w:val="center"/>
          </w:tcPr>
          <w:p w14:paraId="513D99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685" w:type="dxa"/>
            <w:tcBorders>
              <w:top w:val="single" w:color="auto" w:sz="4" w:space="0"/>
              <w:left w:val="nil"/>
              <w:bottom w:val="single" w:color="auto" w:sz="4" w:space="0"/>
              <w:right w:val="single" w:color="auto" w:sz="4" w:space="0"/>
            </w:tcBorders>
            <w:vAlign w:val="center"/>
          </w:tcPr>
          <w:p w14:paraId="40C9A35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分类总价（元）</w:t>
            </w:r>
          </w:p>
        </w:tc>
        <w:tc>
          <w:tcPr>
            <w:tcW w:w="1331" w:type="dxa"/>
            <w:tcBorders>
              <w:top w:val="single" w:color="auto" w:sz="4" w:space="0"/>
              <w:left w:val="nil"/>
              <w:bottom w:val="single" w:color="auto" w:sz="4" w:space="0"/>
              <w:right w:val="single" w:color="auto" w:sz="4" w:space="0"/>
            </w:tcBorders>
            <w:vAlign w:val="center"/>
          </w:tcPr>
          <w:p w14:paraId="18E42F1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01B119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4915BD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03" w:type="dxa"/>
            <w:tcBorders>
              <w:top w:val="single" w:color="auto" w:sz="4" w:space="0"/>
              <w:left w:val="nil"/>
              <w:bottom w:val="single" w:color="auto" w:sz="4" w:space="0"/>
              <w:right w:val="single" w:color="auto" w:sz="4" w:space="0"/>
            </w:tcBorders>
            <w:vAlign w:val="center"/>
          </w:tcPr>
          <w:p w14:paraId="2BB81B75">
            <w:pPr>
              <w:jc w:val="center"/>
              <w:rPr>
                <w:rFonts w:hint="eastAsia" w:ascii="宋体" w:hAnsi="宋体" w:eastAsia="宋体" w:cs="宋体"/>
                <w:color w:val="auto"/>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13DC89A6">
            <w:pPr>
              <w:jc w:val="center"/>
              <w:rPr>
                <w:rFonts w:hint="eastAsia" w:ascii="宋体" w:hAnsi="宋体" w:eastAsia="宋体" w:cs="宋体"/>
                <w:color w:val="auto"/>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2373B2AB">
            <w:pPr>
              <w:jc w:val="center"/>
              <w:rPr>
                <w:rFonts w:hint="eastAsia" w:ascii="宋体" w:hAnsi="宋体" w:eastAsia="宋体" w:cs="宋体"/>
                <w:color w:val="auto"/>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56632869">
            <w:pPr>
              <w:jc w:val="center"/>
              <w:rPr>
                <w:rFonts w:hint="eastAsia" w:ascii="宋体" w:hAnsi="宋体" w:eastAsia="宋体" w:cs="宋体"/>
                <w:color w:val="auto"/>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2D1FB1B4">
            <w:pPr>
              <w:jc w:val="center"/>
              <w:rPr>
                <w:rFonts w:hint="eastAsia" w:ascii="宋体" w:hAnsi="宋体" w:eastAsia="宋体" w:cs="宋体"/>
                <w:color w:val="auto"/>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07E8D9D2">
            <w:pPr>
              <w:jc w:val="center"/>
              <w:rPr>
                <w:rFonts w:hint="eastAsia" w:ascii="宋体" w:hAnsi="宋体" w:eastAsia="宋体" w:cs="宋体"/>
                <w:color w:val="auto"/>
                <w:sz w:val="24"/>
                <w:szCs w:val="24"/>
                <w:highlight w:val="none"/>
              </w:rPr>
            </w:pPr>
          </w:p>
        </w:tc>
      </w:tr>
      <w:tr w14:paraId="34E31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3971A6A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03" w:type="dxa"/>
            <w:tcBorders>
              <w:top w:val="single" w:color="auto" w:sz="4" w:space="0"/>
              <w:left w:val="nil"/>
              <w:bottom w:val="single" w:color="auto" w:sz="4" w:space="0"/>
              <w:right w:val="single" w:color="auto" w:sz="4" w:space="0"/>
            </w:tcBorders>
            <w:vAlign w:val="center"/>
          </w:tcPr>
          <w:p w14:paraId="53452E40">
            <w:pPr>
              <w:jc w:val="center"/>
              <w:rPr>
                <w:rFonts w:hint="eastAsia" w:ascii="宋体" w:hAnsi="宋体" w:eastAsia="宋体" w:cs="宋体"/>
                <w:color w:val="auto"/>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6AFFDFF1">
            <w:pPr>
              <w:jc w:val="center"/>
              <w:rPr>
                <w:rFonts w:hint="eastAsia" w:ascii="宋体" w:hAnsi="宋体" w:eastAsia="宋体" w:cs="宋体"/>
                <w:color w:val="auto"/>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56F3146C">
            <w:pPr>
              <w:jc w:val="center"/>
              <w:rPr>
                <w:rFonts w:hint="eastAsia" w:ascii="宋体" w:hAnsi="宋体" w:eastAsia="宋体" w:cs="宋体"/>
                <w:color w:val="auto"/>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3D14A0FD">
            <w:pPr>
              <w:jc w:val="center"/>
              <w:rPr>
                <w:rFonts w:hint="eastAsia" w:ascii="宋体" w:hAnsi="宋体" w:eastAsia="宋体" w:cs="宋体"/>
                <w:color w:val="auto"/>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67442511">
            <w:pPr>
              <w:jc w:val="center"/>
              <w:rPr>
                <w:rFonts w:hint="eastAsia" w:ascii="宋体" w:hAnsi="宋体" w:eastAsia="宋体" w:cs="宋体"/>
                <w:color w:val="auto"/>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1D20B914">
            <w:pPr>
              <w:jc w:val="center"/>
              <w:rPr>
                <w:rFonts w:hint="eastAsia" w:ascii="宋体" w:hAnsi="宋体" w:eastAsia="宋体" w:cs="宋体"/>
                <w:color w:val="auto"/>
                <w:sz w:val="24"/>
                <w:szCs w:val="24"/>
                <w:highlight w:val="none"/>
              </w:rPr>
            </w:pPr>
          </w:p>
        </w:tc>
      </w:tr>
      <w:tr w14:paraId="4F2FC0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11CD1D8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03" w:type="dxa"/>
            <w:tcBorders>
              <w:top w:val="single" w:color="auto" w:sz="4" w:space="0"/>
              <w:left w:val="nil"/>
              <w:bottom w:val="single" w:color="auto" w:sz="4" w:space="0"/>
              <w:right w:val="single" w:color="auto" w:sz="4" w:space="0"/>
            </w:tcBorders>
            <w:vAlign w:val="center"/>
          </w:tcPr>
          <w:p w14:paraId="159B164C">
            <w:pPr>
              <w:jc w:val="center"/>
              <w:rPr>
                <w:rFonts w:hint="eastAsia" w:ascii="宋体" w:hAnsi="宋体" w:eastAsia="宋体" w:cs="宋体"/>
                <w:color w:val="auto"/>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13057B5B">
            <w:pPr>
              <w:jc w:val="center"/>
              <w:rPr>
                <w:rFonts w:hint="eastAsia" w:ascii="宋体" w:hAnsi="宋体" w:eastAsia="宋体" w:cs="宋体"/>
                <w:color w:val="auto"/>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15EA6449">
            <w:pPr>
              <w:jc w:val="center"/>
              <w:rPr>
                <w:rFonts w:hint="eastAsia" w:ascii="宋体" w:hAnsi="宋体" w:eastAsia="宋体" w:cs="宋体"/>
                <w:color w:val="auto"/>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12858D4A">
            <w:pPr>
              <w:jc w:val="center"/>
              <w:rPr>
                <w:rFonts w:hint="eastAsia" w:ascii="宋体" w:hAnsi="宋体" w:eastAsia="宋体" w:cs="宋体"/>
                <w:color w:val="auto"/>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03862B8A">
            <w:pPr>
              <w:jc w:val="center"/>
              <w:rPr>
                <w:rFonts w:hint="eastAsia" w:ascii="宋体" w:hAnsi="宋体" w:eastAsia="宋体" w:cs="宋体"/>
                <w:color w:val="auto"/>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4F57EFA5">
            <w:pPr>
              <w:jc w:val="center"/>
              <w:rPr>
                <w:rFonts w:hint="eastAsia" w:ascii="宋体" w:hAnsi="宋体" w:eastAsia="宋体" w:cs="宋体"/>
                <w:color w:val="auto"/>
                <w:sz w:val="24"/>
                <w:szCs w:val="24"/>
                <w:highlight w:val="none"/>
              </w:rPr>
            </w:pPr>
          </w:p>
        </w:tc>
      </w:tr>
      <w:tr w14:paraId="17A0B8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10B4445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03" w:type="dxa"/>
            <w:tcBorders>
              <w:top w:val="single" w:color="auto" w:sz="4" w:space="0"/>
              <w:left w:val="nil"/>
              <w:bottom w:val="single" w:color="auto" w:sz="4" w:space="0"/>
              <w:right w:val="single" w:color="auto" w:sz="4" w:space="0"/>
            </w:tcBorders>
            <w:vAlign w:val="center"/>
          </w:tcPr>
          <w:p w14:paraId="65290710">
            <w:pPr>
              <w:jc w:val="center"/>
              <w:rPr>
                <w:rFonts w:hint="eastAsia" w:ascii="宋体" w:hAnsi="宋体" w:eastAsia="宋体" w:cs="宋体"/>
                <w:color w:val="auto"/>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6ACBE9CB">
            <w:pPr>
              <w:jc w:val="center"/>
              <w:rPr>
                <w:rFonts w:hint="eastAsia" w:ascii="宋体" w:hAnsi="宋体" w:eastAsia="宋体" w:cs="宋体"/>
                <w:color w:val="auto"/>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684432D7">
            <w:pPr>
              <w:jc w:val="center"/>
              <w:rPr>
                <w:rFonts w:hint="eastAsia" w:ascii="宋体" w:hAnsi="宋体" w:eastAsia="宋体" w:cs="宋体"/>
                <w:color w:val="auto"/>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34EB6684">
            <w:pPr>
              <w:jc w:val="center"/>
              <w:rPr>
                <w:rFonts w:hint="eastAsia" w:ascii="宋体" w:hAnsi="宋体" w:eastAsia="宋体" w:cs="宋体"/>
                <w:color w:val="auto"/>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4E117FBB">
            <w:pPr>
              <w:jc w:val="center"/>
              <w:rPr>
                <w:rFonts w:hint="eastAsia" w:ascii="宋体" w:hAnsi="宋体" w:eastAsia="宋体" w:cs="宋体"/>
                <w:color w:val="auto"/>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16792546">
            <w:pPr>
              <w:jc w:val="center"/>
              <w:rPr>
                <w:rFonts w:hint="eastAsia" w:ascii="宋体" w:hAnsi="宋体" w:eastAsia="宋体" w:cs="宋体"/>
                <w:color w:val="auto"/>
                <w:sz w:val="24"/>
                <w:szCs w:val="24"/>
                <w:highlight w:val="none"/>
              </w:rPr>
            </w:pPr>
          </w:p>
        </w:tc>
      </w:tr>
      <w:tr w14:paraId="46A541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trPr>
        <w:tc>
          <w:tcPr>
            <w:tcW w:w="753" w:type="dxa"/>
            <w:tcBorders>
              <w:top w:val="single" w:color="auto" w:sz="4" w:space="0"/>
              <w:left w:val="single" w:color="auto" w:sz="4" w:space="0"/>
              <w:bottom w:val="single" w:color="auto" w:sz="4" w:space="0"/>
              <w:right w:val="single" w:color="auto" w:sz="4" w:space="0"/>
            </w:tcBorders>
            <w:vAlign w:val="center"/>
          </w:tcPr>
          <w:p w14:paraId="6523312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03" w:type="dxa"/>
            <w:tcBorders>
              <w:top w:val="single" w:color="auto" w:sz="4" w:space="0"/>
              <w:left w:val="nil"/>
              <w:bottom w:val="single" w:color="auto" w:sz="4" w:space="0"/>
              <w:right w:val="single" w:color="auto" w:sz="4" w:space="0"/>
            </w:tcBorders>
            <w:vAlign w:val="center"/>
          </w:tcPr>
          <w:p w14:paraId="45024B3F">
            <w:pPr>
              <w:jc w:val="center"/>
              <w:rPr>
                <w:rFonts w:hint="eastAsia" w:ascii="宋体" w:hAnsi="宋体" w:eastAsia="宋体" w:cs="宋体"/>
                <w:color w:val="auto"/>
                <w:sz w:val="24"/>
                <w:szCs w:val="24"/>
                <w:highlight w:val="none"/>
              </w:rPr>
            </w:pPr>
          </w:p>
        </w:tc>
        <w:tc>
          <w:tcPr>
            <w:tcW w:w="1560" w:type="dxa"/>
            <w:tcBorders>
              <w:top w:val="single" w:color="auto" w:sz="4" w:space="0"/>
              <w:left w:val="nil"/>
              <w:bottom w:val="single" w:color="auto" w:sz="4" w:space="0"/>
              <w:right w:val="single" w:color="auto" w:sz="4" w:space="0"/>
            </w:tcBorders>
            <w:vAlign w:val="center"/>
          </w:tcPr>
          <w:p w14:paraId="592F446B">
            <w:pPr>
              <w:jc w:val="center"/>
              <w:rPr>
                <w:rFonts w:hint="eastAsia" w:ascii="宋体" w:hAnsi="宋体" w:eastAsia="宋体" w:cs="宋体"/>
                <w:color w:val="auto"/>
                <w:sz w:val="24"/>
                <w:szCs w:val="24"/>
                <w:highlight w:val="none"/>
              </w:rPr>
            </w:pPr>
          </w:p>
        </w:tc>
        <w:tc>
          <w:tcPr>
            <w:tcW w:w="1440" w:type="dxa"/>
            <w:tcBorders>
              <w:top w:val="single" w:color="auto" w:sz="4" w:space="0"/>
              <w:left w:val="nil"/>
              <w:bottom w:val="single" w:color="auto" w:sz="4" w:space="0"/>
              <w:right w:val="single" w:color="auto" w:sz="4" w:space="0"/>
            </w:tcBorders>
            <w:vAlign w:val="center"/>
          </w:tcPr>
          <w:p w14:paraId="02373F8B">
            <w:pPr>
              <w:jc w:val="center"/>
              <w:rPr>
                <w:rFonts w:hint="eastAsia" w:ascii="宋体" w:hAnsi="宋体" w:eastAsia="宋体" w:cs="宋体"/>
                <w:color w:val="auto"/>
                <w:sz w:val="24"/>
                <w:szCs w:val="24"/>
                <w:highlight w:val="none"/>
              </w:rPr>
            </w:pPr>
          </w:p>
        </w:tc>
        <w:tc>
          <w:tcPr>
            <w:tcW w:w="1365" w:type="dxa"/>
            <w:tcBorders>
              <w:top w:val="single" w:color="auto" w:sz="4" w:space="0"/>
              <w:left w:val="nil"/>
              <w:bottom w:val="single" w:color="auto" w:sz="4" w:space="0"/>
              <w:right w:val="single" w:color="auto" w:sz="4" w:space="0"/>
            </w:tcBorders>
            <w:vAlign w:val="center"/>
          </w:tcPr>
          <w:p w14:paraId="3FBB982D">
            <w:pPr>
              <w:jc w:val="center"/>
              <w:rPr>
                <w:rFonts w:hint="eastAsia" w:ascii="宋体" w:hAnsi="宋体" w:eastAsia="宋体" w:cs="宋体"/>
                <w:color w:val="auto"/>
                <w:sz w:val="24"/>
                <w:szCs w:val="24"/>
                <w:highlight w:val="none"/>
              </w:rPr>
            </w:pPr>
          </w:p>
        </w:tc>
        <w:tc>
          <w:tcPr>
            <w:tcW w:w="1685" w:type="dxa"/>
            <w:tcBorders>
              <w:top w:val="single" w:color="auto" w:sz="4" w:space="0"/>
              <w:left w:val="nil"/>
              <w:bottom w:val="single" w:color="auto" w:sz="4" w:space="0"/>
              <w:right w:val="single" w:color="auto" w:sz="4" w:space="0"/>
            </w:tcBorders>
            <w:vAlign w:val="center"/>
          </w:tcPr>
          <w:p w14:paraId="5CF1A1E8">
            <w:pPr>
              <w:jc w:val="center"/>
              <w:rPr>
                <w:rFonts w:hint="eastAsia" w:ascii="宋体" w:hAnsi="宋体" w:eastAsia="宋体" w:cs="宋体"/>
                <w:color w:val="auto"/>
                <w:sz w:val="24"/>
                <w:szCs w:val="24"/>
                <w:highlight w:val="none"/>
              </w:rPr>
            </w:pPr>
          </w:p>
        </w:tc>
        <w:tc>
          <w:tcPr>
            <w:tcW w:w="1331" w:type="dxa"/>
            <w:tcBorders>
              <w:top w:val="single" w:color="auto" w:sz="4" w:space="0"/>
              <w:left w:val="nil"/>
              <w:bottom w:val="single" w:color="auto" w:sz="4" w:space="0"/>
              <w:right w:val="single" w:color="auto" w:sz="4" w:space="0"/>
            </w:tcBorders>
            <w:vAlign w:val="center"/>
          </w:tcPr>
          <w:p w14:paraId="3D04F950">
            <w:pPr>
              <w:jc w:val="center"/>
              <w:rPr>
                <w:rFonts w:hint="eastAsia" w:ascii="宋体" w:hAnsi="宋体" w:eastAsia="宋体" w:cs="宋体"/>
                <w:color w:val="auto"/>
                <w:sz w:val="24"/>
                <w:szCs w:val="24"/>
                <w:highlight w:val="none"/>
              </w:rPr>
            </w:pPr>
          </w:p>
        </w:tc>
      </w:tr>
      <w:tr w14:paraId="4FC124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7" w:hRule="atLeast"/>
        </w:trPr>
        <w:tc>
          <w:tcPr>
            <w:tcW w:w="5856" w:type="dxa"/>
            <w:gridSpan w:val="4"/>
            <w:tcBorders>
              <w:top w:val="single" w:color="auto" w:sz="4" w:space="0"/>
              <w:left w:val="single" w:color="auto" w:sz="4" w:space="0"/>
              <w:bottom w:val="single" w:color="auto" w:sz="4" w:space="0"/>
              <w:right w:val="single" w:color="auto" w:sz="4" w:space="0"/>
            </w:tcBorders>
            <w:vAlign w:val="center"/>
          </w:tcPr>
          <w:p w14:paraId="4261871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投标报价（人民币：     元）</w:t>
            </w:r>
          </w:p>
        </w:tc>
        <w:tc>
          <w:tcPr>
            <w:tcW w:w="4381" w:type="dxa"/>
            <w:gridSpan w:val="3"/>
            <w:tcBorders>
              <w:top w:val="single" w:color="auto" w:sz="4" w:space="0"/>
              <w:left w:val="nil"/>
              <w:bottom w:val="single" w:color="auto" w:sz="4" w:space="0"/>
              <w:right w:val="single" w:color="auto" w:sz="4" w:space="0"/>
            </w:tcBorders>
            <w:vAlign w:val="center"/>
          </w:tcPr>
          <w:p w14:paraId="7DAD70DE">
            <w:pPr>
              <w:jc w:val="center"/>
              <w:rPr>
                <w:rFonts w:hint="eastAsia" w:ascii="宋体" w:hAnsi="宋体" w:eastAsia="宋体" w:cs="宋体"/>
                <w:color w:val="auto"/>
                <w:sz w:val="24"/>
                <w:szCs w:val="24"/>
                <w:highlight w:val="none"/>
              </w:rPr>
            </w:pPr>
          </w:p>
        </w:tc>
      </w:tr>
    </w:tbl>
    <w:p w14:paraId="338ECA4D">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注：1、投标人应根据本项目服务的分项价格情况填写上述表格。</w:t>
      </w:r>
    </w:p>
    <w:p w14:paraId="5C53554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2、所有价格用人民币表示。</w:t>
      </w:r>
    </w:p>
    <w:p w14:paraId="527ABD9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3、表中“</w:t>
      </w:r>
      <w:r>
        <w:rPr>
          <w:rFonts w:hint="eastAsia" w:ascii="宋体" w:hAnsi="宋体" w:eastAsia="宋体" w:cs="宋体"/>
          <w:color w:val="auto"/>
          <w:sz w:val="24"/>
          <w:szCs w:val="24"/>
          <w:highlight w:val="none"/>
        </w:rPr>
        <w:t>投标报价</w:t>
      </w:r>
      <w:r>
        <w:rPr>
          <w:rFonts w:hint="eastAsia" w:ascii="宋体" w:hAnsi="宋体" w:eastAsia="宋体" w:cs="宋体"/>
          <w:bCs/>
          <w:color w:val="auto"/>
          <w:sz w:val="24"/>
          <w:szCs w:val="24"/>
          <w:highlight w:val="none"/>
        </w:rPr>
        <w:t>”应与“开标一览表”中“</w:t>
      </w:r>
      <w:r>
        <w:rPr>
          <w:rFonts w:hint="eastAsia" w:ascii="宋体" w:hAnsi="宋体" w:eastAsia="宋体" w:cs="宋体"/>
          <w:color w:val="auto"/>
          <w:sz w:val="24"/>
          <w:szCs w:val="24"/>
          <w:highlight w:val="none"/>
        </w:rPr>
        <w:t>投标报价</w:t>
      </w:r>
      <w:r>
        <w:rPr>
          <w:rFonts w:hint="eastAsia" w:ascii="宋体" w:hAnsi="宋体" w:eastAsia="宋体" w:cs="宋体"/>
          <w:bCs/>
          <w:color w:val="auto"/>
          <w:sz w:val="24"/>
          <w:szCs w:val="24"/>
          <w:highlight w:val="none"/>
        </w:rPr>
        <w:t>”相一致。</w:t>
      </w:r>
    </w:p>
    <w:p w14:paraId="06AEDAB9">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color w:val="auto"/>
          <w:sz w:val="24"/>
          <w:szCs w:val="24"/>
          <w:highlight w:val="none"/>
        </w:rPr>
        <w:t>投标报价</w:t>
      </w:r>
      <w:r>
        <w:rPr>
          <w:rFonts w:hint="eastAsia" w:ascii="宋体" w:hAnsi="宋体" w:eastAsia="宋体" w:cs="宋体"/>
          <w:bCs/>
          <w:color w:val="auto"/>
          <w:sz w:val="24"/>
          <w:szCs w:val="24"/>
          <w:highlight w:val="none"/>
        </w:rPr>
        <w:t>”请保留小数点后两位。</w:t>
      </w:r>
    </w:p>
    <w:p w14:paraId="3F74282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05A2669">
      <w:pPr>
        <w:pStyle w:val="3"/>
        <w:rPr>
          <w:rFonts w:hint="eastAsia" w:ascii="宋体" w:hAnsi="宋体" w:eastAsia="宋体" w:cs="宋体"/>
          <w:color w:val="auto"/>
          <w:highlight w:val="none"/>
        </w:rPr>
      </w:pPr>
      <w:bookmarkStart w:id="300" w:name="_Toc24050"/>
      <w:r>
        <w:rPr>
          <w:rFonts w:hint="eastAsia" w:ascii="宋体" w:hAnsi="宋体" w:eastAsia="宋体" w:cs="宋体"/>
          <w:color w:val="auto"/>
          <w:highlight w:val="none"/>
        </w:rPr>
        <w:t>附件3 具备履行合同所必需的设备和专业技术能力的书面声明</w:t>
      </w:r>
      <w:bookmarkEnd w:id="300"/>
    </w:p>
    <w:p w14:paraId="7F5DB64C">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我单位郑重声明：我单位具备履行本项采购合同所必需的设备和专业技术能力，为履行本项采购合同我公司具备如下主要设备和主要专业技术能力：</w:t>
      </w:r>
    </w:p>
    <w:p w14:paraId="21E09CE3">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05FEC16D">
      <w:pPr>
        <w:spacing w:line="460" w:lineRule="exact"/>
        <w:ind w:firstLine="4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39437AD3">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r>
    </w:p>
    <w:p w14:paraId="132E63A6">
      <w:pPr>
        <w:pStyle w:val="3"/>
        <w:rPr>
          <w:rFonts w:hint="eastAsia" w:ascii="宋体" w:hAnsi="宋体" w:eastAsia="宋体" w:cs="宋体"/>
          <w:color w:val="auto"/>
          <w:highlight w:val="none"/>
        </w:rPr>
      </w:pPr>
      <w:bookmarkStart w:id="301" w:name="_Toc18208"/>
      <w:r>
        <w:rPr>
          <w:rFonts w:hint="eastAsia" w:ascii="宋体" w:hAnsi="宋体" w:eastAsia="宋体" w:cs="宋体"/>
          <w:color w:val="auto"/>
          <w:highlight w:val="none"/>
        </w:rPr>
        <w:t>附件4 参加政府采购活动前3年内在经营活动中没有重大违法记录的书面声明</w:t>
      </w:r>
      <w:bookmarkEnd w:id="301"/>
    </w:p>
    <w:p w14:paraId="6F53502D">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p>
    <w:p w14:paraId="60ED8F2E">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声 明</w:t>
      </w:r>
    </w:p>
    <w:p w14:paraId="2432BE7C">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4E6AC6A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6015A74">
      <w:pPr>
        <w:pStyle w:val="3"/>
        <w:spacing w:line="440" w:lineRule="exact"/>
        <w:rPr>
          <w:rFonts w:hint="eastAsia" w:ascii="宋体" w:hAnsi="宋体" w:eastAsia="宋体" w:cs="宋体"/>
          <w:color w:val="auto"/>
          <w:highlight w:val="none"/>
        </w:rPr>
      </w:pPr>
      <w:bookmarkStart w:id="302" w:name="_Toc961"/>
      <w:bookmarkStart w:id="303" w:name="_Toc14939"/>
      <w:r>
        <w:rPr>
          <w:rFonts w:hint="eastAsia" w:ascii="宋体" w:hAnsi="宋体" w:eastAsia="宋体" w:cs="宋体"/>
          <w:color w:val="auto"/>
          <w:highlight w:val="none"/>
        </w:rPr>
        <w:t xml:space="preserve">附件5 </w:t>
      </w:r>
      <w:bookmarkEnd w:id="302"/>
      <w:r>
        <w:rPr>
          <w:rFonts w:hint="eastAsia" w:ascii="宋体" w:hAnsi="宋体" w:eastAsia="宋体" w:cs="宋体"/>
          <w:color w:val="auto"/>
          <w:highlight w:val="none"/>
        </w:rPr>
        <w:t>法人授权书</w:t>
      </w:r>
      <w:bookmarkEnd w:id="303"/>
    </w:p>
    <w:p w14:paraId="074599D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苏州信达顺工程建设咨询有限公司</w:t>
      </w:r>
      <w:r>
        <w:rPr>
          <w:rFonts w:hint="eastAsia" w:ascii="宋体" w:hAnsi="宋体" w:eastAsia="宋体" w:cs="宋体"/>
          <w:color w:val="auto"/>
          <w:sz w:val="24"/>
          <w:szCs w:val="24"/>
          <w:highlight w:val="none"/>
        </w:rPr>
        <w:t>：</w:t>
      </w:r>
    </w:p>
    <w:p w14:paraId="348DCB97">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本授权委托书声明：注册于</w:t>
      </w:r>
      <w:r>
        <w:rPr>
          <w:rFonts w:hint="eastAsia" w:ascii="宋体" w:hAnsi="宋体" w:eastAsia="宋体" w:cs="宋体"/>
          <w:color w:val="auto"/>
          <w:sz w:val="24"/>
          <w:szCs w:val="24"/>
          <w:highlight w:val="none"/>
          <w:u w:val="single"/>
        </w:rPr>
        <w:t xml:space="preserve">     （投标人地址）    </w:t>
      </w:r>
      <w:r>
        <w:rPr>
          <w:rFonts w:hint="eastAsia" w:ascii="宋体" w:hAnsi="宋体" w:eastAsia="宋体" w:cs="宋体"/>
          <w:color w:val="auto"/>
          <w:sz w:val="24"/>
          <w:szCs w:val="24"/>
          <w:highlight w:val="none"/>
        </w:rPr>
        <w:t xml:space="preserve"> 的</w:t>
      </w:r>
      <w:r>
        <w:rPr>
          <w:rFonts w:hint="eastAsia" w:ascii="宋体" w:hAnsi="宋体" w:eastAsia="宋体" w:cs="宋体"/>
          <w:color w:val="auto"/>
          <w:sz w:val="24"/>
          <w:szCs w:val="24"/>
          <w:highlight w:val="none"/>
          <w:u w:val="single"/>
        </w:rPr>
        <w:t xml:space="preserve">      （投标人全称）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，代表本公司（工厂）授权</w:t>
      </w:r>
      <w:r>
        <w:rPr>
          <w:rFonts w:hint="eastAsia" w:ascii="宋体" w:hAnsi="宋体" w:eastAsia="宋体" w:cs="宋体"/>
          <w:color w:val="auto"/>
          <w:sz w:val="24"/>
          <w:szCs w:val="24"/>
          <w:highlight w:val="none"/>
          <w:u w:val="single"/>
        </w:rPr>
        <w:t xml:space="preserve">   （授权代表姓名）   </w:t>
      </w:r>
      <w:r>
        <w:rPr>
          <w:rFonts w:hint="eastAsia" w:ascii="宋体" w:hAnsi="宋体" w:eastAsia="宋体" w:cs="宋体"/>
          <w:color w:val="auto"/>
          <w:sz w:val="24"/>
          <w:szCs w:val="24"/>
          <w:highlight w:val="none"/>
        </w:rPr>
        <w:t>为本公司（工厂）的合法代理人，就贵方组织的</w:t>
      </w:r>
      <w:r>
        <w:rPr>
          <w:rFonts w:hint="eastAsia" w:ascii="宋体" w:hAnsi="宋体" w:eastAsia="宋体" w:cs="宋体"/>
          <w:color w:val="auto"/>
          <w:sz w:val="24"/>
          <w:szCs w:val="24"/>
          <w:highlight w:val="none"/>
          <w:u w:val="single"/>
          <w:lang w:eastAsia="zh-CN"/>
        </w:rPr>
        <w:t>常熟市第二人民医院（台山路院区）能源站运维服务</w:t>
      </w:r>
      <w:r>
        <w:rPr>
          <w:rFonts w:hint="eastAsia" w:ascii="宋体" w:hAnsi="宋体" w:eastAsia="宋体" w:cs="宋体"/>
          <w:color w:val="auto"/>
          <w:sz w:val="24"/>
          <w:szCs w:val="24"/>
          <w:highlight w:val="none"/>
          <w:u w:val="single"/>
        </w:rPr>
        <w:t xml:space="preserve"> （项目编号：</w:t>
      </w:r>
      <w:r>
        <w:rPr>
          <w:rFonts w:hint="eastAsia" w:ascii="宋体" w:hAnsi="宋体" w:eastAsia="宋体" w:cs="宋体"/>
          <w:color w:val="auto"/>
          <w:sz w:val="24"/>
          <w:szCs w:val="24"/>
          <w:highlight w:val="none"/>
          <w:u w:val="single"/>
          <w:lang w:eastAsia="zh-CN"/>
        </w:rPr>
        <w:t>JSZC-320581-SZDS-G2026-0004</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的采购活动，以本公司（工厂）名义处理一切与之有关的事务。，以本公司名义处理一切与之有关的事务。</w:t>
      </w:r>
    </w:p>
    <w:p w14:paraId="6670F7A2">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本授权书于年月日生效，被授权人无转委权。</w:t>
      </w:r>
    </w:p>
    <w:p w14:paraId="0B9F302B">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p>
    <w:p w14:paraId="22BF8996">
      <w:pPr>
        <w:spacing w:line="440" w:lineRule="exact"/>
        <w:rPr>
          <w:rFonts w:hint="eastAsia" w:ascii="宋体" w:hAnsi="宋体" w:eastAsia="宋体" w:cs="宋体"/>
          <w:color w:val="auto"/>
          <w:sz w:val="24"/>
          <w:szCs w:val="24"/>
          <w:highlight w:val="none"/>
        </w:rPr>
      </w:pPr>
    </w:p>
    <w:p w14:paraId="0E8459BC">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名称：</w:t>
      </w:r>
      <w:r>
        <w:rPr>
          <w:rFonts w:hint="eastAsia" w:ascii="宋体" w:hAnsi="宋体" w:eastAsia="宋体" w:cs="宋体"/>
          <w:color w:val="auto"/>
          <w:sz w:val="24"/>
          <w:szCs w:val="24"/>
          <w:highlight w:val="none"/>
          <w:u w:val="single"/>
        </w:rPr>
        <w:t>（加盖CA电子公章）</w:t>
      </w:r>
    </w:p>
    <w:p w14:paraId="24F4A583">
      <w:pP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地      址：</w:t>
      </w:r>
      <w:r>
        <w:rPr>
          <w:rFonts w:hint="eastAsia" w:ascii="宋体" w:hAnsi="宋体" w:eastAsia="宋体" w:cs="宋体"/>
          <w:bCs/>
          <w:color w:val="auto"/>
          <w:sz w:val="24"/>
          <w:szCs w:val="24"/>
          <w:highlight w:val="none"/>
          <w:u w:val="single"/>
        </w:rPr>
        <w:t xml:space="preserve">                   </w:t>
      </w:r>
    </w:p>
    <w:p w14:paraId="7491FA69">
      <w:pPr>
        <w:rPr>
          <w:rFonts w:hint="eastAsia" w:ascii="宋体" w:hAnsi="宋体" w:eastAsia="宋体" w:cs="宋体"/>
          <w:bCs/>
          <w:color w:val="auto"/>
          <w:sz w:val="24"/>
          <w:szCs w:val="24"/>
          <w:highlight w:val="none"/>
        </w:rPr>
      </w:pPr>
    </w:p>
    <w:p w14:paraId="276175C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法定代表人姓名：</w:t>
      </w:r>
      <w:r>
        <w:rPr>
          <w:rFonts w:hint="eastAsia" w:ascii="宋体" w:hAnsi="宋体" w:eastAsia="宋体" w:cs="宋体"/>
          <w:bCs/>
          <w:color w:val="auto"/>
          <w:sz w:val="24"/>
          <w:szCs w:val="24"/>
          <w:highlight w:val="none"/>
          <w:u w:val="single"/>
        </w:rPr>
        <w:t xml:space="preserve">                   </w:t>
      </w:r>
    </w:p>
    <w:p w14:paraId="40EBA5F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公民身份号码：</w:t>
      </w:r>
      <w:r>
        <w:rPr>
          <w:rFonts w:hint="eastAsia" w:ascii="宋体" w:hAnsi="宋体" w:eastAsia="宋体" w:cs="宋体"/>
          <w:bCs/>
          <w:color w:val="auto"/>
          <w:sz w:val="24"/>
          <w:szCs w:val="24"/>
          <w:highlight w:val="none"/>
          <w:u w:val="single"/>
        </w:rPr>
        <w:t xml:space="preserve">                   </w:t>
      </w:r>
    </w:p>
    <w:p w14:paraId="21FAE2F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r>
        <w:rPr>
          <w:rFonts w:hint="eastAsia" w:ascii="宋体" w:hAnsi="宋体" w:eastAsia="宋体" w:cs="宋体"/>
          <w:bCs/>
          <w:color w:val="auto"/>
          <w:sz w:val="24"/>
          <w:szCs w:val="24"/>
          <w:highlight w:val="none"/>
          <w:u w:val="single"/>
        </w:rPr>
        <w:t xml:space="preserve">                   </w:t>
      </w:r>
    </w:p>
    <w:p w14:paraId="2BFBBA22">
      <w:pPr>
        <w:rPr>
          <w:rFonts w:hint="eastAsia" w:ascii="宋体" w:hAnsi="宋体" w:eastAsia="宋体" w:cs="宋体"/>
          <w:bCs/>
          <w:color w:val="auto"/>
          <w:sz w:val="24"/>
          <w:szCs w:val="24"/>
          <w:highlight w:val="none"/>
        </w:rPr>
      </w:pPr>
    </w:p>
    <w:p w14:paraId="2283EF8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授权代表姓名：</w:t>
      </w:r>
      <w:r>
        <w:rPr>
          <w:rFonts w:hint="eastAsia" w:ascii="宋体" w:hAnsi="宋体" w:eastAsia="宋体" w:cs="宋体"/>
          <w:bCs/>
          <w:color w:val="auto"/>
          <w:sz w:val="24"/>
          <w:szCs w:val="24"/>
          <w:highlight w:val="none"/>
          <w:u w:val="single"/>
        </w:rPr>
        <w:t xml:space="preserve">                   </w:t>
      </w:r>
    </w:p>
    <w:p w14:paraId="4002F53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公民身份号码：</w:t>
      </w:r>
      <w:r>
        <w:rPr>
          <w:rFonts w:hint="eastAsia" w:ascii="宋体" w:hAnsi="宋体" w:eastAsia="宋体" w:cs="宋体"/>
          <w:bCs/>
          <w:color w:val="auto"/>
          <w:sz w:val="24"/>
          <w:szCs w:val="24"/>
          <w:highlight w:val="none"/>
          <w:u w:val="single"/>
        </w:rPr>
        <w:t xml:space="preserve">                   </w:t>
      </w:r>
    </w:p>
    <w:p w14:paraId="2BA604C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r>
        <w:rPr>
          <w:rFonts w:hint="eastAsia" w:ascii="宋体" w:hAnsi="宋体" w:eastAsia="宋体" w:cs="宋体"/>
          <w:bCs/>
          <w:color w:val="auto"/>
          <w:sz w:val="24"/>
          <w:szCs w:val="24"/>
          <w:highlight w:val="none"/>
          <w:u w:val="single"/>
        </w:rPr>
        <w:t xml:space="preserve">                   </w:t>
      </w:r>
    </w:p>
    <w:p w14:paraId="3D0D0830">
      <w:pPr>
        <w:rPr>
          <w:rFonts w:hint="eastAsia" w:ascii="宋体" w:hAnsi="宋体" w:eastAsia="宋体" w:cs="宋体"/>
          <w:b/>
          <w:color w:val="auto"/>
          <w:sz w:val="24"/>
          <w:szCs w:val="24"/>
          <w:highlight w:val="none"/>
        </w:rPr>
      </w:pPr>
    </w:p>
    <w:p w14:paraId="373B6B1C">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注：如法定代表人签署投标文件的，“法人授权书”可不提供，但需提供法人代表人身份证正反面及营业执照扫描件。</w:t>
      </w:r>
    </w:p>
    <w:p w14:paraId="5FD61A1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4F52025">
      <w:pPr>
        <w:pStyle w:val="3"/>
        <w:rPr>
          <w:rFonts w:hint="eastAsia" w:ascii="宋体" w:hAnsi="宋体" w:eastAsia="宋体" w:cs="宋体"/>
          <w:color w:val="auto"/>
          <w:highlight w:val="none"/>
        </w:rPr>
      </w:pPr>
      <w:bookmarkStart w:id="304" w:name="_Toc12357"/>
      <w:r>
        <w:rPr>
          <w:rFonts w:hint="eastAsia" w:ascii="宋体" w:hAnsi="宋体" w:eastAsia="宋体" w:cs="宋体"/>
          <w:color w:val="auto"/>
          <w:highlight w:val="none"/>
        </w:rPr>
        <w:t>附件6 投标函</w:t>
      </w:r>
      <w:bookmarkEnd w:id="304"/>
    </w:p>
    <w:p w14:paraId="0D42CD43">
      <w:pP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苏州信达顺工程建设咨询有限公司</w:t>
      </w:r>
    </w:p>
    <w:p w14:paraId="14025527">
      <w:pPr>
        <w:spacing w:line="440" w:lineRule="exact"/>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b/>
          <w:color w:val="auto"/>
          <w:sz w:val="24"/>
          <w:szCs w:val="24"/>
          <w:highlight w:val="none"/>
          <w:u w:val="single"/>
          <w:lang w:eastAsia="zh-CN"/>
        </w:rPr>
        <w:t>常熟市第二人民医院（台山路院区）能源站运维服务</w:t>
      </w:r>
      <w:r>
        <w:rPr>
          <w:rFonts w:hint="eastAsia" w:ascii="宋体" w:hAnsi="宋体" w:eastAsia="宋体" w:cs="宋体"/>
          <w:color w:val="auto"/>
          <w:sz w:val="24"/>
          <w:szCs w:val="24"/>
          <w:highlight w:val="none"/>
        </w:rPr>
        <w:t>项目招标文件（项目编号：</w:t>
      </w:r>
      <w:r>
        <w:rPr>
          <w:rFonts w:hint="eastAsia" w:ascii="宋体" w:hAnsi="宋体" w:eastAsia="宋体" w:cs="宋体"/>
          <w:color w:val="auto"/>
          <w:sz w:val="24"/>
          <w:szCs w:val="24"/>
          <w:highlight w:val="none"/>
          <w:lang w:eastAsia="zh-CN"/>
        </w:rPr>
        <w:t>JSZC-320581-SZDS-G2026-0004</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正式授权下述签字人______(姓名)代表我方______________（投标人的名称），全权处理本次项目投标的有关事宜。</w:t>
      </w:r>
    </w:p>
    <w:p w14:paraId="2FD8F1A6">
      <w:pPr>
        <w:spacing w:line="440" w:lineRule="exact"/>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据此函，__________签字人兹宣布同意如下：</w:t>
      </w:r>
    </w:p>
    <w:p w14:paraId="4FCFEB57">
      <w:pPr>
        <w:pStyle w:val="174"/>
        <w:spacing w:before="0" w:after="0" w:line="420" w:lineRule="exact"/>
        <w:rPr>
          <w:rFonts w:hint="eastAsia" w:ascii="宋体" w:hAnsi="宋体" w:eastAsia="宋体" w:cs="宋体"/>
          <w:color w:val="auto"/>
          <w:szCs w:val="21"/>
          <w:highlight w:val="none"/>
        </w:rPr>
      </w:pPr>
      <w:bookmarkStart w:id="305" w:name="_Toc496528251"/>
      <w:bookmarkStart w:id="306" w:name="_Toc496180957"/>
      <w:bookmarkStart w:id="307" w:name="_Toc495934670"/>
      <w:bookmarkStart w:id="308" w:name="_Toc23143"/>
      <w:bookmarkStart w:id="309" w:name="_Toc2220"/>
      <w:r>
        <w:rPr>
          <w:rFonts w:hint="eastAsia" w:ascii="宋体" w:hAnsi="宋体" w:eastAsia="宋体" w:cs="宋体"/>
          <w:color w:val="auto"/>
          <w:szCs w:val="21"/>
          <w:highlight w:val="none"/>
        </w:rPr>
        <w:t>1.按招标文件规定的各项要求，向买方提供所需服务（包含与服务相关的货物）。</w:t>
      </w:r>
    </w:p>
    <w:p w14:paraId="78374FA7">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7922F21A">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70118769">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207126DD">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E5DB9FB">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590E651C">
      <w:pPr>
        <w:pStyle w:val="17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7.与本投标有关的正式通讯地址为：</w:t>
      </w:r>
    </w:p>
    <w:p w14:paraId="4AE73010">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071156C0">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5B2EC3F5">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36F3C00E">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33C27D8D">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投标人开户行：</w:t>
      </w:r>
    </w:p>
    <w:p w14:paraId="05FB208E">
      <w:pPr>
        <w:pStyle w:val="174"/>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215C5BF2">
      <w:pPr>
        <w:pStyle w:val="174"/>
        <w:spacing w:before="0" w:after="0" w:line="420" w:lineRule="exact"/>
        <w:ind w:left="420"/>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日           期：________年____月____日</w:t>
      </w:r>
      <w:r>
        <w:rPr>
          <w:rFonts w:hint="eastAsia" w:ascii="宋体" w:hAnsi="宋体" w:eastAsia="宋体" w:cs="宋体"/>
          <w:b/>
          <w:bCs/>
          <w:color w:val="auto"/>
          <w:sz w:val="28"/>
          <w:szCs w:val="28"/>
          <w:highlight w:val="none"/>
        </w:rPr>
        <w:br w:type="page"/>
      </w:r>
    </w:p>
    <w:p w14:paraId="4F67F996">
      <w:pPr>
        <w:keepNext/>
        <w:jc w:val="center"/>
        <w:outlineLvl w:val="1"/>
        <w:rPr>
          <w:rFonts w:hint="eastAsia" w:ascii="宋体" w:hAnsi="宋体" w:eastAsia="宋体" w:cs="宋体"/>
          <w:b/>
          <w:bCs/>
          <w:color w:val="auto"/>
          <w:sz w:val="28"/>
          <w:szCs w:val="28"/>
          <w:highlight w:val="none"/>
        </w:rPr>
      </w:pPr>
      <w:bookmarkStart w:id="310" w:name="_Toc3040"/>
      <w:r>
        <w:rPr>
          <w:rFonts w:hint="eastAsia" w:ascii="宋体" w:hAnsi="宋体" w:eastAsia="宋体" w:cs="宋体"/>
          <w:b/>
          <w:bCs/>
          <w:color w:val="auto"/>
          <w:sz w:val="28"/>
          <w:szCs w:val="28"/>
          <w:highlight w:val="none"/>
        </w:rPr>
        <w:t>附件</w:t>
      </w:r>
      <w:bookmarkEnd w:id="305"/>
      <w:bookmarkEnd w:id="306"/>
      <w:bookmarkEnd w:id="307"/>
      <w:bookmarkEnd w:id="308"/>
      <w:r>
        <w:rPr>
          <w:rFonts w:hint="eastAsia" w:ascii="宋体" w:hAnsi="宋体" w:eastAsia="宋体" w:cs="宋体"/>
          <w:b/>
          <w:bCs/>
          <w:color w:val="auto"/>
          <w:sz w:val="28"/>
          <w:szCs w:val="28"/>
          <w:highlight w:val="none"/>
        </w:rPr>
        <w:t>7 中小企业声明函</w:t>
      </w:r>
      <w:bookmarkEnd w:id="309"/>
      <w:bookmarkEnd w:id="310"/>
    </w:p>
    <w:p w14:paraId="216CD93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eastAsia="zh-CN"/>
        </w:rPr>
        <w:t>常熟市第二人民医院</w:t>
      </w:r>
      <w:r>
        <w:rPr>
          <w:rFonts w:hint="eastAsia" w:ascii="宋体" w:hAnsi="宋体" w:eastAsia="宋体" w:cs="宋体"/>
          <w:color w:val="auto"/>
          <w:sz w:val="24"/>
          <w:szCs w:val="24"/>
          <w:highlight w:val="none"/>
          <w:lang w:val="zh-CN"/>
        </w:rPr>
        <w:t>的</w:t>
      </w:r>
      <w:r>
        <w:rPr>
          <w:rFonts w:hint="eastAsia" w:ascii="宋体" w:hAnsi="宋体" w:eastAsia="宋体" w:cs="宋体"/>
          <w:color w:val="auto"/>
          <w:sz w:val="24"/>
          <w:szCs w:val="24"/>
          <w:highlight w:val="none"/>
          <w:u w:val="single"/>
          <w:lang w:eastAsia="zh-CN"/>
        </w:rPr>
        <w:t>常熟市第二人民医院（台山路院区）能源站运维服务</w:t>
      </w:r>
      <w:r>
        <w:rPr>
          <w:rFonts w:hint="eastAsia" w:ascii="宋体" w:hAnsi="宋体" w:eastAsia="宋体" w:cs="宋体"/>
          <w:color w:val="auto"/>
          <w:sz w:val="24"/>
          <w:szCs w:val="21"/>
          <w:highlight w:val="none"/>
        </w:rPr>
        <w:t>采购活动，服务全部由符合政策要求的中小企业承接。相关企业的具体情况如下：</w:t>
      </w:r>
    </w:p>
    <w:p w14:paraId="6F42388E">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lang w:eastAsia="zh-CN"/>
        </w:rPr>
        <w:t>常熟市第二人民医院（台山路院区）能源站运维服务</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lang w:val="en-US" w:eastAsia="zh-CN"/>
        </w:rPr>
        <w:t xml:space="preserve"> 其他未列明 </w:t>
      </w:r>
      <w:r>
        <w:rPr>
          <w:rFonts w:hint="eastAsia" w:ascii="宋体" w:hAnsi="宋体" w:eastAsia="宋体" w:cs="宋体"/>
          <w:color w:val="auto"/>
          <w:kern w:val="0"/>
          <w:sz w:val="24"/>
          <w:szCs w:val="24"/>
          <w:highlight w:val="none"/>
        </w:rPr>
        <w:t>行业；承接企业为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26FF5F78">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314EE239">
      <w:pPr>
        <w:widowControl/>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24C6965C">
      <w:pPr>
        <w:pStyle w:val="19"/>
        <w:spacing w:before="55" w:line="560" w:lineRule="exact"/>
        <w:ind w:right="414" w:firstLine="472" w:firstLineChars="200"/>
        <w:rPr>
          <w:rFonts w:hint="eastAsia" w:ascii="宋体" w:hAnsi="宋体" w:eastAsia="宋体" w:cs="宋体"/>
          <w:color w:val="auto"/>
          <w:spacing w:val="-2"/>
          <w:sz w:val="24"/>
          <w:szCs w:val="24"/>
          <w:highlight w:val="none"/>
        </w:rPr>
      </w:pPr>
    </w:p>
    <w:p w14:paraId="7F342680">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41EF4810">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日期：</w:t>
      </w:r>
    </w:p>
    <w:p w14:paraId="24C5C197">
      <w:pPr>
        <w:jc w:val="center"/>
        <w:rPr>
          <w:rFonts w:hint="eastAsia" w:ascii="宋体" w:hAnsi="宋体" w:eastAsia="宋体" w:cs="宋体"/>
          <w:color w:val="auto"/>
          <w:sz w:val="24"/>
          <w:szCs w:val="24"/>
          <w:highlight w:val="none"/>
        </w:rPr>
      </w:pPr>
    </w:p>
    <w:p w14:paraId="2F2FD223">
      <w:pPr>
        <w:jc w:val="center"/>
        <w:rPr>
          <w:rFonts w:hint="eastAsia" w:ascii="宋体" w:hAnsi="宋体" w:eastAsia="宋体" w:cs="宋体"/>
          <w:color w:val="auto"/>
          <w:sz w:val="24"/>
          <w:szCs w:val="24"/>
          <w:highlight w:val="none"/>
        </w:rPr>
      </w:pPr>
    </w:p>
    <w:p w14:paraId="6BA3AD3A">
      <w:pPr>
        <w:jc w:val="center"/>
        <w:rPr>
          <w:rFonts w:hint="eastAsia" w:ascii="宋体" w:hAnsi="宋体" w:eastAsia="宋体" w:cs="宋体"/>
          <w:color w:val="auto"/>
          <w:sz w:val="24"/>
          <w:szCs w:val="24"/>
          <w:highlight w:val="none"/>
        </w:rPr>
      </w:pPr>
    </w:p>
    <w:p w14:paraId="2205F3C3">
      <w:pPr>
        <w:spacing w:line="440" w:lineRule="exact"/>
        <w:jc w:val="left"/>
        <w:rPr>
          <w:rFonts w:hint="eastAsia" w:ascii="宋体" w:hAnsi="宋体" w:eastAsia="宋体" w:cs="宋体"/>
          <w:b/>
          <w:bCs/>
          <w:color w:val="auto"/>
          <w:sz w:val="24"/>
          <w:szCs w:val="32"/>
          <w:highlight w:val="none"/>
        </w:rPr>
      </w:pPr>
      <w:r>
        <w:rPr>
          <w:rFonts w:hint="eastAsia" w:ascii="宋体" w:hAnsi="宋体" w:eastAsia="宋体" w:cs="宋体"/>
          <w:b/>
          <w:color w:val="auto"/>
          <w:sz w:val="24"/>
          <w:szCs w:val="24"/>
          <w:highlight w:val="none"/>
        </w:rPr>
        <w:t>注：（1）从业人员、营业收入、资产总额填报上一年度数据，无上一年度数据的新成立企业</w:t>
      </w:r>
      <w:r>
        <w:rPr>
          <w:rFonts w:hint="eastAsia" w:ascii="宋体" w:hAnsi="宋体" w:eastAsia="宋体" w:cs="宋体"/>
          <w:b/>
          <w:bCs/>
          <w:color w:val="auto"/>
          <w:sz w:val="24"/>
          <w:szCs w:val="32"/>
          <w:highlight w:val="none"/>
        </w:rPr>
        <w:t>可不填报。</w:t>
      </w:r>
    </w:p>
    <w:p w14:paraId="06B6311B">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（2）本项目所属行业为：</w:t>
      </w:r>
      <w:r>
        <w:rPr>
          <w:rFonts w:hint="eastAsia" w:ascii="宋体" w:hAnsi="宋体" w:eastAsia="宋体" w:cs="宋体"/>
          <w:b/>
          <w:bCs/>
          <w:color w:val="auto"/>
          <w:sz w:val="24"/>
          <w:szCs w:val="24"/>
          <w:highlight w:val="none"/>
          <w:lang w:eastAsia="zh-CN"/>
        </w:rPr>
        <w:t>其他未列明行业</w:t>
      </w:r>
      <w:r>
        <w:rPr>
          <w:rFonts w:hint="eastAsia" w:ascii="宋体" w:hAnsi="宋体" w:eastAsia="宋体" w:cs="宋体"/>
          <w:b/>
          <w:bCs/>
          <w:color w:val="auto"/>
          <w:sz w:val="24"/>
          <w:szCs w:val="24"/>
          <w:highlight w:val="none"/>
        </w:rPr>
        <w:t>。</w:t>
      </w:r>
    </w:p>
    <w:p w14:paraId="1BDB7ABD">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（3）上述“中小企业声明函”格式原则上不得改动，因擅自改动引起的评审风险由投标人自行承担。</w:t>
      </w:r>
    </w:p>
    <w:p w14:paraId="4E3E09A1">
      <w:pPr>
        <w:spacing w:line="48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（4）如未对上述声明函内（中型企业、小型企业、微型企业）进行勾选或明确，引起的评审风险由投标人自行承担。</w:t>
      </w:r>
    </w:p>
    <w:p w14:paraId="239ABCB7">
      <w:pPr>
        <w:spacing w:line="440" w:lineRule="exact"/>
        <w:ind w:firstLine="562" w:firstLineChars="200"/>
        <w:rPr>
          <w:rFonts w:hint="eastAsia" w:ascii="宋体" w:hAnsi="宋体" w:eastAsia="宋体" w:cs="宋体"/>
          <w:b/>
          <w:bCs/>
          <w:color w:val="auto"/>
          <w:sz w:val="28"/>
          <w:szCs w:val="28"/>
          <w:highlight w:val="none"/>
        </w:rPr>
        <w:sectPr>
          <w:footerReference r:id="rId11" w:type="first"/>
          <w:footerReference r:id="rId10" w:type="default"/>
          <w:pgSz w:w="11907" w:h="16840"/>
          <w:pgMar w:top="1134" w:right="882" w:bottom="1134" w:left="1365" w:header="567" w:footer="794" w:gutter="0"/>
          <w:pgNumType w:fmt="decimal" w:start="1"/>
          <w:cols w:space="720" w:num="1"/>
          <w:titlePg/>
          <w:docGrid w:type="lines" w:linePitch="305" w:charSpace="0"/>
        </w:sectPr>
      </w:pPr>
    </w:p>
    <w:p w14:paraId="5AC2884A">
      <w:pPr>
        <w:spacing w:line="440" w:lineRule="exact"/>
        <w:jc w:val="center"/>
        <w:outlineLvl w:val="1"/>
        <w:rPr>
          <w:rFonts w:hint="eastAsia" w:ascii="宋体" w:hAnsi="宋体" w:eastAsia="宋体" w:cs="宋体"/>
          <w:color w:val="auto"/>
          <w:highlight w:val="none"/>
        </w:rPr>
      </w:pPr>
      <w:bookmarkStart w:id="311" w:name="_Toc9286"/>
      <w:bookmarkStart w:id="312" w:name="_Toc1913"/>
      <w:bookmarkStart w:id="313" w:name="_Toc31864"/>
      <w:r>
        <w:rPr>
          <w:rFonts w:hint="eastAsia" w:ascii="宋体" w:hAnsi="宋体" w:eastAsia="宋体" w:cs="宋体"/>
          <w:b/>
          <w:bCs/>
          <w:color w:val="auto"/>
          <w:sz w:val="28"/>
          <w:szCs w:val="28"/>
          <w:highlight w:val="none"/>
        </w:rPr>
        <w:t>附件</w:t>
      </w:r>
      <w:bookmarkEnd w:id="311"/>
      <w:r>
        <w:rPr>
          <w:rFonts w:hint="eastAsia" w:ascii="宋体" w:hAnsi="宋体" w:eastAsia="宋体" w:cs="宋体"/>
          <w:b/>
          <w:bCs/>
          <w:color w:val="auto"/>
          <w:sz w:val="28"/>
          <w:szCs w:val="28"/>
          <w:highlight w:val="none"/>
        </w:rPr>
        <w:t>8 残疾人福利性单位声明函</w:t>
      </w:r>
      <w:bookmarkEnd w:id="312"/>
      <w:bookmarkEnd w:id="313"/>
    </w:p>
    <w:p w14:paraId="79FEBF35">
      <w:pPr>
        <w:adjustRightInd w:val="0"/>
        <w:snapToGrid w:val="0"/>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EBFEAD">
      <w:pPr>
        <w:adjustRightInd w:val="0"/>
        <w:snapToGrid w:val="0"/>
        <w:spacing w:line="5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本单位对上述声明的真实性负责。如有虚假，将依法承担相应责任。</w:t>
      </w:r>
    </w:p>
    <w:p w14:paraId="4DD1E2D6">
      <w:pPr>
        <w:adjustRightInd w:val="0"/>
        <w:snapToGrid w:val="0"/>
        <w:spacing w:line="580" w:lineRule="exact"/>
        <w:jc w:val="left"/>
        <w:rPr>
          <w:rFonts w:hint="eastAsia" w:ascii="宋体" w:hAnsi="宋体" w:eastAsia="宋体" w:cs="宋体"/>
          <w:color w:val="auto"/>
          <w:sz w:val="24"/>
          <w:szCs w:val="24"/>
          <w:highlight w:val="none"/>
          <w:lang w:val="zh-CN"/>
        </w:rPr>
      </w:pPr>
    </w:p>
    <w:p w14:paraId="52F22EB8">
      <w:pPr>
        <w:adjustRightInd w:val="0"/>
        <w:snapToGrid w:val="0"/>
        <w:spacing w:line="580" w:lineRule="exact"/>
        <w:ind w:firstLine="4800" w:firstLineChars="20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单位名称：</w:t>
      </w:r>
    </w:p>
    <w:p w14:paraId="23F29FD3">
      <w:pPr>
        <w:adjustRightInd w:val="0"/>
        <w:snapToGrid w:val="0"/>
        <w:spacing w:line="580" w:lineRule="exact"/>
        <w:ind w:firstLine="4800" w:firstLineChars="20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w:t>
      </w:r>
    </w:p>
    <w:p w14:paraId="0BB5EBB7">
      <w:pPr>
        <w:adjustRightInd w:val="0"/>
        <w:snapToGrid w:val="0"/>
        <w:spacing w:line="580" w:lineRule="exact"/>
        <w:jc w:val="left"/>
        <w:rPr>
          <w:rFonts w:hint="eastAsia" w:ascii="宋体" w:hAnsi="宋体" w:eastAsia="宋体" w:cs="宋体"/>
          <w:color w:val="auto"/>
          <w:sz w:val="24"/>
          <w:szCs w:val="24"/>
          <w:highlight w:val="none"/>
          <w:lang w:val="zh-CN"/>
        </w:rPr>
      </w:pPr>
    </w:p>
    <w:p w14:paraId="32461CA8">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请投标人认真阅读如下内容：</w:t>
      </w:r>
    </w:p>
    <w:p w14:paraId="5367E003">
      <w:pPr>
        <w:spacing w:line="44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注：根据《财政部、民政部、中国残疾人联合会关于促进残疾人就业政府采购政策的通知》（财库〔2017〕141号）的规定的划分标准，享受政府采购支持政策的残疾人福利性单位应当同时满足以下条件：</w:t>
      </w:r>
    </w:p>
    <w:p w14:paraId="60FFC955">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1）安置的残疾人占本单位在职职工人数的比例不低于25%（含25%），并且安置的残疾人人数不少于10人（含10人）；</w:t>
      </w:r>
    </w:p>
    <w:p w14:paraId="2E97110B">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2）依法与安置的每位残疾人签订了一年以上（含一年）的劳动合同或服务协议；</w:t>
      </w:r>
    </w:p>
    <w:p w14:paraId="3E7CEE9E">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3）为安置的每位残疾人按月足额缴纳了基本养老保险、基本医疗保险、失业保险、工伤保险和生育保险等社会保险费；</w:t>
      </w:r>
    </w:p>
    <w:p w14:paraId="1820D747">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4）通过银行等金融机构向安置的每位残疾人，按月支付了不低于单位所在区县适用的经省级人民政府批准的月最低工资标准的工资；</w:t>
      </w:r>
    </w:p>
    <w:p w14:paraId="024322D9">
      <w:pPr>
        <w:spacing w:line="440" w:lineRule="exact"/>
        <w:ind w:firstLine="480" w:firstLineChars="20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5）提供本单位制造的货物、承担的工程或者服务（以下简称产品），或者提供其他残疾人福利性单位制造的货物（不包括使用非残疾人福利性单位注册商标的货物）。</w:t>
      </w:r>
    </w:p>
    <w:p w14:paraId="5C439A48">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A871C74">
      <w:pPr>
        <w:pStyle w:val="3"/>
        <w:keepNext w:val="0"/>
        <w:pageBreakBefore/>
        <w:rPr>
          <w:rFonts w:hint="eastAsia" w:ascii="宋体" w:hAnsi="宋体" w:eastAsia="宋体" w:cs="宋体"/>
          <w:color w:val="auto"/>
          <w:highlight w:val="none"/>
        </w:rPr>
      </w:pPr>
      <w:bookmarkStart w:id="314" w:name="_Toc11816"/>
      <w:r>
        <w:rPr>
          <w:rFonts w:hint="eastAsia" w:ascii="宋体" w:hAnsi="宋体" w:eastAsia="宋体" w:cs="宋体"/>
          <w:color w:val="auto"/>
          <w:highlight w:val="none"/>
        </w:rPr>
        <w:t>附件9 实质性要求响应及偏离表</w:t>
      </w:r>
      <w:bookmarkEnd w:id="314"/>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7E198A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A3DC41">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C17406E">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技术要求和商务要求中的</w:t>
            </w:r>
            <w:r>
              <w:rPr>
                <w:rFonts w:hint="eastAsia" w:ascii="宋体" w:hAnsi="宋体" w:eastAsia="宋体" w:cs="宋体"/>
                <w:b/>
                <w:color w:val="auto"/>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2EA0E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3973837">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超出、符合或偏离</w:t>
            </w:r>
          </w:p>
        </w:tc>
      </w:tr>
      <w:tr w14:paraId="5CB908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099788">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7817789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1092F1BC">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14:paraId="19D4B476">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799A0429">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备注：1.投标人必须对技术要求和商务要求中的不可实质性变动要求逐条做出明确响应，否则作无效投标处理。</w:t>
      </w:r>
    </w:p>
    <w:p w14:paraId="4EAC789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13A96FD">
      <w:pPr>
        <w:pStyle w:val="3"/>
        <w:keepNext w:val="0"/>
        <w:pageBreakBefore/>
        <w:rPr>
          <w:rFonts w:hint="eastAsia" w:ascii="宋体" w:hAnsi="宋体" w:eastAsia="宋体" w:cs="宋体"/>
          <w:color w:val="auto"/>
          <w:highlight w:val="none"/>
        </w:rPr>
      </w:pPr>
      <w:bookmarkStart w:id="315" w:name="_Toc9628"/>
      <w:r>
        <w:rPr>
          <w:rFonts w:hint="eastAsia" w:ascii="宋体" w:hAnsi="宋体" w:eastAsia="宋体" w:cs="宋体"/>
          <w:color w:val="auto"/>
          <w:highlight w:val="none"/>
        </w:rPr>
        <w:t>附件10 服务要求响应及偏离表</w:t>
      </w:r>
      <w:bookmarkEnd w:id="315"/>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14:paraId="7179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14:paraId="7BF9F2F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06" w:type="dxa"/>
            <w:vMerge w:val="restart"/>
            <w:vAlign w:val="center"/>
          </w:tcPr>
          <w:p w14:paraId="36B09C2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招标文件服务要求</w:t>
            </w:r>
          </w:p>
        </w:tc>
        <w:tc>
          <w:tcPr>
            <w:tcW w:w="1623" w:type="dxa"/>
            <w:vMerge w:val="restart"/>
            <w:vAlign w:val="center"/>
          </w:tcPr>
          <w:p w14:paraId="2B90D05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招标文件提供服务承诺</w:t>
            </w:r>
          </w:p>
        </w:tc>
        <w:tc>
          <w:tcPr>
            <w:tcW w:w="1923" w:type="dxa"/>
            <w:vMerge w:val="restart"/>
            <w:vAlign w:val="center"/>
          </w:tcPr>
          <w:p w14:paraId="2640DEF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有无偏离</w:t>
            </w:r>
          </w:p>
        </w:tc>
        <w:tc>
          <w:tcPr>
            <w:tcW w:w="1650" w:type="dxa"/>
            <w:gridSpan w:val="2"/>
            <w:vAlign w:val="center"/>
          </w:tcPr>
          <w:p w14:paraId="16E9D3F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有偏离</w:t>
            </w:r>
          </w:p>
        </w:tc>
        <w:tc>
          <w:tcPr>
            <w:tcW w:w="2670" w:type="dxa"/>
            <w:vAlign w:val="center"/>
          </w:tcPr>
          <w:p w14:paraId="7399D74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偏离内容</w:t>
            </w:r>
          </w:p>
        </w:tc>
      </w:tr>
      <w:tr w14:paraId="261EC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14:paraId="4255B3B0">
            <w:pPr>
              <w:jc w:val="center"/>
              <w:rPr>
                <w:rFonts w:hint="eastAsia" w:ascii="宋体" w:hAnsi="宋体" w:eastAsia="宋体" w:cs="宋体"/>
                <w:b/>
                <w:color w:val="auto"/>
                <w:sz w:val="24"/>
                <w:szCs w:val="24"/>
                <w:highlight w:val="none"/>
              </w:rPr>
            </w:pPr>
          </w:p>
        </w:tc>
        <w:tc>
          <w:tcPr>
            <w:tcW w:w="1606" w:type="dxa"/>
            <w:vMerge w:val="continue"/>
            <w:vAlign w:val="center"/>
          </w:tcPr>
          <w:p w14:paraId="59C857E2">
            <w:pPr>
              <w:jc w:val="center"/>
              <w:rPr>
                <w:rFonts w:hint="eastAsia" w:ascii="宋体" w:hAnsi="宋体" w:eastAsia="宋体" w:cs="宋体"/>
                <w:b/>
                <w:color w:val="auto"/>
                <w:sz w:val="24"/>
                <w:szCs w:val="24"/>
                <w:highlight w:val="none"/>
              </w:rPr>
            </w:pPr>
          </w:p>
        </w:tc>
        <w:tc>
          <w:tcPr>
            <w:tcW w:w="1623" w:type="dxa"/>
            <w:vMerge w:val="continue"/>
            <w:vAlign w:val="center"/>
          </w:tcPr>
          <w:p w14:paraId="25376A69">
            <w:pPr>
              <w:jc w:val="center"/>
              <w:rPr>
                <w:rFonts w:hint="eastAsia" w:ascii="宋体" w:hAnsi="宋体" w:eastAsia="宋体" w:cs="宋体"/>
                <w:b/>
                <w:color w:val="auto"/>
                <w:sz w:val="24"/>
                <w:szCs w:val="24"/>
                <w:highlight w:val="none"/>
              </w:rPr>
            </w:pPr>
          </w:p>
        </w:tc>
        <w:tc>
          <w:tcPr>
            <w:tcW w:w="1923" w:type="dxa"/>
            <w:vMerge w:val="continue"/>
            <w:vAlign w:val="center"/>
          </w:tcPr>
          <w:p w14:paraId="42DD1E33">
            <w:pPr>
              <w:jc w:val="center"/>
              <w:rPr>
                <w:rFonts w:hint="eastAsia" w:ascii="宋体" w:hAnsi="宋体" w:eastAsia="宋体" w:cs="宋体"/>
                <w:b/>
                <w:color w:val="auto"/>
                <w:sz w:val="24"/>
                <w:szCs w:val="24"/>
                <w:highlight w:val="none"/>
              </w:rPr>
            </w:pPr>
          </w:p>
        </w:tc>
        <w:tc>
          <w:tcPr>
            <w:tcW w:w="845" w:type="dxa"/>
            <w:vAlign w:val="center"/>
          </w:tcPr>
          <w:p w14:paraId="36A3B2A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正</w:t>
            </w:r>
          </w:p>
        </w:tc>
        <w:tc>
          <w:tcPr>
            <w:tcW w:w="805" w:type="dxa"/>
            <w:vAlign w:val="center"/>
          </w:tcPr>
          <w:p w14:paraId="6669F44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负</w:t>
            </w:r>
          </w:p>
        </w:tc>
        <w:tc>
          <w:tcPr>
            <w:tcW w:w="2670" w:type="dxa"/>
            <w:vAlign w:val="center"/>
          </w:tcPr>
          <w:p w14:paraId="3A969B34">
            <w:pPr>
              <w:jc w:val="center"/>
              <w:rPr>
                <w:rFonts w:hint="eastAsia" w:ascii="宋体" w:hAnsi="宋体" w:eastAsia="宋体" w:cs="宋体"/>
                <w:b/>
                <w:color w:val="auto"/>
                <w:sz w:val="24"/>
                <w:szCs w:val="24"/>
                <w:highlight w:val="none"/>
              </w:rPr>
            </w:pPr>
          </w:p>
        </w:tc>
      </w:tr>
      <w:tr w14:paraId="1178F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2B402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06" w:type="dxa"/>
            <w:vAlign w:val="center"/>
          </w:tcPr>
          <w:p w14:paraId="53D8A101">
            <w:pPr>
              <w:jc w:val="center"/>
              <w:rPr>
                <w:rFonts w:hint="eastAsia" w:ascii="宋体" w:hAnsi="宋体" w:eastAsia="宋体" w:cs="宋体"/>
                <w:color w:val="auto"/>
                <w:sz w:val="24"/>
                <w:szCs w:val="24"/>
                <w:highlight w:val="none"/>
              </w:rPr>
            </w:pPr>
          </w:p>
        </w:tc>
        <w:tc>
          <w:tcPr>
            <w:tcW w:w="1623" w:type="dxa"/>
            <w:vAlign w:val="center"/>
          </w:tcPr>
          <w:p w14:paraId="22A811FD">
            <w:pPr>
              <w:jc w:val="center"/>
              <w:rPr>
                <w:rFonts w:hint="eastAsia" w:ascii="宋体" w:hAnsi="宋体" w:eastAsia="宋体" w:cs="宋体"/>
                <w:color w:val="auto"/>
                <w:highlight w:val="none"/>
              </w:rPr>
            </w:pPr>
          </w:p>
        </w:tc>
        <w:tc>
          <w:tcPr>
            <w:tcW w:w="1923" w:type="dxa"/>
            <w:vAlign w:val="center"/>
          </w:tcPr>
          <w:p w14:paraId="2E48237B">
            <w:pPr>
              <w:jc w:val="center"/>
              <w:rPr>
                <w:rFonts w:hint="eastAsia" w:ascii="宋体" w:hAnsi="宋体" w:eastAsia="宋体" w:cs="宋体"/>
                <w:color w:val="auto"/>
                <w:highlight w:val="none"/>
              </w:rPr>
            </w:pPr>
          </w:p>
        </w:tc>
        <w:tc>
          <w:tcPr>
            <w:tcW w:w="845" w:type="dxa"/>
            <w:vAlign w:val="center"/>
          </w:tcPr>
          <w:p w14:paraId="378E4E59">
            <w:pPr>
              <w:jc w:val="center"/>
              <w:rPr>
                <w:rFonts w:hint="eastAsia" w:ascii="宋体" w:hAnsi="宋体" w:eastAsia="宋体" w:cs="宋体"/>
                <w:color w:val="auto"/>
                <w:highlight w:val="none"/>
              </w:rPr>
            </w:pPr>
          </w:p>
        </w:tc>
        <w:tc>
          <w:tcPr>
            <w:tcW w:w="805" w:type="dxa"/>
            <w:vAlign w:val="center"/>
          </w:tcPr>
          <w:p w14:paraId="774189B7">
            <w:pPr>
              <w:jc w:val="center"/>
              <w:rPr>
                <w:rFonts w:hint="eastAsia" w:ascii="宋体" w:hAnsi="宋体" w:eastAsia="宋体" w:cs="宋体"/>
                <w:color w:val="auto"/>
                <w:highlight w:val="none"/>
              </w:rPr>
            </w:pPr>
          </w:p>
        </w:tc>
        <w:tc>
          <w:tcPr>
            <w:tcW w:w="2670" w:type="dxa"/>
            <w:vAlign w:val="center"/>
          </w:tcPr>
          <w:p w14:paraId="20AE9292">
            <w:pPr>
              <w:jc w:val="center"/>
              <w:rPr>
                <w:rFonts w:hint="eastAsia" w:ascii="宋体" w:hAnsi="宋体" w:eastAsia="宋体" w:cs="宋体"/>
                <w:color w:val="auto"/>
                <w:highlight w:val="none"/>
              </w:rPr>
            </w:pPr>
          </w:p>
        </w:tc>
      </w:tr>
      <w:tr w14:paraId="06E0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0E7DCE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06" w:type="dxa"/>
            <w:vAlign w:val="center"/>
          </w:tcPr>
          <w:p w14:paraId="0EB8343F">
            <w:pPr>
              <w:jc w:val="center"/>
              <w:rPr>
                <w:rFonts w:hint="eastAsia" w:ascii="宋体" w:hAnsi="宋体" w:eastAsia="宋体" w:cs="宋体"/>
                <w:color w:val="auto"/>
                <w:highlight w:val="none"/>
              </w:rPr>
            </w:pPr>
          </w:p>
        </w:tc>
        <w:tc>
          <w:tcPr>
            <w:tcW w:w="1623" w:type="dxa"/>
            <w:vAlign w:val="center"/>
          </w:tcPr>
          <w:p w14:paraId="328EACA8">
            <w:pPr>
              <w:jc w:val="center"/>
              <w:rPr>
                <w:rFonts w:hint="eastAsia" w:ascii="宋体" w:hAnsi="宋体" w:eastAsia="宋体" w:cs="宋体"/>
                <w:color w:val="auto"/>
                <w:highlight w:val="none"/>
              </w:rPr>
            </w:pPr>
          </w:p>
        </w:tc>
        <w:tc>
          <w:tcPr>
            <w:tcW w:w="1923" w:type="dxa"/>
            <w:vAlign w:val="center"/>
          </w:tcPr>
          <w:p w14:paraId="6ACB39A6">
            <w:pPr>
              <w:jc w:val="center"/>
              <w:rPr>
                <w:rFonts w:hint="eastAsia" w:ascii="宋体" w:hAnsi="宋体" w:eastAsia="宋体" w:cs="宋体"/>
                <w:color w:val="auto"/>
                <w:highlight w:val="none"/>
              </w:rPr>
            </w:pPr>
          </w:p>
        </w:tc>
        <w:tc>
          <w:tcPr>
            <w:tcW w:w="845" w:type="dxa"/>
            <w:vAlign w:val="center"/>
          </w:tcPr>
          <w:p w14:paraId="25671FCE">
            <w:pPr>
              <w:jc w:val="center"/>
              <w:rPr>
                <w:rFonts w:hint="eastAsia" w:ascii="宋体" w:hAnsi="宋体" w:eastAsia="宋体" w:cs="宋体"/>
                <w:color w:val="auto"/>
                <w:highlight w:val="none"/>
              </w:rPr>
            </w:pPr>
          </w:p>
        </w:tc>
        <w:tc>
          <w:tcPr>
            <w:tcW w:w="805" w:type="dxa"/>
            <w:vAlign w:val="center"/>
          </w:tcPr>
          <w:p w14:paraId="3278D3CA">
            <w:pPr>
              <w:jc w:val="center"/>
              <w:rPr>
                <w:rFonts w:hint="eastAsia" w:ascii="宋体" w:hAnsi="宋体" w:eastAsia="宋体" w:cs="宋体"/>
                <w:color w:val="auto"/>
                <w:highlight w:val="none"/>
              </w:rPr>
            </w:pPr>
          </w:p>
        </w:tc>
        <w:tc>
          <w:tcPr>
            <w:tcW w:w="2670" w:type="dxa"/>
            <w:vAlign w:val="center"/>
          </w:tcPr>
          <w:p w14:paraId="48DDA9E0">
            <w:pPr>
              <w:jc w:val="center"/>
              <w:rPr>
                <w:rFonts w:hint="eastAsia" w:ascii="宋体" w:hAnsi="宋体" w:eastAsia="宋体" w:cs="宋体"/>
                <w:color w:val="auto"/>
                <w:highlight w:val="none"/>
              </w:rPr>
            </w:pPr>
          </w:p>
        </w:tc>
      </w:tr>
      <w:tr w14:paraId="235B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14:paraId="66476A07">
            <w:pPr>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w:t>
            </w:r>
          </w:p>
        </w:tc>
        <w:tc>
          <w:tcPr>
            <w:tcW w:w="1606" w:type="dxa"/>
            <w:vAlign w:val="center"/>
          </w:tcPr>
          <w:p w14:paraId="42D35E03">
            <w:pPr>
              <w:jc w:val="center"/>
              <w:rPr>
                <w:rFonts w:hint="eastAsia" w:ascii="宋体" w:hAnsi="宋体" w:eastAsia="宋体" w:cs="宋体"/>
                <w:color w:val="auto"/>
                <w:highlight w:val="none"/>
              </w:rPr>
            </w:pPr>
          </w:p>
        </w:tc>
        <w:tc>
          <w:tcPr>
            <w:tcW w:w="1623" w:type="dxa"/>
            <w:vAlign w:val="center"/>
          </w:tcPr>
          <w:p w14:paraId="3B916709">
            <w:pPr>
              <w:jc w:val="center"/>
              <w:rPr>
                <w:rFonts w:hint="eastAsia" w:ascii="宋体" w:hAnsi="宋体" w:eastAsia="宋体" w:cs="宋体"/>
                <w:color w:val="auto"/>
                <w:highlight w:val="none"/>
              </w:rPr>
            </w:pPr>
          </w:p>
        </w:tc>
        <w:tc>
          <w:tcPr>
            <w:tcW w:w="1923" w:type="dxa"/>
            <w:vAlign w:val="center"/>
          </w:tcPr>
          <w:p w14:paraId="7A5A8716">
            <w:pPr>
              <w:jc w:val="center"/>
              <w:rPr>
                <w:rFonts w:hint="eastAsia" w:ascii="宋体" w:hAnsi="宋体" w:eastAsia="宋体" w:cs="宋体"/>
                <w:color w:val="auto"/>
                <w:highlight w:val="none"/>
              </w:rPr>
            </w:pPr>
          </w:p>
        </w:tc>
        <w:tc>
          <w:tcPr>
            <w:tcW w:w="845" w:type="dxa"/>
            <w:vAlign w:val="center"/>
          </w:tcPr>
          <w:p w14:paraId="741BFC77">
            <w:pPr>
              <w:jc w:val="center"/>
              <w:rPr>
                <w:rFonts w:hint="eastAsia" w:ascii="宋体" w:hAnsi="宋体" w:eastAsia="宋体" w:cs="宋体"/>
                <w:color w:val="auto"/>
                <w:highlight w:val="none"/>
              </w:rPr>
            </w:pPr>
          </w:p>
        </w:tc>
        <w:tc>
          <w:tcPr>
            <w:tcW w:w="805" w:type="dxa"/>
            <w:vAlign w:val="center"/>
          </w:tcPr>
          <w:p w14:paraId="26FA628E">
            <w:pPr>
              <w:jc w:val="center"/>
              <w:rPr>
                <w:rFonts w:hint="eastAsia" w:ascii="宋体" w:hAnsi="宋体" w:eastAsia="宋体" w:cs="宋体"/>
                <w:color w:val="auto"/>
                <w:highlight w:val="none"/>
              </w:rPr>
            </w:pPr>
          </w:p>
        </w:tc>
        <w:tc>
          <w:tcPr>
            <w:tcW w:w="2670" w:type="dxa"/>
            <w:vAlign w:val="center"/>
          </w:tcPr>
          <w:p w14:paraId="76C84122">
            <w:pPr>
              <w:jc w:val="center"/>
              <w:rPr>
                <w:rFonts w:hint="eastAsia" w:ascii="宋体" w:hAnsi="宋体" w:eastAsia="宋体" w:cs="宋体"/>
                <w:color w:val="auto"/>
                <w:highlight w:val="none"/>
              </w:rPr>
            </w:pPr>
          </w:p>
        </w:tc>
      </w:tr>
      <w:tr w14:paraId="05CB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28388559">
            <w:pPr>
              <w:jc w:val="center"/>
              <w:rPr>
                <w:rFonts w:hint="eastAsia" w:ascii="宋体" w:hAnsi="宋体" w:eastAsia="宋体" w:cs="宋体"/>
                <w:color w:val="auto"/>
                <w:sz w:val="24"/>
                <w:szCs w:val="24"/>
                <w:highlight w:val="none"/>
              </w:rPr>
            </w:pPr>
          </w:p>
        </w:tc>
        <w:tc>
          <w:tcPr>
            <w:tcW w:w="1606" w:type="dxa"/>
            <w:vAlign w:val="center"/>
          </w:tcPr>
          <w:p w14:paraId="06F02E13">
            <w:pPr>
              <w:jc w:val="center"/>
              <w:rPr>
                <w:rFonts w:hint="eastAsia" w:ascii="宋体" w:hAnsi="宋体" w:eastAsia="宋体" w:cs="宋体"/>
                <w:color w:val="auto"/>
                <w:highlight w:val="none"/>
              </w:rPr>
            </w:pPr>
          </w:p>
        </w:tc>
        <w:tc>
          <w:tcPr>
            <w:tcW w:w="1623" w:type="dxa"/>
            <w:vAlign w:val="center"/>
          </w:tcPr>
          <w:p w14:paraId="56288BEE">
            <w:pPr>
              <w:jc w:val="center"/>
              <w:rPr>
                <w:rFonts w:hint="eastAsia" w:ascii="宋体" w:hAnsi="宋体" w:eastAsia="宋体" w:cs="宋体"/>
                <w:color w:val="auto"/>
                <w:highlight w:val="none"/>
              </w:rPr>
            </w:pPr>
          </w:p>
        </w:tc>
        <w:tc>
          <w:tcPr>
            <w:tcW w:w="1923" w:type="dxa"/>
            <w:vAlign w:val="center"/>
          </w:tcPr>
          <w:p w14:paraId="7F131128">
            <w:pPr>
              <w:jc w:val="center"/>
              <w:rPr>
                <w:rFonts w:hint="eastAsia" w:ascii="宋体" w:hAnsi="宋体" w:eastAsia="宋体" w:cs="宋体"/>
                <w:color w:val="auto"/>
                <w:highlight w:val="none"/>
              </w:rPr>
            </w:pPr>
          </w:p>
        </w:tc>
        <w:tc>
          <w:tcPr>
            <w:tcW w:w="845" w:type="dxa"/>
            <w:vAlign w:val="center"/>
          </w:tcPr>
          <w:p w14:paraId="04A01CB9">
            <w:pPr>
              <w:jc w:val="center"/>
              <w:rPr>
                <w:rFonts w:hint="eastAsia" w:ascii="宋体" w:hAnsi="宋体" w:eastAsia="宋体" w:cs="宋体"/>
                <w:color w:val="auto"/>
                <w:highlight w:val="none"/>
              </w:rPr>
            </w:pPr>
          </w:p>
        </w:tc>
        <w:tc>
          <w:tcPr>
            <w:tcW w:w="805" w:type="dxa"/>
            <w:vAlign w:val="center"/>
          </w:tcPr>
          <w:p w14:paraId="539F7443">
            <w:pPr>
              <w:jc w:val="center"/>
              <w:rPr>
                <w:rFonts w:hint="eastAsia" w:ascii="宋体" w:hAnsi="宋体" w:eastAsia="宋体" w:cs="宋体"/>
                <w:color w:val="auto"/>
                <w:highlight w:val="none"/>
              </w:rPr>
            </w:pPr>
          </w:p>
        </w:tc>
        <w:tc>
          <w:tcPr>
            <w:tcW w:w="2670" w:type="dxa"/>
            <w:vAlign w:val="center"/>
          </w:tcPr>
          <w:p w14:paraId="35166B6C">
            <w:pPr>
              <w:jc w:val="center"/>
              <w:rPr>
                <w:rFonts w:hint="eastAsia" w:ascii="宋体" w:hAnsi="宋体" w:eastAsia="宋体" w:cs="宋体"/>
                <w:color w:val="auto"/>
                <w:highlight w:val="none"/>
              </w:rPr>
            </w:pPr>
          </w:p>
        </w:tc>
      </w:tr>
      <w:tr w14:paraId="19CD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172DC85">
            <w:pPr>
              <w:jc w:val="center"/>
              <w:rPr>
                <w:rFonts w:hint="eastAsia" w:ascii="宋体" w:hAnsi="宋体" w:eastAsia="宋体" w:cs="宋体"/>
                <w:color w:val="auto"/>
                <w:sz w:val="24"/>
                <w:szCs w:val="24"/>
                <w:highlight w:val="none"/>
              </w:rPr>
            </w:pPr>
          </w:p>
        </w:tc>
        <w:tc>
          <w:tcPr>
            <w:tcW w:w="1606" w:type="dxa"/>
            <w:vAlign w:val="center"/>
          </w:tcPr>
          <w:p w14:paraId="4D1BE9A9">
            <w:pPr>
              <w:jc w:val="center"/>
              <w:rPr>
                <w:rFonts w:hint="eastAsia" w:ascii="宋体" w:hAnsi="宋体" w:eastAsia="宋体" w:cs="宋体"/>
                <w:color w:val="auto"/>
                <w:highlight w:val="none"/>
              </w:rPr>
            </w:pPr>
          </w:p>
        </w:tc>
        <w:tc>
          <w:tcPr>
            <w:tcW w:w="1623" w:type="dxa"/>
            <w:vAlign w:val="center"/>
          </w:tcPr>
          <w:p w14:paraId="580C6E02">
            <w:pPr>
              <w:jc w:val="center"/>
              <w:rPr>
                <w:rFonts w:hint="eastAsia" w:ascii="宋体" w:hAnsi="宋体" w:eastAsia="宋体" w:cs="宋体"/>
                <w:color w:val="auto"/>
                <w:highlight w:val="none"/>
              </w:rPr>
            </w:pPr>
          </w:p>
        </w:tc>
        <w:tc>
          <w:tcPr>
            <w:tcW w:w="1923" w:type="dxa"/>
            <w:vAlign w:val="center"/>
          </w:tcPr>
          <w:p w14:paraId="2356A69B">
            <w:pPr>
              <w:jc w:val="center"/>
              <w:rPr>
                <w:rFonts w:hint="eastAsia" w:ascii="宋体" w:hAnsi="宋体" w:eastAsia="宋体" w:cs="宋体"/>
                <w:color w:val="auto"/>
                <w:highlight w:val="none"/>
              </w:rPr>
            </w:pPr>
          </w:p>
        </w:tc>
        <w:tc>
          <w:tcPr>
            <w:tcW w:w="845" w:type="dxa"/>
            <w:vAlign w:val="center"/>
          </w:tcPr>
          <w:p w14:paraId="251CB68F">
            <w:pPr>
              <w:jc w:val="center"/>
              <w:rPr>
                <w:rFonts w:hint="eastAsia" w:ascii="宋体" w:hAnsi="宋体" w:eastAsia="宋体" w:cs="宋体"/>
                <w:color w:val="auto"/>
                <w:highlight w:val="none"/>
              </w:rPr>
            </w:pPr>
          </w:p>
        </w:tc>
        <w:tc>
          <w:tcPr>
            <w:tcW w:w="805" w:type="dxa"/>
            <w:vAlign w:val="center"/>
          </w:tcPr>
          <w:p w14:paraId="2372ACF6">
            <w:pPr>
              <w:jc w:val="center"/>
              <w:rPr>
                <w:rFonts w:hint="eastAsia" w:ascii="宋体" w:hAnsi="宋体" w:eastAsia="宋体" w:cs="宋体"/>
                <w:color w:val="auto"/>
                <w:highlight w:val="none"/>
              </w:rPr>
            </w:pPr>
          </w:p>
        </w:tc>
        <w:tc>
          <w:tcPr>
            <w:tcW w:w="2670" w:type="dxa"/>
            <w:vAlign w:val="center"/>
          </w:tcPr>
          <w:p w14:paraId="06FB0CF3">
            <w:pPr>
              <w:jc w:val="center"/>
              <w:rPr>
                <w:rFonts w:hint="eastAsia" w:ascii="宋体" w:hAnsi="宋体" w:eastAsia="宋体" w:cs="宋体"/>
                <w:color w:val="auto"/>
                <w:highlight w:val="none"/>
              </w:rPr>
            </w:pPr>
          </w:p>
        </w:tc>
      </w:tr>
      <w:tr w14:paraId="5F902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796D9FA3">
            <w:pPr>
              <w:jc w:val="center"/>
              <w:rPr>
                <w:rFonts w:hint="eastAsia" w:ascii="宋体" w:hAnsi="宋体" w:eastAsia="宋体" w:cs="宋体"/>
                <w:color w:val="auto"/>
                <w:sz w:val="24"/>
                <w:szCs w:val="24"/>
                <w:highlight w:val="none"/>
              </w:rPr>
            </w:pPr>
          </w:p>
        </w:tc>
        <w:tc>
          <w:tcPr>
            <w:tcW w:w="1606" w:type="dxa"/>
            <w:vAlign w:val="center"/>
          </w:tcPr>
          <w:p w14:paraId="3D3CEBA3">
            <w:pPr>
              <w:jc w:val="center"/>
              <w:rPr>
                <w:rFonts w:hint="eastAsia" w:ascii="宋体" w:hAnsi="宋体" w:eastAsia="宋体" w:cs="宋体"/>
                <w:color w:val="auto"/>
                <w:highlight w:val="none"/>
              </w:rPr>
            </w:pPr>
          </w:p>
        </w:tc>
        <w:tc>
          <w:tcPr>
            <w:tcW w:w="1623" w:type="dxa"/>
            <w:vAlign w:val="center"/>
          </w:tcPr>
          <w:p w14:paraId="39BEC447">
            <w:pPr>
              <w:jc w:val="center"/>
              <w:rPr>
                <w:rFonts w:hint="eastAsia" w:ascii="宋体" w:hAnsi="宋体" w:eastAsia="宋体" w:cs="宋体"/>
                <w:color w:val="auto"/>
                <w:highlight w:val="none"/>
              </w:rPr>
            </w:pPr>
          </w:p>
        </w:tc>
        <w:tc>
          <w:tcPr>
            <w:tcW w:w="1923" w:type="dxa"/>
            <w:vAlign w:val="center"/>
          </w:tcPr>
          <w:p w14:paraId="78C16C54">
            <w:pPr>
              <w:jc w:val="center"/>
              <w:rPr>
                <w:rFonts w:hint="eastAsia" w:ascii="宋体" w:hAnsi="宋体" w:eastAsia="宋体" w:cs="宋体"/>
                <w:color w:val="auto"/>
                <w:highlight w:val="none"/>
              </w:rPr>
            </w:pPr>
          </w:p>
        </w:tc>
        <w:tc>
          <w:tcPr>
            <w:tcW w:w="845" w:type="dxa"/>
            <w:vAlign w:val="center"/>
          </w:tcPr>
          <w:p w14:paraId="0A783E45">
            <w:pPr>
              <w:jc w:val="center"/>
              <w:rPr>
                <w:rFonts w:hint="eastAsia" w:ascii="宋体" w:hAnsi="宋体" w:eastAsia="宋体" w:cs="宋体"/>
                <w:color w:val="auto"/>
                <w:highlight w:val="none"/>
              </w:rPr>
            </w:pPr>
          </w:p>
        </w:tc>
        <w:tc>
          <w:tcPr>
            <w:tcW w:w="805" w:type="dxa"/>
            <w:vAlign w:val="center"/>
          </w:tcPr>
          <w:p w14:paraId="22C01884">
            <w:pPr>
              <w:jc w:val="center"/>
              <w:rPr>
                <w:rFonts w:hint="eastAsia" w:ascii="宋体" w:hAnsi="宋体" w:eastAsia="宋体" w:cs="宋体"/>
                <w:color w:val="auto"/>
                <w:highlight w:val="none"/>
              </w:rPr>
            </w:pPr>
          </w:p>
        </w:tc>
        <w:tc>
          <w:tcPr>
            <w:tcW w:w="2670" w:type="dxa"/>
            <w:vAlign w:val="center"/>
          </w:tcPr>
          <w:p w14:paraId="5C49C2A0">
            <w:pPr>
              <w:jc w:val="center"/>
              <w:rPr>
                <w:rFonts w:hint="eastAsia" w:ascii="宋体" w:hAnsi="宋体" w:eastAsia="宋体" w:cs="宋体"/>
                <w:color w:val="auto"/>
                <w:highlight w:val="none"/>
              </w:rPr>
            </w:pPr>
          </w:p>
        </w:tc>
      </w:tr>
      <w:tr w14:paraId="4A7E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35947902">
            <w:pPr>
              <w:jc w:val="center"/>
              <w:rPr>
                <w:rFonts w:hint="eastAsia" w:ascii="宋体" w:hAnsi="宋体" w:eastAsia="宋体" w:cs="宋体"/>
                <w:color w:val="auto"/>
                <w:sz w:val="24"/>
                <w:szCs w:val="24"/>
                <w:highlight w:val="none"/>
              </w:rPr>
            </w:pPr>
          </w:p>
        </w:tc>
        <w:tc>
          <w:tcPr>
            <w:tcW w:w="1606" w:type="dxa"/>
            <w:vAlign w:val="center"/>
          </w:tcPr>
          <w:p w14:paraId="0C3EED2B">
            <w:pPr>
              <w:jc w:val="center"/>
              <w:rPr>
                <w:rFonts w:hint="eastAsia" w:ascii="宋体" w:hAnsi="宋体" w:eastAsia="宋体" w:cs="宋体"/>
                <w:color w:val="auto"/>
                <w:highlight w:val="none"/>
              </w:rPr>
            </w:pPr>
          </w:p>
        </w:tc>
        <w:tc>
          <w:tcPr>
            <w:tcW w:w="1623" w:type="dxa"/>
            <w:vAlign w:val="center"/>
          </w:tcPr>
          <w:p w14:paraId="50EBF797">
            <w:pPr>
              <w:jc w:val="center"/>
              <w:rPr>
                <w:rFonts w:hint="eastAsia" w:ascii="宋体" w:hAnsi="宋体" w:eastAsia="宋体" w:cs="宋体"/>
                <w:color w:val="auto"/>
                <w:highlight w:val="none"/>
              </w:rPr>
            </w:pPr>
          </w:p>
        </w:tc>
        <w:tc>
          <w:tcPr>
            <w:tcW w:w="1923" w:type="dxa"/>
            <w:vAlign w:val="center"/>
          </w:tcPr>
          <w:p w14:paraId="3A64C884">
            <w:pPr>
              <w:jc w:val="center"/>
              <w:rPr>
                <w:rFonts w:hint="eastAsia" w:ascii="宋体" w:hAnsi="宋体" w:eastAsia="宋体" w:cs="宋体"/>
                <w:color w:val="auto"/>
                <w:highlight w:val="none"/>
              </w:rPr>
            </w:pPr>
          </w:p>
        </w:tc>
        <w:tc>
          <w:tcPr>
            <w:tcW w:w="845" w:type="dxa"/>
            <w:vAlign w:val="center"/>
          </w:tcPr>
          <w:p w14:paraId="21D46DE2">
            <w:pPr>
              <w:jc w:val="center"/>
              <w:rPr>
                <w:rFonts w:hint="eastAsia" w:ascii="宋体" w:hAnsi="宋体" w:eastAsia="宋体" w:cs="宋体"/>
                <w:color w:val="auto"/>
                <w:highlight w:val="none"/>
              </w:rPr>
            </w:pPr>
          </w:p>
        </w:tc>
        <w:tc>
          <w:tcPr>
            <w:tcW w:w="805" w:type="dxa"/>
            <w:vAlign w:val="center"/>
          </w:tcPr>
          <w:p w14:paraId="522E7BBB">
            <w:pPr>
              <w:jc w:val="center"/>
              <w:rPr>
                <w:rFonts w:hint="eastAsia" w:ascii="宋体" w:hAnsi="宋体" w:eastAsia="宋体" w:cs="宋体"/>
                <w:color w:val="auto"/>
                <w:highlight w:val="none"/>
              </w:rPr>
            </w:pPr>
          </w:p>
        </w:tc>
        <w:tc>
          <w:tcPr>
            <w:tcW w:w="2670" w:type="dxa"/>
            <w:vAlign w:val="center"/>
          </w:tcPr>
          <w:p w14:paraId="600D0FD9">
            <w:pPr>
              <w:jc w:val="center"/>
              <w:rPr>
                <w:rFonts w:hint="eastAsia" w:ascii="宋体" w:hAnsi="宋体" w:eastAsia="宋体" w:cs="宋体"/>
                <w:color w:val="auto"/>
                <w:highlight w:val="none"/>
              </w:rPr>
            </w:pPr>
          </w:p>
        </w:tc>
      </w:tr>
      <w:tr w14:paraId="3509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14:paraId="0AD8808B">
            <w:pPr>
              <w:jc w:val="center"/>
              <w:rPr>
                <w:rFonts w:hint="eastAsia" w:ascii="宋体" w:hAnsi="宋体" w:eastAsia="宋体" w:cs="宋体"/>
                <w:color w:val="auto"/>
                <w:sz w:val="24"/>
                <w:szCs w:val="24"/>
                <w:highlight w:val="none"/>
              </w:rPr>
            </w:pPr>
          </w:p>
        </w:tc>
        <w:tc>
          <w:tcPr>
            <w:tcW w:w="1606" w:type="dxa"/>
            <w:vAlign w:val="center"/>
          </w:tcPr>
          <w:p w14:paraId="0B897ED6">
            <w:pPr>
              <w:jc w:val="center"/>
              <w:rPr>
                <w:rFonts w:hint="eastAsia" w:ascii="宋体" w:hAnsi="宋体" w:eastAsia="宋体" w:cs="宋体"/>
                <w:color w:val="auto"/>
                <w:sz w:val="24"/>
                <w:szCs w:val="24"/>
                <w:highlight w:val="none"/>
              </w:rPr>
            </w:pPr>
          </w:p>
        </w:tc>
        <w:tc>
          <w:tcPr>
            <w:tcW w:w="1623" w:type="dxa"/>
            <w:vAlign w:val="center"/>
          </w:tcPr>
          <w:p w14:paraId="7C7A0B01">
            <w:pPr>
              <w:jc w:val="center"/>
              <w:rPr>
                <w:rFonts w:hint="eastAsia" w:ascii="宋体" w:hAnsi="宋体" w:eastAsia="宋体" w:cs="宋体"/>
                <w:color w:val="auto"/>
                <w:highlight w:val="none"/>
              </w:rPr>
            </w:pPr>
          </w:p>
        </w:tc>
        <w:tc>
          <w:tcPr>
            <w:tcW w:w="1923" w:type="dxa"/>
            <w:vAlign w:val="center"/>
          </w:tcPr>
          <w:p w14:paraId="3B164989">
            <w:pPr>
              <w:jc w:val="center"/>
              <w:rPr>
                <w:rFonts w:hint="eastAsia" w:ascii="宋体" w:hAnsi="宋体" w:eastAsia="宋体" w:cs="宋体"/>
                <w:color w:val="auto"/>
                <w:highlight w:val="none"/>
              </w:rPr>
            </w:pPr>
          </w:p>
        </w:tc>
        <w:tc>
          <w:tcPr>
            <w:tcW w:w="845" w:type="dxa"/>
            <w:vAlign w:val="center"/>
          </w:tcPr>
          <w:p w14:paraId="0A247C11">
            <w:pPr>
              <w:jc w:val="center"/>
              <w:rPr>
                <w:rFonts w:hint="eastAsia" w:ascii="宋体" w:hAnsi="宋体" w:eastAsia="宋体" w:cs="宋体"/>
                <w:color w:val="auto"/>
                <w:highlight w:val="none"/>
              </w:rPr>
            </w:pPr>
          </w:p>
        </w:tc>
        <w:tc>
          <w:tcPr>
            <w:tcW w:w="805" w:type="dxa"/>
            <w:vAlign w:val="center"/>
          </w:tcPr>
          <w:p w14:paraId="0BC9491F">
            <w:pPr>
              <w:jc w:val="center"/>
              <w:rPr>
                <w:rFonts w:hint="eastAsia" w:ascii="宋体" w:hAnsi="宋体" w:eastAsia="宋体" w:cs="宋体"/>
                <w:color w:val="auto"/>
                <w:highlight w:val="none"/>
              </w:rPr>
            </w:pPr>
          </w:p>
        </w:tc>
        <w:tc>
          <w:tcPr>
            <w:tcW w:w="2670" w:type="dxa"/>
            <w:vAlign w:val="center"/>
          </w:tcPr>
          <w:p w14:paraId="76676374">
            <w:pPr>
              <w:jc w:val="center"/>
              <w:rPr>
                <w:rFonts w:hint="eastAsia" w:ascii="宋体" w:hAnsi="宋体" w:eastAsia="宋体" w:cs="宋体"/>
                <w:color w:val="auto"/>
                <w:highlight w:val="none"/>
              </w:rPr>
            </w:pPr>
          </w:p>
        </w:tc>
      </w:tr>
    </w:tbl>
    <w:p w14:paraId="3F2E5EE8">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注：1、投标人应根据“第四章 采购需求”中的“</w:t>
      </w:r>
      <w:r>
        <w:rPr>
          <w:rFonts w:hint="eastAsia" w:ascii="宋体" w:hAnsi="宋体" w:eastAsia="宋体" w:cs="宋体"/>
          <w:bCs/>
          <w:color w:val="auto"/>
          <w:sz w:val="24"/>
          <w:szCs w:val="24"/>
          <w:highlight w:val="none"/>
          <w:lang w:val="en-US" w:eastAsia="zh-CN"/>
        </w:rPr>
        <w:t>三、项目服务要求</w:t>
      </w:r>
      <w:r>
        <w:rPr>
          <w:rFonts w:hint="eastAsia" w:ascii="宋体" w:hAnsi="宋体" w:eastAsia="宋体" w:cs="宋体"/>
          <w:bCs/>
          <w:color w:val="auto"/>
          <w:sz w:val="24"/>
          <w:szCs w:val="24"/>
          <w:highlight w:val="none"/>
        </w:rPr>
        <w:t>”，对照投标人所提供的服务承诺进行逐项评议。</w:t>
      </w:r>
    </w:p>
    <w:p w14:paraId="07B9F974">
      <w:pPr>
        <w:spacing w:line="50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2、若无偏离，在“无偏离”栏中填写“无偏离”；若有偏离在“有偏离”栏中填写“正偏离”或“负偏离”，并在“偏离内容”栏中作出说明。</w:t>
      </w:r>
    </w:p>
    <w:p w14:paraId="23FA28E9">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3、表格不够可另接。</w:t>
      </w:r>
    </w:p>
    <w:p w14:paraId="3F2F7C79">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A084F0A">
      <w:pPr>
        <w:pStyle w:val="3"/>
        <w:rPr>
          <w:rFonts w:hint="eastAsia" w:ascii="宋体" w:hAnsi="宋体" w:eastAsia="宋体" w:cs="宋体"/>
          <w:color w:val="auto"/>
          <w:highlight w:val="none"/>
        </w:rPr>
      </w:pPr>
      <w:bookmarkStart w:id="316" w:name="_Toc5346"/>
      <w:r>
        <w:rPr>
          <w:rFonts w:hint="eastAsia" w:ascii="宋体" w:hAnsi="宋体" w:eastAsia="宋体" w:cs="宋体"/>
          <w:color w:val="auto"/>
          <w:highlight w:val="none"/>
        </w:rPr>
        <w:t>附件11 项目实施方案</w:t>
      </w:r>
      <w:bookmarkEnd w:id="316"/>
    </w:p>
    <w:p w14:paraId="406686E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根据“第五章  评审方法与评审标准”提供相关说明及证明材料</w:t>
      </w:r>
      <w:bookmarkEnd w:id="292"/>
      <w:bookmarkStart w:id="317" w:name="_Toc42157463"/>
    </w:p>
    <w:bookmarkEnd w:id="317"/>
    <w:p w14:paraId="3C6ACCDE">
      <w:pPr>
        <w:rPr>
          <w:rFonts w:hint="eastAsia" w:ascii="宋体" w:hAnsi="宋体" w:eastAsia="宋体" w:cs="宋体"/>
          <w:color w:val="auto"/>
          <w:highlight w:val="none"/>
        </w:rPr>
      </w:pPr>
      <w:bookmarkStart w:id="318" w:name="_Toc631"/>
      <w:bookmarkStart w:id="319" w:name="_Toc472326802"/>
      <w:bookmarkStart w:id="320" w:name="_Toc321922918"/>
      <w:bookmarkStart w:id="321" w:name="_Toc69302318"/>
      <w:bookmarkStart w:id="322" w:name="_Toc511680884"/>
      <w:r>
        <w:rPr>
          <w:rFonts w:hint="eastAsia" w:ascii="宋体" w:hAnsi="宋体" w:eastAsia="宋体" w:cs="宋体"/>
          <w:color w:val="auto"/>
          <w:highlight w:val="none"/>
        </w:rPr>
        <w:br w:type="page"/>
      </w:r>
    </w:p>
    <w:p w14:paraId="422D217E">
      <w:pPr>
        <w:pStyle w:val="3"/>
        <w:rPr>
          <w:rFonts w:hint="eastAsia" w:ascii="宋体" w:hAnsi="宋体" w:eastAsia="宋体" w:cs="宋体"/>
          <w:color w:val="auto"/>
          <w:highlight w:val="none"/>
        </w:rPr>
      </w:pPr>
      <w:bookmarkStart w:id="323" w:name="_Toc5279"/>
      <w:r>
        <w:rPr>
          <w:rFonts w:hint="eastAsia" w:ascii="宋体" w:hAnsi="宋体" w:eastAsia="宋体" w:cs="宋体"/>
          <w:color w:val="auto"/>
          <w:highlight w:val="none"/>
        </w:rPr>
        <w:t>附件12 项目组人员一览表</w:t>
      </w:r>
      <w:bookmarkEnd w:id="323"/>
    </w:p>
    <w:bookmarkEnd w:id="318"/>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926"/>
        <w:gridCol w:w="845"/>
        <w:gridCol w:w="764"/>
        <w:gridCol w:w="764"/>
        <w:gridCol w:w="750"/>
        <w:gridCol w:w="886"/>
        <w:gridCol w:w="1766"/>
        <w:gridCol w:w="1087"/>
      </w:tblGrid>
      <w:tr w14:paraId="35BB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6" w:type="dxa"/>
            <w:noWrap/>
            <w:vAlign w:val="center"/>
          </w:tcPr>
          <w:p w14:paraId="02A0929A">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26" w:type="dxa"/>
            <w:noWrap/>
            <w:vAlign w:val="center"/>
          </w:tcPr>
          <w:p w14:paraId="730324D5">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项目组所任职务</w:t>
            </w:r>
          </w:p>
        </w:tc>
        <w:tc>
          <w:tcPr>
            <w:tcW w:w="845" w:type="dxa"/>
            <w:noWrap/>
            <w:vAlign w:val="center"/>
          </w:tcPr>
          <w:p w14:paraId="50F2CDBF">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764" w:type="dxa"/>
            <w:noWrap/>
            <w:vAlign w:val="center"/>
          </w:tcPr>
          <w:p w14:paraId="1CB58624">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764" w:type="dxa"/>
            <w:noWrap/>
            <w:vAlign w:val="center"/>
          </w:tcPr>
          <w:p w14:paraId="7EB48F03">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750" w:type="dxa"/>
            <w:noWrap/>
            <w:vAlign w:val="center"/>
          </w:tcPr>
          <w:p w14:paraId="1200BB4B">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886" w:type="dxa"/>
            <w:noWrap/>
            <w:vAlign w:val="center"/>
          </w:tcPr>
          <w:p w14:paraId="7DAACD12">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766" w:type="dxa"/>
            <w:noWrap/>
            <w:vAlign w:val="center"/>
          </w:tcPr>
          <w:p w14:paraId="765D7290">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典型业务</w:t>
            </w:r>
          </w:p>
          <w:p w14:paraId="32653908">
            <w:pPr>
              <w:pStyle w:val="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与技术专长</w:t>
            </w:r>
          </w:p>
        </w:tc>
        <w:tc>
          <w:tcPr>
            <w:tcW w:w="1087" w:type="dxa"/>
            <w:noWrap/>
            <w:vAlign w:val="center"/>
          </w:tcPr>
          <w:p w14:paraId="0D7A4072">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02927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1DCA187F">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6" w:type="dxa"/>
            <w:noWrap/>
            <w:vAlign w:val="center"/>
          </w:tcPr>
          <w:p w14:paraId="73408D1F">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15AFF115">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53953876">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25A63AC1">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08BB2A5E">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0F71384C">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3EB9AA5E">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28CB226D">
            <w:pPr>
              <w:pStyle w:val="19"/>
              <w:overflowPunct w:val="0"/>
              <w:jc w:val="center"/>
              <w:rPr>
                <w:rFonts w:hint="eastAsia" w:ascii="宋体" w:hAnsi="宋体" w:eastAsia="宋体" w:cs="宋体"/>
                <w:color w:val="auto"/>
                <w:sz w:val="24"/>
                <w:szCs w:val="24"/>
                <w:highlight w:val="none"/>
              </w:rPr>
            </w:pPr>
          </w:p>
        </w:tc>
      </w:tr>
      <w:tr w14:paraId="21278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72AACFCE">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6" w:type="dxa"/>
            <w:noWrap/>
            <w:vAlign w:val="center"/>
          </w:tcPr>
          <w:p w14:paraId="6FC32554">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2ED93DC7">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BB7DD7B">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5C29CFE3">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3C766E90">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37ACE197">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5DDE8DB5">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69204DD5">
            <w:pPr>
              <w:pStyle w:val="19"/>
              <w:overflowPunct w:val="0"/>
              <w:jc w:val="center"/>
              <w:rPr>
                <w:rFonts w:hint="eastAsia" w:ascii="宋体" w:hAnsi="宋体" w:eastAsia="宋体" w:cs="宋体"/>
                <w:color w:val="auto"/>
                <w:sz w:val="24"/>
                <w:szCs w:val="24"/>
                <w:highlight w:val="none"/>
              </w:rPr>
            </w:pPr>
          </w:p>
        </w:tc>
      </w:tr>
      <w:tr w14:paraId="752A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439BBB81">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26" w:type="dxa"/>
            <w:noWrap/>
            <w:vAlign w:val="center"/>
          </w:tcPr>
          <w:p w14:paraId="19259622">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530C9159">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2AB40696">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4CFCB4D">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5EFB7950">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74DB0782">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54E340FA">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22BC42FC">
            <w:pPr>
              <w:pStyle w:val="19"/>
              <w:overflowPunct w:val="0"/>
              <w:jc w:val="center"/>
              <w:rPr>
                <w:rFonts w:hint="eastAsia" w:ascii="宋体" w:hAnsi="宋体" w:eastAsia="宋体" w:cs="宋体"/>
                <w:color w:val="auto"/>
                <w:sz w:val="24"/>
                <w:szCs w:val="24"/>
                <w:highlight w:val="none"/>
              </w:rPr>
            </w:pPr>
          </w:p>
        </w:tc>
      </w:tr>
      <w:tr w14:paraId="3EA0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57273CB3">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26" w:type="dxa"/>
            <w:noWrap/>
            <w:vAlign w:val="center"/>
          </w:tcPr>
          <w:p w14:paraId="365FE11F">
            <w:pPr>
              <w:pStyle w:val="19"/>
              <w:overflowPunct w:val="0"/>
              <w:jc w:val="center"/>
              <w:rPr>
                <w:rFonts w:hint="eastAsia" w:ascii="宋体" w:hAnsi="宋体" w:eastAsia="宋体" w:cs="宋体"/>
                <w:color w:val="auto"/>
                <w:sz w:val="24"/>
                <w:szCs w:val="24"/>
                <w:highlight w:val="none"/>
              </w:rPr>
            </w:pPr>
          </w:p>
        </w:tc>
        <w:tc>
          <w:tcPr>
            <w:tcW w:w="845" w:type="dxa"/>
            <w:noWrap/>
            <w:vAlign w:val="center"/>
          </w:tcPr>
          <w:p w14:paraId="59BD9BAE">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16F9074A">
            <w:pPr>
              <w:pStyle w:val="19"/>
              <w:overflowPunct w:val="0"/>
              <w:jc w:val="center"/>
              <w:rPr>
                <w:rFonts w:hint="eastAsia" w:ascii="宋体" w:hAnsi="宋体" w:eastAsia="宋体" w:cs="宋体"/>
                <w:color w:val="auto"/>
                <w:sz w:val="24"/>
                <w:szCs w:val="24"/>
                <w:highlight w:val="none"/>
              </w:rPr>
            </w:pPr>
          </w:p>
        </w:tc>
        <w:tc>
          <w:tcPr>
            <w:tcW w:w="764" w:type="dxa"/>
            <w:noWrap/>
            <w:vAlign w:val="center"/>
          </w:tcPr>
          <w:p w14:paraId="42823F04">
            <w:pPr>
              <w:pStyle w:val="19"/>
              <w:overflowPunct w:val="0"/>
              <w:jc w:val="center"/>
              <w:rPr>
                <w:rFonts w:hint="eastAsia" w:ascii="宋体" w:hAnsi="宋体" w:eastAsia="宋体" w:cs="宋体"/>
                <w:color w:val="auto"/>
                <w:sz w:val="24"/>
                <w:szCs w:val="24"/>
                <w:highlight w:val="none"/>
              </w:rPr>
            </w:pPr>
          </w:p>
        </w:tc>
        <w:tc>
          <w:tcPr>
            <w:tcW w:w="750" w:type="dxa"/>
            <w:noWrap/>
            <w:vAlign w:val="center"/>
          </w:tcPr>
          <w:p w14:paraId="561F46F2">
            <w:pPr>
              <w:pStyle w:val="19"/>
              <w:overflowPunct w:val="0"/>
              <w:jc w:val="center"/>
              <w:rPr>
                <w:rFonts w:hint="eastAsia" w:ascii="宋体" w:hAnsi="宋体" w:eastAsia="宋体" w:cs="宋体"/>
                <w:color w:val="auto"/>
                <w:sz w:val="24"/>
                <w:szCs w:val="24"/>
                <w:highlight w:val="none"/>
              </w:rPr>
            </w:pPr>
          </w:p>
        </w:tc>
        <w:tc>
          <w:tcPr>
            <w:tcW w:w="886" w:type="dxa"/>
            <w:noWrap/>
            <w:vAlign w:val="center"/>
          </w:tcPr>
          <w:p w14:paraId="75FD1D9F">
            <w:pPr>
              <w:pStyle w:val="19"/>
              <w:overflowPunct w:val="0"/>
              <w:jc w:val="center"/>
              <w:rPr>
                <w:rFonts w:hint="eastAsia" w:ascii="宋体" w:hAnsi="宋体" w:eastAsia="宋体" w:cs="宋体"/>
                <w:color w:val="auto"/>
                <w:sz w:val="24"/>
                <w:szCs w:val="24"/>
                <w:highlight w:val="none"/>
              </w:rPr>
            </w:pPr>
          </w:p>
        </w:tc>
        <w:tc>
          <w:tcPr>
            <w:tcW w:w="1766" w:type="dxa"/>
            <w:noWrap/>
            <w:vAlign w:val="center"/>
          </w:tcPr>
          <w:p w14:paraId="24F9D5AB">
            <w:pPr>
              <w:pStyle w:val="19"/>
              <w:overflowPunct w:val="0"/>
              <w:jc w:val="center"/>
              <w:rPr>
                <w:rFonts w:hint="eastAsia" w:ascii="宋体" w:hAnsi="宋体" w:eastAsia="宋体" w:cs="宋体"/>
                <w:color w:val="auto"/>
                <w:sz w:val="24"/>
                <w:szCs w:val="24"/>
                <w:highlight w:val="none"/>
              </w:rPr>
            </w:pPr>
          </w:p>
        </w:tc>
        <w:tc>
          <w:tcPr>
            <w:tcW w:w="1087" w:type="dxa"/>
            <w:noWrap/>
            <w:vAlign w:val="center"/>
          </w:tcPr>
          <w:p w14:paraId="39AEB3D1">
            <w:pPr>
              <w:pStyle w:val="19"/>
              <w:overflowPunct w:val="0"/>
              <w:jc w:val="center"/>
              <w:rPr>
                <w:rFonts w:hint="eastAsia" w:ascii="宋体" w:hAnsi="宋体" w:eastAsia="宋体" w:cs="宋体"/>
                <w:color w:val="auto"/>
                <w:sz w:val="24"/>
                <w:szCs w:val="24"/>
                <w:highlight w:val="none"/>
              </w:rPr>
            </w:pPr>
          </w:p>
        </w:tc>
      </w:tr>
      <w:tr w14:paraId="2DF1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6" w:type="dxa"/>
            <w:noWrap/>
            <w:vAlign w:val="center"/>
          </w:tcPr>
          <w:p w14:paraId="02F28E53">
            <w:pPr>
              <w:pStyle w:val="19"/>
              <w:overflowPunct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26" w:type="dxa"/>
            <w:tcBorders>
              <w:bottom w:val="single" w:color="auto" w:sz="4" w:space="0"/>
            </w:tcBorders>
            <w:noWrap/>
            <w:vAlign w:val="center"/>
          </w:tcPr>
          <w:p w14:paraId="1C64FEBF">
            <w:pPr>
              <w:pStyle w:val="19"/>
              <w:overflowPunct w:val="0"/>
              <w:jc w:val="center"/>
              <w:rPr>
                <w:rFonts w:hint="eastAsia" w:ascii="宋体" w:hAnsi="宋体" w:eastAsia="宋体" w:cs="宋体"/>
                <w:color w:val="auto"/>
                <w:sz w:val="24"/>
                <w:szCs w:val="24"/>
                <w:highlight w:val="none"/>
              </w:rPr>
            </w:pPr>
          </w:p>
        </w:tc>
        <w:tc>
          <w:tcPr>
            <w:tcW w:w="845" w:type="dxa"/>
            <w:tcBorders>
              <w:bottom w:val="single" w:color="auto" w:sz="4" w:space="0"/>
            </w:tcBorders>
            <w:noWrap/>
            <w:vAlign w:val="center"/>
          </w:tcPr>
          <w:p w14:paraId="41F0EC9C">
            <w:pPr>
              <w:pStyle w:val="19"/>
              <w:overflowPunct w:val="0"/>
              <w:jc w:val="center"/>
              <w:rPr>
                <w:rFonts w:hint="eastAsia" w:ascii="宋体" w:hAnsi="宋体" w:eastAsia="宋体" w:cs="宋体"/>
                <w:color w:val="auto"/>
                <w:sz w:val="24"/>
                <w:szCs w:val="24"/>
                <w:highlight w:val="none"/>
              </w:rPr>
            </w:pPr>
          </w:p>
        </w:tc>
        <w:tc>
          <w:tcPr>
            <w:tcW w:w="764" w:type="dxa"/>
            <w:tcBorders>
              <w:bottom w:val="single" w:color="auto" w:sz="4" w:space="0"/>
            </w:tcBorders>
            <w:noWrap/>
            <w:vAlign w:val="center"/>
          </w:tcPr>
          <w:p w14:paraId="0F445993">
            <w:pPr>
              <w:pStyle w:val="19"/>
              <w:overflowPunct w:val="0"/>
              <w:jc w:val="center"/>
              <w:rPr>
                <w:rFonts w:hint="eastAsia" w:ascii="宋体" w:hAnsi="宋体" w:eastAsia="宋体" w:cs="宋体"/>
                <w:color w:val="auto"/>
                <w:sz w:val="24"/>
                <w:szCs w:val="24"/>
                <w:highlight w:val="none"/>
              </w:rPr>
            </w:pPr>
          </w:p>
        </w:tc>
        <w:tc>
          <w:tcPr>
            <w:tcW w:w="764" w:type="dxa"/>
            <w:tcBorders>
              <w:bottom w:val="single" w:color="auto" w:sz="4" w:space="0"/>
            </w:tcBorders>
            <w:noWrap/>
            <w:vAlign w:val="center"/>
          </w:tcPr>
          <w:p w14:paraId="64DECB92">
            <w:pPr>
              <w:pStyle w:val="19"/>
              <w:overflowPunct w:val="0"/>
              <w:jc w:val="center"/>
              <w:rPr>
                <w:rFonts w:hint="eastAsia" w:ascii="宋体" w:hAnsi="宋体" w:eastAsia="宋体" w:cs="宋体"/>
                <w:color w:val="auto"/>
                <w:sz w:val="24"/>
                <w:szCs w:val="24"/>
                <w:highlight w:val="none"/>
              </w:rPr>
            </w:pPr>
          </w:p>
        </w:tc>
        <w:tc>
          <w:tcPr>
            <w:tcW w:w="750" w:type="dxa"/>
            <w:tcBorders>
              <w:bottom w:val="single" w:color="auto" w:sz="4" w:space="0"/>
            </w:tcBorders>
            <w:noWrap/>
            <w:vAlign w:val="center"/>
          </w:tcPr>
          <w:p w14:paraId="6E6B5859">
            <w:pPr>
              <w:pStyle w:val="19"/>
              <w:overflowPunct w:val="0"/>
              <w:jc w:val="center"/>
              <w:rPr>
                <w:rFonts w:hint="eastAsia" w:ascii="宋体" w:hAnsi="宋体" w:eastAsia="宋体" w:cs="宋体"/>
                <w:color w:val="auto"/>
                <w:sz w:val="24"/>
                <w:szCs w:val="24"/>
                <w:highlight w:val="none"/>
              </w:rPr>
            </w:pPr>
          </w:p>
        </w:tc>
        <w:tc>
          <w:tcPr>
            <w:tcW w:w="886" w:type="dxa"/>
            <w:tcBorders>
              <w:bottom w:val="single" w:color="auto" w:sz="4" w:space="0"/>
            </w:tcBorders>
            <w:noWrap/>
            <w:vAlign w:val="center"/>
          </w:tcPr>
          <w:p w14:paraId="7375E260">
            <w:pPr>
              <w:pStyle w:val="19"/>
              <w:overflowPunct w:val="0"/>
              <w:jc w:val="center"/>
              <w:rPr>
                <w:rFonts w:hint="eastAsia" w:ascii="宋体" w:hAnsi="宋体" w:eastAsia="宋体" w:cs="宋体"/>
                <w:color w:val="auto"/>
                <w:sz w:val="24"/>
                <w:szCs w:val="24"/>
                <w:highlight w:val="none"/>
              </w:rPr>
            </w:pPr>
          </w:p>
        </w:tc>
        <w:tc>
          <w:tcPr>
            <w:tcW w:w="1766" w:type="dxa"/>
            <w:tcBorders>
              <w:bottom w:val="single" w:color="auto" w:sz="4" w:space="0"/>
            </w:tcBorders>
            <w:noWrap/>
            <w:vAlign w:val="center"/>
          </w:tcPr>
          <w:p w14:paraId="3B2B469B">
            <w:pPr>
              <w:pStyle w:val="19"/>
              <w:overflowPunct w:val="0"/>
              <w:jc w:val="center"/>
              <w:rPr>
                <w:rFonts w:hint="eastAsia" w:ascii="宋体" w:hAnsi="宋体" w:eastAsia="宋体" w:cs="宋体"/>
                <w:color w:val="auto"/>
                <w:sz w:val="24"/>
                <w:szCs w:val="24"/>
                <w:highlight w:val="none"/>
              </w:rPr>
            </w:pPr>
          </w:p>
        </w:tc>
        <w:tc>
          <w:tcPr>
            <w:tcW w:w="1087" w:type="dxa"/>
            <w:tcBorders>
              <w:bottom w:val="single" w:color="auto" w:sz="4" w:space="0"/>
            </w:tcBorders>
            <w:noWrap/>
            <w:vAlign w:val="center"/>
          </w:tcPr>
          <w:p w14:paraId="1D038FFE">
            <w:pPr>
              <w:pStyle w:val="19"/>
              <w:overflowPunct w:val="0"/>
              <w:jc w:val="center"/>
              <w:rPr>
                <w:rFonts w:hint="eastAsia" w:ascii="宋体" w:hAnsi="宋体" w:eastAsia="宋体" w:cs="宋体"/>
                <w:color w:val="auto"/>
                <w:sz w:val="24"/>
                <w:szCs w:val="24"/>
                <w:highlight w:val="none"/>
              </w:rPr>
            </w:pPr>
          </w:p>
        </w:tc>
      </w:tr>
    </w:tbl>
    <w:p w14:paraId="0E1A978A">
      <w:pPr>
        <w:overflowPunct w:val="0"/>
        <w:spacing w:line="46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投标文件中须根据“第五章  评审方法与评审标准”提供相关说明及证明材料</w:t>
      </w:r>
    </w:p>
    <w:p w14:paraId="36168BE7">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bookmarkEnd w:id="319"/>
      <w:bookmarkEnd w:id="320"/>
      <w:bookmarkEnd w:id="321"/>
      <w:bookmarkEnd w:id="322"/>
    </w:p>
    <w:p w14:paraId="645289DA">
      <w:pPr>
        <w:pStyle w:val="3"/>
        <w:keepNext w:val="0"/>
        <w:pageBreakBefore/>
        <w:rPr>
          <w:rFonts w:hint="eastAsia" w:ascii="宋体" w:hAnsi="宋体" w:eastAsia="宋体" w:cs="宋体"/>
          <w:color w:val="auto"/>
          <w:highlight w:val="none"/>
        </w:rPr>
      </w:pPr>
      <w:bookmarkStart w:id="324" w:name="_Toc32268"/>
      <w:bookmarkStart w:id="325" w:name="_Toc366"/>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业绩一览表</w:t>
      </w:r>
      <w:bookmarkEnd w:id="324"/>
      <w:bookmarkEnd w:id="325"/>
    </w:p>
    <w:tbl>
      <w:tblPr>
        <w:tblStyle w:val="54"/>
        <w:tblW w:w="98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1404"/>
        <w:gridCol w:w="1776"/>
        <w:gridCol w:w="1860"/>
        <w:gridCol w:w="1296"/>
        <w:gridCol w:w="1779"/>
        <w:gridCol w:w="920"/>
      </w:tblGrid>
      <w:tr w14:paraId="68EF4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jc w:val="center"/>
        </w:trPr>
        <w:tc>
          <w:tcPr>
            <w:tcW w:w="772" w:type="dxa"/>
            <w:vAlign w:val="center"/>
          </w:tcPr>
          <w:p w14:paraId="7C786D90">
            <w:pPr>
              <w:pStyle w:val="177"/>
              <w:jc w:val="center"/>
              <w:rPr>
                <w:rFonts w:hint="eastAsia" w:ascii="宋体" w:hAnsi="宋体" w:eastAsia="宋体" w:cs="宋体"/>
                <w:b/>
                <w:bCs/>
                <w:color w:val="auto"/>
                <w:sz w:val="24"/>
                <w:highlight w:val="none"/>
              </w:rPr>
            </w:pPr>
            <w:bookmarkStart w:id="326" w:name="_Toc75437942"/>
            <w:r>
              <w:rPr>
                <w:rFonts w:hint="eastAsia" w:ascii="宋体" w:hAnsi="宋体" w:eastAsia="宋体" w:cs="宋体"/>
                <w:b/>
                <w:bCs/>
                <w:color w:val="auto"/>
                <w:sz w:val="24"/>
                <w:highlight w:val="none"/>
              </w:rPr>
              <w:t>序号</w:t>
            </w:r>
          </w:p>
        </w:tc>
        <w:tc>
          <w:tcPr>
            <w:tcW w:w="1404" w:type="dxa"/>
            <w:vAlign w:val="center"/>
          </w:tcPr>
          <w:p w14:paraId="07F509F6">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1776" w:type="dxa"/>
            <w:vAlign w:val="center"/>
          </w:tcPr>
          <w:p w14:paraId="42167407">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主要服务内容</w:t>
            </w:r>
          </w:p>
        </w:tc>
        <w:tc>
          <w:tcPr>
            <w:tcW w:w="1860" w:type="dxa"/>
            <w:vAlign w:val="center"/>
          </w:tcPr>
          <w:p w14:paraId="2D0EAD9B">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合同/协议金额</w:t>
            </w:r>
          </w:p>
        </w:tc>
        <w:tc>
          <w:tcPr>
            <w:tcW w:w="1296" w:type="dxa"/>
            <w:vAlign w:val="center"/>
          </w:tcPr>
          <w:p w14:paraId="40C3A099">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实施时间</w:t>
            </w:r>
          </w:p>
        </w:tc>
        <w:tc>
          <w:tcPr>
            <w:tcW w:w="1779" w:type="dxa"/>
            <w:vAlign w:val="center"/>
          </w:tcPr>
          <w:p w14:paraId="49F73158">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甲方联系人及联系电话</w:t>
            </w:r>
          </w:p>
        </w:tc>
        <w:tc>
          <w:tcPr>
            <w:tcW w:w="920" w:type="dxa"/>
            <w:vAlign w:val="center"/>
          </w:tcPr>
          <w:p w14:paraId="1203454C">
            <w:pPr>
              <w:pStyle w:val="17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备注</w:t>
            </w:r>
          </w:p>
        </w:tc>
      </w:tr>
      <w:tr w14:paraId="2744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F43C3BA">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04" w:type="dxa"/>
            <w:vAlign w:val="center"/>
          </w:tcPr>
          <w:p w14:paraId="660CBC3A">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4F260352">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18777C67">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3606037F">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3DA5E1BB">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51DF1C46">
            <w:pPr>
              <w:pStyle w:val="177"/>
              <w:spacing w:line="500" w:lineRule="exact"/>
              <w:jc w:val="center"/>
              <w:rPr>
                <w:rFonts w:hint="eastAsia" w:ascii="宋体" w:hAnsi="宋体" w:eastAsia="宋体" w:cs="宋体"/>
                <w:color w:val="auto"/>
                <w:sz w:val="24"/>
                <w:highlight w:val="none"/>
              </w:rPr>
            </w:pPr>
          </w:p>
        </w:tc>
      </w:tr>
      <w:tr w14:paraId="6BF62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17FA4AA1">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404" w:type="dxa"/>
            <w:vAlign w:val="center"/>
          </w:tcPr>
          <w:p w14:paraId="14EDA94F">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7BAAC69A">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76D2DEA1">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8315734">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2B2CE314">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48C9FD38">
            <w:pPr>
              <w:pStyle w:val="177"/>
              <w:spacing w:line="500" w:lineRule="exact"/>
              <w:jc w:val="center"/>
              <w:rPr>
                <w:rFonts w:hint="eastAsia" w:ascii="宋体" w:hAnsi="宋体" w:eastAsia="宋体" w:cs="宋体"/>
                <w:color w:val="auto"/>
                <w:sz w:val="24"/>
                <w:highlight w:val="none"/>
              </w:rPr>
            </w:pPr>
          </w:p>
        </w:tc>
      </w:tr>
      <w:tr w14:paraId="43DA4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0134E5FD">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404" w:type="dxa"/>
            <w:vAlign w:val="center"/>
          </w:tcPr>
          <w:p w14:paraId="45CCEFFD">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7F859326">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004BA14B">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457DB656">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0BD3BD51">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55BD700C">
            <w:pPr>
              <w:pStyle w:val="177"/>
              <w:spacing w:line="500" w:lineRule="exact"/>
              <w:jc w:val="center"/>
              <w:rPr>
                <w:rFonts w:hint="eastAsia" w:ascii="宋体" w:hAnsi="宋体" w:eastAsia="宋体" w:cs="宋体"/>
                <w:color w:val="auto"/>
                <w:sz w:val="24"/>
                <w:highlight w:val="none"/>
              </w:rPr>
            </w:pPr>
          </w:p>
        </w:tc>
      </w:tr>
      <w:tr w14:paraId="04630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393D296D">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404" w:type="dxa"/>
            <w:vAlign w:val="center"/>
          </w:tcPr>
          <w:p w14:paraId="28A94FA7">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3A4FC016">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777580E2">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481A695">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7B921150">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3B813022">
            <w:pPr>
              <w:pStyle w:val="177"/>
              <w:spacing w:line="500" w:lineRule="exact"/>
              <w:jc w:val="center"/>
              <w:rPr>
                <w:rFonts w:hint="eastAsia" w:ascii="宋体" w:hAnsi="宋体" w:eastAsia="宋体" w:cs="宋体"/>
                <w:color w:val="auto"/>
                <w:sz w:val="24"/>
                <w:highlight w:val="none"/>
              </w:rPr>
            </w:pPr>
          </w:p>
        </w:tc>
      </w:tr>
      <w:tr w14:paraId="0A56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72" w:type="dxa"/>
            <w:vAlign w:val="center"/>
          </w:tcPr>
          <w:p w14:paraId="5DAD9A9B">
            <w:pPr>
              <w:pStyle w:val="177"/>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404" w:type="dxa"/>
            <w:vAlign w:val="center"/>
          </w:tcPr>
          <w:p w14:paraId="004E63CE">
            <w:pPr>
              <w:pStyle w:val="177"/>
              <w:spacing w:line="500" w:lineRule="exact"/>
              <w:jc w:val="center"/>
              <w:rPr>
                <w:rFonts w:hint="eastAsia" w:ascii="宋体" w:hAnsi="宋体" w:eastAsia="宋体" w:cs="宋体"/>
                <w:color w:val="auto"/>
                <w:sz w:val="24"/>
                <w:highlight w:val="none"/>
              </w:rPr>
            </w:pPr>
          </w:p>
        </w:tc>
        <w:tc>
          <w:tcPr>
            <w:tcW w:w="1776" w:type="dxa"/>
            <w:vAlign w:val="center"/>
          </w:tcPr>
          <w:p w14:paraId="6226D1D3">
            <w:pPr>
              <w:pStyle w:val="177"/>
              <w:spacing w:line="500" w:lineRule="exact"/>
              <w:jc w:val="center"/>
              <w:rPr>
                <w:rFonts w:hint="eastAsia" w:ascii="宋体" w:hAnsi="宋体" w:eastAsia="宋体" w:cs="宋体"/>
                <w:color w:val="auto"/>
                <w:sz w:val="24"/>
                <w:highlight w:val="none"/>
              </w:rPr>
            </w:pPr>
          </w:p>
        </w:tc>
        <w:tc>
          <w:tcPr>
            <w:tcW w:w="1860" w:type="dxa"/>
            <w:vAlign w:val="center"/>
          </w:tcPr>
          <w:p w14:paraId="5845C01D">
            <w:pPr>
              <w:pStyle w:val="177"/>
              <w:spacing w:line="500" w:lineRule="exact"/>
              <w:jc w:val="center"/>
              <w:rPr>
                <w:rFonts w:hint="eastAsia" w:ascii="宋体" w:hAnsi="宋体" w:eastAsia="宋体" w:cs="宋体"/>
                <w:color w:val="auto"/>
                <w:sz w:val="24"/>
                <w:highlight w:val="none"/>
              </w:rPr>
            </w:pPr>
          </w:p>
        </w:tc>
        <w:tc>
          <w:tcPr>
            <w:tcW w:w="1296" w:type="dxa"/>
            <w:vAlign w:val="center"/>
          </w:tcPr>
          <w:p w14:paraId="0F661D44">
            <w:pPr>
              <w:pStyle w:val="177"/>
              <w:spacing w:line="500" w:lineRule="exact"/>
              <w:jc w:val="center"/>
              <w:rPr>
                <w:rFonts w:hint="eastAsia" w:ascii="宋体" w:hAnsi="宋体" w:eastAsia="宋体" w:cs="宋体"/>
                <w:color w:val="auto"/>
                <w:sz w:val="24"/>
                <w:highlight w:val="none"/>
              </w:rPr>
            </w:pPr>
          </w:p>
        </w:tc>
        <w:tc>
          <w:tcPr>
            <w:tcW w:w="1779" w:type="dxa"/>
            <w:vAlign w:val="center"/>
          </w:tcPr>
          <w:p w14:paraId="477252C7">
            <w:pPr>
              <w:pStyle w:val="177"/>
              <w:spacing w:line="500" w:lineRule="exact"/>
              <w:jc w:val="center"/>
              <w:rPr>
                <w:rFonts w:hint="eastAsia" w:ascii="宋体" w:hAnsi="宋体" w:eastAsia="宋体" w:cs="宋体"/>
                <w:color w:val="auto"/>
                <w:sz w:val="24"/>
                <w:highlight w:val="none"/>
              </w:rPr>
            </w:pPr>
          </w:p>
        </w:tc>
        <w:tc>
          <w:tcPr>
            <w:tcW w:w="920" w:type="dxa"/>
            <w:vAlign w:val="center"/>
          </w:tcPr>
          <w:p w14:paraId="7B5C333E">
            <w:pPr>
              <w:pStyle w:val="177"/>
              <w:spacing w:line="500" w:lineRule="exact"/>
              <w:jc w:val="center"/>
              <w:rPr>
                <w:rFonts w:hint="eastAsia" w:ascii="宋体" w:hAnsi="宋体" w:eastAsia="宋体" w:cs="宋体"/>
                <w:color w:val="auto"/>
                <w:sz w:val="24"/>
                <w:highlight w:val="none"/>
              </w:rPr>
            </w:pPr>
          </w:p>
        </w:tc>
      </w:tr>
    </w:tbl>
    <w:p w14:paraId="350D97DB">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bCs/>
          <w:color w:val="auto"/>
          <w:sz w:val="24"/>
          <w:szCs w:val="24"/>
          <w:highlight w:val="none"/>
        </w:rPr>
        <w:t>1、上述业绩应为投标人根据“第五章  评审方法与评审标准”提供相关说明及证明材料（如果有的话）。</w:t>
      </w:r>
    </w:p>
    <w:p w14:paraId="17DD66DE">
      <w:pPr>
        <w:spacing w:line="440" w:lineRule="exact"/>
        <w:ind w:firstLine="600" w:firstLineChars="2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2、如有需要说明的事项，请在备注中列明。</w:t>
      </w:r>
    </w:p>
    <w:p w14:paraId="18E67B08">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3、我方在此声明，我方所提供的以上资料均真实和准确；我方保证上述信息的真实和准确，并愿意承担因我方就此弄虚作假所引起的一切法律后果。</w:t>
      </w:r>
    </w:p>
    <w:p w14:paraId="766BC988">
      <w:pPr>
        <w:spacing w:line="440" w:lineRule="exact"/>
        <w:ind w:firstLine="600" w:firstLineChars="250"/>
        <w:rPr>
          <w:rFonts w:hint="eastAsia" w:ascii="宋体" w:hAnsi="宋体" w:eastAsia="宋体" w:cs="宋体"/>
          <w:bCs/>
          <w:color w:val="auto"/>
          <w:sz w:val="24"/>
          <w:highlight w:val="none"/>
        </w:rPr>
      </w:pPr>
    </w:p>
    <w:p w14:paraId="20F36252">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326"/>
    <w:p w14:paraId="4E2778B0">
      <w:pPr>
        <w:pStyle w:val="3"/>
        <w:keepNext w:val="0"/>
        <w:pageBreakBefore/>
        <w:rPr>
          <w:rFonts w:hint="eastAsia" w:ascii="宋体" w:hAnsi="宋体" w:eastAsia="宋体" w:cs="宋体"/>
          <w:color w:val="auto"/>
          <w:highlight w:val="none"/>
        </w:rPr>
      </w:pPr>
      <w:bookmarkStart w:id="327" w:name="_Toc14574"/>
      <w:bookmarkStart w:id="328" w:name="_Toc69302323"/>
      <w:bookmarkStart w:id="329" w:name="_Toc14554"/>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商务条件响应及偏离表</w:t>
      </w:r>
      <w:bookmarkEnd w:id="327"/>
      <w:bookmarkEnd w:id="328"/>
      <w:bookmarkEnd w:id="329"/>
    </w:p>
    <w:tbl>
      <w:tblPr>
        <w:tblStyle w:val="54"/>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0"/>
        <w:gridCol w:w="1412"/>
        <w:gridCol w:w="4097"/>
      </w:tblGrid>
      <w:tr w14:paraId="251E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D3E30E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合同条款号</w:t>
            </w:r>
          </w:p>
        </w:tc>
        <w:tc>
          <w:tcPr>
            <w:tcW w:w="1412" w:type="dxa"/>
            <w:vAlign w:val="center"/>
          </w:tcPr>
          <w:p w14:paraId="64041F4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有无偏离</w:t>
            </w:r>
          </w:p>
        </w:tc>
        <w:tc>
          <w:tcPr>
            <w:tcW w:w="4097" w:type="dxa"/>
            <w:vAlign w:val="center"/>
          </w:tcPr>
          <w:p w14:paraId="4523CCC3">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偏离内容及原因</w:t>
            </w:r>
          </w:p>
        </w:tc>
      </w:tr>
      <w:tr w14:paraId="7A12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65F7F7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合同组成部分</w:t>
            </w:r>
          </w:p>
        </w:tc>
        <w:tc>
          <w:tcPr>
            <w:tcW w:w="1412" w:type="dxa"/>
            <w:vAlign w:val="center"/>
          </w:tcPr>
          <w:p w14:paraId="33CC70A7">
            <w:pPr>
              <w:spacing w:line="320" w:lineRule="exact"/>
              <w:rPr>
                <w:rFonts w:hint="eastAsia" w:ascii="宋体" w:hAnsi="宋体" w:eastAsia="宋体" w:cs="宋体"/>
                <w:color w:val="auto"/>
                <w:sz w:val="24"/>
                <w:szCs w:val="24"/>
                <w:highlight w:val="none"/>
              </w:rPr>
            </w:pPr>
          </w:p>
        </w:tc>
        <w:tc>
          <w:tcPr>
            <w:tcW w:w="4097" w:type="dxa"/>
            <w:vAlign w:val="center"/>
          </w:tcPr>
          <w:p w14:paraId="49386106">
            <w:pPr>
              <w:spacing w:line="320" w:lineRule="exact"/>
              <w:rPr>
                <w:rFonts w:hint="eastAsia" w:ascii="宋体" w:hAnsi="宋体" w:eastAsia="宋体" w:cs="宋体"/>
                <w:color w:val="auto"/>
                <w:sz w:val="24"/>
                <w:szCs w:val="24"/>
                <w:highlight w:val="none"/>
              </w:rPr>
            </w:pPr>
          </w:p>
        </w:tc>
      </w:tr>
      <w:tr w14:paraId="67B8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8D62C1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w:t>
            </w:r>
          </w:p>
        </w:tc>
        <w:tc>
          <w:tcPr>
            <w:tcW w:w="1412" w:type="dxa"/>
            <w:vAlign w:val="center"/>
          </w:tcPr>
          <w:p w14:paraId="5FCC75D7">
            <w:pPr>
              <w:spacing w:line="320" w:lineRule="exact"/>
              <w:rPr>
                <w:rFonts w:hint="eastAsia" w:ascii="宋体" w:hAnsi="宋体" w:eastAsia="宋体" w:cs="宋体"/>
                <w:color w:val="auto"/>
                <w:sz w:val="24"/>
                <w:szCs w:val="24"/>
                <w:highlight w:val="none"/>
              </w:rPr>
            </w:pPr>
          </w:p>
        </w:tc>
        <w:tc>
          <w:tcPr>
            <w:tcW w:w="4097" w:type="dxa"/>
            <w:vAlign w:val="center"/>
          </w:tcPr>
          <w:p w14:paraId="0AA7DF5F">
            <w:pPr>
              <w:spacing w:line="320" w:lineRule="exact"/>
              <w:rPr>
                <w:rFonts w:hint="eastAsia" w:ascii="宋体" w:hAnsi="宋体" w:eastAsia="宋体" w:cs="宋体"/>
                <w:color w:val="auto"/>
                <w:sz w:val="24"/>
                <w:szCs w:val="24"/>
                <w:highlight w:val="none"/>
              </w:rPr>
            </w:pPr>
          </w:p>
        </w:tc>
      </w:tr>
      <w:tr w14:paraId="6D08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91E658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付款方式、开票方式</w:t>
            </w:r>
          </w:p>
        </w:tc>
        <w:tc>
          <w:tcPr>
            <w:tcW w:w="1412" w:type="dxa"/>
            <w:vAlign w:val="center"/>
          </w:tcPr>
          <w:p w14:paraId="52CC39E2">
            <w:pPr>
              <w:spacing w:line="320" w:lineRule="exact"/>
              <w:rPr>
                <w:rFonts w:hint="eastAsia" w:ascii="宋体" w:hAnsi="宋体" w:eastAsia="宋体" w:cs="宋体"/>
                <w:color w:val="auto"/>
                <w:sz w:val="24"/>
                <w:szCs w:val="24"/>
                <w:highlight w:val="none"/>
              </w:rPr>
            </w:pPr>
          </w:p>
        </w:tc>
        <w:tc>
          <w:tcPr>
            <w:tcW w:w="4097" w:type="dxa"/>
            <w:vAlign w:val="center"/>
          </w:tcPr>
          <w:p w14:paraId="0C12FB74">
            <w:pPr>
              <w:spacing w:line="320" w:lineRule="exact"/>
              <w:rPr>
                <w:rFonts w:hint="eastAsia" w:ascii="宋体" w:hAnsi="宋体" w:eastAsia="宋体" w:cs="宋体"/>
                <w:color w:val="auto"/>
                <w:sz w:val="24"/>
                <w:szCs w:val="24"/>
                <w:highlight w:val="none"/>
              </w:rPr>
            </w:pPr>
          </w:p>
        </w:tc>
      </w:tr>
      <w:tr w14:paraId="7572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EC2B532">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服务期限和地点</w:t>
            </w:r>
          </w:p>
        </w:tc>
        <w:tc>
          <w:tcPr>
            <w:tcW w:w="1412" w:type="dxa"/>
            <w:vAlign w:val="center"/>
          </w:tcPr>
          <w:p w14:paraId="2A9C7EF3">
            <w:pPr>
              <w:spacing w:line="320" w:lineRule="exact"/>
              <w:rPr>
                <w:rFonts w:hint="eastAsia" w:ascii="宋体" w:hAnsi="宋体" w:eastAsia="宋体" w:cs="宋体"/>
                <w:color w:val="auto"/>
                <w:sz w:val="24"/>
                <w:szCs w:val="24"/>
                <w:highlight w:val="none"/>
              </w:rPr>
            </w:pPr>
          </w:p>
        </w:tc>
        <w:tc>
          <w:tcPr>
            <w:tcW w:w="4097" w:type="dxa"/>
            <w:vAlign w:val="center"/>
          </w:tcPr>
          <w:p w14:paraId="7606E2A9">
            <w:pPr>
              <w:spacing w:line="320" w:lineRule="exact"/>
              <w:rPr>
                <w:rFonts w:hint="eastAsia" w:ascii="宋体" w:hAnsi="宋体" w:eastAsia="宋体" w:cs="宋体"/>
                <w:color w:val="auto"/>
                <w:sz w:val="24"/>
                <w:szCs w:val="24"/>
                <w:highlight w:val="none"/>
              </w:rPr>
            </w:pPr>
          </w:p>
        </w:tc>
      </w:tr>
      <w:tr w14:paraId="54DA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EFCBBD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双方权利义务</w:t>
            </w:r>
          </w:p>
        </w:tc>
        <w:tc>
          <w:tcPr>
            <w:tcW w:w="1412" w:type="dxa"/>
            <w:vAlign w:val="center"/>
          </w:tcPr>
          <w:p w14:paraId="74FC80F2">
            <w:pPr>
              <w:spacing w:line="320" w:lineRule="exact"/>
              <w:rPr>
                <w:rFonts w:hint="eastAsia" w:ascii="宋体" w:hAnsi="宋体" w:eastAsia="宋体" w:cs="宋体"/>
                <w:color w:val="auto"/>
                <w:sz w:val="24"/>
                <w:szCs w:val="24"/>
                <w:highlight w:val="none"/>
              </w:rPr>
            </w:pPr>
          </w:p>
        </w:tc>
        <w:tc>
          <w:tcPr>
            <w:tcW w:w="4097" w:type="dxa"/>
            <w:vAlign w:val="center"/>
          </w:tcPr>
          <w:p w14:paraId="2EA28D11">
            <w:pPr>
              <w:spacing w:line="320" w:lineRule="exact"/>
              <w:rPr>
                <w:rFonts w:hint="eastAsia" w:ascii="宋体" w:hAnsi="宋体" w:eastAsia="宋体" w:cs="宋体"/>
                <w:color w:val="auto"/>
                <w:sz w:val="24"/>
                <w:szCs w:val="24"/>
                <w:highlight w:val="none"/>
              </w:rPr>
            </w:pPr>
          </w:p>
        </w:tc>
      </w:tr>
      <w:tr w14:paraId="62B1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771D826F">
            <w:pPr>
              <w:spacing w:line="3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1.7 违约责任</w:t>
            </w:r>
          </w:p>
        </w:tc>
        <w:tc>
          <w:tcPr>
            <w:tcW w:w="1412" w:type="dxa"/>
            <w:vAlign w:val="center"/>
          </w:tcPr>
          <w:p w14:paraId="64083F37">
            <w:pPr>
              <w:spacing w:line="320" w:lineRule="exact"/>
              <w:rPr>
                <w:rFonts w:hint="eastAsia" w:ascii="宋体" w:hAnsi="宋体" w:eastAsia="宋体" w:cs="宋体"/>
                <w:color w:val="auto"/>
                <w:sz w:val="24"/>
                <w:szCs w:val="24"/>
                <w:highlight w:val="none"/>
              </w:rPr>
            </w:pPr>
          </w:p>
        </w:tc>
        <w:tc>
          <w:tcPr>
            <w:tcW w:w="4097" w:type="dxa"/>
            <w:vAlign w:val="center"/>
          </w:tcPr>
          <w:p w14:paraId="0D200F74">
            <w:pPr>
              <w:spacing w:line="320" w:lineRule="exact"/>
              <w:rPr>
                <w:rFonts w:hint="eastAsia" w:ascii="宋体" w:hAnsi="宋体" w:eastAsia="宋体" w:cs="宋体"/>
                <w:color w:val="auto"/>
                <w:sz w:val="24"/>
                <w:szCs w:val="24"/>
                <w:highlight w:val="none"/>
              </w:rPr>
            </w:pPr>
          </w:p>
        </w:tc>
      </w:tr>
      <w:tr w14:paraId="627F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BC1E0F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合同的解除</w:t>
            </w:r>
          </w:p>
        </w:tc>
        <w:tc>
          <w:tcPr>
            <w:tcW w:w="1412" w:type="dxa"/>
            <w:vAlign w:val="center"/>
          </w:tcPr>
          <w:p w14:paraId="3258A90B">
            <w:pPr>
              <w:spacing w:line="320" w:lineRule="exact"/>
              <w:rPr>
                <w:rFonts w:hint="eastAsia" w:ascii="宋体" w:hAnsi="宋体" w:eastAsia="宋体" w:cs="宋体"/>
                <w:color w:val="auto"/>
                <w:sz w:val="24"/>
                <w:szCs w:val="24"/>
                <w:highlight w:val="none"/>
              </w:rPr>
            </w:pPr>
          </w:p>
        </w:tc>
        <w:tc>
          <w:tcPr>
            <w:tcW w:w="4097" w:type="dxa"/>
            <w:vAlign w:val="center"/>
          </w:tcPr>
          <w:p w14:paraId="7CD09380">
            <w:pPr>
              <w:spacing w:line="320" w:lineRule="exact"/>
              <w:rPr>
                <w:rFonts w:hint="eastAsia" w:ascii="宋体" w:hAnsi="宋体" w:eastAsia="宋体" w:cs="宋体"/>
                <w:color w:val="auto"/>
                <w:sz w:val="24"/>
                <w:szCs w:val="24"/>
                <w:highlight w:val="none"/>
              </w:rPr>
            </w:pPr>
          </w:p>
        </w:tc>
      </w:tr>
      <w:tr w14:paraId="4F44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689B4AC">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合同争议的解决</w:t>
            </w:r>
          </w:p>
        </w:tc>
        <w:tc>
          <w:tcPr>
            <w:tcW w:w="1412" w:type="dxa"/>
            <w:vAlign w:val="center"/>
          </w:tcPr>
          <w:p w14:paraId="4BAA64B9">
            <w:pPr>
              <w:spacing w:line="320" w:lineRule="exact"/>
              <w:rPr>
                <w:rFonts w:hint="eastAsia" w:ascii="宋体" w:hAnsi="宋体" w:eastAsia="宋体" w:cs="宋体"/>
                <w:color w:val="auto"/>
                <w:sz w:val="24"/>
                <w:szCs w:val="24"/>
                <w:highlight w:val="none"/>
              </w:rPr>
            </w:pPr>
          </w:p>
        </w:tc>
        <w:tc>
          <w:tcPr>
            <w:tcW w:w="4097" w:type="dxa"/>
            <w:vAlign w:val="center"/>
          </w:tcPr>
          <w:p w14:paraId="3F78FA28">
            <w:pPr>
              <w:spacing w:line="320" w:lineRule="exact"/>
              <w:rPr>
                <w:rFonts w:hint="eastAsia" w:ascii="宋体" w:hAnsi="宋体" w:eastAsia="宋体" w:cs="宋体"/>
                <w:color w:val="auto"/>
                <w:sz w:val="24"/>
                <w:szCs w:val="24"/>
                <w:highlight w:val="none"/>
              </w:rPr>
            </w:pPr>
          </w:p>
        </w:tc>
      </w:tr>
      <w:tr w14:paraId="4AAC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8C7BBC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合同生效及其他</w:t>
            </w:r>
          </w:p>
        </w:tc>
        <w:tc>
          <w:tcPr>
            <w:tcW w:w="1412" w:type="dxa"/>
            <w:vAlign w:val="center"/>
          </w:tcPr>
          <w:p w14:paraId="2544F50B">
            <w:pPr>
              <w:spacing w:line="320" w:lineRule="exact"/>
              <w:rPr>
                <w:rFonts w:hint="eastAsia" w:ascii="宋体" w:hAnsi="宋体" w:eastAsia="宋体" w:cs="宋体"/>
                <w:color w:val="auto"/>
                <w:sz w:val="24"/>
                <w:szCs w:val="24"/>
                <w:highlight w:val="none"/>
              </w:rPr>
            </w:pPr>
          </w:p>
        </w:tc>
        <w:tc>
          <w:tcPr>
            <w:tcW w:w="4097" w:type="dxa"/>
            <w:vAlign w:val="center"/>
          </w:tcPr>
          <w:p w14:paraId="4201DCCD">
            <w:pPr>
              <w:spacing w:line="320" w:lineRule="exact"/>
              <w:rPr>
                <w:rFonts w:hint="eastAsia" w:ascii="宋体" w:hAnsi="宋体" w:eastAsia="宋体" w:cs="宋体"/>
                <w:color w:val="auto"/>
                <w:sz w:val="24"/>
                <w:szCs w:val="24"/>
                <w:highlight w:val="none"/>
              </w:rPr>
            </w:pPr>
          </w:p>
        </w:tc>
      </w:tr>
      <w:tr w14:paraId="4F9C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01B115F">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定义</w:t>
            </w:r>
          </w:p>
        </w:tc>
        <w:tc>
          <w:tcPr>
            <w:tcW w:w="1412" w:type="dxa"/>
            <w:vAlign w:val="center"/>
          </w:tcPr>
          <w:p w14:paraId="57003F2C">
            <w:pPr>
              <w:spacing w:line="320" w:lineRule="exact"/>
              <w:rPr>
                <w:rFonts w:hint="eastAsia" w:ascii="宋体" w:hAnsi="宋体" w:eastAsia="宋体" w:cs="宋体"/>
                <w:color w:val="auto"/>
                <w:sz w:val="24"/>
                <w:szCs w:val="24"/>
                <w:highlight w:val="none"/>
              </w:rPr>
            </w:pPr>
          </w:p>
        </w:tc>
        <w:tc>
          <w:tcPr>
            <w:tcW w:w="4097" w:type="dxa"/>
            <w:vAlign w:val="center"/>
          </w:tcPr>
          <w:p w14:paraId="3C602689">
            <w:pPr>
              <w:spacing w:line="320" w:lineRule="exact"/>
              <w:rPr>
                <w:rFonts w:hint="eastAsia" w:ascii="宋体" w:hAnsi="宋体" w:eastAsia="宋体" w:cs="宋体"/>
                <w:color w:val="auto"/>
                <w:sz w:val="24"/>
                <w:szCs w:val="24"/>
                <w:highlight w:val="none"/>
              </w:rPr>
            </w:pPr>
          </w:p>
        </w:tc>
      </w:tr>
      <w:tr w14:paraId="21FF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170928F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技术规范</w:t>
            </w:r>
          </w:p>
        </w:tc>
        <w:tc>
          <w:tcPr>
            <w:tcW w:w="1412" w:type="dxa"/>
            <w:vAlign w:val="center"/>
          </w:tcPr>
          <w:p w14:paraId="6276DC98">
            <w:pPr>
              <w:spacing w:line="320" w:lineRule="exact"/>
              <w:rPr>
                <w:rFonts w:hint="eastAsia" w:ascii="宋体" w:hAnsi="宋体" w:eastAsia="宋体" w:cs="宋体"/>
                <w:color w:val="auto"/>
                <w:sz w:val="24"/>
                <w:szCs w:val="24"/>
                <w:highlight w:val="none"/>
              </w:rPr>
            </w:pPr>
          </w:p>
        </w:tc>
        <w:tc>
          <w:tcPr>
            <w:tcW w:w="4097" w:type="dxa"/>
            <w:vAlign w:val="center"/>
          </w:tcPr>
          <w:p w14:paraId="14ED0EC1">
            <w:pPr>
              <w:spacing w:line="320" w:lineRule="exact"/>
              <w:rPr>
                <w:rFonts w:hint="eastAsia" w:ascii="宋体" w:hAnsi="宋体" w:eastAsia="宋体" w:cs="宋体"/>
                <w:color w:val="auto"/>
                <w:sz w:val="24"/>
                <w:szCs w:val="24"/>
                <w:highlight w:val="none"/>
              </w:rPr>
            </w:pPr>
          </w:p>
        </w:tc>
      </w:tr>
      <w:tr w14:paraId="1F82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DC42E2C">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知识产权</w:t>
            </w:r>
          </w:p>
        </w:tc>
        <w:tc>
          <w:tcPr>
            <w:tcW w:w="1412" w:type="dxa"/>
            <w:vAlign w:val="center"/>
          </w:tcPr>
          <w:p w14:paraId="4A02B7BC">
            <w:pPr>
              <w:spacing w:line="320" w:lineRule="exact"/>
              <w:rPr>
                <w:rFonts w:hint="eastAsia" w:ascii="宋体" w:hAnsi="宋体" w:eastAsia="宋体" w:cs="宋体"/>
                <w:color w:val="auto"/>
                <w:sz w:val="24"/>
                <w:szCs w:val="24"/>
                <w:highlight w:val="none"/>
              </w:rPr>
            </w:pPr>
          </w:p>
        </w:tc>
        <w:tc>
          <w:tcPr>
            <w:tcW w:w="4097" w:type="dxa"/>
            <w:vAlign w:val="center"/>
          </w:tcPr>
          <w:p w14:paraId="48382BB2">
            <w:pPr>
              <w:spacing w:line="320" w:lineRule="exact"/>
              <w:rPr>
                <w:rFonts w:hint="eastAsia" w:ascii="宋体" w:hAnsi="宋体" w:eastAsia="宋体" w:cs="宋体"/>
                <w:color w:val="auto"/>
                <w:sz w:val="24"/>
                <w:szCs w:val="24"/>
                <w:highlight w:val="none"/>
              </w:rPr>
            </w:pPr>
          </w:p>
        </w:tc>
      </w:tr>
      <w:tr w14:paraId="5D0FC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521D8A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履约检查和问题反馈</w:t>
            </w:r>
          </w:p>
        </w:tc>
        <w:tc>
          <w:tcPr>
            <w:tcW w:w="1412" w:type="dxa"/>
            <w:vAlign w:val="center"/>
          </w:tcPr>
          <w:p w14:paraId="37E1B107">
            <w:pPr>
              <w:spacing w:line="320" w:lineRule="exact"/>
              <w:rPr>
                <w:rFonts w:hint="eastAsia" w:ascii="宋体" w:hAnsi="宋体" w:eastAsia="宋体" w:cs="宋体"/>
                <w:color w:val="auto"/>
                <w:sz w:val="24"/>
                <w:szCs w:val="24"/>
                <w:highlight w:val="none"/>
              </w:rPr>
            </w:pPr>
          </w:p>
        </w:tc>
        <w:tc>
          <w:tcPr>
            <w:tcW w:w="4097" w:type="dxa"/>
            <w:vAlign w:val="center"/>
          </w:tcPr>
          <w:p w14:paraId="2D50B629">
            <w:pPr>
              <w:spacing w:line="320" w:lineRule="exact"/>
              <w:rPr>
                <w:rFonts w:hint="eastAsia" w:ascii="宋体" w:hAnsi="宋体" w:eastAsia="宋体" w:cs="宋体"/>
                <w:color w:val="auto"/>
                <w:sz w:val="24"/>
                <w:szCs w:val="24"/>
                <w:highlight w:val="none"/>
              </w:rPr>
            </w:pPr>
          </w:p>
        </w:tc>
      </w:tr>
      <w:tr w14:paraId="7773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255DA4A">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技术资料和保密义务</w:t>
            </w:r>
          </w:p>
        </w:tc>
        <w:tc>
          <w:tcPr>
            <w:tcW w:w="1412" w:type="dxa"/>
            <w:vAlign w:val="center"/>
          </w:tcPr>
          <w:p w14:paraId="22256D13">
            <w:pPr>
              <w:spacing w:line="320" w:lineRule="exact"/>
              <w:rPr>
                <w:rFonts w:hint="eastAsia" w:ascii="宋体" w:hAnsi="宋体" w:eastAsia="宋体" w:cs="宋体"/>
                <w:color w:val="auto"/>
                <w:sz w:val="24"/>
                <w:szCs w:val="24"/>
                <w:highlight w:val="none"/>
              </w:rPr>
            </w:pPr>
          </w:p>
        </w:tc>
        <w:tc>
          <w:tcPr>
            <w:tcW w:w="4097" w:type="dxa"/>
            <w:vAlign w:val="center"/>
          </w:tcPr>
          <w:p w14:paraId="42009176">
            <w:pPr>
              <w:spacing w:line="320" w:lineRule="exact"/>
              <w:rPr>
                <w:rFonts w:hint="eastAsia" w:ascii="宋体" w:hAnsi="宋体" w:eastAsia="宋体" w:cs="宋体"/>
                <w:color w:val="auto"/>
                <w:sz w:val="24"/>
                <w:szCs w:val="24"/>
                <w:highlight w:val="none"/>
              </w:rPr>
            </w:pPr>
          </w:p>
        </w:tc>
      </w:tr>
      <w:tr w14:paraId="3064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081A621B">
            <w:pP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2.6 质量保证</w:t>
            </w:r>
            <w:r>
              <w:rPr>
                <w:rFonts w:hint="eastAsia" w:ascii="宋体" w:hAnsi="宋体" w:eastAsia="宋体" w:cs="宋体"/>
                <w:color w:val="auto"/>
                <w:sz w:val="24"/>
                <w:szCs w:val="24"/>
                <w:highlight w:val="none"/>
                <w:lang w:val="en-US" w:eastAsia="zh-CN"/>
              </w:rPr>
              <w:t>及验收办法</w:t>
            </w:r>
          </w:p>
        </w:tc>
        <w:tc>
          <w:tcPr>
            <w:tcW w:w="1412" w:type="dxa"/>
            <w:vAlign w:val="center"/>
          </w:tcPr>
          <w:p w14:paraId="2FA490CF">
            <w:pPr>
              <w:spacing w:line="320" w:lineRule="exact"/>
              <w:rPr>
                <w:rFonts w:hint="eastAsia" w:ascii="宋体" w:hAnsi="宋体" w:eastAsia="宋体" w:cs="宋体"/>
                <w:color w:val="auto"/>
                <w:sz w:val="24"/>
                <w:szCs w:val="24"/>
                <w:highlight w:val="none"/>
              </w:rPr>
            </w:pPr>
          </w:p>
        </w:tc>
        <w:tc>
          <w:tcPr>
            <w:tcW w:w="4097" w:type="dxa"/>
            <w:vAlign w:val="center"/>
          </w:tcPr>
          <w:p w14:paraId="4F567311">
            <w:pPr>
              <w:spacing w:line="320" w:lineRule="exact"/>
              <w:rPr>
                <w:rFonts w:hint="eastAsia" w:ascii="宋体" w:hAnsi="宋体" w:eastAsia="宋体" w:cs="宋体"/>
                <w:color w:val="auto"/>
                <w:sz w:val="24"/>
                <w:szCs w:val="24"/>
                <w:highlight w:val="none"/>
              </w:rPr>
            </w:pPr>
          </w:p>
        </w:tc>
      </w:tr>
      <w:tr w14:paraId="4DBB0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043F7DD">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延迟履行</w:t>
            </w:r>
          </w:p>
        </w:tc>
        <w:tc>
          <w:tcPr>
            <w:tcW w:w="1412" w:type="dxa"/>
            <w:vAlign w:val="center"/>
          </w:tcPr>
          <w:p w14:paraId="1553E834">
            <w:pPr>
              <w:spacing w:line="320" w:lineRule="exact"/>
              <w:rPr>
                <w:rFonts w:hint="eastAsia" w:ascii="宋体" w:hAnsi="宋体" w:eastAsia="宋体" w:cs="宋体"/>
                <w:color w:val="auto"/>
                <w:sz w:val="24"/>
                <w:szCs w:val="24"/>
                <w:highlight w:val="none"/>
              </w:rPr>
            </w:pPr>
          </w:p>
        </w:tc>
        <w:tc>
          <w:tcPr>
            <w:tcW w:w="4097" w:type="dxa"/>
            <w:vAlign w:val="center"/>
          </w:tcPr>
          <w:p w14:paraId="74C5F8CE">
            <w:pPr>
              <w:spacing w:line="320" w:lineRule="exact"/>
              <w:rPr>
                <w:rFonts w:hint="eastAsia" w:ascii="宋体" w:hAnsi="宋体" w:eastAsia="宋体" w:cs="宋体"/>
                <w:color w:val="auto"/>
                <w:sz w:val="24"/>
                <w:szCs w:val="24"/>
                <w:highlight w:val="none"/>
              </w:rPr>
            </w:pPr>
          </w:p>
        </w:tc>
      </w:tr>
      <w:tr w14:paraId="36A7E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5E21ACB1">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合同变更</w:t>
            </w:r>
          </w:p>
        </w:tc>
        <w:tc>
          <w:tcPr>
            <w:tcW w:w="1412" w:type="dxa"/>
            <w:vAlign w:val="center"/>
          </w:tcPr>
          <w:p w14:paraId="5883DECD">
            <w:pPr>
              <w:spacing w:line="320" w:lineRule="exact"/>
              <w:rPr>
                <w:rFonts w:hint="eastAsia" w:ascii="宋体" w:hAnsi="宋体" w:eastAsia="宋体" w:cs="宋体"/>
                <w:color w:val="auto"/>
                <w:sz w:val="24"/>
                <w:szCs w:val="24"/>
                <w:highlight w:val="none"/>
              </w:rPr>
            </w:pPr>
          </w:p>
        </w:tc>
        <w:tc>
          <w:tcPr>
            <w:tcW w:w="4097" w:type="dxa"/>
            <w:vAlign w:val="center"/>
          </w:tcPr>
          <w:p w14:paraId="5ABC7532">
            <w:pPr>
              <w:spacing w:line="320" w:lineRule="exact"/>
              <w:rPr>
                <w:rFonts w:hint="eastAsia" w:ascii="宋体" w:hAnsi="宋体" w:eastAsia="宋体" w:cs="宋体"/>
                <w:color w:val="auto"/>
                <w:sz w:val="24"/>
                <w:szCs w:val="24"/>
                <w:highlight w:val="none"/>
              </w:rPr>
            </w:pPr>
          </w:p>
        </w:tc>
      </w:tr>
      <w:tr w14:paraId="449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7B1D3A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合同转让和分包</w:t>
            </w:r>
          </w:p>
        </w:tc>
        <w:tc>
          <w:tcPr>
            <w:tcW w:w="1412" w:type="dxa"/>
            <w:vAlign w:val="center"/>
          </w:tcPr>
          <w:p w14:paraId="525642D1">
            <w:pPr>
              <w:spacing w:line="320" w:lineRule="exact"/>
              <w:rPr>
                <w:rFonts w:hint="eastAsia" w:ascii="宋体" w:hAnsi="宋体" w:eastAsia="宋体" w:cs="宋体"/>
                <w:color w:val="auto"/>
                <w:sz w:val="24"/>
                <w:szCs w:val="24"/>
                <w:highlight w:val="none"/>
              </w:rPr>
            </w:pPr>
          </w:p>
        </w:tc>
        <w:tc>
          <w:tcPr>
            <w:tcW w:w="4097" w:type="dxa"/>
            <w:vAlign w:val="center"/>
          </w:tcPr>
          <w:p w14:paraId="59BE3C02">
            <w:pPr>
              <w:spacing w:line="320" w:lineRule="exact"/>
              <w:rPr>
                <w:rFonts w:hint="eastAsia" w:ascii="宋体" w:hAnsi="宋体" w:eastAsia="宋体" w:cs="宋体"/>
                <w:color w:val="auto"/>
                <w:sz w:val="24"/>
                <w:szCs w:val="24"/>
                <w:highlight w:val="none"/>
              </w:rPr>
            </w:pPr>
          </w:p>
        </w:tc>
      </w:tr>
      <w:tr w14:paraId="7412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16B2935">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不可抗力</w:t>
            </w:r>
          </w:p>
        </w:tc>
        <w:tc>
          <w:tcPr>
            <w:tcW w:w="1412" w:type="dxa"/>
            <w:vAlign w:val="center"/>
          </w:tcPr>
          <w:p w14:paraId="3AAD9413">
            <w:pPr>
              <w:spacing w:line="320" w:lineRule="exact"/>
              <w:rPr>
                <w:rFonts w:hint="eastAsia" w:ascii="宋体" w:hAnsi="宋体" w:eastAsia="宋体" w:cs="宋体"/>
                <w:color w:val="auto"/>
                <w:sz w:val="24"/>
                <w:szCs w:val="24"/>
                <w:highlight w:val="none"/>
              </w:rPr>
            </w:pPr>
          </w:p>
        </w:tc>
        <w:tc>
          <w:tcPr>
            <w:tcW w:w="4097" w:type="dxa"/>
            <w:vAlign w:val="center"/>
          </w:tcPr>
          <w:p w14:paraId="37C00DE6">
            <w:pPr>
              <w:spacing w:line="320" w:lineRule="exact"/>
              <w:rPr>
                <w:rFonts w:hint="eastAsia" w:ascii="宋体" w:hAnsi="宋体" w:eastAsia="宋体" w:cs="宋体"/>
                <w:color w:val="auto"/>
                <w:sz w:val="24"/>
                <w:szCs w:val="24"/>
                <w:highlight w:val="none"/>
              </w:rPr>
            </w:pPr>
          </w:p>
        </w:tc>
      </w:tr>
      <w:tr w14:paraId="2109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6FBCF26">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税费</w:t>
            </w:r>
          </w:p>
        </w:tc>
        <w:tc>
          <w:tcPr>
            <w:tcW w:w="1412" w:type="dxa"/>
            <w:vAlign w:val="center"/>
          </w:tcPr>
          <w:p w14:paraId="36880988">
            <w:pPr>
              <w:spacing w:line="320" w:lineRule="exact"/>
              <w:rPr>
                <w:rFonts w:hint="eastAsia" w:ascii="宋体" w:hAnsi="宋体" w:eastAsia="宋体" w:cs="宋体"/>
                <w:color w:val="auto"/>
                <w:sz w:val="24"/>
                <w:szCs w:val="24"/>
                <w:highlight w:val="none"/>
              </w:rPr>
            </w:pPr>
          </w:p>
        </w:tc>
        <w:tc>
          <w:tcPr>
            <w:tcW w:w="4097" w:type="dxa"/>
            <w:vAlign w:val="center"/>
          </w:tcPr>
          <w:p w14:paraId="32BD6BA1">
            <w:pPr>
              <w:spacing w:line="320" w:lineRule="exact"/>
              <w:rPr>
                <w:rFonts w:hint="eastAsia" w:ascii="宋体" w:hAnsi="宋体" w:eastAsia="宋体" w:cs="宋体"/>
                <w:color w:val="auto"/>
                <w:sz w:val="24"/>
                <w:szCs w:val="24"/>
                <w:highlight w:val="none"/>
              </w:rPr>
            </w:pPr>
          </w:p>
        </w:tc>
      </w:tr>
      <w:tr w14:paraId="0393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8529C5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乙方破产</w:t>
            </w:r>
          </w:p>
        </w:tc>
        <w:tc>
          <w:tcPr>
            <w:tcW w:w="1412" w:type="dxa"/>
            <w:vAlign w:val="center"/>
          </w:tcPr>
          <w:p w14:paraId="733D6693">
            <w:pPr>
              <w:spacing w:line="320" w:lineRule="exact"/>
              <w:rPr>
                <w:rFonts w:hint="eastAsia" w:ascii="宋体" w:hAnsi="宋体" w:eastAsia="宋体" w:cs="宋体"/>
                <w:color w:val="auto"/>
                <w:sz w:val="24"/>
                <w:szCs w:val="24"/>
                <w:highlight w:val="none"/>
              </w:rPr>
            </w:pPr>
          </w:p>
        </w:tc>
        <w:tc>
          <w:tcPr>
            <w:tcW w:w="4097" w:type="dxa"/>
            <w:vAlign w:val="center"/>
          </w:tcPr>
          <w:p w14:paraId="0EDE1676">
            <w:pPr>
              <w:spacing w:line="320" w:lineRule="exact"/>
              <w:rPr>
                <w:rFonts w:hint="eastAsia" w:ascii="宋体" w:hAnsi="宋体" w:eastAsia="宋体" w:cs="宋体"/>
                <w:color w:val="auto"/>
                <w:sz w:val="24"/>
                <w:szCs w:val="24"/>
                <w:highlight w:val="none"/>
              </w:rPr>
            </w:pPr>
          </w:p>
        </w:tc>
      </w:tr>
      <w:tr w14:paraId="6DEB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6C244407">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合同中止、终止</w:t>
            </w:r>
          </w:p>
        </w:tc>
        <w:tc>
          <w:tcPr>
            <w:tcW w:w="1412" w:type="dxa"/>
            <w:vAlign w:val="center"/>
          </w:tcPr>
          <w:p w14:paraId="512788E0">
            <w:pPr>
              <w:spacing w:line="320" w:lineRule="exact"/>
              <w:rPr>
                <w:rFonts w:hint="eastAsia" w:ascii="宋体" w:hAnsi="宋体" w:eastAsia="宋体" w:cs="宋体"/>
                <w:color w:val="auto"/>
                <w:sz w:val="24"/>
                <w:szCs w:val="24"/>
                <w:highlight w:val="none"/>
              </w:rPr>
            </w:pPr>
          </w:p>
        </w:tc>
        <w:tc>
          <w:tcPr>
            <w:tcW w:w="4097" w:type="dxa"/>
            <w:vAlign w:val="center"/>
          </w:tcPr>
          <w:p w14:paraId="07B1DCF7">
            <w:pPr>
              <w:spacing w:line="320" w:lineRule="exact"/>
              <w:rPr>
                <w:rFonts w:hint="eastAsia" w:ascii="宋体" w:hAnsi="宋体" w:eastAsia="宋体" w:cs="宋体"/>
                <w:color w:val="auto"/>
                <w:sz w:val="24"/>
                <w:szCs w:val="24"/>
                <w:highlight w:val="none"/>
              </w:rPr>
            </w:pPr>
          </w:p>
        </w:tc>
      </w:tr>
      <w:tr w14:paraId="1587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3F5AF0CE">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通知和送达</w:t>
            </w:r>
          </w:p>
        </w:tc>
        <w:tc>
          <w:tcPr>
            <w:tcW w:w="1412" w:type="dxa"/>
            <w:vAlign w:val="center"/>
          </w:tcPr>
          <w:p w14:paraId="37E0B637">
            <w:pPr>
              <w:spacing w:line="320" w:lineRule="exact"/>
              <w:rPr>
                <w:rFonts w:hint="eastAsia" w:ascii="宋体" w:hAnsi="宋体" w:eastAsia="宋体" w:cs="宋体"/>
                <w:color w:val="auto"/>
                <w:sz w:val="24"/>
                <w:szCs w:val="24"/>
                <w:highlight w:val="none"/>
              </w:rPr>
            </w:pPr>
          </w:p>
        </w:tc>
        <w:tc>
          <w:tcPr>
            <w:tcW w:w="4097" w:type="dxa"/>
            <w:vAlign w:val="center"/>
          </w:tcPr>
          <w:p w14:paraId="548A3213">
            <w:pPr>
              <w:spacing w:line="320" w:lineRule="exact"/>
              <w:rPr>
                <w:rFonts w:hint="eastAsia" w:ascii="宋体" w:hAnsi="宋体" w:eastAsia="宋体" w:cs="宋体"/>
                <w:color w:val="auto"/>
                <w:sz w:val="24"/>
                <w:szCs w:val="24"/>
                <w:highlight w:val="none"/>
              </w:rPr>
            </w:pPr>
          </w:p>
        </w:tc>
      </w:tr>
      <w:tr w14:paraId="33FFD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4030" w:type="dxa"/>
            <w:vAlign w:val="center"/>
          </w:tcPr>
          <w:p w14:paraId="4B57BF9B">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合同使用的文字和适用的法律</w:t>
            </w:r>
          </w:p>
        </w:tc>
        <w:tc>
          <w:tcPr>
            <w:tcW w:w="1412" w:type="dxa"/>
            <w:vAlign w:val="center"/>
          </w:tcPr>
          <w:p w14:paraId="72563504">
            <w:pPr>
              <w:spacing w:line="320" w:lineRule="exact"/>
              <w:rPr>
                <w:rFonts w:hint="eastAsia" w:ascii="宋体" w:hAnsi="宋体" w:eastAsia="宋体" w:cs="宋体"/>
                <w:color w:val="auto"/>
                <w:sz w:val="24"/>
                <w:szCs w:val="24"/>
                <w:highlight w:val="none"/>
              </w:rPr>
            </w:pPr>
          </w:p>
        </w:tc>
        <w:tc>
          <w:tcPr>
            <w:tcW w:w="4097" w:type="dxa"/>
            <w:vAlign w:val="center"/>
          </w:tcPr>
          <w:p w14:paraId="5678FFEE">
            <w:pPr>
              <w:spacing w:line="320" w:lineRule="exact"/>
              <w:rPr>
                <w:rFonts w:hint="eastAsia" w:ascii="宋体" w:hAnsi="宋体" w:eastAsia="宋体" w:cs="宋体"/>
                <w:color w:val="auto"/>
                <w:sz w:val="24"/>
                <w:szCs w:val="24"/>
                <w:highlight w:val="none"/>
              </w:rPr>
            </w:pPr>
          </w:p>
        </w:tc>
      </w:tr>
      <w:tr w14:paraId="7698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030" w:type="dxa"/>
            <w:vAlign w:val="center"/>
          </w:tcPr>
          <w:p w14:paraId="1FEE89A1">
            <w:pP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 履约保证金</w:t>
            </w:r>
          </w:p>
        </w:tc>
        <w:tc>
          <w:tcPr>
            <w:tcW w:w="1412" w:type="dxa"/>
            <w:vAlign w:val="center"/>
          </w:tcPr>
          <w:p w14:paraId="617D55AA">
            <w:pPr>
              <w:spacing w:line="320" w:lineRule="exact"/>
              <w:rPr>
                <w:rFonts w:hint="eastAsia" w:ascii="宋体" w:hAnsi="宋体" w:eastAsia="宋体" w:cs="宋体"/>
                <w:color w:val="auto"/>
                <w:sz w:val="24"/>
                <w:szCs w:val="24"/>
                <w:highlight w:val="none"/>
              </w:rPr>
            </w:pPr>
          </w:p>
        </w:tc>
        <w:tc>
          <w:tcPr>
            <w:tcW w:w="4097" w:type="dxa"/>
            <w:vAlign w:val="center"/>
          </w:tcPr>
          <w:p w14:paraId="75EEDA63">
            <w:pPr>
              <w:spacing w:line="320" w:lineRule="exact"/>
              <w:rPr>
                <w:rFonts w:hint="eastAsia" w:ascii="宋体" w:hAnsi="宋体" w:eastAsia="宋体" w:cs="宋体"/>
                <w:color w:val="auto"/>
                <w:sz w:val="24"/>
                <w:szCs w:val="24"/>
                <w:highlight w:val="none"/>
              </w:rPr>
            </w:pPr>
          </w:p>
        </w:tc>
      </w:tr>
    </w:tbl>
    <w:p w14:paraId="6A8B5BE5">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注：1、投标人应据实、详细填写上述表格，因表述含糊导致的评标风险将由投标人承担。</w:t>
      </w:r>
    </w:p>
    <w:p w14:paraId="494327B6">
      <w:pPr>
        <w:spacing w:line="48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0C6233A7">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3、投标人如不能满足本项目的付款方式，将作无效投标处理。</w:t>
      </w:r>
    </w:p>
    <w:bookmarkEnd w:id="293"/>
    <w:bookmarkEnd w:id="294"/>
    <w:bookmarkEnd w:id="295"/>
    <w:bookmarkEnd w:id="296"/>
    <w:bookmarkEnd w:id="297"/>
    <w:p w14:paraId="7D006DA9">
      <w:pPr>
        <w:pStyle w:val="3"/>
        <w:keepNext w:val="0"/>
        <w:pageBreakBefore/>
        <w:rPr>
          <w:rFonts w:hint="eastAsia" w:ascii="宋体" w:hAnsi="宋体" w:eastAsia="宋体" w:cs="宋体"/>
          <w:color w:val="auto"/>
          <w:highlight w:val="none"/>
        </w:rPr>
      </w:pPr>
      <w:bookmarkStart w:id="330" w:name="_Toc4925"/>
      <w:r>
        <w:rPr>
          <w:rFonts w:hint="eastAsia" w:ascii="宋体" w:hAnsi="宋体" w:eastAsia="宋体" w:cs="宋体"/>
          <w:color w:val="auto"/>
          <w:highlight w:val="none"/>
        </w:rPr>
        <w:t>附件1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供应商与其他单位存在直接控股、管理关系情况表</w:t>
      </w:r>
      <w:bookmarkEnd w:id="330"/>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54"/>
        <w:tblW w:w="10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0"/>
        <w:gridCol w:w="1704"/>
        <w:gridCol w:w="1506"/>
        <w:gridCol w:w="1580"/>
        <w:gridCol w:w="1440"/>
        <w:gridCol w:w="1711"/>
        <w:gridCol w:w="1268"/>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6220"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419"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1430"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704"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06"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80"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40"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711"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68"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1430"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704"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506"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80"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40"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711"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68"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54701CC2">
      <w:pPr>
        <w:pStyle w:val="19"/>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0BE4A719">
      <w:pPr>
        <w:pStyle w:val="19"/>
        <w:spacing w:before="35" w:line="440" w:lineRule="exact"/>
        <w:ind w:left="4060" w:right="2166" w:firstLine="358" w:firstLineChars="152"/>
        <w:rPr>
          <w:rFonts w:hint="eastAsia" w:ascii="宋体" w:hAnsi="宋体" w:eastAsia="宋体" w:cs="宋体"/>
          <w:b/>
          <w:bCs/>
          <w:color w:val="auto"/>
          <w:kern w:val="2"/>
          <w:sz w:val="28"/>
          <w:szCs w:val="28"/>
          <w:highlight w:val="none"/>
          <w:lang w:val="en-US" w:eastAsia="zh-CN" w:bidi="ar-SA"/>
        </w:rPr>
        <w:sectPr>
          <w:footerReference r:id="rId13" w:type="first"/>
          <w:footerReference r:id="rId12" w:type="default"/>
          <w:pgSz w:w="11907" w:h="16840"/>
          <w:pgMar w:top="1134" w:right="882" w:bottom="1418" w:left="1365" w:header="567" w:footer="794" w:gutter="0"/>
          <w:pgNumType w:fmt="decimal"/>
          <w:cols w:space="720" w:num="1"/>
          <w:titlePg/>
          <w:docGrid w:type="lines" w:linePitch="305" w:charSpace="0"/>
        </w:sectPr>
      </w:pPr>
      <w:r>
        <w:rPr>
          <w:rFonts w:hint="eastAsia" w:ascii="宋体" w:hAnsi="宋体" w:eastAsia="宋体" w:cs="宋体"/>
          <w:color w:val="auto"/>
          <w:spacing w:val="-2"/>
          <w:sz w:val="24"/>
          <w:szCs w:val="24"/>
          <w:highlight w:val="none"/>
        </w:rPr>
        <w:t>日期：</w:t>
      </w:r>
    </w:p>
    <w:p w14:paraId="2AEEDCCD">
      <w:pPr>
        <w:pStyle w:val="3"/>
        <w:keepNext w:val="0"/>
        <w:pageBreakBefore/>
        <w:rPr>
          <w:rFonts w:hint="eastAsia" w:ascii="宋体" w:hAnsi="宋体" w:eastAsia="宋体" w:cs="宋体"/>
          <w:b/>
          <w:bCs/>
          <w:color w:val="auto"/>
          <w:kern w:val="2"/>
          <w:sz w:val="28"/>
          <w:szCs w:val="28"/>
          <w:highlight w:val="none"/>
          <w:lang w:val="en-US" w:eastAsia="zh-CN" w:bidi="ar-SA"/>
        </w:rPr>
      </w:pPr>
      <w:bookmarkStart w:id="331" w:name="_Toc21394"/>
      <w:r>
        <w:rPr>
          <w:rFonts w:hint="eastAsia" w:ascii="宋体" w:hAnsi="宋体" w:eastAsia="宋体" w:cs="宋体"/>
          <w:b/>
          <w:bCs/>
          <w:color w:val="auto"/>
          <w:kern w:val="2"/>
          <w:sz w:val="28"/>
          <w:szCs w:val="28"/>
          <w:highlight w:val="none"/>
          <w:lang w:val="en-US" w:eastAsia="zh-CN" w:bidi="ar-SA"/>
        </w:rPr>
        <w:t>附件16 季度考核评分表</w:t>
      </w:r>
      <w:bookmarkEnd w:id="331"/>
    </w:p>
    <w:tbl>
      <w:tblPr>
        <w:tblStyle w:val="54"/>
        <w:tblW w:w="14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24"/>
        <w:gridCol w:w="1200"/>
        <w:gridCol w:w="7786"/>
        <w:gridCol w:w="1339"/>
        <w:gridCol w:w="737"/>
        <w:gridCol w:w="925"/>
        <w:gridCol w:w="1200"/>
      </w:tblGrid>
      <w:tr w14:paraId="7D327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4611"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0704">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Style w:val="180"/>
                <w:rFonts w:hint="eastAsia" w:ascii="宋体" w:hAnsi="宋体" w:eastAsia="宋体" w:cs="宋体"/>
                <w:highlight w:val="none"/>
                <w:lang w:val="en-US" w:eastAsia="zh-CN" w:bidi="ar"/>
              </w:rPr>
              <w:t>考核时间：______年______月</w:t>
            </w:r>
            <w:r>
              <w:rPr>
                <w:rStyle w:val="181"/>
                <w:rFonts w:hint="eastAsia" w:ascii="宋体" w:hAnsi="宋体" w:eastAsia="宋体" w:cs="宋体"/>
                <w:highlight w:val="none"/>
                <w:lang w:val="en-US" w:eastAsia="zh-CN" w:bidi="ar"/>
              </w:rPr>
              <w:t xml:space="preserve">       </w:t>
            </w:r>
            <w:r>
              <w:rPr>
                <w:rStyle w:val="180"/>
                <w:rFonts w:hint="eastAsia" w:ascii="宋体" w:hAnsi="宋体" w:eastAsia="宋体" w:cs="宋体"/>
                <w:highlight w:val="none"/>
                <w:lang w:val="en-US" w:eastAsia="zh-CN" w:bidi="ar"/>
              </w:rPr>
              <w:t>日</w:t>
            </w:r>
          </w:p>
        </w:tc>
      </w:tr>
      <w:tr w14:paraId="200BC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4611"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DF34">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 xml:space="preserve">被考核单位： </w:t>
            </w:r>
          </w:p>
        </w:tc>
      </w:tr>
      <w:tr w14:paraId="78BCC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4611"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2CDE">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考核地点：</w:t>
            </w:r>
          </w:p>
        </w:tc>
      </w:tr>
      <w:tr w14:paraId="1EDDA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D2AF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考核季度记录重大安全事故</w:t>
            </w:r>
          </w:p>
        </w:tc>
        <w:tc>
          <w:tcPr>
            <w:tcW w:w="1318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1694E8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 有 □ 无</w:t>
            </w:r>
          </w:p>
        </w:tc>
      </w:tr>
      <w:tr w14:paraId="05BB9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4FD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考核季度收到有效投诉</w:t>
            </w:r>
          </w:p>
        </w:tc>
        <w:tc>
          <w:tcPr>
            <w:tcW w:w="1318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2E28D1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 有 (____次) □ 无</w:t>
            </w:r>
          </w:p>
        </w:tc>
      </w:tr>
      <w:tr w14:paraId="52403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8FF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考核类别</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3A6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考核项目</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D2F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考核内容与评分标准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5D4F">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标准分（100分）</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589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扣分</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58B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实得分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84D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考核记录/说明</w:t>
            </w:r>
          </w:p>
        </w:tc>
      </w:tr>
      <w:tr w14:paraId="16D07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D37D7">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1. 设备运行与维护质量 (45分)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4F2927">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制暖、锅炉及蒸汽系统</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0E9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5台真空低氮锅炉、3台蒸汽发生器、板换等运行平稳，无异常停机。每发生1次人为因素停机扣2分。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C94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07DFC">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99406">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1BFB">
            <w:pPr>
              <w:rPr>
                <w:rFonts w:hint="eastAsia" w:ascii="宋体" w:hAnsi="宋体" w:eastAsia="宋体" w:cs="宋体"/>
                <w:i w:val="0"/>
                <w:iCs w:val="0"/>
                <w:color w:val="000000"/>
                <w:sz w:val="21"/>
                <w:szCs w:val="21"/>
                <w:highlight w:val="none"/>
                <w:u w:val="none"/>
              </w:rPr>
            </w:pPr>
          </w:p>
        </w:tc>
      </w:tr>
      <w:tr w14:paraId="5C8AE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659BA">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5BAEA">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66A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每日运行参数（压力、温度、水位等）记录完整、准确。记录缺失或错误，每次扣0.5分。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35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E48DE">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01D2">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92971">
            <w:pPr>
              <w:rPr>
                <w:rFonts w:hint="eastAsia" w:ascii="宋体" w:hAnsi="宋体" w:eastAsia="宋体" w:cs="宋体"/>
                <w:i w:val="0"/>
                <w:iCs w:val="0"/>
                <w:color w:val="000000"/>
                <w:sz w:val="21"/>
                <w:szCs w:val="21"/>
                <w:highlight w:val="none"/>
                <w:u w:val="none"/>
              </w:rPr>
            </w:pPr>
          </w:p>
        </w:tc>
      </w:tr>
      <w:tr w14:paraId="72CF9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529EE">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E9A9F">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C4F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按计划完成锅炉排污、水质化验等工作，记录可查。未按计划执行，每项扣1分。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A40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D9FF6">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66D5">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FCEF">
            <w:pPr>
              <w:rPr>
                <w:rFonts w:hint="eastAsia" w:ascii="宋体" w:hAnsi="宋体" w:eastAsia="宋体" w:cs="宋体"/>
                <w:i w:val="0"/>
                <w:iCs w:val="0"/>
                <w:color w:val="000000"/>
                <w:sz w:val="21"/>
                <w:szCs w:val="21"/>
                <w:highlight w:val="none"/>
                <w:u w:val="none"/>
              </w:rPr>
            </w:pPr>
          </w:p>
        </w:tc>
      </w:tr>
      <w:tr w14:paraId="4C376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61F2F">
            <w:pPr>
              <w:jc w:val="center"/>
              <w:rPr>
                <w:rFonts w:hint="eastAsia" w:ascii="宋体" w:hAnsi="宋体" w:eastAsia="宋体" w:cs="宋体"/>
                <w:b/>
                <w:bCs/>
                <w:i w:val="0"/>
                <w:iCs w:val="0"/>
                <w:color w:val="000000"/>
                <w:sz w:val="24"/>
                <w:szCs w:val="24"/>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1C713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制冷系统</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A53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3台约克离心机组、2台海尔磁悬浮机组运行正常，制冷效果达标。因运维原因导致温度不达标，每次扣2分。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16A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200F">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05B10">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ADFD">
            <w:pPr>
              <w:rPr>
                <w:rFonts w:hint="eastAsia" w:ascii="宋体" w:hAnsi="宋体" w:eastAsia="宋体" w:cs="宋体"/>
                <w:i w:val="0"/>
                <w:iCs w:val="0"/>
                <w:color w:val="000000"/>
                <w:sz w:val="21"/>
                <w:szCs w:val="21"/>
                <w:highlight w:val="none"/>
                <w:u w:val="none"/>
              </w:rPr>
            </w:pPr>
          </w:p>
        </w:tc>
      </w:tr>
      <w:tr w14:paraId="70BB6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11842">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240AD">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E7A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每日巡查机组运行状态（油压、冷媒、振动等），记录完整。记录缺失或错误，每次扣0.5分。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5C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74CBA">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18D9">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67C9">
            <w:pPr>
              <w:rPr>
                <w:rFonts w:hint="eastAsia" w:ascii="宋体" w:hAnsi="宋体" w:eastAsia="宋体" w:cs="宋体"/>
                <w:i w:val="0"/>
                <w:iCs w:val="0"/>
                <w:color w:val="000000"/>
                <w:sz w:val="21"/>
                <w:szCs w:val="21"/>
                <w:highlight w:val="none"/>
                <w:u w:val="none"/>
              </w:rPr>
            </w:pPr>
          </w:p>
        </w:tc>
      </w:tr>
      <w:tr w14:paraId="4A262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C1126">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36F22">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8A2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按时对冷却水、冷冻水系统进行水质处理与检测。未按时进行，扣2分。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9BE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44E2">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0D5A5">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4C35">
            <w:pPr>
              <w:rPr>
                <w:rFonts w:hint="eastAsia" w:ascii="宋体" w:hAnsi="宋体" w:eastAsia="宋体" w:cs="宋体"/>
                <w:i w:val="0"/>
                <w:iCs w:val="0"/>
                <w:color w:val="000000"/>
                <w:sz w:val="21"/>
                <w:szCs w:val="21"/>
                <w:highlight w:val="none"/>
                <w:u w:val="none"/>
              </w:rPr>
            </w:pPr>
          </w:p>
        </w:tc>
      </w:tr>
      <w:tr w14:paraId="7E44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D4ADE">
            <w:pPr>
              <w:jc w:val="center"/>
              <w:rPr>
                <w:rFonts w:hint="eastAsia" w:ascii="宋体" w:hAnsi="宋体" w:eastAsia="宋体" w:cs="宋体"/>
                <w:b/>
                <w:bCs/>
                <w:i w:val="0"/>
                <w:iCs w:val="0"/>
                <w:color w:val="000000"/>
                <w:sz w:val="24"/>
                <w:szCs w:val="24"/>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F60A8">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热水及生活水系统</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52BC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生活热水系统运行正常，保障供应。因运维人员造成系统故障影响供应的，扣2分。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67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5CC3">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2237B">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052F">
            <w:pPr>
              <w:rPr>
                <w:rFonts w:hint="eastAsia" w:ascii="宋体" w:hAnsi="宋体" w:eastAsia="宋体" w:cs="宋体"/>
                <w:i w:val="0"/>
                <w:iCs w:val="0"/>
                <w:color w:val="000000"/>
                <w:sz w:val="21"/>
                <w:szCs w:val="21"/>
                <w:highlight w:val="none"/>
                <w:u w:val="none"/>
              </w:rPr>
            </w:pPr>
          </w:p>
        </w:tc>
      </w:tr>
      <w:tr w14:paraId="35513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6A03A">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78AFD">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55B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生活水泵、水箱等设施运行正常，无跑冒滴漏，水质安全。发现泄漏未及时处理或上报的，或水质问题，扣2分。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FD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737B9">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EED0">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74A7">
            <w:pPr>
              <w:rPr>
                <w:rFonts w:hint="eastAsia" w:ascii="宋体" w:hAnsi="宋体" w:eastAsia="宋体" w:cs="宋体"/>
                <w:i w:val="0"/>
                <w:iCs w:val="0"/>
                <w:color w:val="000000"/>
                <w:sz w:val="21"/>
                <w:szCs w:val="21"/>
                <w:highlight w:val="none"/>
                <w:u w:val="none"/>
              </w:rPr>
            </w:pPr>
          </w:p>
        </w:tc>
      </w:tr>
      <w:tr w14:paraId="24389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C0844">
            <w:pPr>
              <w:jc w:val="center"/>
              <w:rPr>
                <w:rFonts w:hint="eastAsia" w:ascii="宋体" w:hAnsi="宋体" w:eastAsia="宋体" w:cs="宋体"/>
                <w:b/>
                <w:bCs/>
                <w:i w:val="0"/>
                <w:iCs w:val="0"/>
                <w:color w:val="000000"/>
                <w:sz w:val="24"/>
                <w:szCs w:val="24"/>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7F9C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日常巡检与记录</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2B04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按规定路线、频次进行巡检，巡检记录真实、清晰、完整。伪造记录，本项0分；记录不全，每次扣1分。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B5E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3181">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8027">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4E72">
            <w:pPr>
              <w:rPr>
                <w:rFonts w:hint="eastAsia" w:ascii="宋体" w:hAnsi="宋体" w:eastAsia="宋体" w:cs="宋体"/>
                <w:i w:val="0"/>
                <w:iCs w:val="0"/>
                <w:color w:val="000000"/>
                <w:sz w:val="21"/>
                <w:szCs w:val="21"/>
                <w:highlight w:val="none"/>
                <w:u w:val="none"/>
              </w:rPr>
            </w:pPr>
          </w:p>
        </w:tc>
      </w:tr>
      <w:tr w14:paraId="10340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260A4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2. 安全与规范操作 (25分)</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02E96">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安全操作规程</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0501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严格执行设备启停、检修、动火、有限空间等安全操作规程。发现违规操作，每次扣3分。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81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6EB6">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D15A">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AD8F">
            <w:pPr>
              <w:rPr>
                <w:rFonts w:hint="eastAsia" w:ascii="宋体" w:hAnsi="宋体" w:eastAsia="宋体" w:cs="宋体"/>
                <w:i w:val="0"/>
                <w:iCs w:val="0"/>
                <w:color w:val="000000"/>
                <w:sz w:val="21"/>
                <w:szCs w:val="21"/>
                <w:highlight w:val="none"/>
                <w:u w:val="none"/>
              </w:rPr>
            </w:pPr>
          </w:p>
        </w:tc>
      </w:tr>
      <w:tr w14:paraId="135FA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C0E80">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5B442">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BBA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特种作业人员持证上岗，操作时正确佩戴劳动防护用品。未持证或未佩戴，每人次扣2分。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81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0ADC4">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FB122">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DC85">
            <w:pPr>
              <w:rPr>
                <w:rFonts w:hint="eastAsia" w:ascii="宋体" w:hAnsi="宋体" w:eastAsia="宋体" w:cs="宋体"/>
                <w:i w:val="0"/>
                <w:iCs w:val="0"/>
                <w:color w:val="000000"/>
                <w:sz w:val="21"/>
                <w:szCs w:val="21"/>
                <w:highlight w:val="none"/>
                <w:u w:val="none"/>
              </w:rPr>
            </w:pPr>
          </w:p>
        </w:tc>
      </w:tr>
      <w:tr w14:paraId="6F838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ED756">
            <w:pPr>
              <w:jc w:val="center"/>
              <w:rPr>
                <w:rFonts w:hint="eastAsia" w:ascii="宋体" w:hAnsi="宋体" w:eastAsia="宋体" w:cs="宋体"/>
                <w:b/>
                <w:bCs/>
                <w:i w:val="0"/>
                <w:iCs w:val="0"/>
                <w:color w:val="000000"/>
                <w:sz w:val="24"/>
                <w:szCs w:val="24"/>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D5F1F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安全设施与环境</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A8D8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能源站内消防设施完好、有效，安全通道畅通。设施失效或通道堵塞，扣2分。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66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0DAD">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5D499">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F15D">
            <w:pPr>
              <w:rPr>
                <w:rFonts w:hint="eastAsia" w:ascii="宋体" w:hAnsi="宋体" w:eastAsia="宋体" w:cs="宋体"/>
                <w:i w:val="0"/>
                <w:iCs w:val="0"/>
                <w:color w:val="000000"/>
                <w:sz w:val="21"/>
                <w:szCs w:val="21"/>
                <w:highlight w:val="none"/>
                <w:u w:val="none"/>
              </w:rPr>
            </w:pPr>
          </w:p>
        </w:tc>
      </w:tr>
      <w:tr w14:paraId="0ECF5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B50A9">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B375B">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78DC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工作现场整洁，工具、备件定置管理，无杂物。现场脏乱差，扣2分。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FE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59D5">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3E80C">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E8C65">
            <w:pPr>
              <w:rPr>
                <w:rFonts w:hint="eastAsia" w:ascii="宋体" w:hAnsi="宋体" w:eastAsia="宋体" w:cs="宋体"/>
                <w:i w:val="0"/>
                <w:iCs w:val="0"/>
                <w:color w:val="000000"/>
                <w:sz w:val="21"/>
                <w:szCs w:val="21"/>
                <w:highlight w:val="none"/>
                <w:u w:val="none"/>
              </w:rPr>
            </w:pPr>
          </w:p>
        </w:tc>
      </w:tr>
      <w:tr w14:paraId="33809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CD55E">
            <w:pPr>
              <w:jc w:val="center"/>
              <w:rPr>
                <w:rFonts w:hint="eastAsia" w:ascii="宋体" w:hAnsi="宋体" w:eastAsia="宋体" w:cs="宋体"/>
                <w:b/>
                <w:bCs/>
                <w:i w:val="0"/>
                <w:iCs w:val="0"/>
                <w:color w:val="000000"/>
                <w:sz w:val="24"/>
                <w:szCs w:val="24"/>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F077">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应急预案</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C159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熟悉应急预案流程，能迅速、正确处理突发故障（如停水、停电、设备故障）。反应迟缓或处理不当，扣2分。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847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70EC">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CCBF">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57DA">
            <w:pPr>
              <w:rPr>
                <w:rFonts w:hint="eastAsia" w:ascii="宋体" w:hAnsi="宋体" w:eastAsia="宋体" w:cs="宋体"/>
                <w:i w:val="0"/>
                <w:iCs w:val="0"/>
                <w:color w:val="000000"/>
                <w:sz w:val="21"/>
                <w:szCs w:val="21"/>
                <w:highlight w:val="none"/>
                <w:u w:val="none"/>
              </w:rPr>
            </w:pPr>
          </w:p>
        </w:tc>
      </w:tr>
      <w:tr w14:paraId="2E822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EEE93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3. 规章制度遵守与服务质量 (20分)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488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值班纪律</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4EF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严格履行24小时值班制，无脱岗、睡岗、擅离职守现象。发现一次，扣3分。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2F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52E2D">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ECA7">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040E">
            <w:pPr>
              <w:rPr>
                <w:rFonts w:hint="eastAsia" w:ascii="宋体" w:hAnsi="宋体" w:eastAsia="宋体" w:cs="宋体"/>
                <w:i w:val="0"/>
                <w:iCs w:val="0"/>
                <w:color w:val="000000"/>
                <w:sz w:val="21"/>
                <w:szCs w:val="21"/>
                <w:highlight w:val="none"/>
                <w:u w:val="none"/>
              </w:rPr>
            </w:pPr>
          </w:p>
        </w:tc>
      </w:tr>
      <w:tr w14:paraId="1DF04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74CE7">
            <w:pPr>
              <w:jc w:val="center"/>
              <w:rPr>
                <w:rFonts w:hint="eastAsia" w:ascii="宋体" w:hAnsi="宋体" w:eastAsia="宋体" w:cs="宋体"/>
                <w:b/>
                <w:bCs/>
                <w:i w:val="0"/>
                <w:iCs w:val="0"/>
                <w:color w:val="000000"/>
                <w:sz w:val="24"/>
                <w:szCs w:val="24"/>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FC540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服务响应</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C67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接到报修或调度指令后，响应及时（规定时间内到达现场）。每延迟一次扣1分。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61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A467">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7D13">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BFC3">
            <w:pPr>
              <w:rPr>
                <w:rFonts w:hint="eastAsia" w:ascii="宋体" w:hAnsi="宋体" w:eastAsia="宋体" w:cs="宋体"/>
                <w:i w:val="0"/>
                <w:iCs w:val="0"/>
                <w:color w:val="000000"/>
                <w:sz w:val="21"/>
                <w:szCs w:val="21"/>
                <w:highlight w:val="none"/>
                <w:u w:val="none"/>
              </w:rPr>
            </w:pPr>
          </w:p>
        </w:tc>
      </w:tr>
      <w:tr w14:paraId="50E19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EECE8">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CA2DA">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E5E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维修工作完成后，及时向主管部门反馈并完整填写维修单。未及时反馈，每次扣1分。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9C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1E0B">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F1E4">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E78C">
            <w:pPr>
              <w:rPr>
                <w:rFonts w:hint="eastAsia" w:ascii="宋体" w:hAnsi="宋体" w:eastAsia="宋体" w:cs="宋体"/>
                <w:i w:val="0"/>
                <w:iCs w:val="0"/>
                <w:color w:val="000000"/>
                <w:sz w:val="21"/>
                <w:szCs w:val="21"/>
                <w:highlight w:val="none"/>
                <w:u w:val="none"/>
              </w:rPr>
            </w:pPr>
          </w:p>
        </w:tc>
      </w:tr>
      <w:tr w14:paraId="17686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50FC5">
            <w:pPr>
              <w:jc w:val="center"/>
              <w:rPr>
                <w:rFonts w:hint="eastAsia" w:ascii="宋体" w:hAnsi="宋体" w:eastAsia="宋体" w:cs="宋体"/>
                <w:b/>
                <w:bCs/>
                <w:i w:val="0"/>
                <w:iCs w:val="0"/>
                <w:color w:val="000000"/>
                <w:sz w:val="24"/>
                <w:szCs w:val="24"/>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4FD9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沟通与协作</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EE41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服务态度良好，与医院各部门沟通顺畅。发生有效服务投诉，每次扣2分。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8F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CA45">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A29DE">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9DA4">
            <w:pPr>
              <w:rPr>
                <w:rFonts w:hint="eastAsia" w:ascii="宋体" w:hAnsi="宋体" w:eastAsia="宋体" w:cs="宋体"/>
                <w:i w:val="0"/>
                <w:iCs w:val="0"/>
                <w:color w:val="000000"/>
                <w:sz w:val="21"/>
                <w:szCs w:val="21"/>
                <w:highlight w:val="none"/>
                <w:u w:val="none"/>
              </w:rPr>
            </w:pPr>
          </w:p>
        </w:tc>
      </w:tr>
      <w:tr w14:paraId="775E5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65A0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4. 文档管理与节能增效 (10分)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CF3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技术文档</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0C0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设备台账、维护保养记录、运行日志等资料齐全、归档整齐。缺失或混乱，扣2分。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B1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38B6">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43AE">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70000">
            <w:pPr>
              <w:rPr>
                <w:rFonts w:hint="eastAsia" w:ascii="宋体" w:hAnsi="宋体" w:eastAsia="宋体" w:cs="宋体"/>
                <w:i w:val="0"/>
                <w:iCs w:val="0"/>
                <w:color w:val="000000"/>
                <w:sz w:val="21"/>
                <w:szCs w:val="21"/>
                <w:highlight w:val="none"/>
                <w:u w:val="none"/>
              </w:rPr>
            </w:pPr>
          </w:p>
        </w:tc>
      </w:tr>
      <w:tr w14:paraId="0493E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F3911">
            <w:pPr>
              <w:jc w:val="center"/>
              <w:rPr>
                <w:rFonts w:hint="eastAsia" w:ascii="宋体" w:hAnsi="宋体" w:eastAsia="宋体" w:cs="宋体"/>
                <w:b/>
                <w:bCs/>
                <w:i w:val="0"/>
                <w:iCs w:val="0"/>
                <w:color w:val="000000"/>
                <w:sz w:val="24"/>
                <w:szCs w:val="24"/>
                <w:highlight w:val="none"/>
                <w:u w:val="none"/>
              </w:rPr>
            </w:p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A567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节能与建议</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AA75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关注能源消耗，运行参数设置合理。设置不合理造成影响，扣2分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47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0F2C0">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7F6F">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67D2">
            <w:pPr>
              <w:rPr>
                <w:rFonts w:hint="eastAsia" w:ascii="宋体" w:hAnsi="宋体" w:eastAsia="宋体" w:cs="宋体"/>
                <w:i w:val="0"/>
                <w:iCs w:val="0"/>
                <w:color w:val="000000"/>
                <w:sz w:val="21"/>
                <w:szCs w:val="21"/>
                <w:highlight w:val="none"/>
                <w:u w:val="none"/>
              </w:rPr>
            </w:pPr>
          </w:p>
        </w:tc>
      </w:tr>
      <w:tr w14:paraId="62313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9FD8B">
            <w:pPr>
              <w:jc w:val="center"/>
              <w:rPr>
                <w:rFonts w:hint="eastAsia" w:ascii="宋体" w:hAnsi="宋体" w:eastAsia="宋体" w:cs="宋体"/>
                <w:b/>
                <w:bCs/>
                <w:i w:val="0"/>
                <w:iCs w:val="0"/>
                <w:color w:val="000000"/>
                <w:sz w:val="24"/>
                <w:szCs w:val="24"/>
                <w:highlight w:val="none"/>
                <w:u w:val="none"/>
              </w:rPr>
            </w:p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DC40D">
            <w:pPr>
              <w:jc w:val="center"/>
              <w:rPr>
                <w:rFonts w:hint="eastAsia" w:ascii="宋体" w:hAnsi="宋体" w:eastAsia="宋体" w:cs="宋体"/>
                <w:b/>
                <w:bCs/>
                <w:i w:val="0"/>
                <w:iCs w:val="0"/>
                <w:color w:val="000000"/>
                <w:sz w:val="24"/>
                <w:szCs w:val="24"/>
                <w:highlight w:val="none"/>
                <w:u w:val="none"/>
              </w:rPr>
            </w:pP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4C2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能源站及各机房无长明灯、长流水等浪费现象。发现浪费行为，扣1分。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CC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3B9F">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FEFD">
            <w:pPr>
              <w:rPr>
                <w:rFonts w:hint="eastAsia" w:ascii="宋体" w:hAnsi="宋体" w:eastAsia="宋体" w:cs="宋体"/>
                <w:i w:val="0"/>
                <w:iCs w:val="0"/>
                <w:color w:val="000000"/>
                <w:sz w:val="21"/>
                <w:szCs w:val="21"/>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F9E7">
            <w:pPr>
              <w:rPr>
                <w:rFonts w:hint="eastAsia" w:ascii="宋体" w:hAnsi="宋体" w:eastAsia="宋体" w:cs="宋体"/>
                <w:i w:val="0"/>
                <w:iCs w:val="0"/>
                <w:color w:val="000000"/>
                <w:sz w:val="21"/>
                <w:szCs w:val="21"/>
                <w:highlight w:val="none"/>
                <w:u w:val="none"/>
              </w:rPr>
            </w:pPr>
          </w:p>
        </w:tc>
      </w:tr>
      <w:tr w14:paraId="0B96B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8F9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类型</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17B8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项目</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3BA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加减分标准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214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9731E">
            <w:pPr>
              <w:jc w:val="center"/>
              <w:rPr>
                <w:rFonts w:hint="eastAsia" w:ascii="宋体" w:hAnsi="宋体" w:eastAsia="宋体" w:cs="宋体"/>
                <w:b/>
                <w:bCs/>
                <w:i w:val="0"/>
                <w:iCs w:val="0"/>
                <w:color w:val="000000"/>
                <w:sz w:val="22"/>
                <w:szCs w:val="22"/>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C5D18">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02B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说明</w:t>
            </w:r>
          </w:p>
        </w:tc>
      </w:tr>
      <w:tr w14:paraId="461B0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C1F2A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加分项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DA119">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重大隐患排除</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EC19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通过主动巡查发现并排除重大设备或安全隐患，避免了可能发生的事故。</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5AE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2到5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E5F4">
            <w:pPr>
              <w:rPr>
                <w:rFonts w:hint="eastAsia" w:ascii="宋体" w:hAnsi="宋体" w:eastAsia="宋体" w:cs="宋体"/>
                <w:i w:val="0"/>
                <w:iCs w:val="0"/>
                <w:color w:val="000000"/>
                <w:sz w:val="22"/>
                <w:szCs w:val="22"/>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E0C58">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383D">
            <w:pPr>
              <w:rPr>
                <w:rFonts w:hint="eastAsia" w:ascii="宋体" w:hAnsi="宋体" w:eastAsia="宋体" w:cs="宋体"/>
                <w:i w:val="0"/>
                <w:iCs w:val="0"/>
                <w:color w:val="000000"/>
                <w:sz w:val="22"/>
                <w:szCs w:val="22"/>
                <w:highlight w:val="none"/>
                <w:u w:val="none"/>
              </w:rPr>
            </w:pPr>
          </w:p>
        </w:tc>
      </w:tr>
      <w:tr w14:paraId="6BA5C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9D618">
            <w:pPr>
              <w:jc w:val="center"/>
              <w:rPr>
                <w:rFonts w:hint="eastAsia" w:ascii="宋体" w:hAnsi="宋体" w:eastAsia="宋体" w:cs="宋体"/>
                <w:b/>
                <w:bCs/>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40003">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技术创新/优化</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A47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提出并实施有效的技术改进或管理优化建议，提升了系统可靠性或工作效率；或能提出并被采纳有效节能或优化建议，加2分（额外奖励）。</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6B2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2到4</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9C33">
            <w:pPr>
              <w:rPr>
                <w:rFonts w:hint="eastAsia" w:ascii="宋体" w:hAnsi="宋体" w:eastAsia="宋体" w:cs="宋体"/>
                <w:i w:val="0"/>
                <w:iCs w:val="0"/>
                <w:color w:val="000000"/>
                <w:sz w:val="22"/>
                <w:szCs w:val="22"/>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9F1BF">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BAB2">
            <w:pPr>
              <w:rPr>
                <w:rFonts w:hint="eastAsia" w:ascii="宋体" w:hAnsi="宋体" w:eastAsia="宋体" w:cs="宋体"/>
                <w:i w:val="0"/>
                <w:iCs w:val="0"/>
                <w:color w:val="000000"/>
                <w:sz w:val="22"/>
                <w:szCs w:val="22"/>
                <w:highlight w:val="none"/>
                <w:u w:val="none"/>
              </w:rPr>
            </w:pPr>
          </w:p>
        </w:tc>
      </w:tr>
      <w:tr w14:paraId="584D0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76722">
            <w:pPr>
              <w:jc w:val="center"/>
              <w:rPr>
                <w:rFonts w:hint="eastAsia" w:ascii="宋体" w:hAnsi="宋体" w:eastAsia="宋体" w:cs="宋体"/>
                <w:b/>
                <w:bCs/>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8964">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获得表扬</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592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收到科室或患者的书面表扬信/锦旗等。</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DAD2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1到2</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FAD7">
            <w:pPr>
              <w:rPr>
                <w:rFonts w:hint="eastAsia" w:ascii="宋体" w:hAnsi="宋体" w:eastAsia="宋体" w:cs="宋体"/>
                <w:i w:val="0"/>
                <w:iCs w:val="0"/>
                <w:color w:val="000000"/>
                <w:sz w:val="22"/>
                <w:szCs w:val="22"/>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FEBA">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59B1">
            <w:pPr>
              <w:rPr>
                <w:rFonts w:hint="eastAsia" w:ascii="宋体" w:hAnsi="宋体" w:eastAsia="宋体" w:cs="宋体"/>
                <w:i w:val="0"/>
                <w:iCs w:val="0"/>
                <w:color w:val="000000"/>
                <w:sz w:val="22"/>
                <w:szCs w:val="22"/>
                <w:highlight w:val="none"/>
                <w:u w:val="none"/>
              </w:rPr>
            </w:pPr>
          </w:p>
        </w:tc>
      </w:tr>
      <w:tr w14:paraId="5571A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3C62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减分项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11654">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严重违规</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FBA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因自身责任造成的短时停电或设备损坏事件（非重大事故）。</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D57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扣5-10</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9BBC">
            <w:pPr>
              <w:rPr>
                <w:rFonts w:hint="eastAsia" w:ascii="宋体" w:hAnsi="宋体" w:eastAsia="宋体" w:cs="宋体"/>
                <w:i w:val="0"/>
                <w:iCs w:val="0"/>
                <w:color w:val="000000"/>
                <w:sz w:val="22"/>
                <w:szCs w:val="22"/>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E0901">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CC7B">
            <w:pPr>
              <w:rPr>
                <w:rFonts w:hint="eastAsia" w:ascii="宋体" w:hAnsi="宋体" w:eastAsia="宋体" w:cs="宋体"/>
                <w:i w:val="0"/>
                <w:iCs w:val="0"/>
                <w:color w:val="000000"/>
                <w:sz w:val="22"/>
                <w:szCs w:val="22"/>
                <w:highlight w:val="none"/>
                <w:u w:val="none"/>
              </w:rPr>
            </w:pPr>
          </w:p>
        </w:tc>
      </w:tr>
      <w:tr w14:paraId="27E4F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EBACB">
            <w:pPr>
              <w:jc w:val="center"/>
              <w:rPr>
                <w:rFonts w:hint="eastAsia" w:ascii="宋体" w:hAnsi="宋体" w:eastAsia="宋体" w:cs="宋体"/>
                <w:b/>
                <w:bCs/>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9488">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瞒报虚报</w:t>
            </w:r>
          </w:p>
        </w:tc>
        <w:tc>
          <w:tcPr>
            <w:tcW w:w="7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828C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隐瞒故障、虚报维修工时或材料。</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5F1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扣5</w:t>
            </w: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2F3A9">
            <w:pPr>
              <w:rPr>
                <w:rFonts w:hint="eastAsia" w:ascii="宋体" w:hAnsi="宋体" w:eastAsia="宋体" w:cs="宋体"/>
                <w:i w:val="0"/>
                <w:iCs w:val="0"/>
                <w:color w:val="000000"/>
                <w:sz w:val="22"/>
                <w:szCs w:val="22"/>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509FE">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E43A">
            <w:pPr>
              <w:rPr>
                <w:rFonts w:hint="eastAsia" w:ascii="宋体" w:hAnsi="宋体" w:eastAsia="宋体" w:cs="宋体"/>
                <w:i w:val="0"/>
                <w:iCs w:val="0"/>
                <w:color w:val="000000"/>
                <w:sz w:val="22"/>
                <w:szCs w:val="22"/>
                <w:highlight w:val="none"/>
                <w:u w:val="none"/>
              </w:rPr>
            </w:pPr>
          </w:p>
        </w:tc>
      </w:tr>
      <w:tr w14:paraId="3B999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04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8D5FEE">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 xml:space="preserve">    最终得分</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FF4F4">
            <w:pPr>
              <w:jc w:val="center"/>
              <w:rPr>
                <w:rFonts w:hint="eastAsia" w:ascii="宋体" w:hAnsi="宋体" w:eastAsia="宋体" w:cs="宋体"/>
                <w:i w:val="0"/>
                <w:iCs w:val="0"/>
                <w:color w:val="000000"/>
                <w:sz w:val="21"/>
                <w:szCs w:val="21"/>
                <w:highlight w:val="none"/>
                <w:u w:val="none"/>
              </w:rPr>
            </w:pPr>
          </w:p>
        </w:tc>
        <w:tc>
          <w:tcPr>
            <w:tcW w:w="7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3842">
            <w:pPr>
              <w:rPr>
                <w:rFonts w:hint="eastAsia" w:ascii="宋体" w:hAnsi="宋体" w:eastAsia="宋体" w:cs="宋体"/>
                <w:i w:val="0"/>
                <w:iCs w:val="0"/>
                <w:color w:val="000000"/>
                <w:sz w:val="21"/>
                <w:szCs w:val="21"/>
                <w:highlight w:val="none"/>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33D1">
            <w:pPr>
              <w:rPr>
                <w:rFonts w:hint="eastAsia" w:ascii="宋体" w:hAnsi="宋体" w:eastAsia="宋体" w:cs="宋体"/>
                <w:i w:val="0"/>
                <w:iCs w:val="0"/>
                <w:color w:val="000000"/>
                <w:sz w:val="22"/>
                <w:szCs w:val="22"/>
                <w:highlight w:val="none"/>
                <w:u w:val="none"/>
              </w:rPr>
            </w:p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C43E5">
            <w:pPr>
              <w:rPr>
                <w:rFonts w:hint="eastAsia" w:ascii="宋体" w:hAnsi="宋体" w:eastAsia="宋体" w:cs="宋体"/>
                <w:i w:val="0"/>
                <w:iCs w:val="0"/>
                <w:color w:val="000000"/>
                <w:sz w:val="22"/>
                <w:szCs w:val="22"/>
                <w:highlight w:val="none"/>
                <w:u w:val="none"/>
              </w:rPr>
            </w:pPr>
          </w:p>
        </w:tc>
      </w:tr>
      <w:tr w14:paraId="52F8A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ED23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考核等级</w:t>
            </w:r>
          </w:p>
        </w:tc>
        <w:tc>
          <w:tcPr>
            <w:tcW w:w="1318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62F31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优秀 95（含）以上 ☐ 良好 90-94分 ☐ 合格 80-89分 ☐ 不合格80分以下</w:t>
            </w:r>
          </w:p>
        </w:tc>
      </w:tr>
      <w:tr w14:paraId="2221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611" w:type="dxa"/>
            <w:gridSpan w:val="7"/>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45A23E2B">
            <w:pPr>
              <w:keepNext w:val="0"/>
              <w:keepLines w:val="0"/>
              <w:widowControl/>
              <w:suppressLineNumbers w:val="0"/>
              <w:jc w:val="left"/>
              <w:textAlignment w:val="top"/>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考核季度主要问题及改进措施与建议：</w:t>
            </w:r>
          </w:p>
        </w:tc>
      </w:tr>
      <w:tr w14:paraId="44788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5" w:hRule="atLeast"/>
        </w:trPr>
        <w:tc>
          <w:tcPr>
            <w:tcW w:w="14611"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8CAE7A8">
            <w:pPr>
              <w:jc w:val="left"/>
              <w:rPr>
                <w:rFonts w:hint="eastAsia" w:ascii="宋体" w:hAnsi="宋体" w:eastAsia="宋体" w:cs="宋体"/>
                <w:b/>
                <w:bCs/>
                <w:i w:val="0"/>
                <w:iCs w:val="0"/>
                <w:color w:val="000000"/>
                <w:sz w:val="24"/>
                <w:szCs w:val="24"/>
                <w:highlight w:val="none"/>
                <w:u w:val="none"/>
              </w:rPr>
            </w:pPr>
          </w:p>
        </w:tc>
      </w:tr>
      <w:tr w14:paraId="1D0CE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0410" w:type="dxa"/>
            <w:gridSpan w:val="3"/>
            <w:tcBorders>
              <w:top w:val="single" w:color="000000" w:sz="4" w:space="0"/>
              <w:left w:val="nil"/>
              <w:bottom w:val="nil"/>
              <w:right w:val="nil"/>
            </w:tcBorders>
            <w:shd w:val="clear" w:color="auto" w:fill="auto"/>
            <w:vAlign w:val="center"/>
          </w:tcPr>
          <w:p w14:paraId="50331A1D">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后勤处科室负责人</w:t>
            </w:r>
          </w:p>
        </w:tc>
        <w:tc>
          <w:tcPr>
            <w:tcW w:w="4201" w:type="dxa"/>
            <w:gridSpan w:val="4"/>
            <w:tcBorders>
              <w:top w:val="nil"/>
              <w:left w:val="nil"/>
              <w:bottom w:val="nil"/>
              <w:right w:val="nil"/>
            </w:tcBorders>
            <w:shd w:val="clear" w:color="auto" w:fill="auto"/>
            <w:vAlign w:val="center"/>
          </w:tcPr>
          <w:p w14:paraId="2020EA61">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被考核单位负责人：</w:t>
            </w:r>
          </w:p>
        </w:tc>
      </w:tr>
      <w:tr w14:paraId="2B470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4611" w:type="dxa"/>
            <w:gridSpan w:val="7"/>
            <w:tcBorders>
              <w:top w:val="nil"/>
              <w:left w:val="nil"/>
              <w:bottom w:val="nil"/>
              <w:right w:val="nil"/>
            </w:tcBorders>
            <w:shd w:val="clear" w:color="auto" w:fill="auto"/>
            <w:noWrap/>
            <w:vAlign w:val="center"/>
          </w:tcPr>
          <w:p w14:paraId="44E8F7EA">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14:paraId="52B7D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4611" w:type="dxa"/>
            <w:gridSpan w:val="7"/>
            <w:tcBorders>
              <w:top w:val="nil"/>
              <w:left w:val="nil"/>
              <w:bottom w:val="nil"/>
              <w:right w:val="nil"/>
            </w:tcBorders>
            <w:shd w:val="clear" w:color="auto" w:fill="auto"/>
            <w:vAlign w:val="center"/>
          </w:tcPr>
          <w:p w14:paraId="0195BE1C">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Style w:val="180"/>
                <w:rFonts w:hint="eastAsia" w:ascii="宋体" w:hAnsi="宋体" w:eastAsia="宋体" w:cs="宋体"/>
                <w:highlight w:val="none"/>
                <w:lang w:val="en-US" w:eastAsia="zh-CN" w:bidi="ar"/>
              </w:rPr>
              <w:t>1. 评分：</w:t>
            </w:r>
            <w:r>
              <w:rPr>
                <w:rStyle w:val="184"/>
                <w:rFonts w:hint="eastAsia" w:ascii="宋体" w:hAnsi="宋体" w:eastAsia="宋体" w:cs="宋体"/>
                <w:highlight w:val="none"/>
                <w:lang w:val="en-US" w:eastAsia="zh-CN" w:bidi="ar"/>
              </w:rPr>
              <w:t xml:space="preserve"> 考核人员根据日常巡查、记录检查、科室反馈及突发事件处理情况，依据评分标准进行扣分或加分，并填写“考核记录/说明”。</w:t>
            </w:r>
          </w:p>
        </w:tc>
      </w:tr>
      <w:tr w14:paraId="6ECAC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14611" w:type="dxa"/>
            <w:gridSpan w:val="7"/>
            <w:tcBorders>
              <w:top w:val="nil"/>
              <w:left w:val="nil"/>
              <w:bottom w:val="nil"/>
              <w:right w:val="nil"/>
            </w:tcBorders>
            <w:shd w:val="clear" w:color="auto" w:fill="auto"/>
            <w:vAlign w:val="center"/>
          </w:tcPr>
          <w:p w14:paraId="5DE2949D">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Style w:val="180"/>
                <w:rFonts w:hint="eastAsia" w:ascii="宋体" w:hAnsi="宋体" w:eastAsia="宋体" w:cs="宋体"/>
                <w:highlight w:val="none"/>
                <w:lang w:val="en-US" w:eastAsia="zh-CN" w:bidi="ar"/>
              </w:rPr>
              <w:t>2. 考核记录/说明：</w:t>
            </w:r>
            <w:r>
              <w:rPr>
                <w:rStyle w:val="184"/>
                <w:rFonts w:hint="eastAsia" w:ascii="宋体" w:hAnsi="宋体" w:eastAsia="宋体" w:cs="宋体"/>
                <w:highlight w:val="none"/>
                <w:lang w:val="en-US" w:eastAsia="zh-CN" w:bidi="ar"/>
              </w:rPr>
              <w:t xml:space="preserve"> 请简要记录扣分或加分的具体事件、时间、设备编号等，做到有据可查。</w:t>
            </w:r>
          </w:p>
        </w:tc>
      </w:tr>
      <w:tr w14:paraId="39D8E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14611" w:type="dxa"/>
            <w:gridSpan w:val="7"/>
            <w:tcBorders>
              <w:top w:val="nil"/>
              <w:left w:val="nil"/>
              <w:bottom w:val="nil"/>
              <w:right w:val="nil"/>
            </w:tcBorders>
            <w:shd w:val="clear" w:color="auto" w:fill="auto"/>
            <w:vAlign w:val="center"/>
          </w:tcPr>
          <w:p w14:paraId="22BE7328">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Style w:val="180"/>
                <w:rFonts w:hint="eastAsia" w:ascii="宋体" w:hAnsi="宋体" w:eastAsia="宋体" w:cs="宋体"/>
                <w:highlight w:val="none"/>
                <w:lang w:val="en-US" w:eastAsia="zh-CN" w:bidi="ar"/>
              </w:rPr>
              <w:t>3. 沟通确认：</w:t>
            </w:r>
            <w:r>
              <w:rPr>
                <w:rStyle w:val="184"/>
                <w:rFonts w:hint="eastAsia" w:ascii="宋体" w:hAnsi="宋体" w:eastAsia="宋体" w:cs="宋体"/>
                <w:highlight w:val="none"/>
                <w:lang w:val="en-US" w:eastAsia="zh-CN" w:bidi="ar"/>
              </w:rPr>
              <w:t xml:space="preserve"> 考核完成后，应与中标人现场负责人进行沟通，双方确认考核结果并签字。</w:t>
            </w:r>
          </w:p>
        </w:tc>
      </w:tr>
      <w:tr w14:paraId="73B5A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4611" w:type="dxa"/>
            <w:gridSpan w:val="7"/>
            <w:tcBorders>
              <w:top w:val="nil"/>
              <w:left w:val="nil"/>
              <w:bottom w:val="nil"/>
              <w:right w:val="nil"/>
            </w:tcBorders>
            <w:shd w:val="clear" w:color="auto" w:fill="auto"/>
            <w:vAlign w:val="center"/>
          </w:tcPr>
          <w:p w14:paraId="155C9EAB">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Style w:val="180"/>
                <w:rFonts w:hint="eastAsia" w:ascii="宋体" w:hAnsi="宋体" w:eastAsia="宋体" w:cs="宋体"/>
                <w:highlight w:val="none"/>
                <w:lang w:val="en-US" w:eastAsia="zh-CN" w:bidi="ar"/>
              </w:rPr>
              <w:t>4. 结果应用：</w:t>
            </w:r>
            <w:r>
              <w:rPr>
                <w:rStyle w:val="184"/>
                <w:rFonts w:hint="eastAsia" w:ascii="宋体" w:hAnsi="宋体" w:eastAsia="宋体" w:cs="宋体"/>
                <w:highlight w:val="none"/>
                <w:lang w:val="en-US" w:eastAsia="zh-CN" w:bidi="ar"/>
              </w:rPr>
              <w:t xml:space="preserve"> 考核结果可作为服务费用支付、合同续签及评价其服务质量重要依据。对于“不合格”的评价，应要求对方提交书面整改报告。</w:t>
            </w:r>
          </w:p>
        </w:tc>
      </w:tr>
    </w:tbl>
    <w:p w14:paraId="09F692FB">
      <w:pPr>
        <w:spacing w:line="440" w:lineRule="exact"/>
        <w:rPr>
          <w:rFonts w:hint="eastAsia" w:ascii="宋体" w:hAnsi="宋体" w:eastAsia="宋体" w:cs="宋体"/>
          <w:bCs/>
          <w:color w:val="auto"/>
          <w:sz w:val="24"/>
          <w:szCs w:val="24"/>
          <w:highlight w:val="none"/>
        </w:rPr>
        <w:sectPr>
          <w:pgSz w:w="16840" w:h="11907" w:orient="landscape"/>
          <w:pgMar w:top="1365" w:right="1134" w:bottom="882" w:left="1418" w:header="567" w:footer="794" w:gutter="0"/>
          <w:pgNumType w:fmt="decimal"/>
          <w:cols w:space="720" w:num="1"/>
          <w:titlePg/>
          <w:docGrid w:type="lines" w:linePitch="305" w:charSpace="0"/>
        </w:sectPr>
      </w:pPr>
    </w:p>
    <w:p w14:paraId="309E9C62">
      <w:pPr>
        <w:spacing w:line="440" w:lineRule="exact"/>
        <w:ind w:firstLine="562"/>
        <w:jc w:val="center"/>
        <w:outlineLvl w:val="1"/>
        <w:rPr>
          <w:rFonts w:hint="eastAsia" w:ascii="宋体" w:hAnsi="宋体" w:eastAsia="宋体" w:cs="宋体"/>
          <w:b/>
          <w:bCs/>
          <w:color w:val="auto"/>
          <w:sz w:val="28"/>
          <w:szCs w:val="28"/>
          <w:highlight w:val="none"/>
        </w:rPr>
      </w:pPr>
      <w:bookmarkStart w:id="332" w:name="_Toc15371"/>
      <w:bookmarkStart w:id="333" w:name="_Toc11664"/>
      <w:bookmarkStart w:id="334" w:name="_Toc28615"/>
      <w:r>
        <w:rPr>
          <w:rFonts w:hint="eastAsia" w:ascii="宋体" w:hAnsi="宋体" w:eastAsia="宋体" w:cs="宋体"/>
          <w:b/>
          <w:bCs/>
          <w:color w:val="auto"/>
          <w:sz w:val="28"/>
          <w:szCs w:val="28"/>
          <w:highlight w:val="none"/>
        </w:rPr>
        <w:t>附件1</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关于符合本国产品标准的声明函</w:t>
      </w:r>
      <w:bookmarkEnd w:id="332"/>
      <w:bookmarkEnd w:id="333"/>
      <w:bookmarkEnd w:id="334"/>
    </w:p>
    <w:p w14:paraId="0C6C6328">
      <w:pPr>
        <w:pStyle w:val="50"/>
        <w:spacing w:before="0" w:beforeAutospacing="0" w:after="0" w:afterAutospacing="0" w:line="0" w:lineRule="atLeast"/>
        <w:ind w:firstLine="420"/>
        <w:rPr>
          <w:rFonts w:hint="eastAsia" w:ascii="宋体" w:hAnsi="宋体" w:eastAsia="宋体" w:cs="宋体"/>
          <w:color w:val="auto"/>
          <w:highlight w:val="none"/>
        </w:rPr>
      </w:pPr>
    </w:p>
    <w:p w14:paraId="2D009912">
      <w:pPr>
        <w:pStyle w:val="50"/>
        <w:spacing w:before="0" w:beforeAutospacing="0" w:after="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82634D">
      <w:pPr>
        <w:pStyle w:val="50"/>
        <w:numPr>
          <w:ilvl w:val="0"/>
          <w:numId w:val="5"/>
        </w:numPr>
        <w:spacing w:before="30" w:beforeAutospacing="0" w:after="30" w:afterAutospacing="0" w:line="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1672590</wp:posOffset>
                </wp:positionH>
                <wp:positionV relativeFrom="paragraph">
                  <wp:posOffset>262255</wp:posOffset>
                </wp:positionV>
                <wp:extent cx="364490" cy="97790"/>
                <wp:effectExtent l="1270" t="4445" r="15240" b="12065"/>
                <wp:wrapNone/>
                <wp:docPr id="6" name="直接箭头连接符 6"/>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1.7pt;margin-top:20.65pt;height:7.7pt;width:28.7pt;z-index:251664384;mso-width-relative:page;mso-height-relative:page;" filled="f" stroked="t" coordsize="21600,21600" o:gfxdata="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lTcgzNcAAAAJAQAADwAAAAAAAAABACAAAAAiAAAAZHJz&#10;L2Rvd25yZXYueG1sUEsBAhQAFAAAAAgAh07iQDYcwOwFAgAA+Q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1286510</wp:posOffset>
                </wp:positionH>
                <wp:positionV relativeFrom="paragraph">
                  <wp:posOffset>434975</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1.3pt;margin-top:34.25pt;height:9.45pt;width:69pt;z-index:251662336;mso-width-relative:page;mso-height-relative:page;" filled="f" stroked="t" coordsize="21600,21600" o:gfxdata="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&#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bojjTXAAAACQEAAA8AAAAAAAAAAQAgAAAAIgAAAGRy&#10;cy9kb3ducmV2LnhtbFBLAQIUABQAAAAIAIdO4kAYm9Yf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5"/>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6540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ALBSLcCAIAAPoDAAAOAAAAAAAAAAEAIAAAACQ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3360;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BihcWtYAAAAJAQAADwAAAAAAAAABACAAAAAiAAAAZHJzL2Rv&#10;d25yZXYueG1sUEsBAhQAFAAAAAgAh07iQDqtkE0DAgAA+QMAAA4AAAAAAAAAAQAgAAAAJQEAAGRy&#10;cy9lMm9Eb2MueG1sUEsFBgAAAAAGAAYAWQEAAJo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1312;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&#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DJnJX8BgIAAPo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9" name="直接箭头连接符 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60288;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luf9s1wAAAAkBAAAPAAAAAAAAAAEAIAAAACIAAABkcnMv&#10;ZG93bnJldi54bWxQSwECFAAUAAAACACHTuJAjyXbBwQCAAD5AwAADgAAAAAAAAABACAAAAAmAQAA&#10;ZHJzL2Uyb0RvYy54bWxQSwUGAAAAAAYABgBZAQAAnAUAAAAA&#10;">
                <v:fill on="f" focussize="0,0"/>
                <v:stroke color="#000000" joinstyle="round"/>
                <v:imagedata o:title=""/>
                <o:lock v:ext="edit" aspectratio="f"/>
              </v:shape>
            </w:pict>
          </mc:Fallback>
        </mc:AlternateContent>
      </w:r>
      <w:r>
        <w:rPr>
          <w:rFonts w:hint="eastAsia" w:ascii="宋体" w:hAnsi="宋体" w:eastAsia="宋体" w:cs="宋体"/>
          <w:color w:val="auto"/>
          <w:highlight w:val="none"/>
          <w:u w:val="single"/>
          <w:shd w:val="clear" w:color="auto" w:fill="FFFFFF"/>
          <w:lang w:val="en-US" w:eastAsia="zh-CN"/>
        </w:rPr>
        <w:t xml:space="preserve">   /   </w:t>
      </w:r>
      <w:r>
        <w:rPr>
          <w:rFonts w:hint="eastAsia" w:ascii="宋体" w:hAnsi="宋体" w:eastAsia="宋体" w:cs="宋体"/>
          <w:color w:val="auto"/>
          <w:highlight w:val="none"/>
          <w:shd w:val="clear" w:color="auto" w:fill="FFFFFF"/>
        </w:rPr>
        <w:t>，生产厂为</w:t>
      </w:r>
      <w:r>
        <w:rPr>
          <w:rStyle w:val="60"/>
          <w:rFonts w:hint="eastAsia" w:ascii="宋体" w:hAnsi="宋体" w:eastAsia="宋体" w:cs="宋体"/>
          <w:i w:val="0"/>
          <w:color w:val="auto"/>
          <w:highlight w:val="none"/>
          <w:u w:val="single"/>
          <w:shd w:val="clear" w:color="auto" w:fill="FFFFFF"/>
        </w:rPr>
        <w:t>（厂名）</w:t>
      </w:r>
      <w:r>
        <w:rPr>
          <w:rStyle w:val="60"/>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60"/>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60"/>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的中国境内生产的组件成本占比≥</w:t>
      </w:r>
      <w:r>
        <w:rPr>
          <w:rStyle w:val="60"/>
          <w:rFonts w:hint="eastAsia" w:ascii="宋体" w:hAnsi="宋体" w:eastAsia="宋体" w:cs="宋体"/>
          <w:i w:val="0"/>
          <w:color w:val="auto"/>
          <w:highlight w:val="none"/>
          <w:u w:val="single"/>
          <w:shd w:val="clear" w:color="auto" w:fill="FFFFFF"/>
        </w:rPr>
        <w:t>（规定比例）</w:t>
      </w:r>
      <w:r>
        <w:rPr>
          <w:rStyle w:val="60"/>
          <w:rFonts w:hint="eastAsia" w:ascii="宋体" w:hAnsi="宋体" w:eastAsia="宋体" w:cs="宋体"/>
          <w:i w:val="0"/>
          <w:color w:val="auto"/>
          <w:highlight w:val="none"/>
          <w:shd w:val="clear" w:color="auto" w:fill="FFFFFF"/>
          <w:vertAlign w:val="superscript"/>
        </w:rPr>
        <w:t>3</w:t>
      </w:r>
      <w:r>
        <w:rPr>
          <w:rFonts w:hint="eastAsia" w:ascii="宋体" w:hAnsi="宋体" w:eastAsia="宋体" w:cs="宋体"/>
          <w:color w:val="auto"/>
          <w:highlight w:val="none"/>
          <w:shd w:val="clear" w:color="auto" w:fill="FFFFFF"/>
        </w:rPr>
        <w:t>。</w:t>
      </w:r>
      <w:r>
        <w:rPr>
          <w:rStyle w:val="60"/>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60"/>
          <w:rFonts w:hint="eastAsia" w:ascii="宋体" w:hAnsi="宋体" w:eastAsia="宋体" w:cs="宋体"/>
          <w:i w:val="0"/>
          <w:color w:val="auto"/>
          <w:highlight w:val="none"/>
          <w:u w:val="single"/>
          <w:shd w:val="clear" w:color="auto" w:fill="FFFFFF"/>
        </w:rPr>
        <w:t>（关键组件）</w:t>
      </w:r>
      <w:r>
        <w:rPr>
          <w:rStyle w:val="60"/>
          <w:rFonts w:hint="eastAsia" w:ascii="宋体" w:hAnsi="宋体" w:eastAsia="宋体" w:cs="宋体"/>
          <w:i w:val="0"/>
          <w:color w:val="auto"/>
          <w:highlight w:val="none"/>
          <w:shd w:val="clear" w:color="auto" w:fill="FFFFFF"/>
          <w:vertAlign w:val="superscript"/>
        </w:rPr>
        <w:t>4</w:t>
      </w:r>
      <w:r>
        <w:rPr>
          <w:rFonts w:hint="eastAsia" w:ascii="宋体" w:hAnsi="宋体" w:eastAsia="宋体" w:cs="宋体"/>
          <w:color w:val="auto"/>
          <w:highlight w:val="none"/>
          <w:shd w:val="clear" w:color="auto" w:fill="FFFFFF"/>
        </w:rPr>
        <w:t>在中国境内生产。</w:t>
      </w:r>
      <w:r>
        <w:rPr>
          <w:rStyle w:val="60"/>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60"/>
          <w:rFonts w:hint="eastAsia" w:ascii="宋体" w:hAnsi="宋体" w:eastAsia="宋体" w:cs="宋体"/>
          <w:i w:val="0"/>
          <w:color w:val="auto"/>
          <w:highlight w:val="none"/>
          <w:u w:val="single"/>
          <w:shd w:val="clear" w:color="auto" w:fill="FFFFFF"/>
        </w:rPr>
        <w:t>（关键工序）</w:t>
      </w:r>
      <w:r>
        <w:rPr>
          <w:rStyle w:val="60"/>
          <w:rFonts w:hint="eastAsia" w:ascii="宋体" w:hAnsi="宋体" w:eastAsia="宋体" w:cs="宋体"/>
          <w:i w:val="0"/>
          <w:color w:val="auto"/>
          <w:highlight w:val="none"/>
          <w:shd w:val="clear" w:color="auto" w:fill="FFFFFF"/>
          <w:vertAlign w:val="superscript"/>
        </w:rPr>
        <w:t>5</w:t>
      </w:r>
      <w:r>
        <w:rPr>
          <w:rFonts w:hint="eastAsia" w:ascii="宋体" w:hAnsi="宋体" w:eastAsia="宋体" w:cs="宋体"/>
          <w:color w:val="auto"/>
          <w:highlight w:val="none"/>
          <w:shd w:val="clear" w:color="auto" w:fill="FFFFFF"/>
        </w:rPr>
        <w:t>在中国境内完成。</w:t>
      </w:r>
    </w:p>
    <w:p w14:paraId="0F8EFFED">
      <w:pPr>
        <w:pStyle w:val="50"/>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264BE07D">
      <w:pPr>
        <w:pStyle w:val="50"/>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014E8633">
      <w:pPr>
        <w:pStyle w:val="50"/>
        <w:spacing w:before="30" w:beforeAutospacing="0" w:after="3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5F317AE5">
      <w:pPr>
        <w:pStyle w:val="50"/>
        <w:spacing w:before="30" w:beforeAutospacing="0" w:after="30" w:afterAutospacing="0" w:line="0" w:lineRule="atLeast"/>
        <w:rPr>
          <w:rFonts w:hint="eastAsia" w:ascii="宋体" w:hAnsi="宋体" w:eastAsia="宋体" w:cs="宋体"/>
          <w:color w:val="auto"/>
          <w:sz w:val="24"/>
          <w:szCs w:val="24"/>
          <w:highlight w:val="none"/>
        </w:rPr>
      </w:pPr>
    </w:p>
    <w:p w14:paraId="60FFF745">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0D515E04">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46FD0154">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1B8ED7C6">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5765BEF3">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6D171764">
      <w:pPr>
        <w:pStyle w:val="50"/>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976713F">
      <w:pPr>
        <w:pStyle w:val="50"/>
        <w:spacing w:before="30" w:beforeAutospacing="0" w:after="30" w:afterAutospacing="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17243AF">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5FA39768">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5CDE342D">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2DABE7C0">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7AA6954F">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0E213277">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p>
    <w:p w14:paraId="65D7E39C">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152BD88B">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4DD07CE0">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1D0765">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782593DA">
      <w:pPr>
        <w:pStyle w:val="50"/>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A3F94BA">
      <w:pPr>
        <w:pStyle w:val="50"/>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CE1C54F">
      <w:pPr>
        <w:pStyle w:val="50"/>
        <w:spacing w:before="30" w:beforeAutospacing="0" w:after="30" w:afterAutospacing="0" w:line="0" w:lineRule="atLeas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FFFFFF"/>
        </w:rPr>
        <w:t>6.用斜线划除的地方无需填写。</w:t>
      </w:r>
    </w:p>
    <w:p w14:paraId="6BFB29E5">
      <w:pPr>
        <w:rPr>
          <w:rFonts w:hint="eastAsia" w:ascii="宋体" w:hAnsi="宋体" w:eastAsia="宋体" w:cs="宋体"/>
          <w:color w:val="auto"/>
          <w:sz w:val="22"/>
          <w:szCs w:val="21"/>
          <w:highlight w:val="none"/>
        </w:rPr>
      </w:pPr>
    </w:p>
    <w:bookmarkEnd w:id="335"/>
    <w:sectPr>
      <w:pgSz w:w="11907" w:h="16840"/>
      <w:pgMar w:top="1134" w:right="882" w:bottom="1418" w:left="1365" w:header="567" w:footer="794" w:gutter="0"/>
      <w:pgNumType w:fmt="decimal"/>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20000001" w:csb1="00000000"/>
  </w:font>
  <w:font w:name="MS Mincho">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8C074">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72D4B">
    <w:pPr>
      <w:pStyle w:val="34"/>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14:paraId="1334BB12">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7449F">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2ED6A">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1C35F">
    <w:pPr>
      <w:pStyle w:val="3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970773">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3970773">
                    <w:pPr>
                      <w:pStyle w:val="3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FE8F7">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9A7CB0">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9A7CB0">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B64EB">
    <w:pPr>
      <w:pStyle w:val="34"/>
      <w:ind w:right="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FF93C2">
                          <w:pPr>
                            <w:pStyle w:val="3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AFF93C2">
                    <w:pPr>
                      <w:pStyle w:val="3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FDF01">
    <w:pPr>
      <w:pStyle w:val="3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B1573B">
                          <w:pPr>
                            <w:pStyle w:val="3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3B1573B">
                    <w:pPr>
                      <w:pStyle w:val="3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FB807">
    <w:pPr>
      <w:spacing w:line="360" w:lineRule="auto"/>
      <w:jc w:val="left"/>
      <w:rPr>
        <w:rFonts w:hint="eastAsia" w:eastAsia="宋体"/>
        <w:lang w:eastAsia="zh-CN"/>
      </w:rPr>
    </w:pPr>
    <w:r>
      <w:rPr>
        <w:rFonts w:hint="eastAsia"/>
        <w:bCs/>
        <w:sz w:val="18"/>
        <w:szCs w:val="18"/>
        <w:lang w:eastAsia="zh-CN"/>
      </w:rPr>
      <w:t>苏州信达顺工程建设咨询有限公司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4BA9A">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1F0B0">
    <w:pPr>
      <w:pStyle w:val="35"/>
      <w:pBdr>
        <w:bottom w:val="none" w:color="auto" w:sz="0" w:space="1"/>
      </w:pBdr>
      <w:tabs>
        <w:tab w:val="left" w:pos="3355"/>
        <w:tab w:val="clear" w:pos="4153"/>
      </w:tabs>
      <w:jc w:val="left"/>
    </w:pPr>
    <w:r>
      <w:rPr>
        <w:rFonts w:hint="eastAsia"/>
        <w:lang w:eastAsia="zh-CN"/>
      </w:rPr>
      <w:t>苏州信达顺工程建设咨询有限公司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C24B3"/>
    <w:multiLevelType w:val="singleLevel"/>
    <w:tmpl w:val="976C24B3"/>
    <w:lvl w:ilvl="0" w:tentative="0">
      <w:start w:val="1"/>
      <w:numFmt w:val="decimal"/>
      <w:suff w:val="space"/>
      <w:lvlText w:val="%1."/>
      <w:lvlJc w:val="left"/>
    </w:lvl>
  </w:abstractNum>
  <w:abstractNum w:abstractNumId="1">
    <w:nsid w:val="0A0C2485"/>
    <w:multiLevelType w:val="multilevel"/>
    <w:tmpl w:val="0A0C2485"/>
    <w:lvl w:ilvl="0" w:tentative="0">
      <w:start w:val="1"/>
      <w:numFmt w:val="decimal"/>
      <w:pStyle w:val="147"/>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2">
    <w:nsid w:val="240D3E5A"/>
    <w:multiLevelType w:val="singleLevel"/>
    <w:tmpl w:val="240D3E5A"/>
    <w:lvl w:ilvl="0" w:tentative="0">
      <w:start w:val="1"/>
      <w:numFmt w:val="decimal"/>
      <w:pStyle w:val="144"/>
      <w:lvlText w:val="%1、"/>
      <w:lvlJc w:val="left"/>
      <w:pPr>
        <w:tabs>
          <w:tab w:val="left" w:pos="480"/>
        </w:tabs>
        <w:ind w:left="480" w:hanging="480"/>
      </w:pPr>
      <w:rPr>
        <w:rFonts w:hint="eastAsia"/>
      </w:rPr>
    </w:lvl>
  </w:abstractNum>
  <w:abstractNum w:abstractNumId="3">
    <w:nsid w:val="420C153B"/>
    <w:multiLevelType w:val="multilevel"/>
    <w:tmpl w:val="420C153B"/>
    <w:lvl w:ilvl="0" w:tentative="0">
      <w:start w:val="1"/>
      <w:numFmt w:val="decimal"/>
      <w:pStyle w:val="1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5793B7AC"/>
    <w:multiLevelType w:val="singleLevel"/>
    <w:tmpl w:val="5793B7AC"/>
    <w:lvl w:ilvl="0" w:tentative="0">
      <w:start w:val="3"/>
      <w:numFmt w:val="chineseCounting"/>
      <w:suff w:val="nothing"/>
      <w:lvlText w:val="%1、"/>
      <w:lvlJc w:val="left"/>
      <w:rPr>
        <w:rFonts w:hint="eastAsia"/>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2ODQ5ZjVhOWM2ZDA2MGQ2ZjM3ZWM1NzNlYWMyOTIifQ=="/>
  </w:docVars>
  <w:rsids>
    <w:rsidRoot w:val="00000000"/>
    <w:rsid w:val="005D4993"/>
    <w:rsid w:val="007A6F63"/>
    <w:rsid w:val="008D138C"/>
    <w:rsid w:val="00DC7C1D"/>
    <w:rsid w:val="018427B1"/>
    <w:rsid w:val="01AF2197"/>
    <w:rsid w:val="02316394"/>
    <w:rsid w:val="02497807"/>
    <w:rsid w:val="028435BA"/>
    <w:rsid w:val="02987B74"/>
    <w:rsid w:val="03045209"/>
    <w:rsid w:val="03254D1C"/>
    <w:rsid w:val="036B6853"/>
    <w:rsid w:val="04AB1DE0"/>
    <w:rsid w:val="04B2316F"/>
    <w:rsid w:val="05642180"/>
    <w:rsid w:val="05AD1C53"/>
    <w:rsid w:val="06913A7D"/>
    <w:rsid w:val="06943D50"/>
    <w:rsid w:val="06B121A9"/>
    <w:rsid w:val="06D86978"/>
    <w:rsid w:val="06DB1450"/>
    <w:rsid w:val="070C28DE"/>
    <w:rsid w:val="07140111"/>
    <w:rsid w:val="07691ADF"/>
    <w:rsid w:val="08F06236"/>
    <w:rsid w:val="09524F20"/>
    <w:rsid w:val="09541AF9"/>
    <w:rsid w:val="09756E61"/>
    <w:rsid w:val="09F3337E"/>
    <w:rsid w:val="0A014251"/>
    <w:rsid w:val="0B1F0E32"/>
    <w:rsid w:val="0B212C7E"/>
    <w:rsid w:val="0B6F575C"/>
    <w:rsid w:val="0BA352C2"/>
    <w:rsid w:val="0BED3B07"/>
    <w:rsid w:val="0C661389"/>
    <w:rsid w:val="0CA34D21"/>
    <w:rsid w:val="0CB93F39"/>
    <w:rsid w:val="0D613984"/>
    <w:rsid w:val="0D7E7E5B"/>
    <w:rsid w:val="0DC363ED"/>
    <w:rsid w:val="0E5309E7"/>
    <w:rsid w:val="0F2D61CB"/>
    <w:rsid w:val="0F577F03"/>
    <w:rsid w:val="0FF25E6C"/>
    <w:rsid w:val="1045133B"/>
    <w:rsid w:val="10D254C8"/>
    <w:rsid w:val="11196324"/>
    <w:rsid w:val="116810DC"/>
    <w:rsid w:val="1168155A"/>
    <w:rsid w:val="11753049"/>
    <w:rsid w:val="11E44B84"/>
    <w:rsid w:val="12595934"/>
    <w:rsid w:val="127C6B6A"/>
    <w:rsid w:val="136E6DFB"/>
    <w:rsid w:val="13806E00"/>
    <w:rsid w:val="13E96481"/>
    <w:rsid w:val="13F84916"/>
    <w:rsid w:val="14925EBC"/>
    <w:rsid w:val="14E3485F"/>
    <w:rsid w:val="15747FCD"/>
    <w:rsid w:val="15E06307"/>
    <w:rsid w:val="162639BD"/>
    <w:rsid w:val="1641720C"/>
    <w:rsid w:val="16E11692"/>
    <w:rsid w:val="174A36DB"/>
    <w:rsid w:val="19052DB4"/>
    <w:rsid w:val="19E245FB"/>
    <w:rsid w:val="1AEB6F83"/>
    <w:rsid w:val="1BA3160C"/>
    <w:rsid w:val="1BA62EAA"/>
    <w:rsid w:val="1CBE0AA7"/>
    <w:rsid w:val="1CE9162D"/>
    <w:rsid w:val="1D44297A"/>
    <w:rsid w:val="1DFC7525"/>
    <w:rsid w:val="1E0F11DA"/>
    <w:rsid w:val="1E1A4152"/>
    <w:rsid w:val="1E9811D0"/>
    <w:rsid w:val="1ED476E4"/>
    <w:rsid w:val="1F083F61"/>
    <w:rsid w:val="1F176598"/>
    <w:rsid w:val="1F3E2D4A"/>
    <w:rsid w:val="1F4B0F6D"/>
    <w:rsid w:val="1FB76D9F"/>
    <w:rsid w:val="20DE02BA"/>
    <w:rsid w:val="20F16975"/>
    <w:rsid w:val="2100305C"/>
    <w:rsid w:val="214747E7"/>
    <w:rsid w:val="214C62A1"/>
    <w:rsid w:val="23052BAC"/>
    <w:rsid w:val="23587370"/>
    <w:rsid w:val="240E7983"/>
    <w:rsid w:val="241F1A4B"/>
    <w:rsid w:val="24A42D25"/>
    <w:rsid w:val="24E43BD5"/>
    <w:rsid w:val="25893620"/>
    <w:rsid w:val="258E50DA"/>
    <w:rsid w:val="25F71772"/>
    <w:rsid w:val="26222775"/>
    <w:rsid w:val="26485289"/>
    <w:rsid w:val="26A56238"/>
    <w:rsid w:val="27E64B3D"/>
    <w:rsid w:val="281A4A03"/>
    <w:rsid w:val="28F214DC"/>
    <w:rsid w:val="292D0766"/>
    <w:rsid w:val="29C25353"/>
    <w:rsid w:val="29E11C7D"/>
    <w:rsid w:val="2AD4533E"/>
    <w:rsid w:val="2AF754D0"/>
    <w:rsid w:val="2B335AAE"/>
    <w:rsid w:val="2B9E594C"/>
    <w:rsid w:val="2BDB26FC"/>
    <w:rsid w:val="2CCF42F2"/>
    <w:rsid w:val="2D0869DD"/>
    <w:rsid w:val="2D192C5E"/>
    <w:rsid w:val="2D2D51D9"/>
    <w:rsid w:val="2E3D7DE4"/>
    <w:rsid w:val="2E4C168F"/>
    <w:rsid w:val="2EB56C3E"/>
    <w:rsid w:val="2ED37D47"/>
    <w:rsid w:val="2EF101E2"/>
    <w:rsid w:val="2F4F47F1"/>
    <w:rsid w:val="2FA86D99"/>
    <w:rsid w:val="302E0AEA"/>
    <w:rsid w:val="30F62A82"/>
    <w:rsid w:val="30F760FE"/>
    <w:rsid w:val="311E0892"/>
    <w:rsid w:val="31A66B48"/>
    <w:rsid w:val="338F22C1"/>
    <w:rsid w:val="33977850"/>
    <w:rsid w:val="33D52FD5"/>
    <w:rsid w:val="33FE12C7"/>
    <w:rsid w:val="345D63A4"/>
    <w:rsid w:val="3550415A"/>
    <w:rsid w:val="36237179"/>
    <w:rsid w:val="36590DED"/>
    <w:rsid w:val="3710594F"/>
    <w:rsid w:val="37FA215C"/>
    <w:rsid w:val="3852626E"/>
    <w:rsid w:val="38910D12"/>
    <w:rsid w:val="3976564C"/>
    <w:rsid w:val="3A29297E"/>
    <w:rsid w:val="3ABD5DEE"/>
    <w:rsid w:val="3B581673"/>
    <w:rsid w:val="3B6B3A9C"/>
    <w:rsid w:val="3BAD23FE"/>
    <w:rsid w:val="3BBA40DC"/>
    <w:rsid w:val="3C050FE1"/>
    <w:rsid w:val="3C434594"/>
    <w:rsid w:val="3C9F4DCC"/>
    <w:rsid w:val="3D3954D4"/>
    <w:rsid w:val="3D932E36"/>
    <w:rsid w:val="3E5500EC"/>
    <w:rsid w:val="3FBA059B"/>
    <w:rsid w:val="3FEE0305"/>
    <w:rsid w:val="403735C7"/>
    <w:rsid w:val="404B5C4A"/>
    <w:rsid w:val="40B41A41"/>
    <w:rsid w:val="40BF3F42"/>
    <w:rsid w:val="41393CF5"/>
    <w:rsid w:val="41C169C0"/>
    <w:rsid w:val="41CA7043"/>
    <w:rsid w:val="420800E1"/>
    <w:rsid w:val="421454AC"/>
    <w:rsid w:val="422E0127"/>
    <w:rsid w:val="422E312E"/>
    <w:rsid w:val="423050F8"/>
    <w:rsid w:val="424E557E"/>
    <w:rsid w:val="42B145A9"/>
    <w:rsid w:val="42C43A92"/>
    <w:rsid w:val="430345BA"/>
    <w:rsid w:val="44050182"/>
    <w:rsid w:val="44511D55"/>
    <w:rsid w:val="445C6678"/>
    <w:rsid w:val="44617A04"/>
    <w:rsid w:val="44961254"/>
    <w:rsid w:val="44EF257E"/>
    <w:rsid w:val="44FC5765"/>
    <w:rsid w:val="45322F35"/>
    <w:rsid w:val="45BB0A1B"/>
    <w:rsid w:val="45F2370F"/>
    <w:rsid w:val="46081EE8"/>
    <w:rsid w:val="477535AD"/>
    <w:rsid w:val="47C214F6"/>
    <w:rsid w:val="481608EC"/>
    <w:rsid w:val="483671E0"/>
    <w:rsid w:val="48F57B48"/>
    <w:rsid w:val="49892AD5"/>
    <w:rsid w:val="49AC6DDF"/>
    <w:rsid w:val="4A507913"/>
    <w:rsid w:val="4AA5206A"/>
    <w:rsid w:val="4AC05487"/>
    <w:rsid w:val="4B7D495F"/>
    <w:rsid w:val="4B9E7576"/>
    <w:rsid w:val="4C0D2006"/>
    <w:rsid w:val="4C910E89"/>
    <w:rsid w:val="4D387820"/>
    <w:rsid w:val="4D565C2E"/>
    <w:rsid w:val="4D886208"/>
    <w:rsid w:val="4EC20C7A"/>
    <w:rsid w:val="4F8A7CC1"/>
    <w:rsid w:val="4FAB04B3"/>
    <w:rsid w:val="4FF85C0B"/>
    <w:rsid w:val="508F70E0"/>
    <w:rsid w:val="5128035E"/>
    <w:rsid w:val="515B3813"/>
    <w:rsid w:val="51A04992"/>
    <w:rsid w:val="51BA678C"/>
    <w:rsid w:val="524951AD"/>
    <w:rsid w:val="526B6ECC"/>
    <w:rsid w:val="52907621"/>
    <w:rsid w:val="53894668"/>
    <w:rsid w:val="53B26779"/>
    <w:rsid w:val="53BD2563"/>
    <w:rsid w:val="53C27B7A"/>
    <w:rsid w:val="540D6097"/>
    <w:rsid w:val="54237CF8"/>
    <w:rsid w:val="56091A90"/>
    <w:rsid w:val="5779709E"/>
    <w:rsid w:val="57BB14B0"/>
    <w:rsid w:val="581172F3"/>
    <w:rsid w:val="583848AE"/>
    <w:rsid w:val="584A6390"/>
    <w:rsid w:val="586535A7"/>
    <w:rsid w:val="5900361E"/>
    <w:rsid w:val="590649AC"/>
    <w:rsid w:val="59B937CD"/>
    <w:rsid w:val="5B2F575D"/>
    <w:rsid w:val="5B317BCF"/>
    <w:rsid w:val="5BE56AFB"/>
    <w:rsid w:val="5C885D49"/>
    <w:rsid w:val="5CBC2F38"/>
    <w:rsid w:val="5E412FF3"/>
    <w:rsid w:val="5E9569CA"/>
    <w:rsid w:val="5F3F4774"/>
    <w:rsid w:val="60161979"/>
    <w:rsid w:val="608314C6"/>
    <w:rsid w:val="60D43880"/>
    <w:rsid w:val="60D809DC"/>
    <w:rsid w:val="60EC6236"/>
    <w:rsid w:val="61C67BE2"/>
    <w:rsid w:val="621B31EC"/>
    <w:rsid w:val="628D7460"/>
    <w:rsid w:val="62BA4CF4"/>
    <w:rsid w:val="62FE2F72"/>
    <w:rsid w:val="632C3261"/>
    <w:rsid w:val="63402869"/>
    <w:rsid w:val="640F5D56"/>
    <w:rsid w:val="64966BE4"/>
    <w:rsid w:val="64D12312"/>
    <w:rsid w:val="64EF5994"/>
    <w:rsid w:val="651E4E2C"/>
    <w:rsid w:val="652A37D1"/>
    <w:rsid w:val="65573EA7"/>
    <w:rsid w:val="656C7B36"/>
    <w:rsid w:val="65945210"/>
    <w:rsid w:val="660B53B0"/>
    <w:rsid w:val="66B912B0"/>
    <w:rsid w:val="67B910C6"/>
    <w:rsid w:val="68BF52BD"/>
    <w:rsid w:val="68CD0F2E"/>
    <w:rsid w:val="690670C6"/>
    <w:rsid w:val="6A815C41"/>
    <w:rsid w:val="6AC00E5F"/>
    <w:rsid w:val="6ACC74EE"/>
    <w:rsid w:val="6B6E08BB"/>
    <w:rsid w:val="6BF608B1"/>
    <w:rsid w:val="6C872A2C"/>
    <w:rsid w:val="6CD31260"/>
    <w:rsid w:val="6D1E00BF"/>
    <w:rsid w:val="6D7E75C4"/>
    <w:rsid w:val="6DAD7C67"/>
    <w:rsid w:val="6E0B2588"/>
    <w:rsid w:val="6E0E5A3E"/>
    <w:rsid w:val="6ED00F45"/>
    <w:rsid w:val="6EDB1EC5"/>
    <w:rsid w:val="6EF17916"/>
    <w:rsid w:val="6F1F3C7A"/>
    <w:rsid w:val="6FD76303"/>
    <w:rsid w:val="6FE1493D"/>
    <w:rsid w:val="702C1948"/>
    <w:rsid w:val="706E4EB9"/>
    <w:rsid w:val="70940927"/>
    <w:rsid w:val="70B24E65"/>
    <w:rsid w:val="70B623BC"/>
    <w:rsid w:val="72975F55"/>
    <w:rsid w:val="72EE116F"/>
    <w:rsid w:val="73053378"/>
    <w:rsid w:val="73991F68"/>
    <w:rsid w:val="73E13BF4"/>
    <w:rsid w:val="74051691"/>
    <w:rsid w:val="757253FB"/>
    <w:rsid w:val="757F36C5"/>
    <w:rsid w:val="75A03D67"/>
    <w:rsid w:val="76CE6D0D"/>
    <w:rsid w:val="771F0CBB"/>
    <w:rsid w:val="77AE3DED"/>
    <w:rsid w:val="77DA3210"/>
    <w:rsid w:val="7825412C"/>
    <w:rsid w:val="78DC39C5"/>
    <w:rsid w:val="795E1371"/>
    <w:rsid w:val="79B871A5"/>
    <w:rsid w:val="79EB57D4"/>
    <w:rsid w:val="7AA679AB"/>
    <w:rsid w:val="7B4F58E7"/>
    <w:rsid w:val="7C68428F"/>
    <w:rsid w:val="7CC7607D"/>
    <w:rsid w:val="7CCD4D16"/>
    <w:rsid w:val="7D4264F6"/>
    <w:rsid w:val="7D7E3557"/>
    <w:rsid w:val="7D9677FD"/>
    <w:rsid w:val="7E333009"/>
    <w:rsid w:val="7E9006F1"/>
    <w:rsid w:val="7EB4065E"/>
    <w:rsid w:val="7EF742CC"/>
    <w:rsid w:val="7F5D1176"/>
    <w:rsid w:val="7F765B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75"/>
    <w:autoRedefine/>
    <w:qFormat/>
    <w:uiPriority w:val="0"/>
    <w:pPr>
      <w:keepNext/>
      <w:tabs>
        <w:tab w:val="left" w:pos="200"/>
      </w:tabs>
      <w:jc w:val="center"/>
      <w:outlineLvl w:val="0"/>
    </w:pPr>
    <w:rPr>
      <w:rFonts w:ascii="宋体" w:hAnsi="宋体"/>
      <w:b/>
      <w:sz w:val="36"/>
    </w:rPr>
  </w:style>
  <w:style w:type="paragraph" w:styleId="3">
    <w:name w:val="heading 2"/>
    <w:basedOn w:val="1"/>
    <w:next w:val="1"/>
    <w:link w:val="76"/>
    <w:autoRedefine/>
    <w:qFormat/>
    <w:uiPriority w:val="0"/>
    <w:pPr>
      <w:keepNext/>
      <w:jc w:val="center"/>
      <w:outlineLvl w:val="1"/>
    </w:pPr>
    <w:rPr>
      <w:rFonts w:eastAsia="楷体_GB2312"/>
      <w:b/>
      <w:bCs/>
      <w:sz w:val="28"/>
      <w:szCs w:val="28"/>
    </w:rPr>
  </w:style>
  <w:style w:type="paragraph" w:styleId="4">
    <w:name w:val="heading 3"/>
    <w:basedOn w:val="1"/>
    <w:next w:val="1"/>
    <w:link w:val="77"/>
    <w:autoRedefine/>
    <w:qFormat/>
    <w:uiPriority w:val="9"/>
    <w:pPr>
      <w:keepNext/>
      <w:jc w:val="center"/>
      <w:outlineLvl w:val="2"/>
    </w:pPr>
    <w:rPr>
      <w:rFonts w:ascii="宋体" w:hAnsi="宋体"/>
      <w:sz w:val="28"/>
    </w:rPr>
  </w:style>
  <w:style w:type="paragraph" w:styleId="5">
    <w:name w:val="heading 4"/>
    <w:basedOn w:val="1"/>
    <w:next w:val="1"/>
    <w:link w:val="78"/>
    <w:autoRedefine/>
    <w:qFormat/>
    <w:uiPriority w:val="9"/>
    <w:pPr>
      <w:keepNext/>
      <w:outlineLvl w:val="3"/>
    </w:pPr>
    <w:rPr>
      <w:b/>
      <w:bCs/>
      <w:sz w:val="18"/>
    </w:rPr>
  </w:style>
  <w:style w:type="paragraph" w:styleId="6">
    <w:name w:val="heading 5"/>
    <w:basedOn w:val="1"/>
    <w:next w:val="1"/>
    <w:link w:val="79"/>
    <w:autoRedefine/>
    <w:qFormat/>
    <w:uiPriority w:val="9"/>
    <w:pPr>
      <w:keepNext/>
      <w:jc w:val="center"/>
      <w:outlineLvl w:val="4"/>
    </w:pPr>
    <w:rPr>
      <w:b/>
      <w:bCs/>
      <w:sz w:val="18"/>
    </w:rPr>
  </w:style>
  <w:style w:type="paragraph" w:styleId="7">
    <w:name w:val="heading 6"/>
    <w:basedOn w:val="1"/>
    <w:next w:val="1"/>
    <w:link w:val="80"/>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8">
    <w:name w:val="heading 7"/>
    <w:basedOn w:val="1"/>
    <w:next w:val="1"/>
    <w:link w:val="81"/>
    <w:autoRedefine/>
    <w:qFormat/>
    <w:uiPriority w:val="9"/>
    <w:pPr>
      <w:keepNext/>
      <w:keepLines/>
      <w:widowControl/>
      <w:spacing w:before="120" w:line="252" w:lineRule="auto"/>
      <w:outlineLvl w:val="6"/>
    </w:pPr>
    <w:rPr>
      <w:i/>
      <w:iCs/>
      <w:kern w:val="0"/>
      <w:sz w:val="20"/>
    </w:rPr>
  </w:style>
  <w:style w:type="paragraph" w:styleId="9">
    <w:name w:val="heading 8"/>
    <w:basedOn w:val="1"/>
    <w:next w:val="1"/>
    <w:link w:val="82"/>
    <w:autoRedefine/>
    <w:qFormat/>
    <w:uiPriority w:val="9"/>
    <w:pPr>
      <w:keepNext/>
      <w:keepLines/>
      <w:widowControl/>
      <w:spacing w:before="120" w:line="252" w:lineRule="auto"/>
      <w:outlineLvl w:val="7"/>
    </w:pPr>
    <w:rPr>
      <w:b/>
      <w:bCs/>
      <w:kern w:val="0"/>
      <w:sz w:val="20"/>
    </w:rPr>
  </w:style>
  <w:style w:type="paragraph" w:styleId="10">
    <w:name w:val="heading 9"/>
    <w:basedOn w:val="1"/>
    <w:next w:val="1"/>
    <w:link w:val="83"/>
    <w:autoRedefine/>
    <w:qFormat/>
    <w:uiPriority w:val="9"/>
    <w:pPr>
      <w:keepNext/>
      <w:keepLines/>
      <w:widowControl/>
      <w:spacing w:before="120" w:line="252" w:lineRule="auto"/>
      <w:outlineLvl w:val="8"/>
    </w:pPr>
    <w:rPr>
      <w:i/>
      <w:iCs/>
      <w:kern w:val="0"/>
      <w:sz w:val="20"/>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0"/>
    <w:pPr>
      <w:ind w:left="1260"/>
      <w:jc w:val="left"/>
    </w:pPr>
    <w:rPr>
      <w:szCs w:val="21"/>
    </w:rPr>
  </w:style>
  <w:style w:type="paragraph" w:styleId="12">
    <w:name w:val="index 8"/>
    <w:basedOn w:val="1"/>
    <w:next w:val="1"/>
    <w:autoRedefine/>
    <w:semiHidden/>
    <w:qFormat/>
    <w:uiPriority w:val="0"/>
    <w:pPr>
      <w:ind w:left="1400" w:leftChars="1400"/>
    </w:pPr>
  </w:style>
  <w:style w:type="paragraph" w:styleId="13">
    <w:name w:val="Normal Indent"/>
    <w:basedOn w:val="1"/>
    <w:link w:val="84"/>
    <w:autoRedefine/>
    <w:qFormat/>
    <w:uiPriority w:val="0"/>
    <w:pPr>
      <w:ind w:firstLine="420"/>
    </w:pPr>
  </w:style>
  <w:style w:type="paragraph" w:styleId="14">
    <w:name w:val="caption"/>
    <w:basedOn w:val="1"/>
    <w:next w:val="1"/>
    <w:autoRedefine/>
    <w:qFormat/>
    <w:uiPriority w:val="35"/>
    <w:pPr>
      <w:widowControl/>
      <w:spacing w:after="160" w:line="252" w:lineRule="auto"/>
    </w:pPr>
    <w:rPr>
      <w:b/>
      <w:bCs/>
      <w:kern w:val="0"/>
      <w:sz w:val="18"/>
      <w:szCs w:val="18"/>
    </w:rPr>
  </w:style>
  <w:style w:type="paragraph" w:styleId="15">
    <w:name w:val="index 5"/>
    <w:basedOn w:val="1"/>
    <w:next w:val="1"/>
    <w:autoRedefine/>
    <w:semiHidden/>
    <w:qFormat/>
    <w:uiPriority w:val="0"/>
    <w:pPr>
      <w:ind w:left="800" w:leftChars="800"/>
    </w:pPr>
  </w:style>
  <w:style w:type="paragraph" w:styleId="16">
    <w:name w:val="Document Map"/>
    <w:basedOn w:val="1"/>
    <w:link w:val="85"/>
    <w:autoRedefine/>
    <w:semiHidden/>
    <w:qFormat/>
    <w:uiPriority w:val="0"/>
    <w:pPr>
      <w:shd w:val="clear" w:color="auto" w:fill="000080"/>
    </w:pPr>
  </w:style>
  <w:style w:type="paragraph" w:styleId="17">
    <w:name w:val="annotation text"/>
    <w:basedOn w:val="1"/>
    <w:link w:val="86"/>
    <w:autoRedefine/>
    <w:qFormat/>
    <w:uiPriority w:val="0"/>
    <w:pPr>
      <w:jc w:val="left"/>
    </w:pPr>
  </w:style>
  <w:style w:type="paragraph" w:styleId="18">
    <w:name w:val="index 6"/>
    <w:basedOn w:val="1"/>
    <w:next w:val="1"/>
    <w:autoRedefine/>
    <w:semiHidden/>
    <w:qFormat/>
    <w:uiPriority w:val="0"/>
    <w:pPr>
      <w:ind w:left="1000" w:leftChars="1000"/>
    </w:pPr>
  </w:style>
  <w:style w:type="paragraph" w:styleId="19">
    <w:name w:val="Body Text"/>
    <w:basedOn w:val="1"/>
    <w:next w:val="20"/>
    <w:link w:val="87"/>
    <w:autoRedefine/>
    <w:qFormat/>
    <w:uiPriority w:val="99"/>
    <w:rPr>
      <w:rFonts w:ascii="楷体_GB2312" w:hAnsi="Arial" w:eastAsia="楷体_GB2312"/>
      <w:sz w:val="28"/>
    </w:rPr>
  </w:style>
  <w:style w:type="paragraph" w:styleId="20">
    <w:name w:val="Body Text First Indent"/>
    <w:basedOn w:val="19"/>
    <w:next w:val="21"/>
    <w:link w:val="156"/>
    <w:autoRedefine/>
    <w:unhideWhenUsed/>
    <w:qFormat/>
    <w:uiPriority w:val="99"/>
    <w:pPr>
      <w:spacing w:after="120"/>
      <w:ind w:firstLine="420" w:firstLineChars="100"/>
    </w:pPr>
    <w:rPr>
      <w:rFonts w:ascii="Calibri" w:hAnsi="Calibri" w:eastAsia="宋体"/>
      <w:sz w:val="21"/>
    </w:rPr>
  </w:style>
  <w:style w:type="paragraph" w:styleId="21">
    <w:name w:val="Body Text First Indent 2"/>
    <w:basedOn w:val="22"/>
    <w:next w:val="20"/>
    <w:autoRedefine/>
    <w:unhideWhenUsed/>
    <w:qFormat/>
    <w:uiPriority w:val="99"/>
    <w:pPr>
      <w:spacing w:after="120"/>
      <w:ind w:left="420" w:leftChars="200" w:firstLine="420" w:firstLineChars="200"/>
    </w:pPr>
    <w:rPr>
      <w:rFonts w:ascii="Calibri"/>
      <w:kern w:val="2"/>
      <w:sz w:val="21"/>
    </w:rPr>
  </w:style>
  <w:style w:type="paragraph" w:styleId="22">
    <w:name w:val="Body Text Indent"/>
    <w:basedOn w:val="1"/>
    <w:next w:val="23"/>
    <w:link w:val="88"/>
    <w:autoRedefine/>
    <w:qFormat/>
    <w:uiPriority w:val="0"/>
    <w:pPr>
      <w:adjustRightInd w:val="0"/>
      <w:spacing w:line="312" w:lineRule="atLeast"/>
      <w:ind w:firstLine="574"/>
      <w:textAlignment w:val="baseline"/>
    </w:pPr>
    <w:rPr>
      <w:rFonts w:ascii="宋体"/>
      <w:kern w:val="0"/>
      <w:sz w:val="28"/>
    </w:rPr>
  </w:style>
  <w:style w:type="paragraph" w:styleId="23">
    <w:name w:val="envelope return"/>
    <w:basedOn w:val="1"/>
    <w:autoRedefine/>
    <w:unhideWhenUsed/>
    <w:qFormat/>
    <w:uiPriority w:val="99"/>
    <w:pPr>
      <w:snapToGrid w:val="0"/>
    </w:pPr>
    <w:rPr>
      <w:rFonts w:ascii="Arial" w:hAnsi="Arial"/>
    </w:rPr>
  </w:style>
  <w:style w:type="paragraph" w:styleId="24">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5">
    <w:name w:val="index 4"/>
    <w:basedOn w:val="1"/>
    <w:next w:val="1"/>
    <w:autoRedefine/>
    <w:semiHidden/>
    <w:qFormat/>
    <w:uiPriority w:val="0"/>
    <w:pPr>
      <w:ind w:left="600" w:leftChars="600"/>
    </w:pPr>
  </w:style>
  <w:style w:type="paragraph" w:styleId="26">
    <w:name w:val="toc 5"/>
    <w:basedOn w:val="1"/>
    <w:next w:val="1"/>
    <w:autoRedefine/>
    <w:semiHidden/>
    <w:qFormat/>
    <w:uiPriority w:val="0"/>
    <w:pPr>
      <w:ind w:left="840"/>
      <w:jc w:val="left"/>
    </w:pPr>
    <w:rPr>
      <w:szCs w:val="21"/>
    </w:rPr>
  </w:style>
  <w:style w:type="paragraph" w:styleId="27">
    <w:name w:val="toc 3"/>
    <w:basedOn w:val="1"/>
    <w:next w:val="1"/>
    <w:autoRedefine/>
    <w:semiHidden/>
    <w:qFormat/>
    <w:uiPriority w:val="0"/>
    <w:pPr>
      <w:ind w:left="420"/>
      <w:jc w:val="left"/>
    </w:pPr>
    <w:rPr>
      <w:i/>
      <w:iCs/>
      <w:szCs w:val="24"/>
    </w:rPr>
  </w:style>
  <w:style w:type="paragraph" w:styleId="28">
    <w:name w:val="Plain Text"/>
    <w:basedOn w:val="1"/>
    <w:link w:val="89"/>
    <w:autoRedefine/>
    <w:qFormat/>
    <w:uiPriority w:val="0"/>
    <w:rPr>
      <w:rFonts w:ascii="宋体" w:hAnsi="Courier New"/>
    </w:rPr>
  </w:style>
  <w:style w:type="paragraph" w:styleId="29">
    <w:name w:val="toc 8"/>
    <w:basedOn w:val="1"/>
    <w:next w:val="1"/>
    <w:autoRedefine/>
    <w:semiHidden/>
    <w:qFormat/>
    <w:uiPriority w:val="0"/>
    <w:pPr>
      <w:ind w:left="1470"/>
      <w:jc w:val="left"/>
    </w:pPr>
    <w:rPr>
      <w:szCs w:val="21"/>
    </w:rPr>
  </w:style>
  <w:style w:type="paragraph" w:styleId="30">
    <w:name w:val="index 3"/>
    <w:basedOn w:val="1"/>
    <w:next w:val="1"/>
    <w:autoRedefine/>
    <w:semiHidden/>
    <w:qFormat/>
    <w:uiPriority w:val="0"/>
    <w:pPr>
      <w:ind w:left="400" w:leftChars="400"/>
    </w:pPr>
  </w:style>
  <w:style w:type="paragraph" w:styleId="31">
    <w:name w:val="Date"/>
    <w:basedOn w:val="1"/>
    <w:next w:val="1"/>
    <w:link w:val="90"/>
    <w:autoRedefine/>
    <w:qFormat/>
    <w:uiPriority w:val="0"/>
    <w:pPr>
      <w:adjustRightInd w:val="0"/>
      <w:spacing w:line="312" w:lineRule="atLeast"/>
      <w:textAlignment w:val="baseline"/>
    </w:pPr>
    <w:rPr>
      <w:rFonts w:ascii="宋体"/>
      <w:kern w:val="0"/>
      <w:sz w:val="28"/>
    </w:rPr>
  </w:style>
  <w:style w:type="paragraph" w:styleId="32">
    <w:name w:val="Body Text Indent 2"/>
    <w:basedOn w:val="1"/>
    <w:link w:val="91"/>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3">
    <w:name w:val="Balloon Text"/>
    <w:basedOn w:val="1"/>
    <w:link w:val="92"/>
    <w:autoRedefine/>
    <w:qFormat/>
    <w:uiPriority w:val="0"/>
    <w:rPr>
      <w:sz w:val="18"/>
      <w:szCs w:val="18"/>
    </w:rPr>
  </w:style>
  <w:style w:type="paragraph" w:styleId="34">
    <w:name w:val="footer"/>
    <w:basedOn w:val="1"/>
    <w:link w:val="93"/>
    <w:autoRedefine/>
    <w:qFormat/>
    <w:uiPriority w:val="0"/>
    <w:pPr>
      <w:tabs>
        <w:tab w:val="center" w:pos="4153"/>
        <w:tab w:val="right" w:pos="8306"/>
      </w:tabs>
      <w:snapToGrid w:val="0"/>
      <w:jc w:val="left"/>
    </w:pPr>
    <w:rPr>
      <w:sz w:val="18"/>
    </w:rPr>
  </w:style>
  <w:style w:type="paragraph" w:styleId="35">
    <w:name w:val="header"/>
    <w:basedOn w:val="1"/>
    <w:link w:val="94"/>
    <w:autoRedefine/>
    <w:qFormat/>
    <w:uiPriority w:val="99"/>
    <w:pPr>
      <w:pBdr>
        <w:bottom w:val="single" w:color="auto" w:sz="6" w:space="1"/>
      </w:pBdr>
      <w:tabs>
        <w:tab w:val="center" w:pos="4153"/>
        <w:tab w:val="right" w:pos="8306"/>
      </w:tabs>
      <w:snapToGrid w:val="0"/>
      <w:jc w:val="center"/>
    </w:pPr>
    <w:rPr>
      <w:sz w:val="18"/>
    </w:rPr>
  </w:style>
  <w:style w:type="paragraph" w:styleId="36">
    <w:name w:val="Signature"/>
    <w:basedOn w:val="1"/>
    <w:link w:val="95"/>
    <w:autoRedefine/>
    <w:qFormat/>
    <w:uiPriority w:val="0"/>
    <w:pPr>
      <w:adjustRightInd w:val="0"/>
      <w:spacing w:after="600" w:line="312" w:lineRule="atLeast"/>
      <w:jc w:val="center"/>
      <w:textAlignment w:val="baseline"/>
    </w:pPr>
    <w:rPr>
      <w:rFonts w:eastAsia="仿宋_GB2312"/>
      <w:kern w:val="0"/>
      <w:sz w:val="24"/>
    </w:rPr>
  </w:style>
  <w:style w:type="paragraph" w:styleId="37">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8">
    <w:name w:val="toc 4"/>
    <w:basedOn w:val="1"/>
    <w:next w:val="1"/>
    <w:autoRedefine/>
    <w:semiHidden/>
    <w:qFormat/>
    <w:uiPriority w:val="0"/>
    <w:pPr>
      <w:ind w:left="630"/>
      <w:jc w:val="left"/>
    </w:pPr>
    <w:rPr>
      <w:szCs w:val="21"/>
    </w:rPr>
  </w:style>
  <w:style w:type="paragraph" w:styleId="39">
    <w:name w:val="index heading"/>
    <w:basedOn w:val="1"/>
    <w:next w:val="40"/>
    <w:autoRedefine/>
    <w:semiHidden/>
    <w:qFormat/>
    <w:uiPriority w:val="0"/>
  </w:style>
  <w:style w:type="paragraph" w:styleId="40">
    <w:name w:val="index 1"/>
    <w:basedOn w:val="1"/>
    <w:next w:val="1"/>
    <w:autoRedefine/>
    <w:semiHidden/>
    <w:qFormat/>
    <w:uiPriority w:val="0"/>
  </w:style>
  <w:style w:type="paragraph" w:styleId="41">
    <w:name w:val="Subtitle"/>
    <w:basedOn w:val="1"/>
    <w:next w:val="1"/>
    <w:link w:val="96"/>
    <w:autoRedefine/>
    <w:qFormat/>
    <w:uiPriority w:val="11"/>
    <w:pPr>
      <w:widowControl/>
      <w:spacing w:after="240" w:line="252" w:lineRule="auto"/>
      <w:jc w:val="center"/>
    </w:pPr>
    <w:rPr>
      <w:rFonts w:ascii="Calibri Light" w:hAnsi="Calibri Light"/>
      <w:kern w:val="0"/>
      <w:sz w:val="24"/>
      <w:szCs w:val="24"/>
    </w:rPr>
  </w:style>
  <w:style w:type="paragraph" w:styleId="42">
    <w:name w:val="toc 6"/>
    <w:basedOn w:val="1"/>
    <w:next w:val="1"/>
    <w:autoRedefine/>
    <w:semiHidden/>
    <w:qFormat/>
    <w:uiPriority w:val="0"/>
    <w:pPr>
      <w:ind w:left="1050"/>
      <w:jc w:val="left"/>
    </w:pPr>
    <w:rPr>
      <w:szCs w:val="21"/>
    </w:rPr>
  </w:style>
  <w:style w:type="paragraph" w:styleId="43">
    <w:name w:val="Body Text Indent 3"/>
    <w:basedOn w:val="1"/>
    <w:link w:val="97"/>
    <w:autoRedefine/>
    <w:qFormat/>
    <w:uiPriority w:val="0"/>
    <w:pPr>
      <w:ind w:firstLine="555"/>
    </w:pPr>
    <w:rPr>
      <w:b/>
      <w:bCs/>
      <w:sz w:val="28"/>
      <w:u w:val="single"/>
    </w:rPr>
  </w:style>
  <w:style w:type="paragraph" w:styleId="44">
    <w:name w:val="index 7"/>
    <w:basedOn w:val="1"/>
    <w:next w:val="1"/>
    <w:autoRedefine/>
    <w:semiHidden/>
    <w:qFormat/>
    <w:uiPriority w:val="0"/>
    <w:pPr>
      <w:ind w:left="1200" w:leftChars="1200"/>
    </w:pPr>
  </w:style>
  <w:style w:type="paragraph" w:styleId="45">
    <w:name w:val="index 9"/>
    <w:basedOn w:val="1"/>
    <w:next w:val="1"/>
    <w:autoRedefine/>
    <w:semiHidden/>
    <w:qFormat/>
    <w:uiPriority w:val="0"/>
    <w:pPr>
      <w:ind w:left="1600" w:leftChars="1600"/>
    </w:pPr>
  </w:style>
  <w:style w:type="paragraph" w:styleId="46">
    <w:name w:val="table of figures"/>
    <w:basedOn w:val="1"/>
    <w:next w:val="1"/>
    <w:autoRedefine/>
    <w:semiHidden/>
    <w:qFormat/>
    <w:uiPriority w:val="0"/>
    <w:pPr>
      <w:ind w:left="840" w:leftChars="200" w:hanging="420" w:hangingChars="200"/>
    </w:pPr>
  </w:style>
  <w:style w:type="paragraph" w:styleId="47">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8">
    <w:name w:val="toc 9"/>
    <w:basedOn w:val="1"/>
    <w:next w:val="1"/>
    <w:autoRedefine/>
    <w:semiHidden/>
    <w:qFormat/>
    <w:uiPriority w:val="0"/>
    <w:pPr>
      <w:ind w:left="1680"/>
      <w:jc w:val="left"/>
    </w:pPr>
    <w:rPr>
      <w:szCs w:val="21"/>
    </w:rPr>
  </w:style>
  <w:style w:type="paragraph" w:styleId="49">
    <w:name w:val="HTML Preformatted"/>
    <w:basedOn w:val="1"/>
    <w:link w:val="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5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autoRedefine/>
    <w:semiHidden/>
    <w:qFormat/>
    <w:uiPriority w:val="0"/>
    <w:pPr>
      <w:ind w:left="200" w:leftChars="200"/>
    </w:pPr>
  </w:style>
  <w:style w:type="paragraph" w:styleId="52">
    <w:name w:val="Title"/>
    <w:basedOn w:val="1"/>
    <w:next w:val="1"/>
    <w:link w:val="99"/>
    <w:autoRedefine/>
    <w:qFormat/>
    <w:uiPriority w:val="10"/>
    <w:pPr>
      <w:widowControl/>
      <w:contextualSpacing/>
      <w:jc w:val="center"/>
    </w:pPr>
    <w:rPr>
      <w:rFonts w:ascii="Calibri Light" w:hAnsi="Calibri Light"/>
      <w:b/>
      <w:bCs/>
      <w:spacing w:val="-7"/>
      <w:kern w:val="0"/>
      <w:sz w:val="48"/>
      <w:szCs w:val="48"/>
    </w:rPr>
  </w:style>
  <w:style w:type="paragraph" w:styleId="53">
    <w:name w:val="annotation subject"/>
    <w:basedOn w:val="17"/>
    <w:next w:val="17"/>
    <w:link w:val="100"/>
    <w:autoRedefine/>
    <w:qFormat/>
    <w:uiPriority w:val="0"/>
    <w:rPr>
      <w:b/>
      <w:bCs/>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表格内容"/>
    <w:basedOn w:val="1"/>
    <w:autoRedefine/>
    <w:qFormat/>
    <w:uiPriority w:val="0"/>
    <w:pPr>
      <w:widowControl/>
      <w:jc w:val="center"/>
      <w:textAlignment w:val="center"/>
    </w:pPr>
    <w:rPr>
      <w:rFonts w:ascii="Times New Roman" w:hAnsi="Times New Roman"/>
      <w:szCs w:val="22"/>
    </w:rPr>
  </w:style>
  <w:style w:type="paragraph" w:customStyle="1" w:styleId="73">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4">
    <w:name w:val="首行缩进"/>
    <w:basedOn w:val="1"/>
    <w:autoRedefine/>
    <w:qFormat/>
    <w:uiPriority w:val="0"/>
    <w:pPr>
      <w:ind w:firstLine="480" w:firstLineChars="200"/>
    </w:pPr>
    <w:rPr>
      <w:lang w:val="zh-CN"/>
    </w:rPr>
  </w:style>
  <w:style w:type="character" w:customStyle="1" w:styleId="75">
    <w:name w:val="标题 1 字符"/>
    <w:link w:val="2"/>
    <w:autoRedefine/>
    <w:qFormat/>
    <w:uiPriority w:val="0"/>
    <w:rPr>
      <w:rFonts w:ascii="宋体" w:hAnsi="宋体"/>
      <w:b/>
      <w:kern w:val="2"/>
      <w:sz w:val="36"/>
    </w:rPr>
  </w:style>
  <w:style w:type="character" w:customStyle="1" w:styleId="76">
    <w:name w:val="标题 2 字符"/>
    <w:link w:val="3"/>
    <w:autoRedefine/>
    <w:qFormat/>
    <w:locked/>
    <w:uiPriority w:val="0"/>
    <w:rPr>
      <w:rFonts w:eastAsia="楷体_GB2312"/>
      <w:b/>
      <w:bCs/>
      <w:kern w:val="2"/>
      <w:sz w:val="28"/>
      <w:szCs w:val="28"/>
    </w:rPr>
  </w:style>
  <w:style w:type="character" w:customStyle="1" w:styleId="77">
    <w:name w:val="标题 3 字符"/>
    <w:link w:val="4"/>
    <w:autoRedefine/>
    <w:qFormat/>
    <w:uiPriority w:val="9"/>
    <w:rPr>
      <w:rFonts w:ascii="宋体" w:hAnsi="宋体"/>
      <w:kern w:val="2"/>
      <w:sz w:val="28"/>
    </w:rPr>
  </w:style>
  <w:style w:type="character" w:customStyle="1" w:styleId="78">
    <w:name w:val="标题 4 字符"/>
    <w:link w:val="5"/>
    <w:autoRedefine/>
    <w:qFormat/>
    <w:uiPriority w:val="9"/>
    <w:rPr>
      <w:b/>
      <w:bCs/>
      <w:kern w:val="2"/>
      <w:sz w:val="18"/>
    </w:rPr>
  </w:style>
  <w:style w:type="character" w:customStyle="1" w:styleId="79">
    <w:name w:val="标题 5 字符"/>
    <w:link w:val="6"/>
    <w:autoRedefine/>
    <w:qFormat/>
    <w:uiPriority w:val="9"/>
    <w:rPr>
      <w:b/>
      <w:bCs/>
      <w:kern w:val="2"/>
      <w:sz w:val="18"/>
    </w:rPr>
  </w:style>
  <w:style w:type="character" w:customStyle="1" w:styleId="80">
    <w:name w:val="标题 6 字符"/>
    <w:link w:val="7"/>
    <w:autoRedefine/>
    <w:qFormat/>
    <w:uiPriority w:val="9"/>
    <w:rPr>
      <w:rFonts w:ascii="Calibri Light" w:hAnsi="Calibri Light"/>
      <w:b/>
      <w:bCs/>
      <w:i/>
      <w:iCs/>
    </w:rPr>
  </w:style>
  <w:style w:type="character" w:customStyle="1" w:styleId="81">
    <w:name w:val="标题 7 字符"/>
    <w:link w:val="8"/>
    <w:autoRedefine/>
    <w:qFormat/>
    <w:uiPriority w:val="9"/>
    <w:rPr>
      <w:i/>
      <w:iCs/>
    </w:rPr>
  </w:style>
  <w:style w:type="character" w:customStyle="1" w:styleId="82">
    <w:name w:val="标题 8 字符"/>
    <w:link w:val="9"/>
    <w:autoRedefine/>
    <w:qFormat/>
    <w:uiPriority w:val="9"/>
    <w:rPr>
      <w:b/>
      <w:bCs/>
    </w:rPr>
  </w:style>
  <w:style w:type="character" w:customStyle="1" w:styleId="83">
    <w:name w:val="标题 9 字符"/>
    <w:link w:val="10"/>
    <w:autoRedefine/>
    <w:qFormat/>
    <w:uiPriority w:val="9"/>
    <w:rPr>
      <w:i/>
      <w:iCs/>
    </w:rPr>
  </w:style>
  <w:style w:type="character" w:customStyle="1" w:styleId="84">
    <w:name w:val="正文缩进 字符"/>
    <w:link w:val="13"/>
    <w:autoRedefine/>
    <w:qFormat/>
    <w:uiPriority w:val="0"/>
    <w:rPr>
      <w:kern w:val="2"/>
      <w:sz w:val="21"/>
    </w:rPr>
  </w:style>
  <w:style w:type="character" w:customStyle="1" w:styleId="85">
    <w:name w:val="文档结构图 字符"/>
    <w:link w:val="16"/>
    <w:autoRedefine/>
    <w:semiHidden/>
    <w:qFormat/>
    <w:uiPriority w:val="0"/>
    <w:rPr>
      <w:kern w:val="2"/>
      <w:sz w:val="21"/>
      <w:shd w:val="clear" w:color="auto" w:fill="000080"/>
    </w:rPr>
  </w:style>
  <w:style w:type="character" w:customStyle="1" w:styleId="86">
    <w:name w:val="批注文字 字符"/>
    <w:link w:val="17"/>
    <w:autoRedefine/>
    <w:qFormat/>
    <w:uiPriority w:val="0"/>
    <w:rPr>
      <w:kern w:val="2"/>
      <w:sz w:val="21"/>
    </w:rPr>
  </w:style>
  <w:style w:type="character" w:customStyle="1" w:styleId="87">
    <w:name w:val="正文文本 字符1"/>
    <w:link w:val="19"/>
    <w:autoRedefine/>
    <w:qFormat/>
    <w:uiPriority w:val="0"/>
    <w:rPr>
      <w:rFonts w:ascii="楷体_GB2312" w:hAnsi="Arial" w:eastAsia="楷体_GB2312"/>
      <w:kern w:val="2"/>
      <w:sz w:val="28"/>
    </w:rPr>
  </w:style>
  <w:style w:type="character" w:customStyle="1" w:styleId="88">
    <w:name w:val="正文文本缩进 字符"/>
    <w:link w:val="22"/>
    <w:autoRedefine/>
    <w:qFormat/>
    <w:uiPriority w:val="0"/>
    <w:rPr>
      <w:rFonts w:ascii="宋体"/>
      <w:sz w:val="28"/>
    </w:rPr>
  </w:style>
  <w:style w:type="character" w:customStyle="1" w:styleId="89">
    <w:name w:val="纯文本 字符"/>
    <w:link w:val="28"/>
    <w:autoRedefine/>
    <w:qFormat/>
    <w:uiPriority w:val="0"/>
    <w:rPr>
      <w:rFonts w:ascii="宋体" w:hAnsi="Courier New"/>
      <w:kern w:val="2"/>
      <w:sz w:val="21"/>
    </w:rPr>
  </w:style>
  <w:style w:type="character" w:customStyle="1" w:styleId="90">
    <w:name w:val="日期 字符"/>
    <w:link w:val="31"/>
    <w:autoRedefine/>
    <w:qFormat/>
    <w:uiPriority w:val="0"/>
    <w:rPr>
      <w:rFonts w:ascii="宋体"/>
      <w:sz w:val="28"/>
    </w:rPr>
  </w:style>
  <w:style w:type="character" w:customStyle="1" w:styleId="91">
    <w:name w:val="正文文本缩进 2 字符"/>
    <w:link w:val="32"/>
    <w:autoRedefine/>
    <w:qFormat/>
    <w:uiPriority w:val="0"/>
    <w:rPr>
      <w:kern w:val="2"/>
      <w:sz w:val="24"/>
    </w:rPr>
  </w:style>
  <w:style w:type="character" w:customStyle="1" w:styleId="92">
    <w:name w:val="批注框文本 字符"/>
    <w:link w:val="33"/>
    <w:autoRedefine/>
    <w:qFormat/>
    <w:uiPriority w:val="0"/>
    <w:rPr>
      <w:kern w:val="2"/>
      <w:sz w:val="18"/>
      <w:szCs w:val="18"/>
    </w:rPr>
  </w:style>
  <w:style w:type="character" w:customStyle="1" w:styleId="93">
    <w:name w:val="页脚 字符"/>
    <w:link w:val="34"/>
    <w:autoRedefine/>
    <w:qFormat/>
    <w:uiPriority w:val="0"/>
    <w:rPr>
      <w:kern w:val="2"/>
      <w:sz w:val="18"/>
    </w:rPr>
  </w:style>
  <w:style w:type="character" w:customStyle="1" w:styleId="94">
    <w:name w:val="页眉 字符"/>
    <w:link w:val="35"/>
    <w:autoRedefine/>
    <w:qFormat/>
    <w:uiPriority w:val="99"/>
    <w:rPr>
      <w:kern w:val="2"/>
      <w:sz w:val="18"/>
    </w:rPr>
  </w:style>
  <w:style w:type="character" w:customStyle="1" w:styleId="95">
    <w:name w:val="签名 字符1"/>
    <w:link w:val="36"/>
    <w:autoRedefine/>
    <w:qFormat/>
    <w:locked/>
    <w:uiPriority w:val="0"/>
    <w:rPr>
      <w:rFonts w:eastAsia="仿宋_GB2312"/>
      <w:sz w:val="24"/>
    </w:rPr>
  </w:style>
  <w:style w:type="character" w:customStyle="1" w:styleId="96">
    <w:name w:val="副标题 字符"/>
    <w:link w:val="41"/>
    <w:autoRedefine/>
    <w:qFormat/>
    <w:uiPriority w:val="11"/>
    <w:rPr>
      <w:rFonts w:ascii="Calibri Light" w:hAnsi="Calibri Light"/>
      <w:sz w:val="24"/>
      <w:szCs w:val="24"/>
    </w:rPr>
  </w:style>
  <w:style w:type="character" w:customStyle="1" w:styleId="97">
    <w:name w:val="正文文本缩进 3 字符"/>
    <w:link w:val="43"/>
    <w:autoRedefine/>
    <w:qFormat/>
    <w:uiPriority w:val="0"/>
    <w:rPr>
      <w:b/>
      <w:bCs/>
      <w:kern w:val="2"/>
      <w:sz w:val="28"/>
      <w:u w:val="single"/>
    </w:rPr>
  </w:style>
  <w:style w:type="character" w:customStyle="1" w:styleId="98">
    <w:name w:val="HTML 预设格式 字符"/>
    <w:link w:val="49"/>
    <w:autoRedefine/>
    <w:qFormat/>
    <w:uiPriority w:val="0"/>
    <w:rPr>
      <w:rFonts w:ascii="Arial" w:hAnsi="Arial" w:cs="Arial"/>
      <w:sz w:val="24"/>
      <w:szCs w:val="24"/>
    </w:rPr>
  </w:style>
  <w:style w:type="character" w:customStyle="1" w:styleId="99">
    <w:name w:val="标题 字符"/>
    <w:link w:val="52"/>
    <w:autoRedefine/>
    <w:qFormat/>
    <w:uiPriority w:val="10"/>
    <w:rPr>
      <w:rFonts w:ascii="Calibri Light" w:hAnsi="Calibri Light"/>
      <w:b/>
      <w:bCs/>
      <w:spacing w:val="-7"/>
      <w:sz w:val="48"/>
      <w:szCs w:val="48"/>
    </w:rPr>
  </w:style>
  <w:style w:type="character" w:customStyle="1" w:styleId="100">
    <w:name w:val="批注主题 字符"/>
    <w:link w:val="53"/>
    <w:autoRedefine/>
    <w:qFormat/>
    <w:uiPriority w:val="0"/>
    <w:rPr>
      <w:b/>
      <w:bCs/>
      <w:kern w:val="2"/>
      <w:sz w:val="21"/>
    </w:rPr>
  </w:style>
  <w:style w:type="character" w:customStyle="1" w:styleId="101">
    <w:name w:val="引用 Char1"/>
    <w:autoRedefine/>
    <w:qFormat/>
    <w:uiPriority w:val="29"/>
    <w:rPr>
      <w:i/>
      <w:iCs/>
      <w:color w:val="404040"/>
      <w:kern w:val="2"/>
      <w:sz w:val="21"/>
    </w:rPr>
  </w:style>
  <w:style w:type="character" w:customStyle="1" w:styleId="102">
    <w:name w:val="副标题 Char1"/>
    <w:autoRedefine/>
    <w:qFormat/>
    <w:uiPriority w:val="11"/>
    <w:rPr>
      <w:rFonts w:ascii="Calibri Light" w:hAnsi="Calibri Light" w:cs="Times New Roman"/>
      <w:b/>
      <w:bCs/>
      <w:kern w:val="28"/>
      <w:sz w:val="32"/>
      <w:szCs w:val="32"/>
    </w:rPr>
  </w:style>
  <w:style w:type="character" w:customStyle="1" w:styleId="103">
    <w:name w:val="纯文本 Char1"/>
    <w:link w:val="104"/>
    <w:autoRedefine/>
    <w:qFormat/>
    <w:uiPriority w:val="0"/>
    <w:rPr>
      <w:rFonts w:ascii="宋体" w:hAnsi="Courier New"/>
    </w:rPr>
  </w:style>
  <w:style w:type="paragraph" w:customStyle="1" w:styleId="104">
    <w:name w:val="纯文本1"/>
    <w:basedOn w:val="1"/>
    <w:link w:val="103"/>
    <w:autoRedefine/>
    <w:qFormat/>
    <w:uiPriority w:val="0"/>
    <w:rPr>
      <w:rFonts w:ascii="宋体" w:hAnsi="Courier New"/>
      <w:kern w:val="0"/>
      <w:sz w:val="20"/>
    </w:rPr>
  </w:style>
  <w:style w:type="character" w:customStyle="1" w:styleId="105">
    <w:name w:val="标题 1 Char1"/>
    <w:autoRedefine/>
    <w:qFormat/>
    <w:uiPriority w:val="9"/>
    <w:rPr>
      <w:rFonts w:ascii="Calibri Light" w:hAnsi="Calibri Light"/>
      <w:b/>
      <w:bCs/>
      <w:caps/>
      <w:spacing w:val="4"/>
      <w:sz w:val="28"/>
      <w:szCs w:val="28"/>
    </w:rPr>
  </w:style>
  <w:style w:type="character" w:customStyle="1" w:styleId="106">
    <w:name w:val="明显引用 字符"/>
    <w:link w:val="107"/>
    <w:autoRedefine/>
    <w:qFormat/>
    <w:uiPriority w:val="30"/>
    <w:rPr>
      <w:rFonts w:ascii="Calibri Light" w:hAnsi="Calibri Light"/>
      <w:sz w:val="26"/>
      <w:szCs w:val="26"/>
    </w:rPr>
  </w:style>
  <w:style w:type="paragraph" w:styleId="107">
    <w:name w:val="Intense Quote"/>
    <w:basedOn w:val="1"/>
    <w:next w:val="1"/>
    <w:link w:val="106"/>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08">
    <w:name w:val="签名 Char1"/>
    <w:autoRedefine/>
    <w:semiHidden/>
    <w:qFormat/>
    <w:uiPriority w:val="0"/>
    <w:rPr>
      <w:sz w:val="24"/>
      <w:szCs w:val="24"/>
    </w:rPr>
  </w:style>
  <w:style w:type="character" w:customStyle="1" w:styleId="109">
    <w:name w:val="书籍标题1"/>
    <w:autoRedefine/>
    <w:qFormat/>
    <w:uiPriority w:val="33"/>
    <w:rPr>
      <w:b/>
      <w:bCs/>
      <w:smallCaps/>
      <w:color w:val="auto"/>
    </w:rPr>
  </w:style>
  <w:style w:type="character" w:customStyle="1" w:styleId="110">
    <w:name w:val="不明显强调1"/>
    <w:autoRedefine/>
    <w:qFormat/>
    <w:uiPriority w:val="19"/>
    <w:rPr>
      <w:i/>
      <w:iCs/>
      <w:color w:val="auto"/>
    </w:rPr>
  </w:style>
  <w:style w:type="character" w:customStyle="1" w:styleId="111">
    <w:name w:val="明显引用 Char1"/>
    <w:autoRedefine/>
    <w:qFormat/>
    <w:uiPriority w:val="30"/>
    <w:rPr>
      <w:i/>
      <w:iCs/>
      <w:color w:val="5B9BD5"/>
      <w:kern w:val="2"/>
      <w:sz w:val="21"/>
    </w:rPr>
  </w:style>
  <w:style w:type="character" w:customStyle="1" w:styleId="112">
    <w:name w:val="标题 Char1"/>
    <w:autoRedefine/>
    <w:qFormat/>
    <w:uiPriority w:val="10"/>
    <w:rPr>
      <w:rFonts w:ascii="Calibri Light" w:hAnsi="Calibri Light" w:cs="Times New Roman"/>
      <w:b/>
      <w:bCs/>
      <w:kern w:val="2"/>
      <w:sz w:val="32"/>
      <w:szCs w:val="32"/>
    </w:rPr>
  </w:style>
  <w:style w:type="character" w:customStyle="1" w:styleId="113">
    <w:name w:val="正文文本 Char2"/>
    <w:autoRedefine/>
    <w:semiHidden/>
    <w:qFormat/>
    <w:uiPriority w:val="0"/>
    <w:rPr>
      <w:sz w:val="24"/>
      <w:szCs w:val="24"/>
    </w:rPr>
  </w:style>
  <w:style w:type="character" w:customStyle="1" w:styleId="114">
    <w:name w:val="正文格式（小四） Char"/>
    <w:link w:val="115"/>
    <w:autoRedefine/>
    <w:qFormat/>
    <w:locked/>
    <w:uiPriority w:val="0"/>
    <w:rPr>
      <w:kern w:val="24"/>
      <w:sz w:val="24"/>
      <w:szCs w:val="24"/>
    </w:rPr>
  </w:style>
  <w:style w:type="paragraph" w:customStyle="1" w:styleId="115">
    <w:name w:val="正文格式（小四）"/>
    <w:basedOn w:val="1"/>
    <w:link w:val="114"/>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6">
    <w:name w:val="批注文字 Char2"/>
    <w:autoRedefine/>
    <w:semiHidden/>
    <w:qFormat/>
    <w:uiPriority w:val="0"/>
    <w:rPr>
      <w:sz w:val="24"/>
      <w:szCs w:val="24"/>
    </w:rPr>
  </w:style>
  <w:style w:type="character" w:customStyle="1" w:styleId="117">
    <w:name w:val="Plain Text Char"/>
    <w:autoRedefine/>
    <w:qFormat/>
    <w:locked/>
    <w:uiPriority w:val="0"/>
    <w:rPr>
      <w:rFonts w:ascii="宋体" w:hAnsi="Courier New" w:eastAsia="楷体_GB2312"/>
      <w:kern w:val="2"/>
      <w:sz w:val="26"/>
    </w:rPr>
  </w:style>
  <w:style w:type="character" w:customStyle="1" w:styleId="118">
    <w:name w:val="批注主题 Char1"/>
    <w:autoRedefine/>
    <w:semiHidden/>
    <w:qFormat/>
    <w:uiPriority w:val="0"/>
    <w:rPr>
      <w:b/>
      <w:bCs/>
      <w:sz w:val="24"/>
      <w:szCs w:val="24"/>
    </w:rPr>
  </w:style>
  <w:style w:type="character" w:customStyle="1" w:styleId="119">
    <w:name w:val="方案正文 Char"/>
    <w:link w:val="120"/>
    <w:autoRedefine/>
    <w:qFormat/>
    <w:uiPriority w:val="0"/>
    <w:rPr>
      <w:spacing w:val="2"/>
      <w:kern w:val="2"/>
      <w:sz w:val="21"/>
      <w:szCs w:val="21"/>
    </w:rPr>
  </w:style>
  <w:style w:type="paragraph" w:customStyle="1" w:styleId="120">
    <w:name w:val="方案正文"/>
    <w:basedOn w:val="1"/>
    <w:link w:val="119"/>
    <w:autoRedefine/>
    <w:qFormat/>
    <w:uiPriority w:val="0"/>
    <w:pPr>
      <w:widowControl/>
      <w:tabs>
        <w:tab w:val="left" w:pos="0"/>
      </w:tabs>
      <w:spacing w:line="360" w:lineRule="auto"/>
      <w:jc w:val="left"/>
    </w:pPr>
    <w:rPr>
      <w:spacing w:val="2"/>
      <w:szCs w:val="21"/>
    </w:rPr>
  </w:style>
  <w:style w:type="character" w:customStyle="1" w:styleId="121">
    <w:name w:val="正文文本 字符"/>
    <w:autoRedefine/>
    <w:qFormat/>
    <w:uiPriority w:val="0"/>
    <w:rPr>
      <w:rFonts w:ascii="楷体_GB2312" w:hAnsi="Arial" w:eastAsia="楷体_GB2312"/>
      <w:kern w:val="2"/>
      <w:sz w:val="28"/>
    </w:rPr>
  </w:style>
  <w:style w:type="character" w:customStyle="1" w:styleId="122">
    <w:name w:val="明显强调1"/>
    <w:autoRedefine/>
    <w:qFormat/>
    <w:uiPriority w:val="21"/>
    <w:rPr>
      <w:b/>
      <w:bCs/>
      <w:i/>
      <w:iCs/>
      <w:color w:val="auto"/>
    </w:rPr>
  </w:style>
  <w:style w:type="character" w:customStyle="1" w:styleId="123">
    <w:name w:val="引用 字符"/>
    <w:link w:val="124"/>
    <w:autoRedefine/>
    <w:qFormat/>
    <w:uiPriority w:val="29"/>
    <w:rPr>
      <w:rFonts w:ascii="Calibri Light" w:hAnsi="Calibri Light"/>
      <w:i/>
      <w:iCs/>
      <w:sz w:val="24"/>
      <w:szCs w:val="24"/>
    </w:rPr>
  </w:style>
  <w:style w:type="paragraph" w:styleId="124">
    <w:name w:val="Quote"/>
    <w:basedOn w:val="1"/>
    <w:next w:val="1"/>
    <w:link w:val="123"/>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5">
    <w:name w:val="页眉 Char1"/>
    <w:autoRedefine/>
    <w:semiHidden/>
    <w:qFormat/>
    <w:uiPriority w:val="99"/>
    <w:rPr>
      <w:sz w:val="18"/>
      <w:szCs w:val="18"/>
    </w:rPr>
  </w:style>
  <w:style w:type="character" w:customStyle="1" w:styleId="126">
    <w:name w:val="列出段落 字符"/>
    <w:link w:val="127"/>
    <w:autoRedefine/>
    <w:qFormat/>
    <w:locked/>
    <w:uiPriority w:val="34"/>
    <w:rPr>
      <w:kern w:val="2"/>
      <w:sz w:val="24"/>
      <w:szCs w:val="21"/>
    </w:rPr>
  </w:style>
  <w:style w:type="paragraph" w:styleId="127">
    <w:name w:val="List Paragraph"/>
    <w:basedOn w:val="1"/>
    <w:link w:val="126"/>
    <w:autoRedefine/>
    <w:qFormat/>
    <w:uiPriority w:val="34"/>
    <w:pPr>
      <w:spacing w:line="360" w:lineRule="auto"/>
      <w:ind w:firstLine="420" w:firstLineChars="200"/>
    </w:pPr>
    <w:rPr>
      <w:sz w:val="24"/>
      <w:szCs w:val="21"/>
    </w:rPr>
  </w:style>
  <w:style w:type="character" w:customStyle="1" w:styleId="128">
    <w:name w:val="不明显参考1"/>
    <w:autoRedefine/>
    <w:qFormat/>
    <w:uiPriority w:val="31"/>
    <w:rPr>
      <w:smallCaps/>
      <w:color w:val="auto"/>
      <w:u w:val="single" w:color="7F7F7F"/>
    </w:rPr>
  </w:style>
  <w:style w:type="character" w:customStyle="1" w:styleId="129">
    <w:name w:val="日期 Char1"/>
    <w:autoRedefine/>
    <w:semiHidden/>
    <w:qFormat/>
    <w:uiPriority w:val="0"/>
    <w:rPr>
      <w:sz w:val="24"/>
      <w:szCs w:val="24"/>
    </w:rPr>
  </w:style>
  <w:style w:type="character" w:customStyle="1" w:styleId="130">
    <w:name w:val="正文文本 Char1"/>
    <w:autoRedefine/>
    <w:qFormat/>
    <w:uiPriority w:val="0"/>
    <w:rPr>
      <w:rFonts w:ascii="楷体_GB2312" w:hAnsi="Arial" w:eastAsia="楷体_GB2312"/>
      <w:kern w:val="2"/>
      <w:sz w:val="28"/>
    </w:rPr>
  </w:style>
  <w:style w:type="character" w:customStyle="1" w:styleId="131">
    <w:name w:val="签名 字符"/>
    <w:autoRedefine/>
    <w:qFormat/>
    <w:locked/>
    <w:uiPriority w:val="0"/>
    <w:rPr>
      <w:rFonts w:eastAsia="仿宋_GB2312"/>
      <w:sz w:val="24"/>
    </w:rPr>
  </w:style>
  <w:style w:type="character" w:customStyle="1" w:styleId="132">
    <w:name w:val="批注文字 Char"/>
    <w:autoRedefine/>
    <w:qFormat/>
    <w:uiPriority w:val="0"/>
    <w:rPr>
      <w:kern w:val="2"/>
      <w:sz w:val="21"/>
    </w:rPr>
  </w:style>
  <w:style w:type="character" w:customStyle="1" w:styleId="133">
    <w:name w:val="批注框文本 Char1"/>
    <w:autoRedefine/>
    <w:semiHidden/>
    <w:qFormat/>
    <w:uiPriority w:val="0"/>
    <w:rPr>
      <w:sz w:val="18"/>
      <w:szCs w:val="18"/>
    </w:rPr>
  </w:style>
  <w:style w:type="character" w:customStyle="1" w:styleId="134">
    <w:name w:val="正文缩进 Char1"/>
    <w:link w:val="135"/>
    <w:autoRedefine/>
    <w:qFormat/>
    <w:uiPriority w:val="0"/>
    <w:rPr>
      <w:rFonts w:ascii="宋体"/>
      <w:sz w:val="24"/>
    </w:rPr>
  </w:style>
  <w:style w:type="paragraph" w:customStyle="1" w:styleId="135">
    <w:name w:val="正文缩进1"/>
    <w:basedOn w:val="1"/>
    <w:link w:val="134"/>
    <w:autoRedefine/>
    <w:qFormat/>
    <w:uiPriority w:val="0"/>
    <w:pPr>
      <w:autoSpaceDE w:val="0"/>
      <w:autoSpaceDN w:val="0"/>
      <w:adjustRightInd w:val="0"/>
      <w:ind w:firstLine="420"/>
      <w:jc w:val="left"/>
    </w:pPr>
    <w:rPr>
      <w:rFonts w:ascii="宋体"/>
      <w:kern w:val="0"/>
      <w:sz w:val="24"/>
    </w:rPr>
  </w:style>
  <w:style w:type="character" w:customStyle="1" w:styleId="136">
    <w:name w:val="HTML 预设格式 Char1"/>
    <w:autoRedefine/>
    <w:semiHidden/>
    <w:qFormat/>
    <w:uiPriority w:val="0"/>
    <w:rPr>
      <w:rFonts w:ascii="Courier New" w:hAnsi="Courier New" w:cs="Courier New"/>
    </w:rPr>
  </w:style>
  <w:style w:type="character" w:customStyle="1" w:styleId="137">
    <w:name w:val="明显参考1"/>
    <w:autoRedefine/>
    <w:qFormat/>
    <w:uiPriority w:val="32"/>
    <w:rPr>
      <w:b/>
      <w:bCs/>
      <w:smallCaps/>
      <w:color w:val="auto"/>
      <w:u w:val="single"/>
    </w:rPr>
  </w:style>
  <w:style w:type="paragraph" w:customStyle="1" w:styleId="138">
    <w:name w:val="Char Char"/>
    <w:basedOn w:val="1"/>
    <w:autoRedefine/>
    <w:qFormat/>
    <w:uiPriority w:val="0"/>
    <w:rPr>
      <w:szCs w:val="21"/>
    </w:rPr>
  </w:style>
  <w:style w:type="paragraph" w:customStyle="1" w:styleId="139">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40">
    <w:name w:val="Char Char1 Char Char Char Char Char Char Char"/>
    <w:basedOn w:val="1"/>
    <w:autoRedefine/>
    <w:qFormat/>
    <w:uiPriority w:val="0"/>
    <w:rPr>
      <w:rFonts w:ascii="Tahoma" w:hAnsi="Tahoma"/>
      <w:sz w:val="24"/>
    </w:rPr>
  </w:style>
  <w:style w:type="paragraph" w:customStyle="1" w:styleId="141">
    <w:name w:val="索引 11"/>
    <w:basedOn w:val="1"/>
    <w:next w:val="1"/>
    <w:autoRedefine/>
    <w:qFormat/>
    <w:uiPriority w:val="0"/>
    <w:pPr>
      <w:spacing w:line="360" w:lineRule="auto"/>
    </w:pPr>
    <w:rPr>
      <w:rFonts w:ascii="仿宋_GB2312" w:eastAsia="仿宋_GB2312"/>
      <w:sz w:val="24"/>
    </w:rPr>
  </w:style>
  <w:style w:type="paragraph" w:styleId="142">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3">
    <w:name w:val="Char Char Char"/>
    <w:basedOn w:val="1"/>
    <w:autoRedefine/>
    <w:qFormat/>
    <w:uiPriority w:val="0"/>
    <w:pPr>
      <w:tabs>
        <w:tab w:val="left" w:pos="375"/>
        <w:tab w:val="left" w:pos="1545"/>
      </w:tabs>
      <w:ind w:left="375" w:hanging="375"/>
    </w:pPr>
  </w:style>
  <w:style w:type="paragraph" w:customStyle="1" w:styleId="144">
    <w:name w:val="Char"/>
    <w:basedOn w:val="1"/>
    <w:autoRedefine/>
    <w:qFormat/>
    <w:uiPriority w:val="0"/>
    <w:pPr>
      <w:numPr>
        <w:ilvl w:val="0"/>
        <w:numId w:val="1"/>
      </w:numPr>
    </w:pPr>
    <w:rPr>
      <w:sz w:val="24"/>
      <w:szCs w:val="24"/>
    </w:rPr>
  </w:style>
  <w:style w:type="paragraph" w:customStyle="1" w:styleId="145">
    <w:name w:val="Char1 Char Char Char"/>
    <w:basedOn w:val="1"/>
    <w:autoRedefine/>
    <w:qFormat/>
    <w:uiPriority w:val="0"/>
    <w:rPr>
      <w:rFonts w:ascii="Tahoma" w:hAnsi="Tahoma"/>
      <w:sz w:val="24"/>
    </w:rPr>
  </w:style>
  <w:style w:type="paragraph" w:customStyle="1" w:styleId="146">
    <w:name w:val="Char Char Char Char"/>
    <w:basedOn w:val="16"/>
    <w:autoRedefine/>
    <w:qFormat/>
    <w:uiPriority w:val="0"/>
    <w:pPr>
      <w:adjustRightInd w:val="0"/>
      <w:snapToGrid w:val="0"/>
      <w:spacing w:line="360" w:lineRule="auto"/>
    </w:pPr>
    <w:rPr>
      <w:rFonts w:ascii="Tahoma" w:hAnsi="Tahoma"/>
      <w:sz w:val="24"/>
      <w:szCs w:val="24"/>
    </w:rPr>
  </w:style>
  <w:style w:type="paragraph" w:customStyle="1" w:styleId="147">
    <w:name w:val="Char Char Char1"/>
    <w:basedOn w:val="1"/>
    <w:autoRedefine/>
    <w:qFormat/>
    <w:uiPriority w:val="0"/>
    <w:pPr>
      <w:numPr>
        <w:ilvl w:val="0"/>
        <w:numId w:val="2"/>
      </w:numPr>
      <w:tabs>
        <w:tab w:val="left" w:pos="375"/>
        <w:tab w:val="left" w:pos="1545"/>
      </w:tabs>
    </w:pPr>
  </w:style>
  <w:style w:type="paragraph" w:customStyle="1" w:styleId="148">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49">
    <w:name w:val="_Style 12"/>
    <w:basedOn w:val="16"/>
    <w:autoRedefine/>
    <w:qFormat/>
    <w:uiPriority w:val="0"/>
    <w:pPr>
      <w:widowControl/>
      <w:adjustRightInd w:val="0"/>
      <w:snapToGrid w:val="0"/>
      <w:spacing w:line="360" w:lineRule="auto"/>
      <w:jc w:val="left"/>
    </w:pPr>
    <w:rPr>
      <w:kern w:val="0"/>
      <w:sz w:val="24"/>
      <w:szCs w:val="24"/>
    </w:rPr>
  </w:style>
  <w:style w:type="paragraph" w:customStyle="1" w:styleId="150">
    <w:name w:val="Plain Text1"/>
    <w:basedOn w:val="1"/>
    <w:autoRedefine/>
    <w:qFormat/>
    <w:uiPriority w:val="0"/>
    <w:pPr>
      <w:adjustRightInd w:val="0"/>
      <w:textAlignment w:val="baseline"/>
    </w:pPr>
    <w:rPr>
      <w:rFonts w:ascii="宋体" w:hAnsi="Courier New" w:eastAsia="楷体_GB2312"/>
      <w:sz w:val="28"/>
    </w:rPr>
  </w:style>
  <w:style w:type="paragraph" w:customStyle="1" w:styleId="151">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2">
    <w:name w:val="Char Char1 Char Char Char Char Char Char Char1"/>
    <w:basedOn w:val="1"/>
    <w:autoRedefine/>
    <w:qFormat/>
    <w:uiPriority w:val="0"/>
    <w:rPr>
      <w:rFonts w:ascii="Calibri Light" w:hAnsi="Calibri Light" w:cs="Berlin Sans FB Demi"/>
      <w:sz w:val="24"/>
    </w:rPr>
  </w:style>
  <w:style w:type="paragraph" w:customStyle="1" w:styleId="153">
    <w:name w:val="TOC 标题1"/>
    <w:basedOn w:val="2"/>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4">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5">
    <w:name w:val="正文首行缩进 字符"/>
    <w:basedOn w:val="87"/>
    <w:autoRedefine/>
    <w:qFormat/>
    <w:uiPriority w:val="0"/>
    <w:rPr>
      <w:rFonts w:ascii="楷体_GB2312" w:hAnsi="Arial" w:eastAsia="楷体_GB2312"/>
      <w:kern w:val="2"/>
      <w:sz w:val="21"/>
    </w:rPr>
  </w:style>
  <w:style w:type="character" w:customStyle="1" w:styleId="156">
    <w:name w:val="正文首行缩进 字符1"/>
    <w:link w:val="20"/>
    <w:autoRedefine/>
    <w:qFormat/>
    <w:uiPriority w:val="99"/>
    <w:rPr>
      <w:kern w:val="2"/>
      <w:sz w:val="21"/>
    </w:rPr>
  </w:style>
  <w:style w:type="paragraph" w:customStyle="1" w:styleId="157">
    <w:name w:val="纯文本2"/>
    <w:basedOn w:val="1"/>
    <w:autoRedefine/>
    <w:qFormat/>
    <w:uiPriority w:val="0"/>
    <w:pPr>
      <w:adjustRightInd w:val="0"/>
    </w:pPr>
    <w:rPr>
      <w:rFonts w:ascii="宋体" w:hAnsi="Courier New" w:eastAsia="楷体_GB2312"/>
      <w:sz w:val="28"/>
    </w:rPr>
  </w:style>
  <w:style w:type="character" w:customStyle="1" w:styleId="158">
    <w:name w:val="NormalCharacter"/>
    <w:autoRedefine/>
    <w:semiHidden/>
    <w:qFormat/>
    <w:uiPriority w:val="0"/>
    <w:rPr>
      <w:kern w:val="2"/>
      <w:sz w:val="21"/>
      <w:lang w:val="en-US" w:eastAsia="zh-CN" w:bidi="ar-SA"/>
    </w:rPr>
  </w:style>
  <w:style w:type="character" w:customStyle="1" w:styleId="159">
    <w:name w:val="Plain Text Char Char"/>
    <w:autoRedefine/>
    <w:qFormat/>
    <w:uiPriority w:val="0"/>
    <w:rPr>
      <w:rFonts w:ascii="宋体" w:hAnsi="Courier New" w:eastAsia="楷体_GB2312"/>
      <w:kern w:val="2"/>
      <w:sz w:val="28"/>
    </w:rPr>
  </w:style>
  <w:style w:type="character" w:customStyle="1" w:styleId="160">
    <w:name w:val="text1 Char"/>
    <w:link w:val="161"/>
    <w:autoRedefine/>
    <w:qFormat/>
    <w:uiPriority w:val="0"/>
    <w:rPr>
      <w:kern w:val="0"/>
      <w:sz w:val="24"/>
      <w:lang w:val="zh-CN"/>
    </w:rPr>
  </w:style>
  <w:style w:type="paragraph" w:customStyle="1" w:styleId="161">
    <w:name w:val="text1"/>
    <w:basedOn w:val="1"/>
    <w:link w:val="160"/>
    <w:autoRedefine/>
    <w:qFormat/>
    <w:uiPriority w:val="0"/>
    <w:pPr>
      <w:spacing w:line="360" w:lineRule="auto"/>
      <w:ind w:firstLine="200" w:firstLineChars="200"/>
    </w:pPr>
    <w:rPr>
      <w:kern w:val="0"/>
      <w:sz w:val="24"/>
      <w:lang w:val="zh-CN"/>
    </w:rPr>
  </w:style>
  <w:style w:type="paragraph" w:customStyle="1" w:styleId="162">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3">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4">
    <w:name w:val="Header or footer|2"/>
    <w:basedOn w:val="1"/>
    <w:autoRedefine/>
    <w:qFormat/>
    <w:uiPriority w:val="0"/>
    <w:rPr>
      <w:sz w:val="20"/>
      <w:lang w:val="zh-TW" w:eastAsia="zh-TW" w:bidi="zh-TW"/>
    </w:rPr>
  </w:style>
  <w:style w:type="paragraph" w:customStyle="1" w:styleId="165">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6">
    <w:name w:val="Header or footer|1"/>
    <w:basedOn w:val="1"/>
    <w:autoRedefine/>
    <w:qFormat/>
    <w:uiPriority w:val="0"/>
    <w:pPr>
      <w:jc w:val="right"/>
    </w:pPr>
    <w:rPr>
      <w:rFonts w:ascii="宋体" w:hAnsi="宋体" w:cs="宋体"/>
      <w:sz w:val="26"/>
      <w:szCs w:val="26"/>
      <w:lang w:val="zh-TW" w:eastAsia="zh-TW" w:bidi="zh-TW"/>
    </w:rPr>
  </w:style>
  <w:style w:type="character" w:customStyle="1" w:styleId="167">
    <w:name w:val="hover"/>
    <w:basedOn w:val="56"/>
    <w:autoRedefine/>
    <w:qFormat/>
    <w:uiPriority w:val="0"/>
    <w:rPr>
      <w:color w:val="2590EB"/>
    </w:rPr>
  </w:style>
  <w:style w:type="character" w:customStyle="1" w:styleId="168">
    <w:name w:val="hover1"/>
    <w:basedOn w:val="56"/>
    <w:autoRedefine/>
    <w:qFormat/>
    <w:uiPriority w:val="0"/>
    <w:rPr>
      <w:color w:val="2590EB"/>
    </w:rPr>
  </w:style>
  <w:style w:type="character" w:customStyle="1" w:styleId="169">
    <w:name w:val="hover2"/>
    <w:basedOn w:val="56"/>
    <w:autoRedefine/>
    <w:qFormat/>
    <w:uiPriority w:val="0"/>
  </w:style>
  <w:style w:type="character" w:customStyle="1" w:styleId="170">
    <w:name w:val="hover3"/>
    <w:basedOn w:val="56"/>
    <w:autoRedefine/>
    <w:qFormat/>
    <w:uiPriority w:val="0"/>
    <w:rPr>
      <w:color w:val="2590EB"/>
      <w:shd w:val="clear" w:color="auto" w:fill="E9F4FD"/>
    </w:rPr>
  </w:style>
  <w:style w:type="paragraph" w:customStyle="1" w:styleId="171">
    <w:name w:val="标题 3.1"/>
    <w:basedOn w:val="4"/>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2">
    <w:name w:val="Char Char1 Char Char Char Char Char Char Char2"/>
    <w:basedOn w:val="1"/>
    <w:autoRedefine/>
    <w:qFormat/>
    <w:uiPriority w:val="0"/>
    <w:rPr>
      <w:rFonts w:ascii="Tahoma" w:hAnsi="Tahoma"/>
      <w:sz w:val="24"/>
    </w:rPr>
  </w:style>
  <w:style w:type="paragraph" w:customStyle="1" w:styleId="173">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4">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5">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6">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77">
    <w:name w:val="正文文本1"/>
    <w:basedOn w:val="1"/>
    <w:next w:val="1"/>
    <w:qFormat/>
    <w:uiPriority w:val="0"/>
    <w:rPr>
      <w:rFonts w:ascii="楷体_GB2312" w:hAnsi="Arial" w:eastAsia="楷体_GB2312"/>
      <w:sz w:val="28"/>
    </w:rPr>
  </w:style>
  <w:style w:type="paragraph" w:customStyle="1" w:styleId="178">
    <w:name w:val="正文文本缩进1"/>
    <w:basedOn w:val="1"/>
    <w:next w:val="179"/>
    <w:qFormat/>
    <w:uiPriority w:val="0"/>
    <w:pPr>
      <w:spacing w:line="312" w:lineRule="atLeast"/>
      <w:ind w:firstLine="574"/>
    </w:pPr>
    <w:rPr>
      <w:rFonts w:ascii="宋体"/>
      <w:sz w:val="28"/>
    </w:rPr>
  </w:style>
  <w:style w:type="paragraph" w:customStyle="1" w:styleId="179">
    <w:name w:val="寄信人地址1"/>
    <w:basedOn w:val="1"/>
    <w:qFormat/>
    <w:uiPriority w:val="0"/>
    <w:rPr>
      <w:rFonts w:ascii="Arial" w:hAnsi="Arial"/>
    </w:rPr>
  </w:style>
  <w:style w:type="character" w:customStyle="1" w:styleId="180">
    <w:name w:val="font11"/>
    <w:basedOn w:val="56"/>
    <w:qFormat/>
    <w:uiPriority w:val="0"/>
    <w:rPr>
      <w:rFonts w:hint="eastAsia" w:ascii="宋体" w:hAnsi="宋体" w:eastAsia="宋体" w:cs="宋体"/>
      <w:b/>
      <w:bCs/>
      <w:color w:val="000000"/>
      <w:sz w:val="24"/>
      <w:szCs w:val="24"/>
      <w:u w:val="none"/>
    </w:rPr>
  </w:style>
  <w:style w:type="character" w:customStyle="1" w:styleId="181">
    <w:name w:val="font81"/>
    <w:basedOn w:val="56"/>
    <w:qFormat/>
    <w:uiPriority w:val="0"/>
    <w:rPr>
      <w:rFonts w:hint="eastAsia" w:ascii="宋体" w:hAnsi="宋体" w:eastAsia="宋体" w:cs="宋体"/>
      <w:b/>
      <w:bCs/>
      <w:color w:val="000000"/>
      <w:sz w:val="24"/>
      <w:szCs w:val="24"/>
      <w:u w:val="single"/>
    </w:rPr>
  </w:style>
  <w:style w:type="character" w:customStyle="1" w:styleId="182">
    <w:name w:val="font71"/>
    <w:basedOn w:val="56"/>
    <w:qFormat/>
    <w:uiPriority w:val="0"/>
    <w:rPr>
      <w:rFonts w:hint="default" w:ascii="MS Mincho" w:hAnsi="MS Mincho" w:eastAsia="MS Mincho" w:cs="MS Mincho"/>
      <w:color w:val="000000"/>
      <w:sz w:val="22"/>
      <w:szCs w:val="22"/>
      <w:u w:val="none"/>
    </w:rPr>
  </w:style>
  <w:style w:type="character" w:customStyle="1" w:styleId="183">
    <w:name w:val="font31"/>
    <w:basedOn w:val="56"/>
    <w:qFormat/>
    <w:uiPriority w:val="0"/>
    <w:rPr>
      <w:rFonts w:hint="eastAsia" w:ascii="宋体" w:hAnsi="宋体" w:eastAsia="宋体" w:cs="宋体"/>
      <w:color w:val="000000"/>
      <w:sz w:val="22"/>
      <w:szCs w:val="22"/>
      <w:u w:val="none"/>
    </w:rPr>
  </w:style>
  <w:style w:type="character" w:customStyle="1" w:styleId="184">
    <w:name w:val="font41"/>
    <w:basedOn w:val="5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B1EC96-2E82-4092-80AD-1712BC2BA81C}">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55</Pages>
  <Words>22177</Words>
  <Characters>23669</Characters>
  <Lines>221</Lines>
  <Paragraphs>62</Paragraphs>
  <TotalTime>0</TotalTime>
  <ScaleCrop>false</ScaleCrop>
  <LinksUpToDate>false</LinksUpToDate>
  <CharactersWithSpaces>24371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2022-09-15T08:01:00Z</dcterms:created>
  <dc:creator>user</dc:creator>
  <cp:lastModifiedBy>酒酿小圆子</cp:lastModifiedBy>
  <cp:lastPrinted>2024-04-07T01:45:00Z</cp:lastPrinted>
  <dcterms:modified xsi:type="dcterms:W3CDTF">2026-04-23T09:12:37Z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A0571844563A42A5B3227EA915C92883_13</vt:lpwstr>
  </property>
  <property fmtid="{D5CDD505-2E9C-101B-9397-08002B2CF9AE}" pid="4" name="KSOTemplateDocerSaveRecord">
    <vt:lpwstr>eyJoZGlkIjoiNzgwMzk5YWNlOTlhZGNmYTkwYzkzMGM2MDFhMzUwMDQiLCJ1c2VySWQiOiI0MDM5OTE5NjUifQ==</vt:lpwstr>
  </property>
</Properties>
</file>