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96F5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江苏联创企业总部周边绿地与开敞空间用地配套设施二期项目</w:t>
      </w:r>
    </w:p>
    <w:p w14:paraId="3C90F612"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清单与控制价编制说明</w:t>
      </w:r>
    </w:p>
    <w:p w14:paraId="7823870A">
      <w:pPr>
        <w:spacing w:line="360" w:lineRule="auto"/>
        <w:ind w:firstLine="480" w:firstLineChars="200"/>
        <w:rPr>
          <w:rStyle w:val="18"/>
          <w:rFonts w:hint="default"/>
          <w:color w:val="0000FF"/>
          <w:sz w:val="24"/>
          <w:szCs w:val="24"/>
        </w:rPr>
      </w:pPr>
      <w:r>
        <w:rPr>
          <w:rStyle w:val="18"/>
          <w:rFonts w:hint="default"/>
          <w:sz w:val="24"/>
          <w:szCs w:val="24"/>
        </w:rPr>
        <w:t>一、工程概况</w:t>
      </w:r>
      <w:r>
        <w:rPr>
          <w:rStyle w:val="18"/>
          <w:rFonts w:hint="default" w:ascii="宋体" w:hAnsi="宋体" w:eastAsia="宋体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江苏联创企业总部周边绿地与开敞空间用地配套设施二期项目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具体详见工程量清单，</w:t>
      </w:r>
      <w:r>
        <w:rPr>
          <w:rStyle w:val="18"/>
          <w:rFonts w:hint="default"/>
          <w:color w:val="auto"/>
          <w:sz w:val="24"/>
          <w:szCs w:val="24"/>
        </w:rPr>
        <w:t>具体招标范围明确如下：</w:t>
      </w:r>
    </w:p>
    <w:p w14:paraId="6967FB68">
      <w:pPr>
        <w:spacing w:line="360" w:lineRule="auto"/>
        <w:ind w:firstLine="480" w:firstLineChars="200"/>
        <w:rPr>
          <w:rStyle w:val="18"/>
          <w:color w:val="auto"/>
          <w:sz w:val="24"/>
          <w:szCs w:val="24"/>
        </w:rPr>
      </w:pPr>
      <w:r>
        <w:rPr>
          <w:rStyle w:val="18"/>
          <w:rFonts w:hint="default"/>
          <w:sz w:val="24"/>
          <w:szCs w:val="24"/>
        </w:rPr>
        <w:t>1、本次招标范围：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江苏联创企业总部周边</w:t>
      </w:r>
      <w:r>
        <w:rPr>
          <w:rStyle w:val="18"/>
          <w:rFonts w:hint="eastAsia" w:eastAsia="宋体"/>
          <w:sz w:val="24"/>
          <w:szCs w:val="24"/>
          <w:lang w:val="en-US" w:eastAsia="zh-CN"/>
        </w:rPr>
        <w:t>景观、绿化、景观照明及</w:t>
      </w:r>
      <w:r>
        <w:rPr>
          <w:rStyle w:val="18"/>
          <w:rFonts w:hint="eastAsia"/>
          <w:sz w:val="24"/>
          <w:szCs w:val="24"/>
          <w:lang w:val="en-US" w:eastAsia="zh-CN"/>
        </w:rPr>
        <w:t>给排水工程</w:t>
      </w:r>
      <w:r>
        <w:rPr>
          <w:rStyle w:val="18"/>
          <w:rFonts w:hint="default"/>
          <w:color w:val="auto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</w:rPr>
        <w:t>具体详见工程量清单</w:t>
      </w:r>
      <w:r>
        <w:rPr>
          <w:rStyle w:val="18"/>
          <w:color w:val="auto"/>
          <w:sz w:val="24"/>
          <w:szCs w:val="24"/>
        </w:rPr>
        <w:t>。</w:t>
      </w:r>
    </w:p>
    <w:p w14:paraId="2F081D9F">
      <w:pPr>
        <w:spacing w:line="360" w:lineRule="auto"/>
        <w:ind w:firstLine="480" w:firstLineChars="200"/>
        <w:rPr>
          <w:rStyle w:val="18"/>
          <w:rFonts w:hint="default"/>
          <w:color w:val="auto"/>
          <w:sz w:val="24"/>
          <w:szCs w:val="24"/>
        </w:rPr>
      </w:pPr>
      <w:r>
        <w:rPr>
          <w:rStyle w:val="18"/>
          <w:rFonts w:hint="default"/>
          <w:color w:val="auto"/>
          <w:sz w:val="24"/>
          <w:szCs w:val="24"/>
        </w:rPr>
        <w:t>2、非本次招标范围：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红线范围内</w:t>
      </w:r>
      <w:r>
        <w:rPr>
          <w:rStyle w:val="18"/>
          <w:rFonts w:hint="default"/>
          <w:color w:val="auto"/>
          <w:sz w:val="24"/>
          <w:szCs w:val="24"/>
        </w:rPr>
        <w:t>。</w:t>
      </w:r>
    </w:p>
    <w:p w14:paraId="39313E31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Style w:val="18"/>
          <w:rFonts w:hint="default"/>
          <w:bCs/>
          <w:sz w:val="24"/>
          <w:szCs w:val="24"/>
        </w:rPr>
        <w:t>二、</w:t>
      </w:r>
      <w:r>
        <w:rPr>
          <w:rFonts w:hint="eastAsia" w:ascii="宋体" w:hAnsi="宋体"/>
          <w:sz w:val="24"/>
          <w:szCs w:val="24"/>
        </w:rPr>
        <w:t>工程量清单及控制价编制依据：</w:t>
      </w:r>
    </w:p>
    <w:p w14:paraId="6BEF9BB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1、本工程量清单根据《建设工程工程量清单计价规范》（GB50500-2013）、《房屋建筑与装饰工程工程量计算规范》（GB50854-2013）、《江苏省建筑与装饰工程计价定额》（2014）、</w:t>
      </w:r>
      <w:r>
        <w:rPr>
          <w:rFonts w:hint="eastAsia" w:ascii="宋体" w:hAnsi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07</w:t>
      </w:r>
      <w:r>
        <w:rPr>
          <w:rFonts w:hint="eastAsia" w:ascii="宋体" w:hAnsi="宋体" w:cs="宋体"/>
          <w:sz w:val="24"/>
          <w:szCs w:val="24"/>
        </w:rPr>
        <w:t>江苏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园林</w:t>
      </w:r>
      <w:r>
        <w:rPr>
          <w:rFonts w:hint="eastAsia" w:ascii="宋体" w:hAnsi="宋体" w:cs="宋体"/>
          <w:sz w:val="24"/>
          <w:szCs w:val="24"/>
        </w:rPr>
        <w:t>定额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《江苏省市政工程计价定额》（2014）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Cs/>
          <w:sz w:val="24"/>
          <w:szCs w:val="24"/>
        </w:rPr>
        <w:t>《江苏省安装工程计价定额》(2014)</w:t>
      </w:r>
      <w:r>
        <w:rPr>
          <w:rFonts w:hint="eastAsia" w:ascii="宋体" w:hAnsi="宋体"/>
          <w:sz w:val="24"/>
          <w:szCs w:val="24"/>
        </w:rPr>
        <w:t>及配套的《江苏省建设工程费用定额》（2014）营改增后调整内容、常建[2016]94号、常建[2014]279号、常建[2019]1号</w:t>
      </w:r>
      <w:r>
        <w:rPr>
          <w:rFonts w:hint="eastAsia" w:ascii="宋体" w:hAnsi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编制。</w:t>
      </w:r>
    </w:p>
    <w:p w14:paraId="1CCD3F7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本项目计价按营改增一般计税法计取。</w:t>
      </w:r>
    </w:p>
    <w:p w14:paraId="6D80DC0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、建设单位提供的施工图纸等。</w:t>
      </w:r>
    </w:p>
    <w:p w14:paraId="66C08E2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/>
          <w:sz w:val="24"/>
          <w:szCs w:val="24"/>
        </w:rPr>
        <w:t>等。</w:t>
      </w:r>
    </w:p>
    <w:p w14:paraId="1CCCAA2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、施工现场情况、工程特点等。</w:t>
      </w:r>
    </w:p>
    <w:p w14:paraId="5F76ABE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、与建设项目相关的标准、规范等技术资料。</w:t>
      </w:r>
    </w:p>
    <w:p w14:paraId="579155E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最高限价</w:t>
      </w:r>
      <w:r>
        <w:rPr>
          <w:rFonts w:hint="eastAsia" w:ascii="宋体" w:hAnsi="宋体"/>
          <w:sz w:val="24"/>
          <w:szCs w:val="24"/>
        </w:rPr>
        <w:t>中材料价格按常州市202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月份工程造价信息计取（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月份没有的逐月前推），信息价缺项的按市场询价酌情考虑定价；</w:t>
      </w:r>
      <w:r>
        <w:rPr>
          <w:rFonts w:ascii="宋体" w:hAnsi="宋体"/>
          <w:sz w:val="24"/>
          <w:szCs w:val="24"/>
        </w:rPr>
        <w:t>人工工资按</w:t>
      </w:r>
      <w:r>
        <w:rPr>
          <w:rFonts w:hint="eastAsia" w:ascii="宋体" w:hAnsi="宋体"/>
          <w:sz w:val="24"/>
          <w:szCs w:val="24"/>
        </w:rPr>
        <w:t>苏建函价〔202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〕</w:t>
      </w:r>
      <w:r>
        <w:rPr>
          <w:rFonts w:hint="eastAsia" w:ascii="宋体" w:hAnsi="宋体"/>
          <w:sz w:val="24"/>
          <w:szCs w:val="24"/>
          <w:lang w:val="en-US" w:eastAsia="zh-CN"/>
        </w:rPr>
        <w:t>27</w:t>
      </w:r>
      <w:r>
        <w:rPr>
          <w:rFonts w:hint="eastAsia" w:ascii="宋体" w:hAnsi="宋体"/>
          <w:sz w:val="24"/>
          <w:szCs w:val="24"/>
        </w:rPr>
        <w:t>号</w:t>
      </w:r>
      <w:r>
        <w:rPr>
          <w:rFonts w:hint="eastAsia" w:ascii="宋体" w:hAnsi="宋体"/>
          <w:sz w:val="24"/>
          <w:szCs w:val="24"/>
          <w:lang w:val="en-US" w:eastAsia="zh-CN"/>
        </w:rPr>
        <w:t>文执行</w:t>
      </w:r>
      <w:r>
        <w:rPr>
          <w:rFonts w:ascii="宋体" w:hAnsi="宋体"/>
          <w:sz w:val="24"/>
          <w:szCs w:val="24"/>
        </w:rPr>
        <w:t>。</w:t>
      </w:r>
    </w:p>
    <w:p w14:paraId="5F83887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/>
          <w:sz w:val="24"/>
          <w:szCs w:val="24"/>
        </w:rPr>
        <w:t>安全文明施工费暂计基本费、扬尘污染防治费，结算时按招标文件中相关条款及相关文件执行。</w:t>
      </w:r>
    </w:p>
    <w:p w14:paraId="4671EDAF">
      <w:pPr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四、其他说明：</w:t>
      </w:r>
    </w:p>
    <w:p w14:paraId="76B38249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不论清单描述中是否有注明，所有工程用砼均为预拌商品砼。砼采用泵送还是非泵送由投标人报价时综合考虑，结算时不调整。</w:t>
      </w:r>
    </w:p>
    <w:p w14:paraId="18EEA4BA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</w:rPr>
        <w:t>所有</w:t>
      </w:r>
      <w:r>
        <w:rPr>
          <w:rFonts w:hint="eastAsia" w:ascii="宋体" w:hAnsi="宋体"/>
          <w:sz w:val="24"/>
          <w:szCs w:val="24"/>
          <w:lang w:val="en-US" w:eastAsia="zh-CN"/>
        </w:rPr>
        <w:t>景观</w:t>
      </w:r>
      <w:r>
        <w:rPr>
          <w:rFonts w:hint="eastAsia" w:ascii="宋体" w:hAnsi="宋体"/>
          <w:sz w:val="24"/>
          <w:szCs w:val="24"/>
        </w:rPr>
        <w:t>材料的选色、选型、选样需满足设计及</w:t>
      </w:r>
      <w:r>
        <w:rPr>
          <w:rFonts w:hint="eastAsia" w:ascii="宋体" w:hAnsi="宋体"/>
          <w:sz w:val="24"/>
          <w:szCs w:val="24"/>
          <w:lang w:eastAsia="zh-CN"/>
        </w:rPr>
        <w:t>采购人</w:t>
      </w:r>
      <w:r>
        <w:rPr>
          <w:rFonts w:hint="eastAsia" w:ascii="宋体" w:hAnsi="宋体"/>
          <w:sz w:val="24"/>
          <w:szCs w:val="24"/>
        </w:rPr>
        <w:t>要求，投标人报价时综合考虑；所有</w:t>
      </w:r>
      <w:r>
        <w:rPr>
          <w:rFonts w:hint="eastAsia" w:ascii="宋体" w:hAnsi="宋体"/>
          <w:sz w:val="24"/>
          <w:szCs w:val="24"/>
          <w:lang w:val="en-US" w:eastAsia="zh-CN"/>
        </w:rPr>
        <w:t>景观</w:t>
      </w:r>
      <w:r>
        <w:rPr>
          <w:rFonts w:hint="eastAsia" w:ascii="宋体" w:hAnsi="宋体"/>
          <w:sz w:val="24"/>
          <w:szCs w:val="24"/>
        </w:rPr>
        <w:t>用材燃烧性能等需满足设计及相关规范要求。</w:t>
      </w:r>
    </w:p>
    <w:p w14:paraId="600C2B11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不论清单描述中是否有注明，所用工程用砂浆均为预拌砂浆。</w:t>
      </w:r>
    </w:p>
    <w:p w14:paraId="6ED805CD">
      <w:pPr>
        <w:widowControl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、室外用石材除注明外均要求无色差具体需满足设计及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 w:bidi="ar-SA"/>
        </w:rPr>
        <w:t>要求，投标单位综合考虑在投标报价中，结算时不单独增加费用。</w:t>
      </w:r>
    </w:p>
    <w:p w14:paraId="4E66113A">
      <w:pPr>
        <w:widowControl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、不论清单是否注明，所有不锈钢制品均为304等级制品、均包括折边处理及打胶嵌缝等所有工艺。</w:t>
      </w:r>
    </w:p>
    <w:p w14:paraId="78DD924C">
      <w:pPr>
        <w:pStyle w:val="23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/>
          <w:lang w:val="en-US" w:eastAsia="zh-CN"/>
        </w:rPr>
        <w:t>6</w:t>
      </w:r>
      <w:r>
        <w:rPr>
          <w:rFonts w:hint="eastAsia" w:eastAsia="宋体"/>
          <w:lang w:val="en-US" w:eastAsia="zh-CN"/>
        </w:rPr>
        <w:t>、</w:t>
      </w:r>
      <w:r>
        <w:rPr>
          <w:rFonts w:hint="eastAsia" w:hAnsi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在投标时可根据工程实际情况结合施工组织设计，对</w:t>
      </w:r>
      <w:r>
        <w:rPr>
          <w:rFonts w:hint="eastAsia" w:hAnsi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所列的措施项目进行增补，但不得更改</w:t>
      </w:r>
      <w:r>
        <w:rPr>
          <w:rFonts w:hint="eastAsia" w:hAnsi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已列措施项目。结算时不得以招标工程措施项目清单缺项为由要求新增措施项目。</w:t>
      </w:r>
    </w:p>
    <w:p w14:paraId="13FD65B2">
      <w:pPr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/>
          <w:sz w:val="24"/>
          <w:szCs w:val="24"/>
        </w:rPr>
        <w:t>本</w:t>
      </w:r>
      <w:r>
        <w:rPr>
          <w:rFonts w:hint="eastAsia" w:ascii="宋体" w:hAnsi="宋体"/>
          <w:sz w:val="24"/>
          <w:szCs w:val="24"/>
        </w:rPr>
        <w:t>标段工程</w:t>
      </w:r>
      <w:r>
        <w:rPr>
          <w:rFonts w:ascii="宋体" w:hAnsi="宋体"/>
          <w:sz w:val="24"/>
          <w:szCs w:val="24"/>
        </w:rPr>
        <w:t>材料</w:t>
      </w:r>
      <w:r>
        <w:rPr>
          <w:rFonts w:hint="eastAsia" w:ascii="宋体" w:hAnsi="宋体"/>
          <w:sz w:val="24"/>
          <w:szCs w:val="24"/>
        </w:rPr>
        <w:t>风险调整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约定详见</w:t>
      </w:r>
      <w:r>
        <w:rPr>
          <w:rFonts w:hint="eastAsia" w:ascii="宋体" w:hAnsi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/>
          <w:sz w:val="24"/>
          <w:szCs w:val="24"/>
        </w:rPr>
        <w:t>文件相应条款。</w:t>
      </w:r>
    </w:p>
    <w:p w14:paraId="01340E08">
      <w:pPr>
        <w:pStyle w:val="20"/>
        <w:numPr>
          <w:ilvl w:val="0"/>
          <w:numId w:val="0"/>
        </w:numPr>
        <w:spacing w:line="360" w:lineRule="auto"/>
        <w:ind w:firstLine="480" w:firstLineChars="200"/>
        <w:rPr>
          <w:rStyle w:val="18"/>
          <w:rFonts w:hint="eastAsia" w:eastAsia="宋体"/>
          <w:sz w:val="24"/>
          <w:szCs w:val="24"/>
          <w:lang w:val="en-US" w:eastAsia="zh-CN"/>
        </w:rPr>
      </w:pPr>
      <w:r>
        <w:rPr>
          <w:rStyle w:val="18"/>
          <w:rFonts w:hint="eastAsia"/>
          <w:sz w:val="24"/>
          <w:szCs w:val="24"/>
          <w:lang w:val="en-US" w:eastAsia="zh-CN"/>
        </w:rPr>
        <w:t>五、</w:t>
      </w:r>
      <w:r>
        <w:rPr>
          <w:rStyle w:val="18"/>
          <w:rFonts w:hint="eastAsia" w:eastAsia="宋体"/>
          <w:sz w:val="24"/>
          <w:szCs w:val="24"/>
          <w:lang w:val="en-US" w:eastAsia="zh-CN"/>
        </w:rPr>
        <w:t>其他编标说明：</w:t>
      </w:r>
    </w:p>
    <w:p w14:paraId="0AF5FF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1、绿化</w:t>
      </w:r>
      <w:r>
        <w:rPr>
          <w:rFonts w:ascii="宋体" w:hAnsi="宋体"/>
          <w:sz w:val="24"/>
          <w:szCs w:val="24"/>
        </w:rPr>
        <w:t>乔木</w:t>
      </w:r>
      <w:r>
        <w:rPr>
          <w:rFonts w:hint="eastAsia" w:ascii="宋体" w:hAnsi="宋体"/>
          <w:sz w:val="24"/>
          <w:szCs w:val="24"/>
          <w:lang w:val="en-US" w:eastAsia="zh-CN"/>
        </w:rPr>
        <w:t>图纸中</w:t>
      </w:r>
      <w:r>
        <w:rPr>
          <w:rFonts w:ascii="宋体" w:hAnsi="宋体"/>
          <w:sz w:val="24"/>
          <w:szCs w:val="24"/>
        </w:rPr>
        <w:t>采用草绳捆绑后无纺布缠绕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改为绿色无纺布绕树干</w:t>
      </w:r>
    </w:p>
    <w:p w14:paraId="7D661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2、绿化支撑不采用图纸中三角钢架、三角拉钢线、晾衣架式等，改为树棍扁担桩、树棍三脚桩、树棍四脚井字桩考虑</w:t>
      </w:r>
    </w:p>
    <w:p w14:paraId="7DC85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3、AL01配电箱进线电源引自就近配电间（未明确具体位置），数量为暂估，按实结算。</w:t>
      </w:r>
    </w:p>
    <w:p w14:paraId="2C94CA5C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247" w:right="1247" w:bottom="1247" w:left="1247" w:header="227" w:footer="68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ZjEzN2NjZThmMzI4YmZhODhmMTBkMDgxNjhhMDAifQ=="/>
  </w:docVars>
  <w:rsids>
    <w:rsidRoot w:val="00172A27"/>
    <w:rsid w:val="00012454"/>
    <w:rsid w:val="000151E3"/>
    <w:rsid w:val="000476DF"/>
    <w:rsid w:val="00053A8A"/>
    <w:rsid w:val="00062CEC"/>
    <w:rsid w:val="00077366"/>
    <w:rsid w:val="00093138"/>
    <w:rsid w:val="0009441F"/>
    <w:rsid w:val="000A54CA"/>
    <w:rsid w:val="000B0607"/>
    <w:rsid w:val="000B3622"/>
    <w:rsid w:val="000E03CF"/>
    <w:rsid w:val="000E13CD"/>
    <w:rsid w:val="000F43D1"/>
    <w:rsid w:val="000F502A"/>
    <w:rsid w:val="000F5200"/>
    <w:rsid w:val="00101B91"/>
    <w:rsid w:val="00102C30"/>
    <w:rsid w:val="00115974"/>
    <w:rsid w:val="00123D8D"/>
    <w:rsid w:val="00126555"/>
    <w:rsid w:val="00126FA1"/>
    <w:rsid w:val="0014033F"/>
    <w:rsid w:val="00145ADC"/>
    <w:rsid w:val="001463DE"/>
    <w:rsid w:val="00153B1F"/>
    <w:rsid w:val="001777E4"/>
    <w:rsid w:val="00180CFF"/>
    <w:rsid w:val="00184E1C"/>
    <w:rsid w:val="001A3C70"/>
    <w:rsid w:val="001C610F"/>
    <w:rsid w:val="001C741F"/>
    <w:rsid w:val="001D18B9"/>
    <w:rsid w:val="001D3EC1"/>
    <w:rsid w:val="001D55DE"/>
    <w:rsid w:val="001E138E"/>
    <w:rsid w:val="001E250E"/>
    <w:rsid w:val="001F0D7A"/>
    <w:rsid w:val="00206412"/>
    <w:rsid w:val="00215CF4"/>
    <w:rsid w:val="00227950"/>
    <w:rsid w:val="0023133A"/>
    <w:rsid w:val="00234864"/>
    <w:rsid w:val="0024676D"/>
    <w:rsid w:val="0024702E"/>
    <w:rsid w:val="00252343"/>
    <w:rsid w:val="002651B5"/>
    <w:rsid w:val="00266DC5"/>
    <w:rsid w:val="00273506"/>
    <w:rsid w:val="00282762"/>
    <w:rsid w:val="0028600F"/>
    <w:rsid w:val="00293CB9"/>
    <w:rsid w:val="00295E68"/>
    <w:rsid w:val="002A42EA"/>
    <w:rsid w:val="002C6A69"/>
    <w:rsid w:val="002E03C8"/>
    <w:rsid w:val="002E4E52"/>
    <w:rsid w:val="002E6187"/>
    <w:rsid w:val="00316470"/>
    <w:rsid w:val="00326CE0"/>
    <w:rsid w:val="003616D6"/>
    <w:rsid w:val="00366C17"/>
    <w:rsid w:val="00376945"/>
    <w:rsid w:val="003C6E69"/>
    <w:rsid w:val="00423320"/>
    <w:rsid w:val="00426BBD"/>
    <w:rsid w:val="00431834"/>
    <w:rsid w:val="004354C5"/>
    <w:rsid w:val="00437C10"/>
    <w:rsid w:val="00437DC0"/>
    <w:rsid w:val="004402F2"/>
    <w:rsid w:val="00470D80"/>
    <w:rsid w:val="00471C43"/>
    <w:rsid w:val="004829D9"/>
    <w:rsid w:val="00483717"/>
    <w:rsid w:val="00485E96"/>
    <w:rsid w:val="004921F9"/>
    <w:rsid w:val="004C1DE9"/>
    <w:rsid w:val="004D4967"/>
    <w:rsid w:val="004E4ACB"/>
    <w:rsid w:val="00514452"/>
    <w:rsid w:val="00520391"/>
    <w:rsid w:val="0053013E"/>
    <w:rsid w:val="005304DF"/>
    <w:rsid w:val="0053743A"/>
    <w:rsid w:val="00566C71"/>
    <w:rsid w:val="0057146E"/>
    <w:rsid w:val="0058656D"/>
    <w:rsid w:val="005B0413"/>
    <w:rsid w:val="005D0FFC"/>
    <w:rsid w:val="005F2823"/>
    <w:rsid w:val="005F7000"/>
    <w:rsid w:val="0060207D"/>
    <w:rsid w:val="006270E8"/>
    <w:rsid w:val="00641101"/>
    <w:rsid w:val="006610D9"/>
    <w:rsid w:val="006663A6"/>
    <w:rsid w:val="00666590"/>
    <w:rsid w:val="006732FA"/>
    <w:rsid w:val="006810F6"/>
    <w:rsid w:val="006A6AE6"/>
    <w:rsid w:val="006B019E"/>
    <w:rsid w:val="006C0C54"/>
    <w:rsid w:val="006C2C8E"/>
    <w:rsid w:val="006D0BA2"/>
    <w:rsid w:val="006D7EA8"/>
    <w:rsid w:val="006F3861"/>
    <w:rsid w:val="006F6FF4"/>
    <w:rsid w:val="00736C7F"/>
    <w:rsid w:val="007638B3"/>
    <w:rsid w:val="00773171"/>
    <w:rsid w:val="007847F6"/>
    <w:rsid w:val="007978E3"/>
    <w:rsid w:val="007B2EFD"/>
    <w:rsid w:val="007B5B9C"/>
    <w:rsid w:val="007C2D66"/>
    <w:rsid w:val="007D096B"/>
    <w:rsid w:val="007D2C4C"/>
    <w:rsid w:val="007D370E"/>
    <w:rsid w:val="007F4E66"/>
    <w:rsid w:val="007F7ABA"/>
    <w:rsid w:val="007F7E6A"/>
    <w:rsid w:val="008329F2"/>
    <w:rsid w:val="00832A11"/>
    <w:rsid w:val="00840471"/>
    <w:rsid w:val="00867903"/>
    <w:rsid w:val="00870458"/>
    <w:rsid w:val="00890CED"/>
    <w:rsid w:val="00891CEE"/>
    <w:rsid w:val="008A4066"/>
    <w:rsid w:val="008A7D0B"/>
    <w:rsid w:val="008B741B"/>
    <w:rsid w:val="008F1E23"/>
    <w:rsid w:val="008F2A0C"/>
    <w:rsid w:val="008F7B9F"/>
    <w:rsid w:val="009041B3"/>
    <w:rsid w:val="00910539"/>
    <w:rsid w:val="00931645"/>
    <w:rsid w:val="00932ED7"/>
    <w:rsid w:val="009773A6"/>
    <w:rsid w:val="009A0136"/>
    <w:rsid w:val="009C27FE"/>
    <w:rsid w:val="009C4878"/>
    <w:rsid w:val="009C67B4"/>
    <w:rsid w:val="009D560B"/>
    <w:rsid w:val="009E6B0E"/>
    <w:rsid w:val="00A1086A"/>
    <w:rsid w:val="00A17E94"/>
    <w:rsid w:val="00A53ED9"/>
    <w:rsid w:val="00A969F9"/>
    <w:rsid w:val="00AE2DE5"/>
    <w:rsid w:val="00B13483"/>
    <w:rsid w:val="00B162A9"/>
    <w:rsid w:val="00B20984"/>
    <w:rsid w:val="00B44A54"/>
    <w:rsid w:val="00B4529E"/>
    <w:rsid w:val="00B53759"/>
    <w:rsid w:val="00B57D69"/>
    <w:rsid w:val="00B61D24"/>
    <w:rsid w:val="00B62AC4"/>
    <w:rsid w:val="00B64790"/>
    <w:rsid w:val="00B71563"/>
    <w:rsid w:val="00BB1B42"/>
    <w:rsid w:val="00BB4C93"/>
    <w:rsid w:val="00BE21B9"/>
    <w:rsid w:val="00BE6DD4"/>
    <w:rsid w:val="00C06421"/>
    <w:rsid w:val="00C271FC"/>
    <w:rsid w:val="00C4610C"/>
    <w:rsid w:val="00C46A28"/>
    <w:rsid w:val="00C46B2E"/>
    <w:rsid w:val="00C57A2A"/>
    <w:rsid w:val="00C87DB8"/>
    <w:rsid w:val="00C92CA1"/>
    <w:rsid w:val="00CB0C02"/>
    <w:rsid w:val="00CD05C1"/>
    <w:rsid w:val="00CD0E55"/>
    <w:rsid w:val="00CD38F5"/>
    <w:rsid w:val="00D02B9C"/>
    <w:rsid w:val="00D02FA4"/>
    <w:rsid w:val="00D162FB"/>
    <w:rsid w:val="00D2389A"/>
    <w:rsid w:val="00D25E6E"/>
    <w:rsid w:val="00D31855"/>
    <w:rsid w:val="00D33F88"/>
    <w:rsid w:val="00D421EE"/>
    <w:rsid w:val="00D56C8B"/>
    <w:rsid w:val="00D61050"/>
    <w:rsid w:val="00D65569"/>
    <w:rsid w:val="00D74CEE"/>
    <w:rsid w:val="00D8304C"/>
    <w:rsid w:val="00DA598D"/>
    <w:rsid w:val="00DB1B8E"/>
    <w:rsid w:val="00DB2BA7"/>
    <w:rsid w:val="00DB7923"/>
    <w:rsid w:val="00DC0E9A"/>
    <w:rsid w:val="00DC126A"/>
    <w:rsid w:val="00DC202F"/>
    <w:rsid w:val="00DD0BFB"/>
    <w:rsid w:val="00DD1761"/>
    <w:rsid w:val="00DE17D7"/>
    <w:rsid w:val="00DE63D8"/>
    <w:rsid w:val="00DE655B"/>
    <w:rsid w:val="00E077B8"/>
    <w:rsid w:val="00E14382"/>
    <w:rsid w:val="00E14A53"/>
    <w:rsid w:val="00E21578"/>
    <w:rsid w:val="00E33788"/>
    <w:rsid w:val="00E40971"/>
    <w:rsid w:val="00E54EF7"/>
    <w:rsid w:val="00E5745A"/>
    <w:rsid w:val="00E636CE"/>
    <w:rsid w:val="00E649F6"/>
    <w:rsid w:val="00E81F0F"/>
    <w:rsid w:val="00E93080"/>
    <w:rsid w:val="00E96E54"/>
    <w:rsid w:val="00EC5217"/>
    <w:rsid w:val="00ED5299"/>
    <w:rsid w:val="00EF3568"/>
    <w:rsid w:val="00EF4A8F"/>
    <w:rsid w:val="00F033A8"/>
    <w:rsid w:val="00F4738A"/>
    <w:rsid w:val="00F56945"/>
    <w:rsid w:val="00F676F1"/>
    <w:rsid w:val="00F815D5"/>
    <w:rsid w:val="00F857AD"/>
    <w:rsid w:val="00FC0085"/>
    <w:rsid w:val="00FD62BE"/>
    <w:rsid w:val="00FF6904"/>
    <w:rsid w:val="01992B5C"/>
    <w:rsid w:val="025E1A74"/>
    <w:rsid w:val="028C5EBA"/>
    <w:rsid w:val="04E12C93"/>
    <w:rsid w:val="04E876D5"/>
    <w:rsid w:val="0515099D"/>
    <w:rsid w:val="079D58C1"/>
    <w:rsid w:val="07FF3432"/>
    <w:rsid w:val="08335E5C"/>
    <w:rsid w:val="08690A4E"/>
    <w:rsid w:val="08D2111B"/>
    <w:rsid w:val="09092F07"/>
    <w:rsid w:val="0C4049FC"/>
    <w:rsid w:val="0C612669"/>
    <w:rsid w:val="0C867E52"/>
    <w:rsid w:val="0CFE2134"/>
    <w:rsid w:val="0EDA624F"/>
    <w:rsid w:val="0FEE69EF"/>
    <w:rsid w:val="123056C9"/>
    <w:rsid w:val="1246181E"/>
    <w:rsid w:val="133966B1"/>
    <w:rsid w:val="150D28ED"/>
    <w:rsid w:val="150F277F"/>
    <w:rsid w:val="15450879"/>
    <w:rsid w:val="157D3CE5"/>
    <w:rsid w:val="15C471A6"/>
    <w:rsid w:val="16002AB0"/>
    <w:rsid w:val="1650265A"/>
    <w:rsid w:val="16641AFB"/>
    <w:rsid w:val="16F24B5D"/>
    <w:rsid w:val="17577C58"/>
    <w:rsid w:val="17DF3794"/>
    <w:rsid w:val="17F42251"/>
    <w:rsid w:val="19DD181D"/>
    <w:rsid w:val="1A142E58"/>
    <w:rsid w:val="1A475ACA"/>
    <w:rsid w:val="1A5918F7"/>
    <w:rsid w:val="1AB233B1"/>
    <w:rsid w:val="1B422D71"/>
    <w:rsid w:val="1BFE120C"/>
    <w:rsid w:val="1C845771"/>
    <w:rsid w:val="1D4F63F2"/>
    <w:rsid w:val="1D8B013E"/>
    <w:rsid w:val="1DF53739"/>
    <w:rsid w:val="1E666430"/>
    <w:rsid w:val="1F5278D2"/>
    <w:rsid w:val="1F567258"/>
    <w:rsid w:val="1F7154F8"/>
    <w:rsid w:val="1FBB327F"/>
    <w:rsid w:val="1FBD6DB6"/>
    <w:rsid w:val="217433F2"/>
    <w:rsid w:val="21AA054D"/>
    <w:rsid w:val="21C219C2"/>
    <w:rsid w:val="22C52460"/>
    <w:rsid w:val="251E00F2"/>
    <w:rsid w:val="254A6355"/>
    <w:rsid w:val="254D17B8"/>
    <w:rsid w:val="2720066A"/>
    <w:rsid w:val="2A8A5D31"/>
    <w:rsid w:val="2BFF742C"/>
    <w:rsid w:val="2C17737E"/>
    <w:rsid w:val="2CB75EDF"/>
    <w:rsid w:val="2E0369F5"/>
    <w:rsid w:val="2E156FB7"/>
    <w:rsid w:val="2EA63152"/>
    <w:rsid w:val="2F99070B"/>
    <w:rsid w:val="2FE30532"/>
    <w:rsid w:val="30C6140D"/>
    <w:rsid w:val="3114433E"/>
    <w:rsid w:val="31462946"/>
    <w:rsid w:val="336103C1"/>
    <w:rsid w:val="3446722B"/>
    <w:rsid w:val="34A5186D"/>
    <w:rsid w:val="37007177"/>
    <w:rsid w:val="372866F8"/>
    <w:rsid w:val="37447BE6"/>
    <w:rsid w:val="37F17782"/>
    <w:rsid w:val="38BE648F"/>
    <w:rsid w:val="38F719AA"/>
    <w:rsid w:val="3AF06AF0"/>
    <w:rsid w:val="3C18334F"/>
    <w:rsid w:val="3E782B88"/>
    <w:rsid w:val="3F65518F"/>
    <w:rsid w:val="3F8333FD"/>
    <w:rsid w:val="3FD5679E"/>
    <w:rsid w:val="41CE6B33"/>
    <w:rsid w:val="41E1457B"/>
    <w:rsid w:val="42D54BE5"/>
    <w:rsid w:val="4404523D"/>
    <w:rsid w:val="44173276"/>
    <w:rsid w:val="44480F04"/>
    <w:rsid w:val="44680DCD"/>
    <w:rsid w:val="44AD5B3A"/>
    <w:rsid w:val="451F2B25"/>
    <w:rsid w:val="4563196A"/>
    <w:rsid w:val="475B280A"/>
    <w:rsid w:val="47D01C68"/>
    <w:rsid w:val="485C6E78"/>
    <w:rsid w:val="48747674"/>
    <w:rsid w:val="495167BB"/>
    <w:rsid w:val="4B52796F"/>
    <w:rsid w:val="4BAD743A"/>
    <w:rsid w:val="4BD96D9F"/>
    <w:rsid w:val="4BF3000E"/>
    <w:rsid w:val="4C375DA7"/>
    <w:rsid w:val="4C9A323D"/>
    <w:rsid w:val="4C9E327B"/>
    <w:rsid w:val="4CA861B5"/>
    <w:rsid w:val="4D437E3F"/>
    <w:rsid w:val="4DD24714"/>
    <w:rsid w:val="4E3B4D0D"/>
    <w:rsid w:val="4EB0291D"/>
    <w:rsid w:val="4ECB0E9B"/>
    <w:rsid w:val="51BA643D"/>
    <w:rsid w:val="53331E92"/>
    <w:rsid w:val="536F2B6E"/>
    <w:rsid w:val="556755EE"/>
    <w:rsid w:val="558E78ED"/>
    <w:rsid w:val="55F567F7"/>
    <w:rsid w:val="56172650"/>
    <w:rsid w:val="564F59C3"/>
    <w:rsid w:val="566F5504"/>
    <w:rsid w:val="57153751"/>
    <w:rsid w:val="579338AD"/>
    <w:rsid w:val="57EF0351"/>
    <w:rsid w:val="58A518E6"/>
    <w:rsid w:val="5A565796"/>
    <w:rsid w:val="5AFD6C30"/>
    <w:rsid w:val="5B721EB2"/>
    <w:rsid w:val="5B7B4459"/>
    <w:rsid w:val="5BC7405B"/>
    <w:rsid w:val="5BFF5046"/>
    <w:rsid w:val="5C325B61"/>
    <w:rsid w:val="5C9E1C3C"/>
    <w:rsid w:val="5CA035AE"/>
    <w:rsid w:val="5CBA4DAD"/>
    <w:rsid w:val="5CD30805"/>
    <w:rsid w:val="5CF80ADA"/>
    <w:rsid w:val="5D711E96"/>
    <w:rsid w:val="5EC02CB0"/>
    <w:rsid w:val="5F1507A2"/>
    <w:rsid w:val="5FA70DE7"/>
    <w:rsid w:val="5FB015AF"/>
    <w:rsid w:val="608044CC"/>
    <w:rsid w:val="61AC1AC8"/>
    <w:rsid w:val="62665D5A"/>
    <w:rsid w:val="62E2264A"/>
    <w:rsid w:val="634C0C63"/>
    <w:rsid w:val="65F23DA3"/>
    <w:rsid w:val="66335F59"/>
    <w:rsid w:val="664F076E"/>
    <w:rsid w:val="690126DF"/>
    <w:rsid w:val="69556C0F"/>
    <w:rsid w:val="69877F4B"/>
    <w:rsid w:val="6B1822C3"/>
    <w:rsid w:val="6C2A1474"/>
    <w:rsid w:val="6C7B73F9"/>
    <w:rsid w:val="6D652260"/>
    <w:rsid w:val="6DE94E1F"/>
    <w:rsid w:val="6EED14AE"/>
    <w:rsid w:val="6EEF7CCC"/>
    <w:rsid w:val="6FBF194F"/>
    <w:rsid w:val="715529F5"/>
    <w:rsid w:val="723B773A"/>
    <w:rsid w:val="7243288F"/>
    <w:rsid w:val="72860CF7"/>
    <w:rsid w:val="75A23643"/>
    <w:rsid w:val="75A85AEE"/>
    <w:rsid w:val="77EC7AC4"/>
    <w:rsid w:val="78583D0E"/>
    <w:rsid w:val="78E037E6"/>
    <w:rsid w:val="79561A22"/>
    <w:rsid w:val="79FB03BD"/>
    <w:rsid w:val="7A8475F7"/>
    <w:rsid w:val="7ADC1484"/>
    <w:rsid w:val="7B7D11AD"/>
    <w:rsid w:val="7BB1659F"/>
    <w:rsid w:val="7CCD4149"/>
    <w:rsid w:val="7CF1661C"/>
    <w:rsid w:val="7D144BBD"/>
    <w:rsid w:val="7D541EEC"/>
    <w:rsid w:val="7E5D20A3"/>
    <w:rsid w:val="7EC75F5F"/>
    <w:rsid w:val="7F025D9B"/>
    <w:rsid w:val="7F481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next w:val="1"/>
    <w:qFormat/>
    <w:uiPriority w:val="0"/>
    <w:pPr>
      <w:widowControl/>
      <w:jc w:val="left"/>
    </w:pPr>
    <w:rPr>
      <w:rFonts w:ascii="Arial" w:hAnsi="Arial"/>
      <w:kern w:val="0"/>
      <w:sz w:val="24"/>
      <w:szCs w:val="24"/>
      <w:lang w:eastAsia="en-US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360" w:lineRule="auto"/>
    </w:pPr>
    <w:rPr>
      <w:sz w:val="24"/>
      <w:szCs w:val="24"/>
    </w:rPr>
  </w:style>
  <w:style w:type="paragraph" w:styleId="10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Emphasis"/>
    <w:qFormat/>
    <w:uiPriority w:val="20"/>
    <w:rPr>
      <w:i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脚 Char"/>
    <w:link w:val="7"/>
    <w:qFormat/>
    <w:uiPriority w:val="99"/>
    <w:rPr>
      <w:sz w:val="18"/>
      <w:szCs w:val="18"/>
    </w:rPr>
  </w:style>
  <w:style w:type="character" w:customStyle="1" w:styleId="17">
    <w:name w:val="页眉 Char"/>
    <w:link w:val="8"/>
    <w:qFormat/>
    <w:uiPriority w:val="99"/>
    <w:rPr>
      <w:sz w:val="18"/>
      <w:szCs w:val="18"/>
    </w:rPr>
  </w:style>
  <w:style w:type="character" w:customStyle="1" w:styleId="18">
    <w:name w:val="fontstyle01"/>
    <w:basedOn w:val="13"/>
    <w:qFormat/>
    <w:uiPriority w:val="0"/>
    <w:rPr>
      <w:rFonts w:hint="eastAsia" w:ascii="宋体" w:hAnsi="宋体" w:eastAsia="宋体"/>
      <w:color w:val="000000"/>
      <w:sz w:val="32"/>
      <w:szCs w:val="32"/>
    </w:rPr>
  </w:style>
  <w:style w:type="character" w:customStyle="1" w:styleId="19">
    <w:name w:val="fontstyle31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List Paragraph1"/>
    <w:basedOn w:val="1"/>
    <w:qFormat/>
    <w:uiPriority w:val="0"/>
    <w:pPr>
      <w:ind w:firstLine="420" w:firstLineChars="200"/>
    </w:pPr>
  </w:style>
  <w:style w:type="paragraph" w:customStyle="1" w:styleId="22">
    <w:name w:val="Char"/>
    <w:basedOn w:val="1"/>
    <w:semiHidden/>
    <w:qFormat/>
    <w:uiPriority w:val="0"/>
    <w:pPr>
      <w:spacing w:line="400" w:lineRule="exact"/>
      <w:jc w:val="center"/>
    </w:pPr>
    <w:rPr>
      <w:rFonts w:ascii="Verdana" w:hAnsi="Verdana"/>
      <w:szCs w:val="24"/>
      <w:lang w:eastAsia="en-US"/>
    </w:rPr>
  </w:style>
  <w:style w:type="paragraph" w:customStyle="1" w:styleId="23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1027</Words>
  <Characters>1099</Characters>
  <Lines>51</Lines>
  <Paragraphs>14</Paragraphs>
  <TotalTime>104</TotalTime>
  <ScaleCrop>false</ScaleCrop>
  <LinksUpToDate>false</LinksUpToDate>
  <CharactersWithSpaces>1103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2015-06-15T02:47:00Z</dcterms:created>
  <dc:creator>Administrator</dc:creator>
  <cp:lastModifiedBy>时苒</cp:lastModifiedBy>
  <cp:lastPrinted>2024-04-06T23:56:00Z</cp:lastPrinted>
  <dcterms:modified xsi:type="dcterms:W3CDTF">2026-05-12T09:40:35Z</dcterms:modified>
  <dc:title>中关村公租房工程清单与控制价编制说明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4F3C0446189E4AB4A141A2A20C9E5AA4_13</vt:lpwstr>
  </property>
  <property fmtid="{D5CDD505-2E9C-101B-9397-08002B2CF9AE}" pid="4" name="KSOTemplateDocerSaveRecord">
    <vt:lpwstr>eyJoZGlkIjoiNTc2OWY1NTk3NDM2M2RiNTczMzAxYmNiODcxZTEwYjMiLCJ1c2VySWQiOiI1NDc3MzAxODIifQ==</vt:lpwstr>
  </property>
</Properties>
</file>