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jc w:val="center"/>
        <w:spacing w:before="120" w:after="120" w:line="360" w:lineRule="auto"/>
        <w:rPr>
          <w:rFonts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ind w:firstLine="964"/>
        <w:jc w:val="left"/>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jc w:val="left"/>
        <w:spacing w:before="120" w:after="120" w:line="360" w:lineRule="auto"/>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项目名称：</w:t>
      </w:r>
      <w:r>
        <w:rPr>
          <w:rFonts w:hint="eastAsia" w:ascii="Arial" w:hAnsi="Arial"/>
          <w:b/>
          <w:bCs/>
          <w:color w:val="auto"/>
          <w:sz w:val="32"/>
          <w:szCs w:val="24"/>
          <w:highlight w:val="none"/>
          <w:lang w:eastAsia="zh-CN"/>
        </w:rPr>
        <w:t xml:space="preserve">海安市市场监督管理局2026年食品抽检服务项目</w:t>
      </w:r>
      <w:r/>
    </w:p>
    <w:p>
      <w:pPr>
        <w:jc w:val="left"/>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项目编号： JSZC-320685-HAZX-C2026-0009</w:t>
      </w:r>
      <w:r>
        <w:rPr>
          <w:rFonts w:hint="eastAsia" w:ascii="Arial" w:hAnsi="Arial"/>
          <w:b/>
          <w:bCs/>
          <w:color w:val="auto"/>
          <w:sz w:val="32"/>
          <w:szCs w:val="24"/>
          <w:highlight w:val="none"/>
          <w:lang w:val="en-US" w:eastAsia="zh-CN"/>
        </w:rPr>
        <w:t xml:space="preserve"> </w:t>
      </w:r>
      <w:r>
        <w:rPr>
          <w:rFonts w:hint="eastAsia" w:ascii="Arial" w:hAnsi="Arial"/>
          <w:b/>
          <w:bCs/>
          <w:color w:val="auto"/>
          <w:sz w:val="32"/>
          <w:szCs w:val="24"/>
          <w:highlight w:val="none"/>
        </w:rPr>
        <w:tab/>
      </w:r>
      <w:r>
        <w:rPr>
          <w:rFonts w:hint="eastAsia" w:ascii="Arial" w:hAnsi="Arial"/>
          <w:b/>
          <w:bCs/>
          <w:color w:val="auto"/>
          <w:sz w:val="32"/>
          <w:szCs w:val="24"/>
          <w:highlight w:val="none"/>
        </w:rPr>
        <w:t xml:space="preserve"> </w:t>
      </w:r>
      <w:r>
        <w:rPr>
          <w:rFonts w:ascii="Arial" w:hAnsi="Arial"/>
          <w:b/>
          <w:bCs/>
          <w:color w:val="auto"/>
          <w:sz w:val="32"/>
          <w:szCs w:val="24"/>
          <w:highlight w:val="none"/>
        </w:rPr>
        <w:t xml:space="preserve">            </w:t>
      </w:r>
      <w:r/>
    </w:p>
    <w:p>
      <w:pPr>
        <w:ind w:firstLine="1470"/>
        <w:jc w:val="left"/>
        <w:spacing w:before="120" w:after="120" w:line="360" w:lineRule="auto"/>
        <w:rPr>
          <w:b/>
          <w:color w:val="auto"/>
          <w:sz w:val="30"/>
          <w:szCs w:val="30"/>
          <w:highlight w:val="none"/>
        </w:rPr>
      </w:pPr>
      <w:r>
        <w:rPr>
          <w:rFonts w:hint="eastAsia"/>
          <w:color w:val="auto"/>
          <w:szCs w:val="21"/>
          <w:highlight w:val="none"/>
        </w:rPr>
        <w:t xml:space="preserve">        </w:t>
      </w:r>
      <w:r>
        <w:rPr>
          <w:rFonts w:hint="eastAsia"/>
          <w:b/>
          <w:color w:val="auto"/>
          <w:sz w:val="30"/>
          <w:szCs w:val="30"/>
          <w:highlight w:val="none"/>
        </w:rPr>
        <w:t xml:space="preserve">     </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jc w:val="center"/>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jc w:val="center"/>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采购人：</w:t>
      </w:r>
      <w:bookmarkStart w:id="0" w:name="OLE_LINK3"/>
      <w:r/>
      <w:bookmarkStart w:id="1" w:name="OLE_LINK6"/>
      <w:r>
        <w:rPr>
          <w:rFonts w:hint="eastAsia" w:ascii="Arial" w:hAnsi="Arial"/>
          <w:b/>
          <w:bCs/>
          <w:color w:val="auto"/>
          <w:sz w:val="32"/>
          <w:szCs w:val="24"/>
          <w:highlight w:val="none"/>
        </w:rPr>
        <w:t xml:space="preserve">海安市市场监督管理局</w:t>
      </w:r>
      <w:bookmarkEnd w:id="0"/>
      <w:r/>
      <w:bookmarkEnd w:id="1"/>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202</w:t>
      </w:r>
      <w:r>
        <w:rPr>
          <w:rFonts w:hint="eastAsia" w:ascii="Arial" w:hAnsi="Arial"/>
          <w:b/>
          <w:bCs/>
          <w:color w:val="auto"/>
          <w:sz w:val="32"/>
          <w:szCs w:val="24"/>
          <w:highlight w:val="none"/>
          <w:lang w:val="en-US" w:eastAsia="zh-CN"/>
        </w:rPr>
        <w:t xml:space="preserve">6</w:t>
      </w:r>
      <w:r>
        <w:rPr>
          <w:rFonts w:hint="eastAsia" w:ascii="Arial" w:hAnsi="Arial"/>
          <w:b/>
          <w:bCs/>
          <w:color w:val="auto"/>
          <w:sz w:val="32"/>
          <w:szCs w:val="24"/>
          <w:highlight w:val="none"/>
        </w:rPr>
        <w:t xml:space="preserve">年</w:t>
      </w:r>
      <w:r>
        <w:rPr>
          <w:rFonts w:hint="eastAsia" w:ascii="Arial" w:hAnsi="Arial"/>
          <w:b/>
          <w:bCs/>
          <w:color w:val="auto"/>
          <w:sz w:val="32"/>
          <w:szCs w:val="24"/>
          <w:highlight w:val="none"/>
          <w:lang w:val="en-US" w:eastAsia="zh-CN"/>
        </w:rPr>
        <w:t xml:space="preserve">05</w:t>
      </w:r>
      <w:r>
        <w:rPr>
          <w:rFonts w:hint="eastAsia" w:ascii="Arial" w:hAnsi="Arial"/>
          <w:b/>
          <w:bCs/>
          <w:color w:val="auto"/>
          <w:sz w:val="32"/>
          <w:szCs w:val="24"/>
          <w:highlight w:val="none"/>
        </w:rPr>
        <w:t xml:space="preserve">月</w:t>
      </w:r>
      <w:r>
        <w:rPr>
          <w:rFonts w:hint="eastAsia" w:ascii="Arial" w:hAnsi="Arial"/>
          <w:b/>
          <w:bCs/>
          <w:color w:val="auto"/>
          <w:sz w:val="32"/>
          <w:szCs w:val="24"/>
          <w:highlight w:val="none"/>
          <w:lang w:val="en-US" w:eastAsia="zh-CN"/>
        </w:rPr>
        <w:t xml:space="preserve">14</w:t>
      </w:r>
      <w:r>
        <w:rPr>
          <w:rFonts w:hint="eastAsia" w:ascii="Arial" w:hAnsi="Arial"/>
          <w:b/>
          <w:bCs/>
          <w:color w:val="auto"/>
          <w:sz w:val="32"/>
          <w:szCs w:val="24"/>
          <w:highlight w:val="none"/>
        </w:rPr>
        <w:t xml:space="preserve">日</w:t>
      </w:r>
      <w:r/>
    </w:p>
    <w:p>
      <w:pPr>
        <w:jc w:val="left"/>
        <w:spacing w:before="120" w:after="120" w:line="360" w:lineRule="auto"/>
        <w:rPr>
          <w:rFonts w:ascii="Arial" w:hAnsi="Arial"/>
          <w:color w:val="auto"/>
          <w:sz w:val="24"/>
          <w:szCs w:val="24"/>
          <w:highlight w:val="none"/>
        </w:rPr>
      </w:pPr>
      <w:r>
        <w:rPr>
          <w:rFonts w:hint="eastAsia" w:ascii="Arial" w:hAnsi="Arial"/>
          <w:color w:val="auto"/>
          <w:sz w:val="24"/>
          <w:szCs w:val="24"/>
          <w:highlight w:val="none"/>
        </w:rPr>
        <w:t xml:space="preserve">                        </w:t>
      </w:r>
      <w:bookmarkStart w:id="2" w:name="_Toc120614210"/>
      <w:r/>
      <w:bookmarkStart w:id="3" w:name="_Toc20823272"/>
      <w:r/>
      <w:bookmarkStart w:id="4" w:name="_Toc513029200"/>
      <w:r/>
      <w:bookmarkStart w:id="5" w:name="_Toc479757206"/>
      <w:r/>
      <w:bookmarkStart w:id="6" w:name="_Toc16938516"/>
      <w:r/>
      <w:bookmarkStart w:id="7" w:name="_Toc523127445"/>
      <w:r/>
      <w:r/>
    </w:p>
    <w:p>
      <w:pPr>
        <w:jc w:val="left"/>
        <w:spacing w:before="120" w:after="120" w:line="360" w:lineRule="auto"/>
        <w:rPr>
          <w:rFonts w:ascii="Arial" w:hAnsi="Arial"/>
          <w:color w:val="auto"/>
          <w:sz w:val="24"/>
          <w:szCs w:val="24"/>
          <w:highlight w:val="none"/>
        </w:rPr>
      </w:pPr>
      <w:r>
        <w:rPr>
          <w:rFonts w:ascii="Arial" w:hAnsi="Arial"/>
          <w:color w:val="auto"/>
          <w:sz w:val="24"/>
          <w:szCs w:val="24"/>
          <w:highlight w:val="none"/>
        </w:rPr>
      </w:r>
      <w:r/>
    </w:p>
    <w:p>
      <w:pPr>
        <w:ind w:firstLine="3534"/>
        <w:jc w:val="left"/>
        <w:spacing w:before="120" w:after="120" w:line="360" w:lineRule="auto"/>
        <w:rPr>
          <w:rFonts w:ascii="黑体" w:hAnsi="Arial" w:eastAsia="黑体"/>
          <w:b/>
          <w:color w:val="auto"/>
          <w:sz w:val="44"/>
          <w:szCs w:val="21"/>
          <w:highlight w:val="none"/>
        </w:rPr>
      </w:pPr>
      <w:r>
        <w:rPr>
          <w:rFonts w:hint="eastAsia" w:ascii="黑体" w:hAnsi="Arial" w:eastAsia="黑体"/>
          <w:b/>
          <w:color w:val="auto"/>
          <w:sz w:val="44"/>
          <w:szCs w:val="21"/>
          <w:highlight w:val="none"/>
        </w:rPr>
        <w:t xml:space="preserve">总  目  录</w:t>
      </w:r>
      <w:r/>
    </w:p>
    <w:p>
      <w:pPr>
        <w:spacing w:line="48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numPr>
          <w:ilvl w:val="0"/>
          <w:numId w:val="4"/>
        </w:numPr>
        <w:spacing w:line="480" w:lineRule="auto"/>
        <w:rPr>
          <w:rFonts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磋商邀请</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供应商须知</w:t>
      </w:r>
      <w:r>
        <w:rPr>
          <w:rFonts w:hint="eastAsia" w:ascii="黑体" w:hAnsi="Showcard Gothic" w:eastAsia="黑体"/>
          <w:color w:val="auto"/>
          <w:sz w:val="36"/>
          <w:szCs w:val="21"/>
          <w:highlight w:val="none"/>
        </w:rPr>
        <w:t xml:space="preserve"> </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评审方法与评审标准</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响应文件格式</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jc w:val="center"/>
        <w:keepNext/>
        <w:spacing w:line="560" w:lineRule="exact"/>
        <w:rPr>
          <w:rFonts w:ascii="黑体" w:eastAsia="黑体"/>
          <w:bCs/>
          <w:color w:val="auto"/>
          <w:sz w:val="44"/>
          <w:szCs w:val="44"/>
          <w:highlight w:val="none"/>
        </w:rPr>
        <w:outlineLvl w:val="0"/>
      </w:pPr>
      <w:r>
        <w:rPr>
          <w:rFonts w:hint="eastAsia" w:ascii="黑体" w:eastAsia="黑体"/>
          <w:color w:val="auto"/>
          <w:sz w:val="44"/>
          <w:szCs w:val="44"/>
          <w:highlight w:val="none"/>
        </w:rPr>
        <w:t xml:space="preserve">第一章  </w:t>
      </w:r>
      <w:bookmarkEnd w:id="2"/>
      <w:r>
        <w:rPr>
          <w:rFonts w:hint="eastAsia" w:ascii="黑体" w:eastAsia="黑体"/>
          <w:color w:val="auto"/>
          <w:sz w:val="44"/>
          <w:szCs w:val="44"/>
          <w:highlight w:val="none"/>
        </w:rPr>
        <w:t xml:space="preserve">磋商邀请</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rPr>
        <w:t xml:space="preserve">海安市市场监督管理局</w:t>
      </w:r>
      <w:r>
        <w:rPr>
          <w:rFonts w:hint="eastAsia" w:ascii="宋体" w:hAnsi="宋体"/>
          <w:color w:val="auto"/>
          <w:sz w:val="24"/>
          <w:szCs w:val="24"/>
          <w:highlight w:val="none"/>
        </w:rPr>
        <w:t xml:space="preserve">的委托，</w:t>
      </w:r>
      <w:r>
        <w:rPr>
          <w:rFonts w:hint="eastAsia" w:ascii="宋体" w:hAnsi="宋体"/>
          <w:color w:val="auto"/>
          <w:sz w:val="24"/>
          <w:szCs w:val="24"/>
          <w:highlight w:val="none"/>
          <w:u w:val="single"/>
        </w:rPr>
        <w:t xml:space="preserve">海安中信会计师事务所有限公司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u w:val="single"/>
          <w:lang w:eastAsia="zh-CN"/>
        </w:rPr>
        <w:t xml:space="preserve">海安市市场监督管理局2026年食品抽检服务项目</w:t>
      </w:r>
      <w:r>
        <w:rPr>
          <w:rFonts w:hint="eastAsia" w:ascii="宋体" w:hAnsi="宋体"/>
          <w:color w:val="auto"/>
          <w:sz w:val="24"/>
          <w:szCs w:val="24"/>
          <w:highlight w:val="none"/>
        </w:rPr>
        <w:t xml:space="preserve">(项目编号：</w:t>
      </w:r>
      <w:bookmarkStart w:id="8" w:name="OLE_LINK37"/>
      <w:r/>
      <w:bookmarkStart w:id="9" w:name="OLE_LINK38"/>
      <w:r>
        <w:rPr>
          <w:rFonts w:hint="eastAsia" w:ascii="宋体" w:hAnsi="宋体"/>
          <w:color w:val="auto"/>
          <w:sz w:val="24"/>
          <w:szCs w:val="24"/>
          <w:highlight w:val="none"/>
        </w:rPr>
        <w:t xml:space="preserve">JSZC-320685-HAZX-C2026-0009</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w:t>
      </w:r>
      <w:bookmarkEnd w:id="8"/>
      <w:r/>
      <w:bookmarkEnd w:id="9"/>
      <w:r>
        <w:rPr>
          <w:rFonts w:hint="eastAsia" w:ascii="宋体" w:hAnsi="宋体"/>
          <w:color w:val="auto"/>
          <w:sz w:val="24"/>
          <w:szCs w:val="24"/>
          <w:highlight w:val="none"/>
        </w:rPr>
        <w:t xml:space="preserve">进行竞争性磋商采购，欢迎符合条件的供应商参加磋商。</w:t>
      </w:r>
      <w:r/>
    </w:p>
    <w:p>
      <w:pPr>
        <w:ind w:firstLine="480"/>
        <w:spacing w:line="560" w:lineRule="exact"/>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60" w:lineRule="exact"/>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u w:val="single"/>
          <w:lang w:eastAsia="zh-CN"/>
        </w:rPr>
        <w:t xml:space="preserve">海安市市场监督管理局2026年食品抽检服务项目</w:t>
      </w:r>
      <w:r>
        <w:rPr>
          <w:rFonts w:hint="eastAsia" w:ascii="宋体" w:hAnsi="宋体"/>
          <w:color w:val="auto"/>
          <w:sz w:val="24"/>
          <w:szCs w:val="24"/>
          <w:highlight w:val="none"/>
        </w:rPr>
        <w:t xml:space="preserve">竞争性磋商项目的潜在供应商可在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磋商文件，并于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5</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27</w:t>
      </w:r>
      <w:r>
        <w:rPr>
          <w:rFonts w:hint="eastAsia" w:ascii="宋体" w:hAnsi="宋体"/>
          <w:color w:val="auto"/>
          <w:sz w:val="24"/>
          <w:szCs w:val="24"/>
          <w:highlight w:val="none"/>
          <w:u w:val="single"/>
        </w:rPr>
        <w:t xml:space="preserve">日</w:t>
      </w:r>
      <w:r>
        <w:rPr>
          <w:rFonts w:hint="eastAsia" w:ascii="宋体" w:hAnsi="宋体"/>
          <w:bCs/>
          <w:color w:val="auto"/>
          <w:sz w:val="24"/>
          <w:szCs w:val="24"/>
          <w:highlight w:val="none"/>
          <w:u w:val="single"/>
        </w:rPr>
        <w:t xml:space="preserve">09点00分（</w:t>
      </w:r>
      <w:r>
        <w:rPr>
          <w:rFonts w:hint="eastAsia" w:ascii="宋体" w:hAnsi="宋体"/>
          <w:bCs/>
          <w:color w:val="auto"/>
          <w:sz w:val="24"/>
          <w:szCs w:val="24"/>
          <w:highlight w:val="none"/>
        </w:rPr>
        <w:t xml:space="preserve">北京时间）前递交响应文件</w:t>
      </w:r>
      <w:r>
        <w:rPr>
          <w:rFonts w:hint="eastAsia" w:ascii="宋体" w:hAnsi="宋体"/>
          <w:color w:val="auto"/>
          <w:sz w:val="24"/>
          <w:szCs w:val="24"/>
          <w:highlight w:val="none"/>
        </w:rPr>
        <w:t xml:space="preserve">。</w:t>
      </w:r>
      <w:r/>
    </w:p>
    <w:p>
      <w:pPr>
        <w:ind w:firstLine="498"/>
        <w:keepLines/>
        <w:keepNext/>
        <w:spacing w:line="560" w:lineRule="exact"/>
        <w:rPr>
          <w:b/>
          <w:bCs/>
          <w:color w:val="auto"/>
          <w:sz w:val="32"/>
          <w:szCs w:val="32"/>
          <w:highlight w:val="none"/>
        </w:rPr>
        <w:outlineLvl w:val="2"/>
      </w:pPr>
      <w:r/>
      <w:bookmarkStart w:id="10" w:name="_Toc35393790"/>
      <w:r/>
      <w:bookmarkStart w:id="11" w:name="_Toc28359002"/>
      <w:r/>
      <w:bookmarkStart w:id="12" w:name="_Toc38985263"/>
      <w:r/>
      <w:bookmarkStart w:id="13" w:name="_Toc35393621"/>
      <w:r/>
      <w:bookmarkStart w:id="14" w:name="_Toc28359079"/>
      <w:r/>
      <w:bookmarkStart w:id="15" w:name="_Hlk24379207"/>
      <w:r>
        <w:rPr>
          <w:rFonts w:hint="eastAsia"/>
          <w:b/>
          <w:bCs/>
          <w:color w:val="auto"/>
          <w:sz w:val="32"/>
          <w:szCs w:val="32"/>
          <w:highlight w:val="none"/>
        </w:rPr>
        <w:t xml:space="preserve">一、项目基本情况</w:t>
      </w:r>
      <w:bookmarkEnd w:id="10"/>
      <w:r/>
      <w:bookmarkEnd w:id="11"/>
      <w:r/>
      <w:bookmarkEnd w:id="12"/>
      <w:r/>
      <w:bookmarkEnd w:id="13"/>
      <w:r/>
      <w:bookmarkEnd w:id="14"/>
      <w:r/>
      <w:bookmarkEnd w:id="15"/>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1.项目编号：JSZC-320685-HAZX-C2026-0009</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rPr>
          <w:rFonts w:hint="eastAsia" w:ascii="宋体" w:hAnsi="宋体"/>
          <w:color w:val="auto"/>
          <w:sz w:val="24"/>
          <w:szCs w:val="24"/>
          <w:highlight w:val="none"/>
        </w:rPr>
        <w:tab/>
      </w:r>
      <w:r>
        <w:rPr>
          <w:rFonts w:hint="eastAsia" w:ascii="宋体" w:hAnsi="宋体"/>
          <w:color w:val="auto"/>
          <w:sz w:val="24"/>
          <w:szCs w:val="24"/>
          <w:highlight w:val="none"/>
        </w:rPr>
        <w:t xml:space="preserve">  </w:t>
      </w:r>
      <w:r/>
    </w:p>
    <w:p>
      <w:pPr>
        <w:ind w:firstLine="48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海安市市场监督管理局2026年食品抽检服务项目</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3.项目类型：服务</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4.项目行业：其他未列明行业</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5.预算金额：129.29818万元，共计</w:t>
      </w:r>
      <w:r>
        <w:rPr>
          <w:rFonts w:hint="eastAsia" w:ascii="宋体" w:hAnsi="宋体"/>
          <w:color w:val="auto"/>
          <w:sz w:val="24"/>
          <w:szCs w:val="24"/>
          <w:highlight w:val="none"/>
          <w:lang w:val="en-US" w:eastAsia="zh-CN"/>
        </w:rPr>
        <w:t xml:space="preserve">2645</w:t>
      </w:r>
      <w:r>
        <w:rPr>
          <w:rFonts w:hint="eastAsia" w:ascii="宋体" w:hAnsi="宋体"/>
          <w:color w:val="auto"/>
          <w:sz w:val="24"/>
          <w:szCs w:val="24"/>
          <w:highlight w:val="none"/>
        </w:rPr>
        <w:t xml:space="preserve">批次。</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6.共分</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个采购包，其中：</w:t>
      </w:r>
      <w:r/>
    </w:p>
    <w:p>
      <w:pPr>
        <w:ind w:firstLine="480"/>
        <w:spacing w:line="560" w:lineRule="exact"/>
        <w:rPr>
          <w:rFonts w:hint="eastAsia" w:ascii="宋体" w:hAnsi="宋体"/>
          <w:color w:val="auto"/>
          <w:sz w:val="24"/>
          <w:szCs w:val="24"/>
          <w:highlight w:val="none"/>
        </w:rPr>
      </w:pPr>
      <w:r/>
      <w:bookmarkStart w:id="16" w:name="OLE_LINK33"/>
      <w:r/>
      <w:bookmarkStart w:id="17" w:name="OLE_LINK4"/>
      <w:r/>
      <w:bookmarkStart w:id="18" w:name="OLE_LINK5"/>
      <w:r>
        <w:rPr>
          <w:rFonts w:hint="eastAsia" w:ascii="宋体" w:hAnsi="宋体"/>
          <w:color w:val="auto"/>
          <w:sz w:val="24"/>
          <w:szCs w:val="24"/>
          <w:highlight w:val="none"/>
        </w:rPr>
        <w:t xml:space="preserve">采购包1最高限价为：43.80万元；流通环节食用农产品295批次+流通环节普通食品228批次（高新区其他商超：2026年9月1日后开始抽样）+餐饮环节100批次（网络餐饮：高新区）+2026机动批次273批次（高新区、雅周、李堡、滨海新区）。共896批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采购包2最高限价为：43.17万元；生产环节203批次+流通环节普通食品（开发区其他商超）340批次+餐饮环节50批次（网络餐饮：开发区）+2026机动90批次（开发区、大公）+2026—2027任务延续200批次。共883批次。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包3最高限价为：42.32818万元；学校及养老机构专项100批次+流通环节普通食品455批次（高新区其他商超：2026年8月31日前完成抽样）+餐饮环节普通食品40批次（其他餐饮店：不含高新区、开发区、曲塘）+2026机动71批次（曲塘、墩头、南莫、白甸）+2026—2027任务延续200批次。共计866批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注：2026—2027任务延续400批次，为确保抽检工作在2026年12月至2027年4月</w:t>
      </w:r>
      <w:r>
        <w:rPr>
          <w:rFonts w:hint="eastAsia" w:ascii="宋体" w:hAnsi="宋体"/>
          <w:color w:val="auto"/>
          <w:sz w:val="24"/>
          <w:szCs w:val="24"/>
          <w:highlight w:val="none"/>
          <w:lang w:val="en-US" w:eastAsia="zh-CN"/>
        </w:rPr>
        <w:t xml:space="preserve">30日</w:t>
      </w:r>
      <w:r>
        <w:rPr>
          <w:rFonts w:hint="eastAsia" w:ascii="宋体" w:hAnsi="宋体"/>
          <w:color w:val="auto"/>
          <w:sz w:val="24"/>
          <w:szCs w:val="24"/>
          <w:highlight w:val="none"/>
        </w:rPr>
        <w:t xml:space="preserve">期间均衡开展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并录入检验报告</w:t>
      </w:r>
      <w:r>
        <w:rPr>
          <w:rFonts w:hint="eastAsia" w:ascii="宋体" w:hAnsi="宋体"/>
          <w:color w:val="auto"/>
          <w:sz w:val="24"/>
          <w:szCs w:val="24"/>
          <w:highlight w:val="none"/>
        </w:rPr>
        <w:t xml:space="preserve">。</w:t>
      </w:r>
      <w:bookmarkEnd w:id="16"/>
      <w:bookmarkEnd w:id="17"/>
      <w:bookmarkEnd w:id="18"/>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各采购包报价超过</w:t>
      </w:r>
      <w:r>
        <w:rPr>
          <w:rFonts w:hint="eastAsia" w:ascii="宋体" w:hAnsi="宋体"/>
          <w:b/>
          <w:bCs/>
          <w:color w:val="auto"/>
          <w:sz w:val="24"/>
          <w:szCs w:val="24"/>
          <w:highlight w:val="none"/>
        </w:rPr>
        <w:t xml:space="preserve">最高限价</w:t>
      </w:r>
      <w:r>
        <w:rPr>
          <w:rFonts w:hint="eastAsia" w:ascii="宋体" w:hAnsi="宋体"/>
          <w:color w:val="auto"/>
          <w:sz w:val="24"/>
          <w:szCs w:val="24"/>
          <w:highlight w:val="none"/>
        </w:rPr>
        <w:t xml:space="preserve">的为无效响应文件。</w:t>
      </w:r>
      <w:r/>
    </w:p>
    <w:p>
      <w:pPr>
        <w:pStyle w:val="770"/>
        <w:ind w:firstLine="480"/>
        <w:rPr>
          <w:color w:val="auto"/>
          <w:sz w:val="24"/>
          <w:szCs w:val="24"/>
          <w:highlight w:val="none"/>
        </w:rPr>
      </w:pPr>
      <w:r>
        <w:rPr>
          <w:rFonts w:hint="eastAsia" w:cs="宋体"/>
          <w:color w:val="auto"/>
          <w:sz w:val="24"/>
          <w:szCs w:val="24"/>
          <w:highlight w:val="none"/>
        </w:rPr>
        <w:t xml:space="preserve">本项目共分为</w:t>
      </w:r>
      <w:r>
        <w:rPr>
          <w:rFonts w:hint="eastAsia" w:cs="宋体"/>
          <w:color w:val="auto"/>
          <w:sz w:val="24"/>
          <w:szCs w:val="24"/>
          <w:highlight w:val="none"/>
          <w:lang w:val="en-US" w:eastAsia="zh-CN"/>
        </w:rPr>
        <w:t xml:space="preserve">三</w:t>
      </w:r>
      <w:r>
        <w:rPr>
          <w:rFonts w:hint="eastAsia" w:cs="宋体"/>
          <w:color w:val="auto"/>
          <w:sz w:val="24"/>
          <w:szCs w:val="24"/>
          <w:highlight w:val="none"/>
        </w:rPr>
        <w:t xml:space="preserve">个采购包（采购包号为1到</w:t>
      </w:r>
      <w:r>
        <w:rPr>
          <w:rFonts w:hint="eastAsia" w:cs="宋体"/>
          <w:color w:val="auto"/>
          <w:sz w:val="24"/>
          <w:szCs w:val="24"/>
          <w:highlight w:val="none"/>
          <w:lang w:val="en-US" w:eastAsia="zh-CN"/>
        </w:rPr>
        <w:t xml:space="preserve">3</w:t>
      </w:r>
      <w:r>
        <w:rPr>
          <w:rFonts w:hint="eastAsia" w:cs="宋体"/>
          <w:color w:val="auto"/>
          <w:sz w:val="24"/>
          <w:szCs w:val="24"/>
          <w:highlight w:val="none"/>
        </w:rPr>
        <w:t xml:space="preserve">），各响应供应商可以根据情况选择其中一个或全部标段进行投标。每家响应供应商累计中标标段数不得超过一个。评标时，依开标顺序（按标段号自然顺序开标），按照先开先中的原则，确定该响应供应商的中标标段号，可以参加后续标段的评标但不得作为后续标段的中标候选人。在合同签订之前，若某标段因质疑、投诉等事项导致中标结果改变的，则不影响其它标段号的中标结果。</w:t>
      </w:r>
      <w:r/>
    </w:p>
    <w:p>
      <w:pPr>
        <w:ind w:firstLine="480"/>
        <w:spacing w:line="560" w:lineRule="exact"/>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各</w:t>
      </w:r>
      <w:r>
        <w:rPr>
          <w:rFonts w:hint="eastAsia" w:ascii="宋体" w:hAnsi="宋体"/>
          <w:color w:val="auto"/>
          <w:sz w:val="24"/>
          <w:szCs w:val="24"/>
          <w:highlight w:val="none"/>
        </w:rPr>
        <w:t xml:space="preserve">采购包</w:t>
      </w:r>
      <w:r>
        <w:rPr>
          <w:rFonts w:ascii="宋体" w:hAnsi="宋体"/>
          <w:color w:val="auto"/>
          <w:sz w:val="24"/>
          <w:szCs w:val="24"/>
          <w:highlight w:val="none"/>
        </w:rPr>
        <w:t xml:space="preserve">抽检食品种类、批次详见附件</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2026年生产环节食品监督抽检招标任务分配表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附件2《2026年流通环节食品监督抽检招标任务分配表（除食用农产品）》、附件3《2026年食用农产品招标任务分配表》。</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rPr>
        <w:t xml:space="preserve">7.采购需求：</w:t>
      </w:r>
      <w:r>
        <w:rPr>
          <w:rFonts w:hint="eastAsia" w:ascii="宋体" w:hAnsi="宋体" w:cs="宋体"/>
          <w:color w:val="auto"/>
          <w:sz w:val="24"/>
          <w:szCs w:val="24"/>
          <w:highlight w:val="none"/>
        </w:rPr>
        <w:t xml:space="preserve">详细内容见本采购文件第三章，</w:t>
      </w:r>
      <w:r>
        <w:rPr>
          <w:rFonts w:ascii="宋体" w:hAnsi="宋体" w:cs="宋体"/>
          <w:color w:val="auto"/>
          <w:sz w:val="24"/>
          <w:szCs w:val="24"/>
          <w:highlight w:val="none"/>
        </w:rPr>
        <w:t xml:space="preserve">请仔细研究。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8.合同履行期限：</w:t>
      </w:r>
      <w:bookmarkStart w:id="19" w:name="_Toc28359003"/>
      <w:r/>
      <w:bookmarkStart w:id="20" w:name="_Toc38985264"/>
      <w:r/>
      <w:bookmarkStart w:id="21" w:name="_Toc35393791"/>
      <w:r/>
      <w:bookmarkStart w:id="22" w:name="_Toc28359080"/>
      <w:r/>
      <w:bookmarkStart w:id="23" w:name="_Toc35393622"/>
      <w:r>
        <w:rPr>
          <w:rFonts w:hint="eastAsia" w:ascii="宋体" w:hAnsi="宋体"/>
          <w:color w:val="auto"/>
          <w:sz w:val="24"/>
          <w:szCs w:val="24"/>
          <w:highlight w:val="none"/>
        </w:rPr>
        <w:t xml:space="preserve">原则上应当逐月推进抽检工作、全年均衡开展抽检任务。</w:t>
      </w:r>
      <w:r>
        <w:rPr>
          <w:rFonts w:hint="eastAsia" w:ascii="宋体" w:hAnsi="宋体"/>
          <w:color w:val="auto"/>
          <w:sz w:val="24"/>
          <w:szCs w:val="24"/>
          <w:highlight w:val="none"/>
          <w:lang w:val="en-US" w:eastAsia="zh-CN"/>
        </w:rPr>
        <w:t xml:space="preserve">除</w:t>
      </w:r>
      <w:r>
        <w:rPr>
          <w:rFonts w:hint="eastAsia" w:ascii="宋体" w:hAnsi="宋体"/>
          <w:color w:val="auto"/>
          <w:sz w:val="24"/>
          <w:szCs w:val="24"/>
          <w:highlight w:val="none"/>
        </w:rPr>
        <w:t xml:space="preserve">2026—2027任务延续</w:t>
      </w:r>
      <w:r>
        <w:rPr>
          <w:rFonts w:hint="eastAsia" w:ascii="宋体" w:hAnsi="宋体"/>
          <w:color w:val="auto"/>
          <w:sz w:val="24"/>
          <w:szCs w:val="24"/>
          <w:highlight w:val="none"/>
          <w:lang w:val="en-US" w:eastAsia="zh-CN"/>
        </w:rPr>
        <w:t xml:space="preserve">400</w:t>
      </w:r>
      <w:r>
        <w:rPr>
          <w:rFonts w:hint="eastAsia" w:ascii="宋体" w:hAnsi="宋体"/>
          <w:color w:val="auto"/>
          <w:sz w:val="24"/>
          <w:szCs w:val="24"/>
          <w:highlight w:val="none"/>
        </w:rPr>
        <w:t xml:space="preserve">批次</w:t>
      </w:r>
      <w:r>
        <w:rPr>
          <w:rFonts w:hint="eastAsia" w:ascii="宋体" w:hAnsi="宋体"/>
          <w:color w:val="auto"/>
          <w:sz w:val="24"/>
          <w:szCs w:val="24"/>
          <w:highlight w:val="none"/>
          <w:lang w:val="en-US" w:eastAsia="zh-CN"/>
        </w:rPr>
        <w:t xml:space="preserve">外，</w:t>
      </w:r>
      <w:r>
        <w:rPr>
          <w:rFonts w:hint="eastAsia" w:ascii="宋体" w:hAnsi="宋体"/>
          <w:color w:val="auto"/>
          <w:sz w:val="24"/>
          <w:szCs w:val="24"/>
          <w:highlight w:val="none"/>
        </w:rPr>
        <w:t xml:space="preserve">采购包1、采购包2、采购包3</w:t>
      </w:r>
      <w:r>
        <w:rPr>
          <w:rFonts w:hint="eastAsia" w:ascii="宋体" w:hAnsi="宋体"/>
          <w:color w:val="auto"/>
          <w:sz w:val="24"/>
          <w:szCs w:val="24"/>
          <w:highlight w:val="none"/>
          <w:lang w:val="en-US" w:eastAsia="zh-CN"/>
        </w:rPr>
        <w:t xml:space="preserve">内其他任务</w:t>
      </w:r>
      <w:r>
        <w:rPr>
          <w:rFonts w:hint="eastAsia" w:ascii="宋体" w:hAnsi="宋体"/>
          <w:color w:val="auto"/>
          <w:sz w:val="24"/>
          <w:szCs w:val="24"/>
          <w:highlight w:val="none"/>
        </w:rPr>
        <w:t xml:space="preserve">需于202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日前完成抽检任务的100%，不得突击式大批量集中抽检。抽检进度纳入考核范畴，与服务费用结算相挂钩。</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预留专项(机动)抽检30批次*12=360批次，按月安排。当月未安排的转入次月，次月未安排的纳入一般计划。</w:t>
      </w:r>
      <w:r/>
    </w:p>
    <w:p>
      <w:pPr>
        <w:ind w:firstLine="480"/>
        <w:spacing w:line="560" w:lineRule="exact"/>
        <w:rPr>
          <w:rFonts w:hint="eastAsia" w:eastAsia="宋体"/>
          <w:color w:val="auto"/>
          <w:szCs w:val="24"/>
          <w:highlight w:val="none"/>
          <w:lang w:eastAsia="zh-CN"/>
        </w:rPr>
      </w:pPr>
      <w:r>
        <w:rPr>
          <w:rFonts w:hint="eastAsia" w:ascii="宋体" w:hAnsi="宋体"/>
          <w:color w:val="auto"/>
          <w:sz w:val="24"/>
          <w:szCs w:val="24"/>
          <w:highlight w:val="none"/>
        </w:rPr>
        <w:t xml:space="preserve">检测数据在202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年12月10日前全部录入国抽系统，并于202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年12月</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日前向采购方提交数据分析报告。其中采购包2、包3中2026—2027任务延续400批次根据采购人需求开展，在2026年10月至2027年4月期间均衡推进。 检测数据在2027年4月30日前全部录入国抽系统，并提交检测报告</w:t>
      </w:r>
      <w:r>
        <w:rPr>
          <w:rFonts w:hint="eastAsia" w:ascii="宋体" w:hAnsi="宋体"/>
          <w:color w:val="auto"/>
          <w:sz w:val="24"/>
          <w:szCs w:val="24"/>
          <w:highlight w:val="none"/>
          <w:lang w:eastAsia="zh-CN"/>
        </w:rPr>
        <w:t xml:space="preserve">。</w:t>
      </w:r>
      <w:r/>
    </w:p>
    <w:p>
      <w:pPr>
        <w:ind w:firstLine="480"/>
        <w:spacing w:line="560" w:lineRule="exact"/>
        <w:rPr>
          <w:bCs/>
          <w:color w:val="auto"/>
          <w:sz w:val="24"/>
          <w:szCs w:val="24"/>
          <w:highlight w:val="none"/>
        </w:rPr>
      </w:pPr>
      <w:r>
        <w:rPr>
          <w:rFonts w:hint="eastAsia"/>
          <w:bCs/>
          <w:color w:val="auto"/>
          <w:sz w:val="24"/>
          <w:szCs w:val="24"/>
          <w:highlight w:val="none"/>
        </w:rPr>
        <w:t xml:space="preserve">实际进驻单位时间以采购人发出的书面通知为准。如果成交供应商没有达到合同所要求履行条件之一的，则采购人有权在委托期限内随时终止合同。</w:t>
      </w:r>
      <w:r/>
    </w:p>
    <w:p>
      <w:pPr>
        <w:ind w:firstLine="640"/>
        <w:spacing w:line="560" w:lineRule="exact"/>
        <w:rPr>
          <w:bCs/>
          <w:color w:val="auto"/>
          <w:sz w:val="32"/>
          <w:szCs w:val="32"/>
          <w:highlight w:val="none"/>
        </w:rPr>
      </w:pPr>
      <w:r>
        <w:rPr>
          <w:rFonts w:hint="eastAsia"/>
          <w:bCs/>
          <w:color w:val="auto"/>
          <w:sz w:val="32"/>
          <w:szCs w:val="32"/>
          <w:highlight w:val="none"/>
        </w:rPr>
        <w:t xml:space="preserve">二、申请人的资格要求：</w:t>
      </w:r>
      <w:bookmarkEnd w:id="19"/>
      <w:r/>
      <w:bookmarkEnd w:id="20"/>
      <w:r/>
      <w:bookmarkEnd w:id="21"/>
      <w:r/>
      <w:bookmarkEnd w:id="22"/>
      <w:r/>
      <w:bookmarkEnd w:id="23"/>
      <w:r/>
      <w:r/>
    </w:p>
    <w:p>
      <w:pPr>
        <w:ind w:firstLine="480"/>
        <w:spacing w:line="560" w:lineRule="exact"/>
        <w:rPr>
          <w:rFonts w:ascii="宋体" w:hAnsi="宋体"/>
          <w:color w:val="auto"/>
          <w:sz w:val="24"/>
          <w:szCs w:val="24"/>
          <w:highlight w:val="none"/>
        </w:rPr>
      </w:pPr>
      <w:r/>
      <w:bookmarkStart w:id="24" w:name="_Toc28359004"/>
      <w:r/>
      <w:bookmarkStart w:id="25" w:name="_Toc35393623"/>
      <w:r/>
      <w:bookmarkStart w:id="26" w:name="_Toc35393792"/>
      <w:r/>
      <w:bookmarkStart w:id="27" w:name="_Toc38985265"/>
      <w:r/>
      <w:bookmarkStart w:id="28" w:name="_Toc28359081"/>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满足《中华人民共和国政府采购法》第二十二条规定，并提供相关材料：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(1)法人或者其他组织的营业执照等证明文件，自然人的身份证明（提供扫描件）； </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(2)提供202</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年度的财务状况报告或上一年度的财务状况报表；（提供参加本次开标前的会计报表，必须含资产负债表、利润表等证明材料，成立不满一年不需提供）；</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 具备履行合同所必需的设备和专业技术能力的证明材料（提供承诺书，格式见附件1）；  </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 参加政府采购活动前3年内在经营活动中没有重大违法记录的书面声明（提供承诺书，格式见附件2）；</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(6)法律、行政法规规定的其他条件。</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2.落实政府采购政策需满足的资格要求：本项目为专门面向中小微企业。（须按照财库【2020】46号文要求提供中小企业声明函。格式见附件10）。</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4.本项目（不接受）联合体投标。</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5.本项目（不接受）进口产品投标。</w:t>
      </w:r>
      <w:r/>
    </w:p>
    <w:p>
      <w:pPr>
        <w:ind w:firstLine="480"/>
        <w:spacing w:line="560" w:lineRule="exact"/>
        <w:rPr>
          <w:rFonts w:ascii="宋体" w:hAnsi="宋体" w:cs="宋体"/>
          <w:color w:val="auto"/>
          <w:sz w:val="24"/>
          <w:szCs w:val="24"/>
          <w:highlight w:val="none"/>
        </w:rPr>
      </w:pPr>
      <w:r>
        <w:rPr>
          <w:rFonts w:hint="eastAsia" w:ascii="宋体" w:hAnsi="宋体"/>
          <w:color w:val="auto"/>
          <w:sz w:val="24"/>
          <w:szCs w:val="24"/>
          <w:highlight w:val="none"/>
        </w:rPr>
        <w:t xml:space="preserve">6.本项目（不接受）分包。</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（二）本项目的特定资格要求：</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响应供应商必须具有有效的省级及以上市场监督管理部门颁发的检验检测机构资质认定证书且具有满足检测要求的附表。</w:t>
      </w:r>
      <w:r/>
    </w:p>
    <w:p>
      <w:pPr>
        <w:ind w:firstLine="480"/>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响应供应商具备的与食品检测工作相适应的实验场所、有冷藏或冷冻样品保存专用冷库。响应供应商须提供食品实验室平面布局图及各组成部分面积清单、图片说明及房屋权证或房屋租赁协议等面积证明材料等并加盖响应供应商公章。</w:t>
      </w:r>
      <w:r/>
    </w:p>
    <w:p>
      <w:pPr>
        <w:ind w:firstLine="498"/>
        <w:keepLines/>
        <w:keepNext/>
        <w:spacing w:line="560" w:lineRule="exact"/>
        <w:rPr>
          <w:b/>
          <w:bCs/>
          <w:color w:val="auto"/>
          <w:sz w:val="32"/>
          <w:szCs w:val="32"/>
          <w:highlight w:val="none"/>
        </w:rPr>
        <w:outlineLvl w:val="2"/>
      </w:pPr>
      <w:r>
        <w:rPr>
          <w:rFonts w:hint="eastAsia"/>
          <w:b/>
          <w:bCs/>
          <w:color w:val="auto"/>
          <w:sz w:val="32"/>
          <w:szCs w:val="32"/>
          <w:highlight w:val="none"/>
        </w:rPr>
        <w:t xml:space="preserve">三、获取</w:t>
      </w:r>
      <w:bookmarkEnd w:id="24"/>
      <w:r/>
      <w:bookmarkEnd w:id="25"/>
      <w:r/>
      <w:bookmarkEnd w:id="26"/>
      <w:r/>
      <w:bookmarkEnd w:id="27"/>
      <w:r/>
      <w:bookmarkEnd w:id="28"/>
      <w:r>
        <w:rPr>
          <w:rFonts w:hint="eastAsia"/>
          <w:b/>
          <w:bCs/>
          <w:color w:val="auto"/>
          <w:sz w:val="32"/>
          <w:szCs w:val="32"/>
          <w:highlight w:val="none"/>
        </w:rPr>
        <w:t xml:space="preserve">磋商文件</w:t>
      </w:r>
      <w:r/>
    </w:p>
    <w:p>
      <w:pPr>
        <w:ind w:firstLine="540"/>
        <w:spacing w:line="560" w:lineRule="exact"/>
        <w:rPr>
          <w:rFonts w:ascii="宋体" w:hAnsi="宋体" w:cs="宋体"/>
          <w:b/>
          <w:color w:val="auto"/>
          <w:sz w:val="24"/>
          <w:szCs w:val="24"/>
          <w:highlight w:val="none"/>
        </w:rPr>
      </w:pPr>
      <w:r/>
      <w:bookmarkStart w:id="29" w:name="_Toc28359082"/>
      <w:r/>
      <w:bookmarkStart w:id="30" w:name="_Toc28359005"/>
      <w:r/>
      <w:bookmarkStart w:id="31" w:name="_Toc35393624"/>
      <w:r/>
      <w:bookmarkStart w:id="32" w:name="_Toc35393793"/>
      <w:r/>
      <w:bookmarkStart w:id="33" w:name="_Toc38985266"/>
      <w:r>
        <w:rPr>
          <w:rFonts w:hint="eastAsia" w:ascii="宋体" w:hAnsi="宋体" w:cs="宋体"/>
          <w:color w:val="auto"/>
          <w:sz w:val="24"/>
          <w:szCs w:val="24"/>
          <w:highlight w:val="none"/>
        </w:rPr>
        <w:t xml:space="preserve">1.时间：202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日至202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27</w:t>
      </w:r>
      <w:r>
        <w:rPr>
          <w:rFonts w:hint="eastAsia" w:ascii="宋体" w:hAnsi="宋体" w:cs="宋体"/>
          <w:color w:val="auto"/>
          <w:sz w:val="24"/>
          <w:szCs w:val="24"/>
          <w:highlight w:val="none"/>
        </w:rPr>
        <w:t xml:space="preserve">日（提供期限自本公告发布之日起不得少于5个工作日）。</w:t>
      </w:r>
      <w:r/>
    </w:p>
    <w:p>
      <w:pPr>
        <w:ind w:firstLine="54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2.方式：在“江苏政府采购网”自行免费下载磋商文件。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3.获取方式：本项目采用网上注册登记方式。</w:t>
      </w:r>
      <w:r/>
    </w:p>
    <w:p>
      <w:pPr>
        <w:ind w:firstLine="54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3.1潜在供应商访问电子招标响应交易平台的网络地址和方法：</w:t>
      </w:r>
      <w:r/>
    </w:p>
    <w:p>
      <w:pPr>
        <w:ind w:firstLine="54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3.2潜在供应商访问“苏采云”系统的网络地址和方法：“苏采云”系统的网址：http://jszfcg.jsczt.cn/。</w:t>
      </w:r>
      <w:r/>
    </w:p>
    <w:p>
      <w:pPr>
        <w:ind w:firstLine="54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3.3“CA数字证书”的获取：</w:t>
      </w:r>
      <w:r/>
    </w:p>
    <w:p>
      <w:pPr>
        <w:ind w:firstLine="54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供应商需办理“CA 数字证书”，CA办理指南及“苏采云”操作手册可至江苏省政府采购网—办事指南-资料下载中心下载。</w:t>
      </w:r>
      <w:r/>
    </w:p>
    <w:p>
      <w:pPr>
        <w:ind w:firstLine="54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54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3.5招标代理机构（采购代理机构）将数据电文形式的采购文件加载至“苏采云”系统，供潜在供应商下载或者查阅。  </w:t>
      </w:r>
      <w:r/>
    </w:p>
    <w:p>
      <w:pPr>
        <w:ind w:firstLine="54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560" w:lineRule="exact"/>
        <w:rPr>
          <w:b/>
          <w:bCs/>
          <w:color w:val="auto"/>
          <w:sz w:val="32"/>
          <w:szCs w:val="32"/>
          <w:highlight w:val="none"/>
        </w:rPr>
        <w:outlineLvl w:val="2"/>
      </w:pPr>
      <w:r>
        <w:rPr>
          <w:rFonts w:hint="eastAsia"/>
          <w:b/>
          <w:bCs/>
          <w:color w:val="auto"/>
          <w:sz w:val="32"/>
          <w:szCs w:val="32"/>
          <w:highlight w:val="none"/>
        </w:rPr>
        <w:t xml:space="preserve">四、提交</w:t>
      </w:r>
      <w:bookmarkEnd w:id="29"/>
      <w:r/>
      <w:bookmarkEnd w:id="30"/>
      <w:r>
        <w:rPr>
          <w:rFonts w:hint="eastAsia"/>
          <w:b/>
          <w:bCs/>
          <w:color w:val="auto"/>
          <w:sz w:val="32"/>
          <w:szCs w:val="32"/>
          <w:highlight w:val="none"/>
        </w:rPr>
        <w:t xml:space="preserve">响应文件截止时间</w:t>
      </w:r>
      <w:bookmarkEnd w:id="31"/>
      <w:r/>
      <w:bookmarkEnd w:id="32"/>
      <w:r/>
      <w:bookmarkEnd w:id="33"/>
      <w:r/>
      <w:r/>
    </w:p>
    <w:p>
      <w:pPr>
        <w:ind w:firstLine="480"/>
        <w:spacing w:line="560" w:lineRule="exact"/>
        <w:rPr>
          <w:rFonts w:ascii="宋体" w:hAnsi="宋体" w:cs="宋体"/>
          <w:color w:val="auto"/>
          <w:sz w:val="24"/>
          <w:szCs w:val="24"/>
          <w:highlight w:val="none"/>
        </w:rPr>
      </w:pPr>
      <w:r>
        <w:rPr>
          <w:rFonts w:hint="eastAsia" w:ascii="宋体" w:hAnsi="宋体"/>
          <w:bCs/>
          <w:color w:val="auto"/>
          <w:sz w:val="24"/>
          <w:szCs w:val="24"/>
          <w:highlight w:val="none"/>
          <w:u w:val="single"/>
        </w:rPr>
        <w:t xml:space="preserve">1.202</w:t>
      </w:r>
      <w:r>
        <w:rPr>
          <w:rFonts w:hint="eastAsia" w:ascii="宋体" w:hAnsi="宋体"/>
          <w:bCs/>
          <w:color w:val="auto"/>
          <w:sz w:val="24"/>
          <w:szCs w:val="24"/>
          <w:highlight w:val="none"/>
          <w:u w:val="single"/>
          <w:lang w:val="en-US" w:eastAsia="zh-CN"/>
        </w:rPr>
        <w:t xml:space="preserve">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5</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27</w:t>
      </w:r>
      <w:r>
        <w:rPr>
          <w:rFonts w:hint="eastAsia" w:ascii="宋体" w:hAnsi="宋体"/>
          <w:bCs/>
          <w:color w:val="auto"/>
          <w:sz w:val="24"/>
          <w:szCs w:val="24"/>
          <w:highlight w:val="none"/>
          <w:u w:val="single"/>
        </w:rPr>
        <w:t xml:space="preserve">日09点00分</w:t>
      </w:r>
      <w:r>
        <w:rPr>
          <w:rFonts w:hint="eastAsia" w:ascii="宋体" w:hAnsi="宋体"/>
          <w:bCs/>
          <w:color w:val="auto"/>
          <w:sz w:val="24"/>
          <w:szCs w:val="24"/>
          <w:highlight w:val="none"/>
        </w:rPr>
        <w:t xml:space="preserve">（北京时间）。</w:t>
      </w:r>
      <w:r>
        <w:rPr>
          <w:rFonts w:hint="eastAsia" w:ascii="宋体" w:hAnsi="宋体" w:cs="宋体"/>
          <w:color w:val="auto"/>
          <w:sz w:val="24"/>
          <w:szCs w:val="24"/>
          <w:highlight w:val="none"/>
        </w:rPr>
        <w:t xml:space="preserve">（自磋商文件开始发出之日起至供应商提交响应文件截止之日止，不得少于10日。）</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2.地点：“苏采云”政府采购交易系统网上开标大厅。</w:t>
      </w:r>
      <w:r/>
    </w:p>
    <w:p>
      <w:pPr>
        <w:ind w:firstLine="482"/>
        <w:spacing w:line="560" w:lineRule="exact"/>
        <w:rPr>
          <w:rFonts w:ascii="宋体" w:hAnsi="宋体" w:cs="宋体"/>
          <w:b/>
          <w:color w:val="auto"/>
          <w:sz w:val="24"/>
          <w:szCs w:val="21"/>
          <w:highlight w:val="none"/>
        </w:rPr>
      </w:pPr>
      <w:r>
        <w:rPr>
          <w:rFonts w:hint="eastAsia" w:ascii="宋体" w:hAnsi="宋体" w:cs="宋体"/>
          <w:b/>
          <w:color w:val="auto"/>
          <w:sz w:val="24"/>
          <w:szCs w:val="21"/>
          <w:highlight w:val="none"/>
        </w:rPr>
        <w:t xml:space="preserve">注：各供应商请关注开标大厅交流区，在开标结束后，请勿离开开标大厅，待资格审查完毕，磋商小组发出报价指令后须在15分钟内完成系统报价。</w:t>
      </w:r>
      <w:r>
        <w:rPr>
          <w:rFonts w:hint="eastAsia" w:ascii="宋体" w:hAnsi="宋体"/>
          <w:color w:val="auto"/>
          <w:sz w:val="24"/>
          <w:szCs w:val="24"/>
          <w:highlight w:val="none"/>
        </w:rPr>
        <w:t xml:space="preserve">供应商未在磋商小组规定的时间内在苏采云系统中提交最后报价的视为放弃磋商，其响应文件按无效响应处理。</w:t>
      </w:r>
      <w:r/>
    </w:p>
    <w:p>
      <w:pPr>
        <w:ind w:firstLine="480"/>
        <w:spacing w:line="560" w:lineRule="exact"/>
        <w:rPr>
          <w:rFonts w:ascii="宋体" w:hAnsi="宋体"/>
          <w:bCs/>
          <w:color w:val="auto"/>
          <w:sz w:val="24"/>
          <w:szCs w:val="24"/>
          <w:highlight w:val="none"/>
          <w:u w:val="single"/>
        </w:rPr>
      </w:pPr>
      <w:r>
        <w:rPr>
          <w:rFonts w:hint="eastAsia" w:ascii="宋体" w:hAnsi="宋体" w:cs="宋体"/>
          <w:color w:val="auto"/>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auto"/>
          <w:sz w:val="24"/>
          <w:szCs w:val="21"/>
          <w:highlight w:val="none"/>
        </w:rPr>
        <w:t xml:space="preserve">供应商解密限定在开标后30分钟之内完成</w:t>
      </w:r>
      <w:r>
        <w:rPr>
          <w:rFonts w:hint="eastAsia" w:ascii="宋体" w:hAnsi="宋体" w:cs="宋体"/>
          <w:color w:val="auto"/>
          <w:sz w:val="24"/>
          <w:szCs w:val="21"/>
          <w:highlight w:val="none"/>
        </w:rPr>
        <w:t xml:space="preserve">。</w:t>
      </w:r>
      <w:r>
        <w:rPr>
          <w:rFonts w:hint="eastAsia" w:ascii="宋体" w:hAnsi="宋体" w:cs="宋体"/>
          <w:color w:val="auto"/>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auto"/>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b/>
          <w:bCs/>
          <w:color w:val="auto"/>
          <w:sz w:val="32"/>
          <w:szCs w:val="32"/>
          <w:highlight w:val="none"/>
        </w:rPr>
        <w:outlineLvl w:val="2"/>
      </w:pPr>
      <w:r/>
      <w:bookmarkStart w:id="34" w:name="_Toc28359007"/>
      <w:r/>
      <w:bookmarkStart w:id="35" w:name="_Toc35393794"/>
      <w:r/>
      <w:bookmarkStart w:id="36" w:name="_Toc28359084"/>
      <w:r/>
      <w:bookmarkStart w:id="37" w:name="_Toc35393625"/>
      <w:r/>
      <w:bookmarkStart w:id="38" w:name="_Toc38985267"/>
      <w:r>
        <w:rPr>
          <w:rFonts w:hint="eastAsia"/>
          <w:b/>
          <w:bCs/>
          <w:color w:val="auto"/>
          <w:sz w:val="32"/>
          <w:szCs w:val="32"/>
          <w:highlight w:val="none"/>
        </w:rPr>
        <w:t xml:space="preserve">五、公告期限</w:t>
      </w:r>
      <w:bookmarkEnd w:id="34"/>
      <w:r/>
      <w:bookmarkEnd w:id="35"/>
      <w:r/>
      <w:bookmarkEnd w:id="36"/>
      <w:r/>
      <w:bookmarkEnd w:id="37"/>
      <w:r/>
      <w:bookmarkEnd w:id="38"/>
      <w:r/>
      <w:r/>
    </w:p>
    <w:p>
      <w:pPr>
        <w:ind w:firstLine="480"/>
        <w:spacing w:line="560" w:lineRule="exact"/>
        <w:rPr>
          <w:rFonts w:ascii="宋体" w:hAnsi="宋体" w:cs="宋体"/>
          <w:color w:val="auto"/>
          <w:sz w:val="24"/>
          <w:szCs w:val="24"/>
          <w:highlight w:val="none"/>
        </w:rPr>
      </w:pPr>
      <w:r/>
      <w:bookmarkStart w:id="39" w:name="_Toc35393626"/>
      <w:r/>
      <w:bookmarkStart w:id="40" w:name="_Toc38985268"/>
      <w:r/>
      <w:bookmarkStart w:id="41" w:name="_Toc35393795"/>
      <w:r>
        <w:rPr>
          <w:rFonts w:hint="eastAsia" w:ascii="宋体" w:hAnsi="宋体" w:cs="宋体"/>
          <w:color w:val="auto"/>
          <w:sz w:val="24"/>
          <w:szCs w:val="24"/>
          <w:highlight w:val="none"/>
        </w:rPr>
        <w:t xml:space="preserve">磋商公告及磋商文件公告期限为自本公告发布之日起5个工作日。</w:t>
      </w:r>
      <w:r/>
    </w:p>
    <w:p>
      <w:pPr>
        <w:ind w:firstLine="498"/>
        <w:keepLines/>
        <w:keepNext/>
        <w:spacing w:line="560" w:lineRule="exact"/>
        <w:rPr>
          <w:b/>
          <w:bCs/>
          <w:color w:val="auto"/>
          <w:sz w:val="32"/>
          <w:szCs w:val="32"/>
          <w:highlight w:val="none"/>
        </w:rPr>
        <w:outlineLvl w:val="2"/>
      </w:pPr>
      <w:r>
        <w:rPr>
          <w:rFonts w:hint="eastAsia"/>
          <w:b/>
          <w:bCs/>
          <w:color w:val="auto"/>
          <w:sz w:val="32"/>
          <w:szCs w:val="32"/>
          <w:highlight w:val="none"/>
        </w:rPr>
        <w:t xml:space="preserve">六、其他补充事宜</w:t>
      </w:r>
      <w:bookmarkEnd w:id="39"/>
      <w:r/>
      <w:bookmarkEnd w:id="40"/>
      <w:r/>
      <w:bookmarkEnd w:id="4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1.投标保证金：免收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2.项目开标活动模式：不见面远程开标模式，供应商在各自地点通过“苏采云”政府采购交易系统参加磋商活动。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3.项目演示、样品、答辩等（如有请描述）：无</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6.有关本次磋商的事项若存在变动或修改，敬请及时关注采购人在“江苏政府采购网”发布的更正公告。</w:t>
      </w:r>
      <w:r/>
    </w:p>
    <w:p>
      <w:pPr>
        <w:ind w:firstLine="498"/>
        <w:keepLines/>
        <w:keepNext/>
        <w:spacing w:line="560" w:lineRule="exact"/>
        <w:rPr>
          <w:b/>
          <w:bCs/>
          <w:color w:val="auto"/>
          <w:sz w:val="32"/>
          <w:szCs w:val="32"/>
          <w:highlight w:val="none"/>
        </w:rPr>
        <w:outlineLvl w:val="2"/>
      </w:pPr>
      <w:r/>
      <w:bookmarkStart w:id="42" w:name="_Toc35393796"/>
      <w:r/>
      <w:bookmarkStart w:id="43" w:name="_Toc35393627"/>
      <w:r/>
      <w:bookmarkStart w:id="44" w:name="_Toc28359008"/>
      <w:r/>
      <w:bookmarkStart w:id="45" w:name="_Toc38985269"/>
      <w:r/>
      <w:bookmarkStart w:id="46" w:name="_Toc28359085"/>
      <w:r>
        <w:rPr>
          <w:rFonts w:hint="eastAsia"/>
          <w:b/>
          <w:bCs/>
          <w:color w:val="auto"/>
          <w:sz w:val="32"/>
          <w:szCs w:val="32"/>
          <w:highlight w:val="none"/>
        </w:rPr>
        <w:t xml:space="preserve">七、本次磋商联系方式</w:t>
      </w:r>
      <w:bookmarkEnd w:id="42"/>
      <w:r/>
      <w:bookmarkEnd w:id="43"/>
      <w:r/>
      <w:bookmarkEnd w:id="44"/>
      <w:r/>
      <w:bookmarkEnd w:id="45"/>
      <w:r/>
      <w:bookmarkEnd w:id="46"/>
      <w:r/>
      <w:r/>
    </w:p>
    <w:p>
      <w:pPr>
        <w:jc w:val="left"/>
        <w:spacing w:line="560" w:lineRule="exact"/>
        <w:widowControl/>
        <w:rPr>
          <w:rFonts w:ascii="宋体" w:hAnsi="宋体"/>
          <w:color w:val="auto"/>
          <w:sz w:val="24"/>
          <w:szCs w:val="24"/>
          <w:highlight w:val="none"/>
        </w:rPr>
      </w:pPr>
      <w:r>
        <w:rPr>
          <w:rFonts w:hint="eastAsia" w:ascii="仿宋" w:hAnsi="仿宋" w:eastAsia="仿宋" w:cs="宋体"/>
          <w:color w:val="auto"/>
          <w:sz w:val="28"/>
          <w:szCs w:val="28"/>
          <w:highlight w:val="none"/>
        </w:rPr>
        <w:t xml:space="preserve">　　　</w:t>
      </w:r>
      <w:bookmarkStart w:id="47" w:name="_Toc28359087"/>
      <w:r/>
      <w:bookmarkStart w:id="48" w:name="_Toc28359010"/>
      <w:r>
        <w:rPr>
          <w:rFonts w:hint="eastAsia" w:ascii="宋体" w:hAnsi="宋体" w:cs="宋体"/>
          <w:color w:val="auto"/>
          <w:sz w:val="24"/>
          <w:szCs w:val="24"/>
          <w:highlight w:val="none"/>
        </w:rPr>
        <w:t xml:space="preserve">1.采购人信息</w:t>
      </w:r>
      <w:r/>
    </w:p>
    <w:p>
      <w:pPr>
        <w:ind w:left="1079" w:hanging="30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名 称：海安市市场监督管理局</w:t>
      </w:r>
      <w:r>
        <w:rPr>
          <w:rFonts w:ascii="宋体" w:hAnsi="宋体"/>
          <w:color w:val="auto"/>
          <w:sz w:val="24"/>
          <w:szCs w:val="24"/>
          <w:highlight w:val="none"/>
        </w:rPr>
        <w:t xml:space="preserve"> </w:t>
      </w:r>
      <w:r/>
    </w:p>
    <w:p>
      <w:pPr>
        <w:ind w:left="1079" w:hanging="30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地址：</w:t>
      </w:r>
      <w:bookmarkStart w:id="49" w:name="OLE_LINK31"/>
      <w:r/>
      <w:bookmarkStart w:id="50" w:name="OLE_LINK30"/>
      <w:r>
        <w:rPr>
          <w:rFonts w:hint="eastAsia" w:ascii="宋体" w:hAnsi="宋体"/>
          <w:color w:val="auto"/>
          <w:sz w:val="24"/>
          <w:szCs w:val="24"/>
          <w:highlight w:val="none"/>
        </w:rPr>
        <w:t xml:space="preserve">海安市长江中路128号</w:t>
      </w:r>
      <w:bookmarkEnd w:id="49"/>
      <w:r/>
      <w:bookmarkEnd w:id="50"/>
      <w:r>
        <w:rPr>
          <w:rFonts w:ascii="宋体" w:hAnsi="宋体"/>
          <w:color w:val="auto"/>
          <w:sz w:val="24"/>
          <w:szCs w:val="24"/>
          <w:highlight w:val="none"/>
        </w:rPr>
        <w:t xml:space="preserve"> </w:t>
      </w:r>
      <w:r/>
    </w:p>
    <w:p>
      <w:pPr>
        <w:ind w:left="1079" w:hanging="30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联系人：</w:t>
      </w:r>
      <w:bookmarkStart w:id="51" w:name="OLE_LINK34"/>
      <w:r>
        <w:rPr>
          <w:rFonts w:hint="eastAsia" w:ascii="宋体" w:hAnsi="宋体"/>
          <w:color w:val="auto"/>
          <w:sz w:val="24"/>
          <w:szCs w:val="24"/>
          <w:highlight w:val="none"/>
        </w:rPr>
        <w:t xml:space="preserve">杨晓絮</w:t>
      </w:r>
      <w:bookmarkEnd w:id="51"/>
      <w:r>
        <w:rPr>
          <w:rFonts w:hint="eastAsia" w:ascii="宋体" w:hAnsi="宋体"/>
          <w:color w:val="auto"/>
          <w:sz w:val="24"/>
          <w:szCs w:val="24"/>
          <w:highlight w:val="none"/>
        </w:rPr>
        <w:t xml:space="preserve">  </w:t>
      </w:r>
      <w:r/>
    </w:p>
    <w:p>
      <w:pPr>
        <w:ind w:left="1079" w:hanging="30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联系方式：</w:t>
      </w:r>
      <w:bookmarkStart w:id="52" w:name="OLE_LINK36"/>
      <w:r/>
      <w:bookmarkStart w:id="53" w:name="OLE_LINK35"/>
      <w:r>
        <w:rPr>
          <w:rFonts w:hint="eastAsia" w:ascii="宋体" w:hAnsi="宋体"/>
          <w:color w:val="auto"/>
          <w:sz w:val="24"/>
          <w:szCs w:val="24"/>
          <w:highlight w:val="none"/>
        </w:rPr>
        <w:t xml:space="preserve">18994189955</w:t>
      </w:r>
      <w:bookmarkEnd w:id="52"/>
      <w:r/>
      <w:bookmarkEnd w:id="53"/>
      <w:r>
        <w:rPr>
          <w:rFonts w:hint="eastAsia" w:ascii="宋体" w:hAnsi="宋体"/>
          <w:color w:val="auto"/>
          <w:sz w:val="24"/>
          <w:szCs w:val="24"/>
          <w:highlight w:val="none"/>
        </w:rPr>
        <w:t xml:space="preserve"> </w:t>
      </w:r>
      <w:r/>
    </w:p>
    <w:p>
      <w:pPr>
        <w:ind w:left="1079" w:hanging="300"/>
        <w:jc w:val="left"/>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color w:val="auto"/>
          <w:szCs w:val="21"/>
          <w:highlight w:val="none"/>
        </w:rPr>
        <w:t xml:space="preserve"> </w:t>
      </w:r>
      <w:r>
        <w:rPr>
          <w:rFonts w:hint="eastAsia" w:ascii="宋体" w:hAnsi="宋体" w:cs="宋体"/>
          <w:color w:val="auto"/>
          <w:sz w:val="24"/>
          <w:szCs w:val="24"/>
          <w:highlight w:val="none"/>
        </w:rPr>
        <w:t xml:space="preserve">采购代理机构信息</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名  称：海安中信会计师事务所有限公司</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地  址：海安市江海东路10号</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联系人：倪颖</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联系方式：13962781784</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firstLine="720"/>
        <w:spacing w:line="56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磋商文件制作人:倪颖</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项目磋商经办人：杨晓絮</w:t>
      </w:r>
      <w:r/>
    </w:p>
    <w:p>
      <w:pPr>
        <w:ind w:firstLine="72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交易系统软件维护人员：那工  </w:t>
      </w:r>
      <w:r>
        <w:rPr>
          <w:rFonts w:ascii="宋体" w:hAnsi="宋体"/>
          <w:color w:val="auto"/>
          <w:sz w:val="24"/>
          <w:szCs w:val="24"/>
          <w:highlight w:val="none"/>
        </w:rPr>
        <w:t xml:space="preserve">15991053297</w:t>
      </w:r>
      <w:r>
        <w:rPr>
          <w:rFonts w:hint="eastAsia" w:ascii="宋体" w:hAnsi="宋体"/>
          <w:color w:val="auto"/>
          <w:sz w:val="24"/>
          <w:szCs w:val="24"/>
          <w:highlight w:val="none"/>
        </w:rPr>
        <w:t xml:space="preserve">、</w:t>
      </w:r>
      <w:r>
        <w:rPr>
          <w:rFonts w:ascii="宋体" w:hAnsi="宋体"/>
          <w:color w:val="auto"/>
          <w:sz w:val="24"/>
          <w:szCs w:val="24"/>
          <w:highlight w:val="none"/>
        </w:rPr>
        <w:t xml:space="preserve">0519-86722801、0519-86722806</w:t>
      </w:r>
      <w:bookmarkEnd w:id="47"/>
      <w:r/>
      <w:bookmarkEnd w:id="48"/>
      <w:r/>
      <w:r/>
    </w:p>
    <w:p>
      <w:pPr>
        <w:jc w:val="left"/>
        <w:spacing w:line="56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56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560" w:lineRule="exact"/>
        <w:widowControl/>
        <w:rPr>
          <w:rFonts w:ascii="宋体" w:hAnsi="宋体"/>
          <w:color w:val="auto"/>
          <w:sz w:val="24"/>
          <w:szCs w:val="24"/>
          <w:highlight w:val="none"/>
        </w:rPr>
      </w:pPr>
      <w:r>
        <w:rPr>
          <w:rFonts w:ascii="宋体" w:hAnsi="宋体"/>
          <w:color w:val="auto"/>
          <w:sz w:val="24"/>
          <w:szCs w:val="24"/>
          <w:highlight w:val="none"/>
        </w:rPr>
      </w:r>
      <w:r/>
    </w:p>
    <w:p>
      <w:pPr>
        <w:pStyle w:val="746"/>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746"/>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746"/>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746"/>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746"/>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746"/>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746"/>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746"/>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746"/>
      </w:pPr>
      <w:r/>
      <w:r/>
    </w:p>
    <w:p>
      <w:pPr>
        <w:jc w:val="left"/>
        <w:spacing w:line="56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560" w:lineRule="exact"/>
        <w:widowControl/>
        <w:rPr>
          <w:rFonts w:ascii="宋体" w:hAnsi="宋体"/>
          <w:color w:val="auto"/>
          <w:sz w:val="24"/>
          <w:szCs w:val="24"/>
          <w:highlight w:val="none"/>
        </w:rPr>
      </w:pPr>
      <w:r>
        <w:rPr>
          <w:rFonts w:ascii="宋体" w:hAnsi="宋体"/>
          <w:color w:val="auto"/>
          <w:sz w:val="24"/>
          <w:szCs w:val="24"/>
          <w:highlight w:val="none"/>
        </w:rPr>
      </w:r>
      <w:r/>
    </w:p>
    <w:p>
      <w:pPr>
        <w:jc w:val="center"/>
        <w:keepLines/>
        <w:keepNext/>
        <w:spacing w:line="520" w:lineRule="exact"/>
        <w:rPr>
          <w:rFonts w:ascii="黑体" w:hAnsi="Arial" w:eastAsia="黑体" w:cs="Arial"/>
          <w:color w:val="auto"/>
          <w:sz w:val="44"/>
          <w:szCs w:val="44"/>
          <w:highlight w:val="none"/>
        </w:rPr>
        <w:outlineLvl w:val="1"/>
      </w:pPr>
      <w:r/>
      <w:bookmarkStart w:id="54" w:name="_Toc120614211"/>
      <w:r>
        <w:rPr>
          <w:rFonts w:hint="eastAsia" w:ascii="黑体" w:hAnsi="Arial" w:eastAsia="黑体" w:cs="Arial"/>
          <w:b/>
          <w:bCs/>
          <w:color w:val="auto"/>
          <w:sz w:val="44"/>
          <w:szCs w:val="44"/>
          <w:highlight w:val="none"/>
        </w:rPr>
        <w:t xml:space="preserve">  第二章  </w:t>
      </w:r>
      <w:bookmarkEnd w:id="3"/>
      <w:r/>
      <w:bookmarkEnd w:id="4"/>
      <w:r/>
      <w:bookmarkEnd w:id="5"/>
      <w:r/>
      <w:bookmarkEnd w:id="6"/>
      <w:r/>
      <w:bookmarkEnd w:id="7"/>
      <w:r/>
      <w:bookmarkEnd w:id="54"/>
      <w:r>
        <w:rPr>
          <w:rFonts w:hint="eastAsia" w:ascii="黑体" w:hAnsi="Arial" w:eastAsia="黑体" w:cs="Arial"/>
          <w:b/>
          <w:bCs/>
          <w:color w:val="auto"/>
          <w:sz w:val="44"/>
          <w:szCs w:val="44"/>
          <w:highlight w:val="none"/>
        </w:rPr>
        <w:t xml:space="preserve">供应商须知</w:t>
      </w:r>
      <w:r/>
    </w:p>
    <w:p>
      <w:pPr>
        <w:ind w:firstLine="498"/>
        <w:keepLines/>
        <w:keepNext/>
        <w:spacing w:line="520" w:lineRule="exact"/>
        <w:rPr>
          <w:b/>
          <w:bCs/>
          <w:color w:val="auto"/>
          <w:sz w:val="32"/>
          <w:szCs w:val="32"/>
          <w:highlight w:val="none"/>
        </w:rPr>
        <w:outlineLvl w:val="2"/>
      </w:pPr>
      <w:r/>
      <w:bookmarkStart w:id="55" w:name="_Toc120614214"/>
      <w:r/>
      <w:bookmarkStart w:id="56" w:name="_Toc16938519"/>
      <w:r/>
      <w:bookmarkStart w:id="57" w:name="_Toc513029203"/>
      <w:r/>
      <w:bookmarkStart w:id="58" w:name="_Toc20823275"/>
      <w:r>
        <w:rPr>
          <w:rFonts w:hint="eastAsia"/>
          <w:b/>
          <w:bCs/>
          <w:color w:val="auto"/>
          <w:sz w:val="32"/>
          <w:szCs w:val="32"/>
          <w:highlight w:val="none"/>
        </w:rPr>
        <w:t xml:space="preserve">一、总则</w:t>
      </w:r>
      <w:bookmarkEnd w:id="55"/>
      <w:r/>
      <w:bookmarkEnd w:id="56"/>
      <w:r/>
      <w:bookmarkEnd w:id="57"/>
      <w:r/>
      <w:bookmarkEnd w:id="58"/>
      <w:r/>
      <w:r/>
    </w:p>
    <w:p>
      <w:pPr>
        <w:ind w:firstLine="420"/>
        <w:keepLines/>
        <w:keepNext/>
        <w:spacing w:line="520" w:lineRule="exact"/>
        <w:rPr>
          <w:rFonts w:ascii="Arial" w:hAnsi="Arial" w:eastAsia="黑体" w:cs="Arial"/>
          <w:color w:val="auto"/>
          <w:sz w:val="28"/>
          <w:szCs w:val="28"/>
          <w:highlight w:val="none"/>
        </w:rPr>
        <w:outlineLvl w:val="3"/>
      </w:pPr>
      <w:r/>
      <w:bookmarkStart w:id="59" w:name="_Hlt16619475"/>
      <w:r/>
      <w:bookmarkEnd w:id="59"/>
      <w:r/>
      <w:bookmarkStart w:id="60" w:name="_Toc458694821"/>
      <w:r/>
      <w:bookmarkStart w:id="61" w:name="_Toc16938520"/>
      <w:r/>
      <w:bookmarkStart w:id="62" w:name="_Toc513029204"/>
      <w:r/>
      <w:bookmarkStart w:id="63" w:name="_Toc20823276"/>
      <w:r>
        <w:rPr>
          <w:rFonts w:hint="eastAsia" w:ascii="Arial" w:hAnsi="Arial" w:eastAsia="黑体" w:cs="Arial"/>
          <w:color w:val="auto"/>
          <w:sz w:val="28"/>
          <w:szCs w:val="28"/>
          <w:highlight w:val="none"/>
        </w:rPr>
        <w:t xml:space="preserve">1</w:t>
      </w:r>
      <w:bookmarkEnd w:id="60"/>
      <w:r>
        <w:rPr>
          <w:rFonts w:hint="eastAsia" w:ascii="Arial" w:hAnsi="Arial" w:eastAsia="黑体" w:cs="Arial"/>
          <w:color w:val="auto"/>
          <w:sz w:val="28"/>
          <w:szCs w:val="28"/>
          <w:highlight w:val="none"/>
        </w:rPr>
        <w:t xml:space="preserve">.采购方式</w:t>
      </w:r>
      <w:bookmarkEnd w:id="61"/>
      <w:r/>
      <w:bookmarkEnd w:id="62"/>
      <w:r/>
      <w:bookmarkEnd w:id="63"/>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本次政府采购活动采取竞争性磋商(以下简称磋商)方式，本磋商文件仅适用于磋商公告中所述项目。</w:t>
      </w:r>
      <w:r/>
    </w:p>
    <w:p>
      <w:pPr>
        <w:ind w:firstLine="420"/>
        <w:keepLines/>
        <w:keepNext/>
        <w:spacing w:line="520" w:lineRule="exact"/>
        <w:rPr>
          <w:rFonts w:ascii="Arial" w:hAnsi="Arial" w:eastAsia="黑体" w:cs="Arial"/>
          <w:color w:val="auto"/>
          <w:sz w:val="28"/>
          <w:szCs w:val="28"/>
          <w:highlight w:val="none"/>
        </w:rPr>
        <w:outlineLvl w:val="3"/>
      </w:pPr>
      <w:r/>
      <w:bookmarkStart w:id="64" w:name="_Toc16938521"/>
      <w:r/>
      <w:bookmarkStart w:id="65" w:name="_Toc513029205"/>
      <w:r/>
      <w:bookmarkStart w:id="66" w:name="_Toc20823277"/>
      <w:r>
        <w:rPr>
          <w:rFonts w:hint="eastAsia" w:ascii="Arial" w:hAnsi="Arial" w:eastAsia="黑体" w:cs="Arial"/>
          <w:color w:val="auto"/>
          <w:sz w:val="28"/>
          <w:szCs w:val="28"/>
          <w:highlight w:val="none"/>
        </w:rPr>
        <w:t xml:space="preserve">2.合格的</w:t>
      </w:r>
      <w:bookmarkEnd w:id="64"/>
      <w:r/>
      <w:bookmarkEnd w:id="65"/>
      <w:r/>
      <w:bookmarkEnd w:id="66"/>
      <w:r>
        <w:rPr>
          <w:rFonts w:hint="eastAsia" w:ascii="Arial" w:hAnsi="Arial" w:eastAsia="黑体" w:cs="Arial"/>
          <w:color w:val="auto"/>
          <w:sz w:val="28"/>
          <w:szCs w:val="28"/>
          <w:highlight w:val="none"/>
        </w:rPr>
        <w:t xml:space="preserve">供应商</w:t>
      </w:r>
      <w:r/>
    </w:p>
    <w:p>
      <w:pPr>
        <w:ind w:firstLine="48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2.1满足磋商公告中供应商资格要求的规定。</w:t>
      </w:r>
      <w:r/>
    </w:p>
    <w:p>
      <w:pPr>
        <w:ind w:firstLine="48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2.2 满足本磋商文件实质性要求和条件的规定。</w:t>
      </w:r>
      <w:r/>
    </w:p>
    <w:p>
      <w:pPr>
        <w:ind w:firstLine="420"/>
        <w:keepLines/>
        <w:keepNext/>
        <w:spacing w:line="520" w:lineRule="exact"/>
        <w:rPr>
          <w:rFonts w:ascii="Arial" w:hAnsi="Arial" w:eastAsia="黑体" w:cs="Arial"/>
          <w:color w:val="auto"/>
          <w:sz w:val="28"/>
          <w:szCs w:val="28"/>
          <w:highlight w:val="none"/>
        </w:rPr>
        <w:outlineLvl w:val="3"/>
      </w:pPr>
      <w:r/>
      <w:bookmarkStart w:id="67" w:name="_Toc16938522"/>
      <w:r/>
      <w:bookmarkStart w:id="68" w:name="_Toc513029206"/>
      <w:r/>
      <w:bookmarkStart w:id="69" w:name="_Toc20823278"/>
      <w:r>
        <w:rPr>
          <w:rFonts w:hint="eastAsia" w:ascii="Arial" w:hAnsi="Arial" w:eastAsia="黑体" w:cs="Arial"/>
          <w:color w:val="auto"/>
          <w:sz w:val="28"/>
          <w:szCs w:val="28"/>
          <w:highlight w:val="none"/>
        </w:rPr>
        <w:t xml:space="preserve">3.适用法律</w:t>
      </w:r>
      <w:bookmarkEnd w:id="67"/>
      <w:r/>
      <w:bookmarkEnd w:id="68"/>
      <w:r/>
      <w:bookmarkEnd w:id="69"/>
      <w:r/>
      <w:r/>
    </w:p>
    <w:p>
      <w:pPr>
        <w:ind w:firstLine="42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3.1 本次磋商及由此产生的合同受中华人民共和国有关的法律法规制约和保护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520" w:lineRule="exact"/>
        <w:rPr>
          <w:rFonts w:ascii="Arial" w:hAnsi="Arial" w:eastAsia="黑体" w:cs="Arial"/>
          <w:color w:val="auto"/>
          <w:sz w:val="28"/>
          <w:szCs w:val="28"/>
          <w:highlight w:val="none"/>
        </w:rPr>
        <w:outlineLvl w:val="3"/>
      </w:pPr>
      <w:r/>
      <w:bookmarkStart w:id="70" w:name="_Toc20823279"/>
      <w:r/>
      <w:bookmarkStart w:id="71" w:name="_Toc462564067"/>
      <w:r/>
      <w:bookmarkStart w:id="72" w:name="_Toc513029207"/>
      <w:r/>
      <w:bookmarkStart w:id="73" w:name="_Toc16938523"/>
      <w:r>
        <w:rPr>
          <w:rFonts w:hint="eastAsia" w:ascii="Arial" w:hAnsi="Arial" w:eastAsia="黑体" w:cs="Arial"/>
          <w:color w:val="auto"/>
          <w:sz w:val="28"/>
          <w:szCs w:val="28"/>
          <w:highlight w:val="none"/>
        </w:rPr>
        <w:t xml:space="preserve">4.磋商费用</w:t>
      </w:r>
      <w:bookmarkEnd w:id="70"/>
      <w:r/>
      <w:bookmarkEnd w:id="71"/>
      <w:r/>
      <w:bookmarkEnd w:id="72"/>
      <w:r/>
      <w:bookmarkEnd w:id="73"/>
      <w:r/>
      <w:r/>
    </w:p>
    <w:p>
      <w:pPr>
        <w:ind w:firstLine="480"/>
        <w:spacing w:line="520" w:lineRule="exact"/>
        <w:rPr>
          <w:rFonts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4.2本次磋商不收取标书工本费。</w:t>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4.3本项目每</w:t>
      </w:r>
      <w:r>
        <w:rPr>
          <w:rFonts w:hint="eastAsia" w:ascii="宋体" w:hAnsi="宋体"/>
          <w:color w:val="auto"/>
          <w:sz w:val="24"/>
          <w:szCs w:val="21"/>
          <w:highlight w:val="none"/>
          <w:lang w:val="en-US" w:eastAsia="zh-CN"/>
        </w:rPr>
        <w:t xml:space="preserve">个采购</w:t>
      </w:r>
      <w:r>
        <w:rPr>
          <w:rFonts w:hint="eastAsia" w:ascii="宋体" w:hAnsi="宋体"/>
          <w:color w:val="auto"/>
          <w:sz w:val="24"/>
          <w:szCs w:val="21"/>
          <w:highlight w:val="none"/>
        </w:rPr>
        <w:t xml:space="preserve">包招标代理服务费收费标准按成交价*1.5%*40%收取。由各标包的成交供应商在签订合同前支付，综合考虑在响应报价中。</w:t>
      </w:r>
      <w:r/>
    </w:p>
    <w:p>
      <w:pPr>
        <w:ind w:firstLine="301"/>
        <w:keepLines/>
        <w:keepNext/>
        <w:spacing w:line="520" w:lineRule="exact"/>
        <w:rPr>
          <w:rFonts w:ascii="黑体" w:hAnsi="宋体" w:eastAsia="黑体" w:cs="Arial"/>
          <w:color w:val="auto"/>
          <w:sz w:val="28"/>
          <w:szCs w:val="28"/>
          <w:highlight w:val="none"/>
        </w:rPr>
        <w:outlineLvl w:val="3"/>
      </w:pPr>
      <w:r>
        <w:rPr>
          <w:rFonts w:hint="eastAsia" w:ascii="宋体" w:hAnsi="宋体" w:eastAsia="黑体" w:cs="Arial"/>
          <w:b/>
          <w:bCs/>
          <w:color w:val="auto"/>
          <w:sz w:val="30"/>
          <w:szCs w:val="28"/>
          <w:highlight w:val="none"/>
        </w:rPr>
        <w:t xml:space="preserve">5.</w:t>
      </w:r>
      <w:r>
        <w:rPr>
          <w:rFonts w:hint="eastAsia" w:ascii="黑体" w:hAnsi="宋体" w:eastAsia="黑体" w:cs="Arial"/>
          <w:color w:val="auto"/>
          <w:sz w:val="28"/>
          <w:szCs w:val="28"/>
          <w:highlight w:val="none"/>
        </w:rPr>
        <w:t xml:space="preserve">磋商文件的约束力</w:t>
      </w:r>
      <w:r/>
    </w:p>
    <w:p>
      <w:pPr>
        <w:ind w:firstLine="480"/>
        <w:spacing w:line="52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keepLines/>
        <w:keepNext/>
        <w:spacing w:line="520" w:lineRule="exact"/>
        <w:rPr>
          <w:b/>
          <w:bCs/>
          <w:color w:val="auto"/>
          <w:sz w:val="32"/>
          <w:szCs w:val="32"/>
          <w:highlight w:val="none"/>
        </w:rPr>
        <w:outlineLvl w:val="2"/>
      </w:pPr>
      <w:r/>
      <w:bookmarkStart w:id="74" w:name="_Toc513029209"/>
      <w:r/>
      <w:bookmarkStart w:id="75" w:name="_Toc20823281"/>
      <w:r/>
      <w:bookmarkStart w:id="76" w:name="_Toc16938525"/>
      <w:r/>
      <w:bookmarkStart w:id="77" w:name="_Toc120614215"/>
      <w:r>
        <w:rPr>
          <w:rFonts w:hint="eastAsia"/>
          <w:b/>
          <w:bCs/>
          <w:color w:val="auto"/>
          <w:sz w:val="32"/>
          <w:szCs w:val="32"/>
          <w:highlight w:val="none"/>
        </w:rPr>
        <w:t xml:space="preserve">二、</w:t>
      </w:r>
      <w:bookmarkEnd w:id="74"/>
      <w:r/>
      <w:bookmarkEnd w:id="75"/>
      <w:r/>
      <w:bookmarkEnd w:id="76"/>
      <w:r/>
      <w:bookmarkEnd w:id="77"/>
      <w:r>
        <w:rPr>
          <w:rFonts w:hint="eastAsia"/>
          <w:b/>
          <w:bCs/>
          <w:color w:val="auto"/>
          <w:sz w:val="32"/>
          <w:szCs w:val="32"/>
          <w:highlight w:val="none"/>
        </w:rPr>
        <w:t xml:space="preserve">磋商文件</w:t>
      </w:r>
      <w:r/>
    </w:p>
    <w:p>
      <w:pPr>
        <w:ind w:firstLine="420"/>
        <w:keepLines/>
        <w:keepNext/>
        <w:spacing w:line="520" w:lineRule="exact"/>
        <w:rPr>
          <w:rFonts w:ascii="Arial" w:hAnsi="Arial" w:eastAsia="黑体" w:cs="Arial"/>
          <w:color w:val="auto"/>
          <w:sz w:val="28"/>
          <w:szCs w:val="28"/>
          <w:highlight w:val="none"/>
        </w:rPr>
        <w:outlineLvl w:val="3"/>
      </w:pPr>
      <w:r/>
      <w:bookmarkStart w:id="78" w:name="_Toc513029210"/>
      <w:r/>
      <w:bookmarkStart w:id="79" w:name="_Toc16938526"/>
      <w:r/>
      <w:bookmarkStart w:id="80" w:name="_Toc20823282"/>
      <w:r>
        <w:rPr>
          <w:rFonts w:hint="eastAsia" w:ascii="Arial" w:hAnsi="Arial" w:eastAsia="黑体" w:cs="Arial"/>
          <w:color w:val="auto"/>
          <w:sz w:val="28"/>
          <w:szCs w:val="28"/>
          <w:highlight w:val="none"/>
        </w:rPr>
        <w:t xml:space="preserve">6.磋商文件构成</w:t>
      </w:r>
      <w:bookmarkEnd w:id="78"/>
      <w:r/>
      <w:bookmarkEnd w:id="79"/>
      <w:r/>
      <w:bookmarkEnd w:id="80"/>
      <w:r/>
      <w:r/>
    </w:p>
    <w:p>
      <w:pPr>
        <w:ind w:firstLine="480"/>
        <w:spacing w:line="520" w:lineRule="exact"/>
        <w:rPr>
          <w:rFonts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磋商文件由以下部分组成：</w:t>
      </w:r>
      <w:r/>
    </w:p>
    <w:p>
      <w:pPr>
        <w:ind w:firstLine="36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（1）磋商</w:t>
      </w:r>
      <w:r>
        <w:rPr>
          <w:rFonts w:ascii="宋体" w:hAnsi="宋体"/>
          <w:color w:val="auto"/>
          <w:sz w:val="24"/>
          <w:szCs w:val="24"/>
          <w:highlight w:val="none"/>
        </w:rPr>
        <w:t xml:space="preserve">邀请</w:t>
      </w:r>
      <w:r/>
    </w:p>
    <w:p>
      <w:pPr>
        <w:ind w:firstLine="36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（2）供应商须知</w:t>
      </w:r>
      <w:r/>
    </w:p>
    <w:p>
      <w:pPr>
        <w:ind w:firstLine="36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（3）采购需求</w:t>
      </w:r>
      <w:r/>
    </w:p>
    <w:p>
      <w:pPr>
        <w:ind w:firstLine="360"/>
        <w:spacing w:line="520" w:lineRule="exact"/>
        <w:rPr>
          <w:color w:val="auto"/>
          <w:sz w:val="24"/>
          <w:szCs w:val="24"/>
          <w:highlight w:val="none"/>
        </w:rPr>
      </w:pPr>
      <w:r>
        <w:rPr>
          <w:rFonts w:hint="eastAsia" w:ascii="宋体" w:hAnsi="宋体"/>
          <w:color w:val="auto"/>
          <w:sz w:val="24"/>
          <w:szCs w:val="24"/>
          <w:highlight w:val="none"/>
        </w:rPr>
        <w:t xml:space="preserve">（4）</w:t>
      </w:r>
      <w:r>
        <w:rPr>
          <w:rFonts w:hint="eastAsia" w:hAnsi="宋体"/>
          <w:color w:val="auto"/>
          <w:sz w:val="24"/>
          <w:szCs w:val="24"/>
          <w:highlight w:val="none"/>
        </w:rPr>
        <w:t xml:space="preserve">评审方法与评审标准</w:t>
      </w:r>
      <w:r/>
    </w:p>
    <w:p>
      <w:pPr>
        <w:ind w:firstLine="36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（5）响应文件格式</w:t>
      </w:r>
      <w:r/>
    </w:p>
    <w:p>
      <w:pPr>
        <w:ind w:firstLine="36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（6）附件（如有）</w:t>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请仔细检查磋商文件是否齐全，如有缺漏请立即与采购人或采购代理机构联系解决。</w:t>
      </w:r>
      <w:r/>
    </w:p>
    <w:p>
      <w:pPr>
        <w:ind w:firstLine="480"/>
        <w:spacing w:line="520" w:lineRule="exact"/>
        <w:rPr>
          <w:rFonts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ascii="Arial" w:hAnsi="Arial" w:eastAsia="黑体" w:cs="Arial"/>
          <w:color w:val="auto"/>
          <w:sz w:val="28"/>
          <w:szCs w:val="28"/>
          <w:highlight w:val="none"/>
        </w:rPr>
        <w:outlineLvl w:val="3"/>
      </w:pPr>
      <w:r/>
      <w:bookmarkStart w:id="81" w:name="_Toc462564070"/>
      <w:r/>
      <w:bookmarkStart w:id="82" w:name="_Toc513029211"/>
      <w:r/>
      <w:bookmarkStart w:id="83" w:name="_Toc16938527"/>
      <w:r/>
      <w:bookmarkStart w:id="84" w:name="_Toc20823283"/>
      <w:r>
        <w:rPr>
          <w:rFonts w:hint="eastAsia" w:ascii="Arial" w:hAnsi="Arial" w:eastAsia="黑体" w:cs="Arial"/>
          <w:color w:val="auto"/>
          <w:sz w:val="28"/>
          <w:szCs w:val="28"/>
          <w:highlight w:val="none"/>
        </w:rPr>
        <w:t xml:space="preserve">7.磋商文件的澄清</w:t>
      </w:r>
      <w:bookmarkEnd w:id="81"/>
      <w:r/>
      <w:bookmarkEnd w:id="82"/>
      <w:r/>
      <w:bookmarkEnd w:id="83"/>
      <w:r/>
      <w:bookmarkEnd w:id="84"/>
      <w:r/>
      <w:r/>
    </w:p>
    <w:p>
      <w:pPr>
        <w:ind w:firstLine="480"/>
        <w:spacing w:line="520" w:lineRule="exact"/>
        <w:rPr>
          <w:rFonts w:ascii="宋体" w:hAnsi="宋体"/>
          <w:color w:val="auto"/>
          <w:sz w:val="24"/>
          <w:szCs w:val="21"/>
          <w:highlight w:val="none"/>
        </w:rPr>
      </w:pPr>
      <w:r>
        <w:rPr>
          <w:rFonts w:hint="eastAsia" w:ascii="宋体" w:hAnsi="宋体"/>
          <w:bCs/>
          <w:color w:val="auto"/>
          <w:sz w:val="24"/>
          <w:szCs w:val="21"/>
          <w:highlight w:val="none"/>
        </w:rPr>
        <w:t xml:space="preserve">7.1</w:t>
      </w:r>
      <w:r>
        <w:rPr>
          <w:rFonts w:hint="eastAsia" w:ascii="宋体" w:hAnsi="宋体"/>
          <w:color w:val="auto"/>
          <w:sz w:val="24"/>
          <w:szCs w:val="21"/>
          <w:highlight w:val="none"/>
        </w:rPr>
        <w:t xml:space="preserve"> 任何要求对磋商文件进行澄清的供应商，应在磋商截止期5日</w:t>
      </w:r>
      <w:r>
        <w:rPr>
          <w:rFonts w:hint="eastAsia" w:ascii="仿宋_GB2312" w:hAnsi="仿宋_GB2312"/>
          <w:color w:val="auto"/>
          <w:sz w:val="24"/>
          <w:szCs w:val="24"/>
          <w:highlight w:val="none"/>
        </w:rPr>
        <w:t xml:space="preserve">前</w:t>
      </w:r>
      <w:r>
        <w:rPr>
          <w:rFonts w:hint="eastAsia" w:ascii="宋体" w:hAnsi="宋体"/>
          <w:color w:val="auto"/>
          <w:sz w:val="24"/>
          <w:szCs w:val="21"/>
          <w:highlight w:val="none"/>
        </w:rPr>
        <w:t xml:space="preserve">按磋商公告中的通讯地址，以书面形式通知采购人或采购代理机构。</w:t>
      </w:r>
      <w:r/>
    </w:p>
    <w:p>
      <w:pPr>
        <w:ind w:firstLine="480"/>
        <w:spacing w:line="520" w:lineRule="exact"/>
        <w:rPr>
          <w:rFonts w:ascii="宋体" w:hAnsi="宋体"/>
          <w:color w:val="auto"/>
          <w:sz w:val="24"/>
          <w:szCs w:val="24"/>
          <w:highlight w:val="none"/>
        </w:rPr>
      </w:pPr>
      <w:r>
        <w:rPr>
          <w:rFonts w:hint="eastAsia" w:ascii="宋体" w:hAnsi="宋体"/>
          <w:color w:val="auto"/>
          <w:sz w:val="24"/>
          <w:szCs w:val="21"/>
          <w:highlight w:val="none"/>
        </w:rPr>
        <w:t xml:space="preserve">7.2采购人视情组织答疑会。</w:t>
      </w:r>
      <w:r/>
    </w:p>
    <w:p>
      <w:pPr>
        <w:ind w:firstLine="560"/>
        <w:keepLines/>
        <w:keepNext/>
        <w:spacing w:line="520" w:lineRule="exact"/>
        <w:rPr>
          <w:rFonts w:ascii="Arial" w:hAnsi="Arial" w:eastAsia="黑体" w:cs="Arial"/>
          <w:color w:val="auto"/>
          <w:sz w:val="28"/>
          <w:szCs w:val="28"/>
          <w:highlight w:val="none"/>
        </w:rPr>
        <w:outlineLvl w:val="3"/>
      </w:pPr>
      <w:r/>
      <w:bookmarkStart w:id="85" w:name="_Toc513029212"/>
      <w:r/>
      <w:bookmarkStart w:id="86" w:name="_Toc20823284"/>
      <w:r/>
      <w:bookmarkStart w:id="87" w:name="_Toc16938528"/>
      <w:r/>
      <w:bookmarkStart w:id="88" w:name="_Toc462564071"/>
      <w:r>
        <w:rPr>
          <w:rFonts w:hint="eastAsia" w:ascii="Arial" w:hAnsi="Arial" w:eastAsia="黑体" w:cs="Arial"/>
          <w:color w:val="auto"/>
          <w:sz w:val="28"/>
          <w:szCs w:val="28"/>
          <w:highlight w:val="none"/>
        </w:rPr>
        <w:t xml:space="preserve">8.磋商文件的澄清和修改</w:t>
      </w:r>
      <w:bookmarkEnd w:id="85"/>
      <w:r/>
      <w:bookmarkEnd w:id="86"/>
      <w:r/>
      <w:bookmarkEnd w:id="87"/>
      <w:r/>
      <w:bookmarkEnd w:id="88"/>
      <w:r/>
      <w:r/>
    </w:p>
    <w:p>
      <w:pPr>
        <w:ind w:firstLine="480"/>
        <w:spacing w:line="520" w:lineRule="exact"/>
        <w:rPr>
          <w:rFonts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在响应文件提交截止时间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，采购人或采购代理机构可以对磋商文件进行澄清和修改,</w:t>
      </w:r>
      <w:r>
        <w:rPr>
          <w:rFonts w:hint="eastAsia"/>
          <w:color w:val="auto"/>
          <w:szCs w:val="21"/>
          <w:highlight w:val="none"/>
        </w:rPr>
        <w:t xml:space="preserve"> </w:t>
      </w:r>
      <w:r>
        <w:rPr>
          <w:rFonts w:hint="eastAsia" w:ascii="宋体" w:hAnsi="宋体"/>
          <w:color w:val="auto"/>
          <w:sz w:val="24"/>
          <w:szCs w:val="21"/>
          <w:highlight w:val="none"/>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color w:val="auto"/>
          <w:szCs w:val="21"/>
          <w:highlight w:val="none"/>
        </w:rPr>
        <w:t xml:space="preserve"> </w:t>
      </w:r>
      <w:r>
        <w:rPr>
          <w:rFonts w:hint="eastAsia" w:ascii="宋体" w:hAnsi="宋体"/>
          <w:color w:val="auto"/>
          <w:sz w:val="24"/>
          <w:szCs w:val="21"/>
          <w:highlight w:val="none"/>
        </w:rPr>
        <w:t xml:space="preserve">更正公告内容将作为磋商文件的组成部分，并对供应商具有约束力。不足5日的，采购人将顺延提交首次响应文件截止时间。</w:t>
      </w:r>
      <w:r/>
    </w:p>
    <w:p>
      <w:pPr>
        <w:ind w:firstLine="482"/>
        <w:keepLines/>
        <w:keepNext/>
        <w:spacing w:line="520" w:lineRule="exact"/>
        <w:rPr>
          <w:b/>
          <w:bCs/>
          <w:color w:val="auto"/>
          <w:sz w:val="32"/>
          <w:szCs w:val="32"/>
          <w:highlight w:val="none"/>
        </w:rPr>
        <w:outlineLvl w:val="2"/>
      </w:pPr>
      <w:r/>
      <w:bookmarkStart w:id="89" w:name="_Toc513029213"/>
      <w:r/>
      <w:bookmarkStart w:id="90" w:name="_Toc120614216"/>
      <w:r/>
      <w:bookmarkStart w:id="91" w:name="_Toc20823285"/>
      <w:r/>
      <w:bookmarkStart w:id="92" w:name="_Toc462564072"/>
      <w:r/>
      <w:bookmarkStart w:id="93" w:name="_Toc16938529"/>
      <w:r>
        <w:rPr>
          <w:rFonts w:hint="eastAsia"/>
          <w:b/>
          <w:bCs/>
          <w:color w:val="auto"/>
          <w:sz w:val="32"/>
          <w:szCs w:val="32"/>
          <w:highlight w:val="none"/>
        </w:rPr>
        <w:t xml:space="preserve">三、响应文件的编制</w:t>
      </w:r>
      <w:bookmarkEnd w:id="89"/>
      <w:r/>
      <w:bookmarkEnd w:id="90"/>
      <w:r/>
      <w:bookmarkEnd w:id="91"/>
      <w:r/>
      <w:bookmarkEnd w:id="92"/>
      <w:r/>
      <w:bookmarkEnd w:id="93"/>
      <w:r/>
      <w:r/>
    </w:p>
    <w:p>
      <w:pPr>
        <w:ind w:firstLine="560"/>
        <w:keepLines/>
        <w:keepNext/>
        <w:spacing w:line="520" w:lineRule="exact"/>
        <w:rPr>
          <w:rFonts w:ascii="Arial" w:hAnsi="Arial" w:eastAsia="黑体" w:cs="Arial"/>
          <w:b/>
          <w:color w:val="auto"/>
          <w:sz w:val="28"/>
          <w:szCs w:val="28"/>
          <w:highlight w:val="none"/>
        </w:rPr>
        <w:outlineLvl w:val="3"/>
      </w:pPr>
      <w:r/>
      <w:bookmarkStart w:id="94" w:name="_Toc20823286"/>
      <w:r/>
      <w:bookmarkStart w:id="95" w:name="_Toc513029214"/>
      <w:r/>
      <w:bookmarkStart w:id="96" w:name="_Toc16938530"/>
      <w:r/>
      <w:bookmarkStart w:id="97" w:name="_Toc462564073"/>
      <w:r>
        <w:rPr>
          <w:rFonts w:hint="eastAsia" w:ascii="Arial" w:hAnsi="Arial" w:eastAsia="黑体" w:cs="Arial"/>
          <w:color w:val="auto"/>
          <w:sz w:val="28"/>
          <w:szCs w:val="28"/>
          <w:highlight w:val="none"/>
        </w:rPr>
        <w:t xml:space="preserve">9.响应文件的语言及度量衡单位</w:t>
      </w:r>
      <w:bookmarkEnd w:id="94"/>
      <w:r/>
      <w:bookmarkEnd w:id="95"/>
      <w:r/>
      <w:bookmarkEnd w:id="96"/>
      <w:r/>
      <w:bookmarkEnd w:id="97"/>
      <w:r/>
      <w:r/>
    </w:p>
    <w:p>
      <w:pPr>
        <w:ind w:firstLine="480"/>
        <w:spacing w:line="520" w:lineRule="exact"/>
        <w:rPr>
          <w:rFonts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供应商提交的响应文件以及供应商与采购人就有关磋商的所有来往通知、函件和文件均应使用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520" w:lineRule="exact"/>
        <w:rPr>
          <w:rFonts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420"/>
        <w:keepLines/>
        <w:keepNext/>
        <w:spacing w:line="520" w:lineRule="exact"/>
        <w:rPr>
          <w:rFonts w:ascii="Arial" w:hAnsi="Arial" w:eastAsia="黑体" w:cs="Arial"/>
          <w:color w:val="auto"/>
          <w:sz w:val="28"/>
          <w:szCs w:val="28"/>
          <w:highlight w:val="none"/>
        </w:rPr>
        <w:outlineLvl w:val="3"/>
      </w:pPr>
      <w:r/>
      <w:bookmarkStart w:id="98" w:name="_Toc20823287"/>
      <w:r/>
      <w:bookmarkStart w:id="99" w:name="_Toc462564074"/>
      <w:r/>
      <w:bookmarkStart w:id="100" w:name="_Toc16938531"/>
      <w:r/>
      <w:bookmarkStart w:id="101" w:name="_Toc513029215"/>
      <w:r>
        <w:rPr>
          <w:rFonts w:hint="eastAsia" w:ascii="Arial" w:hAnsi="Arial" w:eastAsia="黑体" w:cs="Arial"/>
          <w:color w:val="auto"/>
          <w:sz w:val="28"/>
          <w:szCs w:val="28"/>
          <w:highlight w:val="none"/>
        </w:rPr>
        <w:t xml:space="preserve">10.响应文件构成</w:t>
      </w:r>
      <w:bookmarkEnd w:id="98"/>
      <w:r/>
      <w:bookmarkEnd w:id="99"/>
      <w:r/>
      <w:bookmarkEnd w:id="100"/>
      <w:r/>
      <w:bookmarkEnd w:id="101"/>
      <w:r/>
      <w:r/>
    </w:p>
    <w:p>
      <w:pPr>
        <w:ind w:firstLine="480"/>
        <w:spacing w:line="520" w:lineRule="exact"/>
        <w:rPr>
          <w:rFonts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spacing w:line="520" w:lineRule="exact"/>
        <w:rPr>
          <w:rFonts w:ascii="Arial" w:hAnsi="Arial" w:eastAsia="黑体" w:cs="Arial"/>
          <w:color w:val="auto"/>
          <w:sz w:val="28"/>
          <w:szCs w:val="28"/>
          <w:highlight w:val="none"/>
        </w:rPr>
        <w:outlineLvl w:val="3"/>
      </w:pPr>
      <w:r/>
      <w:bookmarkStart w:id="102" w:name="_Hlt26668975"/>
      <w:r/>
      <w:bookmarkEnd w:id="102"/>
      <w:r/>
      <w:bookmarkStart w:id="103" w:name="_Hlt26670360"/>
      <w:r/>
      <w:bookmarkEnd w:id="103"/>
      <w:r/>
      <w:bookmarkStart w:id="104" w:name="_Hlt26954838"/>
      <w:r/>
      <w:bookmarkEnd w:id="104"/>
      <w:r/>
      <w:bookmarkStart w:id="105" w:name="_Toc513029219"/>
      <w:r/>
      <w:bookmarkStart w:id="106" w:name="_Toc49090509"/>
      <w:r/>
      <w:bookmarkStart w:id="107" w:name="_Toc14577357"/>
      <w:r/>
      <w:bookmarkStart w:id="108" w:name="_Toc14577354"/>
      <w:r/>
      <w:bookmarkStart w:id="109" w:name="_Toc513029216"/>
      <w:r/>
      <w:bookmarkStart w:id="110" w:name="_Toc49090507"/>
      <w:r/>
      <w:bookmarkStart w:id="111" w:name="_Toc14577355"/>
      <w:r/>
      <w:bookmarkStart w:id="112" w:name="_Toc49090508"/>
      <w:r>
        <w:rPr>
          <w:rFonts w:hint="eastAsia" w:ascii="Arial" w:hAnsi="Arial" w:eastAsia="黑体" w:cs="Arial"/>
          <w:color w:val="auto"/>
          <w:sz w:val="28"/>
          <w:szCs w:val="28"/>
          <w:highlight w:val="none"/>
        </w:rPr>
        <w:t xml:space="preserve">11.证明磋商响应标的符合磋商文件规定的文件</w:t>
      </w:r>
      <w:bookmarkEnd w:id="105"/>
      <w:r/>
      <w:bookmarkEnd w:id="106"/>
      <w:r/>
      <w:bookmarkEnd w:id="107"/>
      <w:r/>
      <w:bookmarkEnd w:id="108"/>
      <w:bookmarkEnd w:id="109"/>
      <w:bookmarkEnd w:id="110"/>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11"/>
      <w:bookmarkEnd w:id="112"/>
      <w:r/>
    </w:p>
    <w:p>
      <w:pPr>
        <w:ind w:firstLine="420"/>
        <w:keepLines/>
        <w:keepNext/>
        <w:spacing w:line="52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12.分项报价表</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spacing w:line="520" w:lineRule="exact"/>
        <w:rPr>
          <w:rFonts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磋商货币。响应文件中的单价和总价无特殊规定的采用人民币报价，以元为单位标注。</w:t>
      </w:r>
      <w:r>
        <w:rPr>
          <w:rFonts w:hint="eastAsia" w:ascii="宋体" w:hAnsi="宋体"/>
          <w:color w:val="auto"/>
          <w:sz w:val="24"/>
          <w:szCs w:val="21"/>
          <w:highlight w:val="none"/>
        </w:rPr>
        <w:t xml:space="preserve">磋商文件中另有规定的按规定执行。</w:t>
      </w:r>
      <w:r/>
    </w:p>
    <w:p>
      <w:pPr>
        <w:ind w:firstLine="420"/>
        <w:keepLines/>
        <w:keepNext/>
        <w:spacing w:line="520" w:lineRule="exact"/>
        <w:rPr>
          <w:rFonts w:ascii="Arial" w:hAnsi="Arial" w:eastAsia="黑体" w:cs="Arial"/>
          <w:color w:val="auto"/>
          <w:sz w:val="28"/>
          <w:szCs w:val="28"/>
          <w:highlight w:val="none"/>
        </w:rPr>
        <w:outlineLvl w:val="3"/>
      </w:pPr>
      <w:r/>
      <w:bookmarkStart w:id="113" w:name="_Hlt26670482"/>
      <w:r/>
      <w:bookmarkEnd w:id="113"/>
      <w:r/>
      <w:bookmarkStart w:id="114" w:name="_Hlt26670486"/>
      <w:r/>
      <w:bookmarkEnd w:id="114"/>
      <w:r/>
      <w:bookmarkStart w:id="115" w:name="_Hlt26954731"/>
      <w:r/>
      <w:bookmarkEnd w:id="115"/>
      <w:r/>
      <w:bookmarkStart w:id="116" w:name="_Hlt26954848"/>
      <w:r/>
      <w:bookmarkEnd w:id="116"/>
      <w:r/>
      <w:bookmarkStart w:id="117" w:name="_Hlt26954846"/>
      <w:r/>
      <w:bookmarkEnd w:id="117"/>
      <w:r>
        <w:rPr>
          <w:rFonts w:hint="eastAsia" w:ascii="Arial" w:hAnsi="Arial" w:eastAsia="黑体" w:cs="Arial"/>
          <w:color w:val="auto"/>
          <w:sz w:val="28"/>
          <w:szCs w:val="28"/>
          <w:highlight w:val="none"/>
        </w:rPr>
        <w:t xml:space="preserve">13.技术要求响应及偏离表、商务要求响应及偏离表</w:t>
      </w:r>
      <w:r/>
    </w:p>
    <w:p>
      <w:pPr>
        <w:ind w:firstLine="480"/>
        <w:spacing w:line="520" w:lineRule="exact"/>
        <w:rPr>
          <w:rFonts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color w:val="auto"/>
          <w:sz w:val="24"/>
          <w:szCs w:val="21"/>
          <w:highlight w:val="none"/>
          <w:lang w:val="zh-CN"/>
        </w:rPr>
        <w:t xml:space="preserve">供应商需对磋商文件中的技术要求与商务要求逐项作出响应或偏离，并说明原因。</w:t>
      </w:r>
      <w:r/>
    </w:p>
    <w:p>
      <w:pPr>
        <w:ind w:firstLine="480"/>
        <w:spacing w:line="520" w:lineRule="exact"/>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13.2供应商可在响应文件中提供认为需要的其他技术文件或说明。</w:t>
      </w:r>
      <w:r/>
    </w:p>
    <w:p>
      <w:pPr>
        <w:ind w:firstLine="420"/>
        <w:keepLines/>
        <w:keepNext/>
        <w:spacing w:line="52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spacing w:line="520" w:lineRule="exact"/>
        <w:rPr>
          <w:rFonts w:ascii="宋体" w:hAnsi="宋体"/>
          <w:color w:val="auto"/>
          <w:sz w:val="24"/>
          <w:szCs w:val="24"/>
          <w:highlight w:val="none"/>
        </w:rPr>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14.2供应商需根据磋商文件要求提供培训计划。</w:t>
      </w:r>
      <w:r/>
    </w:p>
    <w:p>
      <w:pPr>
        <w:ind w:firstLine="48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14.3供应商需根据磋商文件要求提供</w:t>
      </w:r>
      <w:r>
        <w:rPr>
          <w:rFonts w:hint="eastAsia" w:ascii="宋体" w:hAnsi="Arial" w:cs="宋体"/>
          <w:color w:val="auto"/>
          <w:sz w:val="24"/>
          <w:szCs w:val="21"/>
          <w:highlight w:val="none"/>
          <w:lang w:val="zh-CN"/>
        </w:rPr>
        <w:t xml:space="preserve">磋商响应标的的主要组成部分、功能设计、实现思路及关键技术等。</w:t>
      </w:r>
      <w:r/>
    </w:p>
    <w:p>
      <w:pPr>
        <w:ind w:firstLine="420"/>
        <w:keepLines/>
        <w:keepNext/>
        <w:spacing w:line="520" w:lineRule="exact"/>
        <w:rPr>
          <w:rFonts w:ascii="Arial" w:hAnsi="Arial" w:eastAsia="黑体" w:cs="Arial"/>
          <w:color w:val="auto"/>
          <w:sz w:val="28"/>
          <w:szCs w:val="28"/>
          <w:highlight w:val="none"/>
        </w:rPr>
        <w:outlineLvl w:val="3"/>
      </w:pPr>
      <w:r/>
      <w:bookmarkStart w:id="118" w:name="_Toc49090510"/>
      <w:r/>
      <w:bookmarkStart w:id="119" w:name="_Toc14577359"/>
      <w:r>
        <w:rPr>
          <w:rFonts w:hint="eastAsia" w:ascii="Arial" w:hAnsi="Arial" w:eastAsia="黑体" w:cs="Arial"/>
          <w:color w:val="auto"/>
          <w:sz w:val="28"/>
          <w:szCs w:val="28"/>
          <w:highlight w:val="none"/>
        </w:rPr>
        <w:t xml:space="preserve">15.磋商响应函</w:t>
      </w:r>
      <w:r/>
    </w:p>
    <w:p>
      <w:pPr>
        <w:ind w:firstLine="480"/>
        <w:spacing w:line="520" w:lineRule="exact"/>
        <w:rPr>
          <w:rFonts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18"/>
      <w:bookmarkEnd w:id="119"/>
      <w:r/>
    </w:p>
    <w:p>
      <w:pPr>
        <w:ind w:firstLine="420"/>
        <w:keepLines/>
        <w:keepNext/>
        <w:spacing w:line="520" w:lineRule="exact"/>
        <w:rPr>
          <w:rFonts w:ascii="Arial" w:hAnsi="Arial" w:eastAsia="黑体" w:cs="Arial"/>
          <w:color w:val="auto"/>
          <w:sz w:val="28"/>
          <w:szCs w:val="28"/>
          <w:highlight w:val="none"/>
        </w:rPr>
        <w:outlineLvl w:val="3"/>
      </w:pPr>
      <w:r/>
      <w:bookmarkStart w:id="120" w:name="_Toc14577360"/>
      <w:r/>
      <w:bookmarkStart w:id="121" w:name="_Toc49090511"/>
      <w:r>
        <w:rPr>
          <w:rFonts w:hint="eastAsia" w:ascii="Arial" w:hAnsi="Arial" w:eastAsia="黑体" w:cs="Arial"/>
          <w:color w:val="auto"/>
          <w:sz w:val="28"/>
          <w:szCs w:val="28"/>
          <w:highlight w:val="none"/>
        </w:rPr>
        <w:t xml:space="preserve">16.磋商有效期</w:t>
      </w:r>
      <w:bookmarkEnd w:id="120"/>
      <w:r/>
      <w:bookmarkEnd w:id="121"/>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16.1磋商有效期为采购人规定的提交响应文件截止之日后</w:t>
      </w:r>
      <w:r>
        <w:rPr>
          <w:rFonts w:hint="eastAsia" w:ascii="仿宋_GB2312" w:hAnsi="仿宋_GB2312"/>
          <w:b/>
          <w:color w:val="auto"/>
          <w:sz w:val="24"/>
          <w:szCs w:val="21"/>
          <w:highlight w:val="none"/>
          <w:u w:val="single"/>
        </w:rPr>
        <w:t xml:space="preserve">六十（</w:t>
      </w:r>
      <w:r>
        <w:rPr>
          <w:rFonts w:hint="eastAsia" w:ascii="宋体" w:hAnsi="宋体" w:cs="宋体"/>
          <w:b/>
          <w:color w:val="auto"/>
          <w:sz w:val="24"/>
          <w:szCs w:val="21"/>
          <w:highlight w:val="none"/>
          <w:u w:val="single"/>
        </w:rPr>
        <w:t xml:space="preserve">60</w:t>
      </w:r>
      <w:r>
        <w:rPr>
          <w:rFonts w:hint="eastAsia" w:ascii="仿宋_GB2312" w:hAnsi="仿宋_GB2312"/>
          <w:b/>
          <w:color w:val="auto"/>
          <w:sz w:val="24"/>
          <w:szCs w:val="21"/>
          <w:highlight w:val="none"/>
          <w:u w:val="single"/>
        </w:rPr>
        <w:t xml:space="preserve">）天</w:t>
      </w:r>
      <w:r>
        <w:rPr>
          <w:rFonts w:hint="eastAsia" w:ascii="宋体" w:hAnsi="宋体"/>
          <w:bCs/>
          <w:color w:val="auto"/>
          <w:sz w:val="24"/>
          <w:szCs w:val="21"/>
          <w:highlight w:val="none"/>
        </w:rPr>
        <w:t xml:space="preserve">。磋商有效期比规定短的将被视为非实质性响应磋商文件而予以拒绝。</w:t>
      </w:r>
      <w:r/>
    </w:p>
    <w:p>
      <w:pPr>
        <w:ind w:firstLine="420"/>
        <w:keepLines/>
        <w:keepNext/>
        <w:spacing w:line="52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.磋商有效期的延长</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ind w:firstLine="482"/>
        <w:keepLines/>
        <w:keepNext/>
        <w:spacing w:line="520" w:lineRule="exact"/>
        <w:rPr>
          <w:b/>
          <w:bCs/>
          <w:color w:val="auto"/>
          <w:sz w:val="32"/>
          <w:szCs w:val="32"/>
          <w:highlight w:val="none"/>
        </w:rPr>
        <w:outlineLvl w:val="2"/>
      </w:pPr>
      <w:r/>
      <w:bookmarkStart w:id="122" w:name="_Hlt26954852"/>
      <w:r/>
      <w:bookmarkEnd w:id="122"/>
      <w:r/>
      <w:bookmarkStart w:id="123" w:name="_Hlt26954739"/>
      <w:r/>
      <w:bookmarkEnd w:id="123"/>
      <w:r/>
      <w:bookmarkStart w:id="124" w:name="_Toc20823296"/>
      <w:r/>
      <w:bookmarkStart w:id="125" w:name="_Toc16938540"/>
      <w:r/>
      <w:bookmarkStart w:id="126" w:name="_Toc513029224"/>
      <w:r/>
      <w:bookmarkStart w:id="127" w:name="_Toc120614217"/>
      <w:r>
        <w:rPr>
          <w:rFonts w:hint="eastAsia"/>
          <w:b/>
          <w:bCs/>
          <w:color w:val="auto"/>
          <w:sz w:val="32"/>
          <w:szCs w:val="32"/>
          <w:highlight w:val="none"/>
        </w:rPr>
        <w:t xml:space="preserve">四、响应文件的递交</w:t>
      </w:r>
      <w:bookmarkEnd w:id="124"/>
      <w:r/>
      <w:bookmarkEnd w:id="125"/>
      <w:r/>
      <w:bookmarkEnd w:id="126"/>
      <w:r/>
      <w:bookmarkEnd w:id="127"/>
      <w:r/>
      <w:r/>
    </w:p>
    <w:p>
      <w:pPr>
        <w:ind w:firstLine="560"/>
        <w:keepLines/>
        <w:keepNext/>
        <w:spacing w:line="520" w:lineRule="exact"/>
        <w:rPr>
          <w:rFonts w:ascii="黑体" w:hAnsi="Arial" w:eastAsia="黑体" w:cs="Arial"/>
          <w:color w:val="auto"/>
          <w:sz w:val="28"/>
          <w:szCs w:val="28"/>
          <w:highlight w:val="none"/>
        </w:rPr>
        <w:outlineLvl w:val="3"/>
      </w:pPr>
      <w:r/>
      <w:bookmarkStart w:id="128" w:name="_Toc20823297"/>
      <w:r/>
      <w:bookmarkStart w:id="129" w:name="_Toc462564084"/>
      <w:r/>
      <w:bookmarkStart w:id="130" w:name="_Toc513029225"/>
      <w:r/>
      <w:bookmarkStart w:id="131" w:name="_Toc16938541"/>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磋商</w:t>
      </w:r>
      <w:bookmarkEnd w:id="128"/>
      <w:r/>
      <w:bookmarkEnd w:id="129"/>
      <w:r/>
      <w:bookmarkEnd w:id="130"/>
      <w:r/>
      <w:bookmarkEnd w:id="131"/>
      <w:r>
        <w:rPr>
          <w:rFonts w:hint="eastAsia" w:ascii="黑体" w:hAnsi="Arial" w:eastAsia="黑体" w:cs="Arial"/>
          <w:color w:val="auto"/>
          <w:sz w:val="28"/>
          <w:szCs w:val="28"/>
          <w:highlight w:val="none"/>
        </w:rPr>
        <w:t xml:space="preserve">响应文件的递交</w:t>
      </w:r>
      <w:r/>
    </w:p>
    <w:p>
      <w:pPr>
        <w:ind w:firstLine="60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132" w:name="_Toc20823298"/>
      <w:r/>
      <w:bookmarkStart w:id="133" w:name="_Toc513029226"/>
      <w:r/>
      <w:bookmarkStart w:id="134" w:name="_Toc16938542"/>
      <w:r/>
      <w:r/>
    </w:p>
    <w:p>
      <w:pPr>
        <w:ind w:firstLine="560"/>
        <w:keepLines/>
        <w:keepNext/>
        <w:spacing w:line="520" w:lineRule="exact"/>
        <w:rPr>
          <w:rFonts w:ascii="宋体" w:hAnsi="宋体" w:eastAsia="黑体" w:cs="Arial"/>
          <w:bCs/>
          <w:color w:val="auto"/>
          <w:sz w:val="24"/>
          <w:szCs w:val="28"/>
          <w:highlight w:val="none"/>
        </w:rPr>
        <w:outlineLvl w:val="3"/>
      </w:pPr>
      <w:r>
        <w:rPr>
          <w:rFonts w:ascii="Arial" w:hAnsi="Arial" w:eastAsia="黑体" w:cs="Arial"/>
          <w:bCs/>
          <w:color w:val="auto"/>
          <w:sz w:val="28"/>
          <w:szCs w:val="28"/>
          <w:highlight w:val="none"/>
        </w:rPr>
        <w:t xml:space="preserve">19</w:t>
      </w:r>
      <w:r>
        <w:rPr>
          <w:rFonts w:hint="eastAsia" w:ascii="Arial" w:hAnsi="Arial" w:eastAsia="黑体" w:cs="Arial"/>
          <w:bCs/>
          <w:color w:val="auto"/>
          <w:sz w:val="28"/>
          <w:szCs w:val="28"/>
          <w:highlight w:val="none"/>
        </w:rPr>
        <w:t xml:space="preserve">.提交响应文件截止时间</w:t>
      </w:r>
      <w:bookmarkEnd w:id="132"/>
      <w:r/>
      <w:bookmarkEnd w:id="133"/>
      <w:r/>
      <w:bookmarkEnd w:id="134"/>
      <w:r/>
      <w:r/>
    </w:p>
    <w:p>
      <w:pPr>
        <w:ind w:firstLine="480"/>
        <w:spacing w:line="520" w:lineRule="exact"/>
        <w:rPr>
          <w:rFonts w:ascii="宋体" w:hAnsi="宋体"/>
          <w:b/>
          <w:bCs/>
          <w:color w:val="auto"/>
          <w:sz w:val="24"/>
          <w:szCs w:val="21"/>
          <w:highlight w:val="none"/>
          <w:u w:val="singl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ascii="Arial" w:hAnsi="Arial" w:eastAsia="黑体" w:cs="Arial"/>
          <w:color w:val="auto"/>
          <w:sz w:val="28"/>
          <w:szCs w:val="28"/>
          <w:highlight w:val="none"/>
        </w:rPr>
        <w:outlineLvl w:val="3"/>
      </w:pPr>
      <w:r/>
      <w:bookmarkStart w:id="135" w:name="_Toc16938543"/>
      <w:r/>
      <w:bookmarkStart w:id="136" w:name="_Toc20823299"/>
      <w:r/>
      <w:bookmarkStart w:id="137" w:name="_Toc513029227"/>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.响应文件</w:t>
      </w:r>
      <w:bookmarkEnd w:id="135"/>
      <w:r/>
      <w:bookmarkEnd w:id="136"/>
      <w:r/>
      <w:bookmarkEnd w:id="137"/>
      <w:r>
        <w:rPr>
          <w:rFonts w:hint="eastAsia" w:ascii="Arial" w:hAnsi="Arial" w:eastAsia="黑体" w:cs="Arial"/>
          <w:color w:val="auto"/>
          <w:sz w:val="28"/>
          <w:szCs w:val="28"/>
          <w:highlight w:val="none"/>
        </w:rPr>
        <w:t xml:space="preserve">的拒收</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20.1 采购人拒绝接收在其规定的提交响应文件截止时间后上传的任何电子响应文件。</w:t>
      </w:r>
      <w:r/>
    </w:p>
    <w:p>
      <w:pPr>
        <w:ind w:firstLine="420"/>
        <w:keepLines/>
        <w:keepNext/>
        <w:spacing w:line="520" w:lineRule="exact"/>
        <w:rPr>
          <w:rFonts w:ascii="Arial" w:hAnsi="Arial" w:eastAsia="黑体" w:cs="Arial"/>
          <w:color w:val="auto"/>
          <w:sz w:val="28"/>
          <w:szCs w:val="28"/>
          <w:highlight w:val="none"/>
        </w:rPr>
        <w:outlineLvl w:val="3"/>
      </w:pPr>
      <w:r/>
      <w:bookmarkStart w:id="138" w:name="_Toc20823300"/>
      <w:r/>
      <w:bookmarkStart w:id="139" w:name="_Toc513029228"/>
      <w:r/>
      <w:bookmarkStart w:id="140" w:name="_Toc1693854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.响应文件的撤回和修改</w:t>
      </w:r>
      <w:bookmarkEnd w:id="138"/>
      <w:r/>
      <w:bookmarkEnd w:id="139"/>
      <w:r/>
      <w:bookmarkEnd w:id="140"/>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p>
    <w:p>
      <w:pPr>
        <w:ind w:firstLine="48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spacing w:line="52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spacing w:line="52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ind w:firstLine="482"/>
        <w:keepLines/>
        <w:keepNext/>
        <w:spacing w:line="520" w:lineRule="exact"/>
        <w:rPr>
          <w:b/>
          <w:bCs/>
          <w:color w:val="auto"/>
          <w:sz w:val="32"/>
          <w:szCs w:val="32"/>
          <w:highlight w:val="none"/>
        </w:rPr>
        <w:outlineLvl w:val="2"/>
      </w:pPr>
      <w:r/>
      <w:bookmarkStart w:id="141" w:name="_Toc16938545"/>
      <w:r/>
      <w:bookmarkStart w:id="142" w:name="_Toc120614218"/>
      <w:r/>
      <w:bookmarkStart w:id="143" w:name="_Toc20823301"/>
      <w:r/>
      <w:bookmarkStart w:id="144" w:name="_Toc513029229"/>
      <w:r>
        <w:rPr>
          <w:rFonts w:hint="eastAsia"/>
          <w:b/>
          <w:bCs/>
          <w:color w:val="auto"/>
          <w:sz w:val="32"/>
          <w:szCs w:val="32"/>
          <w:highlight w:val="none"/>
        </w:rPr>
        <w:t xml:space="preserve">五、响应文件的解密与评审</w:t>
      </w:r>
      <w:bookmarkEnd w:id="141"/>
      <w:r/>
      <w:bookmarkEnd w:id="142"/>
      <w:r/>
      <w:bookmarkEnd w:id="143"/>
      <w:r/>
      <w:bookmarkEnd w:id="144"/>
      <w:r/>
      <w:r/>
    </w:p>
    <w:p>
      <w:pPr>
        <w:ind w:firstLine="420"/>
        <w:keepLines/>
        <w:keepNext/>
        <w:spacing w:line="520" w:lineRule="exact"/>
        <w:rPr>
          <w:rFonts w:ascii="Arial" w:hAnsi="Arial" w:eastAsia="黑体" w:cs="Arial"/>
          <w:color w:val="auto"/>
          <w:sz w:val="28"/>
          <w:szCs w:val="28"/>
          <w:highlight w:val="none"/>
        </w:rPr>
        <w:outlineLvl w:val="3"/>
      </w:pPr>
      <w:r/>
      <w:bookmarkStart w:id="145" w:name="_Toc16938546"/>
      <w:r/>
      <w:bookmarkStart w:id="146" w:name="_Toc513029230"/>
      <w:r/>
      <w:bookmarkStart w:id="147" w:name="_Toc20823302"/>
      <w:r>
        <w:rPr>
          <w:rFonts w:hint="eastAsia" w:ascii="Arial" w:hAnsi="Arial" w:eastAsia="黑体" w:cs="Arial"/>
          <w:color w:val="auto"/>
          <w:sz w:val="28"/>
          <w:szCs w:val="28"/>
          <w:highlight w:val="none"/>
        </w:rPr>
        <w:t xml:space="preserve">22</w:t>
      </w:r>
      <w:bookmarkEnd w:id="145"/>
      <w:r/>
      <w:bookmarkEnd w:id="146"/>
      <w:r/>
      <w:bookmarkEnd w:id="147"/>
      <w:r>
        <w:rPr>
          <w:rFonts w:hint="eastAsia" w:ascii="Arial" w:hAnsi="Arial" w:eastAsia="黑体" w:cs="Arial"/>
          <w:color w:val="auto"/>
          <w:sz w:val="28"/>
          <w:szCs w:val="28"/>
          <w:highlight w:val="none"/>
        </w:rPr>
        <w:t xml:space="preserve">.响应文件解密</w:t>
      </w:r>
      <w:r/>
    </w:p>
    <w:p>
      <w:pPr>
        <w:ind w:firstLine="360"/>
        <w:spacing w:line="520" w:lineRule="exact"/>
        <w:rPr>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供应商应当按照《操作手册》规定，在苏采云系统规定的时间内对磋商响应文件进行解密。</w:t>
      </w:r>
      <w:r/>
    </w:p>
    <w:p>
      <w:pPr>
        <w:ind w:firstLine="420"/>
        <w:keepLines/>
        <w:keepNext/>
        <w:spacing w:line="520" w:lineRule="exact"/>
        <w:rPr>
          <w:rFonts w:ascii="Arial" w:hAnsi="Arial" w:eastAsia="黑体" w:cs="Arial"/>
          <w:color w:val="auto"/>
          <w:sz w:val="28"/>
          <w:szCs w:val="28"/>
          <w:highlight w:val="none"/>
        </w:rPr>
        <w:outlineLvl w:val="3"/>
      </w:pPr>
      <w:r/>
      <w:bookmarkStart w:id="148" w:name="_Toc16938547"/>
      <w:r/>
      <w:bookmarkStart w:id="149" w:name="_Toc513029231"/>
      <w:r/>
      <w:bookmarkStart w:id="150" w:name="_Toc2082330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.磋商小组</w:t>
      </w:r>
      <w:r/>
    </w:p>
    <w:p>
      <w:pPr>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.2磋商小组独立工作，负责评审所有响应文件并确定成交侯选人。</w:t>
      </w:r>
      <w:r/>
    </w:p>
    <w:p>
      <w:pPr>
        <w:ind w:firstLine="420"/>
        <w:keepLines/>
        <w:keepNext/>
        <w:spacing w:line="520" w:lineRule="exact"/>
        <w:rPr>
          <w:rFonts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.评审过程的保密与公正</w:t>
      </w:r>
      <w:bookmarkEnd w:id="148"/>
      <w:bookmarkEnd w:id="149"/>
      <w:bookmarkEnd w:id="150"/>
      <w:r/>
    </w:p>
    <w:p>
      <w:pPr>
        <w:ind w:firstLine="480"/>
        <w:spacing w:line="52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在评审过程中，供应商不得以任何行为影响磋商评审过程，否则其响应文件将被作为无效响应文件。</w:t>
      </w:r>
      <w:r/>
    </w:p>
    <w:p>
      <w:pPr>
        <w:ind w:firstLine="480"/>
        <w:spacing w:line="520" w:lineRule="exact"/>
        <w:rPr>
          <w:rFonts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.3</w:t>
      </w:r>
      <w:r>
        <w:rPr>
          <w:rFonts w:hint="eastAsia" w:ascii="宋体" w:hAnsi="宋体"/>
          <w:color w:val="auto"/>
          <w:sz w:val="24"/>
          <w:szCs w:val="24"/>
          <w:highlight w:val="none"/>
        </w:rPr>
        <w:t xml:space="preserve">在项目评审期间，采购代理机构将设专门人员与供应商联系。</w:t>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.4 采购人和磋商小组不向未成交的供应商解释未成交原因，也不公布评审过程中的相关细节。</w:t>
      </w:r>
      <w:r/>
    </w:p>
    <w:p>
      <w:pPr>
        <w:ind w:firstLine="420"/>
        <w:keepLines/>
        <w:keepNext/>
        <w:spacing w:line="520" w:lineRule="exact"/>
        <w:rPr>
          <w:rFonts w:ascii="Arial" w:hAnsi="Arial" w:eastAsia="黑体" w:cs="Arial"/>
          <w:color w:val="auto"/>
          <w:sz w:val="28"/>
          <w:szCs w:val="28"/>
          <w:highlight w:val="none"/>
        </w:rPr>
        <w:outlineLvl w:val="3"/>
      </w:pPr>
      <w:r/>
      <w:bookmarkStart w:id="151" w:name="_Toc20823304"/>
      <w:r/>
      <w:bookmarkStart w:id="152" w:name="_Toc513029232"/>
      <w:r/>
      <w:bookmarkStart w:id="153" w:name="_Toc1693854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.评审过程中的的澄清</w:t>
      </w:r>
      <w:bookmarkEnd w:id="151"/>
      <w:r/>
      <w:bookmarkEnd w:id="152"/>
      <w:r/>
      <w:bookmarkEnd w:id="153"/>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磋商小组并非对每个供应商都作澄清要求。</w:t>
      </w:r>
      <w:r/>
    </w:p>
    <w:p>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.2需要供应商进行澄清、说明和更正的，磋商小组将通过</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向供应商发布“澄清要求函”，接到“澄清要求函”的供应商应当按照要求在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中提交“澄清响应函”并加盖CA电子公章。澄清、说明和更正的内容作为响应文件的补充部分，具体</w:t>
      </w:r>
      <w:r>
        <w:rPr>
          <w:rFonts w:ascii="宋体" w:hAnsi="宋体" w:cs="宋体"/>
          <w:color w:val="auto"/>
          <w:sz w:val="24"/>
          <w:szCs w:val="24"/>
          <w:highlight w:val="none"/>
        </w:rPr>
        <w:t xml:space="preserve">操作</w:t>
      </w:r>
      <w:r>
        <w:rPr>
          <w:rFonts w:hint="eastAsia" w:ascii="宋体" w:hAnsi="宋体" w:cs="宋体"/>
          <w:color w:val="auto"/>
          <w:sz w:val="24"/>
          <w:szCs w:val="24"/>
          <w:highlight w:val="none"/>
        </w:rPr>
        <w:t xml:space="preserve">方式</w:t>
      </w:r>
      <w:r>
        <w:rPr>
          <w:rFonts w:ascii="宋体" w:hAnsi="宋体" w:cs="宋体"/>
          <w:color w:val="auto"/>
          <w:sz w:val="24"/>
          <w:szCs w:val="24"/>
          <w:highlight w:val="none"/>
        </w:rPr>
        <w:t xml:space="preserve">见</w:t>
      </w:r>
      <w:r>
        <w:rPr>
          <w:rFonts w:hint="eastAsia" w:ascii="宋体" w:hAnsi="宋体" w:cs="宋体"/>
          <w:color w:val="auto"/>
          <w:sz w:val="24"/>
          <w:szCs w:val="24"/>
          <w:highlight w:val="none"/>
        </w:rPr>
        <w:t xml:space="preserve">《操作手册》。</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    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接到磋商小组澄清、说明和更正要求的供应商如未按规定做出澄清、说明和 更正，其风险由供应商自行承担。</w:t>
      </w:r>
      <w:r/>
    </w:p>
    <w:p>
      <w:pPr>
        <w:ind w:firstLine="420"/>
        <w:keepLines/>
        <w:keepNext/>
        <w:spacing w:line="520" w:lineRule="exact"/>
        <w:rPr>
          <w:rFonts w:ascii="Arial" w:hAnsi="Arial" w:eastAsia="黑体" w:cs="Arial"/>
          <w:color w:val="auto"/>
          <w:sz w:val="28"/>
          <w:szCs w:val="28"/>
          <w:highlight w:val="none"/>
        </w:rPr>
        <w:outlineLvl w:val="3"/>
      </w:pPr>
      <w:r/>
      <w:bookmarkStart w:id="154" w:name="_Toc513029233"/>
      <w:r/>
      <w:bookmarkStart w:id="155" w:name="_Toc20823305"/>
      <w:r/>
      <w:bookmarkStart w:id="156" w:name="_Toc16938549"/>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.对响应文件的审</w:t>
      </w:r>
      <w:bookmarkEnd w:id="154"/>
      <w:r/>
      <w:bookmarkEnd w:id="155"/>
      <w:r/>
      <w:bookmarkEnd w:id="156"/>
      <w:r>
        <w:rPr>
          <w:rFonts w:hint="eastAsia" w:ascii="Arial" w:hAnsi="Arial" w:eastAsia="黑体" w:cs="Arial"/>
          <w:color w:val="auto"/>
          <w:sz w:val="28"/>
          <w:szCs w:val="28"/>
          <w:highlight w:val="none"/>
        </w:rPr>
        <w:t xml:space="preserve">查</w:t>
      </w:r>
      <w:r/>
    </w:p>
    <w:p>
      <w:pPr>
        <w:ind w:firstLine="480"/>
        <w:spacing w:line="52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资格审查：由采购人依据法律法规和磋商文件的规定，对响应文件中的资格证明文件进行审查，以确定供应商是否具备参加磋商的资格。</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采购人在进行资格审查的同时，将在“信用中国”网站（www.creditchina.gov.cn）查询供应商的信用记录，以确定供应商是否具备磋商资格,查询结果留存并归档。</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未通过资格审查或符合性审查的供应商，采购代理机构将在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spacing w:line="520" w:lineRule="exact"/>
        <w:rPr>
          <w:rFonts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26.3未实质性响应磋商文件的情形</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26.3.1供应商在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26.3.2供应商未按照磋商文件要求上传电子响应文件的。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26.3.3同一供应商提交两个（含两个）以上不同的响应文件或者最后报价的。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26.3.4供应商不具备磋商文件中规定资格要求的。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26.3.5供应商的最后报价超过了采购预算。</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26.3.6不符合磋商文件中规定的实质性要求和条件的。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26.3.8  响应文件含有采购人不能接受的附加条件的。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26.3.10响应文件未按照磋商文件要求加盖CA电子公章的。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26.4未实质性响应磋商文件的响应文件按无效响应处理。</w:t>
      </w:r>
      <w:r/>
    </w:p>
    <w:p>
      <w:pPr>
        <w:ind w:firstLine="480"/>
        <w:spacing w:line="520" w:lineRule="exact"/>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26.6磋商小组将对确定为实质性响应的文件进行进一步审核，看其是否有计算上或累加上的算术错误，修正错误的原则如下：</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（1）响应文件中报价总表内容与响应文件中相应内容不一致的，以报价总表为准。</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（3）单价金额小数点或者百分比有明显错位的，以报价总表的总价为准，并修改单价。</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520" w:lineRule="exact"/>
        <w:rPr>
          <w:rFonts w:ascii="宋体" w:hAnsi="宋体"/>
          <w:color w:val="auto"/>
          <w:sz w:val="24"/>
          <w:szCs w:val="21"/>
          <w:highlight w:val="none"/>
        </w:rPr>
      </w:pPr>
      <w:r/>
      <w:bookmarkStart w:id="157" w:name="_Toc513029234"/>
      <w:r/>
      <w:bookmarkStart w:id="158" w:name="_Toc16938550"/>
      <w:r/>
      <w:bookmarkStart w:id="159"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.7供应商在项目评审全过程中应保持通讯畅通，并安排专人与采购人或采购代理机构及磋商小组联系。</w:t>
      </w:r>
      <w:r/>
    </w:p>
    <w:p>
      <w:pPr>
        <w:ind w:firstLine="420"/>
        <w:keepLines/>
        <w:keepNext/>
        <w:spacing w:line="520" w:lineRule="exact"/>
        <w:rPr>
          <w:rFonts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bookmarkEnd w:id="157"/>
      <w:r/>
      <w:bookmarkEnd w:id="158"/>
      <w:r/>
      <w:bookmarkEnd w:id="159"/>
      <w:r>
        <w:rPr>
          <w:rFonts w:hint="eastAsia" w:ascii="Arial" w:hAnsi="Arial" w:eastAsia="黑体" w:cs="Arial"/>
          <w:color w:val="auto"/>
          <w:sz w:val="28"/>
          <w:szCs w:val="28"/>
          <w:highlight w:val="none"/>
        </w:rPr>
        <w:t xml:space="preserve">.磋商程序及评审方法和评审标准</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27.1磋商程序</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 27.1.2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27.2 评审方法和评审标准</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27.2.2评审标准</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见本磋商文件第四章规定。</w:t>
      </w:r>
      <w:r/>
    </w:p>
    <w:p>
      <w:pPr>
        <w:ind w:firstLine="477"/>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27.3采购活动终止的情况</w:t>
      </w:r>
      <w:r/>
    </w:p>
    <w:p>
      <w:pPr>
        <w:ind w:firstLine="360"/>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出现下列情形之一的，本次竞争性磋商采购活动将被终止：</w:t>
      </w:r>
      <w:r/>
    </w:p>
    <w:p>
      <w:pPr>
        <w:ind w:firstLine="360"/>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27.3.1因情况变化，不再符合规定的竞争性磋商采购方式适用情形的。</w:t>
      </w:r>
      <w:r/>
    </w:p>
    <w:p>
      <w:pPr>
        <w:ind w:firstLine="360"/>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27.3.2出现影响采购公正的违法、违规行为的。</w:t>
      </w:r>
      <w:r/>
    </w:p>
    <w:p>
      <w:pPr>
        <w:ind w:firstLine="360"/>
        <w:spacing w:line="520" w:lineRule="exact"/>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27.3.4在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规定时间内成功解密电子响应文件的供应商不足3家的。</w:t>
      </w:r>
      <w:r/>
    </w:p>
    <w:p>
      <w:pPr>
        <w:ind w:firstLine="482"/>
        <w:keepLines/>
        <w:keepNext/>
        <w:spacing w:line="520" w:lineRule="exact"/>
        <w:rPr>
          <w:b/>
          <w:bCs/>
          <w:color w:val="auto"/>
          <w:sz w:val="32"/>
          <w:szCs w:val="32"/>
          <w:highlight w:val="none"/>
        </w:rPr>
        <w:outlineLvl w:val="2"/>
      </w:pPr>
      <w:r/>
      <w:bookmarkStart w:id="160" w:name="_Toc120614219"/>
      <w:r/>
      <w:bookmarkStart w:id="161" w:name="_Toc20823307"/>
      <w:r/>
      <w:bookmarkStart w:id="162" w:name="_Toc16938551"/>
      <w:r/>
      <w:bookmarkStart w:id="163" w:name="_Toc513029235"/>
      <w:r>
        <w:rPr>
          <w:rFonts w:hint="eastAsia"/>
          <w:b/>
          <w:bCs/>
          <w:color w:val="auto"/>
          <w:sz w:val="32"/>
          <w:szCs w:val="32"/>
          <w:highlight w:val="none"/>
        </w:rPr>
        <w:t xml:space="preserve">六、</w:t>
      </w:r>
      <w:bookmarkEnd w:id="160"/>
      <w:r/>
      <w:bookmarkEnd w:id="161"/>
      <w:r/>
      <w:bookmarkEnd w:id="162"/>
      <w:r/>
      <w:bookmarkEnd w:id="163"/>
      <w:r>
        <w:rPr>
          <w:rFonts w:hint="eastAsia"/>
          <w:b/>
          <w:bCs/>
          <w:color w:val="auto"/>
          <w:sz w:val="32"/>
          <w:szCs w:val="32"/>
          <w:highlight w:val="none"/>
        </w:rPr>
        <w:t xml:space="preserve">成交</w:t>
      </w:r>
      <w:r/>
    </w:p>
    <w:p>
      <w:pPr>
        <w:ind w:firstLine="600"/>
        <w:keepLines/>
        <w:keepNext/>
        <w:spacing w:line="520" w:lineRule="exact"/>
        <w:rPr>
          <w:rFonts w:ascii="黑体" w:hAnsi="宋体" w:eastAsia="黑体"/>
          <w:bCs/>
          <w:color w:val="auto"/>
          <w:sz w:val="30"/>
          <w:szCs w:val="30"/>
          <w:highlight w:val="none"/>
        </w:rPr>
        <w:outlineLvl w:val="3"/>
      </w:pPr>
      <w:r/>
      <w:bookmarkStart w:id="164" w:name="_Toc513029238"/>
      <w:r/>
      <w:bookmarkStart w:id="165" w:name="_Toc16938554"/>
      <w:r/>
      <w:bookmarkStart w:id="166" w:name="_Toc20823310"/>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8</w:t>
      </w:r>
      <w:bookmarkEnd w:id="164"/>
      <w:r>
        <w:rPr>
          <w:rFonts w:hint="eastAsia" w:ascii="黑体" w:hAnsi="宋体" w:eastAsia="黑体"/>
          <w:bCs/>
          <w:color w:val="auto"/>
          <w:sz w:val="30"/>
          <w:szCs w:val="30"/>
          <w:highlight w:val="none"/>
        </w:rPr>
        <w:t xml:space="preserve">.确定</w:t>
      </w:r>
      <w:bookmarkEnd w:id="165"/>
      <w:r/>
      <w:bookmarkEnd w:id="166"/>
      <w:r>
        <w:rPr>
          <w:rFonts w:hint="eastAsia" w:ascii="黑体" w:hAnsi="宋体" w:eastAsia="黑体"/>
          <w:bCs/>
          <w:color w:val="auto"/>
          <w:sz w:val="30"/>
          <w:szCs w:val="30"/>
          <w:highlight w:val="none"/>
        </w:rPr>
        <w:t xml:space="preserve">成交单位</w:t>
      </w:r>
      <w:r/>
    </w:p>
    <w:p>
      <w:pPr>
        <w:ind w:firstLine="477"/>
        <w:spacing w:line="520" w:lineRule="exact"/>
        <w:tabs>
          <w:tab w:val="left" w:pos="900" w:leader="none"/>
        </w:tabs>
        <w:rPr>
          <w:rFonts w:ascii="宋体" w:hAnsi="宋体"/>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ascii="宋体" w:hAnsi="宋体"/>
          <w:color w:val="auto"/>
          <w:sz w:val="24"/>
          <w:szCs w:val="21"/>
          <w:highlight w:val="none"/>
        </w:rPr>
      </w:pPr>
      <w:r>
        <w:rPr>
          <w:rFonts w:hint="eastAsia" w:ascii="宋体" w:hAnsi="宋体"/>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.2采购人应根据磋商小组推荐的成交候选供应商确定成交供应商。采购人确定成交供应商后，采购代理机构将在“江苏政府采购网”发布成交结果公告，公告期限为1个工作日。</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28.3若有充分证据证明，成交供应商出现下列情况之一的，一经查实，将被取消成交资格：</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28.3.1提供虚假材料谋取成交的。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28.3.2与评审专家、采购人、其他供应商或者采购代理机构工作人员恶意串通的。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28.3.3向评审专家、采购人或采购代理机构工作人员行贿或者提供其他不正当利益的。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28.3.4恶意竞争，最后报价明显低于其自身合理成本且又无法提供证明的。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28.3.5不满足本磋商文件规定的实质性要求，但在评审过程中又未被磋商小组发现的。</w:t>
      </w:r>
      <w:r/>
    </w:p>
    <w:p>
      <w:pPr>
        <w:ind w:firstLine="480"/>
        <w:spacing w:line="520" w:lineRule="exact"/>
        <w:rPr>
          <w:rFonts w:ascii="宋体" w:hAnsi="宋体"/>
          <w:bCs/>
          <w:color w:val="auto"/>
          <w:sz w:val="24"/>
          <w:szCs w:val="21"/>
          <w:highlight w:val="none"/>
        </w:rPr>
      </w:pPr>
      <w:r>
        <w:rPr>
          <w:rFonts w:hint="eastAsia" w:ascii="宋体" w:hAnsi="宋体"/>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520" w:lineRule="exact"/>
        <w:rPr>
          <w:rFonts w:ascii="宋体" w:hAnsi="宋体"/>
          <w:color w:val="auto"/>
          <w:sz w:val="24"/>
          <w:szCs w:val="24"/>
          <w:highlight w:val="none"/>
        </w:rPr>
      </w:pPr>
      <w:r>
        <w:rPr>
          <w:rFonts w:hint="eastAsia" w:ascii="宋体" w:hAnsi="宋体"/>
          <w:bCs/>
          <w:color w:val="auto"/>
          <w:sz w:val="24"/>
          <w:szCs w:val="21"/>
          <w:highlight w:val="none"/>
        </w:rPr>
        <w:t xml:space="preserve">28.3.7将政府采购合同转包的。</w:t>
      </w:r>
      <w:r/>
    </w:p>
    <w:p>
      <w:pPr>
        <w:ind w:firstLine="600"/>
        <w:keepLines/>
        <w:keepNext/>
        <w:spacing w:line="520" w:lineRule="exact"/>
        <w:rPr>
          <w:rFonts w:ascii="黑体" w:hAnsi="宋体" w:eastAsia="黑体"/>
          <w:bCs/>
          <w:color w:val="auto"/>
          <w:sz w:val="30"/>
          <w:szCs w:val="30"/>
          <w:highlight w:val="none"/>
        </w:rPr>
        <w:outlineLvl w:val="3"/>
      </w:pPr>
      <w:r/>
      <w:bookmarkStart w:id="167" w:name="_Toc200451960"/>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.质疑处理</w:t>
      </w:r>
      <w:bookmarkEnd w:id="167"/>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auto"/>
          <w:sz w:val="24"/>
          <w:szCs w:val="24"/>
          <w:highlight w:val="none"/>
        </w:rPr>
        <w:t xml:space="preserve">采购人或采购代理机构</w:t>
      </w:r>
      <w:r>
        <w:rPr>
          <w:rFonts w:hint="eastAsia" w:ascii="宋体" w:hAnsi="宋体"/>
          <w:color w:val="auto"/>
          <w:sz w:val="24"/>
          <w:szCs w:val="24"/>
          <w:highlight w:val="none"/>
        </w:rPr>
        <w:t xml:space="preserve">提出质疑。上述应知其权益受到损害之日，是指：</w:t>
      </w:r>
      <w:r/>
    </w:p>
    <w:p>
      <w:pPr>
        <w:ind w:firstLine="480"/>
        <w:spacing w:line="520" w:lineRule="exact"/>
        <w:rPr>
          <w:rFonts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hAnsi="宋体" w:cs="宋体"/>
          <w:color w:val="auto"/>
          <w:sz w:val="24"/>
          <w:szCs w:val="24"/>
          <w:highlight w:val="none"/>
        </w:rPr>
        <w:t xml:space="preserve">对可以质疑的采购文件提出质疑的，为收到采购文件之日或者采购文件公告期限届满之日</w:t>
      </w:r>
      <w:r>
        <w:rPr>
          <w:rFonts w:hint="eastAsia" w:hAnsi="宋体" w:cs="宋体"/>
          <w:color w:val="auto"/>
          <w:sz w:val="24"/>
          <w:szCs w:val="24"/>
          <w:highlight w:val="none"/>
        </w:rPr>
        <w:t xml:space="preserve">。</w:t>
      </w:r>
      <w:r/>
    </w:p>
    <w:p>
      <w:pPr>
        <w:ind w:firstLine="480"/>
        <w:spacing w:line="520" w:lineRule="exact"/>
        <w:rPr>
          <w:rFonts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hAnsi="宋体" w:cs="宋体"/>
          <w:color w:val="auto"/>
          <w:sz w:val="24"/>
          <w:szCs w:val="24"/>
          <w:highlight w:val="none"/>
        </w:rPr>
        <w:t xml:space="preserve">对采购过程提出质疑的，为各采购程序环节结束之日</w:t>
      </w:r>
      <w:r>
        <w:rPr>
          <w:rFonts w:hint="eastAsia" w:hAnsi="宋体" w:cs="宋体"/>
          <w:color w:val="auto"/>
          <w:sz w:val="24"/>
          <w:szCs w:val="24"/>
          <w:highlight w:val="none"/>
        </w:rPr>
        <w:t xml:space="preserve">。</w:t>
      </w:r>
      <w:r/>
    </w:p>
    <w:p>
      <w:pPr>
        <w:ind w:firstLine="480"/>
        <w:spacing w:line="520" w:lineRule="exact"/>
        <w:rPr>
          <w:rFonts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hAnsi="宋体" w:cs="宋体"/>
          <w:color w:val="auto"/>
          <w:sz w:val="24"/>
          <w:szCs w:val="24"/>
          <w:highlight w:val="none"/>
        </w:rPr>
        <w:t xml:space="preserve">对成交结果提出质疑的，为成交结果公告期限届满之日。</w:t>
      </w:r>
      <w:r/>
    </w:p>
    <w:p>
      <w:pPr>
        <w:ind w:firstLine="480"/>
        <w:spacing w:line="520" w:lineRule="exact"/>
        <w:rPr>
          <w:rFonts w:hAnsi="宋体" w:cs="宋体"/>
          <w:color w:val="auto"/>
          <w:sz w:val="24"/>
          <w:szCs w:val="24"/>
          <w:highlight w:val="none"/>
        </w:rPr>
      </w:pPr>
      <w:r>
        <w:rPr>
          <w:rFonts w:hint="eastAsia" w:hAnsi="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auto"/>
          <w:sz w:val="24"/>
          <w:szCs w:val="24"/>
          <w:highlight w:val="none"/>
        </w:rPr>
        <w:t xml:space="preserve">采购人或采购代理机构</w:t>
      </w:r>
      <w:r>
        <w:rPr>
          <w:rFonts w:hint="eastAsia" w:hAnsi="宋体" w:cs="宋体"/>
          <w:color w:val="auto"/>
          <w:sz w:val="24"/>
          <w:szCs w:val="24"/>
          <w:highlight w:val="none"/>
        </w:rPr>
        <w:t xml:space="preserve">将只对供应商第一次质疑作出答复。</w:t>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ascii="宋体" w:hAnsi="宋体"/>
          <w:b/>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.4 供应商（含潜在</w:t>
      </w: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采购文件中采购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评审方法</w:t>
      </w:r>
      <w:r>
        <w:rPr>
          <w:rFonts w:ascii="宋体" w:hAnsi="宋体"/>
          <w:color w:val="auto"/>
          <w:sz w:val="24"/>
          <w:szCs w:val="24"/>
          <w:highlight w:val="none"/>
        </w:rPr>
        <w:t xml:space="preserve">和评</w:t>
      </w:r>
      <w:r>
        <w:rPr>
          <w:rFonts w:hint="eastAsia" w:ascii="宋体" w:hAnsi="宋体"/>
          <w:color w:val="auto"/>
          <w:sz w:val="24"/>
          <w:szCs w:val="24"/>
          <w:highlight w:val="none"/>
        </w:rPr>
        <w:t xml:space="preserve">审</w:t>
      </w:r>
      <w:r>
        <w:rPr>
          <w:rFonts w:ascii="宋体" w:hAnsi="宋体"/>
          <w:color w:val="auto"/>
          <w:sz w:val="24"/>
          <w:szCs w:val="24"/>
          <w:highlight w:val="none"/>
        </w:rPr>
        <w:t xml:space="preserve">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关于评审方面的质疑，采购人可以组织原评审委员会协助答复质疑。</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采购人或采购代理机构只接收以纸质原件形式送达的质疑,建议供应商尽量通过邮寄方式提交质疑（采购人或采购代理机构不接受未填写快递运单的快件）。</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采购人及采购代理机构质疑接收人及联系方式见本采购文件第一章。</w:t>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 内容不符合《政府采购质疑和投诉办法》第十二条规定的质疑。</w:t>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 超出政府采购法定期限的质疑。</w:t>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 以传真、电子邮件等方式递交的非原件形式的质疑。</w:t>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 未参加磋商活动的供应商或在磋商活动中自身权益未受到损害的供应商所提出的质疑。</w:t>
      </w:r>
      <w:r/>
    </w:p>
    <w:p>
      <w:pPr>
        <w:ind w:firstLine="480"/>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.5.5供应商组成联合体参加磋商，联合体中任何一方或多方未按要求签字、盖章、加盖公章的质疑。</w:t>
      </w:r>
      <w:r/>
    </w:p>
    <w:p>
      <w:pPr>
        <w:ind w:firstLine="468"/>
        <w:spacing w:line="520" w:lineRule="exact"/>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.成交通知书</w:t>
      </w:r>
      <w:r/>
    </w:p>
    <w:p>
      <w:pPr>
        <w:ind w:firstLine="600"/>
        <w:spacing w:line="52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0</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成交结果确定后，采购人将向成交供应商发出成交通知书。</w:t>
      </w:r>
      <w:r>
        <w:rPr>
          <w:rFonts w:hint="eastAsia" w:ascii="宋体" w:hAnsi="宋体" w:cs="宋体"/>
          <w:color w:val="auto"/>
          <w:sz w:val="24"/>
          <w:szCs w:val="24"/>
          <w:highlight w:val="none"/>
        </w:rPr>
        <w:t xml:space="preserve">请成交供应商在成交结果公告届满之日起30日内,使用CA数字证书登录</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及时下载成交通知书。因系统存储空间有限，自成交结果公告届满之日起30日后，</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不再保证提供下载成交通知书服务,因未及时下载而造成的不利后果由成交供应商自行承担。</w:t>
      </w:r>
      <w:r/>
    </w:p>
    <w:p>
      <w:pPr>
        <w:ind w:firstLine="60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b/>
          <w:bCs/>
          <w:color w:val="auto"/>
          <w:sz w:val="32"/>
          <w:szCs w:val="32"/>
          <w:highlight w:val="none"/>
        </w:rPr>
        <w:outlineLvl w:val="2"/>
      </w:pPr>
      <w:r/>
      <w:bookmarkStart w:id="168" w:name="_Toc120614220"/>
      <w:r/>
      <w:bookmarkStart w:id="169" w:name="_Toc20823308"/>
      <w:r/>
      <w:bookmarkStart w:id="170" w:name="_Toc16938552"/>
      <w:r/>
      <w:bookmarkStart w:id="171" w:name="_Toc513029236"/>
      <w:r>
        <w:rPr>
          <w:rFonts w:hint="eastAsia"/>
          <w:b/>
          <w:bCs/>
          <w:color w:val="auto"/>
          <w:sz w:val="32"/>
          <w:szCs w:val="32"/>
          <w:highlight w:val="none"/>
        </w:rPr>
        <w:t xml:space="preserve">七、授予合同</w:t>
      </w:r>
      <w:bookmarkEnd w:id="168"/>
      <w:r/>
      <w:bookmarkEnd w:id="169"/>
      <w:bookmarkEnd w:id="170"/>
      <w:bookmarkEnd w:id="171"/>
      <w:r/>
    </w:p>
    <w:p>
      <w:pPr>
        <w:ind w:firstLine="600"/>
        <w:keepLines/>
        <w:keepNext/>
        <w:spacing w:line="520" w:lineRule="exact"/>
        <w:rPr>
          <w:rFonts w:ascii="黑体" w:hAnsi="宋体" w:eastAsia="黑体"/>
          <w:bCs/>
          <w:color w:val="auto"/>
          <w:sz w:val="30"/>
          <w:szCs w:val="30"/>
          <w:highlight w:val="none"/>
        </w:rPr>
        <w:outlineLvl w:val="3"/>
      </w:pPr>
      <w:r/>
      <w:bookmarkStart w:id="172" w:name="_Toc20823309"/>
      <w:r/>
      <w:bookmarkStart w:id="173" w:name="_Toc16938553"/>
      <w:r/>
      <w:bookmarkStart w:id="174" w:name="_Toc513029237"/>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.签订合同</w:t>
      </w:r>
      <w:r/>
    </w:p>
    <w:p>
      <w:pPr>
        <w:ind w:firstLine="600"/>
        <w:spacing w:line="520" w:lineRule="exact"/>
        <w:rPr>
          <w:rFonts w:ascii="宋体" w:hAnsi="宋体"/>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color w:val="auto"/>
          <w:sz w:val="24"/>
          <w:szCs w:val="24"/>
          <w:highlight w:val="none"/>
        </w:rPr>
        <w:t xml:space="preserve">.l成交供应商应当在成交通知书发出之日起三十日内，按照磋商文件确定的事项与采购人签订政府采购合同。</w:t>
      </w:r>
      <w:r/>
    </w:p>
    <w:p>
      <w:pPr>
        <w:ind w:firstLine="60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.2磋商文件、成交供应商的响应文件及磋商过程中有关澄清、承诺文件均应作为合同附件。</w:t>
      </w:r>
      <w:r/>
    </w:p>
    <w:p>
      <w:pPr>
        <w:ind w:firstLine="60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.3 签订合同后，</w:t>
      </w:r>
      <w:r>
        <w:rPr>
          <w:rFonts w:hint="eastAsia" w:ascii="宋体" w:hAnsi="宋体"/>
          <w:b/>
          <w:color w:val="auto"/>
          <w:sz w:val="24"/>
          <w:szCs w:val="24"/>
          <w:highlight w:val="none"/>
          <w:u w:val="single"/>
        </w:rPr>
        <w:t xml:space="preserve">成交供应商不得将合同标的进行转包</w:t>
      </w:r>
      <w:r>
        <w:rPr>
          <w:rFonts w:hint="eastAsia" w:ascii="宋体" w:hAnsi="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.标的物的追加</w:t>
      </w:r>
      <w:r/>
    </w:p>
    <w:p>
      <w:pPr>
        <w:ind w:firstLine="48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2"/>
      <w:bookmarkEnd w:id="173"/>
      <w:bookmarkEnd w:id="174"/>
      <w:r/>
    </w:p>
    <w:p>
      <w:pPr>
        <w:ind w:firstLine="600"/>
        <w:keepLines/>
        <w:keepNext/>
        <w:spacing w:line="520" w:lineRule="exact"/>
        <w:rPr>
          <w:rFonts w:ascii="黑体" w:hAnsi="宋体" w:eastAsia="黑体"/>
          <w:bCs/>
          <w:color w:val="auto"/>
          <w:sz w:val="30"/>
          <w:szCs w:val="30"/>
          <w:highlight w:val="none"/>
        </w:rPr>
        <w:outlineLvl w:val="3"/>
      </w:pPr>
      <w:r/>
      <w:bookmarkStart w:id="175" w:name="_Toc479757207"/>
      <w:r/>
      <w:bookmarkStart w:id="176" w:name="_Toc513029242"/>
      <w:r/>
      <w:bookmarkStart w:id="177" w:name="_Toc20823314"/>
      <w:r/>
      <w:bookmarkStart w:id="178" w:name="_Toc120614221"/>
      <w:r/>
      <w:bookmarkStart w:id="179" w:name="_Toc16938558"/>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3</w:t>
      </w:r>
      <w:r>
        <w:rPr>
          <w:rFonts w:hint="eastAsia" w:ascii="黑体" w:hAnsi="宋体" w:eastAsia="黑体"/>
          <w:bCs/>
          <w:color w:val="auto"/>
          <w:sz w:val="30"/>
          <w:szCs w:val="30"/>
          <w:highlight w:val="none"/>
        </w:rPr>
        <w:t xml:space="preserve">.政府采购履约资金扶持政策</w:t>
      </w:r>
      <w:r/>
    </w:p>
    <w:p>
      <w:pPr>
        <w:ind w:firstLine="555"/>
        <w:spacing w:line="520" w:lineRule="exact"/>
        <w:rPr>
          <w:rFonts w:ascii="宋体" w:hAnsi="宋体"/>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成交供应商可凭政府采购合同办理融资贷款，详情请见江苏政府采购网“政采贷”专栏。</w:t>
      </w:r>
      <w:bookmarkEnd w:id="175"/>
      <w:r/>
      <w:bookmarkEnd w:id="176"/>
      <w:r/>
      <w:bookmarkEnd w:id="177"/>
      <w:r/>
      <w:bookmarkEnd w:id="178"/>
      <w:r/>
      <w:bookmarkEnd w:id="179"/>
      <w:r/>
      <w:bookmarkStart w:id="180" w:name="_Hlt16619350"/>
      <w:r/>
      <w:bookmarkStart w:id="181" w:name="_Toc120614244"/>
      <w:r/>
      <w:bookmarkStart w:id="182" w:name="_Toc20823346"/>
      <w:r/>
      <w:bookmarkStart w:id="183" w:name="_Toc16938590"/>
      <w:r/>
      <w:bookmarkStart w:id="184" w:name="_Toc479757211"/>
      <w:r/>
      <w:bookmarkStart w:id="185" w:name="_Toc462564139"/>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宋体" w:hAnsi="宋体"/>
          <w:bCs/>
          <w:color w:val="auto"/>
          <w:sz w:val="24"/>
          <w:szCs w:val="24"/>
          <w:highlight w:val="none"/>
        </w:rPr>
      </w:pPr>
      <w:r>
        <w:rPr>
          <w:rFonts w:ascii="宋体" w:hAnsi="宋体"/>
          <w:bCs/>
          <w:color w:val="auto"/>
          <w:sz w:val="24"/>
          <w:szCs w:val="24"/>
          <w:highlight w:val="none"/>
        </w:rPr>
      </w:r>
      <w:r/>
    </w:p>
    <w:p>
      <w:pPr>
        <w:ind w:firstLine="555"/>
        <w:spacing w:line="520" w:lineRule="exac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ind w:firstLine="880"/>
        <w:jc w:val="center"/>
        <w:spacing w:line="560" w:lineRule="exact"/>
        <w:rPr>
          <w:rFonts w:ascii="黑体" w:hAnsi="Courier New" w:eastAsia="黑体" w:cs="Courier New"/>
          <w:bCs/>
          <w:color w:val="auto"/>
          <w:sz w:val="44"/>
          <w:szCs w:val="21"/>
          <w:highlight w:val="none"/>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pPr>
      <w:r>
        <w:rPr>
          <w:rFonts w:ascii="黑体" w:hAnsi="Courier New" w:eastAsia="黑体" w:cs="Courier New"/>
          <w:bCs/>
          <w:color w:val="auto"/>
          <w:sz w:val="44"/>
          <w:szCs w:val="21"/>
          <w:highlight w:val="none"/>
        </w:rPr>
      </w:r>
      <w:r/>
    </w:p>
    <w:p>
      <w:pPr>
        <w:jc w:val="center"/>
        <w:keepNext/>
        <w:spacing w:line="560" w:lineRule="exact"/>
        <w:rPr>
          <w:rFonts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rPr>
        <w:t xml:space="preserve">第</w:t>
      </w:r>
      <w:bookmarkEnd w:id="180"/>
      <w:r>
        <w:rPr>
          <w:rFonts w:hint="eastAsia" w:ascii="黑体" w:hAnsi="Courier New" w:eastAsia="黑体" w:cs="Courier New"/>
          <w:bCs/>
          <w:color w:val="auto"/>
          <w:sz w:val="44"/>
          <w:szCs w:val="21"/>
          <w:highlight w:val="none"/>
        </w:rPr>
        <w:t xml:space="preserve">三章 采购需求</w:t>
      </w:r>
      <w:bookmarkEnd w:id="181"/>
      <w:r/>
      <w:bookmarkEnd w:id="182"/>
      <w:r/>
      <w:bookmarkEnd w:id="183"/>
      <w:r/>
      <w:bookmarkStart w:id="186" w:name="_Toc49090575"/>
      <w:r/>
      <w:bookmarkStart w:id="187" w:name="_Toc26554093"/>
      <w:r/>
      <w:r/>
    </w:p>
    <w:p>
      <w:pPr>
        <w:ind w:firstLine="480"/>
        <w:spacing w:line="560" w:lineRule="exact"/>
        <w:rPr>
          <w:rFonts w:ascii="宋体" w:hAnsi="Courier New" w:cs="Courier New"/>
          <w:color w:val="auto"/>
          <w:sz w:val="24"/>
          <w:szCs w:val="24"/>
          <w:highlight w:val="none"/>
        </w:rPr>
      </w:pPr>
      <w:r>
        <w:rPr>
          <w:rFonts w:hint="eastAsia" w:ascii="宋体" w:hAnsi="Courier New" w:cs="Courier New"/>
          <w:color w:val="auto"/>
          <w:sz w:val="24"/>
          <w:szCs w:val="24"/>
          <w:highlight w:val="none"/>
        </w:rPr>
        <w:t xml:space="preserve">项目属性：服务类项目</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采购需求包括拟采购的标的及其需要满足的技术、商务要求。</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（一）技术要求是指对采购标的功能和质量要求，包括性能、材料、结构、外观、安全，或者服务内容和标准等。</w:t>
      </w:r>
      <w:r/>
    </w:p>
    <w:p>
      <w:pPr>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ascii="宋体" w:hAnsi="宋体"/>
          <w:color w:val="auto"/>
          <w:sz w:val="24"/>
          <w:szCs w:val="24"/>
          <w:highlight w:val="none"/>
        </w:rPr>
      </w:pPr>
      <w:r>
        <w:rPr>
          <w:rFonts w:hint="eastAsia" w:ascii="宋体" w:hAnsi="宋体"/>
          <w:bCs/>
          <w:color w:val="auto"/>
          <w:sz w:val="24"/>
          <w:szCs w:val="24"/>
          <w:highlight w:val="none"/>
        </w:rPr>
        <w:t xml:space="preserve">其内容包含</w:t>
      </w:r>
      <w:r>
        <w:rPr>
          <w:rFonts w:ascii="宋体" w:hAnsi="宋体"/>
          <w:bCs/>
          <w:color w:val="auto"/>
          <w:sz w:val="24"/>
          <w:szCs w:val="24"/>
          <w:highlight w:val="none"/>
        </w:rPr>
        <w:t xml:space="preserve">但不限于</w:t>
      </w:r>
      <w:r>
        <w:rPr>
          <w:rFonts w:hint="eastAsia" w:ascii="宋体" w:hAnsi="宋体"/>
          <w:bCs/>
          <w:color w:val="auto"/>
          <w:sz w:val="24"/>
          <w:szCs w:val="24"/>
          <w:highlight w:val="none"/>
        </w:rPr>
        <w:t xml:space="preserve">以下</w:t>
      </w:r>
      <w:r>
        <w:rPr>
          <w:rFonts w:ascii="宋体" w:hAnsi="宋体"/>
          <w:bCs/>
          <w:color w:val="auto"/>
          <w:sz w:val="24"/>
          <w:szCs w:val="24"/>
          <w:highlight w:val="none"/>
        </w:rPr>
        <w:t xml:space="preserve">内容：</w:t>
      </w:r>
      <w:r/>
    </w:p>
    <w:p>
      <w:pPr>
        <w:ind w:firstLine="482"/>
        <w:spacing w:line="560" w:lineRule="exact"/>
        <w:rPr>
          <w:b/>
          <w:bCs/>
          <w:color w:val="auto"/>
          <w:sz w:val="24"/>
          <w:szCs w:val="24"/>
          <w:highlight w:val="none"/>
        </w:rPr>
      </w:pPr>
      <w:r>
        <w:rPr>
          <w:rFonts w:hint="eastAsia"/>
          <w:b/>
          <w:bCs/>
          <w:color w:val="auto"/>
          <w:sz w:val="24"/>
          <w:szCs w:val="24"/>
          <w:highlight w:val="none"/>
        </w:rPr>
        <w:t xml:space="preserve">1.采购标的需实现的功能或者目标，以及为落实政府采购政策需满足的要求：</w:t>
      </w:r>
      <w:r/>
    </w:p>
    <w:p>
      <w:pPr>
        <w:ind w:firstLine="480"/>
        <w:spacing w:line="560" w:lineRule="exact"/>
        <w:rPr>
          <w:color w:val="auto"/>
          <w:sz w:val="24"/>
          <w:szCs w:val="24"/>
          <w:highlight w:val="none"/>
        </w:rPr>
      </w:pPr>
      <w:r>
        <w:rPr>
          <w:rFonts w:hint="eastAsia"/>
          <w:color w:val="auto"/>
          <w:sz w:val="24"/>
          <w:szCs w:val="24"/>
          <w:highlight w:val="none"/>
          <w:lang w:eastAsia="zh-CN"/>
        </w:rPr>
        <w:t xml:space="preserve">海安市市场监督管理局2026年食品抽检服务项目</w:t>
      </w:r>
      <w:r>
        <w:rPr>
          <w:rFonts w:hint="eastAsia"/>
          <w:color w:val="auto"/>
          <w:sz w:val="24"/>
          <w:szCs w:val="24"/>
          <w:highlight w:val="none"/>
        </w:rPr>
        <w:t xml:space="preserve">，通过定期抽检，可以及时发现食品中的安全隐患，防止问题食品流入市场，确保消费者能够享用到安全、放心的食品。增强消费者对食品安全的信心，促进食品产业的健康发展。</w:t>
      </w:r>
      <w:r/>
    </w:p>
    <w:p>
      <w:pPr>
        <w:ind w:firstLine="482"/>
        <w:spacing w:line="560" w:lineRule="exact"/>
        <w:rPr>
          <w:b/>
          <w:bCs/>
          <w:color w:val="auto"/>
          <w:sz w:val="24"/>
          <w:szCs w:val="24"/>
          <w:highlight w:val="none"/>
        </w:rPr>
      </w:pPr>
      <w:r>
        <w:rPr>
          <w:rFonts w:hint="eastAsia"/>
          <w:b/>
          <w:bCs/>
          <w:color w:val="auto"/>
          <w:sz w:val="24"/>
          <w:szCs w:val="24"/>
          <w:highlight w:val="none"/>
        </w:rPr>
        <w:t xml:space="preserve">2.采购标的需执行的国家相关标准、行业标准、地方标准或者其他标准、规范：</w:t>
      </w:r>
      <w:r/>
    </w:p>
    <w:p>
      <w:pPr>
        <w:ind w:firstLine="480"/>
        <w:spacing w:line="560" w:lineRule="exact"/>
        <w:rPr>
          <w:rFonts w:hint="default" w:eastAsia="宋体"/>
          <w:color w:val="auto"/>
          <w:sz w:val="24"/>
          <w:szCs w:val="24"/>
          <w:highlight w:val="none"/>
          <w:lang w:val="en-US" w:eastAsia="zh-CN"/>
        </w:rPr>
      </w:pPr>
      <w:r>
        <w:rPr>
          <w:rFonts w:hint="eastAsia"/>
          <w:color w:val="auto"/>
          <w:sz w:val="24"/>
          <w:szCs w:val="24"/>
          <w:highlight w:val="none"/>
        </w:rPr>
        <w:t xml:space="preserve">本项目的食品安全抽检工作严格遵照《食品安全抽样检验管理办法》、市场监管总监制定的《食品安全抽样检验工作规范》（市监食检发[2023]76号）、《食品安全监督抽检实施细则》</w:t>
      </w:r>
      <w:r>
        <w:rPr>
          <w:rFonts w:hint="eastAsia"/>
          <w:color w:val="auto"/>
          <w:sz w:val="24"/>
          <w:szCs w:val="24"/>
          <w:highlight w:val="none"/>
          <w:lang w:val="en-US" w:eastAsia="zh-CN"/>
        </w:rPr>
        <w:t xml:space="preserve">最新</w:t>
      </w:r>
      <w:r>
        <w:rPr>
          <w:rFonts w:hint="eastAsia"/>
          <w:color w:val="auto"/>
          <w:sz w:val="24"/>
          <w:szCs w:val="24"/>
          <w:highlight w:val="none"/>
        </w:rPr>
        <w:t xml:space="preserve">版、市场监管总局《食用农产品抽样检验和核查处置规定》和江苏省、南通市、海安市市场监督管理局相关要求执行，并符合其他食品安全抽检工作的规定要求</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如果在项目实施过程中有相关</w:t>
      </w:r>
      <w:r>
        <w:rPr>
          <w:rFonts w:hint="eastAsia" w:ascii="Times New Roman" w:eastAsia="宋体"/>
          <w:color w:val="auto"/>
          <w:sz w:val="24"/>
          <w:szCs w:val="24"/>
          <w:highlight w:val="none"/>
          <w:lang w:val="en-US" w:eastAsia="zh-CN"/>
        </w:rPr>
        <w:t xml:space="preserve">政策调整</w:t>
      </w:r>
      <w:r>
        <w:rPr>
          <w:rFonts w:hint="eastAsia"/>
          <w:color w:val="auto"/>
          <w:sz w:val="24"/>
          <w:szCs w:val="24"/>
          <w:highlight w:val="none"/>
          <w:lang w:val="en-US" w:eastAsia="zh-CN"/>
        </w:rPr>
        <w:t xml:space="preserve">或法律法规变更的，则以最新要求为准。</w:t>
      </w:r>
      <w:r/>
    </w:p>
    <w:p>
      <w:pPr>
        <w:numPr>
          <w:ilvl w:val="0"/>
          <w:numId w:val="5"/>
        </w:numPr>
        <w:ind w:firstLine="482"/>
        <w:spacing w:line="560" w:lineRule="exact"/>
        <w:tabs>
          <w:tab w:val="clear" w:pos="312" w:leader="none"/>
        </w:tabs>
        <w:rPr>
          <w:b/>
          <w:bCs/>
          <w:color w:val="auto"/>
          <w:sz w:val="24"/>
          <w:szCs w:val="24"/>
          <w:highlight w:val="none"/>
        </w:rPr>
      </w:pPr>
      <w:r>
        <w:rPr>
          <w:rFonts w:hint="eastAsia"/>
          <w:b/>
          <w:bCs/>
          <w:color w:val="auto"/>
          <w:sz w:val="24"/>
          <w:szCs w:val="24"/>
          <w:highlight w:val="none"/>
        </w:rPr>
        <w:t xml:space="preserve">采购标的需满足的质量、安全、技术规格、物理特性等要求：</w:t>
      </w:r>
      <w:r/>
    </w:p>
    <w:p>
      <w:pPr>
        <w:ind w:left="483" w:firstLine="480"/>
        <w:spacing w:line="560" w:lineRule="exact"/>
        <w:tabs>
          <w:tab w:val="left" w:pos="312" w:leader="none"/>
        </w:tabs>
        <w:rPr>
          <w:bCs/>
          <w:color w:val="auto"/>
          <w:sz w:val="24"/>
          <w:szCs w:val="24"/>
          <w:highlight w:val="none"/>
        </w:rPr>
      </w:pPr>
      <w:r>
        <w:rPr>
          <w:rFonts w:hint="eastAsia"/>
          <w:bCs/>
          <w:color w:val="auto"/>
          <w:sz w:val="24"/>
          <w:szCs w:val="24"/>
          <w:highlight w:val="none"/>
          <w:lang w:eastAsia="zh-CN"/>
        </w:rPr>
        <w:t xml:space="preserve">海安市市场监督管理局2026年食品抽检服务项目</w:t>
      </w:r>
      <w:r>
        <w:rPr>
          <w:rFonts w:hint="eastAsia"/>
          <w:bCs/>
          <w:color w:val="auto"/>
          <w:sz w:val="24"/>
          <w:szCs w:val="24"/>
          <w:highlight w:val="none"/>
        </w:rPr>
        <w:t xml:space="preserve">，共2645批次，分</w:t>
      </w:r>
      <w:r>
        <w:rPr>
          <w:rFonts w:hint="eastAsia"/>
          <w:bCs/>
          <w:color w:val="auto"/>
          <w:sz w:val="24"/>
          <w:szCs w:val="24"/>
          <w:highlight w:val="none"/>
          <w:lang w:val="en-US" w:eastAsia="zh-CN"/>
        </w:rPr>
        <w:t xml:space="preserve">3</w:t>
      </w:r>
      <w:r>
        <w:rPr>
          <w:rFonts w:hint="eastAsia"/>
          <w:bCs/>
          <w:color w:val="auto"/>
          <w:sz w:val="24"/>
          <w:szCs w:val="24"/>
          <w:highlight w:val="none"/>
        </w:rPr>
        <w:t xml:space="preserve">个采购包。</w:t>
      </w:r>
      <w:r/>
    </w:p>
    <w:p>
      <w:pPr>
        <w:ind w:left="483" w:firstLine="480"/>
        <w:spacing w:line="560" w:lineRule="exact"/>
        <w:tabs>
          <w:tab w:val="left" w:pos="312" w:leader="none"/>
        </w:tabs>
        <w:rPr>
          <w:rFonts w:hint="eastAsia"/>
          <w:bCs/>
          <w:color w:val="auto"/>
          <w:sz w:val="24"/>
          <w:szCs w:val="24"/>
          <w:highlight w:val="none"/>
        </w:rPr>
      </w:pPr>
      <w:r>
        <w:rPr>
          <w:rFonts w:hint="eastAsia"/>
          <w:bCs/>
          <w:color w:val="auto"/>
          <w:sz w:val="24"/>
          <w:szCs w:val="24"/>
          <w:highlight w:val="none"/>
        </w:rPr>
        <w:t xml:space="preserve">采购包1最高限价为：43.80万元；流通环节食用农产品295批次+流通环节普通食品228批次（高新区其他商超：2026年9月1日后开始抽样）+餐饮环节100批次（网络餐饮：高新区）+2026机动批次273批次（高新区、雅周、李堡、滨海新区）。共896批次。</w:t>
      </w:r>
      <w:r/>
    </w:p>
    <w:p>
      <w:pPr>
        <w:ind w:left="483" w:firstLine="480"/>
        <w:spacing w:line="560" w:lineRule="exact"/>
        <w:tabs>
          <w:tab w:val="left" w:pos="312" w:leader="none"/>
        </w:tabs>
        <w:rPr>
          <w:rFonts w:hint="eastAsia"/>
          <w:bCs/>
          <w:color w:val="auto"/>
          <w:sz w:val="24"/>
          <w:szCs w:val="24"/>
          <w:highlight w:val="none"/>
        </w:rPr>
      </w:pPr>
      <w:r>
        <w:rPr>
          <w:rFonts w:hint="eastAsia"/>
          <w:bCs/>
          <w:color w:val="auto"/>
          <w:sz w:val="24"/>
          <w:szCs w:val="24"/>
          <w:highlight w:val="none"/>
        </w:rPr>
        <w:t xml:space="preserve">采购包2最高限价为：43.17万元；生产环节203批次+流通环节普通食品（开发区其他商超）340批次+餐饮环节50批次（网络餐饮：开发区）+2026机动90批次（开发区、大公）+2026—2027任务延续200批次。共883批次。</w:t>
      </w:r>
      <w:r/>
    </w:p>
    <w:p>
      <w:pPr>
        <w:ind w:left="483" w:firstLine="480"/>
        <w:spacing w:line="560" w:lineRule="exact"/>
        <w:tabs>
          <w:tab w:val="left" w:pos="312" w:leader="none"/>
        </w:tabs>
        <w:rPr>
          <w:rFonts w:hint="eastAsia"/>
          <w:bCs/>
          <w:color w:val="auto"/>
          <w:sz w:val="24"/>
          <w:szCs w:val="24"/>
          <w:highlight w:val="none"/>
        </w:rPr>
      </w:pPr>
      <w:r>
        <w:rPr>
          <w:rFonts w:hint="eastAsia"/>
          <w:bCs/>
          <w:color w:val="auto"/>
          <w:sz w:val="24"/>
          <w:szCs w:val="24"/>
          <w:highlight w:val="none"/>
        </w:rPr>
        <w:t xml:space="preserve">采购包3最高限价为：42.32818万元；学校及养老机构专项100批次+流通环节普通食品455批次（高新区其他商超：2026年8月31日前完成抽样）+餐饮环节普通食品40批次（其他餐饮店：不含高新区、开发区、曲塘）+2026机动71批次（曲塘、墩头、南莫、白甸）+2026—2027任务延续200批次。共计866批次。</w:t>
      </w:r>
      <w:r/>
    </w:p>
    <w:p>
      <w:pPr>
        <w:ind w:left="483" w:firstLine="480"/>
        <w:spacing w:line="560" w:lineRule="exact"/>
        <w:tabs>
          <w:tab w:val="left" w:pos="312" w:leader="none"/>
        </w:tabs>
        <w:rPr>
          <w:rFonts w:hint="eastAsia"/>
          <w:bCs/>
          <w:color w:val="auto"/>
          <w:sz w:val="24"/>
          <w:szCs w:val="24"/>
          <w:highlight w:val="none"/>
        </w:rPr>
      </w:pPr>
      <w:r>
        <w:rPr>
          <w:rFonts w:hint="eastAsia"/>
          <w:bCs/>
          <w:color w:val="auto"/>
          <w:sz w:val="24"/>
          <w:szCs w:val="24"/>
          <w:highlight w:val="none"/>
        </w:rPr>
        <w:t xml:space="preserve">注：2026—2027任务延续400批次，为确保抽检工作在2026年12月至2027年4月30日期间均衡开展，并录入检验报告。</w:t>
      </w:r>
      <w:r/>
    </w:p>
    <w:p>
      <w:pPr>
        <w:ind w:firstLine="480"/>
        <w:spacing w:line="560" w:lineRule="exact"/>
        <w:rPr>
          <w:color w:val="auto"/>
          <w:sz w:val="24"/>
          <w:szCs w:val="24"/>
          <w:highlight w:val="none"/>
        </w:rPr>
      </w:pPr>
      <w:r>
        <w:rPr>
          <w:rFonts w:hint="eastAsia"/>
          <w:color w:val="auto"/>
          <w:sz w:val="24"/>
          <w:szCs w:val="24"/>
          <w:highlight w:val="none"/>
        </w:rPr>
        <w:t xml:space="preserve">（一）项目的技术要求：</w:t>
      </w:r>
      <w:r/>
    </w:p>
    <w:p>
      <w:pPr>
        <w:ind w:firstLine="480"/>
        <w:spacing w:line="560" w:lineRule="exact"/>
        <w:rPr>
          <w:color w:val="auto"/>
          <w:sz w:val="24"/>
          <w:szCs w:val="24"/>
          <w:highlight w:val="none"/>
        </w:rPr>
      </w:pPr>
      <w:r>
        <w:rPr>
          <w:rFonts w:hint="eastAsia"/>
          <w:color w:val="auto"/>
          <w:sz w:val="24"/>
          <w:szCs w:val="24"/>
          <w:highlight w:val="none"/>
        </w:rPr>
        <w:t xml:space="preserve">（1）抽检品种和项目。</w:t>
      </w:r>
      <w:bookmarkStart w:id="188" w:name="OLE_LINK2"/>
      <w:r>
        <w:rPr>
          <w:rFonts w:hint="eastAsia"/>
          <w:color w:val="auto"/>
          <w:sz w:val="24"/>
          <w:szCs w:val="24"/>
          <w:highlight w:val="none"/>
        </w:rPr>
        <w:t xml:space="preserve">抽检项目必须满足以下条件：</w:t>
      </w:r>
      <w:r/>
    </w:p>
    <w:p>
      <w:pPr>
        <w:ind w:firstLine="480"/>
        <w:spacing w:line="560" w:lineRule="exact"/>
        <w:rPr>
          <w:rFonts w:hint="default" w:eastAsia="宋体"/>
          <w:color w:val="auto"/>
          <w:sz w:val="24"/>
          <w:szCs w:val="24"/>
          <w:highlight w:val="none"/>
          <w:lang w:val="en-US" w:eastAsia="zh-CN"/>
        </w:rPr>
      </w:pPr>
      <w:r>
        <w:rPr>
          <w:rFonts w:hint="eastAsia"/>
          <w:color w:val="auto"/>
          <w:sz w:val="24"/>
          <w:szCs w:val="24"/>
          <w:highlight w:val="none"/>
        </w:rPr>
        <w:t xml:space="preserve">1、生产环节抽检，除覆盖细则项目外，还需</w:t>
      </w:r>
      <w:r>
        <w:rPr>
          <w:rFonts w:hint="eastAsia"/>
          <w:color w:val="auto"/>
          <w:sz w:val="24"/>
          <w:szCs w:val="24"/>
          <w:highlight w:val="none"/>
          <w:lang w:val="en-US" w:eastAsia="zh-CN"/>
        </w:rPr>
        <w:t xml:space="preserve">对产品标签所列的执行标准涉及的项目全部检测。</w:t>
      </w:r>
      <w:r/>
    </w:p>
    <w:p>
      <w:pPr>
        <w:ind w:firstLine="480"/>
        <w:spacing w:line="560" w:lineRule="exact"/>
        <w:rPr>
          <w:color w:val="auto"/>
          <w:sz w:val="24"/>
          <w:szCs w:val="24"/>
          <w:highlight w:val="none"/>
        </w:rPr>
      </w:pPr>
      <w:r>
        <w:rPr>
          <w:rFonts w:hint="eastAsia"/>
          <w:color w:val="auto"/>
          <w:sz w:val="24"/>
          <w:szCs w:val="24"/>
          <w:highlight w:val="none"/>
        </w:rPr>
        <w:t xml:space="preserve">2、</w:t>
      </w:r>
      <w:bookmarkEnd w:id="188"/>
      <w:r>
        <w:rPr>
          <w:rFonts w:hint="eastAsia"/>
          <w:color w:val="auto"/>
          <w:sz w:val="24"/>
          <w:szCs w:val="24"/>
          <w:highlight w:val="none"/>
        </w:rPr>
        <w:t xml:space="preserve">普通食品（指“细则”中第一类至第二十七类、第三十一类、第三十二类食品）抽检，检验结论为合格的，所检项目应覆盖细则中所列全部检验项目。抽检食品种类涵盖《国家食品安全监督抽检实施细则》最新版本中食品大类（婴幼儿配方食品、特殊医学用途配方食品除外），并参照细则规定的检验项目进行检验。</w:t>
      </w:r>
      <w:r/>
    </w:p>
    <w:p>
      <w:pPr>
        <w:ind w:firstLine="480"/>
        <w:spacing w:line="560" w:lineRule="exact"/>
        <w:rPr>
          <w:color w:val="auto"/>
          <w:sz w:val="24"/>
          <w:szCs w:val="24"/>
          <w:highlight w:val="none"/>
        </w:rPr>
      </w:pPr>
      <w:r>
        <w:rPr>
          <w:rFonts w:hint="eastAsia"/>
          <w:color w:val="auto"/>
          <w:sz w:val="24"/>
          <w:szCs w:val="24"/>
          <w:highlight w:val="none"/>
        </w:rPr>
        <w:t xml:space="preserve">3、细则中检验项目不超过8项的应当检验全部项目，细则中检验项目超过8项的，检验项目应当至少8项且不小于总项目的60%。</w:t>
      </w:r>
      <w:r/>
    </w:p>
    <w:p>
      <w:pPr>
        <w:ind w:firstLine="480"/>
        <w:spacing w:line="560" w:lineRule="exact"/>
        <w:rPr>
          <w:color w:val="auto"/>
          <w:sz w:val="24"/>
          <w:szCs w:val="24"/>
          <w:highlight w:val="none"/>
        </w:rPr>
      </w:pPr>
      <w:r>
        <w:rPr>
          <w:rFonts w:hint="eastAsia"/>
          <w:color w:val="auto"/>
          <w:sz w:val="24"/>
          <w:szCs w:val="24"/>
          <w:highlight w:val="none"/>
        </w:rPr>
        <w:t xml:space="preserve">4、食用农产品抽检项目还须遵循市场监管总局制定的《省及省级以下食用农产品抽检必检品种、项目表》，自选项目符合省、市、县三级监管部门要求。</w:t>
      </w:r>
      <w:r/>
    </w:p>
    <w:p>
      <w:pPr>
        <w:ind w:firstLine="480"/>
        <w:spacing w:line="560" w:lineRule="exact"/>
        <w:rPr>
          <w:color w:val="auto"/>
          <w:sz w:val="24"/>
          <w:szCs w:val="24"/>
          <w:highlight w:val="none"/>
        </w:rPr>
      </w:pPr>
      <w:r>
        <w:rPr>
          <w:rFonts w:hint="eastAsia"/>
          <w:color w:val="auto"/>
          <w:sz w:val="24"/>
          <w:szCs w:val="24"/>
          <w:highlight w:val="none"/>
        </w:rPr>
        <w:t xml:space="preserve">（2）抽检对象。生产环节应当对在产食品小作坊和食品生产企业开展全覆盖抽检。流通环节采样应涵盖农副产品批发市场、农贸市场、商场、超市、小食杂店、食品摊贩等不同业态。餐饮环节采样应当对在营学校和托幼机构食堂、养老机构食堂、集体用餐配送单位全覆盖抽检，重点抽检企事业单位食堂、建筑工地食堂、中央厨房、网红餐饮店、旅游景区餐饮服务单位等，注重对餐饮企业食品原材料、自制食品和餐饮具的抽检。</w:t>
      </w:r>
      <w:r/>
    </w:p>
    <w:p>
      <w:pPr>
        <w:ind w:firstLine="480"/>
        <w:spacing w:line="560" w:lineRule="exact"/>
        <w:rPr>
          <w:color w:val="auto"/>
          <w:sz w:val="24"/>
          <w:szCs w:val="24"/>
          <w:highlight w:val="none"/>
        </w:rPr>
      </w:pPr>
      <w:r>
        <w:rPr>
          <w:rFonts w:hint="eastAsia"/>
          <w:color w:val="auto"/>
          <w:sz w:val="24"/>
          <w:szCs w:val="24"/>
          <w:highlight w:val="none"/>
        </w:rPr>
        <w:t xml:space="preserve">全市生产环节主要针对海安市食品生产企业和食品小作坊。因为生产单位长期停产、成品库内成品达不到抽样基数的等原因，确实无法实施抽样，承检机构需将未抽样确认单经辖区监管部门签字盖章确认后交采购方。</w:t>
      </w:r>
      <w:r>
        <w:rPr>
          <w:rFonts w:hint="eastAsia" w:ascii="Times New Roman" w:eastAsia="宋体"/>
          <w:color w:val="auto"/>
          <w:sz w:val="24"/>
          <w:szCs w:val="24"/>
          <w:highlight w:val="none"/>
          <w:lang w:val="en-US" w:eastAsia="zh-CN"/>
        </w:rPr>
        <w:t xml:space="preserve">对产品标签是否符合GB7718、GB28050等规定进行判定</w:t>
      </w:r>
      <w:r>
        <w:rPr>
          <w:rFonts w:hint="eastAsia"/>
          <w:color w:val="auto"/>
          <w:sz w:val="24"/>
          <w:szCs w:val="24"/>
          <w:highlight w:val="none"/>
          <w:lang w:val="en-US" w:eastAsia="zh-CN"/>
        </w:rPr>
        <w:t xml:space="preserve">，</w:t>
      </w:r>
      <w:r>
        <w:rPr>
          <w:rFonts w:hint="eastAsia"/>
          <w:color w:val="auto"/>
          <w:sz w:val="24"/>
          <w:szCs w:val="24"/>
          <w:highlight w:val="none"/>
        </w:rPr>
        <w:t xml:space="preserve">并对该样品根据GB 7718-2025，GB 28050 -2025，市场监督管理总局100号令，出具标签调整建议。</w:t>
      </w:r>
      <w:r/>
    </w:p>
    <w:p>
      <w:pPr>
        <w:numPr>
          <w:ilvl w:val="0"/>
          <w:numId w:val="0"/>
        </w:numPr>
        <w:ind w:firstLine="480"/>
        <w:spacing w:line="560" w:lineRule="exact"/>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color w:val="auto"/>
          <w:sz w:val="24"/>
          <w:szCs w:val="24"/>
          <w:highlight w:val="none"/>
        </w:rPr>
        <w:t xml:space="preserve">原则上应当逐月推进抽检工作、全年均衡开展抽检任务。</w:t>
      </w:r>
      <w:r>
        <w:rPr>
          <w:rFonts w:hint="eastAsia" w:ascii="宋体" w:hAnsi="宋体"/>
          <w:color w:val="auto"/>
          <w:sz w:val="24"/>
          <w:szCs w:val="24"/>
          <w:highlight w:val="none"/>
          <w:lang w:val="en-US" w:eastAsia="zh-CN"/>
        </w:rPr>
        <w:t xml:space="preserve">除</w:t>
      </w:r>
      <w:r>
        <w:rPr>
          <w:rFonts w:hint="eastAsia" w:ascii="宋体" w:hAnsi="宋体"/>
          <w:color w:val="auto"/>
          <w:sz w:val="24"/>
          <w:szCs w:val="24"/>
          <w:highlight w:val="none"/>
        </w:rPr>
        <w:t xml:space="preserve">2026—2027任务延续</w:t>
      </w:r>
      <w:r>
        <w:rPr>
          <w:rFonts w:hint="eastAsia" w:ascii="宋体" w:hAnsi="宋体"/>
          <w:color w:val="auto"/>
          <w:sz w:val="24"/>
          <w:szCs w:val="24"/>
          <w:highlight w:val="none"/>
          <w:lang w:val="en-US" w:eastAsia="zh-CN"/>
        </w:rPr>
        <w:t xml:space="preserve">400</w:t>
      </w:r>
      <w:r>
        <w:rPr>
          <w:rFonts w:hint="eastAsia" w:ascii="宋体" w:hAnsi="宋体"/>
          <w:color w:val="auto"/>
          <w:sz w:val="24"/>
          <w:szCs w:val="24"/>
          <w:highlight w:val="none"/>
        </w:rPr>
        <w:t xml:space="preserve">批次</w:t>
      </w:r>
      <w:r>
        <w:rPr>
          <w:rFonts w:hint="eastAsia" w:ascii="宋体" w:hAnsi="宋体"/>
          <w:color w:val="auto"/>
          <w:sz w:val="24"/>
          <w:szCs w:val="24"/>
          <w:highlight w:val="none"/>
          <w:lang w:val="en-US" w:eastAsia="zh-CN"/>
        </w:rPr>
        <w:t xml:space="preserve">外，</w:t>
      </w:r>
      <w:r>
        <w:rPr>
          <w:rFonts w:hint="eastAsia" w:ascii="宋体" w:hAnsi="宋体"/>
          <w:color w:val="auto"/>
          <w:sz w:val="24"/>
          <w:szCs w:val="24"/>
          <w:highlight w:val="none"/>
        </w:rPr>
        <w:t xml:space="preserve">采购包1、采购包2、采购包3</w:t>
      </w:r>
      <w:r>
        <w:rPr>
          <w:rFonts w:hint="eastAsia" w:ascii="宋体" w:hAnsi="宋体"/>
          <w:color w:val="auto"/>
          <w:sz w:val="24"/>
          <w:szCs w:val="24"/>
          <w:highlight w:val="none"/>
          <w:lang w:val="en-US" w:eastAsia="zh-CN"/>
        </w:rPr>
        <w:t xml:space="preserve">内其他任务</w:t>
      </w:r>
      <w:r>
        <w:rPr>
          <w:rFonts w:hint="eastAsia" w:ascii="宋体" w:hAnsi="宋体"/>
          <w:color w:val="auto"/>
          <w:sz w:val="24"/>
          <w:szCs w:val="24"/>
          <w:highlight w:val="none"/>
        </w:rPr>
        <w:t xml:space="preserve">需于202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日前完成抽检任务的100%，不得突击式大批量集中抽检。抽检进度纳入考核范畴，与服务费用结算相挂钩。</w:t>
      </w:r>
      <w:r/>
    </w:p>
    <w:p>
      <w:pPr>
        <w:numPr>
          <w:ilvl w:val="0"/>
          <w:numId w:val="0"/>
        </w:num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预留专项(机动)抽检30批次*12=360批次，按月安排。当月未安排的转入次月，次月未安排的纳入一般计划。</w:t>
      </w:r>
      <w:r/>
    </w:p>
    <w:p>
      <w:pPr>
        <w:numPr>
          <w:ilvl w:val="0"/>
          <w:numId w:val="0"/>
        </w:numPr>
        <w:ind w:firstLine="480"/>
        <w:spacing w:line="560" w:lineRule="exact"/>
        <w:rPr>
          <w:rFonts w:hint="eastAsia" w:eastAsia="宋体"/>
          <w:color w:val="auto"/>
          <w:szCs w:val="24"/>
          <w:highlight w:val="none"/>
          <w:lang w:eastAsia="zh-CN"/>
        </w:rPr>
      </w:pPr>
      <w:r>
        <w:rPr>
          <w:rFonts w:hint="eastAsia" w:ascii="宋体" w:hAnsi="宋体"/>
          <w:color w:val="auto"/>
          <w:sz w:val="24"/>
          <w:szCs w:val="24"/>
          <w:highlight w:val="none"/>
        </w:rPr>
        <w:t xml:space="preserve">检测数据在202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年12月10日前全部录入国抽系统，并于202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年12月</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日前向采购方提交数据分析报告。其中采购包2、包3中2026—2027任务延续400批次根据采购人需求开展，在2026年10月至2027年4月期间均衡推进。 检测数据在2027年4月30日前全部录入国抽系统，并提交检测报告</w:t>
      </w:r>
      <w:r>
        <w:rPr>
          <w:rFonts w:hint="eastAsia" w:ascii="宋体" w:hAnsi="宋体"/>
          <w:color w:val="auto"/>
          <w:sz w:val="24"/>
          <w:szCs w:val="24"/>
          <w:highlight w:val="none"/>
          <w:lang w:eastAsia="zh-CN"/>
        </w:rPr>
        <w:t xml:space="preserve">。</w:t>
      </w:r>
      <w:r/>
    </w:p>
    <w:p>
      <w:pPr>
        <w:ind w:firstLine="480"/>
        <w:spacing w:line="560" w:lineRule="exact"/>
        <w:rPr>
          <w:bCs/>
          <w:color w:val="auto"/>
          <w:sz w:val="24"/>
          <w:szCs w:val="24"/>
          <w:highlight w:val="none"/>
        </w:rPr>
      </w:pPr>
      <w:r>
        <w:rPr>
          <w:rFonts w:hint="eastAsia"/>
          <w:bCs/>
          <w:color w:val="auto"/>
          <w:sz w:val="24"/>
          <w:szCs w:val="24"/>
          <w:highlight w:val="none"/>
        </w:rPr>
        <w:t xml:space="preserve">实际进驻单位时间以采购人发出的书面通知为准。如果成交供应商没有达到合同所要求履行条件之一的，则采购人有权在委托期限内随时终止合同。</w:t>
      </w:r>
      <w:r/>
    </w:p>
    <w:p>
      <w:pPr>
        <w:ind w:firstLine="480"/>
        <w:spacing w:line="560" w:lineRule="exact"/>
        <w:rPr>
          <w:color w:val="auto"/>
          <w:sz w:val="24"/>
          <w:szCs w:val="24"/>
          <w:highlight w:val="none"/>
        </w:rPr>
      </w:pPr>
      <w:r>
        <w:rPr>
          <w:rFonts w:hint="eastAsia"/>
          <w:color w:val="auto"/>
          <w:sz w:val="24"/>
          <w:szCs w:val="24"/>
          <w:highlight w:val="none"/>
        </w:rPr>
        <w:t xml:space="preserve">（4）中标供应商要高度重视抽检工作质量，明确责任分工，落实专人负责抽样检测工作。提高抽检数据质量，数据质量考核结果与服务费用结算挂钩。</w:t>
      </w:r>
      <w:r/>
    </w:p>
    <w:p>
      <w:pPr>
        <w:ind w:firstLine="480"/>
        <w:spacing w:line="560" w:lineRule="exact"/>
        <w:rPr>
          <w:bCs/>
          <w:color w:val="auto"/>
          <w:sz w:val="24"/>
          <w:szCs w:val="24"/>
          <w:highlight w:val="none"/>
        </w:rPr>
      </w:pPr>
      <w:r>
        <w:rPr>
          <w:rFonts w:hint="eastAsia"/>
          <w:color w:val="auto"/>
          <w:sz w:val="24"/>
          <w:szCs w:val="24"/>
          <w:highlight w:val="none"/>
        </w:rPr>
        <w:t xml:space="preserve">（5）中标供应商抽检工作要坚持问题导向，聚焦高风险食品抽检。结合日常监督检查、举报投诉热点、相关部门通报的抽检不合格品种等因素明确高风险食品种类，并加大对其抽检力度，及时反应本地区高风险食品质量安全水平，</w:t>
      </w:r>
      <w:r>
        <w:rPr>
          <w:rFonts w:hint="eastAsia"/>
          <w:bCs/>
          <w:color w:val="auto"/>
          <w:sz w:val="24"/>
          <w:szCs w:val="24"/>
          <w:highlight w:val="none"/>
        </w:rPr>
        <w:t xml:space="preserve">食品（含食用农产品）不合格率纳入考核范畴，与服务费用结算挂钩。</w:t>
      </w:r>
      <w:r/>
    </w:p>
    <w:p>
      <w:pPr>
        <w:ind w:firstLine="480"/>
        <w:spacing w:line="560" w:lineRule="exact"/>
        <w:rPr>
          <w:color w:val="auto"/>
          <w:sz w:val="24"/>
          <w:szCs w:val="24"/>
          <w:highlight w:val="none"/>
        </w:rPr>
      </w:pPr>
      <w:r>
        <w:rPr>
          <w:rFonts w:hint="eastAsia"/>
          <w:color w:val="auto"/>
          <w:sz w:val="24"/>
          <w:szCs w:val="24"/>
          <w:highlight w:val="none"/>
        </w:rPr>
        <w:t xml:space="preserve">（6）中标供应商严格按照《食品安全监督抽检实施细则》</w:t>
      </w:r>
      <w:r>
        <w:rPr>
          <w:rFonts w:hint="eastAsia"/>
          <w:color w:val="auto"/>
          <w:sz w:val="24"/>
          <w:szCs w:val="24"/>
          <w:highlight w:val="none"/>
          <w:lang w:val="en-US" w:eastAsia="zh-CN"/>
        </w:rPr>
        <w:t xml:space="preserve">最新</w:t>
      </w:r>
      <w:r>
        <w:rPr>
          <w:rFonts w:hint="eastAsia"/>
          <w:color w:val="auto"/>
          <w:sz w:val="24"/>
          <w:szCs w:val="24"/>
          <w:highlight w:val="none"/>
        </w:rPr>
        <w:t xml:space="preserve">版规定的检验方法进行检验，不得擅自变更检验方法，不得擅自修改判定原则，承检机构对其出具的检验报告的真实性和准确性负责。发现存在上述问题或者弄虚作假、擅自修改检验数据等情形的，终止合同，取消承检机构的食品抽检任务资格，并对所造成的损失和不良影响承担法律责任。</w:t>
      </w:r>
      <w:r/>
    </w:p>
    <w:p>
      <w:pPr>
        <w:ind w:firstLine="480"/>
        <w:spacing w:line="560" w:lineRule="exact"/>
        <w:rPr>
          <w:color w:val="auto"/>
          <w:sz w:val="24"/>
          <w:szCs w:val="24"/>
          <w:highlight w:val="none"/>
        </w:rPr>
      </w:pPr>
      <w:r>
        <w:rPr>
          <w:rFonts w:hint="eastAsia"/>
          <w:color w:val="auto"/>
          <w:sz w:val="24"/>
          <w:szCs w:val="24"/>
          <w:highlight w:val="none"/>
        </w:rPr>
        <w:t xml:space="preserve">在项目采购或实施过程中，一律采用产品标签明示的有效国家标准、地方标准、行业标准、团体标准、企业标准作为对该企业食品抽检的判定依据，涉及安全性指标项目不得低于国家强制性指标的要求。</w:t>
      </w:r>
      <w:r/>
    </w:p>
    <w:p>
      <w:pPr>
        <w:ind w:firstLine="480"/>
        <w:spacing w:line="560" w:lineRule="exact"/>
        <w:rPr>
          <w:color w:val="auto"/>
          <w:sz w:val="24"/>
          <w:szCs w:val="24"/>
          <w:highlight w:val="none"/>
        </w:rPr>
      </w:pPr>
      <w:r>
        <w:rPr>
          <w:rFonts w:hint="eastAsia"/>
          <w:color w:val="auto"/>
          <w:sz w:val="24"/>
          <w:szCs w:val="24"/>
          <w:highlight w:val="none"/>
        </w:rPr>
        <w:t xml:space="preserve">（7）样品抽样和运输：中标供应商应严格按照《食品安全抽样检验工作规范》规定进行抽样、运输和保存样品，保存从抽样</w:t>
      </w:r>
      <w:r>
        <w:rPr>
          <w:rFonts w:hint="eastAsia"/>
          <w:color w:val="auto"/>
          <w:sz w:val="24"/>
          <w:szCs w:val="24"/>
          <w:highlight w:val="none"/>
          <w:lang w:val="en-US" w:eastAsia="zh-CN"/>
        </w:rPr>
        <w:t xml:space="preserve">到出具检验报告的过程音像视频记录。</w:t>
      </w:r>
      <w:r>
        <w:rPr>
          <w:rFonts w:hint="eastAsia"/>
          <w:color w:val="auto"/>
          <w:sz w:val="24"/>
          <w:szCs w:val="24"/>
          <w:highlight w:val="none"/>
        </w:rPr>
        <w:t xml:space="preserve">中标人应当确保样品贮存、运输过程符合国家相关规定和包装标示的要求，不发生影响检验结论的变化。对于冷藏、冷冻或有其他特殊贮运条件等要求的样品，应当自行运输，全程跟踪记录温度变化情况，不得寄送或委托第三方运输。保存运输过程音像视频记录，确保运输条件可全程追溯。其中，从抽样到接样时间段音像视频记录保存期限自抽样之日起不得少于6个月。</w:t>
      </w:r>
      <w:bookmarkStart w:id="189" w:name="OLE_LINK1"/>
      <w:r>
        <w:rPr>
          <w:rFonts w:hint="eastAsia"/>
          <w:color w:val="auto"/>
          <w:sz w:val="24"/>
          <w:szCs w:val="24"/>
          <w:highlight w:val="none"/>
        </w:rPr>
        <w:t xml:space="preserve">食品安全监督抽检的检验结论合格的，成交供应商应当自检验结论作出之日起3个月内妥善保存复检备份样品。复检备份样品剩余保质期不足3个月的，应当保存至保质期结束。检验结论不合格的，成交供应商应当自检验结论作出之日起6个月内妥善保存复检备份样品。复检备份样品剩余质保期不足6个月的，应当保存至质保期结束。以上音像视频记录执行情况纳入考核范畴，与服务费用结算相挂钩。</w:t>
      </w:r>
      <w:bookmarkEnd w:id="189"/>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针对食品抽样过程中对有特殊保存要求的样品管理，成交供应商应具备相应的</w:t>
      </w:r>
      <w:r>
        <w:rPr>
          <w:rFonts w:hint="eastAsia"/>
          <w:color w:val="auto"/>
          <w:sz w:val="24"/>
          <w:szCs w:val="24"/>
          <w:highlight w:val="none"/>
          <w:lang w:val="en-US" w:eastAsia="zh-CN"/>
        </w:rPr>
        <w:t xml:space="preserve">冷冻</w:t>
      </w:r>
      <w:r>
        <w:rPr>
          <w:rFonts w:hint="eastAsia"/>
          <w:color w:val="auto"/>
          <w:sz w:val="24"/>
          <w:szCs w:val="24"/>
          <w:highlight w:val="none"/>
        </w:rPr>
        <w:t xml:space="preserve">及冷藏运输条件。</w:t>
      </w:r>
      <w:r/>
    </w:p>
    <w:p>
      <w:pPr>
        <w:pStyle w:val="746"/>
        <w:ind w:left="0" w:firstLine="480"/>
        <w:rPr>
          <w:rFonts w:hint="default" w:eastAsia="宋体"/>
          <w:color w:val="auto"/>
          <w:highlight w:val="none"/>
          <w:lang w:val="en-US" w:eastAsia="zh-CN"/>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8</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实施网络抽样的，需对抽样到封样过程进行全程视频记录，对样品的真实性提供佐证材料。</w:t>
      </w:r>
      <w:r/>
    </w:p>
    <w:p>
      <w:pPr>
        <w:ind w:firstLine="480"/>
        <w:spacing w:line="560" w:lineRule="exact"/>
        <w:rPr>
          <w:color w:val="auto"/>
          <w:sz w:val="24"/>
          <w:szCs w:val="24"/>
          <w:highlight w:val="none"/>
        </w:rPr>
      </w:pPr>
      <w:r>
        <w:rPr>
          <w:rFonts w:hint="eastAsia"/>
          <w:color w:val="auto"/>
          <w:sz w:val="24"/>
          <w:szCs w:val="24"/>
          <w:highlight w:val="none"/>
        </w:rPr>
        <w:t xml:space="preserve">（9）中标供应商保证原始记录规范完整，并接受采购人组织的专家考核及评估。</w:t>
      </w:r>
      <w:r/>
    </w:p>
    <w:p>
      <w:pPr>
        <w:ind w:firstLine="480"/>
        <w:spacing w:line="560" w:lineRule="exact"/>
        <w:rPr>
          <w:color w:val="auto"/>
          <w:sz w:val="24"/>
          <w:szCs w:val="24"/>
          <w:highlight w:val="none"/>
        </w:rPr>
      </w:pPr>
      <w:r>
        <w:rPr>
          <w:rFonts w:hint="eastAsia"/>
          <w:color w:val="auto"/>
          <w:sz w:val="24"/>
          <w:szCs w:val="24"/>
          <w:highlight w:val="none"/>
        </w:rPr>
        <w:t xml:space="preserve">（10）在本项目服务期内，采购人可根据市场实际需求，调整抽检计划，开展机动抽检、专项抽检（含你点我抽他检）、应急抽检等。</w:t>
      </w:r>
      <w:r>
        <w:rPr>
          <w:rFonts w:hint="eastAsia" w:ascii="Times New Roman" w:eastAsia="宋体"/>
          <w:color w:val="auto"/>
          <w:sz w:val="24"/>
          <w:szCs w:val="24"/>
          <w:highlight w:val="none"/>
          <w:lang w:val="en-US" w:eastAsia="zh-CN"/>
        </w:rPr>
        <w:t xml:space="preserve">成交单位根据采购人需求在抽样前制定抽检计划，经采购人确认后方可开展工作。</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11）服务要求：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w:t>
      </w:r>
      <w:r/>
    </w:p>
    <w:p>
      <w:pPr>
        <w:ind w:firstLine="480"/>
        <w:spacing w:line="560" w:lineRule="exact"/>
        <w:rPr>
          <w:color w:val="auto"/>
          <w:sz w:val="24"/>
          <w:szCs w:val="24"/>
          <w:highlight w:val="none"/>
        </w:rPr>
      </w:pPr>
      <w:r>
        <w:rPr>
          <w:rFonts w:hint="eastAsia"/>
          <w:color w:val="auto"/>
          <w:sz w:val="24"/>
          <w:szCs w:val="24"/>
          <w:highlight w:val="none"/>
        </w:rPr>
        <w:t xml:space="preserve">（二）工作要求：</w:t>
      </w:r>
      <w:r/>
    </w:p>
    <w:p>
      <w:pPr>
        <w:ind w:firstLine="480"/>
        <w:spacing w:line="560" w:lineRule="exact"/>
        <w:rPr>
          <w:color w:val="auto"/>
          <w:sz w:val="24"/>
          <w:szCs w:val="24"/>
          <w:highlight w:val="none"/>
        </w:rPr>
      </w:pPr>
      <w:r>
        <w:rPr>
          <w:rFonts w:hint="eastAsia"/>
          <w:color w:val="auto"/>
          <w:sz w:val="24"/>
          <w:szCs w:val="24"/>
          <w:highlight w:val="none"/>
        </w:rPr>
        <w:t xml:space="preserve">（1）中标供应商应当具有与抽样工作相匹配的专职抽样人员、抽样工具、抽样设备等，积极配合抽检工作。应按照品种特点制定抽样计划，每次抽检安排2名以上工作人员现场抽样，承诺配备能同时出动2组（每组不少于2人）或以上专业抽样人员，单日能安排配套的抽样车辆不少于2辆，每人出动采样时需配备采样记录仪2部，并配有满足抽样需求的车载冷冻冷藏设施设备，确保监督抽检工作的序时进度。</w:t>
      </w:r>
      <w:r/>
    </w:p>
    <w:p>
      <w:pPr>
        <w:ind w:firstLine="480"/>
        <w:spacing w:line="560" w:lineRule="exact"/>
        <w:rPr>
          <w:color w:val="auto"/>
          <w:sz w:val="24"/>
          <w:szCs w:val="24"/>
          <w:highlight w:val="none"/>
        </w:rPr>
      </w:pPr>
      <w:r>
        <w:rPr>
          <w:rFonts w:hint="eastAsia"/>
          <w:color w:val="auto"/>
          <w:sz w:val="24"/>
          <w:szCs w:val="24"/>
          <w:highlight w:val="none"/>
        </w:rPr>
        <w:t xml:space="preserve">（2）中标供应商应根据检验项目及监督抽检细则中规定的采样方法及采样数量抽取样品，严格执行采样操作规范，规范实验室质量控制，备存原始记录待查。对样品抽样送检时间有规定的从其规定。农产品抽样时要严格遵循市场监管总局《食用农产品抽样检验和核查处置规定》，易腐烂变质的蔬菜、水果等食用农产品样品,需进行均质备份样品的,应当在现场抽样时主动向食用农产品销售者告知确认,并采取拍照或摄像等方式对样品均质备份进行记录。</w:t>
      </w:r>
      <w:r/>
    </w:p>
    <w:p>
      <w:pPr>
        <w:ind w:firstLine="480"/>
        <w:spacing w:line="560" w:lineRule="exact"/>
        <w:rPr>
          <w:color w:val="auto"/>
          <w:sz w:val="24"/>
          <w:szCs w:val="24"/>
          <w:highlight w:val="none"/>
        </w:rPr>
      </w:pPr>
      <w:r>
        <w:rPr>
          <w:rFonts w:hint="eastAsia"/>
          <w:color w:val="auto"/>
          <w:sz w:val="24"/>
          <w:szCs w:val="24"/>
          <w:highlight w:val="none"/>
        </w:rPr>
        <w:t xml:space="preserve">（3）中标供应商对抽检程序及检验结果的规范性、真实性负责，由于抽检程序操作违法违规或虚假、错误检验数据和结论而给被检人造成损失的，或者给社会带来不良影响的，取消其承检资格，并承担赔偿责任及相应法律责任。</w:t>
      </w:r>
      <w:r/>
    </w:p>
    <w:p>
      <w:pPr>
        <w:ind w:firstLine="480"/>
        <w:spacing w:line="560" w:lineRule="exact"/>
        <w:rPr>
          <w:color w:val="auto"/>
          <w:sz w:val="24"/>
          <w:szCs w:val="24"/>
          <w:highlight w:val="none"/>
        </w:rPr>
      </w:pPr>
      <w:r>
        <w:rPr>
          <w:rFonts w:hint="eastAsia"/>
          <w:color w:val="auto"/>
          <w:sz w:val="24"/>
          <w:szCs w:val="24"/>
          <w:highlight w:val="none"/>
        </w:rPr>
        <w:t xml:space="preserve">（4）中标供应商必须自觉接受采购方的考核、检查、验收、比对。</w:t>
      </w:r>
      <w:r/>
    </w:p>
    <w:p>
      <w:pPr>
        <w:ind w:firstLine="480"/>
        <w:spacing w:line="560" w:lineRule="exact"/>
        <w:rPr>
          <w:color w:val="auto"/>
          <w:sz w:val="24"/>
          <w:szCs w:val="24"/>
          <w:highlight w:val="none"/>
        </w:rPr>
      </w:pPr>
      <w:r>
        <w:rPr>
          <w:rFonts w:hint="eastAsia"/>
          <w:color w:val="auto"/>
          <w:sz w:val="24"/>
          <w:szCs w:val="24"/>
          <w:highlight w:val="none"/>
        </w:rPr>
        <w:t xml:space="preserve">（5）中标供应商在开展监督抽检过程中弄虚作假或不配合采购方开展工作的，取消其承检本采购包资格。</w:t>
      </w:r>
      <w:r/>
    </w:p>
    <w:p>
      <w:pPr>
        <w:ind w:firstLine="480"/>
        <w:spacing w:line="560" w:lineRule="exact"/>
        <w:rPr>
          <w:color w:val="auto"/>
          <w:sz w:val="24"/>
          <w:szCs w:val="24"/>
          <w:highlight w:val="none"/>
        </w:rPr>
      </w:pPr>
      <w:r>
        <w:rPr>
          <w:rFonts w:hint="eastAsia"/>
          <w:color w:val="auto"/>
          <w:sz w:val="24"/>
          <w:szCs w:val="24"/>
          <w:highlight w:val="none"/>
        </w:rPr>
        <w:t xml:space="preserve">（6）中标供应商有保密义务，不得向除采购方外的任何单位与个人透露与抽检相关的信息，否则取消其承检资格，如造成经济损失及不良影响的，依法追究其经济赔偿责任和法律责任。</w:t>
      </w:r>
      <w:r/>
    </w:p>
    <w:p>
      <w:pPr>
        <w:ind w:firstLine="480"/>
        <w:spacing w:line="560" w:lineRule="exact"/>
        <w:rPr>
          <w:color w:val="auto"/>
          <w:sz w:val="24"/>
          <w:szCs w:val="24"/>
          <w:highlight w:val="none"/>
        </w:rPr>
      </w:pPr>
      <w:r>
        <w:rPr>
          <w:rFonts w:hint="eastAsia"/>
          <w:color w:val="auto"/>
          <w:sz w:val="24"/>
          <w:szCs w:val="24"/>
          <w:highlight w:val="none"/>
        </w:rPr>
        <w:t xml:space="preserve">（7）检测结果（报告的提交）。一般样品进实验室后20个工作日内出具检验结果报告（特殊检验项目按检验时限要求出具报告），并将抽检情况应及时录入国家食品安全抽样检验信息系统；如有紧急需要，在确保检验结果合法有效前提下，应当在2-3天出具检验结果报告。标签审核报告和产品的检测报告结果要同步出具并送达采购人</w:t>
      </w:r>
      <w:r>
        <w:rPr>
          <w:rFonts w:hint="eastAsia"/>
          <w:color w:val="auto"/>
          <w:sz w:val="24"/>
          <w:szCs w:val="24"/>
          <w:highlight w:val="none"/>
          <w:lang w:eastAsia="zh-CN"/>
        </w:rPr>
        <w:t xml:space="preserve">。</w:t>
      </w:r>
      <w:r>
        <w:rPr>
          <w:rFonts w:hint="eastAsia"/>
          <w:color w:val="auto"/>
          <w:sz w:val="24"/>
          <w:szCs w:val="24"/>
          <w:highlight w:val="none"/>
        </w:rPr>
        <w:t xml:space="preserve">不合格样品应将报告提交国家食品安全抽样检验信息系统的同时向采购方寄出抽样单、检验报告原件四份、不合格结果通知书。在经营环节抽取的不合格样品，须在系统中同时通报样品标注的生产者所在地监管部门。检测机构应保存邮件详情单，以备查询。</w:t>
      </w:r>
      <w:r/>
    </w:p>
    <w:p>
      <w:pPr>
        <w:ind w:firstLine="480"/>
        <w:spacing w:line="560" w:lineRule="exact"/>
        <w:rPr>
          <w:color w:val="auto"/>
          <w:sz w:val="24"/>
          <w:szCs w:val="24"/>
          <w:highlight w:val="none"/>
        </w:rPr>
      </w:pPr>
      <w:r>
        <w:rPr>
          <w:rFonts w:hint="eastAsia"/>
          <w:color w:val="auto"/>
          <w:sz w:val="24"/>
          <w:szCs w:val="24"/>
          <w:highlight w:val="none"/>
        </w:rPr>
        <w:t xml:space="preserve">（8）按时报送数据。每月15日前将前期的抽检信息汇总表和不合格项目说明报海安市市场监督管理局。承检机构发现不合格样品中可能存在重大风险隐患或急性健康风险的，应当在确认检验结果后12小时之内报告采购人，并抄送国家市场监督管理总局。若拖延抄送数据，影响采购人考核，采购人有权终止合同，如造成经济损失及不良影响的，追究其经济赔偿责任和法律责任。</w:t>
      </w:r>
      <w:r/>
    </w:p>
    <w:p>
      <w:pPr>
        <w:ind w:firstLine="480"/>
        <w:spacing w:line="560" w:lineRule="exact"/>
        <w:rPr>
          <w:color w:val="auto"/>
          <w:sz w:val="24"/>
          <w:szCs w:val="24"/>
          <w:highlight w:val="none"/>
        </w:rPr>
      </w:pPr>
      <w:r>
        <w:rPr>
          <w:rFonts w:hint="eastAsia"/>
          <w:color w:val="auto"/>
          <w:sz w:val="24"/>
          <w:szCs w:val="24"/>
          <w:highlight w:val="none"/>
        </w:rPr>
        <w:t xml:space="preserve">（三）检验任务工作情况报送：</w:t>
      </w:r>
      <w:r/>
    </w:p>
    <w:p>
      <w:pPr>
        <w:ind w:firstLine="480"/>
        <w:spacing w:line="560" w:lineRule="exact"/>
        <w:rPr>
          <w:color w:val="auto"/>
          <w:sz w:val="24"/>
          <w:szCs w:val="24"/>
          <w:highlight w:val="none"/>
        </w:rPr>
      </w:pPr>
      <w:r>
        <w:rPr>
          <w:rFonts w:hint="eastAsia"/>
          <w:color w:val="auto"/>
          <w:sz w:val="24"/>
          <w:szCs w:val="24"/>
          <w:highlight w:val="none"/>
        </w:rPr>
        <w:t xml:space="preserve">检测任务全部完成后，中标供应商要对检验结果进行分析评估。对检验结果判定为不合格的，要对不合格项目进行原因及危害性分析评估，提出下一年度检测意见和建议。</w:t>
      </w:r>
      <w:r/>
    </w:p>
    <w:p>
      <w:pPr>
        <w:ind w:firstLine="480"/>
        <w:spacing w:line="560" w:lineRule="exact"/>
        <w:rPr>
          <w:color w:val="auto"/>
          <w:sz w:val="24"/>
          <w:szCs w:val="24"/>
          <w:highlight w:val="none"/>
        </w:rPr>
      </w:pPr>
      <w:r>
        <w:rPr>
          <w:rFonts w:hint="eastAsia"/>
          <w:color w:val="auto"/>
          <w:sz w:val="24"/>
          <w:szCs w:val="24"/>
          <w:highlight w:val="none"/>
        </w:rPr>
        <w:t xml:space="preserve">（四）对样本异议的处理：</w:t>
      </w:r>
      <w:r/>
    </w:p>
    <w:p>
      <w:pPr>
        <w:ind w:firstLine="480"/>
        <w:spacing w:line="560" w:lineRule="exact"/>
        <w:rPr>
          <w:color w:val="auto"/>
          <w:sz w:val="24"/>
          <w:szCs w:val="24"/>
          <w:highlight w:val="none"/>
        </w:rPr>
      </w:pPr>
      <w:r>
        <w:rPr>
          <w:rFonts w:hint="eastAsia"/>
          <w:color w:val="auto"/>
          <w:sz w:val="24"/>
          <w:szCs w:val="24"/>
          <w:highlight w:val="none"/>
        </w:rPr>
        <w:t xml:space="preserve">（1）采购方接受被抽检人关于对抽样程序、检验判定依据等有异议的《异议申请书》后依法组织调查，检测机构应按采购方要求在5日内提交书面答复。</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（2）被抽检人提出复检申请后，检测机构应配合采购方依法对复检申请及复检样品进行审查，并配合样品的调取送达工作。复检结果与初检结果不一致的，复检费用由初检机构承担。</w:t>
      </w:r>
      <w:r/>
    </w:p>
    <w:p>
      <w:pPr>
        <w:ind w:firstLine="480"/>
        <w:spacing w:line="56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（五）其他</w:t>
      </w:r>
      <w:r/>
    </w:p>
    <w:p>
      <w:pPr>
        <w:ind w:firstLine="480"/>
        <w:spacing w:line="560" w:lineRule="exact"/>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1</w:t>
      </w:r>
      <w:r>
        <w:rPr>
          <w:rFonts w:hint="eastAsia"/>
          <w:color w:val="auto"/>
          <w:sz w:val="24"/>
          <w:szCs w:val="24"/>
          <w:highlight w:val="none"/>
          <w:lang w:eastAsia="zh-CN"/>
        </w:rPr>
        <w:t xml:space="preserve">）</w:t>
      </w:r>
      <w:r>
        <w:rPr>
          <w:rFonts w:hint="eastAsia"/>
          <w:color w:val="auto"/>
          <w:sz w:val="24"/>
          <w:szCs w:val="24"/>
          <w:highlight w:val="none"/>
        </w:rPr>
        <w:t xml:space="preserve">检测任务全部完成后，中标供应商要对检验结果进行分析评估。对检验结果判定为不合格的，要对不合格项目进行原因及危害性分析评估，提出下一年度检测意见和建议。</w:t>
      </w:r>
      <w:r/>
    </w:p>
    <w:p>
      <w:pPr>
        <w:ind w:firstLine="480"/>
        <w:spacing w:line="560" w:lineRule="exact"/>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2</w:t>
      </w:r>
      <w:r>
        <w:rPr>
          <w:rFonts w:hint="eastAsia"/>
          <w:color w:val="auto"/>
          <w:sz w:val="24"/>
          <w:szCs w:val="24"/>
          <w:highlight w:val="none"/>
          <w:lang w:eastAsia="zh-CN"/>
        </w:rPr>
        <w:t xml:space="preserve">）</w:t>
      </w:r>
      <w:r>
        <w:rPr>
          <w:rFonts w:hint="eastAsia"/>
          <w:color w:val="auto"/>
          <w:sz w:val="24"/>
          <w:szCs w:val="24"/>
          <w:highlight w:val="none"/>
        </w:rPr>
        <w:t xml:space="preserve">提供不少于1场次的生产经营食品安全指导培训。</w:t>
      </w:r>
      <w:r/>
    </w:p>
    <w:p>
      <w:pPr>
        <w:ind w:firstLine="480"/>
        <w:spacing w:line="56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（3）按采购人需求为大型活动保障、专项检查提供不少于60批次的快检服务。</w:t>
      </w:r>
      <w:r/>
    </w:p>
    <w:p>
      <w:pPr>
        <w:ind w:firstLine="480"/>
        <w:spacing w:line="560" w:lineRule="exact"/>
        <w:rPr>
          <w:rFonts w:hint="eastAsia"/>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按采购人需求对抽检不合格生产经营主体进行原因分析，提供现场技术帮扶并提供不合格原因分析报告。</w:t>
      </w:r>
      <w:r/>
    </w:p>
    <w:p>
      <w:pPr>
        <w:ind w:firstLine="480"/>
        <w:spacing w:line="560" w:lineRule="exact"/>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5</w:t>
      </w:r>
      <w:r>
        <w:rPr>
          <w:rFonts w:hint="eastAsia"/>
          <w:color w:val="auto"/>
          <w:sz w:val="24"/>
          <w:szCs w:val="24"/>
          <w:highlight w:val="none"/>
          <w:lang w:eastAsia="zh-CN"/>
        </w:rPr>
        <w:t xml:space="preserve">）</w:t>
      </w:r>
      <w:r>
        <w:rPr>
          <w:rFonts w:hint="eastAsia"/>
          <w:color w:val="auto"/>
          <w:sz w:val="24"/>
          <w:szCs w:val="24"/>
          <w:highlight w:val="none"/>
        </w:rPr>
        <w:t xml:space="preserve">包二的成交供应商需对生产环节不少于20家的（甲方提供的）出厂检验能力是否符合规定进行验证并提供分析报告、标签指导，给予合规标签模板。</w:t>
      </w:r>
      <w:r/>
    </w:p>
    <w:p>
      <w:pPr>
        <w:ind w:firstLine="480"/>
        <w:spacing w:line="560" w:lineRule="exact"/>
        <w:rPr>
          <w:rFonts w:hint="eastAsia"/>
          <w:color w:val="auto"/>
          <w:sz w:val="24"/>
          <w:szCs w:val="24"/>
          <w:highlight w:val="none"/>
        </w:rPr>
      </w:pPr>
      <w:r>
        <w:rPr>
          <w:rFonts w:hint="eastAsia"/>
          <w:color w:val="auto"/>
          <w:sz w:val="24"/>
          <w:szCs w:val="24"/>
          <w:highlight w:val="none"/>
          <w:lang w:val="en-US" w:eastAsia="zh-CN"/>
        </w:rPr>
        <w:t xml:space="preserve">（6）</w:t>
      </w:r>
      <w:r>
        <w:rPr>
          <w:rFonts w:hint="eastAsia"/>
          <w:color w:val="auto"/>
          <w:sz w:val="24"/>
          <w:szCs w:val="24"/>
          <w:highlight w:val="none"/>
        </w:rPr>
        <w:t xml:space="preserve">抽样过程中结合采购人工作需求发放宣传告知材料。</w:t>
      </w:r>
      <w:r/>
    </w:p>
    <w:p>
      <w:pPr>
        <w:ind w:firstLine="480"/>
        <w:spacing w:line="560" w:lineRule="exact"/>
        <w:rPr>
          <w:rFonts w:hint="eastAsia"/>
          <w:color w:val="auto"/>
          <w:sz w:val="24"/>
          <w:szCs w:val="24"/>
          <w:highlight w:val="none"/>
        </w:rPr>
      </w:pPr>
      <w:r>
        <w:rPr>
          <w:rFonts w:hint="eastAsia"/>
          <w:color w:val="auto"/>
          <w:sz w:val="24"/>
          <w:szCs w:val="24"/>
          <w:highlight w:val="none"/>
          <w:lang w:val="en-US" w:eastAsia="zh-CN"/>
        </w:rPr>
        <w:t xml:space="preserve">（7）</w:t>
      </w:r>
      <w:r>
        <w:rPr>
          <w:rFonts w:hint="eastAsia"/>
          <w:color w:val="auto"/>
          <w:sz w:val="24"/>
          <w:szCs w:val="24"/>
          <w:highlight w:val="none"/>
        </w:rPr>
        <w:t xml:space="preserve">按采购人需求做好承检任务的相关备份样品的捐赠活动。</w:t>
      </w:r>
      <w:r/>
    </w:p>
    <w:p>
      <w:pPr>
        <w:ind w:firstLine="480"/>
        <w:spacing w:line="560" w:lineRule="exact"/>
        <w:rPr>
          <w:bCs/>
          <w:color w:val="auto"/>
          <w:sz w:val="24"/>
          <w:szCs w:val="24"/>
          <w:highlight w:val="none"/>
        </w:rPr>
      </w:pPr>
      <w:r>
        <w:rPr>
          <w:rFonts w:hint="eastAsia"/>
          <w:bCs/>
          <w:color w:val="auto"/>
          <w:sz w:val="24"/>
          <w:szCs w:val="24"/>
          <w:highlight w:val="none"/>
        </w:rPr>
        <w:t xml:space="preserve">4.采购标的的数量、采购项目交付或者实施的时间和地点： </w:t>
      </w:r>
      <w:r/>
    </w:p>
    <w:p>
      <w:pPr>
        <w:ind w:firstLine="480"/>
        <w:spacing w:line="560" w:lineRule="exact"/>
        <w:rPr>
          <w:bCs/>
          <w:color w:val="auto"/>
          <w:sz w:val="24"/>
          <w:szCs w:val="24"/>
          <w:highlight w:val="none"/>
        </w:rPr>
      </w:pPr>
      <w:r>
        <w:rPr>
          <w:rFonts w:hint="eastAsia"/>
          <w:bCs/>
          <w:color w:val="auto"/>
          <w:sz w:val="24"/>
          <w:szCs w:val="24"/>
          <w:highlight w:val="none"/>
        </w:rPr>
        <w:t xml:space="preserve">4.1标的数量：</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采购包1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流通环节食用农产品295批次+流通环节普通食品228批次（高新区其他商超：2026年9月1日后开始抽样）+餐饮环节100批次（网络餐饮：高新区）+2026机动批次273批次（高新区、雅周、李堡、滨海新区）。共896批次。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采购包2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生产环节203批次+流通环节普通食品（开发区其他商超）340批次+餐饮环节50批次（网络餐饮：开发区）+2026机动90批次（开发区、大公）+2026—2027任务延续200批次。共883批次。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采购包3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学校及养老机构专项100批次+流通环节普通食品455批次（高新区其他商超：2026年8月31日前完成抽样）+餐饮环节普通食品40批次（其他餐饮店：不含高新区、开发区、曲塘）+2026机动71批次（曲塘、墩头、南莫、白甸）+2026—2027任务延续200批次。共计866批次。</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注：2026—2027任务延续400批次，为确保抽检工作在2026年12月至2027年4月30日期间均衡开展，并录入检验报告。</w:t>
      </w:r>
      <w:r/>
    </w:p>
    <w:p>
      <w:pPr>
        <w:ind w:firstLine="480"/>
        <w:spacing w:line="560" w:lineRule="exact"/>
        <w:rPr>
          <w:rFonts w:hint="eastAsia"/>
          <w:bCs/>
          <w:color w:val="auto"/>
          <w:sz w:val="24"/>
          <w:szCs w:val="24"/>
          <w:highlight w:val="none"/>
        </w:rPr>
      </w:pPr>
      <w:r>
        <w:rPr>
          <w:rFonts w:hint="eastAsia"/>
          <w:bCs/>
          <w:color w:val="auto"/>
          <w:sz w:val="24"/>
          <w:szCs w:val="24"/>
          <w:highlight w:val="none"/>
        </w:rPr>
        <w:t xml:space="preserve">4.2合同履行期限：</w:t>
      </w:r>
      <w:r>
        <w:rPr>
          <w:rFonts w:hint="eastAsia" w:ascii="宋体" w:hAnsi="宋体"/>
          <w:color w:val="auto"/>
          <w:sz w:val="24"/>
          <w:szCs w:val="24"/>
          <w:highlight w:val="none"/>
        </w:rPr>
        <w:t xml:space="preserve">原则上应当逐月推进抽检工作、全年均衡开展抽检任务。</w:t>
      </w:r>
      <w:r>
        <w:rPr>
          <w:rFonts w:hint="eastAsia" w:ascii="宋体" w:hAnsi="宋体"/>
          <w:color w:val="auto"/>
          <w:sz w:val="24"/>
          <w:szCs w:val="24"/>
          <w:highlight w:val="none"/>
          <w:lang w:val="en-US" w:eastAsia="zh-CN"/>
        </w:rPr>
        <w:t xml:space="preserve">除</w:t>
      </w:r>
      <w:r>
        <w:rPr>
          <w:rFonts w:hint="eastAsia" w:ascii="宋体" w:hAnsi="宋体"/>
          <w:color w:val="auto"/>
          <w:sz w:val="24"/>
          <w:szCs w:val="24"/>
          <w:highlight w:val="none"/>
        </w:rPr>
        <w:t xml:space="preserve">2026—2027任务延续</w:t>
      </w:r>
      <w:r>
        <w:rPr>
          <w:rFonts w:hint="eastAsia" w:ascii="宋体" w:hAnsi="宋体"/>
          <w:color w:val="auto"/>
          <w:sz w:val="24"/>
          <w:szCs w:val="24"/>
          <w:highlight w:val="none"/>
          <w:lang w:val="en-US" w:eastAsia="zh-CN"/>
        </w:rPr>
        <w:t xml:space="preserve">400</w:t>
      </w:r>
      <w:r>
        <w:rPr>
          <w:rFonts w:hint="eastAsia" w:ascii="宋体" w:hAnsi="宋体"/>
          <w:color w:val="auto"/>
          <w:sz w:val="24"/>
          <w:szCs w:val="24"/>
          <w:highlight w:val="none"/>
        </w:rPr>
        <w:t xml:space="preserve">批次</w:t>
      </w:r>
      <w:r>
        <w:rPr>
          <w:rFonts w:hint="eastAsia" w:ascii="宋体" w:hAnsi="宋体"/>
          <w:color w:val="auto"/>
          <w:sz w:val="24"/>
          <w:szCs w:val="24"/>
          <w:highlight w:val="none"/>
          <w:lang w:val="en-US" w:eastAsia="zh-CN"/>
        </w:rPr>
        <w:t xml:space="preserve">外，</w:t>
      </w:r>
      <w:r>
        <w:rPr>
          <w:rFonts w:hint="eastAsia" w:ascii="宋体" w:hAnsi="宋体"/>
          <w:color w:val="auto"/>
          <w:sz w:val="24"/>
          <w:szCs w:val="24"/>
          <w:highlight w:val="none"/>
        </w:rPr>
        <w:t xml:space="preserve">采购包1、采购包2、采购包3</w:t>
      </w:r>
      <w:r>
        <w:rPr>
          <w:rFonts w:hint="eastAsia" w:ascii="宋体" w:hAnsi="宋体"/>
          <w:color w:val="auto"/>
          <w:sz w:val="24"/>
          <w:szCs w:val="24"/>
          <w:highlight w:val="none"/>
          <w:lang w:val="en-US" w:eastAsia="zh-CN"/>
        </w:rPr>
        <w:t xml:space="preserve">内其他任务</w:t>
      </w:r>
      <w:r>
        <w:rPr>
          <w:rFonts w:hint="eastAsia" w:ascii="宋体" w:hAnsi="宋体"/>
          <w:color w:val="auto"/>
          <w:sz w:val="24"/>
          <w:szCs w:val="24"/>
          <w:highlight w:val="none"/>
        </w:rPr>
        <w:t xml:space="preserve">需于202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日前完成抽检任务的100%，不得突击式大批量集中抽检。抽检进度纳入考核范畴，与服</w:t>
      </w:r>
      <w:r>
        <w:rPr>
          <w:rFonts w:hint="eastAsia"/>
          <w:bCs/>
          <w:color w:val="auto"/>
          <w:sz w:val="24"/>
          <w:szCs w:val="24"/>
          <w:highlight w:val="none"/>
        </w:rPr>
        <w:t xml:space="preserve">务费用结算相挂钩。</w:t>
      </w:r>
      <w:r/>
    </w:p>
    <w:p>
      <w:pPr>
        <w:ind w:firstLine="480"/>
        <w:spacing w:line="560" w:lineRule="exact"/>
        <w:rPr>
          <w:rFonts w:hint="eastAsia"/>
          <w:bCs/>
          <w:color w:val="auto"/>
          <w:sz w:val="24"/>
          <w:szCs w:val="24"/>
          <w:highlight w:val="none"/>
        </w:rPr>
      </w:pPr>
      <w:r>
        <w:rPr>
          <w:rFonts w:hint="eastAsia"/>
          <w:bCs/>
          <w:color w:val="auto"/>
          <w:sz w:val="24"/>
          <w:szCs w:val="24"/>
          <w:highlight w:val="none"/>
        </w:rPr>
        <w:t xml:space="preserve">预留专项(机动)抽检30批次*12=360批次，按月安排。当月未安排的转入次月，次月未安排的纳入一般计划。</w:t>
      </w:r>
      <w:r/>
    </w:p>
    <w:p>
      <w:pPr>
        <w:ind w:firstLine="480"/>
        <w:spacing w:line="560" w:lineRule="exact"/>
        <w:rPr>
          <w:color w:val="auto"/>
          <w:szCs w:val="24"/>
          <w:highlight w:val="none"/>
        </w:rPr>
      </w:pPr>
      <w:r>
        <w:rPr>
          <w:rFonts w:hint="eastAsia"/>
          <w:bCs/>
          <w:color w:val="auto"/>
          <w:sz w:val="24"/>
          <w:szCs w:val="24"/>
          <w:highlight w:val="none"/>
        </w:rPr>
        <w:t xml:space="preserve">检测数据在202</w:t>
      </w:r>
      <w:r>
        <w:rPr>
          <w:rFonts w:hint="eastAsia"/>
          <w:bCs/>
          <w:color w:val="auto"/>
          <w:sz w:val="24"/>
          <w:szCs w:val="24"/>
          <w:highlight w:val="none"/>
          <w:lang w:val="en-US" w:eastAsia="zh-CN"/>
        </w:rPr>
        <w:t xml:space="preserve">6</w:t>
      </w:r>
      <w:r>
        <w:rPr>
          <w:rFonts w:hint="eastAsia"/>
          <w:bCs/>
          <w:color w:val="auto"/>
          <w:sz w:val="24"/>
          <w:szCs w:val="24"/>
          <w:highlight w:val="none"/>
        </w:rPr>
        <w:t xml:space="preserve">年12月10日前全部录入国抽系统，并于202</w:t>
      </w:r>
      <w:r>
        <w:rPr>
          <w:rFonts w:hint="eastAsia"/>
          <w:bCs/>
          <w:color w:val="auto"/>
          <w:sz w:val="24"/>
          <w:szCs w:val="24"/>
          <w:highlight w:val="none"/>
          <w:lang w:val="en-US" w:eastAsia="zh-CN"/>
        </w:rPr>
        <w:t xml:space="preserve">6</w:t>
      </w:r>
      <w:r>
        <w:rPr>
          <w:rFonts w:hint="eastAsia"/>
          <w:bCs/>
          <w:color w:val="auto"/>
          <w:sz w:val="24"/>
          <w:szCs w:val="24"/>
          <w:highlight w:val="none"/>
        </w:rPr>
        <w:t xml:space="preserve">年12月</w:t>
      </w:r>
      <w:r>
        <w:rPr>
          <w:rFonts w:hint="eastAsia"/>
          <w:bCs/>
          <w:color w:val="auto"/>
          <w:sz w:val="24"/>
          <w:szCs w:val="24"/>
          <w:highlight w:val="none"/>
          <w:lang w:val="en-US" w:eastAsia="zh-CN"/>
        </w:rPr>
        <w:t xml:space="preserve">20</w:t>
      </w:r>
      <w:r>
        <w:rPr>
          <w:rFonts w:hint="eastAsia"/>
          <w:bCs/>
          <w:color w:val="auto"/>
          <w:sz w:val="24"/>
          <w:szCs w:val="24"/>
          <w:highlight w:val="none"/>
        </w:rPr>
        <w:t xml:space="preserve">日前向采购方提交数据分析报告。其中采购包2、包3中2026—2027任务延续400批次根据采购人需求开展，在2026年10月至2027年4月期间均衡推进。 检测数据在2027年4月30日前全部录入国抽系统，并提交</w:t>
      </w:r>
      <w:r>
        <w:rPr>
          <w:rFonts w:hint="eastAsia" w:ascii="宋体" w:hAnsi="宋体"/>
          <w:color w:val="auto"/>
          <w:sz w:val="24"/>
          <w:szCs w:val="24"/>
          <w:highlight w:val="none"/>
        </w:rPr>
        <w:t xml:space="preserve">检测报告。</w:t>
      </w:r>
      <w:r/>
    </w:p>
    <w:p>
      <w:pPr>
        <w:ind w:firstLine="480"/>
        <w:spacing w:line="560" w:lineRule="exact"/>
        <w:rPr>
          <w:bCs/>
          <w:color w:val="auto"/>
          <w:sz w:val="24"/>
          <w:szCs w:val="24"/>
          <w:highlight w:val="none"/>
        </w:rPr>
      </w:pPr>
      <w:r>
        <w:rPr>
          <w:rFonts w:hint="eastAsia"/>
          <w:bCs/>
          <w:color w:val="auto"/>
          <w:sz w:val="24"/>
          <w:szCs w:val="24"/>
          <w:highlight w:val="none"/>
        </w:rPr>
        <w:t xml:space="preserve">4.3服务地点：采购人指定地点。</w:t>
      </w:r>
      <w:r/>
    </w:p>
    <w:p>
      <w:pPr>
        <w:ind w:firstLine="480"/>
        <w:spacing w:line="560" w:lineRule="exact"/>
        <w:rPr>
          <w:bCs/>
          <w:color w:val="auto"/>
          <w:sz w:val="24"/>
          <w:szCs w:val="24"/>
          <w:highlight w:val="none"/>
        </w:rPr>
      </w:pPr>
      <w:r>
        <w:rPr>
          <w:bCs/>
          <w:color w:val="auto"/>
          <w:sz w:val="24"/>
          <w:szCs w:val="24"/>
          <w:highlight w:val="none"/>
        </w:rPr>
        <w:t xml:space="preserve">5.</w:t>
      </w:r>
      <w:r>
        <w:rPr>
          <w:rFonts w:hint="eastAsia"/>
          <w:bCs/>
          <w:color w:val="auto"/>
          <w:sz w:val="24"/>
          <w:szCs w:val="24"/>
          <w:highlight w:val="none"/>
        </w:rPr>
        <w:t xml:space="preserve">采购标的需满足的服务标准、期限、效率等要求：</w:t>
      </w:r>
      <w:r/>
    </w:p>
    <w:p>
      <w:pPr>
        <w:ind w:firstLine="480"/>
        <w:spacing w:line="560" w:lineRule="exact"/>
        <w:rPr>
          <w:bCs/>
          <w:color w:val="auto"/>
          <w:sz w:val="24"/>
          <w:szCs w:val="24"/>
          <w:highlight w:val="none"/>
        </w:rPr>
      </w:pPr>
      <w:r>
        <w:rPr>
          <w:rFonts w:hint="eastAsia"/>
          <w:bCs/>
          <w:color w:val="auto"/>
          <w:sz w:val="24"/>
          <w:szCs w:val="24"/>
          <w:highlight w:val="none"/>
        </w:rPr>
        <w:t xml:space="preserve">（1）中标供应商承检的检验任务必须由中标供应商负责检验，不得将检验任务外包或分包给其他检测机构检验。一经发现，取消承检本项目资格，相关款项不予支付。</w:t>
      </w:r>
      <w:r/>
    </w:p>
    <w:p>
      <w:pPr>
        <w:ind w:firstLine="480"/>
        <w:spacing w:line="560" w:lineRule="exact"/>
        <w:rPr>
          <w:rFonts w:hint="default" w:eastAsia="宋体"/>
          <w:color w:val="auto"/>
          <w:sz w:val="24"/>
          <w:szCs w:val="24"/>
          <w:highlight w:val="none"/>
          <w:lang w:val="en-US" w:eastAsia="zh-CN"/>
        </w:rPr>
      </w:pPr>
      <w:r>
        <w:rPr>
          <w:rFonts w:hint="eastAsia"/>
          <w:bCs/>
          <w:color w:val="auto"/>
          <w:sz w:val="24"/>
          <w:szCs w:val="24"/>
          <w:highlight w:val="none"/>
        </w:rPr>
        <w:t xml:space="preserve">（2）</w:t>
      </w:r>
      <w:bookmarkStart w:id="190" w:name="OLE_LINK44"/>
      <w:r>
        <w:rPr>
          <w:rFonts w:hint="eastAsia"/>
          <w:bCs/>
          <w:color w:val="auto"/>
          <w:sz w:val="24"/>
          <w:szCs w:val="24"/>
          <w:highlight w:val="none"/>
        </w:rPr>
        <w:t xml:space="preserve">本项目的食品安全抽检工作严格遵照《食品安全抽样检验管理办法》（国家市场监督管理总局令第</w:t>
      </w:r>
      <w:r>
        <w:rPr>
          <w:rFonts w:hint="eastAsia"/>
          <w:bCs/>
          <w:color w:val="auto"/>
          <w:sz w:val="24"/>
          <w:szCs w:val="24"/>
          <w:highlight w:val="none"/>
          <w:lang w:val="en-US" w:eastAsia="zh-CN"/>
        </w:rPr>
        <w:t xml:space="preserve">101</w:t>
      </w:r>
      <w:r>
        <w:rPr>
          <w:rFonts w:hint="eastAsia"/>
          <w:bCs/>
          <w:color w:val="auto"/>
          <w:sz w:val="24"/>
          <w:szCs w:val="24"/>
          <w:highlight w:val="none"/>
        </w:rPr>
        <w:t xml:space="preserve">号）、市场监管总监制定的《食品安全抽样检验工作规范》（市监食检发[2023]76号）、《食品安全监督抽检实施细则》</w:t>
      </w:r>
      <w:r>
        <w:rPr>
          <w:rFonts w:hint="eastAsia"/>
          <w:bCs/>
          <w:color w:val="auto"/>
          <w:sz w:val="24"/>
          <w:szCs w:val="24"/>
          <w:highlight w:val="none"/>
          <w:lang w:val="en-US" w:eastAsia="zh-CN"/>
        </w:rPr>
        <w:t xml:space="preserve">最新</w:t>
      </w:r>
      <w:r>
        <w:rPr>
          <w:rFonts w:hint="eastAsia"/>
          <w:bCs/>
          <w:color w:val="auto"/>
          <w:sz w:val="24"/>
          <w:szCs w:val="24"/>
          <w:highlight w:val="none"/>
        </w:rPr>
        <w:t xml:space="preserve">版、市场监管总局《食用农产品抽样检验和核查处置规定》和江苏省、南通市、海安市市场监督管理局相关要求执行，并符合其他食品安全抽检工作的规定要求。</w:t>
      </w:r>
      <w:bookmarkEnd w:id="190"/>
      <w:r>
        <w:rPr>
          <w:rFonts w:hint="eastAsia" w:ascii="Times New Roman" w:eastAsia="宋体"/>
          <w:color w:val="auto"/>
          <w:sz w:val="24"/>
          <w:szCs w:val="24"/>
          <w:highlight w:val="none"/>
          <w:lang w:val="en-US" w:eastAsia="zh-CN"/>
        </w:rPr>
        <w:t xml:space="preserve">如果在项目实施过程中有相关政策调整或法律法规变更的，则以最新要求为准。</w:t>
      </w:r>
      <w:r/>
    </w:p>
    <w:p>
      <w:pPr>
        <w:ind w:firstLine="480"/>
        <w:spacing w:line="560" w:lineRule="exact"/>
        <w:rPr>
          <w:bCs/>
          <w:color w:val="auto"/>
          <w:sz w:val="24"/>
          <w:szCs w:val="24"/>
          <w:highlight w:val="none"/>
        </w:rPr>
      </w:pPr>
      <w:r>
        <w:rPr>
          <w:rFonts w:hint="eastAsia"/>
          <w:bCs/>
          <w:color w:val="auto"/>
          <w:sz w:val="24"/>
          <w:szCs w:val="24"/>
          <w:highlight w:val="none"/>
        </w:rPr>
        <w:t xml:space="preserve">（3）本项目投标报价应包</w:t>
      </w:r>
      <w:r>
        <w:rPr>
          <w:rFonts w:hint="eastAsia"/>
          <w:bCs/>
          <w:color w:val="auto"/>
          <w:sz w:val="24"/>
          <w:szCs w:val="24"/>
          <w:highlight w:val="none"/>
        </w:rPr>
        <w:t xml:space="preserve">括履约委托抽检任务完成所需的全部工作量和服务，即包括响应及完成委托抽检任务工作所需的一切费用。其中包含但不限于样品采集购买、人工、专用设备及其备品、备件、易耗品耗材、通讯和专用工具费用、税费、运输、保险、技术支持与培训、售后服务及相关劳务支出等工作所发生的全部费用以及采购响应供应商企业利润、税金和政策性文件规定及合同包含的所有风险、责任，即响应委托抽检项目任务的各项应有费用。供应商报价时应充分考虑现场环境以及国家政策性调整等风险因素，在合同实施期间，合同价不随国家政策或法规、标准及市场因素的变化而进行调整。</w:t>
      </w:r>
      <w:r/>
    </w:p>
    <w:p>
      <w:pPr>
        <w:numPr>
          <w:ilvl w:val="0"/>
          <w:numId w:val="0"/>
        </w:numPr>
        <w:ind w:firstLine="480"/>
        <w:spacing w:line="560" w:lineRule="exact"/>
        <w:rPr>
          <w:bCs/>
          <w:color w:val="auto"/>
          <w:sz w:val="24"/>
          <w:szCs w:val="24"/>
          <w:highlight w:val="none"/>
        </w:rPr>
      </w:pPr>
      <w:r>
        <w:rPr>
          <w:rFonts w:ascii="Times New Roman" w:hAnsi="Times New Roman" w:eastAsia="宋体" w:cs="Times New Roman"/>
          <w:bCs/>
          <w:color w:val="auto"/>
          <w:sz w:val="24"/>
          <w:szCs w:val="24"/>
          <w:highlight w:val="none"/>
          <w:lang w:val="en-US" w:eastAsia="zh-CN" w:bidi="ar-SA"/>
        </w:rPr>
        <w:t xml:space="preserve">6.</w:t>
      </w:r>
      <w:r>
        <w:rPr>
          <w:rFonts w:hint="eastAsia"/>
          <w:bCs/>
          <w:color w:val="auto"/>
          <w:sz w:val="24"/>
          <w:szCs w:val="24"/>
          <w:highlight w:val="none"/>
        </w:rPr>
        <w:t xml:space="preserve">采购标的的验收标准：</w:t>
      </w:r>
      <w:r/>
    </w:p>
    <w:p>
      <w:pPr>
        <w:ind w:firstLine="480"/>
        <w:spacing w:line="560" w:lineRule="exact"/>
        <w:rPr>
          <w:rFonts w:hint="eastAsia"/>
          <w:bCs/>
          <w:color w:val="auto"/>
          <w:sz w:val="24"/>
          <w:szCs w:val="24"/>
          <w:highlight w:val="none"/>
        </w:rPr>
      </w:pPr>
      <w:r>
        <w:rPr>
          <w:rFonts w:hint="eastAsia"/>
          <w:bCs/>
          <w:color w:val="auto"/>
          <w:sz w:val="24"/>
          <w:szCs w:val="24"/>
          <w:highlight w:val="none"/>
        </w:rPr>
        <w:t xml:space="preserve">（</w:t>
      </w:r>
      <w:r>
        <w:rPr>
          <w:rFonts w:hint="eastAsia"/>
          <w:bCs/>
          <w:color w:val="auto"/>
          <w:sz w:val="24"/>
          <w:szCs w:val="24"/>
          <w:highlight w:val="none"/>
          <w:lang w:val="en-US" w:eastAsia="zh-CN"/>
        </w:rPr>
        <w:t xml:space="preserve">1</w:t>
      </w:r>
      <w:r>
        <w:rPr>
          <w:rFonts w:hint="eastAsia"/>
          <w:bCs/>
          <w:color w:val="auto"/>
          <w:sz w:val="24"/>
          <w:szCs w:val="24"/>
          <w:highlight w:val="none"/>
        </w:rPr>
        <w:t xml:space="preserve">）合同签订后，结合项目的履约情况以及海安市市场监督管理局机构考核文件开展验收，验收一共两次，分别为2026年度任务完成后（三个包）及2027年本项目完成后（包2、包3）。</w:t>
      </w:r>
      <w:r/>
    </w:p>
    <w:p>
      <w:pPr>
        <w:ind w:firstLine="480"/>
        <w:spacing w:line="560" w:lineRule="exact"/>
        <w:rPr>
          <w:rFonts w:hint="eastAsia"/>
          <w:bCs/>
          <w:color w:val="auto"/>
          <w:sz w:val="24"/>
          <w:szCs w:val="24"/>
          <w:highlight w:val="none"/>
        </w:rPr>
      </w:pPr>
      <w:r>
        <w:rPr>
          <w:rFonts w:hint="eastAsia"/>
          <w:bCs/>
          <w:color w:val="auto"/>
          <w:sz w:val="24"/>
          <w:szCs w:val="24"/>
          <w:highlight w:val="none"/>
        </w:rPr>
        <w:t xml:space="preserve">国抽数据填报质量、抽检异议处理、音像及贮运记录留存、留样再测、检测项目情况等相关工作，严格遵守服务规范，杜绝弄虚作假等违规行为，供应商若出现各类违规、不达标情形，将按相关规定承担相应责任及扣款。</w:t>
      </w:r>
      <w:r/>
    </w:p>
    <w:p>
      <w:pPr>
        <w:ind w:firstLine="480"/>
        <w:spacing w:line="560" w:lineRule="exact"/>
        <w:rPr>
          <w:rFonts w:hint="eastAsia"/>
          <w:bCs/>
          <w:color w:val="auto"/>
          <w:sz w:val="24"/>
          <w:szCs w:val="24"/>
          <w:highlight w:val="none"/>
          <w:lang w:eastAsia="zh-CN"/>
        </w:rPr>
      </w:pPr>
      <w:r>
        <w:rPr>
          <w:rFonts w:hint="eastAsia"/>
          <w:bCs/>
          <w:color w:val="auto"/>
          <w:sz w:val="24"/>
          <w:szCs w:val="24"/>
          <w:highlight w:val="none"/>
        </w:rPr>
        <w:t xml:space="preserve">经营环节(包括销售和餐饮)【注：餐饮环节不包含复用餐饮具，销售环节不包含食用农产品】按食品、食用农产品分别统计，低于</w:t>
      </w:r>
      <w:r>
        <w:rPr>
          <w:rFonts w:hint="eastAsia"/>
          <w:bCs/>
          <w:color w:val="auto"/>
          <w:sz w:val="24"/>
          <w:szCs w:val="24"/>
          <w:highlight w:val="none"/>
          <w:lang w:val="en-US" w:eastAsia="zh-CN"/>
        </w:rPr>
        <w:t xml:space="preserve">三个采购包成交单位</w:t>
      </w:r>
      <w:r>
        <w:rPr>
          <w:rFonts w:hint="eastAsia"/>
          <w:bCs/>
          <w:color w:val="auto"/>
          <w:sz w:val="24"/>
          <w:szCs w:val="24"/>
          <w:highlight w:val="none"/>
        </w:rPr>
        <w:t xml:space="preserve">问题检出平均值的90%，每低0.1%扣款</w:t>
      </w:r>
      <w:r>
        <w:rPr>
          <w:rFonts w:hint="eastAsia"/>
          <w:bCs/>
          <w:color w:val="auto"/>
          <w:sz w:val="24"/>
          <w:szCs w:val="24"/>
          <w:highlight w:val="none"/>
          <w:lang w:val="en-US" w:eastAsia="zh-CN"/>
        </w:rPr>
        <w:t xml:space="preserve">2000元</w:t>
      </w:r>
      <w:r>
        <w:rPr>
          <w:rFonts w:hint="eastAsia"/>
          <w:bCs/>
          <w:color w:val="auto"/>
          <w:sz w:val="24"/>
          <w:szCs w:val="24"/>
          <w:highlight w:val="none"/>
          <w:lang w:eastAsia="zh-CN"/>
        </w:rPr>
        <w:t xml:space="preserve">。</w:t>
      </w:r>
      <w:r/>
    </w:p>
    <w:p>
      <w:pPr>
        <w:numPr>
          <w:ilvl w:val="0"/>
          <w:numId w:val="0"/>
        </w:numPr>
        <w:ind w:firstLine="480"/>
        <w:spacing w:line="560" w:lineRule="exact"/>
        <w:rPr>
          <w:rFonts w:hint="eastAsia"/>
          <w:bCs/>
          <w:color w:val="auto"/>
          <w:sz w:val="24"/>
          <w:szCs w:val="24"/>
          <w:highlight w:val="none"/>
          <w:lang w:eastAsia="zh-CN"/>
        </w:rPr>
      </w:pPr>
      <w:r>
        <w:rPr>
          <w:rFonts w:hint="eastAsia"/>
          <w:bCs/>
          <w:color w:val="auto"/>
          <w:sz w:val="24"/>
          <w:szCs w:val="24"/>
          <w:highlight w:val="none"/>
          <w:lang w:eastAsia="zh-CN"/>
        </w:rPr>
        <w:t xml:space="preserve">生产环节未检出问题，同类产品上级或其他地区市场监管部门检出不合格的，免费开展不合格原因分析、现场技术指导帮扶，并提供一次对应产品相应项目的免费跟踪抽检服务。</w:t>
      </w:r>
      <w:r/>
    </w:p>
    <w:p>
      <w:pPr>
        <w:ind w:firstLine="480"/>
        <w:spacing w:line="560" w:lineRule="exact"/>
        <w:rPr>
          <w:rFonts w:hint="eastAsia"/>
          <w:color w:val="auto"/>
          <w:sz w:val="24"/>
          <w:szCs w:val="24"/>
          <w:highlight w:val="none"/>
        </w:rPr>
      </w:pPr>
      <w:r>
        <w:rPr>
          <w:rFonts w:hint="eastAsia" w:eastAsia="宋体"/>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eastAsia" w:eastAsia="宋体"/>
          <w:color w:val="auto"/>
          <w:sz w:val="24"/>
          <w:szCs w:val="24"/>
          <w:highlight w:val="none"/>
          <w:lang w:eastAsia="zh-CN"/>
        </w:rPr>
        <w:t xml:space="preserve">）</w:t>
      </w:r>
      <w:r>
        <w:rPr>
          <w:rFonts w:hint="default"/>
          <w:color w:val="auto"/>
          <w:sz w:val="24"/>
          <w:szCs w:val="24"/>
          <w:highlight w:val="none"/>
        </w:rPr>
        <w:t xml:space="preserve">为确保抽检工作的广泛性与代表性，流通环节普通食品抽检应实现较高的主体覆盖率。具体考核标准如下：</w:t>
      </w:r>
      <w:r>
        <w:rPr>
          <w:rFonts w:hint="default"/>
          <w:color w:val="auto"/>
          <w:sz w:val="24"/>
          <w:szCs w:val="24"/>
          <w:highlight w:val="none"/>
        </w:rPr>
        <w:br/>
      </w:r>
      <w:r>
        <w:rPr>
          <w:rFonts w:hint="eastAsia" w:ascii="Times New Roman" w:eastAsia="宋体"/>
          <w:color w:val="auto"/>
          <w:sz w:val="24"/>
          <w:szCs w:val="24"/>
          <w:highlight w:val="none"/>
          <w:lang w:val="en-US" w:eastAsia="zh-CN"/>
        </w:rPr>
        <w:t xml:space="preserve">    </w:t>
      </w:r>
      <w:r>
        <w:rPr>
          <w:rFonts w:hint="default"/>
          <w:color w:val="auto"/>
          <w:sz w:val="24"/>
          <w:szCs w:val="24"/>
          <w:highlight w:val="none"/>
        </w:rPr>
        <w:t xml:space="preserve">抽检主体覆盖度以“流通环节普通食品抽检批次数/被抽检主体数”比值进行衡量，该比值小于5为达标。若该比值达到或超过以下阈值，则按相应标准扣款：</w:t>
      </w:r>
      <w:r/>
    </w:p>
    <w:p>
      <w:pPr>
        <w:ind w:firstLine="480"/>
        <w:spacing w:line="560" w:lineRule="exact"/>
        <w:rPr>
          <w:rFonts w:hint="eastAsia"/>
          <w:color w:val="auto"/>
          <w:sz w:val="24"/>
          <w:szCs w:val="24"/>
          <w:highlight w:val="none"/>
        </w:rPr>
      </w:pPr>
      <w:r>
        <w:rPr>
          <w:rFonts w:hint="default"/>
          <w:color w:val="auto"/>
          <w:sz w:val="24"/>
          <w:szCs w:val="24"/>
          <w:highlight w:val="none"/>
        </w:rPr>
        <w:t xml:space="preserve">比值 ≥ 5：扣款 2500 元</w:t>
      </w:r>
      <w:r/>
    </w:p>
    <w:p>
      <w:pPr>
        <w:ind w:firstLine="480"/>
        <w:spacing w:line="560" w:lineRule="exact"/>
        <w:rPr>
          <w:rFonts w:hint="eastAsia"/>
          <w:color w:val="auto"/>
          <w:sz w:val="24"/>
          <w:szCs w:val="24"/>
          <w:highlight w:val="none"/>
        </w:rPr>
      </w:pPr>
      <w:r>
        <w:rPr>
          <w:rFonts w:hint="default"/>
          <w:color w:val="auto"/>
          <w:sz w:val="24"/>
          <w:szCs w:val="24"/>
          <w:highlight w:val="none"/>
        </w:rPr>
        <w:t xml:space="preserve">比值 ≥ 6：扣款 3000 元</w:t>
      </w:r>
      <w:r/>
    </w:p>
    <w:p>
      <w:pPr>
        <w:ind w:firstLine="480"/>
        <w:spacing w:line="560" w:lineRule="exact"/>
        <w:rPr>
          <w:rFonts w:hint="eastAsia"/>
          <w:color w:val="auto"/>
          <w:sz w:val="24"/>
          <w:szCs w:val="24"/>
          <w:highlight w:val="none"/>
        </w:rPr>
      </w:pPr>
      <w:r>
        <w:rPr>
          <w:rFonts w:hint="default"/>
          <w:color w:val="auto"/>
          <w:sz w:val="24"/>
          <w:szCs w:val="24"/>
          <w:highlight w:val="none"/>
        </w:rPr>
        <w:t xml:space="preserve">比值 ≥ 7：扣款 5000 元</w:t>
      </w:r>
      <w:r/>
    </w:p>
    <w:p>
      <w:pPr>
        <w:ind w:firstLine="480"/>
        <w:spacing w:line="560" w:lineRule="exact"/>
        <w:rPr>
          <w:rFonts w:hint="default"/>
          <w:color w:val="auto"/>
          <w:sz w:val="24"/>
          <w:szCs w:val="24"/>
          <w:highlight w:val="none"/>
        </w:rPr>
      </w:pPr>
      <w:r>
        <w:rPr>
          <w:rFonts w:hint="default"/>
          <w:color w:val="auto"/>
          <w:sz w:val="24"/>
          <w:szCs w:val="24"/>
          <w:highlight w:val="none"/>
        </w:rPr>
        <w:t xml:space="preserve">比值 ≥ 8：扣款 10000 元</w:t>
      </w:r>
      <w:r/>
    </w:p>
    <w:p>
      <w:pPr>
        <w:ind w:firstLine="480"/>
        <w:spacing w:line="560" w:lineRule="exact"/>
        <w:rPr>
          <w:bCs/>
          <w:color w:val="auto"/>
          <w:sz w:val="24"/>
          <w:szCs w:val="24"/>
          <w:highlight w:val="none"/>
        </w:rPr>
      </w:pPr>
      <w:r>
        <w:rPr>
          <w:rFonts w:hint="eastAsia"/>
          <w:bCs/>
          <w:color w:val="auto"/>
          <w:sz w:val="24"/>
          <w:szCs w:val="24"/>
          <w:highlight w:val="none"/>
        </w:rPr>
        <w:t xml:space="preserve">（</w:t>
      </w:r>
      <w:r>
        <w:rPr>
          <w:rFonts w:hint="eastAsia"/>
          <w:bCs/>
          <w:color w:val="auto"/>
          <w:sz w:val="24"/>
          <w:szCs w:val="24"/>
          <w:highlight w:val="none"/>
          <w:lang w:val="en-US" w:eastAsia="zh-CN"/>
        </w:rPr>
        <w:t xml:space="preserve">4</w:t>
      </w:r>
      <w:r>
        <w:rPr>
          <w:rFonts w:hint="eastAsia"/>
          <w:bCs/>
          <w:color w:val="auto"/>
          <w:sz w:val="24"/>
          <w:szCs w:val="24"/>
          <w:highlight w:val="none"/>
        </w:rPr>
        <w:t xml:space="preserve">）供应商在国抽填报系统中录入的数据，被南通市级反馈有质量问题的，每个问题扣200元；被江苏省级反馈有质量问题的，每个问题扣500元；被国家级反馈有质量问题的，每个问题扣800元。自查互查过程中发现数据质量存在问题或数据退修的，每退修一批次，扣除100元。实施抽检分离的批次，按照产生问题的环节，由抽样方和检验方承担各自责任。</w:t>
      </w:r>
      <w:r/>
    </w:p>
    <w:p>
      <w:pPr>
        <w:ind w:firstLine="480"/>
        <w:spacing w:line="560" w:lineRule="exact"/>
        <w:rPr>
          <w:rFonts w:hint="eastAsia" w:eastAsia="宋体"/>
          <w:bCs/>
          <w:color w:val="auto"/>
          <w:sz w:val="24"/>
          <w:szCs w:val="24"/>
          <w:highlight w:val="none"/>
          <w:lang w:val="en-US" w:eastAsia="zh-CN"/>
        </w:rPr>
      </w:pPr>
      <w:r>
        <w:rPr>
          <w:rFonts w:hint="eastAsia"/>
          <w:bCs/>
          <w:color w:val="auto"/>
          <w:sz w:val="24"/>
          <w:szCs w:val="24"/>
          <w:highlight w:val="none"/>
        </w:rPr>
        <w:t xml:space="preserve">（</w:t>
      </w:r>
      <w:r>
        <w:rPr>
          <w:rFonts w:hint="eastAsia"/>
          <w:bCs/>
          <w:color w:val="auto"/>
          <w:sz w:val="24"/>
          <w:szCs w:val="24"/>
          <w:highlight w:val="none"/>
          <w:lang w:val="en-US" w:eastAsia="zh-CN"/>
        </w:rPr>
        <w:t xml:space="preserve">5</w:t>
      </w:r>
      <w:r>
        <w:rPr>
          <w:rFonts w:hint="eastAsia"/>
          <w:bCs/>
          <w:color w:val="auto"/>
          <w:sz w:val="24"/>
          <w:szCs w:val="24"/>
          <w:highlight w:val="none"/>
        </w:rPr>
        <w:t xml:space="preserve">）因成交供应商原因导致抽检异议被认可的，将不予结算该批次费用。供应商的检测判定结果，如果出现复检改判检测结论，结论被推翻的，供应</w:t>
      </w:r>
      <w:r>
        <w:rPr>
          <w:rFonts w:hint="eastAsia"/>
          <w:bCs/>
          <w:color w:val="auto"/>
          <w:sz w:val="24"/>
          <w:szCs w:val="24"/>
          <w:highlight w:val="none"/>
        </w:rPr>
        <w:t xml:space="preserve">商应当承担每批次违约金5000元，同时由供应商承担复检费用。抽检异议（不包含复检改判结论的）被认可的，且检验报告被推翻的，供应商应当承担每批次违约金5000元。如因供应商原因造成采购人实施的行政处罚在听证复议中被撤销或在上级案件审查中被判错案的，供应商应当承担每起案件10000元的违约金：如造成采购人实施的行政处罚在诉讼中败诉的，供应商应当承担每起案件(包括一审、二审及再审)50000元的违约金。如发生上述违约行为的，双方协商，成交供应商可向采购人支付违约金或最终一次性在合同款项中扣除。上述违约金累计结算。</w:t>
      </w:r>
      <w:r/>
    </w:p>
    <w:p>
      <w:pPr>
        <w:ind w:firstLine="480"/>
        <w:spacing w:line="560" w:lineRule="exact"/>
        <w:rPr>
          <w:bCs/>
          <w:color w:val="auto"/>
          <w:sz w:val="24"/>
          <w:szCs w:val="24"/>
          <w:highlight w:val="none"/>
        </w:rPr>
      </w:pPr>
      <w:r>
        <w:rPr>
          <w:rFonts w:hint="eastAsia"/>
          <w:bCs/>
          <w:color w:val="auto"/>
          <w:sz w:val="24"/>
          <w:szCs w:val="24"/>
          <w:highlight w:val="none"/>
        </w:rPr>
        <w:t xml:space="preserve">（</w:t>
      </w:r>
      <w:r>
        <w:rPr>
          <w:rFonts w:hint="eastAsia"/>
          <w:bCs/>
          <w:color w:val="auto"/>
          <w:sz w:val="24"/>
          <w:szCs w:val="24"/>
          <w:highlight w:val="none"/>
          <w:lang w:val="en-US" w:eastAsia="zh-CN"/>
        </w:rPr>
        <w:t xml:space="preserve">6</w:t>
      </w:r>
      <w:r>
        <w:rPr>
          <w:rFonts w:hint="eastAsia"/>
          <w:bCs/>
          <w:color w:val="auto"/>
          <w:sz w:val="24"/>
          <w:szCs w:val="24"/>
          <w:highlight w:val="none"/>
        </w:rPr>
        <w:t xml:space="preserve">）采购人根据采购文件要求，每三个月随机对供应商保存从抽样到出具检验报告的全过程音像视频记录进行抽查（随机抽查3个批次）；对供应商对于冷藏、冷冻或有其他特殊贮运条件等要求的样品，自行运输及全程跟踪记录温度变化情况进行抽查。每缺少一批次扣款1000元，视频记录不符合约定要求每批次扣款500元。</w:t>
      </w:r>
      <w:r/>
    </w:p>
    <w:p>
      <w:pPr>
        <w:ind w:firstLine="480"/>
        <w:spacing w:line="560" w:lineRule="exact"/>
        <w:rPr>
          <w:rFonts w:hint="eastAsia"/>
          <w:bCs/>
          <w:color w:val="auto"/>
          <w:sz w:val="24"/>
          <w:szCs w:val="24"/>
          <w:highlight w:val="none"/>
        </w:rPr>
      </w:pPr>
      <w:r>
        <w:rPr>
          <w:rFonts w:hint="eastAsia"/>
          <w:bCs/>
          <w:color w:val="auto"/>
          <w:sz w:val="24"/>
          <w:szCs w:val="24"/>
          <w:highlight w:val="none"/>
        </w:rPr>
        <w:t xml:space="preserve">（</w:t>
      </w:r>
      <w:r>
        <w:rPr>
          <w:rFonts w:hint="eastAsia"/>
          <w:bCs/>
          <w:color w:val="auto"/>
          <w:sz w:val="24"/>
          <w:szCs w:val="24"/>
          <w:highlight w:val="none"/>
          <w:lang w:val="en-US" w:eastAsia="zh-CN"/>
        </w:rPr>
        <w:t xml:space="preserve">7</w:t>
      </w:r>
      <w:r>
        <w:rPr>
          <w:rFonts w:hint="eastAsia"/>
          <w:bCs/>
          <w:color w:val="auto"/>
          <w:sz w:val="24"/>
          <w:szCs w:val="24"/>
          <w:highlight w:val="none"/>
        </w:rPr>
        <w:t xml:space="preserve">）采购人在合约履行期间，组织对供应商的合格备份样品进行留样再测，有一批次不符合（结论改变：留样再测机构不低于两家，再测机构与初检机构结论不一致的，判为不合格）的扣款5000元。</w:t>
      </w:r>
      <w:r/>
    </w:p>
    <w:p>
      <w:pPr>
        <w:ind w:firstLine="480"/>
        <w:spacing w:line="560" w:lineRule="exact"/>
        <w:rPr>
          <w:bCs/>
          <w:color w:val="auto"/>
          <w:sz w:val="24"/>
          <w:szCs w:val="24"/>
          <w:highlight w:val="none"/>
        </w:rPr>
      </w:pPr>
      <w:r>
        <w:rPr>
          <w:rFonts w:hint="eastAsia"/>
          <w:bCs/>
          <w:color w:val="auto"/>
          <w:sz w:val="24"/>
          <w:szCs w:val="24"/>
          <w:highlight w:val="none"/>
        </w:rPr>
        <w:t xml:space="preserve">（</w:t>
      </w:r>
      <w:r>
        <w:rPr>
          <w:rFonts w:hint="eastAsia"/>
          <w:bCs/>
          <w:color w:val="auto"/>
          <w:sz w:val="24"/>
          <w:szCs w:val="24"/>
          <w:highlight w:val="none"/>
          <w:lang w:val="en-US" w:eastAsia="zh-CN"/>
        </w:rPr>
        <w:t xml:space="preserve">8</w:t>
      </w:r>
      <w:r>
        <w:rPr>
          <w:rFonts w:hint="eastAsia"/>
          <w:bCs/>
          <w:color w:val="auto"/>
          <w:sz w:val="24"/>
          <w:szCs w:val="24"/>
          <w:highlight w:val="none"/>
        </w:rPr>
        <w:t xml:space="preserve">）采购人将对每个采购包随机抽取10个批次，每有一个批次检测未达到</w:t>
      </w:r>
      <w:r>
        <w:rPr>
          <w:rFonts w:hint="eastAsia"/>
          <w:bCs/>
          <w:color w:val="auto"/>
          <w:sz w:val="24"/>
          <w:szCs w:val="24"/>
          <w:highlight w:val="none"/>
          <w:lang w:val="en-US" w:eastAsia="zh-CN"/>
        </w:rPr>
        <w:t xml:space="preserve">采购文件中约定的</w:t>
      </w:r>
      <w:r>
        <w:rPr>
          <w:rFonts w:hint="eastAsia"/>
          <w:bCs/>
          <w:color w:val="auto"/>
          <w:sz w:val="24"/>
          <w:szCs w:val="24"/>
          <w:highlight w:val="none"/>
        </w:rPr>
        <w:t xml:space="preserve">要求，扣3000.00元。若10个批次的所检项目均未达到约定要求，将扣除合同价款的10%。</w:t>
      </w:r>
      <w:r/>
    </w:p>
    <w:p>
      <w:pPr>
        <w:pStyle w:val="746"/>
        <w:numPr>
          <w:ilvl w:val="0"/>
          <w:numId w:val="0"/>
        </w:numPr>
        <w:ind w:left="0" w:firstLine="480"/>
        <w:rPr>
          <w:rFonts w:hint="default"/>
          <w:bCs/>
          <w:color w:val="auto"/>
          <w:sz w:val="24"/>
          <w:szCs w:val="24"/>
          <w:highlight w:val="none"/>
          <w:lang w:val="en-US" w:eastAsia="zh-CN"/>
        </w:rPr>
      </w:pPr>
      <w:r>
        <w:rPr>
          <w:rFonts w:hint="default"/>
          <w:bCs/>
          <w:color w:val="auto"/>
          <w:sz w:val="24"/>
          <w:szCs w:val="24"/>
          <w:highlight w:val="none"/>
          <w:lang w:val="en-US" w:eastAsia="zh-CN"/>
        </w:rPr>
        <w:t xml:space="preserve">（</w:t>
      </w:r>
      <w:r>
        <w:rPr>
          <w:rFonts w:hint="eastAsia"/>
          <w:bCs/>
          <w:color w:val="auto"/>
          <w:sz w:val="24"/>
          <w:szCs w:val="24"/>
          <w:highlight w:val="none"/>
          <w:lang w:val="en-US" w:eastAsia="zh-CN"/>
        </w:rPr>
        <w:t xml:space="preserve">9</w:t>
      </w:r>
      <w:r>
        <w:rPr>
          <w:rFonts w:hint="default"/>
          <w:bCs/>
          <w:color w:val="auto"/>
          <w:sz w:val="24"/>
          <w:szCs w:val="24"/>
          <w:highlight w:val="none"/>
          <w:lang w:val="en-US" w:eastAsia="zh-CN"/>
        </w:rPr>
        <w:t xml:space="preserve">）对于本项目生产环节检验批的成交供应商所检测项目同一批次产品在其他区域（或上级主管）部门随机抽检发现不合格的，经采购人确认核实存在结论有误情形的，采购人将扣除成交供应商合同价款的5%，并扣减承接检测任务数量的10%。</w:t>
      </w:r>
      <w:r/>
    </w:p>
    <w:p>
      <w:pPr>
        <w:pStyle w:val="746"/>
        <w:numPr>
          <w:ilvl w:val="0"/>
          <w:numId w:val="0"/>
        </w:numPr>
        <w:ind w:left="0" w:firstLine="480"/>
        <w:rPr>
          <w:rFonts w:hint="default"/>
          <w:bCs/>
          <w:color w:val="auto"/>
          <w:sz w:val="24"/>
          <w:szCs w:val="24"/>
          <w:highlight w:val="none"/>
          <w:lang w:val="en-US" w:eastAsia="zh-CN"/>
        </w:rPr>
      </w:pPr>
      <w:r>
        <w:rPr>
          <w:rFonts w:hint="default"/>
          <w:bCs/>
          <w:color w:val="auto"/>
          <w:sz w:val="24"/>
          <w:szCs w:val="24"/>
          <w:highlight w:val="none"/>
          <w:lang w:val="en-US" w:eastAsia="zh-CN"/>
        </w:rPr>
        <w:t xml:space="preserve">（</w:t>
      </w:r>
      <w:r>
        <w:rPr>
          <w:rFonts w:hint="eastAsia"/>
          <w:bCs/>
          <w:color w:val="auto"/>
          <w:sz w:val="24"/>
          <w:szCs w:val="24"/>
          <w:highlight w:val="none"/>
          <w:lang w:val="en-US" w:eastAsia="zh-CN"/>
        </w:rPr>
        <w:t xml:space="preserve">10</w:t>
      </w:r>
      <w:r>
        <w:rPr>
          <w:rFonts w:hint="default"/>
          <w:bCs/>
          <w:color w:val="auto"/>
          <w:sz w:val="24"/>
          <w:szCs w:val="24"/>
          <w:highlight w:val="none"/>
          <w:lang w:val="en-US" w:eastAsia="zh-CN"/>
        </w:rPr>
        <w:t xml:space="preserve">）若采购人发现成交供应商未按检测要求时限开展检验并出具检验报告，相关批次的检测费用不予结算。</w:t>
      </w:r>
      <w:r/>
    </w:p>
    <w:p>
      <w:pPr>
        <w:pStyle w:val="746"/>
        <w:numPr>
          <w:ilvl w:val="0"/>
          <w:numId w:val="0"/>
        </w:numPr>
        <w:ind w:left="0" w:firstLine="480"/>
        <w:rPr>
          <w:rFonts w:hint="default"/>
          <w:bCs/>
          <w:color w:val="auto"/>
          <w:sz w:val="24"/>
          <w:szCs w:val="24"/>
          <w:highlight w:val="none"/>
          <w:lang w:val="en-US" w:eastAsia="zh-CN"/>
        </w:rPr>
      </w:pPr>
      <w:r>
        <w:rPr>
          <w:rFonts w:hint="default"/>
          <w:bCs/>
          <w:color w:val="auto"/>
          <w:sz w:val="24"/>
          <w:szCs w:val="24"/>
          <w:highlight w:val="none"/>
          <w:lang w:val="en-US" w:eastAsia="zh-CN"/>
        </w:rPr>
        <w:t xml:space="preserve">（</w:t>
      </w:r>
      <w:r>
        <w:rPr>
          <w:rFonts w:hint="eastAsia"/>
          <w:bCs/>
          <w:color w:val="auto"/>
          <w:sz w:val="24"/>
          <w:szCs w:val="24"/>
          <w:highlight w:val="none"/>
          <w:lang w:val="en-US" w:eastAsia="zh-CN"/>
        </w:rPr>
        <w:t xml:space="preserve">11</w:t>
      </w:r>
      <w:r>
        <w:rPr>
          <w:rFonts w:hint="default"/>
          <w:bCs/>
          <w:color w:val="auto"/>
          <w:sz w:val="24"/>
          <w:szCs w:val="24"/>
          <w:highlight w:val="none"/>
          <w:lang w:val="en-US" w:eastAsia="zh-CN"/>
        </w:rPr>
        <w:t xml:space="preserve">）供应商在抽检过程中被发现违法违规，采购人有权取消承检机构的抽检任务资格。发现成交供应商在本项目检测中存在弄虚作假的，经采购人发现或上级主管部门通报的，收回按照合同支付的抽样检测费用，不再委托其承担食品安全抽样检验任务，解除采购合同，并追究因此产生的相关损失。</w:t>
      </w:r>
      <w:r/>
    </w:p>
    <w:p>
      <w:pPr>
        <w:pStyle w:val="746"/>
        <w:numPr>
          <w:ilvl w:val="0"/>
          <w:numId w:val="0"/>
        </w:numPr>
        <w:ind w:left="0" w:firstLine="480"/>
        <w:rPr>
          <w:rFonts w:hint="default"/>
          <w:bCs/>
          <w:color w:val="auto"/>
          <w:sz w:val="24"/>
          <w:szCs w:val="24"/>
          <w:highlight w:val="none"/>
          <w:lang w:val="en-US" w:eastAsia="zh-CN"/>
        </w:rPr>
      </w:pPr>
      <w:r>
        <w:rPr>
          <w:rFonts w:hint="default"/>
          <w:bCs/>
          <w:color w:val="auto"/>
          <w:sz w:val="24"/>
          <w:szCs w:val="24"/>
          <w:highlight w:val="none"/>
          <w:lang w:val="en-US" w:eastAsia="zh-CN"/>
        </w:rPr>
        <w:t xml:space="preserve">（</w:t>
      </w:r>
      <w:r>
        <w:rPr>
          <w:rFonts w:hint="eastAsia"/>
          <w:bCs/>
          <w:color w:val="auto"/>
          <w:sz w:val="24"/>
          <w:szCs w:val="24"/>
          <w:highlight w:val="none"/>
          <w:lang w:val="en-US" w:eastAsia="zh-CN"/>
        </w:rPr>
        <w:t xml:space="preserve">12</w:t>
      </w:r>
      <w:r>
        <w:rPr>
          <w:rFonts w:hint="default"/>
          <w:bCs/>
          <w:color w:val="auto"/>
          <w:sz w:val="24"/>
          <w:szCs w:val="24"/>
          <w:highlight w:val="none"/>
          <w:lang w:val="en-US" w:eastAsia="zh-CN"/>
        </w:rPr>
        <w:t xml:space="preserve">）成交供应商应对所提供的服务项目与合同要求不符、或服务过程出现的失误按下述情形及规定承担相应责任：除法律规定的不可抗力原因外，抽样检测服务正常工作不得中断；若需中断，成交供应商必须向采购人提出书面申请，待采购人书面批准后方可延期，否则不予认可。</w:t>
      </w:r>
      <w:r/>
    </w:p>
    <w:p>
      <w:pPr>
        <w:numPr>
          <w:ilvl w:val="0"/>
          <w:numId w:val="0"/>
        </w:numPr>
        <w:ind w:firstLine="480"/>
        <w:rPr>
          <w:color w:val="auto"/>
          <w:sz w:val="24"/>
          <w:szCs w:val="24"/>
          <w:highlight w:val="none"/>
        </w:rPr>
      </w:pPr>
      <w:r>
        <w:rPr>
          <w:rFonts w:hint="eastAsia"/>
          <w:color w:val="auto"/>
          <w:sz w:val="24"/>
          <w:szCs w:val="24"/>
          <w:highlight w:val="none"/>
        </w:rPr>
        <w:t xml:space="preserve">7.采购标的的其他技术、服务等要求：</w:t>
      </w:r>
      <w:r/>
    </w:p>
    <w:p>
      <w:pPr>
        <w:ind w:firstLine="480"/>
        <w:spacing w:line="560" w:lineRule="exact"/>
        <w:rPr>
          <w:color w:val="auto"/>
          <w:sz w:val="24"/>
          <w:szCs w:val="24"/>
          <w:highlight w:val="none"/>
        </w:rPr>
      </w:pPr>
      <w:r>
        <w:rPr>
          <w:rFonts w:hint="eastAsia"/>
          <w:color w:val="auto"/>
          <w:sz w:val="24"/>
          <w:szCs w:val="24"/>
          <w:highlight w:val="none"/>
        </w:rPr>
        <w:t xml:space="preserve">7.1采购人提供给供应商基础技术材料与政策文件以及反映采购人要求的或其他类似性质的文件的著作权属于采购人，供应商可以为实现合同目的而复制、使用此类文件，但不能用于与合同无关的其他事项；供应商为实施合同所编制的文件的著作权属于采购人，供应商可因实施合同目的需要而复制、使用此类文件，但不能用于与合同无关的其他事项；供应商保证在履行合同过程中不侵犯对方及第三方的知识产权，如在实施合同时侵犯他人的专利权或其他知识产权所引起的责任，由供应商承担。</w:t>
      </w:r>
      <w:r/>
    </w:p>
    <w:p>
      <w:pPr>
        <w:ind w:firstLine="480"/>
        <w:spacing w:line="560" w:lineRule="exact"/>
        <w:rPr>
          <w:color w:val="auto"/>
          <w:sz w:val="24"/>
          <w:szCs w:val="24"/>
          <w:highlight w:val="none"/>
        </w:rPr>
      </w:pPr>
      <w:r>
        <w:rPr>
          <w:rFonts w:hint="eastAsia"/>
          <w:color w:val="auto"/>
          <w:sz w:val="24"/>
          <w:szCs w:val="24"/>
          <w:highlight w:val="none"/>
        </w:rPr>
        <w:t xml:space="preserve">8.（1）非单一产品采购项目，采购标的中的核心产品：无</w:t>
      </w:r>
      <w:r/>
    </w:p>
    <w:p>
      <w:pPr>
        <w:ind w:firstLine="48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（2）本项目的主要标的：</w:t>
      </w:r>
      <w:r>
        <w:rPr>
          <w:rFonts w:hint="eastAsia"/>
          <w:color w:val="auto"/>
          <w:sz w:val="24"/>
          <w:szCs w:val="24"/>
          <w:highlight w:val="none"/>
          <w:lang w:eastAsia="zh-CN"/>
        </w:rPr>
        <w:t xml:space="preserve">海安市市场监督管理局2026年食品抽检服务项目</w:t>
      </w:r>
      <w:r/>
    </w:p>
    <w:p>
      <w:pPr>
        <w:ind w:firstLine="480"/>
        <w:spacing w:line="560" w:lineRule="exact"/>
        <w:rPr>
          <w:rFonts w:hint="default" w:eastAsia="宋体"/>
          <w:color w:val="auto"/>
          <w:sz w:val="24"/>
          <w:szCs w:val="24"/>
          <w:highlight w:val="none"/>
          <w:lang w:val="en-US" w:eastAsia="zh-CN"/>
        </w:rPr>
      </w:pPr>
      <w:r>
        <w:rPr>
          <w:rFonts w:hint="eastAsia"/>
          <w:color w:val="auto"/>
          <w:sz w:val="24"/>
          <w:szCs w:val="24"/>
          <w:highlight w:val="none"/>
        </w:rPr>
        <w:t xml:space="preserve">9.采购需求中必须满足的实质性要求：本项目的食品安全抽检工作严格遵照《食品安全抽样检验管理办法》、市场监管总监制定的《食品安全抽样检验工作规范》（市监食检发[2023]76号）、《食品安全监督抽检实施细则》</w:t>
      </w:r>
      <w:r>
        <w:rPr>
          <w:rFonts w:hint="eastAsia"/>
          <w:color w:val="auto"/>
          <w:sz w:val="24"/>
          <w:szCs w:val="24"/>
          <w:highlight w:val="none"/>
          <w:lang w:val="en-US" w:eastAsia="zh-CN"/>
        </w:rPr>
        <w:t xml:space="preserve">最新</w:t>
      </w:r>
      <w:r>
        <w:rPr>
          <w:rFonts w:hint="eastAsia"/>
          <w:color w:val="auto"/>
          <w:sz w:val="24"/>
          <w:szCs w:val="24"/>
          <w:highlight w:val="none"/>
        </w:rPr>
        <w:t xml:space="preserve">版、市场监管总局《食用农产品抽样检验和核查处置规定》和江苏省、南通市、海安市市场监督管理局相关要求执行，并符合其他食品安全抽检工作的规定要求。</w:t>
      </w:r>
      <w:r>
        <w:rPr>
          <w:rFonts w:hint="eastAsia" w:ascii="Times New Roman" w:eastAsia="宋体"/>
          <w:color w:val="auto"/>
          <w:sz w:val="24"/>
          <w:szCs w:val="24"/>
          <w:highlight w:val="none"/>
          <w:lang w:val="en-US" w:eastAsia="zh-CN"/>
        </w:rPr>
        <w:t xml:space="preserve">如果在项目实施过程中有相关政策调整或法律法规变更的，则以最新要求为准。</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10.付款方式</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10.1</w:t>
      </w:r>
      <w:r>
        <w:rPr>
          <w:rFonts w:hint="eastAsia" w:ascii="宋体" w:hAnsi="宋体"/>
          <w:color w:val="auto"/>
          <w:sz w:val="24"/>
          <w:szCs w:val="24"/>
          <w:highlight w:val="none"/>
        </w:rPr>
        <w:t xml:space="preserve">第一次付款：按采购方要求，签定合同后</w:t>
      </w:r>
      <w:r>
        <w:rPr>
          <w:rFonts w:hint="eastAsia" w:ascii="宋体" w:hAnsi="宋体"/>
          <w:color w:val="auto"/>
          <w:sz w:val="24"/>
          <w:szCs w:val="24"/>
          <w:highlight w:val="none"/>
          <w:lang w:val="en-US" w:eastAsia="zh-CN"/>
        </w:rPr>
        <w:t xml:space="preserve">30日内</w:t>
      </w:r>
      <w:r>
        <w:rPr>
          <w:rFonts w:hint="eastAsia" w:ascii="宋体" w:hAnsi="宋体"/>
          <w:color w:val="auto"/>
          <w:sz w:val="24"/>
          <w:szCs w:val="24"/>
          <w:highlight w:val="none"/>
        </w:rPr>
        <w:t xml:space="preserve">付合同价的40%作为预付款；</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2第二次付款（2026年12月）</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（1）采购包</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：任务完成后根据验收</w:t>
      </w:r>
      <w:r>
        <w:rPr>
          <w:rFonts w:hint="eastAsia" w:ascii="宋体" w:hAnsi="宋体"/>
          <w:color w:val="auto"/>
          <w:sz w:val="24"/>
          <w:szCs w:val="24"/>
          <w:highlight w:val="none"/>
          <w:lang w:val="en-US" w:eastAsia="zh-CN"/>
        </w:rPr>
        <w:t xml:space="preserve">情况</w:t>
      </w:r>
      <w:r>
        <w:rPr>
          <w:rFonts w:hint="eastAsia" w:ascii="宋体" w:hAnsi="宋体"/>
          <w:color w:val="auto"/>
          <w:sz w:val="24"/>
          <w:szCs w:val="24"/>
          <w:highlight w:val="none"/>
        </w:rPr>
        <w:t xml:space="preserve">结算支付余款。</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（2）采购包</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、包3：</w:t>
      </w:r>
      <w:r>
        <w:rPr>
          <w:rFonts w:hint="eastAsia" w:ascii="宋体" w:hAnsi="宋体"/>
          <w:color w:val="auto"/>
          <w:sz w:val="24"/>
          <w:szCs w:val="24"/>
          <w:highlight w:val="none"/>
          <w:lang w:val="en-US" w:eastAsia="zh-CN"/>
        </w:rPr>
        <w:t xml:space="preserve">对已完成批次</w:t>
      </w:r>
      <w:r>
        <w:rPr>
          <w:rFonts w:hint="eastAsia" w:ascii="宋体" w:hAnsi="宋体"/>
          <w:color w:val="auto"/>
          <w:sz w:val="24"/>
          <w:szCs w:val="24"/>
          <w:highlight w:val="none"/>
        </w:rPr>
        <w:t xml:space="preserve">根据验收</w:t>
      </w:r>
      <w:r>
        <w:rPr>
          <w:rFonts w:hint="eastAsia" w:ascii="宋体" w:hAnsi="宋体"/>
          <w:color w:val="auto"/>
          <w:sz w:val="24"/>
          <w:szCs w:val="24"/>
          <w:highlight w:val="none"/>
          <w:lang w:val="en-US" w:eastAsia="zh-CN"/>
        </w:rPr>
        <w:t xml:space="preserve">情况计算应付款项，付至应付款项的90%</w:t>
      </w:r>
      <w:r>
        <w:rPr>
          <w:rFonts w:hint="eastAsia" w:ascii="宋体" w:hAnsi="宋体"/>
          <w:color w:val="auto"/>
          <w:sz w:val="24"/>
          <w:szCs w:val="24"/>
          <w:highlight w:val="none"/>
        </w:rPr>
        <w:t xml:space="preserve">；</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3第</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次付款（2027年5月）</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采购包</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、包3：任务完成后</w:t>
      </w:r>
      <w:r>
        <w:rPr>
          <w:rFonts w:hint="eastAsia" w:ascii="宋体" w:hAnsi="宋体"/>
          <w:color w:val="auto"/>
          <w:sz w:val="24"/>
          <w:szCs w:val="24"/>
          <w:highlight w:val="none"/>
          <w:lang w:val="en-US" w:eastAsia="zh-CN"/>
        </w:rPr>
        <w:t xml:space="preserve">对未验收的批次</w:t>
      </w:r>
      <w:r>
        <w:rPr>
          <w:rFonts w:hint="eastAsia" w:ascii="宋体" w:hAnsi="宋体"/>
          <w:color w:val="auto"/>
          <w:sz w:val="24"/>
          <w:szCs w:val="24"/>
          <w:highlight w:val="none"/>
        </w:rPr>
        <w:t xml:space="preserve">根据验收结果结算支付余款。</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4其他说明：如因采购人实际需求，服务量发生变化，中标供应商须满足采购人需求，确保服务质量并及时调整；综合单价不变。综合单价按“投标报价/中标标段批次总数”执行，最终付款金额不得超过此采购包的中标价。</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备注：成交供应商在进行结算时须提供下列单据:正式税务发票(加盖公章)、</w:t>
      </w:r>
      <w:r>
        <w:rPr>
          <w:rFonts w:hint="eastAsia" w:ascii="宋体" w:hAnsi="宋体"/>
          <w:color w:val="auto"/>
          <w:sz w:val="24"/>
          <w:szCs w:val="24"/>
          <w:highlight w:val="none"/>
          <w:lang w:val="en-US" w:eastAsia="zh-CN"/>
        </w:rPr>
        <w:t xml:space="preserve">分析报告、</w:t>
      </w:r>
      <w:r>
        <w:rPr>
          <w:rFonts w:hint="eastAsia" w:ascii="宋体" w:hAnsi="宋体"/>
          <w:color w:val="auto"/>
          <w:sz w:val="24"/>
          <w:szCs w:val="24"/>
          <w:highlight w:val="none"/>
        </w:rPr>
        <w:t xml:space="preserve">抽样检验信息汇总表(加盖公章)及电子档。</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11.履约保证金：</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11.1本项目免收履约保证金。</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11.1本项目成交后的履约保证金为项目成交价的</w:t>
      </w:r>
      <w:r>
        <w:rPr>
          <w:rFonts w:hint="eastAsia" w:ascii="宋体" w:hAnsi="宋体"/>
          <w:color w:val="auto"/>
          <w:sz w:val="24"/>
          <w:szCs w:val="24"/>
          <w:highlight w:val="none"/>
          <w:u w:val="single"/>
        </w:rPr>
        <w:t xml:space="preserve"> 0 </w:t>
      </w:r>
      <w:r>
        <w:rPr>
          <w:rFonts w:hint="eastAsia" w:ascii="宋体" w:hAnsi="宋体"/>
          <w:color w:val="auto"/>
          <w:sz w:val="24"/>
          <w:szCs w:val="24"/>
          <w:highlight w:val="none"/>
        </w:rPr>
        <w:t xml:space="preserve">%。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11.2成交供应商全部履约合同义务，经采购单位验收合格无质量、进度等问题的，采购人在验收合格后一次性退还履约保证金，采购人若逾期退还履约保证金的，按照逾期部分的每日0.05%支付违约金；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11.3发生以下情况的，履约保证金不予退还或部分退还：</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12.合同条款：详见附件</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13.演示要求：无</w:t>
      </w:r>
      <w:r/>
    </w:p>
    <w:p>
      <w:pPr>
        <w:pStyle w:val="781"/>
        <w:rPr>
          <w:rFonts w:ascii="宋体" w:hAnsi="宋体"/>
          <w:color w:val="auto"/>
          <w:sz w:val="24"/>
          <w:szCs w:val="24"/>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color w:val="auto"/>
          <w:sz w:val="24"/>
          <w:szCs w:val="24"/>
          <w:highlight w:val="none"/>
        </w:rPr>
      </w:r>
      <w:r/>
    </w:p>
    <w:p>
      <w:pPr>
        <w:pStyle w:val="781"/>
        <w:ind w:firstLine="0"/>
        <w:rPr>
          <w:rFonts w:ascii="宋体" w:hAnsi="宋体"/>
          <w:color w:val="auto"/>
          <w:sz w:val="24"/>
          <w:szCs w:val="24"/>
          <w:highlight w:val="none"/>
        </w:rPr>
      </w:pPr>
      <w:r>
        <w:rPr>
          <w:rFonts w:hint="eastAsia" w:ascii="宋体" w:hAnsi="宋体"/>
          <w:color w:val="auto"/>
          <w:sz w:val="24"/>
          <w:szCs w:val="24"/>
          <w:highlight w:val="none"/>
        </w:rPr>
        <w:t xml:space="preserve">附件：合同格式</w:t>
      </w:r>
      <w:r/>
    </w:p>
    <w:p>
      <w:pPr>
        <w:jc w:val="center"/>
        <w:spacing w:before="145" w:after="145"/>
        <w:rPr>
          <w:rFonts w:ascii="黑体" w:hAnsi="黑体" w:eastAsia="黑体"/>
          <w:bCs/>
          <w:color w:val="auto"/>
          <w:sz w:val="30"/>
          <w:szCs w:val="20"/>
          <w:highlight w:val="none"/>
        </w:rPr>
        <w:outlineLvl w:val="0"/>
      </w:pPr>
      <w:r>
        <w:rPr>
          <w:rFonts w:hint="eastAsia" w:ascii="黑体" w:hAnsi="黑体" w:eastAsia="黑体"/>
          <w:color w:val="auto"/>
          <w:sz w:val="30"/>
          <w:szCs w:val="21"/>
          <w:highlight w:val="none"/>
        </w:rPr>
        <w:t xml:space="preserve">海安市政府采购合同（服务类）（合同编号）</w:t>
      </w:r>
      <w:r/>
    </w:p>
    <w:p>
      <w:pPr>
        <w:spacing w:before="120" w:after="120"/>
        <w:rPr>
          <w:rFonts w:ascii="宋体" w:hAnsi="宋体"/>
          <w:color w:val="auto"/>
          <w:sz w:val="24"/>
          <w:szCs w:val="24"/>
          <w:highlight w:val="none"/>
        </w:rPr>
      </w:pPr>
      <w:r>
        <w:rPr>
          <w:rFonts w:ascii="宋体" w:hAnsi="宋体"/>
          <w:color w:val="auto"/>
          <w:sz w:val="24"/>
          <w:szCs w:val="24"/>
          <w:highlight w:val="none"/>
        </w:rPr>
        <w:t xml:space="preserve">项目名称：                                       项目编号：</w:t>
      </w:r>
      <w:r/>
    </w:p>
    <w:p>
      <w:pPr>
        <w:spacing w:before="120" w:after="120"/>
        <w:rPr>
          <w:rFonts w:ascii="宋体" w:hAnsi="宋体"/>
          <w:color w:val="auto"/>
          <w:sz w:val="24"/>
          <w:szCs w:val="24"/>
          <w:highlight w:val="none"/>
        </w:rPr>
      </w:pPr>
      <w:r>
        <w:rPr>
          <w:rFonts w:ascii="宋体" w:hAnsi="宋体"/>
          <w:color w:val="auto"/>
          <w:sz w:val="24"/>
          <w:szCs w:val="24"/>
          <w:highlight w:val="none"/>
        </w:rPr>
        <w:t xml:space="preserve">甲方：（买方）</w:t>
      </w:r>
      <w:r>
        <w:rPr>
          <w:rFonts w:hint="eastAsia" w:ascii="宋体" w:hAnsi="宋体"/>
          <w:color w:val="auto"/>
          <w:sz w:val="24"/>
          <w:szCs w:val="24"/>
          <w:highlight w:val="none"/>
          <w:u w:val="single"/>
        </w:rPr>
        <w:t xml:space="preserve">                        </w:t>
      </w:r>
      <w:r/>
    </w:p>
    <w:p>
      <w:pPr>
        <w:spacing w:before="120" w:after="120"/>
        <w:rPr>
          <w:rFonts w:ascii="宋体" w:hAnsi="宋体"/>
          <w:color w:val="auto"/>
          <w:sz w:val="24"/>
          <w:szCs w:val="24"/>
          <w:highlight w:val="none"/>
        </w:rPr>
      </w:pPr>
      <w:r>
        <w:rPr>
          <w:rFonts w:ascii="宋体" w:hAnsi="宋体"/>
          <w:color w:val="auto"/>
          <w:sz w:val="24"/>
          <w:szCs w:val="24"/>
          <w:highlight w:val="none"/>
        </w:rPr>
        <w:t xml:space="preserve">乙方：（卖方）</w:t>
      </w:r>
      <w:r>
        <w:rPr>
          <w:rFonts w:hint="eastAsia" w:ascii="宋体" w:hAnsi="宋体"/>
          <w:color w:val="auto"/>
          <w:sz w:val="24"/>
          <w:szCs w:val="24"/>
          <w:highlight w:val="none"/>
          <w:u w:val="single"/>
        </w:rPr>
        <w:t xml:space="preserve">                        </w:t>
      </w:r>
      <w:r/>
    </w:p>
    <w:p>
      <w:pPr>
        <w:ind w:firstLine="480"/>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根据《中华人民共和国民法典（合同编）》、《中华人民共和国政府采购法》等法律法规的规定以及</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项目采购结果，甲乙双方遵循平等、自愿、公平、诚实信用的原则，就</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项目事宜经双方协商一致，订立本合同。</w:t>
      </w:r>
      <w:r/>
    </w:p>
    <w:p>
      <w:pPr>
        <w:spacing w:before="120" w:after="120"/>
        <w:rPr>
          <w:rFonts w:ascii="宋体" w:hAnsi="宋体"/>
          <w:b/>
          <w:color w:val="auto"/>
          <w:sz w:val="24"/>
          <w:szCs w:val="24"/>
          <w:highlight w:val="none"/>
        </w:rPr>
      </w:pPr>
      <w:r>
        <w:rPr>
          <w:rFonts w:ascii="宋体" w:hAnsi="宋体"/>
          <w:b/>
          <w:color w:val="auto"/>
          <w:sz w:val="24"/>
          <w:szCs w:val="24"/>
          <w:highlight w:val="none"/>
        </w:rPr>
        <w:t xml:space="preserve">一、</w:t>
      </w:r>
      <w:r>
        <w:rPr>
          <w:rFonts w:hint="eastAsia" w:ascii="宋体" w:hAnsi="宋体"/>
          <w:b/>
          <w:color w:val="auto"/>
          <w:sz w:val="24"/>
          <w:szCs w:val="24"/>
          <w:highlight w:val="none"/>
        </w:rPr>
        <w:t xml:space="preserve">合同</w:t>
      </w:r>
      <w:r>
        <w:rPr>
          <w:rFonts w:ascii="宋体" w:hAnsi="宋体"/>
          <w:b/>
          <w:color w:val="auto"/>
          <w:sz w:val="24"/>
          <w:szCs w:val="24"/>
          <w:highlight w:val="none"/>
        </w:rPr>
        <w:t xml:space="preserve">内容</w:t>
      </w:r>
      <w:r/>
    </w:p>
    <w:p>
      <w:pPr>
        <w:spacing w:before="120" w:after="120"/>
        <w:rPr>
          <w:rFonts w:ascii="宋体" w:hAnsi="宋体"/>
          <w:color w:val="auto"/>
          <w:sz w:val="24"/>
          <w:szCs w:val="24"/>
          <w:highlight w:val="none"/>
        </w:rPr>
      </w:pPr>
      <w:r>
        <w:rPr>
          <w:rFonts w:ascii="宋体" w:hAnsi="宋体"/>
          <w:color w:val="auto"/>
          <w:sz w:val="24"/>
          <w:szCs w:val="24"/>
          <w:highlight w:val="none"/>
        </w:rPr>
        <w:t xml:space="preserve">1.1 </w:t>
      </w:r>
      <w:r>
        <w:rPr>
          <w:rFonts w:hint="eastAsia" w:ascii="宋体" w:hAnsi="宋体"/>
          <w:color w:val="auto"/>
          <w:sz w:val="24"/>
          <w:szCs w:val="24"/>
          <w:highlight w:val="none"/>
        </w:rPr>
        <w:t xml:space="preserve">标的</w:t>
      </w:r>
      <w:r>
        <w:rPr>
          <w:rFonts w:ascii="宋体" w:hAnsi="宋体"/>
          <w:color w:val="auto"/>
          <w:sz w:val="24"/>
          <w:szCs w:val="24"/>
          <w:highlight w:val="none"/>
        </w:rPr>
        <w:t xml:space="preserve">名称：</w:t>
      </w:r>
      <w:r/>
    </w:p>
    <w:p>
      <w:pPr>
        <w:spacing w:before="120" w:after="120"/>
        <w:rPr>
          <w:rFonts w:ascii="宋体" w:hAnsi="宋体"/>
          <w:color w:val="auto"/>
          <w:sz w:val="24"/>
          <w:szCs w:val="24"/>
          <w:highlight w:val="none"/>
        </w:rPr>
      </w:pPr>
      <w:r>
        <w:rPr>
          <w:rFonts w:ascii="宋体" w:hAnsi="宋体"/>
          <w:color w:val="auto"/>
          <w:sz w:val="24"/>
          <w:szCs w:val="24"/>
          <w:highlight w:val="none"/>
        </w:rPr>
        <w:t xml:space="preserve">1.2</w:t>
      </w:r>
      <w:r>
        <w:rPr>
          <w:rFonts w:hint="eastAsia" w:ascii="宋体" w:hAnsi="宋体"/>
          <w:color w:val="auto"/>
          <w:sz w:val="24"/>
          <w:szCs w:val="24"/>
          <w:highlight w:val="none"/>
        </w:rPr>
        <w:t xml:space="preserve">标的质量：</w:t>
      </w:r>
      <w:r/>
    </w:p>
    <w:p>
      <w:pPr>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1.3 服务内容及范围（规模）：</w:t>
      </w:r>
      <w:r/>
    </w:p>
    <w:p>
      <w:pPr>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1.4 履行时间（期限）：</w:t>
      </w:r>
      <w:r/>
    </w:p>
    <w:p>
      <w:pPr>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1.5 履行地点：</w:t>
      </w:r>
      <w:r/>
    </w:p>
    <w:p>
      <w:pPr>
        <w:spacing w:before="120" w:after="120"/>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6履行方式：</w:t>
      </w:r>
      <w:r/>
    </w:p>
    <w:p>
      <w:pPr>
        <w:spacing w:before="120" w:after="120"/>
        <w:rPr>
          <w:rFonts w:ascii="宋体" w:hAnsi="宋体"/>
          <w:b/>
          <w:color w:val="auto"/>
          <w:sz w:val="24"/>
          <w:szCs w:val="24"/>
          <w:highlight w:val="none"/>
        </w:rPr>
      </w:pPr>
      <w:r>
        <w:rPr>
          <w:rFonts w:ascii="宋体" w:hAnsi="宋体"/>
          <w:b/>
          <w:color w:val="auto"/>
          <w:sz w:val="24"/>
          <w:szCs w:val="24"/>
          <w:highlight w:val="none"/>
        </w:rPr>
        <w:t xml:space="preserve">二、合同金额</w:t>
      </w:r>
      <w:r/>
    </w:p>
    <w:p>
      <w:pPr>
        <w:ind w:left="410" w:hanging="410"/>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2.1 本合同金额为（大写）：____________________________________</w:t>
      </w:r>
      <w:r>
        <w:rPr>
          <w:rFonts w:hint="eastAsia" w:ascii="宋体" w:hAnsi="宋体" w:cs="Courier New"/>
          <w:color w:val="auto"/>
          <w:sz w:val="24"/>
          <w:szCs w:val="24"/>
          <w:highlight w:val="none"/>
        </w:rPr>
        <w:t xml:space="preserve">圆</w:t>
      </w:r>
      <w:r>
        <w:rPr>
          <w:rFonts w:ascii="宋体" w:hAnsi="宋体" w:cs="Courier New"/>
          <w:color w:val="auto"/>
          <w:sz w:val="24"/>
          <w:szCs w:val="24"/>
          <w:highlight w:val="none"/>
        </w:rPr>
        <w:t xml:space="preserve">（_______________元）</w:t>
      </w:r>
      <w:r>
        <w:rPr>
          <w:rFonts w:ascii="宋体" w:hAnsi="宋体"/>
          <w:color w:val="auto"/>
          <w:sz w:val="24"/>
          <w:szCs w:val="24"/>
          <w:highlight w:val="none"/>
        </w:rPr>
        <w:t xml:space="preserve">人民币</w:t>
      </w:r>
      <w:r>
        <w:rPr>
          <w:rFonts w:ascii="宋体" w:hAnsi="宋体" w:cs="Courier New"/>
          <w:color w:val="auto"/>
          <w:sz w:val="24"/>
          <w:szCs w:val="24"/>
          <w:highlight w:val="none"/>
        </w:rPr>
        <w:t xml:space="preserve">。</w:t>
      </w:r>
      <w:r/>
    </w:p>
    <w:p>
      <w:pPr>
        <w:ind w:left="412" w:hanging="412"/>
        <w:spacing w:before="120" w:after="120"/>
        <w:rPr>
          <w:rFonts w:ascii="宋体" w:hAnsi="宋体"/>
          <w:b/>
          <w:color w:val="auto"/>
          <w:sz w:val="24"/>
          <w:szCs w:val="24"/>
          <w:highlight w:val="none"/>
        </w:rPr>
      </w:pPr>
      <w:r>
        <w:rPr>
          <w:rFonts w:ascii="宋体" w:hAnsi="宋体"/>
          <w:b/>
          <w:color w:val="auto"/>
          <w:sz w:val="24"/>
          <w:szCs w:val="24"/>
          <w:highlight w:val="none"/>
        </w:rPr>
        <w:t xml:space="preserve">三、技术资料</w:t>
      </w:r>
      <w:r/>
    </w:p>
    <w:p>
      <w:pPr>
        <w:ind w:left="492" w:hanging="491"/>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w:t>
      </w:r>
      <w:r>
        <w:rPr>
          <w:rFonts w:ascii="宋体" w:hAnsi="宋体" w:cs="Courier New"/>
          <w:color w:val="auto"/>
          <w:sz w:val="24"/>
          <w:szCs w:val="24"/>
          <w:highlight w:val="none"/>
        </w:rPr>
        <w:t xml:space="preserve">乙方应按采购文件规定的时间向甲方提供服务</w:t>
      </w:r>
      <w:r>
        <w:rPr>
          <w:rFonts w:hint="eastAsia" w:ascii="宋体" w:hAnsi="宋体" w:cs="Courier New"/>
          <w:color w:val="auto"/>
          <w:sz w:val="24"/>
          <w:szCs w:val="24"/>
          <w:highlight w:val="none"/>
        </w:rPr>
        <w:t xml:space="preserve">（包含与服务相关的产品）</w:t>
      </w:r>
      <w:r>
        <w:rPr>
          <w:rFonts w:ascii="宋体" w:hAnsi="宋体" w:cs="Courier New"/>
          <w:color w:val="auto"/>
          <w:sz w:val="24"/>
          <w:szCs w:val="24"/>
          <w:highlight w:val="none"/>
        </w:rPr>
        <w:t xml:space="preserve">的有关技术资料。</w:t>
      </w:r>
      <w:r/>
    </w:p>
    <w:p>
      <w:pPr>
        <w:ind w:left="492" w:hanging="491"/>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3.2</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94" w:hanging="494"/>
        <w:spacing w:before="120" w:after="120"/>
        <w:rPr>
          <w:rFonts w:ascii="宋体" w:hAnsi="宋体"/>
          <w:b/>
          <w:color w:val="auto"/>
          <w:sz w:val="24"/>
          <w:szCs w:val="24"/>
          <w:highlight w:val="none"/>
        </w:rPr>
      </w:pPr>
      <w:r>
        <w:rPr>
          <w:rFonts w:ascii="宋体" w:hAnsi="宋体"/>
          <w:b/>
          <w:color w:val="auto"/>
          <w:sz w:val="24"/>
          <w:szCs w:val="24"/>
          <w:highlight w:val="none"/>
        </w:rPr>
        <w:t xml:space="preserve">四、知识产权</w:t>
      </w:r>
      <w:r/>
    </w:p>
    <w:p>
      <w:pPr>
        <w:ind w:left="492" w:hanging="491"/>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4.1</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乙</w:t>
      </w:r>
      <w:r>
        <w:rPr>
          <w:rFonts w:hint="eastAsia" w:ascii="宋体" w:hAnsi="宋体" w:cs="Courier New"/>
          <w:color w:val="auto"/>
          <w:sz w:val="24"/>
          <w:szCs w:val="24"/>
          <w:highlight w:val="none"/>
        </w:rPr>
        <w:t xml:space="preserve">方应保证甲方在使用、接受本合同服务（包含与服务相关的产品）或其任何一部分时不受第三方提出侵犯其专利权、版权、商标权和工业设计权等知识产权的起诉。一旦出现侵权，由乙方负全部责任。</w:t>
      </w:r>
      <w:r/>
    </w:p>
    <w:p>
      <w:pPr>
        <w:ind w:left="494" w:hanging="494"/>
        <w:spacing w:before="120" w:after="120"/>
        <w:rPr>
          <w:rFonts w:ascii="宋体" w:hAnsi="宋体"/>
          <w:b/>
          <w:color w:val="auto"/>
          <w:sz w:val="24"/>
          <w:szCs w:val="24"/>
          <w:highlight w:val="none"/>
        </w:rPr>
      </w:pPr>
      <w:r>
        <w:rPr>
          <w:rFonts w:ascii="宋体" w:hAnsi="宋体"/>
          <w:b/>
          <w:color w:val="auto"/>
          <w:sz w:val="24"/>
          <w:szCs w:val="24"/>
          <w:highlight w:val="none"/>
        </w:rPr>
        <w:t xml:space="preserve">五、产权担保</w:t>
      </w:r>
      <w:r/>
    </w:p>
    <w:p>
      <w:pPr>
        <w:ind w:left="492" w:hanging="491"/>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5.1 乙方保证所交付的</w:t>
      </w:r>
      <w:r>
        <w:rPr>
          <w:rFonts w:hint="eastAsia" w:ascii="宋体" w:hAnsi="宋体" w:cs="Courier New"/>
          <w:color w:val="auto"/>
          <w:sz w:val="24"/>
          <w:szCs w:val="24"/>
          <w:highlight w:val="none"/>
        </w:rPr>
        <w:t xml:space="preserve">服务（包含与服务相关的产品）</w:t>
      </w:r>
      <w:r>
        <w:rPr>
          <w:rFonts w:ascii="宋体" w:hAnsi="宋体" w:cs="Courier New"/>
          <w:color w:val="auto"/>
          <w:sz w:val="24"/>
          <w:szCs w:val="24"/>
          <w:highlight w:val="none"/>
        </w:rPr>
        <w:t xml:space="preserve">的所有权完全属于乙方且无任何抵押、查封等产权瑕疵。</w:t>
      </w:r>
      <w:r/>
    </w:p>
    <w:p>
      <w:pPr>
        <w:ind w:left="494" w:hanging="494"/>
        <w:spacing w:before="120" w:after="120"/>
        <w:rPr>
          <w:rFonts w:ascii="宋体" w:hAnsi="宋体"/>
          <w:b/>
          <w:color w:val="auto"/>
          <w:sz w:val="24"/>
          <w:szCs w:val="24"/>
          <w:highlight w:val="none"/>
        </w:rPr>
      </w:pPr>
      <w:r>
        <w:rPr>
          <w:rFonts w:hint="eastAsia" w:ascii="宋体" w:hAnsi="宋体"/>
          <w:b/>
          <w:color w:val="auto"/>
          <w:sz w:val="24"/>
          <w:szCs w:val="24"/>
          <w:highlight w:val="none"/>
        </w:rPr>
        <w:t xml:space="preserve">六、合同转包</w:t>
      </w:r>
      <w:r/>
    </w:p>
    <w:p>
      <w:pPr>
        <w:ind w:left="492" w:hanging="491"/>
        <w:spacing w:before="145" w:after="145"/>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 乙方不得将合同标的转包给他人履行。</w:t>
      </w:r>
      <w:r/>
    </w:p>
    <w:p>
      <w:pPr>
        <w:ind w:left="494" w:hanging="494"/>
        <w:spacing w:before="145" w:after="145"/>
        <w:rPr>
          <w:rFonts w:ascii="宋体" w:hAnsi="宋体"/>
          <w:b/>
          <w:color w:val="auto"/>
          <w:sz w:val="24"/>
          <w:szCs w:val="24"/>
          <w:highlight w:val="none"/>
        </w:rPr>
      </w:pPr>
      <w:r>
        <w:rPr>
          <w:rFonts w:hint="eastAsia" w:ascii="宋体" w:hAnsi="宋体"/>
          <w:b/>
          <w:color w:val="auto"/>
          <w:sz w:val="24"/>
          <w:szCs w:val="24"/>
          <w:highlight w:val="none"/>
        </w:rPr>
        <w:t xml:space="preserve">七</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合同款项</w:t>
      </w:r>
      <w:r>
        <w:rPr>
          <w:rFonts w:ascii="宋体" w:hAnsi="宋体"/>
          <w:b/>
          <w:color w:val="auto"/>
          <w:sz w:val="24"/>
          <w:szCs w:val="24"/>
          <w:highlight w:val="none"/>
        </w:rPr>
        <w:t xml:space="preserve">支付</w:t>
      </w:r>
      <w:r/>
    </w:p>
    <w:p>
      <w:pPr>
        <w:ind w:left="492" w:hanging="491"/>
        <w:spacing w:before="120" w:after="120"/>
        <w:rPr>
          <w:rFonts w:ascii="宋体" w:hAnsi="宋体"/>
          <w:color w:val="auto"/>
          <w:sz w:val="24"/>
          <w:szCs w:val="24"/>
          <w:highlight w:val="none"/>
        </w:rPr>
      </w:pPr>
      <w:r>
        <w:rPr>
          <w:rFonts w:hint="eastAsia" w:ascii="宋体" w:hAnsi="宋体" w:cs="Courier New"/>
          <w:bCs/>
          <w:color w:val="auto"/>
          <w:sz w:val="24"/>
          <w:szCs w:val="24"/>
          <w:highlight w:val="none"/>
        </w:rPr>
        <w:t xml:space="preserve">7</w:t>
      </w:r>
      <w:r>
        <w:rPr>
          <w:rFonts w:ascii="宋体" w:hAnsi="宋体" w:cs="Courier New"/>
          <w:bCs/>
          <w:color w:val="auto"/>
          <w:sz w:val="24"/>
          <w:szCs w:val="24"/>
          <w:highlight w:val="none"/>
        </w:rPr>
        <w:t xml:space="preserve">.1</w:t>
      </w:r>
      <w:r>
        <w:rPr>
          <w:rFonts w:hint="eastAsia" w:ascii="宋体" w:hAnsi="宋体"/>
          <w:color w:val="auto"/>
          <w:sz w:val="24"/>
          <w:szCs w:val="24"/>
          <w:highlight w:val="none"/>
        </w:rPr>
        <w:t xml:space="preserve">由甲方按下列程序在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内付款:</w:t>
      </w:r>
      <w:r/>
    </w:p>
    <w:p>
      <w:pPr>
        <w:ind w:left="492" w:hanging="491"/>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w:t>
      </w:r>
      <w:r/>
    </w:p>
    <w:p>
      <w:pPr>
        <w:ind w:left="492" w:hanging="491"/>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7.2对于满足合同约定支付条件的，甲方应当自收到发票后</w:t>
      </w:r>
      <w:r>
        <w:rPr>
          <w:rFonts w:hint="eastAsia" w:ascii="宋体" w:hAnsi="宋体"/>
          <w:color w:val="auto"/>
          <w:sz w:val="24"/>
          <w:szCs w:val="24"/>
          <w:highlight w:val="none"/>
          <w:u w:val="none"/>
          <w:lang w:val="en-US" w:eastAsia="zh-CN"/>
        </w:rPr>
        <w:t xml:space="preserve">1</w:t>
      </w:r>
      <w:r>
        <w:rPr>
          <w:rFonts w:hint="eastAsia" w:ascii="宋体" w:hAnsi="宋体"/>
          <w:color w:val="auto"/>
          <w:sz w:val="24"/>
          <w:szCs w:val="24"/>
          <w:highlight w:val="none"/>
          <w:u w:val="none"/>
        </w:rPr>
        <w:t xml:space="preserve">0</w:t>
      </w:r>
      <w:r>
        <w:rPr>
          <w:rFonts w:hint="eastAsia" w:ascii="宋体" w:hAnsi="宋体"/>
          <w:color w:val="auto"/>
          <w:sz w:val="24"/>
          <w:szCs w:val="24"/>
          <w:highlight w:val="none"/>
          <w:u w:val="none"/>
          <w:lang w:val="en-US" w:eastAsia="zh-CN"/>
        </w:rPr>
        <w:t xml:space="preserve">个工作日</w:t>
      </w:r>
      <w:r>
        <w:rPr>
          <w:rFonts w:hint="eastAsia" w:ascii="宋体" w:hAnsi="宋体"/>
          <w:color w:val="auto"/>
          <w:sz w:val="24"/>
          <w:szCs w:val="24"/>
          <w:highlight w:val="none"/>
        </w:rPr>
        <w:t xml:space="preserve">内将资金支付到合同约定的乙方账户，不得以机构变动、人员更替、政策调整等为由延迟付款，不得将采购文件和合同中未规定的义务作为向乙方付款的条件。</w:t>
      </w:r>
      <w:r/>
    </w:p>
    <w:p>
      <w:pPr>
        <w:ind w:left="494" w:hanging="494"/>
        <w:spacing w:before="120" w:after="120"/>
        <w:rPr>
          <w:rFonts w:ascii="宋体" w:hAnsi="宋体"/>
          <w:b/>
          <w:color w:val="auto"/>
          <w:sz w:val="24"/>
          <w:szCs w:val="24"/>
          <w:highlight w:val="none"/>
        </w:rPr>
      </w:pPr>
      <w:r>
        <w:rPr>
          <w:rFonts w:hint="eastAsia" w:ascii="宋体" w:hAnsi="宋体"/>
          <w:b/>
          <w:color w:val="auto"/>
          <w:sz w:val="24"/>
          <w:szCs w:val="24"/>
          <w:highlight w:val="none"/>
        </w:rPr>
        <w:t xml:space="preserve">八、税费</w:t>
      </w:r>
      <w:r/>
    </w:p>
    <w:p>
      <w:pPr>
        <w:ind w:left="492" w:hanging="491"/>
        <w:spacing w:before="145" w:after="145"/>
        <w:rPr>
          <w:rFonts w:ascii="宋体" w:hAnsi="宋体"/>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szCs w:val="24"/>
          <w:highlight w:val="none"/>
        </w:rPr>
        <w:t xml:space="preserve">.1</w:t>
      </w:r>
      <w:r>
        <w:rPr>
          <w:rFonts w:hint="eastAsia" w:ascii="宋体" w:hAnsi="宋体"/>
          <w:color w:val="auto"/>
          <w:sz w:val="24"/>
          <w:szCs w:val="24"/>
          <w:highlight w:val="none"/>
        </w:rPr>
        <w:t xml:space="preserve"> 本合同执行中相关的一切税费均由乙方负担。</w:t>
      </w:r>
      <w:r/>
    </w:p>
    <w:p>
      <w:pPr>
        <w:ind w:left="494" w:hanging="494"/>
        <w:spacing w:before="145" w:after="145"/>
        <w:rPr>
          <w:rFonts w:ascii="宋体" w:hAnsi="宋体"/>
          <w:b/>
          <w:color w:val="auto"/>
          <w:sz w:val="24"/>
          <w:szCs w:val="24"/>
          <w:highlight w:val="none"/>
        </w:rPr>
      </w:pPr>
      <w:r>
        <w:rPr>
          <w:rFonts w:hint="eastAsia" w:ascii="宋体" w:hAnsi="宋体"/>
          <w:b/>
          <w:color w:val="auto"/>
          <w:sz w:val="24"/>
          <w:szCs w:val="24"/>
          <w:highlight w:val="none"/>
        </w:rPr>
        <w:t xml:space="preserve">九</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w:t>
      </w:r>
      <w:r>
        <w:rPr>
          <w:rFonts w:ascii="宋体" w:hAnsi="宋体"/>
          <w:b/>
          <w:color w:val="auto"/>
          <w:sz w:val="24"/>
          <w:szCs w:val="24"/>
          <w:highlight w:val="none"/>
        </w:rPr>
        <w:t xml:space="preserve">验收</w:t>
      </w:r>
      <w:r/>
    </w:p>
    <w:p>
      <w:pPr>
        <w:ind w:left="492" w:hanging="491"/>
        <w:spacing w:before="145" w:after="145"/>
        <w:rPr>
          <w:rFonts w:ascii="宋体" w:hAnsi="宋体"/>
          <w:color w:val="auto"/>
          <w:sz w:val="24"/>
          <w:szCs w:val="24"/>
          <w:highlight w:val="none"/>
        </w:rPr>
      </w:pPr>
      <w:r>
        <w:rPr>
          <w:rFonts w:hint="eastAsia" w:ascii="宋体" w:hAnsi="宋体"/>
          <w:color w:val="auto"/>
          <w:sz w:val="24"/>
          <w:szCs w:val="24"/>
          <w:highlight w:val="none"/>
        </w:rPr>
        <w:t xml:space="preserve">9.1 甲方依法组织履约验收工作。</w:t>
      </w:r>
      <w:r/>
    </w:p>
    <w:p>
      <w:pPr>
        <w:ind w:left="492" w:hanging="491"/>
        <w:spacing w:before="145" w:after="145"/>
        <w:rPr>
          <w:rFonts w:ascii="宋体" w:hAnsi="宋体"/>
          <w:color w:val="auto"/>
          <w:sz w:val="24"/>
          <w:szCs w:val="24"/>
          <w:highlight w:val="none"/>
        </w:rPr>
      </w:pPr>
      <w:r>
        <w:rPr>
          <w:rFonts w:hint="eastAsia" w:ascii="宋体" w:hAnsi="宋体"/>
          <w:color w:val="auto"/>
          <w:sz w:val="24"/>
          <w:szCs w:val="24"/>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92" w:hanging="491"/>
        <w:spacing w:before="145" w:after="145"/>
        <w:rPr>
          <w:rFonts w:ascii="宋体" w:hAnsi="宋体"/>
          <w:color w:val="auto"/>
          <w:sz w:val="24"/>
          <w:szCs w:val="24"/>
          <w:highlight w:val="none"/>
        </w:rPr>
      </w:pPr>
      <w:r>
        <w:rPr>
          <w:rFonts w:hint="eastAsia" w:ascii="宋体" w:hAnsi="宋体"/>
          <w:color w:val="auto"/>
          <w:sz w:val="24"/>
          <w:szCs w:val="24"/>
          <w:highlight w:val="none"/>
        </w:rPr>
        <w:t xml:space="preserve">9.3 对于实际使用人和甲方分离的项目，甲方邀请实际使用人参与验收。</w:t>
      </w:r>
      <w:r/>
    </w:p>
    <w:p>
      <w:pPr>
        <w:ind w:left="492" w:hanging="491"/>
        <w:spacing w:before="145" w:after="145"/>
        <w:rPr>
          <w:rFonts w:ascii="宋体" w:hAnsi="宋体"/>
          <w:color w:val="auto"/>
          <w:sz w:val="24"/>
          <w:szCs w:val="24"/>
          <w:highlight w:val="none"/>
        </w:rPr>
      </w:pPr>
      <w:r>
        <w:rPr>
          <w:rFonts w:hint="eastAsia" w:ascii="宋体" w:hAnsi="宋体"/>
          <w:color w:val="auto"/>
          <w:sz w:val="24"/>
          <w:szCs w:val="24"/>
          <w:highlight w:val="none"/>
        </w:rPr>
        <w:t xml:space="preserve">9.4 如有必要，甲方邀请参加本项目的其他供应商、服务对象、第三方专业机构及专家参与验收，相关意见将作为验收书的参考资料。</w:t>
      </w:r>
      <w:r/>
    </w:p>
    <w:p>
      <w:pPr>
        <w:ind w:left="492" w:hanging="491"/>
        <w:spacing w:before="145" w:after="145"/>
        <w:rPr>
          <w:rFonts w:ascii="宋体" w:hAnsi="宋体"/>
          <w:color w:val="auto"/>
          <w:sz w:val="24"/>
          <w:szCs w:val="24"/>
          <w:highlight w:val="none"/>
        </w:rPr>
      </w:pPr>
      <w:r>
        <w:rPr>
          <w:rFonts w:hint="eastAsia" w:ascii="宋体" w:hAnsi="宋体"/>
          <w:color w:val="auto"/>
          <w:sz w:val="24"/>
          <w:szCs w:val="24"/>
          <w:highlight w:val="none"/>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92" w:hanging="491"/>
        <w:spacing w:before="145" w:after="145"/>
        <w:rPr>
          <w:rFonts w:ascii="宋体" w:hAnsi="宋体"/>
          <w:color w:val="auto"/>
          <w:sz w:val="24"/>
          <w:szCs w:val="24"/>
          <w:highlight w:val="none"/>
        </w:rPr>
      </w:pPr>
      <w:r>
        <w:rPr>
          <w:rFonts w:hint="eastAsia" w:ascii="宋体" w:hAnsi="宋体"/>
          <w:color w:val="auto"/>
          <w:sz w:val="24"/>
          <w:szCs w:val="24"/>
          <w:highlight w:val="none"/>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p>
    <w:p>
      <w:pPr>
        <w:ind w:left="494" w:hanging="494"/>
        <w:spacing w:before="145" w:after="145"/>
        <w:rPr>
          <w:rFonts w:ascii="宋体" w:hAnsi="宋体"/>
          <w:b/>
          <w:color w:val="auto"/>
          <w:sz w:val="24"/>
          <w:szCs w:val="24"/>
          <w:highlight w:val="none"/>
        </w:rPr>
      </w:pPr>
      <w:r>
        <w:rPr>
          <w:rFonts w:hint="eastAsia" w:ascii="宋体" w:hAnsi="宋体"/>
          <w:b/>
          <w:color w:val="auto"/>
          <w:sz w:val="24"/>
          <w:szCs w:val="24"/>
          <w:highlight w:val="none"/>
        </w:rPr>
        <w:t xml:space="preserve">十</w:t>
      </w:r>
      <w:r>
        <w:rPr>
          <w:rFonts w:ascii="宋体" w:hAnsi="宋体"/>
          <w:b/>
          <w:color w:val="auto"/>
          <w:sz w:val="24"/>
          <w:szCs w:val="24"/>
          <w:highlight w:val="none"/>
        </w:rPr>
        <w:t xml:space="preserve">、违约责任</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w:t>
      </w:r>
      <w:r>
        <w:rPr>
          <w:rFonts w:ascii="宋体" w:hAnsi="宋体" w:cs="Courier New"/>
          <w:color w:val="auto"/>
          <w:sz w:val="24"/>
          <w:szCs w:val="24"/>
          <w:highlight w:val="none"/>
        </w:rPr>
        <w:t xml:space="preserve">.1 甲方无正当理由</w:t>
      </w:r>
      <w:r>
        <w:rPr>
          <w:rFonts w:hint="eastAsia" w:ascii="宋体" w:hAnsi="宋体" w:cs="Courier New"/>
          <w:color w:val="auto"/>
          <w:sz w:val="24"/>
          <w:szCs w:val="24"/>
          <w:highlight w:val="none"/>
        </w:rPr>
        <w:t xml:space="preserve">拒绝接受乙方提供服务</w:t>
      </w:r>
      <w:r>
        <w:rPr>
          <w:rFonts w:ascii="宋体" w:hAnsi="宋体" w:cs="Courier New"/>
          <w:color w:val="auto"/>
          <w:sz w:val="24"/>
          <w:szCs w:val="24"/>
          <w:highlight w:val="none"/>
        </w:rPr>
        <w:t xml:space="preserve">的，甲方向乙方偿付</w:t>
      </w:r>
      <w:r>
        <w:rPr>
          <w:rFonts w:hint="eastAsia" w:ascii="宋体" w:hAnsi="宋体" w:cs="Courier New"/>
          <w:color w:val="auto"/>
          <w:sz w:val="24"/>
          <w:szCs w:val="24"/>
          <w:highlight w:val="none"/>
        </w:rPr>
        <w:t xml:space="preserve">拒绝接受服务合同价款</w:t>
      </w:r>
      <w:r>
        <w:rPr>
          <w:rFonts w:ascii="宋体" w:hAnsi="宋体" w:cs="Courier New"/>
          <w:color w:val="auto"/>
          <w:sz w:val="24"/>
          <w:szCs w:val="24"/>
          <w:highlight w:val="none"/>
        </w:rPr>
        <w:t xml:space="preserve">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w:t>
      </w:r>
      <w:r>
        <w:rPr>
          <w:rFonts w:ascii="宋体" w:hAnsi="宋体" w:cs="Courier New"/>
          <w:color w:val="auto"/>
          <w:sz w:val="24"/>
          <w:szCs w:val="24"/>
          <w:highlight w:val="none"/>
        </w:rPr>
        <w:t xml:space="preserve">.2 甲方无故逾期验收和办理</w:t>
      </w:r>
      <w:r>
        <w:rPr>
          <w:rFonts w:hint="eastAsia" w:ascii="宋体" w:hAnsi="宋体" w:cs="Courier New"/>
          <w:color w:val="auto"/>
          <w:sz w:val="24"/>
          <w:szCs w:val="24"/>
          <w:highlight w:val="none"/>
        </w:rPr>
        <w:t xml:space="preserve">合同款项</w:t>
      </w:r>
      <w:r>
        <w:rPr>
          <w:rFonts w:ascii="宋体" w:hAnsi="宋体" w:cs="Courier New"/>
          <w:color w:val="auto"/>
          <w:sz w:val="24"/>
          <w:szCs w:val="24"/>
          <w:highlight w:val="none"/>
        </w:rPr>
        <w:t xml:space="preserve">支付手续的,甲方应按逾期付款总额</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向乙方支付违约金。</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w:t>
      </w:r>
      <w:r>
        <w:rPr>
          <w:rFonts w:ascii="宋体" w:hAnsi="宋体" w:cs="Courier New"/>
          <w:color w:val="auto"/>
          <w:sz w:val="24"/>
          <w:szCs w:val="24"/>
          <w:highlight w:val="none"/>
        </w:rPr>
        <w:t xml:space="preserve">.3 乙方逾期</w:t>
      </w:r>
      <w:r>
        <w:rPr>
          <w:rFonts w:hint="eastAsia" w:ascii="宋体" w:hAnsi="宋体" w:cs="Courier New"/>
          <w:color w:val="auto"/>
          <w:sz w:val="24"/>
          <w:szCs w:val="24"/>
          <w:highlight w:val="none"/>
        </w:rPr>
        <w:t xml:space="preserve">提供服务</w:t>
      </w:r>
      <w:r>
        <w:rPr>
          <w:rFonts w:ascii="宋体" w:hAnsi="宋体" w:cs="Courier New"/>
          <w:color w:val="auto"/>
          <w:sz w:val="24"/>
          <w:szCs w:val="24"/>
          <w:highlight w:val="none"/>
        </w:rPr>
        <w:t xml:space="preserve">的，乙方应按逾期</w:t>
      </w:r>
      <w:r>
        <w:rPr>
          <w:rFonts w:hint="eastAsia" w:ascii="宋体" w:hAnsi="宋体" w:cs="Courier New"/>
          <w:color w:val="auto"/>
          <w:sz w:val="24"/>
          <w:szCs w:val="24"/>
          <w:highlight w:val="none"/>
        </w:rPr>
        <w:t xml:space="preserve">提供服务合同</w:t>
      </w:r>
      <w:r>
        <w:rPr>
          <w:rFonts w:ascii="宋体" w:hAnsi="宋体" w:cs="Courier New"/>
          <w:color w:val="auto"/>
          <w:sz w:val="24"/>
          <w:szCs w:val="24"/>
          <w:highlight w:val="none"/>
        </w:rPr>
        <w:t xml:space="preserve">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向甲方支付违约金，由甲方从待付</w:t>
      </w:r>
      <w:r>
        <w:rPr>
          <w:rFonts w:hint="eastAsia" w:ascii="宋体" w:hAnsi="宋体" w:cs="Courier New"/>
          <w:color w:val="auto"/>
          <w:sz w:val="24"/>
          <w:szCs w:val="24"/>
          <w:highlight w:val="none"/>
        </w:rPr>
        <w:t xml:space="preserve">合同款项</w:t>
      </w:r>
      <w:r>
        <w:rPr>
          <w:rFonts w:ascii="宋体" w:hAnsi="宋体" w:cs="Courier New"/>
          <w:color w:val="auto"/>
          <w:sz w:val="24"/>
          <w:szCs w:val="24"/>
          <w:highlight w:val="none"/>
        </w:rPr>
        <w:t xml:space="preserve">中扣除。逾期超过约定日期</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个工作日不能</w:t>
      </w:r>
      <w:r>
        <w:rPr>
          <w:rFonts w:hint="eastAsia" w:ascii="宋体" w:hAnsi="宋体" w:cs="Courier New"/>
          <w:color w:val="auto"/>
          <w:sz w:val="24"/>
          <w:szCs w:val="24"/>
          <w:highlight w:val="none"/>
        </w:rPr>
        <w:t xml:space="preserve">提供服务</w:t>
      </w:r>
      <w:r>
        <w:rPr>
          <w:rFonts w:ascii="宋体" w:hAnsi="宋体" w:cs="Courier New"/>
          <w:color w:val="auto"/>
          <w:sz w:val="24"/>
          <w:szCs w:val="24"/>
          <w:highlight w:val="none"/>
        </w:rPr>
        <w:t xml:space="preserve">的，甲方可解除本合同。乙方因逾期</w:t>
      </w:r>
      <w:r>
        <w:rPr>
          <w:rFonts w:hint="eastAsia" w:ascii="宋体" w:hAnsi="宋体" w:cs="Courier New"/>
          <w:color w:val="auto"/>
          <w:sz w:val="24"/>
          <w:szCs w:val="24"/>
          <w:highlight w:val="none"/>
        </w:rPr>
        <w:t xml:space="preserve">提供服务</w:t>
      </w:r>
      <w:r>
        <w:rPr>
          <w:rFonts w:ascii="宋体" w:hAnsi="宋体" w:cs="Courier New"/>
          <w:color w:val="auto"/>
          <w:sz w:val="24"/>
          <w:szCs w:val="24"/>
          <w:highlight w:val="none"/>
        </w:rPr>
        <w:t xml:space="preserve">或因其他违约行为导致甲方解除合同的，乙方应向甲方支付合同</w:t>
      </w:r>
      <w:r>
        <w:rPr>
          <w:rFonts w:hint="eastAsia" w:ascii="宋体" w:hAnsi="宋体" w:cs="Courier New"/>
          <w:color w:val="auto"/>
          <w:sz w:val="24"/>
          <w:szCs w:val="24"/>
          <w:highlight w:val="none"/>
        </w:rPr>
        <w:t xml:space="preserve">价款总额</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w:t>
      </w:r>
      <w:r>
        <w:rPr>
          <w:rFonts w:ascii="宋体" w:hAnsi="宋体" w:cs="Courier New"/>
          <w:color w:val="auto"/>
          <w:sz w:val="24"/>
          <w:szCs w:val="24"/>
          <w:highlight w:val="none"/>
        </w:rPr>
        <w:t xml:space="preserve">.4 乙方</w:t>
      </w:r>
      <w:r>
        <w:rPr>
          <w:rFonts w:hint="eastAsia" w:ascii="宋体" w:hAnsi="宋体" w:cs="Courier New"/>
          <w:color w:val="auto"/>
          <w:sz w:val="24"/>
          <w:szCs w:val="24"/>
          <w:highlight w:val="none"/>
        </w:rPr>
        <w:t xml:space="preserve">所提供服务的标准</w:t>
      </w:r>
      <w:r>
        <w:rPr>
          <w:rFonts w:ascii="宋体" w:hAnsi="宋体" w:cs="Courier New"/>
          <w:color w:val="auto"/>
          <w:sz w:val="24"/>
          <w:szCs w:val="24"/>
          <w:highlight w:val="none"/>
        </w:rPr>
        <w:t xml:space="preserve">不符合合同规定及采购文件规定标准的，甲方有权</w:t>
      </w:r>
      <w:r>
        <w:rPr>
          <w:rFonts w:hint="eastAsia" w:ascii="宋体" w:hAnsi="宋体" w:cs="Courier New"/>
          <w:color w:val="auto"/>
          <w:sz w:val="24"/>
          <w:szCs w:val="24"/>
          <w:highlight w:val="none"/>
        </w:rPr>
        <w:t xml:space="preserve">拒绝接受服务</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并</w:t>
      </w:r>
      <w:r>
        <w:rPr>
          <w:rFonts w:ascii="宋体" w:hAnsi="宋体" w:cs="Courier New"/>
          <w:color w:val="auto"/>
          <w:sz w:val="24"/>
          <w:szCs w:val="24"/>
          <w:highlight w:val="none"/>
        </w:rPr>
        <w:t xml:space="preserve">可单方面解除合同。</w:t>
      </w:r>
      <w:r/>
    </w:p>
    <w:p>
      <w:pPr>
        <w:ind w:left="614" w:hanging="614"/>
        <w:spacing w:before="120" w:after="120"/>
        <w:rPr>
          <w:rFonts w:ascii="宋体" w:hAnsi="宋体"/>
          <w:b/>
          <w:color w:val="auto"/>
          <w:sz w:val="24"/>
          <w:szCs w:val="24"/>
          <w:highlight w:val="none"/>
        </w:rPr>
      </w:pPr>
      <w:r>
        <w:rPr>
          <w:rFonts w:hint="eastAsia" w:ascii="宋体" w:hAnsi="宋体"/>
          <w:b/>
          <w:color w:val="auto"/>
          <w:sz w:val="24"/>
          <w:szCs w:val="24"/>
          <w:highlight w:val="none"/>
        </w:rPr>
        <w:t xml:space="preserve">十一</w:t>
      </w:r>
      <w:r>
        <w:rPr>
          <w:rFonts w:ascii="宋体" w:hAnsi="宋体"/>
          <w:b/>
          <w:color w:val="auto"/>
          <w:sz w:val="24"/>
          <w:szCs w:val="24"/>
          <w:highlight w:val="none"/>
        </w:rPr>
        <w:t xml:space="preserve">、不可抗力事件处理</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w:t>
      </w:r>
      <w:r>
        <w:rPr>
          <w:rFonts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w:t>
      </w:r>
      <w:r>
        <w:rPr>
          <w:rFonts w:ascii="宋体" w:hAnsi="宋体" w:cs="Courier New"/>
          <w:color w:val="auto"/>
          <w:sz w:val="24"/>
          <w:szCs w:val="24"/>
          <w:highlight w:val="none"/>
        </w:rPr>
        <w:t xml:space="preserve">.2 不可抗力事件发生后，应立即通知对方，并寄送有关权威机构出具的证明。</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w:t>
      </w:r>
      <w:r>
        <w:rPr>
          <w:rFonts w:ascii="宋体" w:hAnsi="宋体" w:cs="Courier New"/>
          <w:color w:val="auto"/>
          <w:sz w:val="24"/>
          <w:szCs w:val="24"/>
          <w:highlight w:val="none"/>
        </w:rPr>
        <w:t xml:space="preserve">.3 不可抗力事件延续120天以上，双方应通过友好协商，确定是否继续履行合同。</w:t>
      </w:r>
      <w:r/>
    </w:p>
    <w:p>
      <w:pPr>
        <w:ind w:left="614" w:hanging="614"/>
        <w:spacing w:before="120" w:after="120"/>
        <w:rPr>
          <w:rFonts w:ascii="宋体" w:hAnsi="宋体"/>
          <w:b/>
          <w:color w:val="auto"/>
          <w:sz w:val="24"/>
          <w:szCs w:val="24"/>
          <w:highlight w:val="none"/>
        </w:rPr>
      </w:pPr>
      <w:r>
        <w:rPr>
          <w:rFonts w:hint="eastAsia" w:ascii="宋体" w:hAnsi="宋体"/>
          <w:b/>
          <w:color w:val="auto"/>
          <w:sz w:val="24"/>
          <w:szCs w:val="24"/>
          <w:highlight w:val="none"/>
        </w:rPr>
        <w:t xml:space="preserve">十二</w:t>
      </w:r>
      <w:r>
        <w:rPr>
          <w:rFonts w:ascii="宋体" w:hAnsi="宋体"/>
          <w:b/>
          <w:color w:val="auto"/>
          <w:sz w:val="24"/>
          <w:szCs w:val="24"/>
          <w:highlight w:val="none"/>
        </w:rPr>
        <w:t xml:space="preserve">、诉讼</w:t>
      </w:r>
      <w:r/>
    </w:p>
    <w:p>
      <w:pPr>
        <w:ind w:left="612" w:hanging="612"/>
        <w:spacing w:before="120" w:after="120"/>
        <w:rPr>
          <w:rFonts w:ascii="宋体" w:hAnsi="宋体"/>
          <w:color w:val="auto"/>
          <w:sz w:val="24"/>
          <w:szCs w:val="24"/>
          <w:highlight w:val="none"/>
        </w:rPr>
      </w:pPr>
      <w:r>
        <w:rPr>
          <w:rFonts w:hint="eastAsia" w:ascii="宋体" w:hAnsi="宋体" w:cs="Courier New"/>
          <w:color w:val="auto"/>
          <w:sz w:val="24"/>
          <w:szCs w:val="24"/>
          <w:highlight w:val="none"/>
        </w:rPr>
        <w:t xml:space="preserve">12</w:t>
      </w:r>
      <w:r>
        <w:rPr>
          <w:rFonts w:ascii="宋体" w:hAnsi="宋体" w:cs="Courier New"/>
          <w:color w:val="auto"/>
          <w:sz w:val="24"/>
          <w:szCs w:val="24"/>
          <w:highlight w:val="none"/>
        </w:rPr>
        <w:t xml:space="preserve">.1 双方在执行合同中所发生的一切争议，应通过协商解决。</w:t>
      </w:r>
      <w:r>
        <w:rPr>
          <w:rFonts w:ascii="宋体" w:hAnsi="宋体"/>
          <w:color w:val="auto"/>
          <w:sz w:val="24"/>
          <w:szCs w:val="24"/>
          <w:highlight w:val="none"/>
        </w:rPr>
        <w:t xml:space="preserve">如协商不成，可向合同签订地法院起诉，合同签订地在此约定为</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w:t>
      </w:r>
      <w:r/>
    </w:p>
    <w:p>
      <w:pPr>
        <w:ind w:left="614" w:hanging="614"/>
        <w:spacing w:before="120" w:after="120"/>
        <w:rPr>
          <w:rFonts w:ascii="宋体" w:hAnsi="宋体"/>
          <w:b/>
          <w:color w:val="auto"/>
          <w:sz w:val="24"/>
          <w:szCs w:val="24"/>
          <w:highlight w:val="none"/>
        </w:rPr>
      </w:pPr>
      <w:r>
        <w:rPr>
          <w:rFonts w:hint="eastAsia" w:ascii="宋体" w:hAnsi="宋体"/>
          <w:b/>
          <w:color w:val="auto"/>
          <w:sz w:val="24"/>
          <w:szCs w:val="24"/>
          <w:highlight w:val="none"/>
        </w:rPr>
        <w:t xml:space="preserve">十三、其他</w:t>
      </w:r>
      <w:r/>
    </w:p>
    <w:p>
      <w:pPr>
        <w:ind w:left="624" w:hanging="624"/>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13.1 本合同所有附件、招标文件、投标文件、中标通知书均为合同的有效组成部分，与本合同具有同等法律效力。</w:t>
      </w:r>
      <w:r/>
    </w:p>
    <w:p>
      <w:pPr>
        <w:ind w:left="624" w:hanging="624"/>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13.2 如一方地址、电话、传真号码有变更，应在变更当日内书面通知对方，否则，应承担相应责任。</w:t>
      </w:r>
      <w:r/>
    </w:p>
    <w:p>
      <w:pPr>
        <w:ind w:left="624" w:hanging="624"/>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13.3 除甲方事先书面同意外，乙方不得部分或全部转让其应履行的合同项下的义务。</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本合同未尽事宜，遵照</w:t>
      </w:r>
      <w:r>
        <w:rPr>
          <w:rFonts w:hint="eastAsia" w:ascii="宋体" w:hAnsi="宋体" w:cs="Courier New"/>
          <w:color w:val="auto"/>
          <w:sz w:val="24"/>
          <w:szCs w:val="24"/>
          <w:highlight w:val="none"/>
        </w:rPr>
        <w:t xml:space="preserve">《中华人民共和国民法典（合同编）》</w:t>
      </w:r>
      <w:r>
        <w:rPr>
          <w:rFonts w:ascii="宋体" w:hAnsi="宋体" w:cs="Courier New"/>
          <w:color w:val="auto"/>
          <w:sz w:val="24"/>
          <w:szCs w:val="24"/>
          <w:highlight w:val="none"/>
        </w:rPr>
        <w:t xml:space="preserve">有关条文执行。</w:t>
      </w:r>
      <w:r/>
    </w:p>
    <w:p>
      <w:pPr>
        <w:ind w:left="614" w:hanging="614"/>
        <w:spacing w:before="120" w:after="120"/>
        <w:rPr>
          <w:rFonts w:ascii="宋体" w:hAnsi="宋体"/>
          <w:b/>
          <w:color w:val="auto"/>
          <w:sz w:val="24"/>
          <w:szCs w:val="24"/>
          <w:highlight w:val="none"/>
        </w:rPr>
      </w:pPr>
      <w:r>
        <w:rPr>
          <w:rFonts w:hint="eastAsia" w:ascii="宋体" w:hAnsi="宋体"/>
          <w:b/>
          <w:color w:val="auto"/>
          <w:sz w:val="24"/>
          <w:szCs w:val="24"/>
          <w:highlight w:val="none"/>
        </w:rPr>
        <w:t xml:space="preserve">十四</w:t>
      </w:r>
      <w:r>
        <w:rPr>
          <w:rFonts w:ascii="宋体" w:hAnsi="宋体"/>
          <w:b/>
          <w:color w:val="auto"/>
          <w:sz w:val="24"/>
          <w:szCs w:val="24"/>
          <w:highlight w:val="none"/>
        </w:rPr>
        <w:t xml:space="preserve">、合同生效</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w:t>
      </w:r>
      <w:r>
        <w:rPr>
          <w:rFonts w:ascii="宋体" w:hAnsi="宋体" w:cs="Courier New"/>
          <w:color w:val="auto"/>
          <w:sz w:val="24"/>
          <w:szCs w:val="24"/>
          <w:highlight w:val="none"/>
        </w:rPr>
        <w:t xml:space="preserve">.1 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p>
    <w:p>
      <w:pPr>
        <w:ind w:left="612" w:hanging="612"/>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14.2</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份</w:t>
      </w:r>
      <w:r>
        <w:rPr>
          <w:rFonts w:hint="eastAsia" w:ascii="宋体" w:hAnsi="宋体" w:cs="Courier New"/>
          <w:color w:val="auto"/>
          <w:sz w:val="24"/>
          <w:szCs w:val="24"/>
          <w:highlight w:val="none"/>
        </w:rPr>
        <w:t xml:space="preserve">。</w:t>
      </w:r>
      <w:r/>
    </w:p>
    <w:p>
      <w:pPr>
        <w:ind w:left="480" w:hanging="480"/>
        <w:spacing w:before="120" w:after="120" w:line="0" w:lineRule="atLeast"/>
        <w:rPr>
          <w:rFonts w:ascii="宋体" w:hAnsi="宋体" w:cs="Courier New"/>
          <w:color w:val="auto"/>
          <w:sz w:val="24"/>
          <w:szCs w:val="24"/>
          <w:highlight w:val="none"/>
        </w:rPr>
      </w:pPr>
      <w:r>
        <w:rPr>
          <w:rFonts w:ascii="宋体" w:hAnsi="宋体" w:cs="Courier New"/>
          <w:color w:val="auto"/>
          <w:sz w:val="24"/>
          <w:szCs w:val="24"/>
          <w:highlight w:val="none"/>
        </w:rPr>
        <w:t xml:space="preserve">  </w:t>
      </w:r>
      <w:r/>
    </w:p>
    <w:p>
      <w:pPr>
        <w:ind w:left="480" w:hanging="480"/>
        <w:spacing w:before="120" w:after="120" w:line="0" w:lineRule="atLeas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甲方：                        乙方： </w:t>
      </w:r>
      <w:r/>
    </w:p>
    <w:p>
      <w:pPr>
        <w:spacing w:before="120" w:after="120" w:line="0" w:lineRule="atLeas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before="120" w:after="120" w:line="0" w:lineRule="atLeas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before="120" w:after="120" w:line="0" w:lineRule="atLeas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联系电话：                    联系电话：         </w:t>
      </w:r>
      <w:r/>
    </w:p>
    <w:p>
      <w:pPr>
        <w:ind w:firstLine="240"/>
        <w:spacing w:before="120" w:after="120" w:line="0" w:lineRule="atLeast"/>
        <w:rPr>
          <w:rFonts w:ascii="宋体" w:hAnsi="Courier New" w:cs="Courier New"/>
          <w:color w:val="auto"/>
          <w:szCs w:val="21"/>
          <w:highlight w:val="none"/>
        </w:rPr>
      </w:pPr>
      <w:r>
        <w:rPr>
          <w:rFonts w:hint="eastAsia" w:ascii="宋体" w:hAnsi="宋体" w:cs="Courier New"/>
          <w:color w:val="auto"/>
          <w:sz w:val="24"/>
          <w:szCs w:val="24"/>
          <w:highlight w:val="none"/>
        </w:rPr>
        <w:t xml:space="preserve"> </w:t>
      </w:r>
      <w:r/>
    </w:p>
    <w:p>
      <w:pPr>
        <w:spacing w:before="120" w:after="120" w:line="0" w:lineRule="atLeast"/>
        <w:rPr>
          <w:color w:val="auto"/>
          <w:highlight w:val="none"/>
        </w:rPr>
      </w:pPr>
      <w:r>
        <w:rPr>
          <w:rFonts w:hint="eastAsia"/>
          <w:color w:val="auto"/>
          <w:szCs w:val="21"/>
          <w:highlight w:val="none"/>
        </w:rPr>
        <w:t xml:space="preserve">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bookmarkStart w:id="191" w:name="_Hlt16619369"/>
      <w:r/>
      <w:bookmarkEnd w:id="191"/>
      <w:r/>
      <w:r/>
    </w:p>
    <w:p>
      <w:pPr>
        <w:pStyle w:val="781"/>
        <w:ind w:firstLine="0"/>
        <w:rPr>
          <w:rFonts w:ascii="宋体" w:hAnsi="宋体"/>
          <w:color w:val="auto"/>
          <w:sz w:val="24"/>
          <w:szCs w:val="24"/>
          <w:highlight w:val="none"/>
        </w:rPr>
      </w:pPr>
      <w:r>
        <w:rPr>
          <w:rFonts w:ascii="宋体" w:hAnsi="宋体"/>
          <w:color w:val="auto"/>
          <w:sz w:val="24"/>
          <w:szCs w:val="24"/>
          <w:highlight w:val="none"/>
        </w:rPr>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0" w:lineRule="atLeast"/>
        <w:rPr>
          <w:rFonts w:ascii="宋体" w:hAnsi="宋体"/>
          <w:color w:val="auto"/>
          <w:sz w:val="24"/>
          <w:szCs w:val="21"/>
          <w:highlight w:val="none"/>
        </w:rPr>
      </w:pPr>
      <w:r>
        <w:rPr>
          <w:rFonts w:ascii="宋体" w:hAnsi="宋体"/>
          <w:color w:val="auto"/>
          <w:sz w:val="24"/>
          <w:szCs w:val="21"/>
          <w:highlight w:val="none"/>
        </w:rPr>
      </w:r>
      <w:r/>
    </w:p>
    <w:p>
      <w:pPr>
        <w:spacing w:line="0" w:lineRule="atLeast"/>
        <w:rPr>
          <w:rFonts w:ascii="宋体" w:hAnsi="宋体"/>
          <w:color w:val="auto"/>
          <w:sz w:val="24"/>
          <w:szCs w:val="24"/>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color w:val="auto"/>
          <w:sz w:val="24"/>
          <w:szCs w:val="24"/>
          <w:highlight w:val="none"/>
        </w:rPr>
      </w:r>
      <w:r/>
    </w:p>
    <w:p>
      <w:pPr>
        <w:jc w:val="center"/>
        <w:keepNext/>
        <w:spacing w:line="560" w:lineRule="exact"/>
        <w:rPr>
          <w:rFonts w:ascii="黑体" w:eastAsia="黑体"/>
          <w:b/>
          <w:bCs/>
          <w:color w:val="auto"/>
          <w:sz w:val="44"/>
          <w:szCs w:val="28"/>
          <w:highlight w:val="none"/>
        </w:rPr>
        <w:outlineLvl w:val="0"/>
      </w:pPr>
      <w:r/>
      <w:bookmarkStart w:id="192" w:name="_Toc120614281"/>
      <w:r>
        <w:rPr>
          <w:rFonts w:hint="eastAsia" w:ascii="黑体" w:eastAsia="黑体"/>
          <w:bCs/>
          <w:color w:val="auto"/>
          <w:sz w:val="44"/>
          <w:szCs w:val="28"/>
          <w:highlight w:val="none"/>
        </w:rPr>
        <w:t xml:space="preserve">第四章  </w:t>
      </w:r>
      <w:r>
        <w:rPr>
          <w:rFonts w:hint="eastAsia" w:ascii="黑体" w:eastAsia="黑体"/>
          <w:b/>
          <w:bCs/>
          <w:color w:val="auto"/>
          <w:sz w:val="44"/>
          <w:szCs w:val="28"/>
          <w:highlight w:val="none"/>
        </w:rPr>
        <w:t xml:space="preserve">评审方法与评审标准</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评委在认真审阅响应文件的基础上，根据各响应文件的响应程度独立评判，不得统一打分。</w:t>
      </w:r>
      <w:r/>
    </w:p>
    <w:p>
      <w:pPr>
        <w:ind w:firstLine="482"/>
        <w:spacing w:line="560" w:lineRule="exact"/>
        <w:rPr>
          <w:rFonts w:ascii="宋体" w:hAnsi="宋体"/>
          <w:b/>
          <w:color w:val="auto"/>
          <w:sz w:val="24"/>
          <w:szCs w:val="24"/>
          <w:highlight w:val="none"/>
        </w:rPr>
      </w:pPr>
      <w:r>
        <w:rPr>
          <w:rFonts w:hint="eastAsia" w:ascii="宋体" w:hAnsi="宋体"/>
          <w:b/>
          <w:color w:val="auto"/>
          <w:sz w:val="24"/>
          <w:szCs w:val="24"/>
          <w:highlight w:val="none"/>
        </w:rPr>
        <w:t xml:space="preserve">（一）采购人（代表）对供应商资格进行审查。</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供应商资格不合格的，其响应文件判定为无效响应文件。</w:t>
      </w:r>
      <w:r/>
    </w:p>
    <w:p>
      <w:pPr>
        <w:ind w:firstLine="482"/>
        <w:spacing w:line="560" w:lineRule="exact"/>
        <w:rPr>
          <w:rFonts w:ascii="宋体" w:hAnsi="宋体"/>
          <w:b/>
          <w:color w:val="auto"/>
          <w:sz w:val="24"/>
          <w:szCs w:val="24"/>
          <w:highlight w:val="none"/>
        </w:rPr>
      </w:pPr>
      <w:r>
        <w:rPr>
          <w:rFonts w:hint="eastAsia" w:ascii="宋体" w:hAnsi="宋体"/>
          <w:b/>
          <w:color w:val="auto"/>
          <w:sz w:val="24"/>
          <w:szCs w:val="24"/>
          <w:highlight w:val="none"/>
        </w:rPr>
        <w:t xml:space="preserve">（二）磋商小组对符合资格供应商的响应文件进行符合性审查。</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未通过符合性审查的响应文件，将被判为不满足磋商文件实质性要求。 </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三</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商务技术分：</w:t>
      </w:r>
      <w:r>
        <w:rPr>
          <w:rFonts w:hint="eastAsia" w:ascii="宋体" w:hAnsi="宋体"/>
          <w:b/>
          <w:bCs/>
          <w:color w:val="auto"/>
          <w:sz w:val="24"/>
          <w:szCs w:val="24"/>
          <w:highlight w:val="none"/>
          <w:lang w:val="en-US" w:eastAsia="zh-CN"/>
        </w:rPr>
        <w:t xml:space="preserve">70</w:t>
      </w:r>
      <w:r>
        <w:rPr>
          <w:rFonts w:hint="eastAsia" w:ascii="宋体" w:hAnsi="宋体"/>
          <w:b/>
          <w:bCs/>
          <w:color w:val="auto"/>
          <w:sz w:val="24"/>
          <w:szCs w:val="24"/>
          <w:highlight w:val="none"/>
        </w:rPr>
        <w:t xml:space="preserve">分</w:t>
      </w:r>
      <w:r/>
    </w:p>
    <w:p>
      <w:pPr>
        <w:ind w:firstLine="482"/>
        <w:spacing w:line="560" w:lineRule="exact"/>
        <w:rPr>
          <w:rFonts w:hint="default"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 xml:space="preserve">采购包1及采购包2及采购包3</w:t>
      </w:r>
      <w:bookmarkStart w:id="203" w:name="_GoBack"/>
      <w:r/>
      <w:bookmarkEnd w:id="203"/>
      <w:r>
        <w:rPr>
          <w:rFonts w:hint="eastAsia" w:ascii="宋体" w:hAnsi="宋体"/>
          <w:b/>
          <w:bCs/>
          <w:color w:val="auto"/>
          <w:sz w:val="24"/>
          <w:szCs w:val="24"/>
          <w:highlight w:val="none"/>
          <w:lang w:val="en-US" w:eastAsia="zh-CN"/>
        </w:rPr>
        <w:t xml:space="preserve">评分标准如下</w:t>
      </w:r>
      <w:r>
        <w:rPr>
          <w:rFonts w:hint="eastAsia" w:ascii="宋体" w:hAnsi="宋体"/>
          <w:color w:val="auto"/>
          <w:sz w:val="24"/>
          <w:szCs w:val="24"/>
          <w:highlight w:val="none"/>
          <w:lang w:val="en-US" w:eastAsia="zh-CN"/>
        </w:rPr>
        <w:t xml:space="preserve">：</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各供应商得分为磋商小组成员评分的算术平均分，分值保留小数点后两位。</w:t>
      </w:r>
      <w:r/>
    </w:p>
    <w:tbl>
      <w:tblPr>
        <w:tblStyle w:val="7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1393"/>
        <w:gridCol w:w="5353"/>
        <w:gridCol w:w="751"/>
      </w:tblGrid>
      <w:tr>
        <w:trPr/>
        <w:tc>
          <w:tcPr>
            <w:tcW w:w="1025"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1393"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评审内容</w:t>
            </w:r>
            <w:r/>
          </w:p>
        </w:tc>
        <w:tc>
          <w:tcPr>
            <w:tcW w:w="5353"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评分标准</w:t>
            </w:r>
            <w:r/>
          </w:p>
        </w:tc>
        <w:tc>
          <w:tcPr>
            <w:tcW w:w="751"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分值</w:t>
            </w:r>
            <w:r/>
          </w:p>
        </w:tc>
      </w:tr>
      <w:tr>
        <w:trPr/>
        <w:tc>
          <w:tcPr>
            <w:tcW w:w="1025"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1393"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拟投入本项目人员</w:t>
            </w:r>
            <w:r/>
          </w:p>
        </w:tc>
        <w:tc>
          <w:tcPr>
            <w:tcW w:w="5353" w:type="dxa"/>
            <w:vAlign w:val="center"/>
            <w:textDirection w:val="lrTb"/>
            <w:noWrap w:val="false"/>
          </w:tcPr>
          <w:p>
            <w:pPr>
              <w:pStyle w:val="779"/>
              <w:numPr>
                <w:ilvl w:val="0"/>
                <w:numId w:val="0"/>
              </w:numPr>
              <w:ind w:firstLine="0"/>
              <w:widowControl w:val="off"/>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lang w:val="en-US" w:eastAsia="zh-CN" w:bidi="ar-SA"/>
              </w:rPr>
              <w:t xml:space="preserve">1</w:t>
            </w:r>
            <w:r>
              <w:rPr>
                <w:rFonts w:asciiTheme="minorEastAsia" w:hAnsiTheme="minorEastAsia" w:eastAsia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rPr>
              <w:t xml:space="preserve">人员实力</w:t>
            </w:r>
            <w:r/>
          </w:p>
          <w:p>
            <w:pPr>
              <w:pStyle w:val="779"/>
              <w:ind w:firstLine="0"/>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从事食品检验人员中具有食品、卫生、生物、化学等专业类别的且具正高级技术职称的，有1名得1分；食品检验报告授权签字人员中具有食品、卫生、生物、化学等专业类别且具副高级职称的，有1名得0.5分；食品检验报告授权签字人中具有CMA评审员资质的，有1名得1分。本项最高得</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w:t>
            </w:r>
            <w:r/>
          </w:p>
          <w:p>
            <w:pPr>
              <w:pStyle w:val="779"/>
              <w:ind w:firstLine="0"/>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须提供职称、资质证书，同一人员的职称或资质证书不重复计算得分。</w:t>
            </w:r>
            <w:r/>
          </w:p>
          <w:p>
            <w:pPr>
              <w:pStyle w:val="779"/>
              <w:ind w:firstLine="0"/>
              <w:widowControl w:val="off"/>
              <w:rPr>
                <w:color w:val="auto"/>
                <w:sz w:val="20"/>
                <w:highlight w:val="none"/>
              </w:rPr>
            </w:pPr>
            <w:r>
              <w:rPr>
                <w:rFonts w:hint="eastAsia" w:asciiTheme="minorEastAsia" w:hAnsiTheme="minorEastAsia" w:eastAsiaTheme="minorEastAsia" w:cstheme="minorEastAsia"/>
                <w:color w:val="auto"/>
                <w:sz w:val="24"/>
                <w:szCs w:val="24"/>
                <w:highlight w:val="none"/>
              </w:rPr>
              <w:t xml:space="preserve">注：以上每点内容须提供人员岗位证明、社保机构出具并盖章的投标供应商在投标前三个月缴纳为其缴纳的养老保险缴费清单，供应商如为成立不足三个月的新公司，可以提供最近一个月的养老保险缴费证明;成立不足一个月的新公司，可以不提交养老保险缴费证明</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但需提供与拟派人员签订的劳动合同</w:t>
            </w:r>
            <w:r>
              <w:rPr>
                <w:rFonts w:hint="eastAsia" w:asciiTheme="minorEastAsia" w:hAnsiTheme="minorEastAsia" w:eastAsiaTheme="minorEastAsia" w:cstheme="minorEastAsia"/>
                <w:color w:val="auto"/>
                <w:sz w:val="24"/>
                <w:szCs w:val="24"/>
                <w:highlight w:val="none"/>
              </w:rPr>
              <w:t xml:space="preserve">。未按要求提供者不得分。</w:t>
            </w:r>
            <w:r/>
          </w:p>
        </w:tc>
        <w:tc>
          <w:tcPr>
            <w:tcW w:w="751"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p>
        </w:tc>
      </w:tr>
      <w:tr>
        <w:trPr/>
        <w:tc>
          <w:tcPr>
            <w:tcW w:w="1025" w:type="dxa"/>
            <w:vAlign w:val="center"/>
            <w:textDirection w:val="lrTb"/>
            <w:noWrap w:val="false"/>
          </w:tcPr>
          <w:p>
            <w:pP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W w:w="1393"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实验室设备</w:t>
            </w:r>
            <w:r/>
          </w:p>
        </w:tc>
        <w:tc>
          <w:tcPr>
            <w:tcW w:w="5353" w:type="dxa"/>
            <w:vAlign w:val="center"/>
            <w:textDirection w:val="lrTb"/>
            <w:noWrap w:val="false"/>
          </w:tcPr>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1、供应商应配备满足采购人检验检测项目需求的检验设备：</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（1）液相色谱串联质谱联用仪；</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（2）气相色谱质谱联用仪；</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（3）电感耦合等离子体质谱仪；</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（4）离子色谱仪；</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（5）高效液相色谱仪；</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（6）气相色谱仪；</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（7）原子吸收光谱仪；</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（8）原子荧光光谱仪；</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（9）PCR检测仪；</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具备以上9类设备每类同时配备至少1台，得8分；具备以上8类设备每类同时配备至少1台，得5分；具备以上7类设备每类同时配备至少1台，得2分；其他不得分。</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2、在满足前述检验设备能力要求的基础上对多配备的设备评分：</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（1）液相色谱三重四级杆质谱联用仪；</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（2）气相色谱质谱联用仪；</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（3）电感耦合等离子体质谱仪；</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以上3类设备每类同时配备2台及以上且满足招标文件要求的，得4分，不满足不得分；</w:t>
            </w:r>
            <w:r/>
          </w:p>
          <w:p>
            <w:pPr>
              <w:pStyle w:val="779"/>
              <w:ind w:firstLine="0"/>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注：须提供有效的检定或校准证书、购置发票或租赁合同、检验原始记录、设备照片和存放位置等复印件，表明能有效应用在食品检验检测上。</w:t>
            </w:r>
            <w:r/>
          </w:p>
        </w:tc>
        <w:tc>
          <w:tcPr>
            <w:tcW w:w="751" w:type="dxa"/>
            <w:vAlign w:val="center"/>
            <w:textDirection w:val="lrTb"/>
            <w:noWrap w:val="false"/>
          </w:tcPr>
          <w:p>
            <w:pPr>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 xml:space="preserve">12</w:t>
            </w:r>
            <w:r/>
          </w:p>
        </w:tc>
      </w:tr>
      <w:tr>
        <w:trPr/>
        <w:tc>
          <w:tcPr>
            <w:tcW w:w="1025" w:type="dxa"/>
            <w:vAlign w:val="center"/>
            <w:textDirection w:val="lrTb"/>
            <w:noWrap w:val="false"/>
          </w:tcPr>
          <w:p>
            <w:pP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tcW w:w="1393"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采样设备</w:t>
            </w:r>
            <w:r/>
          </w:p>
        </w:tc>
        <w:tc>
          <w:tcPr>
            <w:tcW w:w="5353"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供应商具备满足食品抽检工作要求的抽样工具、车辆及特殊贮存条件要求的运输设备情况。</w:t>
            </w:r>
            <w:r/>
          </w:p>
          <w:p>
            <w:pP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①供应商</w:t>
            </w:r>
            <w:r>
              <w:rPr>
                <w:rFonts w:hint="eastAsia" w:asciiTheme="minorEastAsia" w:hAnsiTheme="minorEastAsia" w:eastAsiaTheme="minorEastAsia" w:cstheme="minorEastAsia"/>
                <w:color w:val="auto"/>
                <w:sz w:val="24"/>
                <w:szCs w:val="24"/>
                <w:highlight w:val="none"/>
                <w:lang w:val="en-US" w:eastAsia="zh-CN"/>
              </w:rPr>
              <w:t xml:space="preserve">需</w:t>
            </w:r>
            <w:r>
              <w:rPr>
                <w:rFonts w:hint="eastAsia" w:asciiTheme="minorEastAsia" w:hAnsiTheme="minorEastAsia" w:eastAsiaTheme="minorEastAsia" w:cstheme="minorEastAsia"/>
                <w:color w:val="auto"/>
                <w:sz w:val="24"/>
                <w:szCs w:val="24"/>
                <w:highlight w:val="none"/>
              </w:rPr>
              <w:t xml:space="preserve">自有（或租赁）冷藏车3辆，每增一辆得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分，满分</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②供应商具备用于样品保存的车载冰箱，每有5个得0.5分，满分</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③具备用于采样过程取证的采样记录仪达5部，得1分，达10部，得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（1）须提供仪器设备清单、设备原值、购置时间、台套数、计量检定证明、发票复印件等其他证明材料复印件加盖供应商公章。</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自有车辆的需提供车辆清单和行驶证、车辆照片（车牌及内部各一张）；供应商租赁车辆的需提供车辆租赁合同（需体现租赁期限不低于半年）、车辆清单和行驶证、车辆照片（车牌及内部各一张）；车载冰箱及采样记录仪提供采购发票复印件加盖供应商公章。</w:t>
            </w:r>
            <w:r/>
          </w:p>
        </w:tc>
        <w:tc>
          <w:tcPr>
            <w:tcW w:w="751" w:type="dxa"/>
            <w:vAlign w:val="center"/>
            <w:textDirection w:val="lrTb"/>
            <w:noWrap w:val="false"/>
          </w:tcPr>
          <w:p>
            <w:pP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7</w:t>
            </w:r>
            <w:r/>
          </w:p>
        </w:tc>
      </w:tr>
      <w:tr>
        <w:trPr/>
        <w:tc>
          <w:tcPr>
            <w:tcW w:w="1025" w:type="dxa"/>
            <w:vAlign w:val="center"/>
            <w:textDirection w:val="lrTb"/>
            <w:noWrap w:val="false"/>
          </w:tcPr>
          <w:p>
            <w:pP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4</w:t>
            </w:r>
            <w:r/>
          </w:p>
        </w:tc>
        <w:tc>
          <w:tcPr>
            <w:tcW w:w="1393"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技术实施方案</w:t>
            </w:r>
            <w:r/>
          </w:p>
        </w:tc>
        <w:tc>
          <w:tcPr>
            <w:tcW w:w="5353" w:type="dxa"/>
            <w:vAlign w:val="center"/>
            <w:textDirection w:val="lrTb"/>
            <w:noWrap w:val="false"/>
          </w:tcPr>
          <w:p>
            <w:pPr>
              <w:pStyle w:val="845"/>
              <w:ind w:left="0"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实施方案应包括但不限于针对</w:t>
            </w:r>
            <w:r/>
          </w:p>
          <w:p>
            <w:pPr>
              <w:pStyle w:val="845"/>
              <w:numPr>
                <w:ilvl w:val="0"/>
                <w:numId w:val="0"/>
              </w:numPr>
              <w:ind w:left="0" w:firstLine="0"/>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lang w:val="en-US" w:eastAsia="zh-CN" w:bidi="ar-SA"/>
              </w:rPr>
              <w:t xml:space="preserve">1、</w:t>
            </w:r>
            <w:r>
              <w:rPr>
                <w:rFonts w:hint="eastAsia" w:asciiTheme="minorEastAsia" w:hAnsiTheme="minorEastAsia" w:eastAsiaTheme="minorEastAsia" w:cstheme="minorEastAsia"/>
                <w:color w:val="auto"/>
                <w:sz w:val="24"/>
                <w:szCs w:val="24"/>
                <w:highlight w:val="none"/>
              </w:rPr>
              <w:t xml:space="preserve">抽样方案</w:t>
            </w:r>
            <w:r/>
          </w:p>
          <w:p>
            <w:pPr>
              <w:pStyle w:val="845"/>
              <w:numPr>
                <w:ilvl w:val="0"/>
                <w:numId w:val="0"/>
              </w:numPr>
              <w:ind w:left="0" w:firstLine="0"/>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lang w:val="en-US" w:eastAsia="zh-CN" w:bidi="ar-SA"/>
              </w:rPr>
              <w:t xml:space="preserve">2、</w:t>
            </w:r>
            <w:r>
              <w:rPr>
                <w:rFonts w:hint="eastAsia" w:asciiTheme="minorEastAsia" w:hAnsiTheme="minorEastAsia" w:eastAsiaTheme="minorEastAsia" w:cstheme="minorEastAsia"/>
                <w:color w:val="auto"/>
                <w:sz w:val="24"/>
                <w:szCs w:val="24"/>
                <w:highlight w:val="none"/>
              </w:rPr>
              <w:t xml:space="preserve">检验方案</w:t>
            </w:r>
            <w:r/>
          </w:p>
          <w:p>
            <w:pPr>
              <w:pStyle w:val="845"/>
              <w:numPr>
                <w:ilvl w:val="0"/>
                <w:numId w:val="0"/>
              </w:numPr>
              <w:ind w:left="0" w:firstLine="0"/>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lang w:val="en-US" w:eastAsia="zh-CN" w:bidi="ar-SA"/>
              </w:rPr>
              <w:t xml:space="preserve">3、</w:t>
            </w:r>
            <w:r>
              <w:rPr>
                <w:rFonts w:hint="eastAsia" w:asciiTheme="minorEastAsia" w:hAnsiTheme="minorEastAsia" w:eastAsiaTheme="minorEastAsia" w:cstheme="minorEastAsia"/>
                <w:color w:val="auto"/>
                <w:sz w:val="24"/>
                <w:szCs w:val="24"/>
                <w:highlight w:val="none"/>
              </w:rPr>
              <w:t xml:space="preserve">数据上报方案</w:t>
            </w:r>
            <w:r/>
          </w:p>
          <w:p>
            <w:pPr>
              <w:pStyle w:val="845"/>
              <w:numPr>
                <w:ilvl w:val="0"/>
                <w:numId w:val="0"/>
              </w:numPr>
              <w:ind w:left="0" w:firstLine="0"/>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lang w:val="en-US" w:eastAsia="zh-CN" w:bidi="ar-SA"/>
              </w:rPr>
              <w:t xml:space="preserve">4、</w:t>
            </w:r>
            <w:r>
              <w:rPr>
                <w:rFonts w:hint="eastAsia" w:asciiTheme="minorEastAsia" w:hAnsiTheme="minorEastAsia" w:eastAsiaTheme="minorEastAsia" w:cstheme="minorEastAsia"/>
                <w:color w:val="auto"/>
                <w:sz w:val="24"/>
                <w:szCs w:val="24"/>
                <w:highlight w:val="none"/>
              </w:rPr>
              <w:t xml:space="preserve">分析汇总方案</w:t>
            </w:r>
            <w:r/>
          </w:p>
          <w:p>
            <w:pPr>
              <w:pStyle w:val="845"/>
              <w:numPr>
                <w:ilvl w:val="0"/>
                <w:numId w:val="0"/>
              </w:numPr>
              <w:ind w:left="0" w:firstLine="0"/>
              <w:rPr>
                <w:rFonts w:hint="eastAsia"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lang w:val="en-US" w:eastAsia="zh-CN" w:bidi="ar-SA"/>
              </w:rPr>
              <w:t xml:space="preserve">5、</w:t>
            </w:r>
            <w:r>
              <w:rPr>
                <w:rFonts w:hint="eastAsia" w:asciiTheme="minorEastAsia" w:hAnsiTheme="minorEastAsia" w:eastAsiaTheme="minorEastAsia" w:cstheme="minorEastAsia"/>
                <w:color w:val="auto"/>
                <w:sz w:val="24"/>
                <w:szCs w:val="24"/>
                <w:highlight w:val="none"/>
              </w:rPr>
              <w:t xml:space="preserve">特色创新工作方案</w:t>
            </w:r>
            <w:r/>
          </w:p>
          <w:p>
            <w:pPr>
              <w:numPr>
                <w:ilvl w:val="0"/>
                <w:numId w:val="0"/>
              </w:numPr>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每项1分，共计5分，每有一项缺项的扣1分，每有一项内容不完整或有缺陷的扣0.5分，扣完为止，未提供不得分。</w:t>
            </w:r>
            <w:r/>
          </w:p>
          <w:p>
            <w:pPr>
              <w:rPr>
                <w:rFonts w:asciiTheme="minorEastAsia" w:hAnsiTheme="minorEastAsia" w:eastAsiaTheme="minorEastAsia" w:cstheme="minorEastAsia"/>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c>
          <w:tcPr>
            <w:tcW w:w="751" w:type="dxa"/>
            <w:vAlign w:val="center"/>
            <w:textDirection w:val="lrTb"/>
            <w:noWrap w:val="false"/>
          </w:tcPr>
          <w:p>
            <w:pP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5</w:t>
            </w:r>
            <w:r/>
          </w:p>
        </w:tc>
      </w:tr>
      <w:tr>
        <w:trPr/>
        <w:tc>
          <w:tcPr>
            <w:tcW w:w="1025" w:type="dxa"/>
            <w:vAlign w:val="center"/>
            <w:textDirection w:val="lrTb"/>
            <w:noWrap w:val="false"/>
          </w:tcPr>
          <w:p>
            <w:pP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5</w:t>
            </w:r>
            <w:r/>
          </w:p>
        </w:tc>
        <w:tc>
          <w:tcPr>
            <w:tcW w:w="1393"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突发事件应急处置预案</w:t>
            </w:r>
            <w:r/>
          </w:p>
        </w:tc>
        <w:tc>
          <w:tcPr>
            <w:tcW w:w="5353" w:type="dxa"/>
            <w:vAlign w:val="center"/>
            <w:textDirection w:val="lrTb"/>
            <w:noWrap w:val="false"/>
          </w:tcPr>
          <w:p>
            <w:pPr>
              <w:pStyle w:val="779"/>
              <w:ind w:firstLine="0"/>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突发事件应急处置预案包括如遇到：</w:t>
            </w:r>
            <w:r/>
          </w:p>
          <w:p>
            <w:pPr>
              <w:pStyle w:val="779"/>
              <w:numPr>
                <w:ilvl w:val="0"/>
                <w:numId w:val="0"/>
              </w:numPr>
              <w:ind w:firstLine="0"/>
              <w:widowControl w:val="off"/>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lang w:val="en-US" w:eastAsia="zh-CN" w:bidi="ar-SA"/>
              </w:rPr>
              <w:t xml:space="preserve">1、</w:t>
            </w:r>
            <w:r>
              <w:rPr>
                <w:rFonts w:hint="eastAsia" w:asciiTheme="minorEastAsia" w:hAnsiTheme="minorEastAsia" w:eastAsiaTheme="minorEastAsia" w:cstheme="minorEastAsia"/>
                <w:color w:val="auto"/>
                <w:sz w:val="24"/>
                <w:szCs w:val="24"/>
                <w:highlight w:val="none"/>
              </w:rPr>
              <w:t xml:space="preserve">应急处置</w:t>
            </w:r>
            <w:r/>
          </w:p>
          <w:p>
            <w:pPr>
              <w:pStyle w:val="779"/>
              <w:numPr>
                <w:ilvl w:val="0"/>
                <w:numId w:val="0"/>
              </w:numPr>
              <w:ind w:firstLine="0"/>
              <w:widowControl w:val="off"/>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lang w:val="en-US" w:eastAsia="zh-CN" w:bidi="ar-SA"/>
              </w:rPr>
              <w:t xml:space="preserve">2、</w:t>
            </w:r>
            <w:r>
              <w:rPr>
                <w:rFonts w:hint="eastAsia" w:asciiTheme="minorEastAsia" w:hAnsiTheme="minorEastAsia" w:eastAsiaTheme="minorEastAsia" w:cstheme="minorEastAsia"/>
                <w:color w:val="auto"/>
                <w:sz w:val="24"/>
                <w:szCs w:val="24"/>
                <w:highlight w:val="none"/>
              </w:rPr>
              <w:t xml:space="preserve">专项整治</w:t>
            </w:r>
            <w:r/>
          </w:p>
          <w:p>
            <w:pPr>
              <w:pStyle w:val="779"/>
              <w:numPr>
                <w:ilvl w:val="0"/>
                <w:numId w:val="0"/>
              </w:numPr>
              <w:ind w:firstLine="0"/>
              <w:widowControl w:val="off"/>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lang w:val="en-US" w:eastAsia="zh-CN" w:bidi="ar-SA"/>
              </w:rPr>
              <w:t xml:space="preserve">3、</w:t>
            </w:r>
            <w:r>
              <w:rPr>
                <w:rFonts w:hint="eastAsia" w:asciiTheme="minorEastAsia" w:hAnsiTheme="minorEastAsia" w:eastAsiaTheme="minorEastAsia" w:cstheme="minorEastAsia"/>
                <w:color w:val="auto"/>
                <w:sz w:val="24"/>
                <w:szCs w:val="24"/>
                <w:highlight w:val="none"/>
              </w:rPr>
              <w:t xml:space="preserve">案件稽查</w:t>
            </w:r>
            <w:r/>
          </w:p>
          <w:p>
            <w:pPr>
              <w:pStyle w:val="779"/>
              <w:numPr>
                <w:ilvl w:val="0"/>
                <w:numId w:val="0"/>
              </w:numPr>
              <w:ind w:firstLine="0"/>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4、事故调查</w:t>
            </w:r>
            <w:r/>
          </w:p>
          <w:p>
            <w:pPr>
              <w:numPr>
                <w:ilvl w:val="0"/>
                <w:numId w:val="0"/>
              </w:numPr>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每项1分，共计4分，每有一项缺项的扣1分，每有一项内容不完整或有缺陷的扣0.5分，扣完为止，未提供不得分。</w:t>
            </w:r>
            <w:r/>
          </w:p>
          <w:p>
            <w:pPr>
              <w:rPr>
                <w:color w:val="auto"/>
                <w:sz w:val="20"/>
                <w:highlight w:val="none"/>
              </w:rPr>
            </w:pPr>
            <w:r>
              <w:rPr>
                <w:rFonts w:hint="eastAsia" w:ascii="Times New Roman" w:hAnsi="Times New Roman" w:eastAsia="宋体" w:cs="Times New Roman"/>
                <w:color w:val="auto"/>
                <w:sz w:val="24"/>
                <w:szCs w:val="24"/>
                <w:highlight w:val="none"/>
                <w:lang w:val="en-US" w:eastAsia="zh-CN" w:bidi="ar-SA"/>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c>
          <w:tcPr>
            <w:tcW w:w="751" w:type="dxa"/>
            <w:vAlign w:val="center"/>
            <w:textDirection w:val="lrTb"/>
            <w:noWrap w:val="false"/>
          </w:tcPr>
          <w:p>
            <w:pP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4</w:t>
            </w:r>
            <w:r/>
          </w:p>
        </w:tc>
      </w:tr>
      <w:tr>
        <w:trPr/>
        <w:tc>
          <w:tcPr>
            <w:tcW w:w="1025" w:type="dxa"/>
            <w:vAlign w:val="center"/>
            <w:textDirection w:val="lrTb"/>
            <w:noWrap w:val="false"/>
          </w:tcPr>
          <w:p>
            <w:pP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6</w:t>
            </w:r>
            <w:r/>
          </w:p>
        </w:tc>
        <w:tc>
          <w:tcPr>
            <w:tcW w:w="1393"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资质项目情况</w:t>
            </w:r>
            <w:r/>
          </w:p>
        </w:tc>
        <w:tc>
          <w:tcPr>
            <w:tcW w:w="5353" w:type="dxa"/>
            <w:vAlign w:val="center"/>
            <w:textDirection w:val="lrTb"/>
            <w:noWrap w:val="false"/>
          </w:tcPr>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1.对照最新版国抽细则中列出的各产品检验项目表的项目响应情况</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①CMA资质项目综合覆盖率达到100%的，得3.5分；</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②CMA资质项目综合覆盖率95%及以上的，得3分；</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③CMA资质项目综合覆盖率90%及以上的，得2.5分；</w:t>
            </w:r>
            <w:r/>
          </w:p>
          <w:p>
            <w:pPr>
              <w:pStyle w:val="779"/>
              <w:ind w:firstLine="0"/>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④CMA资质项目综合覆盖率85%及以上的，得1分；</w:t>
            </w:r>
            <w:r/>
          </w:p>
          <w:p>
            <w:pPr>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各供应商自行逐项列出检验项目，并提供《检验项目响应表》，具体详见采购附件16。如果在项目后期实施过程出现与投标时所提供的项目响应表不一致的情况，采购人有权终止合同。并将供应商的虚假应标行为上报财政部门。</w:t>
            </w:r>
            <w:r/>
          </w:p>
          <w:p>
            <w:pPr>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2.对照GB 2760-2024响应情况</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供应商具有CMA资质项目，但最新版国抽细则中的未作要求的，每有一个项目得0.1分，最高1分。</w:t>
            </w:r>
            <w:r/>
          </w:p>
          <w:p>
            <w:pPr>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注：供应商需</w:t>
            </w:r>
            <w:r>
              <w:rPr>
                <w:rFonts w:hint="eastAsia" w:cs="Times New Roman"/>
                <w:color w:val="auto"/>
                <w:sz w:val="24"/>
                <w:szCs w:val="24"/>
                <w:highlight w:val="none"/>
                <w:lang w:val="en-US" w:eastAsia="zh-CN" w:bidi="ar-SA"/>
              </w:rPr>
              <w:t xml:space="preserve">提供涉及CMA资质项目在</w:t>
            </w:r>
            <w:r>
              <w:rPr>
                <w:rFonts w:hint="eastAsia" w:ascii="Times New Roman" w:hAnsi="Times New Roman" w:eastAsia="宋体" w:cs="Times New Roman"/>
                <w:color w:val="auto"/>
                <w:sz w:val="24"/>
                <w:szCs w:val="24"/>
                <w:highlight w:val="none"/>
                <w:lang w:val="en-US" w:eastAsia="zh-CN" w:bidi="ar-SA"/>
              </w:rPr>
              <w:t xml:space="preserve">GB 2760-2024标准中具体</w:t>
            </w:r>
            <w:r>
              <w:rPr>
                <w:rFonts w:hint="eastAsia" w:cs="Times New Roman"/>
                <w:color w:val="auto"/>
                <w:sz w:val="24"/>
                <w:szCs w:val="24"/>
                <w:highlight w:val="none"/>
                <w:lang w:val="en-US" w:eastAsia="zh-CN" w:bidi="ar-SA"/>
              </w:rPr>
              <w:t xml:space="preserve">的</w:t>
            </w:r>
            <w:r>
              <w:rPr>
                <w:rFonts w:hint="eastAsia" w:ascii="Times New Roman" w:hAnsi="Times New Roman" w:eastAsia="宋体" w:cs="Times New Roman"/>
                <w:color w:val="auto"/>
                <w:sz w:val="24"/>
                <w:szCs w:val="24"/>
                <w:highlight w:val="none"/>
                <w:lang w:val="en-US" w:eastAsia="zh-CN" w:bidi="ar-SA"/>
              </w:rPr>
              <w:t xml:space="preserve">添加剂名称、所在食品具体名称及页码截图。</w:t>
            </w:r>
            <w:r/>
          </w:p>
          <w:p>
            <w:pPr>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3.对照卫生部、市场监管总局公告中食品中可能添加的非食用物质项目响应情况</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供应商具有CMA资质项目，列出具体公告中非法物质对应的资质附表序号，每个项目得0.1分，最高1分。</w:t>
            </w:r>
            <w:r/>
          </w:p>
          <w:p>
            <w:pPr>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4.通过CATL考核，覆盖项目每50项得0.5分，最高得1分；（提供附表）</w:t>
            </w:r>
            <w:r/>
          </w:p>
          <w:p>
            <w:pPr>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5.供应商具有CNAS资质，覆盖项目每50项得0.5分，最高得1.5分；（提供附表）</w:t>
            </w:r>
            <w:r/>
          </w:p>
          <w:p>
            <w:pPr>
              <w:rPr>
                <w:rFonts w:asciiTheme="minorEastAsia" w:hAnsiTheme="minorEastAsia" w:eastAsiaTheme="minorEastAsia" w:cstheme="minorEastAsia"/>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本项最高得8分，供应商须提供资质证书、实验室资质及检验项目资质情况表的对照表、项目覆盖率等相关证明材料。</w:t>
            </w:r>
            <w:r/>
          </w:p>
        </w:tc>
        <w:tc>
          <w:tcPr>
            <w:tcW w:w="751"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r>
      <w:tr>
        <w:trPr/>
        <w:tc>
          <w:tcPr>
            <w:tcW w:w="1025" w:type="dxa"/>
            <w:vAlign w:val="center"/>
            <w:textDirection w:val="lrTb"/>
            <w:noWrap w:val="false"/>
          </w:tcPr>
          <w:p>
            <w:pP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7</w:t>
            </w:r>
            <w:r/>
          </w:p>
        </w:tc>
        <w:tc>
          <w:tcPr>
            <w:tcW w:w="1393"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科研项目</w:t>
            </w:r>
            <w:r/>
          </w:p>
        </w:tc>
        <w:tc>
          <w:tcPr>
            <w:tcW w:w="5353"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供应商参与过国家、行业、地方、团体等食品相关标准或检验方法标准制定</w:t>
            </w:r>
            <w:r>
              <w:rPr>
                <w:rFonts w:hint="eastAsia" w:asciiTheme="minorEastAsia" w:hAnsiTheme="minorEastAsia" w:eastAsia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每1个得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分，最高得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分。（须提供课题合同书或其他相关证明材料。）</w:t>
            </w:r>
            <w:r/>
          </w:p>
        </w:tc>
        <w:tc>
          <w:tcPr>
            <w:tcW w:w="751" w:type="dxa"/>
            <w:vAlign w:val="center"/>
            <w:textDirection w:val="lrTb"/>
            <w:noWrap w:val="false"/>
          </w:tcPr>
          <w:p>
            <w:pP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4</w:t>
            </w:r>
            <w:r/>
          </w:p>
        </w:tc>
      </w:tr>
      <w:tr>
        <w:trPr/>
        <w:tc>
          <w:tcPr>
            <w:tcW w:w="1025" w:type="dxa"/>
            <w:vAlign w:val="center"/>
            <w:textDirection w:val="lrTb"/>
            <w:noWrap w:val="false"/>
          </w:tcPr>
          <w:p>
            <w:pP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8</w:t>
            </w:r>
            <w:r/>
          </w:p>
        </w:tc>
        <w:tc>
          <w:tcPr>
            <w:tcW w:w="1393"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抽检业绩</w:t>
            </w:r>
            <w:r/>
          </w:p>
        </w:tc>
        <w:tc>
          <w:tcPr>
            <w:tcW w:w="5353" w:type="dxa"/>
            <w:vAlign w:val="center"/>
            <w:textDirection w:val="lrTb"/>
            <w:noWrap w:val="false"/>
          </w:tcPr>
          <w:p>
            <w:pPr>
              <w:pStyle w:val="822"/>
              <w:numPr>
                <w:ilvl w:val="0"/>
                <w:numId w:val="6"/>
              </w:numPr>
              <w:ind w:left="0" w:hanging="357"/>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1、供应商自2023年1月1日以来，承担过省级及以上与本项目类似的任务，有1次得</w:t>
            </w: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lang w:eastAsia="zh-CN"/>
              </w:rPr>
              <w:t xml:space="preserve">分。</w:t>
            </w:r>
            <w:r/>
          </w:p>
          <w:p>
            <w:pPr>
              <w:pStyle w:val="822"/>
              <w:numPr>
                <w:ilvl w:val="0"/>
                <w:numId w:val="6"/>
              </w:numPr>
              <w:ind w:left="0" w:hanging="357"/>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注：供应商提供具代表性业绩，同一委托单位单笔合同一年内任务批次不少于300；附合同及响应的检测报告各一份。</w:t>
            </w:r>
            <w:r/>
          </w:p>
          <w:p>
            <w:pPr>
              <w:pStyle w:val="822"/>
              <w:numPr>
                <w:ilvl w:val="0"/>
                <w:numId w:val="6"/>
              </w:numPr>
              <w:ind w:left="0" w:hanging="357"/>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lang w:eastAsia="zh-CN"/>
              </w:rPr>
              <w:t xml:space="preserve">、供应商提供</w:t>
            </w:r>
            <w:r>
              <w:rPr>
                <w:rFonts w:hint="eastAsia"/>
                <w:color w:val="auto"/>
                <w:highlight w:val="none"/>
                <w:lang w:eastAsia="zh-CN"/>
              </w:rPr>
              <w:t xml:space="preserve">《食品安全监督抽检实施细则》</w:t>
            </w:r>
            <w:r>
              <w:rPr>
                <w:rFonts w:hint="eastAsia"/>
                <w:color w:val="auto"/>
                <w:highlight w:val="none"/>
                <w:lang w:val="en-US" w:eastAsia="zh-CN"/>
              </w:rPr>
              <w:t xml:space="preserve">最新</w:t>
            </w:r>
            <w:r>
              <w:rPr>
                <w:rFonts w:hint="eastAsia"/>
                <w:color w:val="auto"/>
                <w:highlight w:val="none"/>
                <w:lang w:eastAsia="zh-CN"/>
              </w:rPr>
              <w:t xml:space="preserve">版范围之外，GB 2760-2024范围之内的检测业绩，提供</w:t>
            </w:r>
            <w:r>
              <w:rPr>
                <w:rFonts w:hint="eastAsia"/>
                <w:color w:val="auto"/>
                <w:highlight w:val="none"/>
                <w:lang w:val="en-US" w:eastAsia="zh-CN"/>
              </w:rPr>
              <w:t xml:space="preserve">相应的</w:t>
            </w:r>
            <w:r>
              <w:rPr>
                <w:rFonts w:hint="eastAsia" w:asciiTheme="minorEastAsia" w:hAnsiTheme="minorEastAsia" w:eastAsiaTheme="minorEastAsia" w:cstheme="minorEastAsia"/>
                <w:color w:val="auto"/>
                <w:highlight w:val="none"/>
                <w:lang w:eastAsia="zh-CN"/>
              </w:rPr>
              <w:t xml:space="preserve">有资质的</w:t>
            </w:r>
            <w:r>
              <w:rPr>
                <w:rFonts w:hint="eastAsia"/>
                <w:color w:val="auto"/>
                <w:highlight w:val="none"/>
                <w:lang w:eastAsia="zh-CN"/>
              </w:rPr>
              <w:t xml:space="preserve">检测报告，有一项得</w:t>
            </w:r>
            <w:r>
              <w:rPr>
                <w:rFonts w:hint="eastAsia"/>
                <w:color w:val="auto"/>
                <w:highlight w:val="none"/>
                <w:lang w:val="en-US" w:eastAsia="zh-CN"/>
              </w:rPr>
              <w:t xml:space="preserve">1</w:t>
            </w:r>
            <w:r>
              <w:rPr>
                <w:rFonts w:hint="eastAsia"/>
                <w:color w:val="auto"/>
                <w:highlight w:val="none"/>
                <w:lang w:eastAsia="zh-CN"/>
              </w:rPr>
              <w:t xml:space="preserve">分，最高得</w:t>
            </w:r>
            <w:r>
              <w:rPr>
                <w:rFonts w:hint="eastAsia"/>
                <w:color w:val="auto"/>
                <w:highlight w:val="none"/>
                <w:lang w:val="en-US" w:eastAsia="zh-CN"/>
              </w:rPr>
              <w:t xml:space="preserve">2</w:t>
            </w:r>
            <w:r>
              <w:rPr>
                <w:rFonts w:hint="eastAsia"/>
                <w:color w:val="auto"/>
                <w:highlight w:val="none"/>
                <w:lang w:eastAsia="zh-CN"/>
              </w:rPr>
              <w:t xml:space="preserve">分。</w:t>
            </w:r>
            <w:r/>
          </w:p>
          <w:p>
            <w:pPr>
              <w:pStyle w:val="822"/>
              <w:numPr>
                <w:ilvl w:val="0"/>
                <w:numId w:val="6"/>
              </w:numPr>
              <w:ind w:left="0" w:hanging="357"/>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备注：以上两项业绩重复的不同时得分。</w:t>
            </w:r>
            <w:r/>
          </w:p>
        </w:tc>
        <w:tc>
          <w:tcPr>
            <w:tcW w:w="751" w:type="dxa"/>
            <w:vAlign w:val="center"/>
            <w:textDirection w:val="lrTb"/>
            <w:noWrap w:val="false"/>
          </w:tcPr>
          <w:p>
            <w:pP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w:t>
            </w:r>
            <w:r/>
          </w:p>
        </w:tc>
      </w:tr>
      <w:tr>
        <w:trPr/>
        <w:tc>
          <w:tcPr>
            <w:tcW w:w="1025" w:type="dxa"/>
            <w:vAlign w:val="center"/>
            <w:textDirection w:val="lrTb"/>
            <w:noWrap w:val="false"/>
          </w:tcPr>
          <w:p>
            <w:pP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w:t>
            </w:r>
            <w:r/>
          </w:p>
        </w:tc>
        <w:tc>
          <w:tcPr>
            <w:tcW w:w="1393"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应急时间响应承诺</w:t>
            </w:r>
            <w:r/>
          </w:p>
        </w:tc>
        <w:tc>
          <w:tcPr>
            <w:tcW w:w="5353"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供应商需具备配合采购人在海安市辖区内应急处置的能力。根据供应商在项目需要时到达现场（以投标项目所在地为参照）进行采样的时间综合评定（满分3分）： </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1.5小时（含）以内的得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 </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2.5小时（含）以内的得2分； </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3.5小时（含）以内的得1分； </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4小时（含）以内的得 0.5分；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4小时以上及未承诺的不得分。 </w:t>
            </w:r>
            <w:r/>
          </w:p>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注：供应商须提供盖章的承诺函原件</w:t>
            </w:r>
            <w:r>
              <w:rPr>
                <w:rFonts w:hint="eastAsia" w:asciiTheme="minorEastAsia" w:hAnsiTheme="minorEastAsia" w:eastAsiaTheme="minorEastAsia" w:cstheme="minorEastAsia"/>
                <w:color w:val="auto"/>
                <w:sz w:val="24"/>
                <w:szCs w:val="24"/>
                <w:highlight w:val="none"/>
                <w:lang w:val="en-US" w:eastAsia="zh-CN"/>
              </w:rPr>
              <w:t xml:space="preserve">及相关路线证明材料，不提供的不得分。</w:t>
            </w:r>
            <w:r>
              <w:rPr>
                <w:rFonts w:hint="eastAsia" w:asciiTheme="minorEastAsia" w:hAnsiTheme="minorEastAsia" w:eastAsiaTheme="minorEastAsia" w:cstheme="minorEastAsia"/>
                <w:color w:val="auto"/>
                <w:sz w:val="24"/>
                <w:szCs w:val="24"/>
                <w:highlight w:val="none"/>
              </w:rPr>
              <w:t xml:space="preserve">（承诺函格式自拟，采购人一旦发现存在虚假承诺，有权终止合同，并追究相关法律责任）。</w:t>
            </w:r>
            <w:r/>
          </w:p>
        </w:tc>
        <w:tc>
          <w:tcPr>
            <w:tcW w:w="751" w:type="dxa"/>
            <w:vAlign w:val="center"/>
            <w:textDirection w:val="lrTb"/>
            <w:noWrap w:val="false"/>
          </w:tcPr>
          <w:p>
            <w:pP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4</w:t>
            </w:r>
            <w:r/>
          </w:p>
        </w:tc>
      </w:tr>
      <w:tr>
        <w:trPr/>
        <w:tc>
          <w:tcPr>
            <w:tcW w:w="1025" w:type="dxa"/>
            <w:vAlign w:val="center"/>
            <w:textDirection w:val="lrTb"/>
            <w:noWrap w:val="false"/>
          </w:tcPr>
          <w:p>
            <w:pP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w:t>
            </w:r>
            <w:r/>
          </w:p>
        </w:tc>
        <w:tc>
          <w:tcPr>
            <w:tcW w:w="1393"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增值服务承诺</w:t>
            </w:r>
            <w:r/>
          </w:p>
        </w:tc>
        <w:tc>
          <w:tcPr>
            <w:tcW w:w="5353"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供应商提供相关增值服务承诺，具体内容如下： </w:t>
            </w:r>
            <w:r/>
          </w:p>
          <w:p>
            <w:pPr>
              <w:pStyle w:val="822"/>
              <w:numPr>
                <w:ilvl w:val="0"/>
                <w:numId w:val="0"/>
              </w:numPr>
              <w:ind w:left="0" w:firstLine="0"/>
              <w:rPr>
                <w:rFonts w:asciiTheme="minorEastAsia" w:hAnsiTheme="minorEastAsia" w:eastAsiaTheme="minorEastAsia" w:cstheme="minorEastAsia"/>
                <w:color w:val="auto"/>
                <w:highlight w:val="none"/>
                <w:lang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1.</w:t>
            </w:r>
            <w:r>
              <w:rPr>
                <w:rFonts w:hint="eastAsia" w:asciiTheme="minorEastAsia" w:hAnsiTheme="minorEastAsia" w:eastAsiaTheme="minorEastAsia" w:cstheme="minorEastAsia"/>
                <w:color w:val="auto"/>
                <w:highlight w:val="none"/>
                <w:lang w:eastAsia="zh-CN" w:bidi="ar-SA"/>
              </w:rPr>
              <w:t xml:space="preserve">根据采购人需求，供应商</w:t>
            </w:r>
            <w:bookmarkStart w:id="193" w:name="OLE_LINK25"/>
            <w:r/>
            <w:bookmarkStart w:id="194" w:name="OLE_LINK24"/>
            <w:r>
              <w:rPr>
                <w:rFonts w:hint="eastAsia" w:asciiTheme="minorEastAsia" w:hAnsiTheme="minorEastAsia" w:eastAsiaTheme="minorEastAsia" w:cstheme="minorEastAsia"/>
                <w:color w:val="auto"/>
                <w:highlight w:val="none"/>
                <w:lang w:eastAsia="zh-CN" w:bidi="ar-SA"/>
              </w:rPr>
              <w:t xml:space="preserve">拟派专业人员</w:t>
            </w:r>
            <w:bookmarkEnd w:id="193"/>
            <w:r/>
            <w:bookmarkEnd w:id="194"/>
            <w:r>
              <w:rPr>
                <w:rFonts w:hint="eastAsia" w:asciiTheme="minorEastAsia" w:hAnsiTheme="minorEastAsia" w:eastAsiaTheme="minorEastAsia" w:cstheme="minorEastAsia"/>
                <w:color w:val="auto"/>
                <w:highlight w:val="none"/>
                <w:lang w:val="en-US" w:eastAsia="zh-CN" w:bidi="ar-SA"/>
              </w:rPr>
              <w:t xml:space="preserve">进行</w:t>
            </w:r>
            <w:r>
              <w:rPr>
                <w:rFonts w:hint="eastAsia" w:asciiTheme="minorEastAsia" w:hAnsiTheme="minorEastAsia" w:eastAsiaTheme="minorEastAsia" w:cstheme="minorEastAsia"/>
                <w:color w:val="auto"/>
                <w:highlight w:val="none"/>
                <w:lang w:eastAsia="zh-CN" w:bidi="ar-SA"/>
              </w:rPr>
              <w:t xml:space="preserve">食品安全培训，</w:t>
            </w:r>
            <w:bookmarkStart w:id="195" w:name="OLE_LINK26"/>
            <w:r>
              <w:rPr>
                <w:rFonts w:hint="eastAsia" w:asciiTheme="minorEastAsia" w:hAnsiTheme="minorEastAsia" w:eastAsiaTheme="minorEastAsia" w:cstheme="minorEastAsia"/>
                <w:color w:val="auto"/>
                <w:highlight w:val="none"/>
                <w:lang w:eastAsia="zh-CN" w:bidi="ar-SA"/>
              </w:rPr>
              <w:t xml:space="preserve">不得少于2个学时（1学时不得少于45分钟）。</w:t>
            </w:r>
            <w:bookmarkEnd w:id="195"/>
            <w:r/>
            <w:r/>
          </w:p>
          <w:p>
            <w:pPr>
              <w:pStyle w:val="822"/>
              <w:numPr>
                <w:ilvl w:val="0"/>
                <w:numId w:val="0"/>
              </w:numPr>
              <w:ind w:left="0" w:firstLine="0"/>
              <w:rPr>
                <w:rFonts w:asciiTheme="minorEastAsia" w:hAnsiTheme="minorEastAsia" w:eastAsiaTheme="minorEastAsia" w:cstheme="minorEastAsia"/>
                <w:color w:val="auto"/>
                <w:highlight w:val="none"/>
                <w:lang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2.</w:t>
            </w:r>
            <w:r>
              <w:rPr>
                <w:rFonts w:hint="eastAsia" w:asciiTheme="minorEastAsia" w:hAnsiTheme="minorEastAsia" w:eastAsiaTheme="minorEastAsia" w:cstheme="minorEastAsia"/>
                <w:color w:val="auto"/>
                <w:highlight w:val="none"/>
                <w:lang w:eastAsia="zh-CN" w:bidi="ar-SA"/>
              </w:rPr>
              <w:t xml:space="preserve">供应商拟派专业人员给予快检培训，不得少于2个学时（1学时不得少于45分钟）。</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以上内容每提供一项承诺得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分，最高得</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分。以上承诺函格式自拟。</w:t>
            </w:r>
            <w:r/>
          </w:p>
          <w:p>
            <w:pPr>
              <w:numPr>
                <w:ilvl w:val="0"/>
                <w:numId w:val="7"/>
              </w:num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在本项目实施期间，</w:t>
            </w:r>
            <w:r>
              <w:rPr>
                <w:rFonts w:hint="eastAsia" w:asciiTheme="minorEastAsia" w:hAnsiTheme="minorEastAsia" w:eastAsiaTheme="minorEastAsia" w:cstheme="minorEastAsia"/>
                <w:color w:val="auto"/>
                <w:sz w:val="24"/>
                <w:szCs w:val="24"/>
                <w:highlight w:val="none"/>
              </w:rPr>
              <w:t xml:space="preserve">供应商提供相关增值服务承诺，具体内容如下： </w:t>
            </w:r>
            <w:r/>
          </w:p>
          <w:p>
            <w:pPr>
              <w:numPr>
                <w:ilvl w:val="0"/>
                <w:numId w:val="8"/>
              </w:num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为采购人提供动物源性（</w:t>
            </w:r>
            <w:r>
              <w:rPr>
                <w:rFonts w:hint="eastAsia" w:asciiTheme="minorEastAsia" w:hAnsiTheme="minorEastAsia" w:eastAsiaTheme="minorEastAsia" w:cstheme="minorEastAsia"/>
                <w:color w:val="auto"/>
                <w:sz w:val="24"/>
                <w:szCs w:val="24"/>
                <w:highlight w:val="none"/>
                <w:lang w:val="en-US" w:eastAsia="zh-CN"/>
              </w:rPr>
              <w:t xml:space="preserve">必须包含</w:t>
            </w:r>
            <w:r>
              <w:rPr>
                <w:rFonts w:hint="eastAsia" w:asciiTheme="minorEastAsia" w:hAnsiTheme="minorEastAsia" w:eastAsiaTheme="minorEastAsia" w:cstheme="minorEastAsia"/>
                <w:b/>
                <w:bCs/>
                <w:color w:val="auto"/>
                <w:sz w:val="24"/>
                <w:szCs w:val="24"/>
                <w:highlight w:val="none"/>
                <w:lang w:val="en-US" w:eastAsia="zh-CN"/>
              </w:rPr>
              <w:t xml:space="preserve">牛源性、羊源性、鸡源性、鸭源性、猪源性</w:t>
            </w:r>
            <w:r>
              <w:rPr>
                <w:rFonts w:hint="eastAsia" w:asciiTheme="minorEastAsia" w:hAnsiTheme="minorEastAsia" w:eastAsiaTheme="minorEastAsia" w:cstheme="minorEastAsia"/>
                <w:color w:val="auto"/>
                <w:sz w:val="24"/>
                <w:szCs w:val="24"/>
                <w:highlight w:val="none"/>
                <w:lang w:val="en-US" w:eastAsia="zh-CN"/>
              </w:rPr>
              <w:t xml:space="preserve">）检测的，得3分。</w:t>
            </w:r>
            <w:r/>
          </w:p>
          <w:p>
            <w:pPr>
              <w:numPr>
                <w:ilvl w:val="0"/>
                <w:numId w:val="8"/>
              </w:num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为采购人提供非法添加检测的，得2分。</w:t>
            </w:r>
            <w:r/>
          </w:p>
          <w:p>
            <w:pPr>
              <w:numPr>
                <w:ilvl w:val="0"/>
                <w:numId w:val="8"/>
              </w:numP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为采购人提供</w:t>
            </w:r>
            <w:r>
              <w:rPr>
                <w:rFonts w:hint="eastAsia" w:asciiTheme="minorEastAsia" w:hAnsiTheme="minorEastAsia" w:eastAsiaTheme="minorEastAsia" w:cstheme="minorEastAsia"/>
                <w:color w:val="auto"/>
                <w:sz w:val="24"/>
                <w:szCs w:val="24"/>
                <w:highlight w:val="none"/>
              </w:rPr>
              <w:t xml:space="preserve">农药残留、兽药残留、重金属、真菌毒素、食品添加剂、微生物、营养元素、转基因</w:t>
            </w:r>
            <w:r>
              <w:rPr>
                <w:rFonts w:hint="eastAsia" w:asciiTheme="minorEastAsia" w:hAnsiTheme="minorEastAsia" w:eastAsiaTheme="minorEastAsia" w:cstheme="minorEastAsia"/>
                <w:color w:val="auto"/>
                <w:sz w:val="24"/>
                <w:szCs w:val="24"/>
                <w:highlight w:val="none"/>
                <w:lang w:val="en-US" w:eastAsia="zh-CN"/>
              </w:rPr>
              <w:t xml:space="preserve">检测</w:t>
            </w:r>
            <w:r>
              <w:rPr>
                <w:rFonts w:hint="eastAsia" w:asciiTheme="minorEastAsia" w:hAnsiTheme="minorEastAsia" w:eastAsiaTheme="minorEastAsia" w:cstheme="minorEastAsia"/>
                <w:color w:val="auto"/>
                <w:sz w:val="24"/>
                <w:szCs w:val="24"/>
                <w:highlight w:val="none"/>
                <w:lang w:val="en-US" w:eastAsia="zh-CN"/>
              </w:rPr>
              <w:t xml:space="preserve">的，得2分。</w:t>
            </w:r>
            <w:r/>
          </w:p>
          <w:p>
            <w:pPr>
              <w:numPr>
                <w:ilvl w:val="0"/>
                <w:numId w:val="8"/>
              </w:numP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为采购人提供食品相关产品类检测的，得2分。</w:t>
            </w:r>
            <w:r/>
          </w:p>
          <w:p>
            <w:pPr>
              <w:numPr>
                <w:ilvl w:val="0"/>
                <w:numId w:val="0"/>
              </w:num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以上内容供应商需提供相关承诺函，及以往</w:t>
            </w:r>
            <w:r>
              <w:rPr>
                <w:rFonts w:hint="eastAsia" w:asciiTheme="minorEastAsia" w:hAnsiTheme="minorEastAsia" w:eastAsiaTheme="minorEastAsia" w:cstheme="minorEastAsia"/>
                <w:color w:val="auto"/>
                <w:sz w:val="24"/>
                <w:szCs w:val="24"/>
                <w:highlight w:val="none"/>
              </w:rPr>
              <w:t xml:space="preserve">两份不同项目检测报告</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以证明供应商具备相关检测能力</w:t>
            </w:r>
            <w:r>
              <w:rPr>
                <w:rFonts w:hint="eastAsia" w:asciiTheme="minorEastAsia" w:hAnsiTheme="minorEastAsia" w:eastAsiaTheme="minorEastAsia" w:cstheme="minorEastAsia"/>
                <w:color w:val="auto"/>
                <w:sz w:val="24"/>
                <w:szCs w:val="24"/>
                <w:highlight w:val="none"/>
                <w:lang w:eastAsia="zh-CN"/>
              </w:rPr>
              <w:t xml:space="preserve">）。</w:t>
            </w:r>
            <w:r/>
          </w:p>
        </w:tc>
        <w:tc>
          <w:tcPr>
            <w:tcW w:w="751" w:type="dxa"/>
            <w:vAlign w:val="center"/>
            <w:textDirection w:val="lrTb"/>
            <w:noWrap w:val="false"/>
          </w:tcPr>
          <w:p>
            <w:pP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15</w:t>
            </w:r>
            <w:r/>
          </w:p>
        </w:tc>
      </w:tr>
    </w:tbl>
    <w:p>
      <w:pPr>
        <w:ind w:firstLine="482"/>
        <w:spacing w:line="560" w:lineRule="exact"/>
        <w:rPr>
          <w:rFonts w:ascii="宋体" w:hAnsi="宋体"/>
          <w:b/>
          <w:color w:val="auto"/>
          <w:sz w:val="24"/>
          <w:szCs w:val="24"/>
          <w:highlight w:val="none"/>
        </w:rPr>
      </w:pPr>
      <w:r>
        <w:rPr>
          <w:rFonts w:hint="eastAsia" w:ascii="宋体" w:hAnsi="宋体"/>
          <w:b/>
          <w:color w:val="auto"/>
          <w:sz w:val="24"/>
          <w:szCs w:val="24"/>
          <w:highlight w:val="none"/>
        </w:rPr>
        <w:t xml:space="preserve">（四）价格分：</w:t>
      </w:r>
      <w:r>
        <w:rPr>
          <w:rFonts w:hint="eastAsia" w:ascii="宋体" w:hAnsi="宋体"/>
          <w:b/>
          <w:color w:val="auto"/>
          <w:sz w:val="24"/>
          <w:szCs w:val="24"/>
          <w:highlight w:val="none"/>
          <w:lang w:val="en-US" w:eastAsia="zh-CN"/>
        </w:rPr>
        <w:t xml:space="preserve">3</w:t>
      </w:r>
      <w:r>
        <w:rPr>
          <w:rFonts w:hint="eastAsia" w:ascii="宋体" w:hAnsi="宋体"/>
          <w:b/>
          <w:color w:val="auto"/>
          <w:sz w:val="24"/>
          <w:szCs w:val="24"/>
          <w:highlight w:val="none"/>
        </w:rPr>
        <w:t xml:space="preserve">0分</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磋商报价得分=（磋商基准价/最后磋商报价）×价格权值×100</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评审过程中出现下列情形之一的，评标委员会应当启动异常低价投标审查程序：</w:t>
      </w:r>
      <w:r/>
    </w:p>
    <w:p>
      <w:pPr>
        <w:ind w:firstLine="480"/>
        <w:spacing w:line="56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投标(响应)报价低于全部通过符合性审查供应商投标(响应)报价平均值50%的，即投标(响应)报价</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全部通过符合性审查供应商投标(响应)报价平均值</w:t>
      </w:r>
      <w:r>
        <w:rPr>
          <w:rFonts w:hint="default" w:ascii="宋体" w:hAnsi="宋体"/>
          <w:color w:val="auto"/>
          <w:sz w:val="24"/>
          <w:szCs w:val="24"/>
          <w:highlight w:val="none"/>
        </w:rPr>
        <w:t xml:space="preserve">×</w:t>
      </w:r>
      <w:r>
        <w:rPr>
          <w:rFonts w:hint="eastAsia" w:ascii="宋体" w:hAnsi="宋体"/>
          <w:color w:val="auto"/>
          <w:sz w:val="24"/>
          <w:szCs w:val="24"/>
          <w:highlight w:val="none"/>
        </w:rPr>
        <w:t xml:space="preserve">50%</w:t>
      </w:r>
      <w:r>
        <w:rPr>
          <w:rFonts w:hint="eastAsia" w:ascii="宋体" w:hAnsi="宋体"/>
          <w:color w:val="auto"/>
          <w:sz w:val="24"/>
          <w:szCs w:val="24"/>
          <w:highlight w:val="none"/>
          <w:lang w:eastAsia="zh-CN"/>
        </w:rPr>
        <w:t xml:space="preserve">；</w:t>
      </w:r>
      <w:r/>
    </w:p>
    <w:p>
      <w:pPr>
        <w:ind w:firstLine="480"/>
        <w:spacing w:line="56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投标(响应)报价低于通过符合性审查的次低报价供应商投标(响应)报价50%的，即投标(响应)报价</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通过符合性审查的次低报价供应商投标(响应)报价</w:t>
      </w:r>
      <w:r>
        <w:rPr>
          <w:rFonts w:hint="default" w:ascii="宋体" w:hAnsi="宋体"/>
          <w:color w:val="auto"/>
          <w:sz w:val="24"/>
          <w:szCs w:val="24"/>
          <w:highlight w:val="none"/>
        </w:rPr>
        <w:t xml:space="preserve">×</w:t>
      </w:r>
      <w:r>
        <w:rPr>
          <w:rFonts w:hint="eastAsia" w:ascii="宋体" w:hAnsi="宋体"/>
          <w:color w:val="auto"/>
          <w:sz w:val="24"/>
          <w:szCs w:val="24"/>
          <w:highlight w:val="none"/>
        </w:rPr>
        <w:t xml:space="preserve">50%</w:t>
      </w:r>
      <w:r>
        <w:rPr>
          <w:rFonts w:hint="eastAsia" w:ascii="宋体" w:hAnsi="宋体"/>
          <w:color w:val="auto"/>
          <w:sz w:val="24"/>
          <w:szCs w:val="24"/>
          <w:highlight w:val="none"/>
          <w:lang w:eastAsia="zh-CN"/>
        </w:rPr>
        <w:t xml:space="preserve">；</w:t>
      </w:r>
      <w:r/>
    </w:p>
    <w:p>
      <w:pPr>
        <w:ind w:firstLine="480"/>
        <w:spacing w:line="56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投标(响应)报价低于采购项目最高限价45%的，即投标(响应)报价</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采购项目最高限价</w:t>
      </w:r>
      <w:r>
        <w:rPr>
          <w:rFonts w:hint="default" w:ascii="宋体" w:hAnsi="宋体"/>
          <w:color w:val="auto"/>
          <w:sz w:val="24"/>
          <w:szCs w:val="24"/>
          <w:highlight w:val="none"/>
        </w:rPr>
        <w:t xml:space="preserve">×</w:t>
      </w:r>
      <w:r>
        <w:rPr>
          <w:rFonts w:hint="eastAsia" w:ascii="宋体" w:hAnsi="宋体"/>
          <w:color w:val="auto"/>
          <w:sz w:val="24"/>
          <w:szCs w:val="24"/>
          <w:highlight w:val="none"/>
        </w:rPr>
        <w:t xml:space="preserve">45%</w:t>
      </w:r>
      <w:r>
        <w:rPr>
          <w:rFonts w:hint="eastAsia" w:ascii="宋体" w:hAnsi="宋体"/>
          <w:color w:val="auto"/>
          <w:sz w:val="24"/>
          <w:szCs w:val="24"/>
          <w:highlight w:val="none"/>
          <w:lang w:eastAsia="zh-CN"/>
        </w:rPr>
        <w:t xml:space="preserve">；</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评审委员会基于专业判断，认为供应商报价过低，有可能影响产品质量或者不能诚信履约的其他情形。</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560" w:lineRule="exact"/>
        <w:rPr>
          <w:rFonts w:ascii="宋体" w:hAnsi="宋体"/>
          <w:b/>
          <w:color w:val="auto"/>
          <w:sz w:val="24"/>
          <w:szCs w:val="24"/>
          <w:highlight w:val="none"/>
        </w:rPr>
      </w:pPr>
      <w:r>
        <w:rPr>
          <w:rFonts w:hint="eastAsia" w:ascii="宋体" w:hAnsi="宋体"/>
          <w:b/>
          <w:color w:val="auto"/>
          <w:sz w:val="24"/>
          <w:szCs w:val="24"/>
          <w:highlight w:val="none"/>
        </w:rPr>
        <w:t xml:space="preserve">（五）政府采购政策功能落实</w:t>
      </w:r>
      <w:r/>
    </w:p>
    <w:p>
      <w:pPr>
        <w:ind w:firstLine="480"/>
        <w:jc w:val="left"/>
        <w:spacing w:line="560" w:lineRule="exact"/>
        <w:rPr>
          <w:rFonts w:ascii="宋体" w:hAnsi="宋体"/>
          <w:color w:val="auto"/>
          <w:sz w:val="24"/>
          <w:szCs w:val="24"/>
          <w:highlight w:val="none"/>
        </w:rPr>
      </w:pPr>
      <w:r/>
      <w:bookmarkStart w:id="196" w:name="OLE_LINK29"/>
      <w:r>
        <w:rPr>
          <w:rFonts w:hint="eastAsia" w:ascii="宋体" w:hAnsi="宋体"/>
          <w:color w:val="auto"/>
          <w:sz w:val="24"/>
          <w:szCs w:val="24"/>
          <w:highlight w:val="none"/>
        </w:rPr>
        <w:t xml:space="preserve">1.供应商需按照《政府采购促进中小企业发展管理办法》（财库﹝2020﹞46 号）的规定提供相应的《中小企业声明函》。</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2.企业标准请参照《关于印发中小企业划型标准规定的通知》（工信部联企业[2011]300号）文件规定自行填写。</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3.专门面向中小微企业采购的项目或者采购包，不再执行价格评审优惠的扶持政策。</w:t>
      </w:r>
      <w:r/>
    </w:p>
    <w:p>
      <w:pPr>
        <w:ind w:firstLine="480"/>
        <w:jc w:val="lef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4.在政府采购活动中残疾人福利性单位、监狱企业视同小型、微型企业。</w:t>
      </w:r>
      <w:bookmarkEnd w:id="196"/>
      <w:r/>
    </w:p>
    <w:p>
      <w:pPr>
        <w:ind w:firstLine="480"/>
        <w:jc w:val="left"/>
        <w:spacing w:line="560" w:lineRule="exact"/>
        <w:rPr>
          <w:rFonts w:ascii="宋体" w:hAnsi="宋体"/>
          <w:color w:val="auto"/>
          <w:sz w:val="24"/>
          <w:szCs w:val="24"/>
          <w:highlight w:val="none"/>
        </w:rPr>
      </w:pPr>
      <w:r>
        <w:rPr>
          <w:rFonts w:ascii="宋体" w:hAnsi="宋体"/>
          <w:color w:val="auto"/>
          <w:sz w:val="24"/>
          <w:szCs w:val="24"/>
          <w:highlight w:val="none"/>
        </w:rPr>
      </w:r>
      <w:r/>
    </w:p>
    <w:p>
      <w:pPr>
        <w:ind w:firstLine="2331"/>
        <w:jc w:val="left"/>
        <w:spacing w:before="120" w:after="120" w:line="360" w:lineRule="auto"/>
        <w:rPr>
          <w:rFonts w:ascii="宋体" w:hAnsi="宋体"/>
          <w:b/>
          <w:color w:val="auto"/>
          <w:sz w:val="36"/>
          <w:szCs w:val="36"/>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b/>
          <w:color w:val="auto"/>
          <w:sz w:val="36"/>
          <w:szCs w:val="36"/>
          <w:highlight w:val="none"/>
        </w:rPr>
      </w:r>
      <w:r/>
    </w:p>
    <w:p>
      <w:pPr>
        <w:ind w:firstLine="2331"/>
        <w:jc w:val="left"/>
        <w:spacing w:before="120" w:after="120" w:line="360" w:lineRule="auto"/>
        <w:rPr>
          <w:rFonts w:ascii="宋体" w:hAnsi="宋体"/>
          <w:b/>
          <w:color w:val="auto"/>
          <w:sz w:val="36"/>
          <w:szCs w:val="36"/>
          <w:highlight w:val="none"/>
        </w:rPr>
      </w:pPr>
      <w:r>
        <w:rPr>
          <w:rFonts w:ascii="宋体" w:hAnsi="宋体"/>
          <w:b/>
          <w:color w:val="auto"/>
          <w:sz w:val="36"/>
          <w:szCs w:val="36"/>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jc w:val="center"/>
        <w:keepNext/>
        <w:rPr>
          <w:rFonts w:ascii="黑体" w:eastAsia="黑体"/>
          <w:bCs/>
          <w:color w:val="auto"/>
          <w:sz w:val="44"/>
          <w:szCs w:val="28"/>
          <w:highlight w:val="none"/>
        </w:rPr>
        <w:outlineLvl w:val="0"/>
      </w:pPr>
      <w:r>
        <w:rPr>
          <w:rFonts w:hint="eastAsia" w:ascii="黑体" w:eastAsia="黑体"/>
          <w:bCs/>
          <w:color w:val="auto"/>
          <w:sz w:val="44"/>
          <w:szCs w:val="28"/>
          <w:highlight w:val="none"/>
        </w:rPr>
        <w:t xml:space="preserve">第五章  </w:t>
      </w:r>
      <w:bookmarkEnd w:id="186"/>
      <w:r/>
      <w:bookmarkEnd w:id="187"/>
      <w:r/>
      <w:bookmarkEnd w:id="192"/>
      <w:r>
        <w:rPr>
          <w:rFonts w:hint="eastAsia" w:ascii="黑体" w:eastAsia="黑体"/>
          <w:bCs/>
          <w:color w:val="auto"/>
          <w:sz w:val="44"/>
          <w:szCs w:val="28"/>
          <w:highlight w:val="none"/>
        </w:rPr>
        <w:t xml:space="preserve">响应文件格式</w:t>
      </w:r>
      <w:r/>
    </w:p>
    <w:p>
      <w:pPr>
        <w:jc w:val="center"/>
        <w:rPr>
          <w:rFonts w:ascii="宋体" w:hAnsi="宋体"/>
          <w:b/>
          <w:color w:val="auto"/>
          <w:sz w:val="72"/>
          <w:szCs w:val="21"/>
          <w:highlight w:val="none"/>
        </w:rPr>
      </w:pPr>
      <w:r/>
      <w:bookmarkStart w:id="197" w:name="_Hlt26671244"/>
      <w:r/>
      <w:bookmarkEnd w:id="197"/>
      <w:r/>
      <w:bookmarkStart w:id="198" w:name="_Hlt26955039"/>
      <w:r/>
      <w:bookmarkEnd w:id="198"/>
      <w:r/>
      <w:bookmarkStart w:id="199" w:name="_Toc120614282"/>
      <w:r/>
      <w:bookmarkStart w:id="200" w:name="_Toc49090576"/>
      <w:r/>
      <w:bookmarkStart w:id="201" w:name="_Toc26554094"/>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ind w:firstLine="1084"/>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rPr>
          <w:rFonts w:ascii="宋体" w:hAnsi="宋体"/>
          <w:b/>
          <w:color w:val="auto"/>
          <w:sz w:val="36"/>
          <w:szCs w:val="21"/>
          <w:highlight w:val="none"/>
          <w:u w:val="single"/>
        </w:rPr>
      </w:pPr>
      <w:r>
        <w:rPr>
          <w:rFonts w:ascii="宋体" w:hAnsi="宋体"/>
          <w:b/>
          <w:color w:val="auto"/>
          <w:sz w:val="36"/>
          <w:szCs w:val="21"/>
          <w:highlight w:val="none"/>
          <w:u w:val="single"/>
        </w:rPr>
      </w:r>
      <w:r/>
    </w:p>
    <w:p>
      <w:pPr>
        <w:rPr>
          <w:rFonts w:ascii="宋体" w:hAnsi="宋体"/>
          <w:b/>
          <w:color w:val="auto"/>
          <w:sz w:val="36"/>
          <w:szCs w:val="21"/>
          <w:highlight w:val="none"/>
          <w:u w:val="single"/>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b/>
          <w:color w:val="auto"/>
          <w:sz w:val="36"/>
          <w:szCs w:val="21"/>
          <w:highlight w:val="none"/>
          <w:u w:val="single"/>
        </w:rPr>
      </w:r>
      <w:r/>
    </w:p>
    <w:p>
      <w:pPr>
        <w:rPr>
          <w:rFonts w:ascii="宋体" w:hAnsi="宋体"/>
          <w:b/>
          <w:color w:val="auto"/>
          <w:sz w:val="36"/>
          <w:szCs w:val="21"/>
          <w:highlight w:val="none"/>
          <w:u w:val="single"/>
        </w:rPr>
      </w:pPr>
      <w:r>
        <w:rPr>
          <w:rFonts w:ascii="宋体" w:hAnsi="宋体"/>
          <w:b/>
          <w:color w:val="auto"/>
          <w:sz w:val="36"/>
          <w:szCs w:val="21"/>
          <w:highlight w:val="none"/>
          <w:u w:val="single"/>
        </w:rPr>
      </w:r>
      <w:r/>
    </w:p>
    <w:p>
      <w:pPr>
        <w:jc w:val="center"/>
        <w:spacing w:line="560" w:lineRule="exact"/>
        <w:rPr>
          <w:rFonts w:ascii="宋体" w:hAnsi="宋体"/>
          <w:b/>
          <w:bCs/>
          <w:color w:val="auto"/>
          <w:sz w:val="44"/>
          <w:szCs w:val="44"/>
          <w:highlight w:val="none"/>
        </w:rPr>
      </w:pPr>
      <w:r>
        <w:rPr>
          <w:rFonts w:ascii="宋体" w:hAnsi="宋体"/>
          <w:b/>
          <w:bCs/>
          <w:color w:val="auto"/>
          <w:sz w:val="44"/>
          <w:szCs w:val="44"/>
          <w:highlight w:val="none"/>
        </w:rPr>
      </w:r>
      <w:r/>
    </w:p>
    <w:p>
      <w:pPr>
        <w:jc w:val="center"/>
        <w:spacing w:line="560" w:lineRule="exact"/>
        <w:rPr>
          <w:rFonts w:ascii="宋体" w:hAnsi="宋体"/>
          <w:b/>
          <w:bCs/>
          <w:color w:val="auto"/>
          <w:sz w:val="44"/>
          <w:szCs w:val="44"/>
          <w:highlight w:val="none"/>
        </w:rPr>
      </w:pPr>
      <w:r>
        <w:rPr>
          <w:rFonts w:ascii="宋体" w:hAnsi="宋体"/>
          <w:b/>
          <w:bCs/>
          <w:color w:val="auto"/>
          <w:sz w:val="44"/>
          <w:szCs w:val="44"/>
          <w:highlight w:val="none"/>
        </w:rPr>
      </w:r>
      <w:r/>
    </w:p>
    <w:p>
      <w:pPr>
        <w:jc w:val="center"/>
        <w:spacing w:line="56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响应文件目录</w:t>
      </w:r>
      <w:r/>
    </w:p>
    <w:p>
      <w:pPr>
        <w:jc w:val="center"/>
        <w:spacing w:line="560" w:lineRule="exact"/>
        <w:rPr>
          <w:rFonts w:ascii="宋体" w:hAnsi="宋体"/>
          <w:b/>
          <w:bCs/>
          <w:color w:val="auto"/>
          <w:sz w:val="32"/>
          <w:szCs w:val="32"/>
          <w:highlight w:val="none"/>
        </w:rPr>
      </w:pPr>
      <w:r>
        <w:rPr>
          <w:rFonts w:ascii="宋体" w:hAnsi="宋体"/>
          <w:b/>
          <w:bCs/>
          <w:color w:val="auto"/>
          <w:sz w:val="32"/>
          <w:szCs w:val="32"/>
          <w:highlight w:val="none"/>
        </w:rPr>
      </w:r>
      <w:r/>
    </w:p>
    <w:p>
      <w:pPr>
        <w:ind w:left="482"/>
        <w:spacing w:line="72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一、资格审查证明材料</w:t>
      </w:r>
      <w:r/>
    </w:p>
    <w:p>
      <w:pPr>
        <w:ind w:left="482"/>
        <w:spacing w:line="72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二、商务、技术标</w:t>
      </w:r>
      <w:r/>
    </w:p>
    <w:p>
      <w:pPr>
        <w:ind w:left="482"/>
        <w:spacing w:line="72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三、价格标</w:t>
      </w:r>
      <w:r/>
    </w:p>
    <w:p>
      <w:pPr>
        <w:ind w:left="482"/>
        <w:spacing w:line="72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四、其他资料（如有）</w:t>
      </w:r>
      <w:r/>
    </w:p>
    <w:p>
      <w:pPr>
        <w:ind w:firstLine="480"/>
        <w:spacing w:line="440" w:lineRule="exact"/>
        <w:rPr>
          <w:rFonts w:ascii="宋体" w:hAnsi="宋体"/>
          <w:i/>
          <w:color w:val="auto"/>
          <w:sz w:val="24"/>
          <w:szCs w:val="21"/>
          <w:highlight w:val="none"/>
          <w:u w:val="single"/>
        </w:rPr>
      </w:pPr>
      <w:r>
        <w:rPr>
          <w:rFonts w:ascii="宋体" w:hAnsi="宋体"/>
          <w:i/>
          <w:color w:val="auto"/>
          <w:sz w:val="24"/>
          <w:szCs w:val="21"/>
          <w:highlight w:val="none"/>
          <w:u w:val="singl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color w:val="auto"/>
          <w:sz w:val="24"/>
          <w:szCs w:val="21"/>
          <w:highlight w:val="none"/>
        </w:rPr>
      </w:r>
      <w:r/>
    </w:p>
    <w:p>
      <w:pPr>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一、资格审查证明材料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 法人或者其他组织的营业执照等证明文件，自然人的身份证明。</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2.202</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年度的财务状况报告及上一年度的财务状况报表。（成立不满一年不需提供）；</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4.具备履行合同所必需的设备和专业技术能力的证明材料（格式详见附件1）；</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5.参加政府采购活动前3年内在经营活动中没有重大违法记录的书面声明（格式详见附件2）；</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6.法定代表人身份证明书（格式见附件3）；</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7.法人授权书（格式见附件4）；</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8.磋商响应函（格式见附件5）；</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9.采购公告中“二、申请人的资格要求（二）”提供相应的佐证材料；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10.其它需要提交的资格审查证明材料。</w:t>
      </w:r>
      <w:r/>
    </w:p>
    <w:p>
      <w:pPr>
        <w:ind w:firstLine="640"/>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二、商务、技术标</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1.商务部分正负偏离表；（格式见附件6）</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2.技术部分正负偏离表；（格式见附件7）</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3.响应方案、货物（服务）清单。具有项目、数量、品牌、型号、配置性能等；</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4.商务、技术评分标准中须提供的相关得分佐证材料；</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5.供应商认为需要提交的其他商务、技术材料。</w:t>
      </w:r>
      <w:r/>
    </w:p>
    <w:p>
      <w:pPr>
        <w:ind w:firstLine="640"/>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三、价格标</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color w:val="auto"/>
          <w:highlight w:val="none"/>
        </w:rPr>
        <w:t xml:space="preserve"> </w:t>
      </w:r>
      <w:r>
        <w:rPr>
          <w:rFonts w:hint="eastAsia" w:ascii="宋体" w:hAnsi="宋体"/>
          <w:color w:val="auto"/>
          <w:sz w:val="24"/>
          <w:szCs w:val="24"/>
          <w:highlight w:val="none"/>
        </w:rPr>
        <w:t xml:space="preserve">报价总表（格式见附件8）；</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2.分项报价明细表（格式见附件9）。</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3.小型、微型企业声明函（如有）（格式见附件10）</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4.残疾人福利性单位声明函（如有）（格式见附件11）</w:t>
      </w:r>
      <w:r/>
    </w:p>
    <w:p>
      <w:pPr>
        <w:ind w:firstLine="480"/>
        <w:spacing w:line="560" w:lineRule="exact"/>
        <w:rPr>
          <w:rFonts w:ascii="宋体" w:hAnsi="宋体"/>
          <w:color w:val="auto"/>
          <w:sz w:val="24"/>
          <w:szCs w:val="24"/>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color w:val="auto"/>
          <w:sz w:val="24"/>
          <w:szCs w:val="24"/>
          <w:highlight w:val="none"/>
        </w:rPr>
        <w:t xml:space="preserve">5.监狱和戒毒企业证明材料（如有）（格式见附件12）</w:t>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附件1</w:t>
      </w:r>
      <w:r/>
    </w:p>
    <w:p>
      <w:pPr>
        <w:jc w:val="center"/>
        <w:spacing w:line="360" w:lineRule="auto"/>
        <w:rPr>
          <w:rFonts w:ascii="宋体" w:cs="宋体"/>
          <w:b/>
          <w:bCs/>
          <w:color w:val="auto"/>
          <w:sz w:val="24"/>
          <w:szCs w:val="24"/>
          <w:highlight w:val="none"/>
        </w:rPr>
      </w:pPr>
      <w:r>
        <w:rPr>
          <w:rFonts w:hint="eastAsia" w:ascii="宋体" w:hAnsi="宋体" w:cs="宋体"/>
          <w:b/>
          <w:bCs/>
          <w:color w:val="auto"/>
          <w:sz w:val="24"/>
          <w:szCs w:val="24"/>
          <w:highlight w:val="none"/>
        </w:rPr>
        <w:t xml:space="preserve">具备履行合同所必需的设备和专业技术能力的证明材料</w:t>
      </w:r>
      <w:r/>
    </w:p>
    <w:p>
      <w:pPr>
        <w:spacing w:line="360" w:lineRule="auto"/>
        <w:rPr>
          <w:rFonts w:ascii="宋体"/>
          <w:color w:val="auto"/>
          <w:sz w:val="24"/>
          <w:szCs w:val="24"/>
          <w:highlight w:val="none"/>
        </w:rPr>
      </w:pPr>
      <w:r>
        <w:rPr>
          <w:rFonts w:ascii="宋体"/>
          <w:color w:val="auto"/>
          <w:sz w:val="24"/>
          <w:szCs w:val="24"/>
          <w:highlight w:val="none"/>
        </w:rPr>
      </w:r>
      <w:r/>
    </w:p>
    <w:p>
      <w:pPr>
        <w:jc w:val="left"/>
        <w:spacing w:line="360" w:lineRule="auto"/>
        <w:widowControl/>
        <w:rPr>
          <w:rFonts w:ascii="宋体" w:cs="宋体"/>
          <w:color w:val="auto"/>
          <w:sz w:val="24"/>
          <w:szCs w:val="24"/>
          <w:highlight w:val="none"/>
        </w:rPr>
      </w:pPr>
      <w:r>
        <w:rPr>
          <w:rFonts w:ascii="宋体" w:cs="宋体"/>
          <w:color w:val="auto"/>
          <w:sz w:val="24"/>
          <w:szCs w:val="24"/>
          <w:highlight w:val="none"/>
        </w:rPr>
      </w:r>
      <w:r/>
    </w:p>
    <w:p>
      <w:pPr>
        <w:spacing w:line="360" w:lineRule="auto"/>
        <w:rPr>
          <w:rFonts w:ascii="宋体"/>
          <w:bCs/>
          <w:color w:val="auto"/>
          <w:sz w:val="24"/>
          <w:szCs w:val="24"/>
          <w:highlight w:val="none"/>
          <w:u w:val="single"/>
          <w:lang w:val="zh-CN"/>
        </w:rPr>
      </w:pPr>
      <w:r>
        <w:rPr>
          <w:rFonts w:ascii="宋体" w:hAnsi="宋体"/>
          <w:color w:val="auto"/>
          <w:sz w:val="24"/>
          <w:szCs w:val="24"/>
          <w:highlight w:val="none"/>
          <w:u w:val="single"/>
        </w:rPr>
        <w:t xml:space="preserve">               </w:t>
      </w:r>
      <w:r>
        <w:rPr>
          <w:rFonts w:hint="eastAsia" w:ascii="宋体" w:hAnsi="宋体"/>
          <w:bCs/>
          <w:color w:val="auto"/>
          <w:sz w:val="24"/>
          <w:szCs w:val="24"/>
          <w:highlight w:val="none"/>
          <w:u w:val="single"/>
          <w:lang w:val="zh-CN"/>
        </w:rPr>
        <w:t xml:space="preserve">：</w:t>
      </w:r>
      <w:r/>
    </w:p>
    <w:p>
      <w:pPr>
        <w:ind w:firstLine="468"/>
        <w:jc w:val="left"/>
        <w:spacing w:line="360" w:lineRule="auto"/>
        <w:widowControl/>
        <w:rPr>
          <w:rFonts w:ascii="宋体" w:cs="宋体"/>
          <w:color w:val="auto"/>
          <w:sz w:val="24"/>
          <w:szCs w:val="24"/>
          <w:highlight w:val="none"/>
        </w:rPr>
      </w:pPr>
      <w:r>
        <w:rPr>
          <w:rFonts w:hint="eastAsia" w:ascii="宋体" w:hAnsi="宋体" w:cs="宋体"/>
          <w:color w:val="auto"/>
          <w:sz w:val="24"/>
          <w:szCs w:val="24"/>
          <w:highlight w:val="none"/>
        </w:rPr>
        <w:t xml:space="preserve">我方参加你方的（项目名称）的投标，现我方向你方慎重承诺：</w:t>
      </w:r>
      <w:r/>
    </w:p>
    <w:p>
      <w:pPr>
        <w:ind w:left="448"/>
        <w:jc w:val="left"/>
        <w:spacing w:line="360" w:lineRule="auto"/>
        <w:widowControl/>
        <w:rPr>
          <w:rFonts w:ascii="宋体" w:cs="宋体"/>
          <w:color w:val="auto"/>
          <w:sz w:val="24"/>
          <w:szCs w:val="24"/>
          <w:highlight w:val="none"/>
        </w:rPr>
      </w:pPr>
      <w:r>
        <w:rPr>
          <w:rFonts w:hint="eastAsia" w:ascii="宋体" w:hAnsi="宋体" w:cs="宋体"/>
          <w:color w:val="auto"/>
          <w:sz w:val="24"/>
          <w:szCs w:val="24"/>
          <w:highlight w:val="none"/>
        </w:rPr>
        <w:t xml:space="preserve">本单位（具备</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不具备）履行合同所必需的设备和专业技术能力。</w:t>
      </w:r>
      <w:r/>
    </w:p>
    <w:p>
      <w:pPr>
        <w:ind w:right="-512" w:firstLine="3120"/>
        <w:spacing w:line="360" w:lineRule="auto"/>
        <w:rPr>
          <w:rFonts w:ascii="宋体" w:cs="宋体"/>
          <w:color w:val="auto"/>
          <w:sz w:val="24"/>
          <w:szCs w:val="24"/>
          <w:highlight w:val="none"/>
        </w:rPr>
      </w:pPr>
      <w:r>
        <w:rPr>
          <w:rFonts w:ascii="宋体" w:cs="宋体"/>
          <w:color w:val="auto"/>
          <w:sz w:val="24"/>
          <w:szCs w:val="24"/>
          <w:highlight w:val="none"/>
        </w:rPr>
      </w:r>
      <w:r/>
    </w:p>
    <w:p>
      <w:pPr>
        <w:ind w:right="-512" w:firstLine="3840"/>
        <w:spacing w:line="360" w:lineRule="auto"/>
        <w:rPr>
          <w:rFonts w:ascii="宋体" w:cs="宋体"/>
          <w:color w:val="auto"/>
          <w:sz w:val="24"/>
          <w:szCs w:val="24"/>
          <w:highlight w:val="none"/>
        </w:rPr>
      </w:pPr>
      <w:r>
        <w:rPr>
          <w:rFonts w:hint="eastAsia" w:ascii="宋体" w:hAnsi="宋体" w:cs="宋体"/>
          <w:color w:val="auto"/>
          <w:sz w:val="24"/>
          <w:szCs w:val="24"/>
          <w:highlight w:val="none"/>
        </w:rPr>
        <w:t xml:space="preserve">供应商（盖章）：</w:t>
      </w:r>
      <w:r/>
    </w:p>
    <w:p>
      <w:pPr>
        <w:ind w:right="-512" w:firstLine="3120"/>
        <w:spacing w:line="360" w:lineRule="auto"/>
        <w:tabs>
          <w:tab w:val="left" w:pos="4320" w:leader="none"/>
        </w:tabs>
        <w:rPr>
          <w:rFonts w:ascii="宋体" w:cs="宋体"/>
          <w:color w:val="auto"/>
          <w:sz w:val="24"/>
          <w:szCs w:val="24"/>
          <w:highlight w:val="none"/>
        </w:rPr>
      </w:pPr>
      <w:r>
        <w:rPr>
          <w:rFonts w:hint="eastAsia" w:ascii="宋体" w:hAnsi="宋体"/>
          <w:color w:val="auto"/>
          <w:sz w:val="24"/>
          <w:szCs w:val="24"/>
          <w:highlight w:val="none"/>
        </w:rPr>
        <w:t xml:space="preserve">法定代表人或其授权委托人</w:t>
      </w:r>
      <w:r>
        <w:rPr>
          <w:rFonts w:hint="eastAsia" w:ascii="宋体" w:hAnsi="宋体" w:cs="宋体"/>
          <w:color w:val="auto"/>
          <w:sz w:val="24"/>
          <w:szCs w:val="24"/>
          <w:highlight w:val="none"/>
        </w:rPr>
        <w:t xml:space="preserve">（签字或盖章）：</w:t>
      </w:r>
      <w:r/>
    </w:p>
    <w:p>
      <w:pPr>
        <w:jc w:val="right"/>
        <w:spacing w:line="360" w:lineRule="auto"/>
        <w:rPr>
          <w:rFonts w:ascii="宋体" w:hAnsi="宋体" w:cs="宋体"/>
          <w:color w:val="auto"/>
          <w:sz w:val="24"/>
          <w:szCs w:val="24"/>
          <w:highlight w:val="none"/>
        </w:rPr>
      </w:pP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年</w:t>
      </w: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月</w:t>
      </w:r>
      <w:r>
        <w:rPr>
          <w:rFonts w:ascii="宋体" w:hAnsi="宋体"/>
          <w:bCs/>
          <w:color w:val="auto"/>
          <w:szCs w:val="21"/>
          <w:highlight w:val="none"/>
          <w:u w:val="single"/>
        </w:rPr>
        <w:t xml:space="preserve">______</w:t>
      </w:r>
      <w:r>
        <w:rPr>
          <w:rFonts w:hint="eastAsia" w:ascii="宋体" w:hAnsi="宋体" w:cs="宋体"/>
          <w:color w:val="auto"/>
          <w:sz w:val="24"/>
          <w:szCs w:val="24"/>
          <w:highlight w:val="none"/>
        </w:rPr>
        <w:t xml:space="preserve">日</w:t>
      </w:r>
      <w:r/>
    </w:p>
    <w:p>
      <w:pPr>
        <w:contextualSpacing/>
        <w:spacing w:line="400" w:lineRule="exact"/>
        <w:rPr>
          <w:rFonts w:ascii="宋体"/>
          <w:color w:val="auto"/>
          <w:sz w:val="32"/>
          <w:szCs w:val="32"/>
          <w:highlight w:val="none"/>
          <w:lang w:val="zh-CN"/>
        </w:rPr>
      </w:pPr>
      <w:r>
        <w:rPr>
          <w:rFonts w:ascii="宋体" w:hAnsi="宋体" w:cs="宋体"/>
          <w:color w:val="auto"/>
          <w:sz w:val="24"/>
          <w:szCs w:val="24"/>
          <w:highlight w:val="none"/>
        </w:rPr>
        <w:br w:type="page" w:clear="all"/>
      </w:r>
      <w:r>
        <w:rPr>
          <w:rFonts w:hint="eastAsia" w:ascii="宋体" w:hAnsi="宋体"/>
          <w:color w:val="auto"/>
          <w:sz w:val="32"/>
          <w:szCs w:val="32"/>
          <w:highlight w:val="none"/>
          <w:lang w:val="zh-CN"/>
        </w:rPr>
        <w:t xml:space="preserve">附件2</w:t>
      </w:r>
      <w:r/>
    </w:p>
    <w:p>
      <w:pPr>
        <w:ind w:firstLine="643"/>
        <w:jc w:val="center"/>
        <w:rPr>
          <w:rFonts w:ascii="宋体"/>
          <w:b/>
          <w:color w:val="auto"/>
          <w:sz w:val="32"/>
          <w:szCs w:val="32"/>
          <w:highlight w:val="none"/>
        </w:rPr>
      </w:pPr>
      <w:r>
        <w:rPr>
          <w:rFonts w:ascii="宋体"/>
          <w:b/>
          <w:color w:val="auto"/>
          <w:sz w:val="32"/>
          <w:szCs w:val="32"/>
          <w:highlight w:val="none"/>
        </w:rPr>
      </w:r>
      <w:r/>
    </w:p>
    <w:p>
      <w:pPr>
        <w:ind w:firstLine="643"/>
        <w:jc w:val="center"/>
        <w:rPr>
          <w:rFonts w:ascii="宋体"/>
          <w:b/>
          <w:color w:val="auto"/>
          <w:sz w:val="32"/>
          <w:szCs w:val="32"/>
          <w:highlight w:val="none"/>
        </w:rPr>
      </w:pPr>
      <w:r>
        <w:rPr>
          <w:rFonts w:hint="eastAsia" w:ascii="宋体" w:hAnsi="宋体"/>
          <w:b/>
          <w:color w:val="auto"/>
          <w:sz w:val="32"/>
          <w:szCs w:val="32"/>
          <w:highlight w:val="none"/>
        </w:rPr>
        <w:t xml:space="preserve">参加政府采购活动前</w:t>
      </w:r>
      <w:r>
        <w:rPr>
          <w:rFonts w:ascii="宋体" w:hAnsi="宋体"/>
          <w:b/>
          <w:color w:val="auto"/>
          <w:sz w:val="32"/>
          <w:szCs w:val="32"/>
          <w:highlight w:val="none"/>
        </w:rPr>
        <w:t xml:space="preserve"> 3 </w:t>
      </w:r>
      <w:r>
        <w:rPr>
          <w:rFonts w:hint="eastAsia" w:ascii="宋体" w:hAnsi="宋体"/>
          <w:b/>
          <w:color w:val="auto"/>
          <w:sz w:val="32"/>
          <w:szCs w:val="32"/>
          <w:highlight w:val="none"/>
        </w:rPr>
        <w:t xml:space="preserve">年内在经营活动中没有重大违法记</w:t>
      </w:r>
      <w:r>
        <w:rPr>
          <w:rFonts w:hint="eastAsia" w:ascii="宋体" w:hAnsi="宋体"/>
          <w:b/>
          <w:bCs/>
          <w:color w:val="auto"/>
          <w:sz w:val="32"/>
          <w:szCs w:val="32"/>
          <w:highlight w:val="none"/>
        </w:rPr>
        <w:t xml:space="preserve">录的书面声明</w:t>
      </w:r>
      <w:r/>
    </w:p>
    <w:p>
      <w:pPr>
        <w:spacing w:line="460" w:lineRule="exact"/>
        <w:rPr>
          <w:rFonts w:ascii="宋体"/>
          <w:b/>
          <w:bCs/>
          <w:color w:val="auto"/>
          <w:sz w:val="44"/>
          <w:szCs w:val="44"/>
          <w:highlight w:val="none"/>
        </w:rPr>
      </w:pPr>
      <w:r>
        <w:rPr>
          <w:rFonts w:ascii="宋体"/>
          <w:b/>
          <w:bCs/>
          <w:color w:val="auto"/>
          <w:sz w:val="44"/>
          <w:szCs w:val="44"/>
          <w:highlight w:val="none"/>
        </w:rPr>
      </w:r>
      <w:r/>
    </w:p>
    <w:p>
      <w:pPr>
        <w:ind w:firstLine="881"/>
        <w:jc w:val="center"/>
        <w:spacing w:line="460" w:lineRule="exact"/>
        <w:rPr>
          <w:rFonts w:ascii="宋体"/>
          <w:b/>
          <w:bCs/>
          <w:color w:val="auto"/>
          <w:sz w:val="44"/>
          <w:szCs w:val="44"/>
          <w:highlight w:val="none"/>
        </w:rPr>
      </w:pPr>
      <w:r>
        <w:rPr>
          <w:rFonts w:ascii="宋体"/>
          <w:b/>
          <w:bCs/>
          <w:color w:val="auto"/>
          <w:sz w:val="44"/>
          <w:szCs w:val="44"/>
          <w:highlight w:val="none"/>
        </w:rPr>
      </w:r>
      <w:r/>
    </w:p>
    <w:p>
      <w:pPr>
        <w:ind w:firstLine="482"/>
        <w:spacing w:line="500" w:lineRule="exact"/>
        <w:rPr>
          <w:rFonts w:ascii="宋体"/>
          <w:bCs/>
          <w:color w:val="auto"/>
          <w:szCs w:val="21"/>
          <w:highlight w:val="none"/>
        </w:rPr>
      </w:pPr>
      <w:r>
        <w:rPr>
          <w:rFonts w:hint="eastAsia" w:ascii="宋体" w:hAnsi="宋体"/>
          <w:bCs/>
          <w:color w:val="auto"/>
          <w:szCs w:val="21"/>
          <w:highlight w:val="none"/>
        </w:rPr>
        <w:t xml:space="preserve">我公司（本人）郑重声明：参加本次政府采购活动前</w:t>
      </w:r>
      <w:r>
        <w:rPr>
          <w:rFonts w:ascii="宋体" w:hAnsi="宋体"/>
          <w:bCs/>
          <w:color w:val="auto"/>
          <w:szCs w:val="21"/>
          <w:highlight w:val="none"/>
        </w:rPr>
        <w:t xml:space="preserve"> 3 </w:t>
      </w:r>
      <w:r>
        <w:rPr>
          <w:rFonts w:hint="eastAsia" w:ascii="宋体" w:hAnsi="宋体"/>
          <w:bCs/>
          <w:color w:val="auto"/>
          <w:szCs w:val="21"/>
          <w:highlight w:val="none"/>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color w:val="auto"/>
          <w:szCs w:val="21"/>
          <w:highlight w:val="none"/>
        </w:rPr>
      </w:pPr>
      <w:r>
        <w:rPr>
          <w:rFonts w:ascii="宋体"/>
          <w:color w:val="auto"/>
          <w:szCs w:val="21"/>
          <w:highlight w:val="none"/>
        </w:rPr>
      </w:r>
      <w:r/>
    </w:p>
    <w:p>
      <w:pPr>
        <w:ind w:firstLine="482"/>
        <w:spacing w:line="500" w:lineRule="exact"/>
        <w:rPr>
          <w:rFonts w:ascii="宋体"/>
          <w:color w:val="auto"/>
          <w:szCs w:val="21"/>
          <w:highlight w:val="none"/>
        </w:rPr>
      </w:pPr>
      <w:r>
        <w:rPr>
          <w:rFonts w:ascii="宋体"/>
          <w:color w:val="auto"/>
          <w:szCs w:val="21"/>
          <w:highlight w:val="none"/>
        </w:rPr>
      </w:r>
      <w:r/>
    </w:p>
    <w:p>
      <w:pPr>
        <w:ind w:firstLine="482"/>
        <w:spacing w:line="500" w:lineRule="exact"/>
        <w:rPr>
          <w:rFonts w:ascii="宋体"/>
          <w:color w:val="auto"/>
          <w:szCs w:val="21"/>
          <w:highlight w:val="none"/>
        </w:rPr>
      </w:pPr>
      <w:r>
        <w:rPr>
          <w:rFonts w:ascii="宋体"/>
          <w:color w:val="auto"/>
          <w:szCs w:val="21"/>
          <w:highlight w:val="none"/>
        </w:rPr>
      </w:r>
      <w:r/>
    </w:p>
    <w:p>
      <w:pPr>
        <w:ind w:firstLine="482"/>
        <w:spacing w:line="500" w:lineRule="exact"/>
        <w:rPr>
          <w:rFonts w:ascii="宋体"/>
          <w:color w:val="auto"/>
          <w:sz w:val="24"/>
          <w:szCs w:val="24"/>
          <w:highlight w:val="none"/>
        </w:rPr>
      </w:pPr>
      <w:r>
        <w:rPr>
          <w:rFonts w:ascii="宋体"/>
          <w:color w:val="auto"/>
          <w:sz w:val="24"/>
          <w:szCs w:val="24"/>
          <w:highlight w:val="none"/>
        </w:rPr>
      </w:r>
      <w:r/>
    </w:p>
    <w:p>
      <w:pPr>
        <w:ind w:firstLine="482"/>
        <w:spacing w:line="500" w:lineRule="exact"/>
        <w:rPr>
          <w:rFonts w:ascii="宋体"/>
          <w:color w:val="auto"/>
          <w:sz w:val="24"/>
          <w:szCs w:val="24"/>
          <w:highlight w:val="none"/>
        </w:rPr>
      </w:pPr>
      <w:r>
        <w:rPr>
          <w:rFonts w:ascii="宋体"/>
          <w:color w:val="auto"/>
          <w:sz w:val="24"/>
          <w:szCs w:val="24"/>
          <w:highlight w:val="none"/>
        </w:rPr>
      </w:r>
      <w:r/>
    </w:p>
    <w:p>
      <w:pPr>
        <w:ind w:firstLine="482"/>
        <w:spacing w:line="500" w:lineRule="exact"/>
        <w:rPr>
          <w:rFonts w:ascii="宋体"/>
          <w:color w:val="auto"/>
          <w:sz w:val="24"/>
          <w:szCs w:val="24"/>
          <w:highlight w:val="none"/>
        </w:rPr>
      </w:pPr>
      <w:r>
        <w:rPr>
          <w:rFonts w:ascii="宋体"/>
          <w:color w:val="auto"/>
          <w:sz w:val="24"/>
          <w:szCs w:val="24"/>
          <w:highlight w:val="none"/>
        </w:rPr>
      </w:r>
      <w:r/>
    </w:p>
    <w:p>
      <w:pPr>
        <w:ind w:firstLine="482"/>
        <w:spacing w:line="500" w:lineRule="exact"/>
        <w:rPr>
          <w:rFonts w:ascii="宋体"/>
          <w:color w:val="auto"/>
          <w:sz w:val="24"/>
          <w:szCs w:val="24"/>
          <w:highlight w:val="none"/>
        </w:rPr>
      </w:pPr>
      <w:r>
        <w:rPr>
          <w:rFonts w:ascii="宋体"/>
          <w:color w:val="auto"/>
          <w:sz w:val="24"/>
          <w:szCs w:val="24"/>
          <w:highlight w:val="none"/>
        </w:rPr>
      </w:r>
      <w:r/>
    </w:p>
    <w:p>
      <w:pPr>
        <w:ind w:firstLine="482"/>
        <w:spacing w:line="500" w:lineRule="exact"/>
        <w:rPr>
          <w:rFonts w:ascii="宋体"/>
          <w:color w:val="auto"/>
          <w:sz w:val="24"/>
          <w:szCs w:val="24"/>
          <w:highlight w:val="none"/>
        </w:rPr>
      </w:pPr>
      <w:r>
        <w:rPr>
          <w:rFonts w:ascii="宋体"/>
          <w:color w:val="auto"/>
          <w:sz w:val="24"/>
          <w:szCs w:val="24"/>
          <w:highlight w:val="none"/>
        </w:rPr>
      </w:r>
      <w:r/>
    </w:p>
    <w:p>
      <w:pPr>
        <w:spacing w:line="500" w:lineRule="exact"/>
        <w:rPr>
          <w:rFonts w:ascii="宋体"/>
          <w:bCs/>
          <w:color w:val="auto"/>
          <w:sz w:val="24"/>
          <w:szCs w:val="21"/>
          <w:highlight w:val="none"/>
        </w:rPr>
      </w:pPr>
      <w:r>
        <w:rPr>
          <w:rFonts w:ascii="宋体"/>
          <w:bCs/>
          <w:color w:val="auto"/>
          <w:sz w:val="24"/>
          <w:szCs w:val="21"/>
          <w:highlight w:val="none"/>
        </w:rPr>
      </w:r>
      <w:r/>
    </w:p>
    <w:p>
      <w:pPr>
        <w:spacing w:line="460" w:lineRule="exact"/>
        <w:rPr>
          <w:rFonts w:asci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hint="eastAsia" w:ascii="宋体" w:hAnsi="宋体"/>
          <w:bCs/>
          <w:color w:val="auto"/>
          <w:szCs w:val="21"/>
          <w:highlight w:val="none"/>
        </w:rPr>
        <w:t xml:space="preserve">供应商名称（公章）：</w:t>
      </w:r>
      <w:r/>
    </w:p>
    <w:p>
      <w:pPr>
        <w:spacing w:line="460" w:lineRule="exact"/>
        <w:rPr>
          <w:rFonts w:asci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授权代表签字：</w:t>
      </w:r>
      <w:r>
        <w:rPr>
          <w:rFonts w:ascii="宋体" w:hAnsi="宋体"/>
          <w:bCs/>
          <w:color w:val="auto"/>
          <w:szCs w:val="21"/>
          <w:highlight w:val="none"/>
          <w:u w:val="single"/>
        </w:rPr>
        <w:t xml:space="preserve">_______________________</w:t>
      </w:r>
      <w:r/>
    </w:p>
    <w:p>
      <w:pPr>
        <w:spacing w:line="460" w:lineRule="exact"/>
        <w:rPr>
          <w:rFonts w:asci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 xml:space="preserve">日期：</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年</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月</w:t>
      </w:r>
      <w:r>
        <w:rPr>
          <w:rFonts w:ascii="宋体" w:hAnsi="宋体"/>
          <w:bCs/>
          <w:color w:val="auto"/>
          <w:szCs w:val="21"/>
          <w:highlight w:val="none"/>
          <w:u w:val="single"/>
        </w:rPr>
        <w:t xml:space="preserve">______</w:t>
      </w:r>
      <w:r>
        <w:rPr>
          <w:rFonts w:hint="eastAsia" w:ascii="宋体" w:hAnsi="宋体"/>
          <w:bCs/>
          <w:color w:val="auto"/>
          <w:szCs w:val="21"/>
          <w:highlight w:val="none"/>
        </w:rPr>
        <w:t xml:space="preserve">日</w:t>
      </w:r>
      <w:r/>
    </w:p>
    <w:p>
      <w:pPr>
        <w:jc w:val="right"/>
        <w:spacing w:line="360" w:lineRule="auto"/>
        <w:rPr>
          <w:rFonts w:ascii="宋体" w:cs="宋体"/>
          <w:color w:val="auto"/>
          <w:sz w:val="24"/>
          <w:szCs w:val="24"/>
          <w:highlight w:val="none"/>
        </w:rPr>
      </w:pPr>
      <w:r>
        <w:rPr>
          <w:rFonts w:ascii="宋体" w:cs="宋体"/>
          <w:color w:val="auto"/>
          <w:sz w:val="24"/>
          <w:szCs w:val="24"/>
          <w:highlight w:val="none"/>
        </w:rPr>
      </w:r>
      <w:r/>
    </w:p>
    <w:p>
      <w:pPr>
        <w:contextualSpacing/>
        <w:spacing w:line="400" w:lineRule="exact"/>
        <w:rPr>
          <w:rFonts w:eastAsia="方正黑体_GBK"/>
          <w:color w:val="auto"/>
          <w:sz w:val="32"/>
          <w:szCs w:val="32"/>
          <w:highlight w:val="none"/>
          <w:lang w:val="zh-CN"/>
        </w:rPr>
      </w:pPr>
      <w:r>
        <w:rPr>
          <w:rFonts w:ascii="宋体" w:hAnsi="宋体"/>
          <w:color w:val="auto"/>
          <w:sz w:val="24"/>
          <w:szCs w:val="21"/>
          <w:highlight w:val="none"/>
        </w:rPr>
        <w:br w:type="page" w:clear="all"/>
      </w:r>
      <w:r>
        <w:rPr>
          <w:rFonts w:eastAsia="方正黑体_GBK"/>
          <w:color w:val="auto"/>
          <w:sz w:val="32"/>
          <w:szCs w:val="32"/>
          <w:highlight w:val="none"/>
          <w:lang w:val="zh-CN"/>
        </w:rPr>
        <w:t xml:space="preserve">附件</w:t>
      </w:r>
      <w:r>
        <w:rPr>
          <w:rFonts w:hint="eastAsia" w:eastAsia="方正黑体_GBK"/>
          <w:color w:val="auto"/>
          <w:sz w:val="32"/>
          <w:szCs w:val="32"/>
          <w:highlight w:val="none"/>
          <w:lang w:val="zh-CN"/>
        </w:rPr>
        <w:t xml:space="preserve">3</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法定代表人身份证明</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先生/女士：</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现任我单位</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职务，为法定代表人，特此证明。</w:t>
      </w:r>
      <w:r/>
    </w:p>
    <w:p>
      <w:pPr>
        <w:ind w:firstLine="480"/>
        <w:spacing w:line="48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身份证号码：</w:t>
      </w:r>
      <w:r>
        <w:rPr>
          <w:rFonts w:ascii="宋体" w:hAnsi="宋体"/>
          <w:color w:val="auto"/>
          <w:sz w:val="24"/>
          <w:szCs w:val="24"/>
          <w:highlight w:val="none"/>
          <w:u w:val="single"/>
        </w:rPr>
        <w:t xml:space="preserve">                                               </w:t>
      </w:r>
      <w:r/>
    </w:p>
    <w:p>
      <w:pPr>
        <w:ind w:firstLine="480"/>
        <w:spacing w:line="480" w:lineRule="exact"/>
        <w:rPr>
          <w:rFonts w:ascii="宋体" w:hAnsi="宋体"/>
          <w:color w:val="auto"/>
          <w:sz w:val="24"/>
          <w:szCs w:val="24"/>
          <w:highlight w:val="none"/>
        </w:rPr>
      </w:pPr>
      <w:r>
        <w:rPr>
          <w:rFonts w:ascii="宋体" w:hAnsi="宋体"/>
          <w:color w:val="auto"/>
          <w:sz w:val="24"/>
          <w:szCs w:val="24"/>
          <w:highlight w:val="none"/>
        </w:rPr>
      </w:r>
      <w:r/>
    </w:p>
    <w:p>
      <w:pPr>
        <w:spacing w:line="600" w:lineRule="exact"/>
        <w:rPr>
          <w:rFonts w:ascii="宋体" w:hAnsi="宋体"/>
          <w:b/>
          <w:color w:val="auto"/>
          <w:sz w:val="24"/>
          <w:szCs w:val="24"/>
          <w:highlight w:val="none"/>
        </w:rPr>
      </w:pPr>
      <w:r>
        <w:rPr>
          <w:rFonts w:hint="eastAsia" w:ascii="宋体" w:hAnsi="宋体"/>
          <w:b/>
          <w:color w:val="auto"/>
          <w:sz w:val="24"/>
          <w:szCs w:val="24"/>
          <w:highlight w:val="none"/>
        </w:rPr>
        <w:t xml:space="preserve">注：提供法定代表人的身份证复印件盖公章</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bookmarkEnd w:id="199"/>
      <w:bookmarkEnd w:id="200"/>
      <w:bookmarkEnd w:id="201"/>
      <w:r/>
    </w:p>
    <w:p>
      <w:pPr>
        <w:spacing w:line="460" w:lineRule="exact"/>
        <w:rPr>
          <w:rFonts w:ascii="宋体" w:hAnsi="宋体"/>
          <w:bCs/>
          <w:color w:val="auto"/>
          <w:sz w:val="24"/>
          <w:szCs w:val="21"/>
          <w:highlight w:val="none"/>
        </w:rPr>
      </w:pPr>
      <w:r/>
      <w:bookmarkStart w:id="202" w:name="_Toc120614284"/>
      <w:r/>
      <w:r/>
    </w:p>
    <w:p>
      <w:pPr>
        <w:contextualSpacing/>
        <w:spacing w:line="400" w:lineRule="exact"/>
        <w:rPr>
          <w:rFonts w:eastAsia="方正黑体_GBK"/>
          <w:color w:val="auto"/>
          <w:sz w:val="32"/>
          <w:szCs w:val="32"/>
          <w:highlight w:val="none"/>
          <w:lang w:val="zh-CN"/>
        </w:rPr>
      </w:pPr>
      <w:r>
        <w:rPr>
          <w:rFonts w:ascii="宋体" w:hAnsi="宋体"/>
          <w:bCs/>
          <w:color w:val="auto"/>
          <w:sz w:val="24"/>
          <w:szCs w:val="21"/>
          <w:highlight w:val="none"/>
        </w:rPr>
        <w:br w:type="page" w:clear="all"/>
      </w:r>
      <w:r>
        <w:rPr>
          <w:rFonts w:eastAsia="方正黑体_GBK"/>
          <w:color w:val="auto"/>
          <w:sz w:val="32"/>
          <w:szCs w:val="32"/>
          <w:highlight w:val="none"/>
          <w:lang w:val="zh-CN"/>
        </w:rPr>
        <w:t xml:space="preserve">附件</w:t>
      </w:r>
      <w:r>
        <w:rPr>
          <w:rFonts w:hint="eastAsia" w:eastAsia="方正黑体_GBK"/>
          <w:color w:val="auto"/>
          <w:sz w:val="32"/>
          <w:szCs w:val="32"/>
          <w:highlight w:val="none"/>
          <w:lang w:val="zh-CN"/>
        </w:rPr>
        <w:t xml:space="preserve">4</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法人授权书</w:t>
      </w:r>
      <w:r/>
    </w:p>
    <w:p>
      <w:pPr>
        <w:ind w:firstLine="480"/>
        <w:tabs>
          <w:tab w:val="left" w:pos="360" w:leader="none"/>
        </w:tabs>
        <w:rPr>
          <w:color w:val="auto"/>
          <w:sz w:val="24"/>
          <w:szCs w:val="24"/>
          <w:highlight w:val="none"/>
        </w:rPr>
      </w:pPr>
      <w:r>
        <w:rPr>
          <w:rFonts w:hint="eastAsia"/>
          <w:color w:val="auto"/>
          <w:sz w:val="24"/>
          <w:szCs w:val="24"/>
          <w:highlight w:val="none"/>
        </w:rPr>
        <w:t xml:space="preserve">本授权书声明：____________（供应商名称）授权________________（被授权人的姓名）为我方项目编号：</w:t>
      </w:r>
      <w:r>
        <w:rPr>
          <w:rFonts w:hint="eastAsia"/>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ind w:firstLine="480"/>
        <w:tabs>
          <w:tab w:val="left" w:pos="360" w:leader="none"/>
        </w:tabs>
        <w:rPr>
          <w:color w:val="auto"/>
          <w:sz w:val="24"/>
          <w:szCs w:val="24"/>
          <w:highlight w:val="none"/>
        </w:rPr>
      </w:pPr>
      <w:r>
        <w:rPr>
          <w:rFonts w:hint="eastAsia"/>
          <w:color w:val="auto"/>
          <w:sz w:val="24"/>
          <w:szCs w:val="24"/>
          <w:highlight w:val="none"/>
        </w:rPr>
        <w:t xml:space="preserve">本授权书于______年____月____日起生效，特此声明。</w:t>
      </w:r>
      <w:r/>
    </w:p>
    <w:p>
      <w:pPr>
        <w:tabs>
          <w:tab w:val="left" w:pos="360" w:leader="none"/>
        </w:tabs>
        <w:rPr>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tabs>
          <w:tab w:val="left" w:pos="360" w:leader="none"/>
        </w:tabs>
        <w:rPr>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ind w:firstLine="1200"/>
        <w:tabs>
          <w:tab w:val="left" w:pos="360" w:leader="none"/>
        </w:tabs>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ind w:firstLine="480"/>
        <w:tabs>
          <w:tab w:val="left" w:pos="360" w:leader="none"/>
        </w:tabs>
        <w:rPr>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ind w:firstLine="480"/>
        <w:tabs>
          <w:tab w:val="left" w:pos="360" w:leader="none"/>
        </w:tabs>
        <w:rPr>
          <w:color w:val="auto"/>
          <w:sz w:val="24"/>
          <w:szCs w:val="24"/>
          <w:highlight w:val="none"/>
        </w:rPr>
      </w:pPr>
      <w:r>
        <w:rPr>
          <w:rFonts w:hint="eastAsia"/>
          <w:color w:val="auto"/>
          <w:sz w:val="24"/>
          <w:szCs w:val="24"/>
          <w:highlight w:val="none"/>
        </w:rPr>
        <w:t xml:space="preserve">      日期：</w:t>
      </w:r>
      <w:r>
        <w:rPr>
          <w:rFonts w:hint="eastAsia"/>
          <w:color w:val="auto"/>
          <w:sz w:val="24"/>
          <w:szCs w:val="24"/>
          <w:highlight w:val="none"/>
          <w:u w:val="single"/>
        </w:rPr>
        <w:t xml:space="preserve">                                         </w:t>
      </w:r>
      <w:r/>
    </w:p>
    <w:p>
      <w:pPr>
        <w:ind w:firstLine="420"/>
        <w:rPr>
          <w:i/>
          <w:color w:val="auto"/>
          <w:sz w:val="24"/>
          <w:szCs w:val="24"/>
          <w:highlight w:val="none"/>
          <w:u w:val="single"/>
        </w:rPr>
      </w:pPr>
      <w:r>
        <w:rPr>
          <w:i/>
          <w:color w:val="auto"/>
          <w:sz w:val="24"/>
          <w:szCs w:val="24"/>
          <w:highlight w:val="none"/>
          <w:u w:val="single"/>
        </w:rPr>
      </w:r>
      <w:r/>
    </w:p>
    <w:p>
      <w:pPr>
        <w:rPr>
          <w:color w:val="auto"/>
          <w:szCs w:val="21"/>
          <w:highlight w:val="none"/>
        </w:rPr>
      </w:pPr>
      <w:r>
        <w:rPr>
          <w:color w:val="auto"/>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eastAsia="方正黑体_GBK"/>
          <w:color w:val="auto"/>
          <w:sz w:val="32"/>
          <w:szCs w:val="32"/>
          <w:highlight w:val="none"/>
        </w:rPr>
      </w:pPr>
      <w:r>
        <w:rPr>
          <w:rFonts w:ascii="宋体" w:hAnsi="宋体"/>
          <w:bCs/>
          <w:color w:val="auto"/>
          <w:sz w:val="24"/>
          <w:szCs w:val="21"/>
          <w:highlight w:val="none"/>
        </w:rPr>
        <w:br w:type="page" w:clear="all"/>
      </w: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5</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磋商响应函</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致：采购人</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根据贵方的项目编号：</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磋商文件，正式授权下述签字人______(姓名)代表我方______________（供应商的名称），全权处理本次项目磋商的有关事宜。</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2.我们完全理解贵方不一定将合同授予最低报价的供应商。</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.我方与本磋商有关的正式通讯地址为：</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供应商开户行：</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contextualSpacing/>
        <w:spacing w:line="400" w:lineRule="exact"/>
        <w:rPr>
          <w:rFonts w:ascii="宋体" w:hAnsi="宋体"/>
          <w:bCs/>
          <w:color w:val="auto"/>
          <w:sz w:val="24"/>
          <w:szCs w:val="21"/>
          <w:highlight w:val="none"/>
        </w:rPr>
      </w:pPr>
      <w:r>
        <w:rPr>
          <w:rFonts w:ascii="宋体" w:hAnsi="宋体"/>
          <w:bCs/>
          <w:color w:val="auto"/>
          <w:sz w:val="24"/>
          <w:szCs w:val="21"/>
          <w:highlight w:val="none"/>
        </w:rPr>
      </w:r>
      <w:r/>
    </w:p>
    <w:p>
      <w:pPr>
        <w:ind w:left="420" w:firstLine="480"/>
        <w:jc w:val="left"/>
        <w:spacing w:line="440" w:lineRule="exact"/>
        <w:rPr>
          <w:rFonts w:ascii="宋体" w:hAnsi="宋体"/>
          <w:color w:val="auto"/>
          <w:sz w:val="24"/>
          <w:szCs w:val="21"/>
          <w:highlight w:val="none"/>
        </w:rPr>
      </w:pPr>
      <w:r>
        <w:rPr>
          <w:rFonts w:ascii="宋体" w:hAnsi="宋体"/>
          <w:color w:val="auto"/>
          <w:sz w:val="24"/>
          <w:szCs w:val="21"/>
          <w:highlight w:val="none"/>
        </w:rPr>
      </w:r>
      <w:r/>
    </w:p>
    <w:p>
      <w:pPr>
        <w:ind w:left="420" w:firstLine="240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响应供应商全称(盖公章)：</w:t>
      </w:r>
      <w:r/>
    </w:p>
    <w:p>
      <w:pPr>
        <w:ind w:left="420" w:firstLine="2400"/>
        <w:jc w:val="left"/>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法定代表人（签字或盖章）：</w:t>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eastAsia="方正黑体_GBK"/>
          <w:color w:val="auto"/>
          <w:sz w:val="32"/>
          <w:szCs w:val="32"/>
          <w:highlight w:val="none"/>
        </w:rPr>
      </w:pPr>
      <w:r>
        <w:rPr>
          <w:rFonts w:ascii="宋体" w:hAnsi="宋体"/>
          <w:bCs/>
          <w:color w:val="auto"/>
          <w:sz w:val="24"/>
          <w:szCs w:val="21"/>
          <w:highlight w:val="none"/>
        </w:rPr>
        <w:br w:type="page" w:clear="all"/>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6</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p>
    <w:tbl>
      <w:tblPr>
        <w:tblStyle w:val="73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bl>
    <w:p>
      <w:pPr>
        <w:contextualSpacing/>
        <w:spacing w:line="560" w:lineRule="exact"/>
        <w:rPr>
          <w:rFonts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1.供应商提交的响应文件中与磋商文件第三部分“项目需求”中的商务部分的要求，应逐条填列在偏离表中。</w:t>
      </w:r>
      <w:r/>
    </w:p>
    <w:p>
      <w:pPr>
        <w:contextualSpacing/>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color w:val="auto"/>
          <w:szCs w:val="24"/>
          <w:highlight w:val="none"/>
        </w:rPr>
        <w:t xml:space="preserve"> </w:t>
      </w:r>
      <w:r>
        <w:rPr>
          <w:rFonts w:hint="eastAsia" w:ascii="宋体" w:hAnsi="宋体"/>
          <w:color w:val="auto"/>
          <w:sz w:val="24"/>
          <w:szCs w:val="24"/>
          <w:highlight w:val="none"/>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3.供应商如果虚假响应，将被暂停参加采购人组织政府采购活动。</w:t>
      </w:r>
      <w:r/>
    </w:p>
    <w:p>
      <w:pPr>
        <w:contextualSpacing/>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contextualSpacing/>
        <w:ind w:firstLine="540"/>
        <w:spacing w:line="5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eastAsia="方正黑体_GBK"/>
          <w:color w:val="auto"/>
          <w:sz w:val="32"/>
          <w:szCs w:val="32"/>
          <w:highlight w:val="none"/>
        </w:rPr>
      </w:pPr>
      <w:r>
        <w:rPr>
          <w:rFonts w:ascii="宋体" w:hAnsi="宋体"/>
          <w:bCs/>
          <w:color w:val="auto"/>
          <w:sz w:val="24"/>
          <w:szCs w:val="21"/>
          <w:highlight w:val="none"/>
        </w:rPr>
        <w:br w:type="page" w:clear="all"/>
      </w: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7</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（由供应商据实填写，表格不够自行添加）</w:t>
      </w:r>
      <w:r/>
    </w:p>
    <w:tbl>
      <w:tblPr>
        <w:tblStyle w:val="73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szCs w:val="24"/>
                <w:highlight w:val="none"/>
              </w:rPr>
            </w:pPr>
            <w:r>
              <w:rPr>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szCs w:val="24"/>
                <w:highlight w:val="none"/>
              </w:rPr>
            </w:pPr>
            <w:r>
              <w:rPr>
                <w:color w:val="auto"/>
                <w:sz w:val="24"/>
                <w:szCs w:val="24"/>
                <w:highlight w:val="none"/>
              </w:rPr>
            </w:r>
            <w:r/>
          </w:p>
        </w:tc>
      </w:tr>
    </w:tbl>
    <w:p>
      <w:pPr>
        <w:contextualSpacing/>
        <w:spacing w:line="560" w:lineRule="exact"/>
        <w:rPr>
          <w:rFonts w:ascii="宋体" w:hAnsi="宋体"/>
          <w:b/>
          <w:color w:val="auto"/>
          <w:sz w:val="24"/>
          <w:szCs w:val="24"/>
          <w:highlight w:val="none"/>
        </w:rPr>
      </w:pPr>
      <w:r>
        <w:rPr>
          <w:rFonts w:hint="eastAsia" w:ascii="宋体" w:hAnsi="宋体"/>
          <w:b/>
          <w:color w:val="auto"/>
          <w:sz w:val="24"/>
          <w:szCs w:val="24"/>
          <w:highlight w:val="none"/>
        </w:rPr>
        <w:t xml:space="preserve">注：</w:t>
      </w:r>
      <w:r/>
    </w:p>
    <w:p>
      <w:pPr>
        <w:contextualSpacing/>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1.供应商提交的响应文件中与磋商文件第三部分“项目需求”中的技术部分的要求，应逐条填列在偏离表中。</w:t>
      </w:r>
      <w:r/>
    </w:p>
    <w:p>
      <w:pPr>
        <w:contextualSpacing/>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color w:val="auto"/>
          <w:szCs w:val="24"/>
          <w:highlight w:val="none"/>
        </w:rPr>
        <w:t xml:space="preserve"> </w:t>
      </w:r>
      <w:r>
        <w:rPr>
          <w:rFonts w:hint="eastAsia" w:ascii="宋体" w:hAnsi="宋体"/>
          <w:color w:val="auto"/>
          <w:sz w:val="24"/>
          <w:szCs w:val="24"/>
          <w:highlight w:val="none"/>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3.供应商如果虚假响应，将被暂停参加采购人组织政府采购活动。</w:t>
      </w:r>
      <w:r/>
    </w:p>
    <w:p>
      <w:pPr>
        <w:contextualSpacing/>
        <w:ind w:firstLine="480"/>
        <w:spacing w:line="560" w:lineRule="exact"/>
        <w:rPr>
          <w:rFonts w:ascii="宋体" w:hAnsi="宋体"/>
          <w:bCs/>
          <w:color w:val="auto"/>
          <w:sz w:val="24"/>
          <w:szCs w:val="24"/>
          <w:highlight w:val="none"/>
        </w:rPr>
      </w:pPr>
      <w:r>
        <w:rPr>
          <w:rFonts w:hint="eastAsia" w:ascii="宋体" w:hAnsi="宋体"/>
          <w:bCs/>
          <w:color w:val="auto"/>
          <w:sz w:val="24"/>
          <w:szCs w:val="24"/>
          <w:highlight w:val="none"/>
        </w:rPr>
        <w:t xml:space="preserve">4.供应商若提供其他增值服务，可以在表中自行据实填写。</w:t>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eastAsia="方正黑体_GBK"/>
          <w:color w:val="auto"/>
          <w:sz w:val="32"/>
          <w:szCs w:val="32"/>
          <w:highlight w:val="none"/>
        </w:rPr>
      </w:pPr>
      <w:r>
        <w:rPr>
          <w:rFonts w:ascii="宋体" w:hAnsi="宋体"/>
          <w:bCs/>
          <w:color w:val="auto"/>
          <w:sz w:val="24"/>
          <w:szCs w:val="21"/>
          <w:highlight w:val="none"/>
        </w:rPr>
        <w:br w:type="page" w:clear="all"/>
      </w: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8</w:t>
      </w:r>
      <w:r/>
    </w:p>
    <w:p>
      <w:pPr>
        <w:jc w:val="center"/>
        <w:spacing w:before="100" w:beforeAutospacing="1" w:after="100" w:afterAutospacing="1" w:line="500" w:lineRule="atLeast"/>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报价总表</w:t>
      </w:r>
      <w:r/>
    </w:p>
    <w:p>
      <w:pPr>
        <w:rPr>
          <w:rFonts w:ascii="宋体" w:hAnsi="宋体" w:cs="宋体"/>
          <w:color w:val="auto"/>
          <w:sz w:val="28"/>
          <w:szCs w:val="28"/>
          <w:highlight w:val="none"/>
          <w:u w:val="single"/>
        </w:rPr>
      </w:pPr>
      <w:r>
        <w:rPr>
          <w:rFonts w:ascii="宋体" w:hAnsi="宋体" w:cs="宋体"/>
          <w:color w:val="auto"/>
          <w:sz w:val="28"/>
          <w:szCs w:val="28"/>
          <w:highlight w:val="none"/>
        </w:rPr>
        <w:t xml:space="preserve">供应商全称（加盖公章）：</w:t>
      </w:r>
      <w:r/>
    </w:p>
    <w:p>
      <w:pPr>
        <w:rPr>
          <w:rFonts w:ascii="宋体" w:hAnsi="宋体" w:cs="宋体"/>
          <w:color w:val="auto"/>
          <w:sz w:val="28"/>
          <w:szCs w:val="28"/>
          <w:highlight w:val="none"/>
          <w:u w:val="single"/>
        </w:rPr>
      </w:pPr>
      <w:r>
        <w:rPr>
          <w:rFonts w:ascii="宋体" w:hAnsi="宋体" w:cs="宋体"/>
          <w:color w:val="auto"/>
          <w:sz w:val="28"/>
          <w:szCs w:val="28"/>
          <w:highlight w:val="none"/>
        </w:rPr>
        <w:t xml:space="preserve">项目名称：</w:t>
      </w:r>
      <w:r/>
    </w:p>
    <w:p>
      <w:pPr>
        <w:rPr>
          <w:rFonts w:ascii="宋体" w:hAnsi="宋体" w:cs="宋体"/>
          <w:color w:val="auto"/>
          <w:sz w:val="28"/>
          <w:szCs w:val="28"/>
          <w:highlight w:val="none"/>
        </w:rPr>
      </w:pPr>
      <w:r>
        <w:rPr>
          <w:rFonts w:ascii="宋体" w:hAnsi="宋体" w:cs="宋体"/>
          <w:color w:val="auto"/>
          <w:sz w:val="28"/>
          <w:szCs w:val="28"/>
          <w:highlight w:val="none"/>
        </w:rPr>
        <w:t xml:space="preserve">项目编号：</w:t>
      </w:r>
      <w:r/>
    </w:p>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分包号：</w:t>
      </w:r>
      <w:r/>
    </w:p>
    <w:tbl>
      <w:tblPr>
        <w:tblStyle w:val="735"/>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val="false"/>
          </w:tcPr>
          <w:p>
            <w:pPr>
              <w:jc w:val="center"/>
              <w:spacing w:line="560" w:lineRule="exact"/>
              <w:rPr>
                <w:rFonts w:ascii="等线" w:hAnsi="等线" w:eastAsia="等线"/>
                <w:color w:val="auto"/>
                <w:highlight w:val="none"/>
              </w:rPr>
            </w:pPr>
            <w:r>
              <w:rPr>
                <w:rFonts w:hint="eastAsia" w:ascii="宋体" w:hAnsi="宋体" w:cs="宋体"/>
                <w:color w:val="auto"/>
                <w:sz w:val="28"/>
                <w:szCs w:val="28"/>
                <w:highlight w:val="none"/>
              </w:rPr>
              <w:t xml:space="preserve">磋商</w:t>
            </w:r>
            <w:r>
              <w:rPr>
                <w:rFonts w:ascii="宋体" w:hAnsi="宋体" w:cs="宋体"/>
                <w:color w:val="auto"/>
                <w:sz w:val="28"/>
                <w:szCs w:val="28"/>
                <w:highlight w:val="none"/>
              </w:rPr>
              <w:t xml:space="preserve">货物、服务名称</w:t>
            </w:r>
            <w:r/>
          </w:p>
        </w:tc>
        <w:tc>
          <w:tcPr>
            <w:tcW w:w="4607" w:type="dxa"/>
            <w:textDirection w:val="lrTb"/>
            <w:noWrap w:val="false"/>
          </w:tcPr>
          <w:p>
            <w:pPr>
              <w:jc w:val="center"/>
              <w:spacing w:line="560" w:lineRule="exact"/>
              <w:rPr>
                <w:rFonts w:ascii="等线" w:hAnsi="等线" w:eastAsia="等线"/>
                <w:color w:val="auto"/>
                <w:highlight w:val="none"/>
              </w:rPr>
            </w:pPr>
            <w:r>
              <w:rPr>
                <w:rFonts w:hint="eastAsia" w:ascii="宋体" w:hAnsi="宋体" w:cs="宋体"/>
                <w:color w:val="auto"/>
                <w:sz w:val="28"/>
                <w:szCs w:val="28"/>
                <w:highlight w:val="none"/>
              </w:rPr>
              <w:t xml:space="preserve">磋商</w:t>
            </w:r>
            <w:r>
              <w:rPr>
                <w:rFonts w:ascii="宋体" w:hAnsi="宋体" w:cs="宋体"/>
                <w:color w:val="auto"/>
                <w:sz w:val="28"/>
                <w:szCs w:val="28"/>
                <w:highlight w:val="none"/>
              </w:rPr>
              <w:t xml:space="preserve">总报价</w:t>
            </w:r>
            <w:r/>
          </w:p>
        </w:tc>
      </w:tr>
      <w:tr>
        <w:trPr>
          <w:trHeight w:val="1091"/>
        </w:trPr>
        <w:tc>
          <w:tcPr>
            <w:tcW w:w="4148" w:type="dxa"/>
            <w:textDirection w:val="lrTb"/>
            <w:noWrap w:val="false"/>
          </w:tcPr>
          <w:p>
            <w:pPr>
              <w:spacing w:line="560" w:lineRule="exact"/>
              <w:rPr>
                <w:rFonts w:ascii="等线" w:hAnsi="等线" w:eastAsia="等线"/>
                <w:color w:val="auto"/>
                <w:highlight w:val="none"/>
              </w:rPr>
            </w:pPr>
            <w:r>
              <w:rPr>
                <w:rFonts w:ascii="等线" w:hAnsi="等线" w:eastAsia="等线"/>
                <w:color w:val="auto"/>
                <w:highlight w:val="none"/>
              </w:rPr>
            </w:r>
            <w:r/>
          </w:p>
        </w:tc>
        <w:tc>
          <w:tcPr>
            <w:tcW w:w="4607" w:type="dxa"/>
            <w:textDirection w:val="lrTb"/>
            <w:noWrap w:val="false"/>
          </w:tcPr>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大写：</w:t>
            </w:r>
            <w:r/>
          </w:p>
          <w:p>
            <w:pPr>
              <w:spacing w:line="560" w:lineRule="exact"/>
              <w:rPr>
                <w:rFonts w:ascii="等线" w:hAnsi="等线" w:eastAsia="等线"/>
                <w:color w:val="auto"/>
                <w:highlight w:val="none"/>
                <w:u w:val="single"/>
              </w:rPr>
            </w:pPr>
            <w:r>
              <w:rPr>
                <w:rFonts w:ascii="宋体" w:hAnsi="宋体" w:cs="宋体"/>
                <w:color w:val="auto"/>
                <w:sz w:val="28"/>
                <w:szCs w:val="28"/>
                <w:highlight w:val="none"/>
              </w:rPr>
              <w:t xml:space="preserve">小写：</w:t>
            </w:r>
            <w:r>
              <w:rPr>
                <w:rFonts w:hint="eastAsia" w:ascii="宋体" w:hAnsi="宋体" w:cs="宋体"/>
                <w:color w:val="auto"/>
                <w:sz w:val="28"/>
                <w:szCs w:val="28"/>
                <w:highlight w:val="none"/>
              </w:rPr>
              <w:t xml:space="preserve">          </w:t>
            </w:r>
            <w:r>
              <w:rPr>
                <w:rFonts w:ascii="宋体" w:hAnsi="宋体" w:cs="宋体"/>
                <w:color w:val="auto"/>
                <w:sz w:val="28"/>
                <w:szCs w:val="28"/>
                <w:highlight w:val="none"/>
              </w:rPr>
              <w:t xml:space="preserve">元（人民币）</w:t>
            </w:r>
            <w:r/>
          </w:p>
        </w:tc>
      </w:tr>
      <w:tr>
        <w:trPr/>
        <w:tc>
          <w:tcPr>
            <w:tcW w:w="4148" w:type="dxa"/>
            <w:textDirection w:val="lrTb"/>
            <w:noWrap w:val="false"/>
          </w:tcPr>
          <w:p>
            <w:pPr>
              <w:spacing w:line="560" w:lineRule="exact"/>
              <w:rPr>
                <w:rFonts w:ascii="等线" w:hAnsi="等线" w:eastAsia="等线"/>
                <w:color w:val="auto"/>
                <w:highlight w:val="none"/>
              </w:rPr>
            </w:pPr>
            <w:r>
              <w:rPr>
                <w:rFonts w:ascii="宋体" w:hAnsi="宋体" w:cs="宋体"/>
                <w:color w:val="auto"/>
                <w:sz w:val="28"/>
                <w:szCs w:val="28"/>
                <w:highlight w:val="none"/>
              </w:rPr>
              <w:t xml:space="preserve">主要货物、服务制造商及产地</w:t>
            </w:r>
            <w:r/>
          </w:p>
        </w:tc>
        <w:tc>
          <w:tcPr>
            <w:tcW w:w="4607" w:type="dxa"/>
            <w:textDirection w:val="lrTb"/>
            <w:noWrap w:val="false"/>
          </w:tcPr>
          <w:p>
            <w:pPr>
              <w:spacing w:line="560" w:lineRule="exact"/>
              <w:rPr>
                <w:rFonts w:ascii="等线" w:hAnsi="等线" w:eastAsia="等线"/>
                <w:color w:val="auto"/>
                <w:highlight w:val="none"/>
              </w:rPr>
            </w:pPr>
            <w:r>
              <w:rPr>
                <w:rFonts w:ascii="等线" w:hAnsi="等线" w:eastAsia="等线"/>
                <w:color w:val="auto"/>
                <w:highlight w:val="none"/>
              </w:rPr>
            </w:r>
            <w:r/>
          </w:p>
        </w:tc>
      </w:tr>
      <w:tr>
        <w:trPr>
          <w:trHeight w:val="481"/>
        </w:trPr>
        <w:tc>
          <w:tcPr>
            <w:tcW w:w="4148" w:type="dxa"/>
            <w:textDirection w:val="lrTb"/>
            <w:noWrap w:val="false"/>
          </w:tcPr>
          <w:p>
            <w:pPr>
              <w:spacing w:line="560" w:lineRule="exact"/>
              <w:rPr>
                <w:rFonts w:ascii="等线" w:hAnsi="等线" w:eastAsia="等线"/>
                <w:color w:val="auto"/>
                <w:highlight w:val="none"/>
              </w:rPr>
            </w:pPr>
            <w:r>
              <w:rPr>
                <w:rFonts w:hint="eastAsia" w:ascii="宋体" w:hAnsi="宋体" w:cs="宋体"/>
                <w:color w:val="auto"/>
                <w:sz w:val="28"/>
                <w:szCs w:val="28"/>
                <w:highlight w:val="none"/>
              </w:rPr>
              <w:t xml:space="preserve">核心产品品牌（如有）</w:t>
            </w:r>
            <w:r/>
          </w:p>
        </w:tc>
        <w:tc>
          <w:tcPr>
            <w:tcW w:w="4607" w:type="dxa"/>
            <w:textDirection w:val="lrTb"/>
            <w:noWrap w:val="false"/>
          </w:tcPr>
          <w:p>
            <w:pPr>
              <w:spacing w:line="560" w:lineRule="exact"/>
              <w:rPr>
                <w:rFonts w:ascii="等线" w:hAnsi="等线" w:eastAsia="等线"/>
                <w:color w:val="auto"/>
                <w:highlight w:val="none"/>
              </w:rPr>
            </w:pPr>
            <w:r>
              <w:rPr>
                <w:rFonts w:ascii="等线" w:hAnsi="等线" w:eastAsia="等线"/>
                <w:color w:val="auto"/>
                <w:highlight w:val="none"/>
              </w:rPr>
            </w:r>
            <w:r/>
          </w:p>
        </w:tc>
      </w:tr>
    </w:tbl>
    <w:p>
      <w:pPr>
        <w:spacing w:line="560" w:lineRule="exact"/>
        <w:rPr>
          <w:rFonts w:ascii="宋体" w:hAnsi="宋体" w:cs="宋体"/>
          <w:color w:val="auto"/>
          <w:sz w:val="28"/>
          <w:szCs w:val="28"/>
          <w:highlight w:val="none"/>
        </w:rPr>
      </w:pPr>
      <w:r>
        <w:rPr>
          <w:rFonts w:ascii="宋体" w:hAnsi="宋体" w:cs="宋体"/>
          <w:color w:val="auto"/>
          <w:sz w:val="28"/>
          <w:szCs w:val="28"/>
          <w:highlight w:val="none"/>
        </w:rPr>
        <w:t xml:space="preserve">日期：</w:t>
      </w:r>
      <w:r/>
    </w:p>
    <w:p>
      <w:pPr>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填写说明：</w:t>
      </w:r>
      <w:r/>
    </w:p>
    <w:p>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报价总表</w:t>
      </w:r>
      <w:r>
        <w:rPr>
          <w:rFonts w:ascii="宋体" w:hAnsi="宋体" w:cs="宋体"/>
          <w:color w:val="auto"/>
          <w:sz w:val="24"/>
          <w:szCs w:val="24"/>
          <w:highlight w:val="none"/>
        </w:rPr>
        <w:t xml:space="preserve">必须加盖</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公章（复印件无效）。</w:t>
      </w:r>
      <w:r/>
    </w:p>
    <w:p>
      <w:pPr>
        <w:contextualSpacing/>
        <w:spacing w:line="40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ascii="宋体" w:hAnsi="宋体"/>
          <w:bCs/>
          <w:color w:val="auto"/>
          <w:sz w:val="24"/>
          <w:szCs w:val="21"/>
          <w:highlight w:val="none"/>
        </w:rPr>
      </w:pPr>
      <w:r>
        <w:rPr>
          <w:rFonts w:ascii="宋体" w:hAnsi="宋体"/>
          <w:bCs/>
          <w:color w:val="auto"/>
          <w:sz w:val="24"/>
          <w:szCs w:val="21"/>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9</w:t>
      </w:r>
      <w:r/>
    </w:p>
    <w:p>
      <w:pPr>
        <w:contextualSpacing/>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b/>
          <w:bCs/>
          <w:color w:val="auto"/>
          <w:sz w:val="32"/>
          <w:szCs w:val="32"/>
          <w:highlight w:val="none"/>
        </w:rPr>
      </w:pPr>
      <w:r>
        <w:rPr>
          <w:rFonts w:hint="eastAsia"/>
          <w:b/>
          <w:bCs/>
          <w:color w:val="auto"/>
          <w:sz w:val="32"/>
          <w:szCs w:val="32"/>
          <w:highlight w:val="none"/>
        </w:rPr>
        <w:t xml:space="preserve">分项报价明细表（服务类）</w:t>
      </w:r>
      <w:r/>
    </w:p>
    <w:p>
      <w:pPr>
        <w:spacing w:line="4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供应商（盖章）：</w:t>
      </w:r>
      <w:r/>
    </w:p>
    <w:tbl>
      <w:tblPr>
        <w:tblStyle w:val="735"/>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序号</w:t>
            </w:r>
            <w:r/>
          </w:p>
        </w:tc>
        <w:tc>
          <w:tcPr>
            <w:tcW w:w="132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名称</w:t>
            </w:r>
            <w:r/>
          </w:p>
        </w:tc>
        <w:tc>
          <w:tcPr>
            <w:tcW w:w="1417"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服务范围</w:t>
            </w:r>
            <w:r/>
          </w:p>
        </w:tc>
        <w:tc>
          <w:tcPr>
            <w:tcW w:w="1418"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服务要求</w:t>
            </w:r>
            <w:r/>
          </w:p>
        </w:tc>
        <w:tc>
          <w:tcPr>
            <w:tcW w:w="1275"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服务时间</w:t>
            </w:r>
            <w:r/>
          </w:p>
        </w:tc>
        <w:tc>
          <w:tcPr>
            <w:tcW w:w="127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服务标准</w:t>
            </w:r>
            <w:r/>
          </w:p>
        </w:tc>
        <w:tc>
          <w:tcPr>
            <w:tcW w:w="8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金额</w:t>
            </w:r>
            <w:r/>
          </w:p>
        </w:tc>
        <w:tc>
          <w:tcPr>
            <w:tcW w:w="1151" w:type="dxa"/>
            <w:vAlign w:val="center"/>
            <w:textDirection w:val="lrTb"/>
            <w:noWrap w:val="false"/>
          </w:tcPr>
          <w:p>
            <w:pPr>
              <w:ind w:firstLine="105"/>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1</w:t>
            </w:r>
            <w:r/>
          </w:p>
        </w:tc>
        <w:tc>
          <w:tcPr>
            <w:tcW w:w="132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02"/>
        </w:trPr>
        <w:tc>
          <w:tcPr>
            <w:tcW w:w="97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2</w:t>
            </w:r>
            <w:r/>
          </w:p>
        </w:tc>
        <w:tc>
          <w:tcPr>
            <w:tcW w:w="132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3</w:t>
            </w:r>
            <w:r/>
          </w:p>
        </w:tc>
        <w:tc>
          <w:tcPr>
            <w:tcW w:w="132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4</w:t>
            </w:r>
            <w:r/>
          </w:p>
        </w:tc>
        <w:tc>
          <w:tcPr>
            <w:tcW w:w="132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32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7"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418"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5"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5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419"/>
        </w:trPr>
        <w:tc>
          <w:tcPr>
            <w:tcW w:w="971"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合计</w:t>
            </w:r>
            <w:r/>
          </w:p>
        </w:tc>
        <w:tc>
          <w:tcPr>
            <w:gridSpan w:val="7"/>
            <w:tcW w:w="8709" w:type="dxa"/>
            <w:vAlign w:val="center"/>
            <w:textDirection w:val="lrTb"/>
            <w:noWrap w:val="false"/>
          </w:tcPr>
          <w:p>
            <w:pPr>
              <w:jc w:val="center"/>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bl>
    <w:p>
      <w:pPr>
        <w:spacing w:line="300" w:lineRule="auto"/>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spacing w:line="30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注：1.供应商必须详细报出采购清单中各个子项中的内容（是否为主要标的）。且本表各分项报价合计应当与报价总表报价合计相等。请各供应商务必按照以上要求填报，否则作为无效响应处理。</w:t>
      </w:r>
      <w:r/>
    </w:p>
    <w:p>
      <w:pPr>
        <w:spacing w:line="30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2.</w:t>
      </w:r>
      <w:r>
        <w:rPr>
          <w:rFonts w:hint="eastAsia" w:ascii="宋体" w:hAnsi="宋体" w:cs="宋体"/>
          <w:b/>
          <w:color w:val="auto"/>
          <w:sz w:val="28"/>
          <w:szCs w:val="28"/>
          <w:highlight w:val="none"/>
        </w:rPr>
        <w:t xml:space="preserve"> 供应商须详细备注主要标的信息，并</w:t>
      </w:r>
      <w:r>
        <w:rPr>
          <w:rFonts w:hint="eastAsia" w:ascii="宋体" w:hAnsi="宋体" w:cs="宋体"/>
          <w:b/>
          <w:color w:val="auto"/>
          <w:sz w:val="28"/>
          <w:szCs w:val="28"/>
          <w:highlight w:val="none"/>
          <w:lang w:val="zh-CN"/>
        </w:rPr>
        <w:t xml:space="preserve">将随成交公告进行公示。内容不实的，属于提供虚假材料谋取中标、成交，依照《中华人民共和</w:t>
      </w:r>
      <w:r>
        <w:rPr>
          <w:rFonts w:hint="eastAsia" w:ascii="宋体" w:hAnsi="宋体" w:cs="宋体"/>
          <w:b/>
          <w:color w:val="auto"/>
          <w:sz w:val="28"/>
          <w:szCs w:val="28"/>
          <w:highlight w:val="none"/>
        </w:rPr>
        <w:t xml:space="preserve">国政府采购法》等国家有关规定追究相应责</w:t>
      </w:r>
      <w:r>
        <w:rPr>
          <w:rFonts w:hint="eastAsia" w:ascii="宋体" w:hAnsi="宋体" w:cs="宋体"/>
          <w:b/>
          <w:color w:val="auto"/>
          <w:sz w:val="28"/>
          <w:szCs w:val="28"/>
          <w:highlight w:val="none"/>
          <w:lang w:val="zh-CN"/>
        </w:rPr>
        <w:t xml:space="preserve">任。</w:t>
      </w:r>
      <w:r/>
    </w:p>
    <w:p>
      <w:pPr>
        <w:spacing w:line="300" w:lineRule="auto"/>
        <w:rPr>
          <w:rFonts w:eastAsia="方正黑体_GBK"/>
          <w:color w:val="auto"/>
          <w:sz w:val="32"/>
          <w:szCs w:val="32"/>
          <w:highlight w:val="none"/>
        </w:rPr>
      </w:pPr>
      <w:r>
        <w:rPr>
          <w:rFonts w:ascii="宋体" w:hAnsi="宋体" w:eastAsia="幼圆" w:cs="Arial"/>
          <w:b/>
          <w:color w:val="auto"/>
          <w:sz w:val="24"/>
          <w:szCs w:val="44"/>
          <w:highlight w:val="none"/>
        </w:rPr>
        <w:br w:type="page" w:clear="all"/>
      </w: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10</w:t>
      </w:r>
      <w:r/>
    </w:p>
    <w:p>
      <w:pPr>
        <w:jc w:val="center"/>
        <w:spacing w:line="300" w:lineRule="auto"/>
        <w:rPr>
          <w:b/>
          <w:bCs/>
          <w:color w:val="auto"/>
          <w:sz w:val="28"/>
          <w:szCs w:val="28"/>
          <w:highlight w:val="none"/>
          <w:lang w:bidi="zh-CN"/>
        </w:rPr>
      </w:pPr>
      <w:r>
        <w:rPr>
          <w:b/>
          <w:bCs/>
          <w:color w:val="auto"/>
          <w:sz w:val="28"/>
          <w:szCs w:val="28"/>
          <w:highlight w:val="none"/>
          <w:lang w:bidi="zh-CN"/>
        </w:rPr>
        <w:t xml:space="preserve">中小企业声明函（工程、服务）</w:t>
      </w:r>
      <w:r/>
    </w:p>
    <w:p>
      <w:pPr>
        <w:ind w:firstLine="560"/>
        <w:spacing w:line="360" w:lineRule="auto"/>
        <w:rPr>
          <w:color w:val="auto"/>
          <w:sz w:val="28"/>
          <w:szCs w:val="28"/>
          <w:highlight w:val="none"/>
          <w:lang w:bidi="zh-CN"/>
        </w:rPr>
      </w:pPr>
      <w:r>
        <w:rPr>
          <w:color w:val="auto"/>
          <w:sz w:val="28"/>
          <w:szCs w:val="28"/>
          <w:highlight w:val="none"/>
          <w:lang w:bidi="zh-CN"/>
        </w:rPr>
        <w:t xml:space="preserve">本公司（联合体）郑重声明，根据《政府采购促进中小企业发展管理办法》（财库</w:t>
      </w:r>
      <w:r>
        <w:rPr>
          <w:rFonts w:hint="eastAsia"/>
          <w:color w:val="auto"/>
          <w:sz w:val="28"/>
          <w:szCs w:val="28"/>
          <w:highlight w:val="none"/>
          <w:lang w:bidi="zh-CN"/>
        </w:rPr>
        <w:t xml:space="preserve">﹝</w:t>
      </w:r>
      <w:r>
        <w:rPr>
          <w:color w:val="auto"/>
          <w:sz w:val="28"/>
          <w:szCs w:val="28"/>
          <w:highlight w:val="none"/>
          <w:lang w:bidi="zh-CN"/>
        </w:rPr>
        <w:t xml:space="preserve">2020</w:t>
      </w:r>
      <w:r>
        <w:rPr>
          <w:rFonts w:hint="eastAsia"/>
          <w:color w:val="auto"/>
          <w:sz w:val="28"/>
          <w:szCs w:val="28"/>
          <w:highlight w:val="none"/>
          <w:lang w:bidi="zh-CN"/>
        </w:rPr>
        <w:t xml:space="preserve">﹞</w:t>
      </w:r>
      <w:r>
        <w:rPr>
          <w:color w:val="auto"/>
          <w:sz w:val="28"/>
          <w:szCs w:val="28"/>
          <w:highlight w:val="none"/>
          <w:lang w:bidi="zh-CN"/>
        </w:rPr>
        <w:t xml:space="preserve">46 号）的规定，本公司（联合体）参加</w:t>
      </w:r>
      <w:r>
        <w:rPr>
          <w:color w:val="auto"/>
          <w:sz w:val="28"/>
          <w:szCs w:val="28"/>
          <w:highlight w:val="none"/>
          <w:u w:val="single"/>
          <w:lang w:bidi="zh-CN"/>
        </w:rPr>
        <w:t xml:space="preserve">（单位名称）</w:t>
      </w:r>
      <w:r>
        <w:rPr>
          <w:color w:val="auto"/>
          <w:sz w:val="28"/>
          <w:szCs w:val="28"/>
          <w:highlight w:val="none"/>
          <w:lang w:bidi="zh-CN"/>
        </w:rPr>
        <w:t xml:space="preserve">的</w:t>
      </w:r>
      <w:r>
        <w:rPr>
          <w:color w:val="auto"/>
          <w:sz w:val="28"/>
          <w:szCs w:val="28"/>
          <w:highlight w:val="none"/>
          <w:u w:val="single"/>
          <w:lang w:bidi="zh-CN"/>
        </w:rPr>
        <w:t xml:space="preserve">（项目名称）</w:t>
      </w:r>
      <w:r>
        <w:rPr>
          <w:color w:val="auto"/>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color w:val="auto"/>
          <w:sz w:val="28"/>
          <w:szCs w:val="28"/>
          <w:highlight w:val="none"/>
          <w:lang w:bidi="zh-CN"/>
        </w:rPr>
      </w:pPr>
      <w:r>
        <w:rPr>
          <w:rFonts w:hint="eastAsia"/>
          <w:color w:val="auto"/>
          <w:sz w:val="28"/>
          <w:szCs w:val="28"/>
          <w:highlight w:val="none"/>
          <w:lang w:bidi="zh-CN"/>
        </w:rPr>
        <w:t xml:space="preserve">1.</w:t>
      </w:r>
      <w:r>
        <w:rPr>
          <w:color w:val="auto"/>
          <w:sz w:val="28"/>
          <w:szCs w:val="28"/>
          <w:highlight w:val="none"/>
          <w:u w:val="single"/>
          <w:lang w:bidi="zh-CN"/>
        </w:rPr>
        <w:t xml:space="preserve">（标的名称）</w:t>
      </w:r>
      <w:r>
        <w:rPr>
          <w:color w:val="auto"/>
          <w:sz w:val="28"/>
          <w:szCs w:val="28"/>
          <w:highlight w:val="none"/>
          <w:lang w:bidi="zh-CN"/>
        </w:rPr>
        <w:t xml:space="preserve">，属于（</w:t>
      </w:r>
      <w:r>
        <w:rPr>
          <w:rFonts w:hint="eastAsia"/>
          <w:color w:val="auto"/>
          <w:sz w:val="28"/>
          <w:szCs w:val="28"/>
          <w:highlight w:val="none"/>
          <w:u w:val="single"/>
          <w:lang w:bidi="zh-CN"/>
        </w:rPr>
        <w:t xml:space="preserve">其他未列明行业</w:t>
      </w:r>
      <w:r>
        <w:rPr>
          <w:color w:val="auto"/>
          <w:sz w:val="28"/>
          <w:szCs w:val="28"/>
          <w:highlight w:val="none"/>
          <w:u w:val="single"/>
          <w:lang w:bidi="zh-CN"/>
        </w:rPr>
        <w:t xml:space="preserve">）</w:t>
      </w:r>
      <w:r>
        <w:rPr>
          <w:color w:val="auto"/>
          <w:sz w:val="28"/>
          <w:szCs w:val="28"/>
          <w:highlight w:val="none"/>
          <w:lang w:bidi="zh-CN"/>
        </w:rPr>
        <w:t xml:space="preserve">；承建（承接）企业为</w:t>
      </w:r>
      <w:r>
        <w:rPr>
          <w:color w:val="auto"/>
          <w:sz w:val="28"/>
          <w:szCs w:val="28"/>
          <w:highlight w:val="none"/>
          <w:u w:val="single"/>
          <w:lang w:bidi="zh-CN"/>
        </w:rPr>
        <w:t xml:space="preserve">（企业名称）</w:t>
      </w:r>
      <w:r>
        <w:rPr>
          <w:color w:val="auto"/>
          <w:sz w:val="28"/>
          <w:szCs w:val="28"/>
          <w:highlight w:val="none"/>
          <w:lang w:bidi="zh-CN"/>
        </w:rPr>
        <w:t xml:space="preserve">，从业人员</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 xml:space="preserve">人，营业收入为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 xml:space="preserve">万元，资产总额为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 xml:space="preserve">万元，属于</w:t>
      </w:r>
      <w:r>
        <w:rPr>
          <w:color w:val="auto"/>
          <w:sz w:val="28"/>
          <w:szCs w:val="28"/>
          <w:highlight w:val="none"/>
          <w:u w:val="single"/>
          <w:lang w:bidi="zh-CN"/>
        </w:rPr>
        <w:t xml:space="preserve">（中型企业、小型企业、微型企业）</w:t>
      </w:r>
      <w:r>
        <w:rPr>
          <w:color w:val="auto"/>
          <w:sz w:val="28"/>
          <w:szCs w:val="28"/>
          <w:highlight w:val="none"/>
          <w:lang w:bidi="zh-CN"/>
        </w:rPr>
        <w:t xml:space="preserve">；</w:t>
      </w:r>
      <w:r/>
    </w:p>
    <w:p>
      <w:pPr>
        <w:jc w:val="left"/>
        <w:spacing w:line="360" w:lineRule="auto"/>
        <w:rPr>
          <w:color w:val="auto"/>
          <w:sz w:val="28"/>
          <w:szCs w:val="28"/>
          <w:highlight w:val="none"/>
          <w:lang w:bidi="zh-CN"/>
        </w:rPr>
      </w:pPr>
      <w:r>
        <w:rPr>
          <w:rFonts w:hint="eastAsia"/>
          <w:color w:val="auto"/>
          <w:sz w:val="28"/>
          <w:szCs w:val="28"/>
          <w:highlight w:val="none"/>
          <w:lang w:bidi="zh-CN"/>
        </w:rPr>
        <w:t xml:space="preserve">2.</w:t>
      </w:r>
      <w:r>
        <w:rPr>
          <w:color w:val="auto"/>
          <w:sz w:val="28"/>
          <w:szCs w:val="28"/>
          <w:highlight w:val="none"/>
          <w:u w:val="single"/>
          <w:lang w:bidi="zh-CN"/>
        </w:rPr>
        <w:t xml:space="preserve">（标的名称）</w:t>
      </w:r>
      <w:r>
        <w:rPr>
          <w:color w:val="auto"/>
          <w:sz w:val="28"/>
          <w:szCs w:val="28"/>
          <w:highlight w:val="none"/>
          <w:lang w:bidi="zh-CN"/>
        </w:rPr>
        <w:t xml:space="preserve">，属于（</w:t>
      </w:r>
      <w:r>
        <w:rPr>
          <w:rFonts w:hint="eastAsia"/>
          <w:color w:val="auto"/>
          <w:sz w:val="28"/>
          <w:szCs w:val="28"/>
          <w:highlight w:val="none"/>
          <w:u w:val="single"/>
          <w:lang w:bidi="zh-CN"/>
        </w:rPr>
        <w:t xml:space="preserve">其他未列明行业</w:t>
      </w:r>
      <w:r>
        <w:rPr>
          <w:color w:val="auto"/>
          <w:sz w:val="28"/>
          <w:szCs w:val="28"/>
          <w:highlight w:val="none"/>
          <w:u w:val="single"/>
          <w:lang w:bidi="zh-CN"/>
        </w:rPr>
        <w:t xml:space="preserve">）</w:t>
      </w:r>
      <w:r>
        <w:rPr>
          <w:color w:val="auto"/>
          <w:sz w:val="28"/>
          <w:szCs w:val="28"/>
          <w:highlight w:val="none"/>
          <w:lang w:bidi="zh-CN"/>
        </w:rPr>
        <w:t xml:space="preserve">；承建（承接）企业为</w:t>
      </w:r>
      <w:r>
        <w:rPr>
          <w:color w:val="auto"/>
          <w:sz w:val="28"/>
          <w:szCs w:val="28"/>
          <w:highlight w:val="none"/>
          <w:u w:val="single"/>
          <w:lang w:bidi="zh-CN"/>
        </w:rPr>
        <w:t xml:space="preserve">（企业名称）</w:t>
      </w:r>
      <w:r>
        <w:rPr>
          <w:color w:val="auto"/>
          <w:sz w:val="28"/>
          <w:szCs w:val="28"/>
          <w:highlight w:val="none"/>
          <w:lang w:bidi="zh-CN"/>
        </w:rPr>
        <w:t xml:space="preserve">，从业人员</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 xml:space="preserve">人，营业收入为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 xml:space="preserve">万元，资产总额为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 xml:space="preserve">万元，属于</w:t>
      </w:r>
      <w:r>
        <w:rPr>
          <w:color w:val="auto"/>
          <w:sz w:val="28"/>
          <w:szCs w:val="28"/>
          <w:highlight w:val="none"/>
          <w:u w:val="single"/>
          <w:lang w:bidi="zh-CN"/>
        </w:rPr>
        <w:t xml:space="preserve">（中型企业、小型企业、微型企业）</w:t>
      </w:r>
      <w:r>
        <w:rPr>
          <w:color w:val="auto"/>
          <w:sz w:val="28"/>
          <w:szCs w:val="28"/>
          <w:highlight w:val="none"/>
          <w:lang w:bidi="zh-CN"/>
        </w:rPr>
        <w:t xml:space="preserve">；</w:t>
      </w:r>
      <w:r/>
    </w:p>
    <w:p>
      <w:pPr>
        <w:jc w:val="left"/>
        <w:spacing w:line="360" w:lineRule="auto"/>
        <w:rPr>
          <w:color w:val="auto"/>
          <w:sz w:val="28"/>
          <w:szCs w:val="28"/>
          <w:highlight w:val="none"/>
          <w:lang w:bidi="zh-CN"/>
        </w:rPr>
      </w:pPr>
      <w:r>
        <w:rPr>
          <w:color w:val="auto"/>
          <w:sz w:val="28"/>
          <w:szCs w:val="28"/>
          <w:highlight w:val="none"/>
          <w:lang w:bidi="zh-CN"/>
        </w:rPr>
        <w:t xml:space="preserve">……</w:t>
      </w:r>
      <w:r/>
    </w:p>
    <w:p>
      <w:pPr>
        <w:ind w:firstLine="560"/>
        <w:spacing w:line="360" w:lineRule="auto"/>
        <w:rPr>
          <w:color w:val="auto"/>
          <w:sz w:val="28"/>
          <w:szCs w:val="28"/>
          <w:highlight w:val="none"/>
          <w:lang w:bidi="zh-CN"/>
        </w:rPr>
      </w:pPr>
      <w:r>
        <w:rPr>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color w:val="auto"/>
          <w:sz w:val="28"/>
          <w:szCs w:val="28"/>
          <w:highlight w:val="none"/>
          <w:lang w:bidi="zh-CN"/>
        </w:rPr>
      </w:pPr>
      <w:r>
        <w:rPr>
          <w:color w:val="auto"/>
          <w:sz w:val="28"/>
          <w:szCs w:val="28"/>
          <w:highlight w:val="none"/>
          <w:lang w:bidi="zh-CN"/>
        </w:rPr>
        <w:t xml:space="preserve">本企业对上述声明内容的真实性负责。如有虚假，将依法承担相应责任。</w:t>
      </w:r>
      <w:r/>
    </w:p>
    <w:p>
      <w:pPr>
        <w:ind w:firstLine="560"/>
        <w:spacing w:line="360" w:lineRule="auto"/>
        <w:rPr>
          <w:color w:val="auto"/>
          <w:sz w:val="28"/>
          <w:szCs w:val="28"/>
          <w:highlight w:val="none"/>
          <w:lang w:bidi="zh-CN"/>
        </w:rPr>
      </w:pPr>
      <w:r>
        <w:rPr>
          <w:color w:val="auto"/>
          <w:sz w:val="28"/>
          <w:szCs w:val="28"/>
          <w:highlight w:val="none"/>
          <w:lang w:bidi="zh-CN"/>
        </w:rPr>
      </w:r>
      <w:r/>
    </w:p>
    <w:p>
      <w:pPr>
        <w:ind w:firstLine="560"/>
        <w:spacing w:line="360" w:lineRule="auto"/>
        <w:rPr>
          <w:color w:val="auto"/>
          <w:sz w:val="28"/>
          <w:szCs w:val="28"/>
          <w:highlight w:val="none"/>
          <w:lang w:bidi="zh-CN"/>
        </w:rPr>
      </w:pPr>
      <w:r>
        <w:rPr>
          <w:color w:val="auto"/>
          <w:sz w:val="28"/>
          <w:szCs w:val="28"/>
          <w:highlight w:val="none"/>
          <w:lang w:bidi="zh-CN"/>
        </w:rPr>
      </w:r>
      <w:r/>
    </w:p>
    <w:p>
      <w:pPr>
        <w:spacing w:line="300" w:lineRule="auto"/>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注：1.如项目属性为“服务”或“工程”，请按本表填写。</w:t>
      </w:r>
      <w:r/>
    </w:p>
    <w:p>
      <w:pPr>
        <w:ind w:firstLine="420"/>
        <w:spacing w:line="300" w:lineRule="auto"/>
        <w:rPr>
          <w:rFonts w:ascii="宋体" w:hAnsi="宋体" w:cs="宋体"/>
          <w:color w:val="auto"/>
          <w:szCs w:val="21"/>
          <w:highlight w:val="none"/>
          <w:lang w:bidi="zh-CN"/>
        </w:rPr>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ind w:firstLine="420"/>
        <w:spacing w:line="300" w:lineRule="auto"/>
        <w:rPr>
          <w:color w:val="auto"/>
          <w:sz w:val="28"/>
          <w:szCs w:val="28"/>
          <w:highlight w:val="none"/>
          <w:lang w:bidi="zh-CN"/>
        </w:rPr>
      </w:pPr>
      <w:r>
        <w:rPr>
          <w:rFonts w:hint="eastAsia" w:ascii="宋体" w:hAnsi="宋体" w:cs="宋体"/>
          <w:color w:val="auto"/>
          <w:szCs w:val="21"/>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900"/>
        <w:spacing w:line="300" w:lineRule="auto"/>
        <w:rPr>
          <w:color w:val="auto"/>
          <w:sz w:val="28"/>
          <w:szCs w:val="28"/>
          <w:highlight w:val="none"/>
          <w:lang w:bidi="zh-CN"/>
        </w:rPr>
      </w:pPr>
      <w:r>
        <w:rPr>
          <w:color w:val="auto"/>
          <w:sz w:val="28"/>
          <w:szCs w:val="28"/>
          <w:highlight w:val="none"/>
          <w:lang w:bidi="zh-CN"/>
        </w:rPr>
        <w:t xml:space="preserve">企业名称（盖章）：</w:t>
      </w:r>
      <w:r/>
    </w:p>
    <w:p>
      <w:pPr>
        <w:ind w:firstLine="4900"/>
        <w:spacing w:line="300" w:lineRule="auto"/>
        <w:rPr>
          <w:color w:val="auto"/>
          <w:sz w:val="28"/>
          <w:szCs w:val="28"/>
          <w:highlight w:val="none"/>
          <w:lang w:bidi="zh-CN"/>
        </w:rPr>
      </w:pPr>
      <w:r>
        <w:rPr>
          <w:color w:val="auto"/>
          <w:sz w:val="28"/>
          <w:szCs w:val="28"/>
          <w:highlight w:val="none"/>
          <w:lang w:bidi="zh-CN"/>
        </w:rPr>
        <w:t xml:space="preserve">日期：</w:t>
      </w:r>
      <w:r/>
    </w:p>
    <w:p>
      <w:pPr>
        <w:spacing w:line="460" w:lineRule="exact"/>
        <w:rPr>
          <w:rFonts w:ascii="宋体" w:hAnsi="宋体"/>
          <w:color w:val="auto"/>
          <w:sz w:val="24"/>
          <w:szCs w:val="21"/>
          <w:highlight w:val="none"/>
        </w:rPr>
      </w:pPr>
      <w:r>
        <w:rPr>
          <w:rFonts w:ascii="宋体" w:hAnsi="宋体"/>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spacing w:line="300" w:lineRule="auto"/>
        <w:rPr>
          <w:rFonts w:eastAsia="方正黑体_GBK"/>
          <w:color w:val="auto"/>
          <w:sz w:val="32"/>
          <w:szCs w:val="32"/>
          <w:highlight w:val="none"/>
        </w:rPr>
      </w:pPr>
      <w:r>
        <w:rPr>
          <w:rFonts w:eastAsia="方正黑体_GBK"/>
          <w:color w:val="auto"/>
          <w:sz w:val="32"/>
          <w:szCs w:val="32"/>
          <w:highlight w:val="none"/>
        </w:rPr>
        <w:t xml:space="preserve">附件1</w:t>
      </w:r>
      <w:r>
        <w:rPr>
          <w:rFonts w:hint="eastAsia" w:eastAsia="方正黑体_GBK"/>
          <w:color w:val="auto"/>
          <w:sz w:val="32"/>
          <w:szCs w:val="32"/>
          <w:highlight w:val="none"/>
        </w:rPr>
        <w:t xml:space="preserve">1</w:t>
      </w:r>
      <w:r/>
    </w:p>
    <w:p>
      <w:pPr>
        <w:jc w:val="center"/>
        <w:spacing w:line="460" w:lineRule="exact"/>
        <w:rPr>
          <w:rFonts w:ascii="宋体" w:hAnsi="宋体"/>
          <w:b/>
          <w:color w:val="auto"/>
          <w:sz w:val="32"/>
          <w:szCs w:val="32"/>
          <w:highlight w:val="none"/>
        </w:rPr>
      </w:pPr>
      <w:r>
        <w:rPr>
          <w:rFonts w:hint="eastAsia" w:ascii="宋体" w:hAnsi="宋体"/>
          <w:b/>
          <w:color w:val="auto"/>
          <w:sz w:val="32"/>
          <w:szCs w:val="32"/>
          <w:highlight w:val="none"/>
        </w:rPr>
        <w:t xml:space="preserve">残疾人福利性单位声明函（如有）</w:t>
      </w:r>
      <w:r/>
    </w:p>
    <w:p>
      <w:pPr>
        <w:ind w:firstLine="560"/>
        <w:spacing w:line="588" w:lineRule="exact"/>
        <w:rPr>
          <w:rFonts w:ascii="宋体" w:hAnsi="宋体"/>
          <w:color w:val="auto"/>
          <w:sz w:val="28"/>
          <w:szCs w:val="28"/>
          <w:highlight w:val="none"/>
        </w:rPr>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olor w:val="auto"/>
          <w:sz w:val="28"/>
          <w:szCs w:val="28"/>
          <w:highlight w:val="none"/>
        </w:rPr>
      </w:pPr>
      <w:r>
        <w:rPr>
          <w:rFonts w:hint="eastAsia" w:ascii="宋体" w:hAnsi="宋体"/>
          <w:color w:val="auto"/>
          <w:sz w:val="28"/>
          <w:szCs w:val="28"/>
          <w:highlight w:val="none"/>
        </w:rPr>
        <w:t xml:space="preserve">本单位对上述声明的真实性负责。如有虚假，将依法承担相应责任。</w:t>
      </w:r>
      <w:r/>
    </w:p>
    <w:p>
      <w:pPr>
        <w:ind w:firstLine="560"/>
        <w:spacing w:line="588"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88"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88"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88" w:lineRule="exact"/>
        <w:rPr>
          <w:rFonts w:ascii="宋体" w:hAnsi="宋体"/>
          <w:color w:val="auto"/>
          <w:sz w:val="28"/>
          <w:szCs w:val="28"/>
          <w:highlight w:val="none"/>
        </w:rPr>
      </w:pPr>
      <w:r>
        <w:rPr>
          <w:rFonts w:ascii="宋体" w:hAnsi="宋体"/>
          <w:color w:val="auto"/>
          <w:sz w:val="28"/>
          <w:szCs w:val="28"/>
          <w:highlight w:val="none"/>
        </w:rPr>
      </w:r>
      <w:r/>
    </w:p>
    <w:p>
      <w:pPr>
        <w:spacing w:line="300" w:lineRule="auto"/>
        <w:rPr>
          <w:rFonts w:ascii="宋体" w:hAnsi="宋体" w:cs="宋体"/>
          <w:color w:val="auto"/>
          <w:sz w:val="28"/>
          <w:szCs w:val="28"/>
          <w:highlight w:val="none"/>
          <w:lang w:bidi="zh-CN"/>
        </w:rPr>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588" w:lineRule="exact"/>
        <w:rPr>
          <w:rFonts w:ascii="仿宋_GB2312" w:eastAsia="仿宋_GB2312"/>
          <w:color w:val="auto"/>
          <w:spacing w:val="6"/>
          <w:sz w:val="28"/>
          <w:szCs w:val="28"/>
          <w:highlight w:val="none"/>
        </w:rPr>
      </w:pPr>
      <w:r>
        <w:rPr>
          <w:rFonts w:hint="eastAsia" w:ascii="宋体" w:hAnsi="宋体" w:cs="宋体"/>
          <w:color w:val="auto"/>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color w:val="auto"/>
          <w:spacing w:val="6"/>
          <w:sz w:val="28"/>
          <w:szCs w:val="28"/>
          <w:highlight w:val="none"/>
        </w:rPr>
      </w:pPr>
      <w:r>
        <w:rPr>
          <w:rFonts w:ascii="仿宋_GB2312" w:eastAsia="仿宋_GB2312"/>
          <w:color w:val="auto"/>
          <w:spacing w:val="6"/>
          <w:sz w:val="28"/>
          <w:szCs w:val="28"/>
          <w:highlight w:val="none"/>
        </w:rPr>
      </w:r>
      <w:r/>
    </w:p>
    <w:p>
      <w:pPr>
        <w:ind w:right="1560" w:firstLine="584"/>
        <w:jc w:val="center"/>
        <w:spacing w:line="588" w:lineRule="exact"/>
        <w:tabs>
          <w:tab w:val="left" w:pos="4860" w:leader="none"/>
        </w:tabs>
        <w:rPr>
          <w:rFonts w:ascii="宋体" w:hAnsi="宋体"/>
          <w:color w:val="auto"/>
          <w:sz w:val="28"/>
          <w:szCs w:val="28"/>
          <w:highlight w:val="none"/>
        </w:rPr>
      </w:pPr>
      <w:r>
        <w:rPr>
          <w:rFonts w:hint="eastAsia" w:ascii="仿宋_GB2312" w:eastAsia="仿宋_GB2312"/>
          <w:color w:val="auto"/>
          <w:spacing w:val="6"/>
          <w:sz w:val="28"/>
          <w:szCs w:val="28"/>
          <w:highlight w:val="none"/>
        </w:rPr>
        <w:t xml:space="preserve">             </w:t>
      </w:r>
      <w:r>
        <w:rPr>
          <w:rFonts w:hint="eastAsia" w:ascii="宋体" w:hAnsi="宋体"/>
          <w:color w:val="auto"/>
          <w:sz w:val="28"/>
          <w:szCs w:val="28"/>
          <w:highlight w:val="none"/>
        </w:rPr>
        <w:t xml:space="preserve">           供应商全称（盖章）：</w:t>
      </w:r>
      <w:r/>
    </w:p>
    <w:p>
      <w:pPr>
        <w:ind w:right="1560" w:firstLine="560"/>
        <w:jc w:val="center"/>
        <w:spacing w:line="588" w:lineRule="exact"/>
        <w:tabs>
          <w:tab w:val="left" w:pos="4860" w:leader="none"/>
        </w:tabs>
        <w:rPr>
          <w:rFonts w:ascii="宋体" w:hAnsi="宋体"/>
          <w:color w:val="auto"/>
          <w:sz w:val="28"/>
          <w:szCs w:val="28"/>
          <w:highlight w:val="none"/>
        </w:rPr>
      </w:pPr>
      <w:r>
        <w:rPr>
          <w:rFonts w:hint="eastAsia" w:ascii="宋体" w:hAnsi="宋体"/>
          <w:color w:val="auto"/>
          <w:sz w:val="28"/>
          <w:szCs w:val="28"/>
          <w:highlight w:val="none"/>
        </w:rPr>
        <w:t xml:space="preserve">              日  期：</w:t>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spacing w:line="300" w:lineRule="auto"/>
        <w:rPr>
          <w:rFonts w:eastAsia="方正黑体_GBK"/>
          <w:color w:val="auto"/>
          <w:sz w:val="32"/>
          <w:szCs w:val="32"/>
          <w:highlight w:val="none"/>
        </w:rPr>
      </w:pPr>
      <w:r>
        <w:rPr>
          <w:rFonts w:eastAsia="方正黑体_GBK"/>
          <w:color w:val="auto"/>
          <w:sz w:val="32"/>
          <w:szCs w:val="32"/>
          <w:highlight w:val="none"/>
        </w:rPr>
        <w:t xml:space="preserve">附件1</w:t>
      </w:r>
      <w:r>
        <w:rPr>
          <w:rFonts w:hint="eastAsia" w:eastAsia="方正黑体_GBK"/>
          <w:color w:val="auto"/>
          <w:sz w:val="32"/>
          <w:szCs w:val="32"/>
          <w:highlight w:val="none"/>
        </w:rPr>
        <w:t xml:space="preserve">2</w:t>
      </w:r>
      <w:r/>
    </w:p>
    <w:p>
      <w:pPr>
        <w:jc w:val="center"/>
        <w:spacing w:line="420" w:lineRule="exact"/>
        <w:rPr>
          <w:b/>
          <w:bCs/>
          <w:color w:val="auto"/>
          <w:sz w:val="32"/>
          <w:szCs w:val="32"/>
          <w:highlight w:val="none"/>
        </w:rPr>
      </w:pPr>
      <w:r>
        <w:rPr>
          <w:rFonts w:hint="eastAsia"/>
          <w:b/>
          <w:bCs/>
          <w:color w:val="auto"/>
          <w:sz w:val="32"/>
          <w:szCs w:val="32"/>
          <w:highlight w:val="none"/>
        </w:rPr>
        <w:t xml:space="preserve">监狱和戒毒企业证明材料（如有）</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color w:val="auto"/>
          <w:sz w:val="28"/>
          <w:szCs w:val="28"/>
          <w:highlight w:val="none"/>
        </w:rPr>
      </w:pPr>
      <w:r>
        <w:rPr>
          <w:color w:val="auto"/>
          <w:sz w:val="28"/>
          <w:szCs w:val="28"/>
          <w:highlight w:val="none"/>
        </w:rPr>
      </w:r>
      <w:r/>
    </w:p>
    <w:p>
      <w:pPr>
        <w:spacing w:line="300" w:lineRule="auto"/>
        <w:rPr>
          <w:color w:val="auto"/>
          <w:sz w:val="28"/>
          <w:szCs w:val="28"/>
          <w:highlight w:val="none"/>
        </w:rPr>
      </w:pPr>
      <w:r>
        <w:rPr>
          <w:color w:val="auto"/>
          <w:sz w:val="28"/>
          <w:szCs w:val="28"/>
          <w:highlight w:val="none"/>
        </w:rPr>
      </w:r>
      <w:r/>
    </w:p>
    <w:p>
      <w:pPr>
        <w:spacing w:line="300" w:lineRule="auto"/>
        <w:rPr>
          <w:color w:val="auto"/>
          <w:sz w:val="28"/>
          <w:szCs w:val="28"/>
          <w:highlight w:val="none"/>
        </w:rPr>
      </w:pPr>
      <w:r>
        <w:rPr>
          <w:color w:val="auto"/>
          <w:sz w:val="28"/>
          <w:szCs w:val="28"/>
          <w:highlight w:val="none"/>
        </w:rPr>
      </w:r>
      <w:r/>
    </w:p>
    <w:p>
      <w:pPr>
        <w:spacing w:line="300" w:lineRule="auto"/>
        <w:rPr>
          <w:color w:val="auto"/>
          <w:sz w:val="28"/>
          <w:szCs w:val="28"/>
          <w:highlight w:val="none"/>
        </w:rPr>
      </w:pPr>
      <w:r>
        <w:rPr>
          <w:color w:val="auto"/>
          <w:sz w:val="28"/>
          <w:szCs w:val="28"/>
          <w:highlight w:val="none"/>
        </w:rPr>
      </w:r>
      <w:r/>
    </w:p>
    <w:p>
      <w:pPr>
        <w:spacing w:line="300" w:lineRule="auto"/>
        <w:rPr>
          <w:color w:val="auto"/>
          <w:sz w:val="28"/>
          <w:szCs w:val="28"/>
          <w:highlight w:val="none"/>
        </w:rPr>
      </w:pPr>
      <w:r>
        <w:rPr>
          <w:color w:val="auto"/>
          <w:sz w:val="28"/>
          <w:szCs w:val="28"/>
          <w:highlight w:val="none"/>
        </w:rPr>
      </w:r>
      <w:r/>
    </w:p>
    <w:p>
      <w:pPr>
        <w:spacing w:line="300" w:lineRule="auto"/>
        <w:rPr>
          <w:color w:val="auto"/>
          <w:sz w:val="28"/>
          <w:szCs w:val="28"/>
          <w:highlight w:val="none"/>
        </w:rPr>
      </w:pPr>
      <w:r>
        <w:rPr>
          <w:color w:val="auto"/>
          <w:sz w:val="28"/>
          <w:szCs w:val="28"/>
          <w:highlight w:val="none"/>
        </w:rPr>
      </w:r>
      <w:r/>
    </w:p>
    <w:p>
      <w:pPr>
        <w:spacing w:line="300" w:lineRule="auto"/>
        <w:rPr>
          <w:color w:val="auto"/>
          <w:sz w:val="28"/>
          <w:szCs w:val="28"/>
          <w:highlight w:val="none"/>
        </w:rPr>
      </w:pPr>
      <w:r>
        <w:rPr>
          <w:rFonts w:hint="eastAsia"/>
          <w:color w:val="auto"/>
          <w:sz w:val="28"/>
          <w:szCs w:val="28"/>
          <w:highlight w:val="none"/>
        </w:rPr>
        <w:t xml:space="preserve">注：1、供应商如不提供此声明函，价格将不做相应扣除。</w:t>
      </w:r>
      <w:r/>
    </w:p>
    <w:p>
      <w:pPr>
        <w:ind w:firstLine="560"/>
        <w:spacing w:line="300" w:lineRule="auto"/>
        <w:rPr>
          <w:color w:val="auto"/>
          <w:sz w:val="28"/>
          <w:szCs w:val="28"/>
          <w:highlight w:val="none"/>
        </w:rPr>
      </w:pPr>
      <w:r>
        <w:rPr>
          <w:rFonts w:hint="eastAsia"/>
          <w:color w:val="auto"/>
          <w:sz w:val="28"/>
          <w:szCs w:val="28"/>
          <w:highlight w:val="none"/>
        </w:rPr>
        <w:t xml:space="preserve">2、成交供应商为监狱企业的，此声明函将随成交结果同时公告，</w:t>
      </w:r>
      <w:r/>
    </w:p>
    <w:p>
      <w:pPr>
        <w:spacing w:line="300" w:lineRule="auto"/>
        <w:rPr>
          <w:color w:val="auto"/>
          <w:sz w:val="28"/>
          <w:szCs w:val="28"/>
          <w:highlight w:val="none"/>
        </w:rPr>
      </w:pPr>
      <w:r>
        <w:rPr>
          <w:rFonts w:hint="eastAsia"/>
          <w:color w:val="auto"/>
          <w:sz w:val="28"/>
          <w:szCs w:val="28"/>
          <w:highlight w:val="none"/>
        </w:rPr>
        <w:t xml:space="preserve">接受社会监督。供应商按照本办法规定提供声明函内容不实的，属于</w:t>
      </w:r>
      <w:r/>
    </w:p>
    <w:p>
      <w:pPr>
        <w:spacing w:line="300" w:lineRule="auto"/>
        <w:rPr>
          <w:color w:val="auto"/>
          <w:sz w:val="28"/>
          <w:szCs w:val="28"/>
          <w:highlight w:val="none"/>
        </w:rPr>
      </w:pPr>
      <w:r>
        <w:rPr>
          <w:rFonts w:hint="eastAsia"/>
          <w:color w:val="auto"/>
          <w:sz w:val="28"/>
          <w:szCs w:val="28"/>
          <w:highlight w:val="none"/>
        </w:rPr>
        <w:t xml:space="preserve">提供虚假材料谋取中标、成交，依照《中华人民共和国政府采购法》</w:t>
      </w:r>
      <w:r/>
    </w:p>
    <w:p>
      <w:pPr>
        <w:spacing w:line="300" w:lineRule="auto"/>
        <w:rPr>
          <w:color w:val="auto"/>
          <w:sz w:val="28"/>
          <w:szCs w:val="28"/>
          <w:highlight w:val="none"/>
        </w:rPr>
      </w:pPr>
      <w:r>
        <w:rPr>
          <w:rFonts w:hint="eastAsia"/>
          <w:color w:val="auto"/>
          <w:sz w:val="28"/>
          <w:szCs w:val="28"/>
          <w:highlight w:val="none"/>
        </w:rPr>
        <w:t xml:space="preserve">等国家有关规定追究相应责任。</w:t>
      </w:r>
      <w:r/>
    </w:p>
    <w:p>
      <w:pPr>
        <w:spacing w:line="300" w:lineRule="auto"/>
        <w:rPr>
          <w:color w:val="auto"/>
          <w:sz w:val="28"/>
          <w:szCs w:val="28"/>
          <w:highlight w:val="none"/>
        </w:rPr>
      </w:pPr>
      <w:r>
        <w:rPr>
          <w:color w:val="auto"/>
          <w:sz w:val="28"/>
          <w:szCs w:val="28"/>
          <w:highlight w:val="none"/>
        </w:rPr>
      </w:r>
      <w:r/>
    </w:p>
    <w:p>
      <w:pPr>
        <w:spacing w:line="300" w:lineRule="auto"/>
        <w:rPr>
          <w:color w:val="auto"/>
          <w:sz w:val="28"/>
          <w:szCs w:val="28"/>
          <w:highlight w:val="none"/>
        </w:rPr>
      </w:pPr>
      <w:r>
        <w:rPr>
          <w:color w:val="auto"/>
          <w:sz w:val="28"/>
          <w:szCs w:val="28"/>
          <w:highlight w:val="none"/>
        </w:rPr>
      </w:r>
      <w:r/>
    </w:p>
    <w:p>
      <w:pPr>
        <w:rPr>
          <w:rFonts w:eastAsia="方正黑体_GBK"/>
          <w:bCs/>
          <w:color w:val="auto"/>
          <w:sz w:val="32"/>
          <w:szCs w:val="32"/>
          <w:highlight w:val="none"/>
          <w:lang w:bidi="ar"/>
        </w:rPr>
      </w:pPr>
      <w:r>
        <w:rPr>
          <w:rFonts w:ascii="黑体" w:hAnsi="黑体" w:eastAsia="黑体"/>
          <w:b/>
          <w:color w:val="auto"/>
          <w:sz w:val="32"/>
          <w:szCs w:val="32"/>
          <w:highlight w:val="none"/>
        </w:rPr>
        <w:br w:type="page" w:clear="all"/>
      </w:r>
      <w:r>
        <w:rPr>
          <w:rFonts w:eastAsia="方正黑体_GBK"/>
          <w:bCs/>
          <w:color w:val="auto"/>
          <w:sz w:val="32"/>
          <w:szCs w:val="32"/>
          <w:highlight w:val="none"/>
          <w:lang w:bidi="ar"/>
        </w:rPr>
        <w:t xml:space="preserve">附件1</w:t>
      </w:r>
      <w:r>
        <w:rPr>
          <w:rFonts w:hint="eastAsia" w:eastAsia="方正黑体_GBK"/>
          <w:bCs/>
          <w:color w:val="auto"/>
          <w:sz w:val="32"/>
          <w:szCs w:val="32"/>
          <w:highlight w:val="none"/>
          <w:lang w:bidi="ar"/>
        </w:rPr>
        <w:t xml:space="preserve">3</w:t>
      </w:r>
      <w:r/>
    </w:p>
    <w:p>
      <w:pPr>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联合体协议（参考格式）（分包号：**）</w:t>
      </w:r>
      <w:r/>
    </w:p>
    <w:p>
      <w:pPr>
        <w:pStyle w:val="844"/>
        <w:rPr>
          <w:color w:val="auto"/>
          <w:highlight w:val="none"/>
        </w:rPr>
      </w:pPr>
      <w:r>
        <w:rPr>
          <w:color w:val="auto"/>
          <w:highlight w:val="none"/>
        </w:rPr>
      </w:r>
      <w:r/>
    </w:p>
    <w:p>
      <w:pPr>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（联合体中各供应商全称）在此达成以下协议：</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自愿组成联合体，参加采购人组织的采购编号为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项目（分包号：**）的政府采购活动，我联合体指定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r>
      <w:r/>
    </w:p>
    <w:p>
      <w:pPr>
        <w:ind w:firstLine="645"/>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备注：本磋商文件中要求加盖CA电子签章的地方，仅需加盖牵头单位的CA电子签章。</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5"/>
        <w:jc w:val="right"/>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5"/>
        <w:spacing w:line="560" w:lineRule="exact"/>
        <w:rPr>
          <w:rFonts w:ascii="宋体" w:hAnsi="宋体"/>
          <w:color w:val="auto"/>
          <w:sz w:val="24"/>
          <w:szCs w:val="24"/>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rPr>
          <w:rFonts w:hint="eastAsia" w:ascii="宋体" w:hAnsi="宋体"/>
          <w:color w:val="auto"/>
          <w:sz w:val="24"/>
          <w:szCs w:val="24"/>
          <w:highlight w:val="none"/>
        </w:rPr>
        <w:t xml:space="preserve"> </w:t>
      </w:r>
      <w:r/>
    </w:p>
    <w:p>
      <w:pPr>
        <w:ind w:firstLine="480"/>
        <w:jc w:val="left"/>
        <w:spacing w:line="56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备注：本项目不接受联合体</w:t>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spacing w:line="520" w:lineRule="exact"/>
        <w:rPr>
          <w:rFonts w:eastAsia="方正黑体_GBK"/>
          <w:color w:val="auto"/>
          <w:sz w:val="32"/>
          <w:szCs w:val="32"/>
          <w:highlight w:val="none"/>
        </w:rPr>
      </w:pPr>
      <w:r>
        <w:rPr>
          <w:rFonts w:eastAsia="方正黑体_GBK"/>
          <w:color w:val="auto"/>
          <w:sz w:val="32"/>
          <w:szCs w:val="32"/>
          <w:highlight w:val="none"/>
        </w:rPr>
        <w:t xml:space="preserve">附件1</w:t>
      </w:r>
      <w:r>
        <w:rPr>
          <w:rFonts w:hint="eastAsia" w:eastAsia="方正黑体_GBK"/>
          <w:color w:val="auto"/>
          <w:sz w:val="32"/>
          <w:szCs w:val="32"/>
          <w:highlight w:val="none"/>
        </w:rPr>
        <w:t xml:space="preserve">4</w:t>
      </w:r>
      <w:r/>
    </w:p>
    <w:p>
      <w:pPr>
        <w:jc w:val="center"/>
        <w:spacing w:line="520" w:lineRule="exact"/>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52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bookmarkEnd w:id="184"/>
      <w:bookmarkEnd w:id="185"/>
      <w:bookmarkEnd w:id="202"/>
      <w:r/>
    </w:p>
    <w:p>
      <w:pPr>
        <w:spacing w:line="300" w:lineRule="auto"/>
        <w:rPr>
          <w:rFonts w:ascii="仿宋_GB2312" w:eastAsia="仿宋_GB2312"/>
          <w:b/>
          <w:color w:val="auto"/>
          <w:sz w:val="32"/>
          <w:szCs w:val="32"/>
          <w:highlight w:val="none"/>
        </w:rPr>
      </w:pPr>
      <w:r>
        <w:rPr>
          <w:rFonts w:eastAsia="方正黑体_GBK"/>
          <w:color w:val="auto"/>
          <w:sz w:val="32"/>
          <w:szCs w:val="32"/>
          <w:highlight w:val="none"/>
        </w:rPr>
        <w:t xml:space="preserve">附件</w:t>
      </w:r>
      <w:r>
        <w:rPr>
          <w:rFonts w:hint="eastAsia" w:eastAsia="方正黑体_GBK"/>
          <w:color w:val="auto"/>
          <w:sz w:val="32"/>
          <w:szCs w:val="32"/>
          <w:highlight w:val="none"/>
        </w:rPr>
        <w:t xml:space="preserve">15</w:t>
      </w:r>
      <w:r/>
    </w:p>
    <w:p>
      <w:pPr>
        <w:jc w:val="center"/>
        <w:spacing w:line="580" w:lineRule="exact"/>
        <w:rPr>
          <w:rFonts w:ascii="方正小标宋简体" w:eastAsia="方正小标宋简体"/>
          <w:color w:val="auto"/>
          <w:sz w:val="44"/>
          <w:highlight w:val="none"/>
        </w:rPr>
      </w:pPr>
      <w:r>
        <w:rPr>
          <w:rFonts w:hint="eastAsia" w:eastAsia="方正大标宋_GBK"/>
          <w:bCs/>
          <w:color w:val="auto"/>
          <w:sz w:val="44"/>
          <w:szCs w:val="44"/>
          <w:highlight w:val="none"/>
        </w:rPr>
        <w:t xml:space="preserve">办理政采贷和</w:t>
      </w:r>
      <w:r>
        <w:rPr>
          <w:rFonts w:eastAsia="方正大标宋_GBK"/>
          <w:bCs/>
          <w:color w:val="auto"/>
          <w:sz w:val="44"/>
          <w:szCs w:val="44"/>
          <w:highlight w:val="none"/>
        </w:rPr>
        <w:t xml:space="preserve">履</w:t>
      </w:r>
      <w:r>
        <w:rPr>
          <w:rFonts w:hint="eastAsia" w:eastAsia="方正大标宋_GBK"/>
          <w:bCs/>
          <w:color w:val="auto"/>
          <w:sz w:val="44"/>
          <w:szCs w:val="44"/>
          <w:highlight w:val="none"/>
        </w:rPr>
        <w:t xml:space="preserve">约保函（</w:t>
      </w:r>
      <w:r>
        <w:rPr>
          <w:rFonts w:eastAsia="方正大标宋_GBK"/>
          <w:bCs/>
          <w:color w:val="auto"/>
          <w:sz w:val="44"/>
          <w:szCs w:val="44"/>
          <w:highlight w:val="none"/>
        </w:rPr>
        <w:t xml:space="preserve">保险</w:t>
      </w:r>
      <w:r>
        <w:rPr>
          <w:rFonts w:hint="eastAsia" w:eastAsia="方正大标宋_GBK"/>
          <w:bCs/>
          <w:color w:val="auto"/>
          <w:sz w:val="44"/>
          <w:szCs w:val="44"/>
          <w:highlight w:val="none"/>
        </w:rPr>
        <w:t xml:space="preserve">）告知函</w:t>
      </w:r>
      <w:r/>
    </w:p>
    <w:p>
      <w:pPr>
        <w:rPr>
          <w:rFonts w:eastAsia="仿宋_GB2312"/>
          <w:color w:val="auto"/>
          <w:sz w:val="32"/>
          <w:highlight w:val="none"/>
        </w:rPr>
      </w:pPr>
      <w:r>
        <w:rPr>
          <w:rFonts w:eastAsia="仿宋_GB2312"/>
          <w:color w:val="auto"/>
          <w:sz w:val="32"/>
          <w:highlight w:val="none"/>
        </w:rPr>
      </w:r>
      <w:r/>
    </w:p>
    <w:p>
      <w:pPr>
        <w:rPr>
          <w:rFonts w:eastAsia="仿宋_GB2312"/>
          <w:color w:val="auto"/>
          <w:sz w:val="32"/>
          <w:highlight w:val="none"/>
        </w:rPr>
      </w:pPr>
      <w:r>
        <w:rPr>
          <w:rFonts w:hint="eastAsia" w:eastAsia="仿宋_GB2312"/>
          <w:color w:val="auto"/>
          <w:sz w:val="32"/>
          <w:highlight w:val="none"/>
        </w:rPr>
        <w:t xml:space="preserve">各政府采购供应商：</w:t>
      </w:r>
      <w:r/>
    </w:p>
    <w:p>
      <w:pPr>
        <w:ind w:firstLine="640"/>
        <w:rPr>
          <w:rFonts w:eastAsia="仿宋_GB2312"/>
          <w:color w:val="auto"/>
          <w:sz w:val="32"/>
          <w:highlight w:val="none"/>
        </w:rPr>
      </w:pPr>
      <w:r>
        <w:rPr>
          <w:rFonts w:hint="eastAsia" w:eastAsia="仿宋_GB2312"/>
          <w:color w:val="auto"/>
          <w:sz w:val="32"/>
          <w:highlight w:val="none"/>
        </w:rPr>
        <w:t xml:space="preserve">欢迎贵公司参与南通市政府采购活动！</w:t>
      </w:r>
      <w:r/>
    </w:p>
    <w:p>
      <w:pPr>
        <w:ind w:firstLine="640"/>
        <w:rPr>
          <w:rFonts w:eastAsia="仿宋_GB2312"/>
          <w:color w:val="auto"/>
          <w:sz w:val="32"/>
          <w:highlight w:val="none"/>
        </w:rPr>
      </w:pPr>
      <w:r>
        <w:rPr>
          <w:rFonts w:hint="eastAsia" w:eastAsia="仿宋_GB2312"/>
          <w:color w:val="auto"/>
          <w:sz w:val="32"/>
          <w:highlight w:val="none"/>
        </w:rPr>
        <w:t xml:space="preserve">政府采购线上合同信用融资和</w:t>
      </w:r>
      <w:r>
        <w:rPr>
          <w:rFonts w:eastAsia="仿宋_GB2312"/>
          <w:color w:val="auto"/>
          <w:sz w:val="32"/>
          <w:highlight w:val="none"/>
        </w:rPr>
        <w:t xml:space="preserve">履</w:t>
      </w:r>
      <w:r>
        <w:rPr>
          <w:rFonts w:hint="eastAsia" w:eastAsia="仿宋_GB2312"/>
          <w:color w:val="auto"/>
          <w:sz w:val="32"/>
          <w:highlight w:val="none"/>
        </w:rPr>
        <w:t xml:space="preserve">约保函（</w:t>
      </w:r>
      <w:r>
        <w:rPr>
          <w:rFonts w:eastAsia="仿宋_GB2312"/>
          <w:color w:val="auto"/>
          <w:sz w:val="32"/>
          <w:highlight w:val="none"/>
        </w:rPr>
        <w:t xml:space="preserve">保险</w:t>
      </w:r>
      <w:r>
        <w:rPr>
          <w:rFonts w:hint="eastAsia" w:eastAsia="仿宋_GB2312"/>
          <w:color w:val="auto"/>
          <w:sz w:val="32"/>
          <w:highlight w:val="none"/>
        </w:rPr>
        <w:t xml:space="preserve">）是支持企业发展，针对参与政府采购活动的企业融资难、现金流不足等问题推出的一项服务举措。</w:t>
      </w:r>
      <w:r/>
    </w:p>
    <w:p>
      <w:pPr>
        <w:ind w:firstLine="640"/>
        <w:spacing w:line="580" w:lineRule="exact"/>
        <w:rPr>
          <w:rFonts w:eastAsia="仿宋_GB2312"/>
          <w:color w:val="auto"/>
          <w:sz w:val="32"/>
          <w:highlight w:val="none"/>
        </w:rPr>
      </w:pPr>
      <w:r>
        <w:rPr>
          <w:rFonts w:hint="eastAsia" w:eastAsia="仿宋_GB2312"/>
          <w:color w:val="auto"/>
          <w:sz w:val="32"/>
          <w:highlight w:val="none"/>
        </w:rPr>
        <w:t xml:space="preserve">贵公司若成为本次政府采购项目的中标（成交）供应商，</w:t>
      </w:r>
      <w:r>
        <w:rPr>
          <w:rFonts w:hint="eastAsia" w:ascii="仿宋_GB2312" w:eastAsia="仿宋_GB2312"/>
          <w:color w:val="auto"/>
          <w:sz w:val="32"/>
          <w:szCs w:val="32"/>
          <w:highlight w:val="none"/>
        </w:rPr>
        <w:t xml:space="preserve">可自愿选择</w:t>
      </w:r>
      <w:r>
        <w:rPr>
          <w:rFonts w:eastAsia="仿宋_GB2312"/>
          <w:color w:val="auto"/>
          <w:sz w:val="32"/>
          <w:highlight w:val="none"/>
        </w:rPr>
        <w:t xml:space="preserve">履</w:t>
      </w:r>
      <w:r>
        <w:rPr>
          <w:rFonts w:hint="eastAsia" w:eastAsia="仿宋_GB2312"/>
          <w:color w:val="auto"/>
          <w:sz w:val="32"/>
          <w:highlight w:val="none"/>
        </w:rPr>
        <w:t xml:space="preserve">约保函（</w:t>
      </w:r>
      <w:r>
        <w:rPr>
          <w:rFonts w:eastAsia="仿宋_GB2312"/>
          <w:color w:val="auto"/>
          <w:sz w:val="32"/>
          <w:highlight w:val="none"/>
        </w:rPr>
        <w:t xml:space="preserve">保险</w:t>
      </w:r>
      <w:r>
        <w:rPr>
          <w:rFonts w:hint="eastAsia" w:eastAsia="仿宋_GB2312"/>
          <w:color w:val="auto"/>
          <w:sz w:val="32"/>
          <w:highlight w:val="none"/>
        </w:rPr>
        <w:t xml:space="preserve">）</w:t>
      </w:r>
      <w:r>
        <w:rPr>
          <w:rFonts w:hint="eastAsia" w:ascii="仿宋_GB2312" w:eastAsia="仿宋_GB2312"/>
          <w:color w:val="auto"/>
          <w:sz w:val="32"/>
          <w:szCs w:val="32"/>
          <w:highlight w:val="none"/>
        </w:rPr>
        <w:t xml:space="preserve">形式替代履约保证金，也</w:t>
      </w:r>
      <w:r>
        <w:rPr>
          <w:rFonts w:hint="eastAsia" w:eastAsia="仿宋_GB2312"/>
          <w:color w:val="auto"/>
          <w:sz w:val="3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781"/>
        <w:ind w:firstLine="640"/>
        <w:rPr>
          <w:rFonts w:eastAsia="仿宋_GB2312"/>
          <w:color w:val="auto"/>
          <w:sz w:val="32"/>
          <w:highlight w:val="none"/>
        </w:rPr>
      </w:pPr>
      <w:r>
        <w:rPr>
          <w:rFonts w:eastAsia="仿宋_GB2312"/>
          <w:color w:val="auto"/>
          <w:sz w:val="32"/>
          <w:highlight w:val="none"/>
        </w:rPr>
      </w:r>
      <w:r/>
    </w:p>
    <w:p>
      <w:pPr>
        <w:pStyle w:val="781"/>
        <w:ind w:firstLine="640"/>
        <w:rPr>
          <w:rFonts w:eastAsia="仿宋_GB2312"/>
          <w:color w:val="auto"/>
          <w:sz w:val="32"/>
          <w:highlight w:val="none"/>
        </w:rPr>
      </w:pPr>
      <w:r>
        <w:rPr>
          <w:rFonts w:eastAsia="仿宋_GB2312"/>
          <w:color w:val="auto"/>
          <w:sz w:val="32"/>
          <w:highlight w:val="none"/>
        </w:rPr>
      </w:r>
      <w:r/>
    </w:p>
    <w:p>
      <w:pPr>
        <w:pStyle w:val="781"/>
        <w:ind w:firstLine="640"/>
        <w:rPr>
          <w:rFonts w:eastAsia="仿宋_GB2312"/>
          <w:color w:val="auto"/>
          <w:sz w:val="32"/>
          <w:highlight w:val="none"/>
        </w:rPr>
      </w:pPr>
      <w:r>
        <w:rPr>
          <w:rFonts w:eastAsia="仿宋_GB2312"/>
          <w:color w:val="auto"/>
          <w:sz w:val="32"/>
          <w:highlight w:val="none"/>
        </w:rPr>
      </w:r>
      <w:r/>
    </w:p>
    <w:p>
      <w:pPr>
        <w:pStyle w:val="781"/>
        <w:ind w:firstLine="640"/>
        <w:rPr>
          <w:rFonts w:eastAsia="仿宋_GB2312"/>
          <w:color w:val="auto"/>
          <w:sz w:val="32"/>
          <w:highlight w:val="none"/>
        </w:rPr>
      </w:pPr>
      <w:r>
        <w:rPr>
          <w:rFonts w:eastAsia="仿宋_GB2312"/>
          <w:color w:val="auto"/>
          <w:sz w:val="32"/>
          <w:highlight w:val="none"/>
        </w:rPr>
      </w:r>
      <w:r/>
    </w:p>
    <w:p>
      <w:pPr>
        <w:pStyle w:val="781"/>
        <w:ind w:firstLine="640"/>
        <w:rPr>
          <w:rFonts w:eastAsia="仿宋_GB2312"/>
          <w:color w:val="auto"/>
          <w:sz w:val="32"/>
          <w:highlight w:val="none"/>
        </w:rPr>
      </w:pPr>
      <w:r>
        <w:rPr>
          <w:rFonts w:eastAsia="仿宋_GB2312"/>
          <w:color w:val="auto"/>
          <w:sz w:val="32"/>
          <w:highlight w:val="none"/>
        </w:rPr>
      </w:r>
      <w:r/>
    </w:p>
    <w:p>
      <w:pPr>
        <w:pStyle w:val="781"/>
        <w:ind w:firstLine="640"/>
        <w:rPr>
          <w:rFonts w:eastAsia="仿宋_GB2312"/>
          <w:color w:val="auto"/>
          <w:sz w:val="32"/>
          <w:highlight w:val="none"/>
        </w:rPr>
      </w:pPr>
      <w:r>
        <w:rPr>
          <w:rFonts w:eastAsia="仿宋_GB2312"/>
          <w:color w:val="auto"/>
          <w:sz w:val="32"/>
          <w:highlight w:val="none"/>
        </w:rPr>
      </w:r>
      <w:r/>
    </w:p>
    <w:p>
      <w:pPr>
        <w:pStyle w:val="781"/>
        <w:ind w:firstLine="640"/>
        <w:rPr>
          <w:rFonts w:eastAsia="仿宋_GB2312"/>
          <w:color w:val="auto"/>
          <w:sz w:val="32"/>
          <w:highlight w:val="none"/>
        </w:rPr>
      </w:pPr>
      <w:r>
        <w:rPr>
          <w:rFonts w:eastAsia="仿宋_GB2312"/>
          <w:color w:val="auto"/>
          <w:sz w:val="32"/>
          <w:highlight w:val="none"/>
        </w:rPr>
      </w:r>
      <w:r/>
    </w:p>
    <w:p>
      <w:pPr>
        <w:pStyle w:val="781"/>
        <w:ind w:firstLine="640"/>
        <w:rPr>
          <w:rFonts w:eastAsia="仿宋_GB2312"/>
          <w:color w:val="auto"/>
          <w:sz w:val="32"/>
          <w:highlight w:val="none"/>
        </w:rPr>
      </w:pPr>
      <w:r>
        <w:rPr>
          <w:rFonts w:eastAsia="仿宋_GB2312"/>
          <w:color w:val="auto"/>
          <w:sz w:val="32"/>
          <w:highlight w:val="none"/>
        </w:rPr>
      </w:r>
      <w:r/>
    </w:p>
    <w:p>
      <w:pPr>
        <w:pStyle w:val="781"/>
        <w:ind w:firstLine="640"/>
        <w:rPr>
          <w:rFonts w:eastAsia="仿宋_GB2312"/>
          <w:color w:val="auto"/>
          <w:sz w:val="32"/>
          <w:highlight w:val="none"/>
        </w:rPr>
      </w:pPr>
      <w:r>
        <w:rPr>
          <w:rFonts w:eastAsia="仿宋_GB2312"/>
          <w:color w:val="auto"/>
          <w:sz w:val="32"/>
          <w:highlight w:val="none"/>
        </w:rPr>
      </w:r>
      <w:r/>
    </w:p>
    <w:p>
      <w:pPr>
        <w:spacing w:line="300" w:lineRule="auto"/>
        <w:rPr>
          <w:rFonts w:eastAsia="方正黑体_GBK"/>
          <w:color w:val="auto"/>
          <w:sz w:val="32"/>
          <w:szCs w:val="32"/>
          <w:highlight w:val="none"/>
        </w:rPr>
      </w:pPr>
      <w:r>
        <w:rPr>
          <w:rFonts w:hint="eastAsia" w:eastAsia="方正黑体_GBK"/>
          <w:color w:val="auto"/>
          <w:sz w:val="32"/>
          <w:szCs w:val="32"/>
          <w:highlight w:val="none"/>
        </w:rPr>
        <w:t xml:space="preserve">附件16：</w:t>
      </w:r>
      <w:r/>
    </w:p>
    <w:tbl>
      <w:tblPr>
        <w:tblStyle w:val="7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042"/>
        <w:gridCol w:w="1108"/>
        <w:gridCol w:w="1326"/>
        <w:gridCol w:w="1570"/>
        <w:gridCol w:w="578"/>
        <w:gridCol w:w="1196"/>
        <w:gridCol w:w="1462"/>
      </w:tblGrid>
      <w:tr>
        <w:trPr>
          <w:trHeight w:val="738"/>
        </w:trPr>
        <w:tc>
          <w:tcPr>
            <w:gridSpan w:val="8"/>
            <w:tcW w:w="5000" w:type="pct"/>
            <w:vAlign w:val="center"/>
            <w:textDirection w:val="lrTb"/>
            <w:noWrap w:val="false"/>
          </w:tcPr>
          <w:p>
            <w:pPr>
              <w:jc w:val="center"/>
              <w:spacing w:line="300" w:lineRule="auto"/>
              <w:rPr>
                <w:rFonts w:ascii="宋体" w:hAnsi="宋体" w:cs="宋体"/>
                <w:bCs/>
                <w:color w:val="auto"/>
                <w:sz w:val="24"/>
                <w:szCs w:val="24"/>
                <w:highlight w:val="none"/>
              </w:rPr>
            </w:pPr>
            <w:r>
              <w:rPr>
                <w:rFonts w:hint="eastAsia" w:ascii="宋体" w:hAnsi="宋体" w:cs="宋体"/>
                <w:b/>
                <w:color w:val="auto"/>
                <w:sz w:val="30"/>
                <w:szCs w:val="30"/>
                <w:highlight w:val="none"/>
              </w:rPr>
              <w:t xml:space="preserve">检验项目响应表</w:t>
            </w:r>
            <w:r/>
          </w:p>
        </w:tc>
      </w:tr>
      <w:tr>
        <w:trPr>
          <w:trHeight w:val="738"/>
        </w:trPr>
        <w:tc>
          <w:tcPr>
            <w:gridSpan w:val="2"/>
            <w:tcW w:w="1053" w:type="pct"/>
            <w:vAlign w:val="center"/>
            <w:textDirection w:val="lrTb"/>
            <w:noWrap w:val="false"/>
          </w:tcPr>
          <w:p>
            <w:pPr>
              <w:jc w:val="center"/>
              <w:spacing w:line="300" w:lineRule="auto"/>
              <w:rPr>
                <w:rFonts w:ascii="宋体" w:hAnsi="宋体" w:cs="宋体"/>
                <w:b/>
                <w:color w:val="auto"/>
                <w:sz w:val="30"/>
                <w:szCs w:val="30"/>
                <w:highlight w:val="none"/>
              </w:rPr>
            </w:pPr>
            <w:r>
              <w:rPr>
                <w:rFonts w:hint="eastAsia" w:hAnsi="宋体" w:cs="宋体"/>
                <w:bCs/>
                <w:color w:val="auto"/>
                <w:sz w:val="24"/>
                <w:szCs w:val="24"/>
                <w:highlight w:val="none"/>
              </w:rPr>
              <w:t xml:space="preserve">供应商名称：</w:t>
            </w:r>
            <w:r/>
          </w:p>
        </w:tc>
        <w:tc>
          <w:tcPr>
            <w:gridSpan w:val="2"/>
            <w:tcW w:w="1327" w:type="pct"/>
            <w:vAlign w:val="center"/>
            <w:textDirection w:val="lrTb"/>
            <w:noWrap w:val="false"/>
          </w:tcPr>
          <w:p>
            <w:pPr>
              <w:jc w:val="center"/>
              <w:spacing w:line="300" w:lineRule="auto"/>
              <w:rPr>
                <w:rFonts w:ascii="宋体" w:hAnsi="宋体" w:cs="宋体"/>
                <w:b/>
                <w:color w:val="auto"/>
                <w:sz w:val="30"/>
                <w:szCs w:val="30"/>
                <w:highlight w:val="none"/>
              </w:rPr>
            </w:pPr>
            <w:r>
              <w:rPr>
                <w:rFonts w:ascii="宋体" w:hAnsi="宋体" w:cs="宋体"/>
                <w:b/>
                <w:color w:val="auto"/>
                <w:sz w:val="30"/>
                <w:szCs w:val="30"/>
                <w:highlight w:val="none"/>
              </w:rPr>
            </w:r>
            <w:r/>
          </w:p>
        </w:tc>
        <w:tc>
          <w:tcPr>
            <w:tcW w:w="856" w:type="pct"/>
            <w:vAlign w:val="center"/>
            <w:textDirection w:val="lrTb"/>
            <w:noWrap w:val="false"/>
          </w:tcPr>
          <w:p>
            <w:pPr>
              <w:jc w:val="center"/>
              <w:spacing w:line="300" w:lineRule="auto"/>
              <w:rPr>
                <w:rFonts w:ascii="宋体" w:hAnsi="宋体" w:cs="宋体"/>
                <w:b/>
                <w:color w:val="auto"/>
                <w:sz w:val="30"/>
                <w:szCs w:val="30"/>
                <w:highlight w:val="none"/>
              </w:rPr>
            </w:pPr>
            <w:r>
              <w:rPr>
                <w:rFonts w:hint="eastAsia" w:ascii="宋体" w:hAnsi="宋体" w:cs="宋体"/>
                <w:bCs/>
                <w:color w:val="auto"/>
                <w:sz w:val="24"/>
                <w:szCs w:val="24"/>
                <w:highlight w:val="none"/>
                <w:lang w:bidi="ar"/>
              </w:rPr>
              <w:t xml:space="preserve">项目名称：</w:t>
            </w:r>
            <w:r/>
          </w:p>
        </w:tc>
        <w:tc>
          <w:tcPr>
            <w:gridSpan w:val="3"/>
            <w:tcW w:w="1763" w:type="pct"/>
            <w:vAlign w:val="center"/>
            <w:textDirection w:val="lrTb"/>
            <w:noWrap w:val="false"/>
          </w:tcPr>
          <w:p>
            <w:pPr>
              <w:jc w:val="center"/>
              <w:spacing w:line="300" w:lineRule="auto"/>
              <w:rPr>
                <w:rFonts w:ascii="宋体" w:hAnsi="宋体" w:cs="宋体"/>
                <w:b/>
                <w:color w:val="auto"/>
                <w:sz w:val="30"/>
                <w:szCs w:val="30"/>
                <w:highlight w:val="none"/>
              </w:rPr>
            </w:pPr>
            <w:r>
              <w:rPr>
                <w:rFonts w:ascii="宋体" w:hAnsi="宋体" w:cs="宋体"/>
                <w:b/>
                <w:color w:val="auto"/>
                <w:sz w:val="30"/>
                <w:szCs w:val="30"/>
                <w:highlight w:val="none"/>
              </w:rPr>
            </w:r>
            <w:r/>
          </w:p>
        </w:tc>
      </w:tr>
      <w:tr>
        <w:trPr>
          <w:trHeight w:val="738"/>
        </w:trPr>
        <w:tc>
          <w:tcPr>
            <w:gridSpan w:val="2"/>
            <w:tcW w:w="1053" w:type="pct"/>
            <w:vAlign w:val="center"/>
            <w:textDirection w:val="lrTb"/>
            <w:noWrap w:val="false"/>
          </w:tcPr>
          <w:p>
            <w:pPr>
              <w:jc w:val="center"/>
              <w:spacing w:line="300" w:lineRule="auto"/>
              <w:rPr>
                <w:rFonts w:ascii="宋体" w:hAnsi="宋体" w:cs="宋体"/>
                <w:b/>
                <w:color w:val="auto"/>
                <w:sz w:val="30"/>
                <w:szCs w:val="30"/>
                <w:highlight w:val="none"/>
              </w:rPr>
            </w:pPr>
            <w:r>
              <w:rPr>
                <w:rFonts w:hint="eastAsia" w:ascii="宋体" w:hAnsi="宋体" w:cs="宋体"/>
                <w:bCs/>
                <w:color w:val="auto"/>
                <w:sz w:val="24"/>
                <w:szCs w:val="24"/>
                <w:highlight w:val="none"/>
                <w:lang w:bidi="ar"/>
              </w:rPr>
              <w:t xml:space="preserve">项目编</w:t>
            </w:r>
            <w:r>
              <w:rPr>
                <w:rFonts w:hint="eastAsia" w:ascii="宋体" w:hAnsi="宋体" w:cs="宋体"/>
                <w:bCs/>
                <w:color w:val="auto"/>
                <w:sz w:val="24"/>
                <w:szCs w:val="24"/>
                <w:highlight w:val="none"/>
              </w:rPr>
              <w:t xml:space="preserve">号：</w:t>
            </w:r>
            <w:r/>
          </w:p>
        </w:tc>
        <w:tc>
          <w:tcPr>
            <w:gridSpan w:val="6"/>
            <w:tcW w:w="3946" w:type="pct"/>
            <w:vAlign w:val="center"/>
            <w:textDirection w:val="lrTb"/>
            <w:noWrap w:val="false"/>
          </w:tcPr>
          <w:p>
            <w:pPr>
              <w:jc w:val="center"/>
              <w:spacing w:line="300" w:lineRule="auto"/>
              <w:rPr>
                <w:rFonts w:ascii="宋体" w:hAnsi="宋体" w:cs="宋体"/>
                <w:b/>
                <w:color w:val="auto"/>
                <w:sz w:val="30"/>
                <w:szCs w:val="30"/>
                <w:highlight w:val="none"/>
              </w:rPr>
            </w:pPr>
            <w:r>
              <w:rPr>
                <w:rFonts w:ascii="宋体" w:hAnsi="宋体" w:cs="宋体"/>
                <w:b/>
                <w:color w:val="auto"/>
                <w:sz w:val="30"/>
                <w:szCs w:val="30"/>
                <w:highlight w:val="none"/>
              </w:rPr>
            </w:r>
            <w:r/>
          </w:p>
        </w:tc>
      </w:tr>
      <w:tr>
        <w:trPr>
          <w:trHeight w:val="738"/>
        </w:trPr>
        <w:tc>
          <w:tcPr>
            <w:gridSpan w:val="7"/>
            <w:tcW w:w="4203" w:type="pct"/>
            <w:vAlign w:val="center"/>
            <w:textDirection w:val="lrTb"/>
            <w:noWrap w:val="false"/>
          </w:tcPr>
          <w:p>
            <w:pPr>
              <w:pStyle w:val="743"/>
              <w:rPr>
                <w:rFonts w:hint="default" w:hAnsi="宋体" w:cs="宋体"/>
                <w:b/>
                <w:color w:val="auto"/>
                <w:sz w:val="22"/>
                <w:szCs w:val="22"/>
                <w:highlight w:val="none"/>
                <w:lang w:bidi="ar"/>
              </w:rPr>
            </w:pPr>
            <w:r>
              <w:rPr>
                <w:rFonts w:hAnsi="宋体" w:cs="宋体"/>
                <w:bCs/>
                <w:color w:val="auto"/>
                <w:highlight w:val="none"/>
              </w:rPr>
              <w:t xml:space="preserve">CMA附表对《食品安全监督抽检实施细则》（</w:t>
            </w:r>
            <w:r>
              <w:rPr>
                <w:rFonts w:hint="eastAsia" w:hAnsi="宋体" w:cs="宋体"/>
                <w:bCs/>
                <w:color w:val="auto"/>
                <w:highlight w:val="none"/>
                <w:lang w:val="en-US" w:eastAsia="zh-CN"/>
              </w:rPr>
              <w:t xml:space="preserve">最新</w:t>
            </w:r>
            <w:r>
              <w:rPr>
                <w:rFonts w:hAnsi="宋体" w:cs="宋体"/>
                <w:bCs/>
                <w:color w:val="auto"/>
                <w:highlight w:val="none"/>
              </w:rPr>
              <w:t xml:space="preserve">版）覆盖率为：</w:t>
            </w:r>
            <w:r/>
          </w:p>
        </w:tc>
        <w:tc>
          <w:tcPr>
            <w:tcW w:w="796" w:type="pct"/>
            <w:vAlign w:val="center"/>
            <w:textDirection w:val="lrTb"/>
            <w:noWrap w:val="false"/>
          </w:tcPr>
          <w:p>
            <w:pPr>
              <w:pStyle w:val="743"/>
              <w:rPr>
                <w:rFonts w:hint="default" w:hAnsi="宋体" w:cs="宋体"/>
                <w:bCs/>
                <w:color w:val="auto"/>
                <w:highlight w:val="none"/>
              </w:rPr>
            </w:pPr>
            <w:r>
              <w:rPr>
                <w:rFonts w:hAnsi="宋体" w:cs="宋体"/>
                <w:bCs/>
                <w:color w:val="auto"/>
                <w:highlight w:val="none"/>
                <w:u w:val="single"/>
              </w:rPr>
              <w:t xml:space="preserve">       </w:t>
            </w:r>
            <w:r>
              <w:rPr>
                <w:rFonts w:hAnsi="宋体" w:cs="宋体"/>
                <w:bCs/>
                <w:color w:val="auto"/>
                <w:highlight w:val="none"/>
              </w:rPr>
              <w:t xml:space="preserve">%</w:t>
            </w:r>
            <w:r/>
          </w:p>
        </w:tc>
      </w:tr>
      <w:tr>
        <w:trPr>
          <w:trHeight w:val="300"/>
        </w:trPr>
        <w:tc>
          <w:tcPr>
            <w:gridSpan w:val="8"/>
            <w:tcW w:w="5000" w:type="pct"/>
            <w:vAlign w:val="center"/>
            <w:textDirection w:val="lrTb"/>
            <w:noWrap w:val="false"/>
          </w:tcPr>
          <w:p>
            <w:pPr>
              <w:jc w:val="center"/>
              <w:widowControl/>
              <w:rPr>
                <w:rFonts w:ascii="宋体" w:hAnsi="宋体" w:cs="宋体"/>
                <w:b/>
                <w:color w:val="auto"/>
                <w:sz w:val="22"/>
                <w:highlight w:val="none"/>
                <w:lang w:bidi="ar"/>
              </w:rPr>
            </w:pPr>
            <w:r>
              <w:rPr>
                <w:rFonts w:hint="eastAsia" w:ascii="宋体" w:hAnsi="宋体" w:cs="宋体"/>
                <w:b/>
                <w:color w:val="auto"/>
                <w:sz w:val="22"/>
                <w:highlight w:val="none"/>
                <w:lang w:bidi="ar"/>
              </w:rPr>
              <w:t xml:space="preserve">检验项目响应表</w:t>
            </w:r>
            <w:r/>
          </w:p>
        </w:tc>
      </w:tr>
      <w:tr>
        <w:trPr>
          <w:trHeight w:val="1140"/>
        </w:trPr>
        <w:tc>
          <w:tcPr>
            <w:tcW w:w="484" w:type="pct"/>
            <w:vAlign w:val="center"/>
            <w:textDirection w:val="lrTb"/>
            <w:noWrap w:val="false"/>
          </w:tcPr>
          <w:p>
            <w:pPr>
              <w:ind w:left="-78" w:right="-78"/>
              <w:jc w:val="center"/>
              <w:widowControl/>
              <w:rPr>
                <w:rFonts w:ascii="宋体" w:hAnsi="宋体" w:cs="宋体"/>
                <w:bCs/>
                <w:color w:val="auto"/>
                <w:sz w:val="22"/>
                <w:highlight w:val="none"/>
              </w:rPr>
            </w:pPr>
            <w:r>
              <w:rPr>
                <w:rFonts w:hint="eastAsia" w:ascii="宋体" w:hAnsi="宋体" w:cs="宋体"/>
                <w:bCs/>
                <w:color w:val="auto"/>
                <w:sz w:val="22"/>
                <w:highlight w:val="none"/>
                <w:lang w:bidi="ar"/>
              </w:rPr>
              <w:t xml:space="preserve">序号</w:t>
            </w:r>
            <w:r/>
          </w:p>
        </w:tc>
        <w:tc>
          <w:tcPr>
            <w:gridSpan w:val="2"/>
            <w:tcW w:w="1173" w:type="pct"/>
            <w:vAlign w:val="center"/>
            <w:textDirection w:val="lrTb"/>
            <w:noWrap w:val="false"/>
          </w:tcPr>
          <w:p>
            <w:pPr>
              <w:jc w:val="center"/>
              <w:widowControl/>
              <w:rPr>
                <w:rFonts w:ascii="宋体" w:hAnsi="宋体" w:cs="宋体"/>
                <w:bCs/>
                <w:color w:val="auto"/>
                <w:sz w:val="22"/>
                <w:highlight w:val="none"/>
                <w:lang w:bidi="ar"/>
              </w:rPr>
            </w:pPr>
            <w:r>
              <w:rPr>
                <w:rFonts w:hint="eastAsia" w:ascii="宋体" w:hAnsi="宋体" w:cs="宋体"/>
                <w:bCs/>
                <w:color w:val="auto"/>
                <w:sz w:val="22"/>
                <w:highlight w:val="none"/>
              </w:rPr>
              <w:t xml:space="preserve">检验项目</w:t>
            </w:r>
            <w:r/>
          </w:p>
        </w:tc>
        <w:tc>
          <w:tcPr>
            <w:gridSpan w:val="3"/>
            <w:tcW w:w="1894" w:type="pct"/>
            <w:vAlign w:val="center"/>
            <w:textDirection w:val="lrTb"/>
            <w:noWrap w:val="false"/>
          </w:tcPr>
          <w:p>
            <w:pPr>
              <w:jc w:val="center"/>
              <w:widowControl/>
              <w:rPr>
                <w:rFonts w:ascii="宋体" w:hAnsi="宋体" w:cs="宋体"/>
                <w:bCs/>
                <w:color w:val="auto"/>
                <w:sz w:val="22"/>
                <w:highlight w:val="none"/>
                <w:lang w:bidi="ar"/>
              </w:rPr>
            </w:pPr>
            <w:r>
              <w:rPr>
                <w:rFonts w:hint="eastAsia" w:ascii="宋体" w:hAnsi="宋体" w:cs="宋体"/>
                <w:bCs/>
                <w:color w:val="auto"/>
                <w:sz w:val="22"/>
                <w:highlight w:val="none"/>
                <w:lang w:bidi="ar"/>
              </w:rPr>
              <w:t xml:space="preserve">资质附表页码</w:t>
            </w:r>
            <w:r/>
          </w:p>
        </w:tc>
        <w:tc>
          <w:tcPr>
            <w:tcW w:w="651" w:type="pct"/>
            <w:vAlign w:val="center"/>
            <w:textDirection w:val="lrTb"/>
            <w:noWrap w:val="false"/>
          </w:tcPr>
          <w:p>
            <w:pPr>
              <w:jc w:val="center"/>
              <w:widowControl/>
              <w:rPr>
                <w:rFonts w:ascii="宋体" w:hAnsi="宋体" w:cs="宋体"/>
                <w:bCs/>
                <w:color w:val="auto"/>
                <w:sz w:val="22"/>
                <w:highlight w:val="none"/>
                <w:lang w:bidi="ar"/>
              </w:rPr>
            </w:pPr>
            <w:r>
              <w:rPr>
                <w:rFonts w:hint="eastAsia" w:ascii="宋体" w:hAnsi="宋体" w:cs="宋体"/>
                <w:bCs/>
                <w:color w:val="auto"/>
                <w:sz w:val="22"/>
                <w:highlight w:val="none"/>
                <w:lang w:bidi="ar"/>
              </w:rPr>
              <w:t xml:space="preserve">资质附表序号</w:t>
            </w:r>
            <w:r/>
          </w:p>
        </w:tc>
        <w:tc>
          <w:tcPr>
            <w:tcW w:w="796" w:type="pct"/>
            <w:vAlign w:val="center"/>
            <w:textDirection w:val="lrTb"/>
            <w:noWrap w:val="false"/>
          </w:tcPr>
          <w:p>
            <w:pPr>
              <w:jc w:val="center"/>
              <w:widowControl/>
              <w:rPr>
                <w:rFonts w:ascii="宋体" w:hAnsi="宋体" w:cs="宋体"/>
                <w:bCs/>
                <w:color w:val="auto"/>
                <w:sz w:val="22"/>
                <w:highlight w:val="none"/>
                <w:lang w:bidi="ar"/>
              </w:rPr>
            </w:pPr>
            <w:r>
              <w:rPr>
                <w:rFonts w:hint="eastAsia" w:ascii="宋体" w:hAnsi="宋体" w:cs="宋体"/>
                <w:bCs/>
                <w:color w:val="auto"/>
                <w:sz w:val="22"/>
                <w:highlight w:val="none"/>
                <w:lang w:bidi="ar"/>
              </w:rPr>
              <w:t xml:space="preserve">是否覆盖</w:t>
            </w:r>
            <w:r/>
          </w:p>
        </w:tc>
      </w:tr>
      <w:tr>
        <w:trPr>
          <w:trHeight w:val="379"/>
        </w:trPr>
        <w:tc>
          <w:tcPr>
            <w:tcW w:w="484" w:type="pct"/>
            <w:vAlign w:val="center"/>
            <w:textDirection w:val="lrTb"/>
            <w:noWrap w:val="false"/>
          </w:tcPr>
          <w:p>
            <w:pPr>
              <w:ind w:left="-78" w:right="-78"/>
              <w:jc w:val="center"/>
              <w:widowControl/>
              <w:rPr>
                <w:rFonts w:ascii="宋体" w:hAnsi="宋体" w:cs="宋体"/>
                <w:bCs/>
                <w:color w:val="auto"/>
                <w:sz w:val="20"/>
                <w:szCs w:val="20"/>
                <w:highlight w:val="none"/>
                <w:lang w:bidi="ar"/>
              </w:rPr>
            </w:pPr>
            <w:r>
              <w:rPr>
                <w:rFonts w:hint="eastAsia" w:ascii="宋体" w:hAnsi="宋体" w:cs="宋体"/>
                <w:bCs/>
                <w:color w:val="auto"/>
                <w:sz w:val="20"/>
                <w:szCs w:val="20"/>
                <w:highlight w:val="none"/>
                <w:lang w:bidi="ar"/>
              </w:rPr>
              <w:t xml:space="preserve">1</w:t>
            </w:r>
            <w:r/>
          </w:p>
        </w:tc>
        <w:tc>
          <w:tcPr>
            <w:gridSpan w:val="2"/>
            <w:tcW w:w="1173" w:type="pct"/>
            <w:vAlign w:val="center"/>
            <w:textDirection w:val="lrTb"/>
            <w:noWrap w:val="false"/>
          </w:tcPr>
          <w:p>
            <w:pPr>
              <w:jc w:val="center"/>
              <w:widowControl/>
              <w:rPr>
                <w:rFonts w:ascii="宋体" w:hAnsi="宋体" w:cs="宋体"/>
                <w:bCs/>
                <w:color w:val="auto"/>
                <w:sz w:val="20"/>
                <w:szCs w:val="20"/>
                <w:highlight w:val="none"/>
                <w:lang w:bidi="ar"/>
              </w:rPr>
            </w:pPr>
            <w:r>
              <w:rPr>
                <w:rFonts w:hint="eastAsia" w:ascii="宋体" w:hAnsi="宋体" w:cs="宋体"/>
                <w:bCs/>
                <w:color w:val="auto"/>
                <w:sz w:val="20"/>
                <w:szCs w:val="20"/>
                <w:highlight w:val="none"/>
                <w:lang w:bidi="ar"/>
              </w:rPr>
              <w:t xml:space="preserve">镉（以Cd计）</w:t>
            </w:r>
            <w:r/>
          </w:p>
        </w:tc>
        <w:tc>
          <w:tcPr>
            <w:gridSpan w:val="3"/>
            <w:tcW w:w="1894" w:type="pct"/>
            <w:vAlign w:val="center"/>
            <w:textDirection w:val="lrTb"/>
            <w:noWrap w:val="false"/>
          </w:tcPr>
          <w:p>
            <w:pPr>
              <w:jc w:val="center"/>
              <w:widowControl/>
              <w:rPr>
                <w:rFonts w:ascii="宋体" w:hAnsi="宋体" w:cs="宋体"/>
                <w:bCs/>
                <w:color w:val="auto"/>
                <w:sz w:val="20"/>
                <w:szCs w:val="20"/>
                <w:highlight w:val="none"/>
                <w:lang w:bidi="ar"/>
              </w:rPr>
            </w:pPr>
            <w:r>
              <w:rPr>
                <w:rFonts w:ascii="宋体" w:hAnsi="宋体" w:cs="宋体"/>
                <w:bCs/>
                <w:color w:val="auto"/>
                <w:sz w:val="20"/>
                <w:szCs w:val="20"/>
                <w:highlight w:val="none"/>
                <w:lang w:bidi="ar"/>
              </w:rPr>
            </w:r>
            <w:r/>
          </w:p>
        </w:tc>
        <w:tc>
          <w:tcPr>
            <w:tcW w:w="651" w:type="pct"/>
            <w:vAlign w:val="center"/>
            <w:textDirection w:val="lrTb"/>
            <w:noWrap w:val="false"/>
          </w:tcPr>
          <w:p>
            <w:pPr>
              <w:jc w:val="center"/>
              <w:widowControl/>
              <w:rPr>
                <w:rFonts w:ascii="宋体" w:hAnsi="宋体" w:cs="宋体"/>
                <w:bCs/>
                <w:color w:val="auto"/>
                <w:sz w:val="20"/>
                <w:szCs w:val="20"/>
                <w:highlight w:val="none"/>
                <w:lang w:bidi="ar"/>
              </w:rPr>
            </w:pPr>
            <w:r>
              <w:rPr>
                <w:rFonts w:ascii="宋体" w:hAnsi="宋体" w:cs="宋体"/>
                <w:bCs/>
                <w:color w:val="auto"/>
                <w:sz w:val="20"/>
                <w:szCs w:val="20"/>
                <w:highlight w:val="none"/>
                <w:lang w:bidi="ar"/>
              </w:rPr>
            </w:r>
            <w:r/>
          </w:p>
        </w:tc>
        <w:tc>
          <w:tcPr>
            <w:tcW w:w="796" w:type="pct"/>
            <w:vAlign w:val="center"/>
            <w:textDirection w:val="lrTb"/>
            <w:noWrap w:val="false"/>
          </w:tcPr>
          <w:p>
            <w:pPr>
              <w:jc w:val="center"/>
              <w:widowControl/>
              <w:rPr>
                <w:rFonts w:ascii="宋体" w:hAnsi="宋体" w:cs="宋体"/>
                <w:bCs/>
                <w:color w:val="auto"/>
                <w:sz w:val="20"/>
                <w:szCs w:val="20"/>
                <w:highlight w:val="none"/>
                <w:lang w:bidi="ar"/>
              </w:rPr>
            </w:pPr>
            <w:r>
              <w:rPr>
                <w:rFonts w:ascii="宋体" w:hAnsi="宋体" w:cs="宋体"/>
                <w:bCs/>
                <w:color w:val="auto"/>
                <w:sz w:val="20"/>
                <w:szCs w:val="20"/>
                <w:highlight w:val="none"/>
                <w:lang w:bidi="ar"/>
              </w:rPr>
            </w:r>
            <w:r/>
          </w:p>
        </w:tc>
      </w:tr>
      <w:tr>
        <w:trPr>
          <w:trHeight w:val="473"/>
        </w:trPr>
        <w:tc>
          <w:tcPr>
            <w:tcW w:w="484" w:type="pct"/>
            <w:vAlign w:val="center"/>
            <w:textDirection w:val="lrTb"/>
            <w:noWrap w:val="false"/>
          </w:tcPr>
          <w:p>
            <w:pPr>
              <w:ind w:left="-78" w:right="-78"/>
              <w:jc w:val="center"/>
              <w:widowControl/>
              <w:rPr>
                <w:rFonts w:ascii="宋体" w:hAnsi="宋体" w:cs="宋体"/>
                <w:bCs/>
                <w:color w:val="auto"/>
                <w:sz w:val="20"/>
                <w:szCs w:val="20"/>
                <w:highlight w:val="none"/>
                <w:lang w:bidi="ar"/>
              </w:rPr>
            </w:pPr>
            <w:r>
              <w:rPr>
                <w:rFonts w:hint="eastAsia" w:ascii="宋体" w:hAnsi="宋体" w:cs="宋体"/>
                <w:bCs/>
                <w:color w:val="auto"/>
                <w:sz w:val="20"/>
                <w:szCs w:val="20"/>
                <w:highlight w:val="none"/>
                <w:lang w:bidi="ar"/>
              </w:rPr>
              <w:t xml:space="preserve">2</w:t>
            </w:r>
            <w:r/>
          </w:p>
        </w:tc>
        <w:tc>
          <w:tcPr>
            <w:gridSpan w:val="2"/>
            <w:tcW w:w="1173" w:type="pct"/>
            <w:vAlign w:val="center"/>
            <w:textDirection w:val="lrTb"/>
            <w:noWrap w:val="false"/>
          </w:tcPr>
          <w:p>
            <w:pPr>
              <w:jc w:val="center"/>
              <w:widowControl/>
              <w:rPr>
                <w:rFonts w:ascii="宋体" w:hAnsi="宋体" w:cs="宋体"/>
                <w:bCs/>
                <w:color w:val="auto"/>
                <w:sz w:val="20"/>
                <w:szCs w:val="20"/>
                <w:highlight w:val="none"/>
                <w:lang w:bidi="ar"/>
              </w:rPr>
            </w:pPr>
            <w:r>
              <w:rPr>
                <w:rFonts w:hint="eastAsia" w:ascii="宋体" w:hAnsi="宋体" w:cs="宋体"/>
                <w:bCs/>
                <w:color w:val="auto"/>
                <w:sz w:val="20"/>
                <w:szCs w:val="20"/>
                <w:highlight w:val="none"/>
                <w:lang w:bidi="ar"/>
              </w:rPr>
              <w:t xml:space="preserve">苯并[a]芘</w:t>
            </w:r>
            <w:r/>
          </w:p>
        </w:tc>
        <w:tc>
          <w:tcPr>
            <w:gridSpan w:val="3"/>
            <w:tcW w:w="1894" w:type="pct"/>
            <w:vAlign w:val="center"/>
            <w:textDirection w:val="lrTb"/>
            <w:noWrap w:val="false"/>
          </w:tcPr>
          <w:p>
            <w:pPr>
              <w:jc w:val="center"/>
              <w:widowControl/>
              <w:rPr>
                <w:rFonts w:ascii="宋体" w:hAnsi="宋体" w:cs="宋体"/>
                <w:bCs/>
                <w:color w:val="auto"/>
                <w:sz w:val="20"/>
                <w:szCs w:val="20"/>
                <w:highlight w:val="none"/>
                <w:lang w:bidi="ar"/>
              </w:rPr>
            </w:pPr>
            <w:r>
              <w:rPr>
                <w:rFonts w:ascii="宋体" w:hAnsi="宋体" w:cs="宋体"/>
                <w:bCs/>
                <w:color w:val="auto"/>
                <w:sz w:val="20"/>
                <w:szCs w:val="20"/>
                <w:highlight w:val="none"/>
                <w:lang w:bidi="ar"/>
              </w:rPr>
            </w:r>
            <w:r/>
          </w:p>
        </w:tc>
        <w:tc>
          <w:tcPr>
            <w:tcW w:w="651" w:type="pct"/>
            <w:vAlign w:val="center"/>
            <w:textDirection w:val="lrTb"/>
            <w:noWrap w:val="false"/>
          </w:tcPr>
          <w:p>
            <w:pPr>
              <w:jc w:val="center"/>
              <w:widowControl/>
              <w:rPr>
                <w:rFonts w:ascii="宋体" w:hAnsi="宋体" w:cs="宋体"/>
                <w:bCs/>
                <w:color w:val="auto"/>
                <w:sz w:val="20"/>
                <w:szCs w:val="20"/>
                <w:highlight w:val="none"/>
                <w:lang w:bidi="ar"/>
              </w:rPr>
            </w:pPr>
            <w:r>
              <w:rPr>
                <w:rFonts w:ascii="宋体" w:hAnsi="宋体" w:cs="宋体"/>
                <w:bCs/>
                <w:color w:val="auto"/>
                <w:sz w:val="20"/>
                <w:szCs w:val="20"/>
                <w:highlight w:val="none"/>
                <w:lang w:bidi="ar"/>
              </w:rPr>
            </w:r>
            <w:r/>
          </w:p>
        </w:tc>
        <w:tc>
          <w:tcPr>
            <w:tcW w:w="796" w:type="pct"/>
            <w:vAlign w:val="center"/>
            <w:textDirection w:val="lrTb"/>
            <w:noWrap w:val="false"/>
          </w:tcPr>
          <w:p>
            <w:pPr>
              <w:jc w:val="center"/>
              <w:widowControl/>
              <w:rPr>
                <w:rFonts w:ascii="宋体" w:hAnsi="宋体" w:cs="宋体"/>
                <w:bCs/>
                <w:color w:val="auto"/>
                <w:sz w:val="20"/>
                <w:szCs w:val="20"/>
                <w:highlight w:val="none"/>
                <w:lang w:bidi="ar"/>
              </w:rPr>
            </w:pPr>
            <w:r>
              <w:rPr>
                <w:rFonts w:ascii="宋体" w:hAnsi="宋体" w:cs="宋体"/>
                <w:bCs/>
                <w:color w:val="auto"/>
                <w:sz w:val="20"/>
                <w:szCs w:val="20"/>
                <w:highlight w:val="none"/>
                <w:lang w:bidi="ar"/>
              </w:rPr>
            </w:r>
            <w:r/>
          </w:p>
        </w:tc>
      </w:tr>
      <w:tr>
        <w:trPr>
          <w:trHeight w:val="369"/>
        </w:trPr>
        <w:tc>
          <w:tcPr>
            <w:tcW w:w="484" w:type="pct"/>
            <w:vAlign w:val="center"/>
            <w:textDirection w:val="lrTb"/>
            <w:noWrap w:val="false"/>
          </w:tcPr>
          <w:p>
            <w:pPr>
              <w:ind w:left="-78" w:right="-78"/>
              <w:jc w:val="center"/>
              <w:widowControl/>
              <w:rPr>
                <w:rFonts w:ascii="宋体" w:hAnsi="宋体" w:cs="宋体"/>
                <w:bCs/>
                <w:color w:val="auto"/>
                <w:sz w:val="20"/>
                <w:szCs w:val="20"/>
                <w:highlight w:val="none"/>
                <w:lang w:bidi="ar"/>
              </w:rPr>
            </w:pPr>
            <w:r>
              <w:rPr>
                <w:rFonts w:hint="eastAsia" w:ascii="宋体" w:hAnsi="宋体" w:cs="宋体"/>
                <w:bCs/>
                <w:color w:val="auto"/>
                <w:sz w:val="20"/>
                <w:szCs w:val="20"/>
                <w:highlight w:val="none"/>
                <w:lang w:bidi="ar"/>
              </w:rPr>
              <w:t xml:space="preserve">3</w:t>
            </w:r>
            <w:r/>
          </w:p>
        </w:tc>
        <w:tc>
          <w:tcPr>
            <w:gridSpan w:val="2"/>
            <w:tcW w:w="1173" w:type="pct"/>
            <w:vAlign w:val="center"/>
            <w:textDirection w:val="lrTb"/>
            <w:noWrap w:val="false"/>
          </w:tcPr>
          <w:p>
            <w:pPr>
              <w:jc w:val="center"/>
              <w:widowControl/>
              <w:rPr>
                <w:rFonts w:ascii="宋体" w:hAnsi="宋体" w:cs="宋体"/>
                <w:bCs/>
                <w:color w:val="auto"/>
                <w:sz w:val="20"/>
                <w:szCs w:val="20"/>
                <w:highlight w:val="none"/>
                <w:lang w:bidi="ar"/>
              </w:rPr>
            </w:pPr>
            <w:r>
              <w:rPr>
                <w:rFonts w:hint="eastAsia" w:ascii="宋体" w:hAnsi="宋体" w:cs="宋体"/>
                <w:bCs/>
                <w:color w:val="auto"/>
                <w:sz w:val="20"/>
                <w:szCs w:val="20"/>
                <w:highlight w:val="none"/>
                <w:lang w:bidi="ar"/>
              </w:rPr>
              <w:t xml:space="preserve">玉米赤霉烯酮</w:t>
            </w:r>
            <w:r/>
          </w:p>
        </w:tc>
        <w:tc>
          <w:tcPr>
            <w:gridSpan w:val="3"/>
            <w:tcW w:w="1894" w:type="pct"/>
            <w:vAlign w:val="center"/>
            <w:textDirection w:val="lrTb"/>
            <w:noWrap w:val="false"/>
          </w:tcPr>
          <w:p>
            <w:pPr>
              <w:jc w:val="center"/>
              <w:widowControl/>
              <w:rPr>
                <w:rFonts w:ascii="宋体" w:hAnsi="宋体" w:cs="宋体"/>
                <w:bCs/>
                <w:color w:val="auto"/>
                <w:sz w:val="20"/>
                <w:szCs w:val="20"/>
                <w:highlight w:val="none"/>
                <w:lang w:bidi="ar"/>
              </w:rPr>
            </w:pPr>
            <w:r>
              <w:rPr>
                <w:rFonts w:ascii="宋体" w:hAnsi="宋体" w:cs="宋体"/>
                <w:bCs/>
                <w:color w:val="auto"/>
                <w:sz w:val="20"/>
                <w:szCs w:val="20"/>
                <w:highlight w:val="none"/>
                <w:lang w:bidi="ar"/>
              </w:rPr>
            </w:r>
            <w:r/>
          </w:p>
        </w:tc>
        <w:tc>
          <w:tcPr>
            <w:tcW w:w="651" w:type="pct"/>
            <w:vAlign w:val="center"/>
            <w:textDirection w:val="lrTb"/>
            <w:noWrap w:val="false"/>
          </w:tcPr>
          <w:p>
            <w:pPr>
              <w:jc w:val="center"/>
              <w:widowControl/>
              <w:rPr>
                <w:rFonts w:ascii="宋体" w:hAnsi="宋体" w:cs="宋体"/>
                <w:bCs/>
                <w:color w:val="auto"/>
                <w:sz w:val="20"/>
                <w:szCs w:val="20"/>
                <w:highlight w:val="none"/>
                <w:lang w:bidi="ar"/>
              </w:rPr>
            </w:pPr>
            <w:r>
              <w:rPr>
                <w:rFonts w:ascii="宋体" w:hAnsi="宋体" w:cs="宋体"/>
                <w:bCs/>
                <w:color w:val="auto"/>
                <w:sz w:val="20"/>
                <w:szCs w:val="20"/>
                <w:highlight w:val="none"/>
                <w:lang w:bidi="ar"/>
              </w:rPr>
            </w:r>
            <w:r/>
          </w:p>
        </w:tc>
        <w:tc>
          <w:tcPr>
            <w:tcW w:w="796" w:type="pct"/>
            <w:vAlign w:val="center"/>
            <w:textDirection w:val="lrTb"/>
            <w:noWrap w:val="false"/>
          </w:tcPr>
          <w:p>
            <w:pPr>
              <w:jc w:val="center"/>
              <w:widowControl/>
              <w:rPr>
                <w:rFonts w:ascii="宋体" w:hAnsi="宋体" w:cs="宋体"/>
                <w:bCs/>
                <w:color w:val="auto"/>
                <w:sz w:val="20"/>
                <w:szCs w:val="20"/>
                <w:highlight w:val="none"/>
                <w:lang w:bidi="ar"/>
              </w:rPr>
            </w:pPr>
            <w:r>
              <w:rPr>
                <w:rFonts w:ascii="宋体" w:hAnsi="宋体" w:cs="宋体"/>
                <w:bCs/>
                <w:color w:val="auto"/>
                <w:sz w:val="20"/>
                <w:szCs w:val="20"/>
                <w:highlight w:val="none"/>
                <w:lang w:bidi="ar"/>
              </w:rPr>
            </w:r>
            <w:r/>
          </w:p>
        </w:tc>
      </w:tr>
      <w:tr>
        <w:trPr>
          <w:trHeight w:val="383"/>
        </w:trPr>
        <w:tc>
          <w:tcPr>
            <w:tcW w:w="484" w:type="pct"/>
            <w:vAlign w:val="center"/>
            <w:textDirection w:val="lrTb"/>
            <w:noWrap w:val="false"/>
          </w:tcPr>
          <w:p>
            <w:pPr>
              <w:ind w:left="-78" w:right="-78"/>
              <w:jc w:val="center"/>
              <w:widowControl/>
              <w:rPr>
                <w:rFonts w:ascii="宋体" w:hAnsi="宋体" w:cs="宋体"/>
                <w:bCs/>
                <w:color w:val="auto"/>
                <w:sz w:val="20"/>
                <w:szCs w:val="20"/>
                <w:highlight w:val="none"/>
                <w:lang w:bidi="ar"/>
              </w:rPr>
            </w:pPr>
            <w:r>
              <w:rPr>
                <w:rFonts w:hint="eastAsia" w:ascii="宋体" w:hAnsi="宋体" w:cs="宋体"/>
                <w:bCs/>
                <w:color w:val="auto"/>
                <w:sz w:val="20"/>
                <w:szCs w:val="20"/>
                <w:highlight w:val="none"/>
                <w:lang w:bidi="ar"/>
              </w:rPr>
              <w:t xml:space="preserve">4</w:t>
            </w:r>
            <w:r/>
          </w:p>
        </w:tc>
        <w:tc>
          <w:tcPr>
            <w:gridSpan w:val="2"/>
            <w:tcW w:w="1173" w:type="pct"/>
            <w:vAlign w:val="center"/>
            <w:textDirection w:val="lrTb"/>
            <w:noWrap w:val="false"/>
          </w:tcPr>
          <w:p>
            <w:pPr>
              <w:jc w:val="center"/>
              <w:widowControl/>
              <w:rPr>
                <w:rFonts w:ascii="宋体" w:hAnsi="宋体" w:cs="宋体"/>
                <w:bCs/>
                <w:color w:val="auto"/>
                <w:sz w:val="20"/>
                <w:szCs w:val="20"/>
                <w:highlight w:val="none"/>
                <w:lang w:bidi="ar"/>
              </w:rPr>
            </w:pPr>
            <w:r>
              <w:rPr>
                <w:rFonts w:hint="eastAsia" w:ascii="宋体" w:hAnsi="宋体" w:cs="宋体"/>
                <w:bCs/>
                <w:color w:val="auto"/>
                <w:sz w:val="20"/>
                <w:szCs w:val="20"/>
                <w:highlight w:val="none"/>
                <w:lang w:bidi="ar"/>
              </w:rPr>
              <w:t xml:space="preserve">脱氧雪腐镰刀菌烯醇</w:t>
            </w:r>
            <w:r/>
          </w:p>
        </w:tc>
        <w:tc>
          <w:tcPr>
            <w:gridSpan w:val="3"/>
            <w:tcW w:w="1894" w:type="pct"/>
            <w:vAlign w:val="center"/>
            <w:textDirection w:val="lrTb"/>
            <w:noWrap w:val="false"/>
          </w:tcPr>
          <w:p>
            <w:pPr>
              <w:jc w:val="center"/>
              <w:widowControl/>
              <w:rPr>
                <w:rFonts w:ascii="宋体" w:hAnsi="宋体" w:cs="宋体"/>
                <w:bCs/>
                <w:color w:val="auto"/>
                <w:sz w:val="20"/>
                <w:szCs w:val="20"/>
                <w:highlight w:val="none"/>
                <w:lang w:bidi="ar"/>
              </w:rPr>
            </w:pPr>
            <w:r>
              <w:rPr>
                <w:rFonts w:ascii="宋体" w:hAnsi="宋体" w:cs="宋体"/>
                <w:bCs/>
                <w:color w:val="auto"/>
                <w:sz w:val="20"/>
                <w:szCs w:val="20"/>
                <w:highlight w:val="none"/>
                <w:lang w:bidi="ar"/>
              </w:rPr>
            </w:r>
            <w:r/>
          </w:p>
        </w:tc>
        <w:tc>
          <w:tcPr>
            <w:tcW w:w="651" w:type="pct"/>
            <w:vAlign w:val="center"/>
            <w:textDirection w:val="lrTb"/>
            <w:noWrap w:val="false"/>
          </w:tcPr>
          <w:p>
            <w:pPr>
              <w:jc w:val="center"/>
              <w:widowControl/>
              <w:rPr>
                <w:rFonts w:ascii="宋体" w:hAnsi="宋体" w:cs="宋体"/>
                <w:bCs/>
                <w:color w:val="auto"/>
                <w:sz w:val="20"/>
                <w:szCs w:val="20"/>
                <w:highlight w:val="none"/>
                <w:lang w:bidi="ar"/>
              </w:rPr>
            </w:pPr>
            <w:r>
              <w:rPr>
                <w:rFonts w:ascii="宋体" w:hAnsi="宋体" w:cs="宋体"/>
                <w:bCs/>
                <w:color w:val="auto"/>
                <w:sz w:val="20"/>
                <w:szCs w:val="20"/>
                <w:highlight w:val="none"/>
                <w:lang w:bidi="ar"/>
              </w:rPr>
            </w:r>
            <w:r/>
          </w:p>
        </w:tc>
        <w:tc>
          <w:tcPr>
            <w:tcW w:w="796" w:type="pct"/>
            <w:vAlign w:val="center"/>
            <w:textDirection w:val="lrTb"/>
            <w:noWrap w:val="false"/>
          </w:tcPr>
          <w:p>
            <w:pPr>
              <w:jc w:val="center"/>
              <w:widowControl/>
              <w:rPr>
                <w:rFonts w:ascii="宋体" w:hAnsi="宋体" w:cs="宋体"/>
                <w:bCs/>
                <w:color w:val="auto"/>
                <w:sz w:val="20"/>
                <w:szCs w:val="20"/>
                <w:highlight w:val="none"/>
                <w:lang w:bidi="ar"/>
              </w:rPr>
            </w:pPr>
            <w:r>
              <w:rPr>
                <w:rFonts w:ascii="宋体" w:hAnsi="宋体" w:cs="宋体"/>
                <w:bCs/>
                <w:color w:val="auto"/>
                <w:sz w:val="20"/>
                <w:szCs w:val="20"/>
                <w:highlight w:val="none"/>
                <w:lang w:bidi="ar"/>
              </w:rPr>
            </w:r>
            <w:r/>
          </w:p>
        </w:tc>
      </w:tr>
      <w:tr>
        <w:trPr>
          <w:trHeight w:val="275"/>
        </w:trPr>
        <w:tc>
          <w:tcPr>
            <w:tcW w:w="484" w:type="pct"/>
            <w:vAlign w:val="center"/>
            <w:textDirection w:val="lrTb"/>
            <w:noWrap w:val="false"/>
          </w:tcPr>
          <w:p>
            <w:pPr>
              <w:ind w:left="-78" w:right="-78"/>
              <w:jc w:val="center"/>
              <w:widowControl/>
              <w:rPr>
                <w:rFonts w:ascii="宋体" w:hAnsi="宋体" w:cs="宋体"/>
                <w:bCs/>
                <w:color w:val="auto"/>
                <w:sz w:val="22"/>
                <w:highlight w:val="none"/>
                <w:lang w:bidi="ar"/>
              </w:rPr>
            </w:pPr>
            <w:r>
              <w:rPr>
                <w:rFonts w:hint="eastAsia" w:ascii="宋体" w:hAnsi="宋体" w:cs="宋体"/>
                <w:bCs/>
                <w:color w:val="auto"/>
                <w:sz w:val="22"/>
                <w:highlight w:val="none"/>
                <w:lang w:bidi="ar"/>
              </w:rPr>
              <w:t xml:space="preserve">5</w:t>
            </w:r>
            <w:r/>
          </w:p>
        </w:tc>
        <w:tc>
          <w:tcPr>
            <w:gridSpan w:val="2"/>
            <w:tcW w:w="1173" w:type="pct"/>
            <w:vAlign w:val="center"/>
            <w:textDirection w:val="lrTb"/>
            <w:noWrap w:val="false"/>
          </w:tcPr>
          <w:p>
            <w:pPr>
              <w:jc w:val="center"/>
              <w:widowControl/>
              <w:rPr>
                <w:rFonts w:ascii="宋体" w:hAnsi="宋体" w:cs="宋体"/>
                <w:bCs/>
                <w:color w:val="auto"/>
                <w:sz w:val="20"/>
                <w:szCs w:val="20"/>
                <w:highlight w:val="none"/>
                <w:lang w:bidi="ar"/>
              </w:rPr>
            </w:pPr>
            <w:r>
              <w:rPr>
                <w:rFonts w:hint="eastAsia" w:ascii="宋体" w:hAnsi="宋体" w:cs="宋体"/>
                <w:bCs/>
                <w:color w:val="auto"/>
                <w:sz w:val="20"/>
                <w:szCs w:val="20"/>
                <w:highlight w:val="none"/>
                <w:lang w:bidi="ar"/>
              </w:rPr>
              <w:t xml:space="preserve">赭曲霉毒素A</w:t>
            </w:r>
            <w:r/>
          </w:p>
        </w:tc>
        <w:tc>
          <w:tcPr>
            <w:gridSpan w:val="3"/>
            <w:tcW w:w="1894" w:type="pct"/>
            <w:vAlign w:val="center"/>
            <w:textDirection w:val="lrTb"/>
            <w:noWrap w:val="false"/>
          </w:tcPr>
          <w:p>
            <w:pPr>
              <w:jc w:val="center"/>
              <w:widowControl/>
              <w:rPr>
                <w:rFonts w:ascii="宋体" w:hAnsi="宋体" w:cs="宋体"/>
                <w:bCs/>
                <w:color w:val="auto"/>
                <w:sz w:val="22"/>
                <w:highlight w:val="none"/>
                <w:lang w:bidi="ar"/>
              </w:rPr>
            </w:pPr>
            <w:r>
              <w:rPr>
                <w:rFonts w:ascii="宋体" w:hAnsi="宋体" w:cs="宋体"/>
                <w:bCs/>
                <w:color w:val="auto"/>
                <w:sz w:val="22"/>
                <w:highlight w:val="none"/>
                <w:lang w:bidi="ar"/>
              </w:rPr>
            </w:r>
            <w:r/>
          </w:p>
        </w:tc>
        <w:tc>
          <w:tcPr>
            <w:tcW w:w="651" w:type="pct"/>
            <w:vAlign w:val="center"/>
            <w:textDirection w:val="lrTb"/>
            <w:noWrap w:val="false"/>
          </w:tcPr>
          <w:p>
            <w:pPr>
              <w:jc w:val="center"/>
              <w:widowControl/>
              <w:rPr>
                <w:rFonts w:ascii="宋体" w:hAnsi="宋体" w:cs="宋体"/>
                <w:bCs/>
                <w:color w:val="auto"/>
                <w:sz w:val="22"/>
                <w:highlight w:val="none"/>
                <w:lang w:bidi="ar"/>
              </w:rPr>
            </w:pPr>
            <w:r>
              <w:rPr>
                <w:rFonts w:ascii="宋体" w:hAnsi="宋体" w:cs="宋体"/>
                <w:bCs/>
                <w:color w:val="auto"/>
                <w:sz w:val="22"/>
                <w:highlight w:val="none"/>
                <w:lang w:bidi="ar"/>
              </w:rPr>
            </w:r>
            <w:r/>
          </w:p>
        </w:tc>
        <w:tc>
          <w:tcPr>
            <w:tcW w:w="796" w:type="pct"/>
            <w:vAlign w:val="center"/>
            <w:textDirection w:val="lrTb"/>
            <w:noWrap w:val="false"/>
          </w:tcPr>
          <w:p>
            <w:pPr>
              <w:jc w:val="center"/>
              <w:widowControl/>
              <w:rPr>
                <w:rFonts w:ascii="宋体" w:hAnsi="宋体" w:cs="宋体"/>
                <w:bCs/>
                <w:color w:val="auto"/>
                <w:sz w:val="22"/>
                <w:highlight w:val="none"/>
                <w:lang w:bidi="ar"/>
              </w:rPr>
            </w:pPr>
            <w:r>
              <w:rPr>
                <w:rFonts w:ascii="宋体" w:hAnsi="宋体" w:cs="宋体"/>
                <w:bCs/>
                <w:color w:val="auto"/>
                <w:sz w:val="22"/>
                <w:highlight w:val="none"/>
                <w:lang w:bidi="ar"/>
              </w:rPr>
            </w:r>
            <w:r/>
          </w:p>
        </w:tc>
      </w:tr>
      <w:tr>
        <w:trPr>
          <w:trHeight w:val="411"/>
        </w:trPr>
        <w:tc>
          <w:tcPr>
            <w:tcW w:w="484" w:type="pct"/>
            <w:vAlign w:val="center"/>
            <w:textDirection w:val="lrTb"/>
            <w:noWrap w:val="false"/>
          </w:tcPr>
          <w:p>
            <w:pPr>
              <w:ind w:left="-78" w:right="-78"/>
              <w:jc w:val="center"/>
              <w:widowControl/>
              <w:rPr>
                <w:rFonts w:ascii="宋体" w:hAnsi="宋体" w:cs="宋体"/>
                <w:bCs/>
                <w:color w:val="auto"/>
                <w:sz w:val="22"/>
                <w:highlight w:val="none"/>
                <w:lang w:bidi="ar"/>
              </w:rPr>
            </w:pPr>
            <w:r>
              <w:rPr>
                <w:rFonts w:hint="eastAsia" w:ascii="宋体" w:hAnsi="宋体" w:cs="宋体"/>
                <w:bCs/>
                <w:color w:val="auto"/>
                <w:sz w:val="22"/>
                <w:highlight w:val="none"/>
                <w:lang w:bidi="ar"/>
              </w:rPr>
              <w:t xml:space="preserve">...</w:t>
            </w:r>
            <w:r/>
          </w:p>
        </w:tc>
        <w:tc>
          <w:tcPr>
            <w:gridSpan w:val="2"/>
            <w:tcW w:w="1173" w:type="pct"/>
            <w:vAlign w:val="center"/>
            <w:textDirection w:val="lrTb"/>
            <w:noWrap w:val="false"/>
          </w:tcPr>
          <w:p>
            <w:pPr>
              <w:jc w:val="center"/>
              <w:widowControl/>
              <w:rPr>
                <w:rFonts w:ascii="宋体" w:hAnsi="宋体" w:cs="宋体"/>
                <w:bCs/>
                <w:color w:val="auto"/>
                <w:sz w:val="22"/>
                <w:highlight w:val="none"/>
                <w:lang w:bidi="ar"/>
              </w:rPr>
            </w:pPr>
            <w:r>
              <w:rPr>
                <w:rFonts w:hint="eastAsia" w:ascii="宋体" w:hAnsi="宋体" w:cs="宋体"/>
                <w:bCs/>
                <w:color w:val="auto"/>
                <w:sz w:val="22"/>
                <w:highlight w:val="none"/>
              </w:rPr>
              <w:t xml:space="preserve">...</w:t>
            </w:r>
            <w:r/>
          </w:p>
        </w:tc>
        <w:tc>
          <w:tcPr>
            <w:gridSpan w:val="3"/>
            <w:tcW w:w="1894" w:type="pct"/>
            <w:vAlign w:val="center"/>
            <w:textDirection w:val="lrTb"/>
            <w:noWrap w:val="false"/>
          </w:tcPr>
          <w:p>
            <w:pPr>
              <w:jc w:val="center"/>
              <w:widowControl/>
              <w:rPr>
                <w:rFonts w:ascii="宋体" w:hAnsi="宋体" w:cs="宋体"/>
                <w:bCs/>
                <w:color w:val="auto"/>
                <w:sz w:val="22"/>
                <w:highlight w:val="none"/>
                <w:lang w:bidi="ar"/>
              </w:rPr>
            </w:pPr>
            <w:r>
              <w:rPr>
                <w:rFonts w:hint="eastAsia" w:ascii="宋体" w:hAnsi="宋体" w:cs="宋体"/>
                <w:bCs/>
                <w:color w:val="auto"/>
                <w:sz w:val="22"/>
                <w:highlight w:val="none"/>
              </w:rPr>
              <w:t xml:space="preserve">...</w:t>
            </w:r>
            <w:r/>
          </w:p>
        </w:tc>
        <w:tc>
          <w:tcPr>
            <w:tcW w:w="651" w:type="pct"/>
            <w:vAlign w:val="center"/>
            <w:textDirection w:val="lrTb"/>
            <w:noWrap w:val="false"/>
          </w:tcPr>
          <w:p>
            <w:pPr>
              <w:jc w:val="center"/>
              <w:widowControl/>
              <w:rPr>
                <w:rFonts w:ascii="宋体" w:hAnsi="宋体" w:cs="宋体"/>
                <w:bCs/>
                <w:color w:val="auto"/>
                <w:sz w:val="22"/>
                <w:highlight w:val="none"/>
                <w:lang w:bidi="ar"/>
              </w:rPr>
            </w:pPr>
            <w:r>
              <w:rPr>
                <w:rFonts w:hint="eastAsia" w:ascii="宋体" w:hAnsi="宋体" w:cs="宋体"/>
                <w:bCs/>
                <w:color w:val="auto"/>
                <w:sz w:val="22"/>
                <w:highlight w:val="none"/>
              </w:rPr>
              <w:t xml:space="preserve">...</w:t>
            </w:r>
            <w:r/>
          </w:p>
        </w:tc>
        <w:tc>
          <w:tcPr>
            <w:tcW w:w="796" w:type="pct"/>
            <w:vAlign w:val="center"/>
            <w:textDirection w:val="lrTb"/>
            <w:noWrap w:val="false"/>
          </w:tcPr>
          <w:p>
            <w:pPr>
              <w:jc w:val="center"/>
              <w:widowControl/>
              <w:rPr>
                <w:rFonts w:ascii="宋体" w:hAnsi="宋体" w:cs="宋体"/>
                <w:bCs/>
                <w:color w:val="auto"/>
                <w:sz w:val="22"/>
                <w:highlight w:val="none"/>
                <w:lang w:bidi="ar"/>
              </w:rPr>
            </w:pPr>
            <w:r>
              <w:rPr>
                <w:rFonts w:hint="eastAsia" w:ascii="宋体" w:hAnsi="宋体" w:cs="宋体"/>
                <w:bCs/>
                <w:color w:val="auto"/>
                <w:sz w:val="22"/>
                <w:highlight w:val="none"/>
              </w:rPr>
              <w:t xml:space="preserve">...</w:t>
            </w:r>
            <w:r/>
          </w:p>
        </w:tc>
      </w:tr>
      <w:tr>
        <w:trPr>
          <w:trHeight w:val="985"/>
        </w:trPr>
        <w:tc>
          <w:tcPr>
            <w:gridSpan w:val="8"/>
            <w:tcW w:w="5000" w:type="pct"/>
            <w:vAlign w:val="center"/>
            <w:textDirection w:val="lrTb"/>
            <w:noWrap w:val="false"/>
          </w:tcPr>
          <w:p>
            <w:pPr>
              <w:ind w:firstLine="440"/>
              <w:spacing w:line="440" w:lineRule="exact"/>
              <w:rPr>
                <w:rFonts w:ascii="宋体" w:hAnsi="宋体" w:cs="宋体"/>
                <w:bCs/>
                <w:color w:val="auto"/>
                <w:sz w:val="22"/>
                <w:highlight w:val="none"/>
              </w:rPr>
            </w:pPr>
            <w:r>
              <w:rPr>
                <w:rFonts w:hint="eastAsia" w:ascii="宋体" w:hAnsi="宋体" w:cs="宋体"/>
                <w:bCs/>
                <w:color w:val="auto"/>
                <w:sz w:val="22"/>
                <w:highlight w:val="none"/>
                <w:lang w:bidi="ar"/>
              </w:rPr>
              <w:t xml:space="preserve">注：供应商按上述表格要求填写《检验项目响应表》时，根据所投对应采购包组检验内容进行填写，并说明每个检测项目所在</w:t>
            </w:r>
            <w:r>
              <w:rPr>
                <w:rFonts w:hint="eastAsia" w:ascii="宋体" w:hAnsi="宋体" w:cs="宋体"/>
                <w:bCs/>
                <w:color w:val="auto"/>
                <w:sz w:val="22"/>
                <w:highlight w:val="none"/>
                <w:lang w:bidi="ar"/>
              </w:rPr>
              <w:t xml:space="preserve">CMA</w:t>
            </w:r>
            <w:r>
              <w:rPr>
                <w:rFonts w:hint="eastAsia" w:ascii="宋体" w:hAnsi="宋体" w:cs="宋体"/>
                <w:bCs/>
                <w:color w:val="auto"/>
                <w:sz w:val="22"/>
                <w:highlight w:val="none"/>
                <w:lang w:bidi="ar"/>
              </w:rPr>
              <w:t xml:space="preserve">后附表中对应的页码和序号，不得仅指向认证的产品标准</w:t>
            </w:r>
            <w:r/>
          </w:p>
          <w:p>
            <w:pPr>
              <w:jc w:val="center"/>
              <w:widowControl/>
              <w:rPr>
                <w:rFonts w:ascii="宋体" w:hAnsi="宋体" w:cs="宋体"/>
                <w:bCs/>
                <w:color w:val="auto"/>
                <w:sz w:val="22"/>
                <w:highlight w:val="none"/>
                <w:lang w:bidi="ar"/>
              </w:rPr>
            </w:pPr>
            <w:r>
              <w:rPr>
                <w:rFonts w:ascii="宋体" w:hAnsi="宋体" w:cs="宋体"/>
                <w:bCs/>
                <w:color w:val="auto"/>
                <w:sz w:val="22"/>
                <w:highlight w:val="none"/>
                <w:lang w:bidi="ar"/>
              </w:rPr>
            </w:r>
            <w:r/>
          </w:p>
        </w:tc>
      </w:tr>
    </w:tbl>
    <w:p>
      <w:pPr>
        <w:spacing w:line="360" w:lineRule="auto"/>
        <w:rPr>
          <w:color w:val="auto"/>
          <w:spacing w:val="4"/>
          <w:highlight w:val="none"/>
        </w:rPr>
      </w:pPr>
      <w:r>
        <w:rPr>
          <w:color w:val="auto"/>
          <w:spacing w:val="4"/>
          <w:highlight w:val="none"/>
        </w:rPr>
      </w:r>
      <w:r/>
    </w:p>
    <w:p>
      <w:pPr>
        <w:spacing w:line="360" w:lineRule="auto"/>
        <w:rPr>
          <w:color w:val="auto"/>
          <w:spacing w:val="4"/>
          <w:highlight w:val="none"/>
        </w:rPr>
      </w:pPr>
      <w:r>
        <w:rPr>
          <w:color w:val="auto"/>
          <w:spacing w:val="4"/>
          <w:highlight w:val="none"/>
        </w:rPr>
      </w:r>
      <w:r/>
    </w:p>
    <w:p>
      <w:pPr>
        <w:ind w:left="21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投标人法定代表人（或法定代表人授权代表）签字：</w:t>
      </w:r>
      <w:r>
        <w:rPr>
          <w:rFonts w:hint="eastAsia" w:ascii="宋体" w:hAnsi="宋体" w:cs="宋体"/>
          <w:color w:val="auto"/>
          <w:sz w:val="24"/>
          <w:szCs w:val="24"/>
          <w:highlight w:val="none"/>
          <w:u w:val="single"/>
        </w:rPr>
        <w:t xml:space="preserve">                   </w:t>
      </w:r>
      <w:r/>
    </w:p>
    <w:p>
      <w:pPr>
        <w:ind w:left="21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投标人名称（盖公章）：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pStyle w:val="781"/>
        <w:rPr>
          <w:rFonts w:eastAsia="仿宋_GB2312"/>
          <w:color w:val="auto"/>
          <w:sz w:val="32"/>
          <w:highlight w:val="none"/>
        </w:rPr>
      </w:pPr>
      <w:r>
        <w:rPr>
          <w:rFonts w:hint="eastAsia" w:ascii="宋体" w:hAnsi="宋体" w:cs="宋体"/>
          <w:color w:val="auto"/>
          <w:sz w:val="24"/>
          <w:szCs w:val="24"/>
          <w:highlight w:val="none"/>
        </w:rPr>
        <w:t xml:space="preserve">日期：   年   月   日</w:t>
      </w:r>
      <w:r/>
    </w:p>
    <w:p>
      <w:pPr>
        <w:pStyle w:val="781"/>
        <w:ind w:firstLine="640"/>
        <w:rPr>
          <w:rFonts w:eastAsia="仿宋_GB2312"/>
          <w:color w:val="auto"/>
          <w:sz w:val="32"/>
          <w:highlight w:val="none"/>
        </w:rPr>
      </w:pPr>
      <w:r>
        <w:rPr>
          <w:rFonts w:eastAsia="仿宋_GB2312"/>
          <w:color w:val="auto"/>
          <w:sz w:val="32"/>
          <w:highlight w:val="none"/>
        </w:rPr>
      </w:r>
      <w:r/>
    </w:p>
    <w:p>
      <w:pPr>
        <w:pStyle w:val="781"/>
        <w:ind w:firstLine="640"/>
        <w:rPr>
          <w:rFonts w:eastAsia="仿宋_GB2312"/>
          <w:color w:val="auto"/>
          <w:sz w:val="32"/>
          <w:highlight w:val="none"/>
        </w:rPr>
      </w:pPr>
      <w:r>
        <w:rPr>
          <w:rFonts w:eastAsia="仿宋_GB2312"/>
          <w:color w:val="auto"/>
          <w:sz w:val="32"/>
          <w:highlight w:val="none"/>
        </w:rPr>
      </w:r>
      <w:r/>
    </w:p>
    <w:p>
      <w:pPr>
        <w:pStyle w:val="781"/>
        <w:ind w:firstLine="640"/>
        <w:rPr>
          <w:rFonts w:eastAsia="仿宋_GB2312"/>
          <w:color w:val="auto"/>
          <w:sz w:val="32"/>
          <w:highlight w:val="none"/>
        </w:rPr>
      </w:pPr>
      <w:r>
        <w:rPr>
          <w:rFonts w:eastAsia="仿宋_GB2312"/>
          <w:color w:val="auto"/>
          <w:sz w:val="32"/>
          <w:highlight w:val="none"/>
        </w:rPr>
      </w:r>
      <w:r/>
    </w:p>
    <w:p>
      <w:pPr>
        <w:pStyle w:val="781"/>
        <w:ind w:firstLine="640"/>
        <w:rPr>
          <w:rFonts w:eastAsia="仿宋_GB2312"/>
          <w:color w:val="auto"/>
          <w:sz w:val="32"/>
          <w:highlight w:val="none"/>
        </w:rPr>
      </w:pPr>
      <w:r>
        <w:rPr>
          <w:rFonts w:eastAsia="仿宋_GB2312"/>
          <w:color w:val="auto"/>
          <w:sz w:val="32"/>
          <w:highlight w:val="none"/>
        </w:rPr>
      </w:r>
      <w:r/>
    </w:p>
    <w:p>
      <w:pPr>
        <w:pStyle w:val="781"/>
        <w:ind w:firstLine="640"/>
        <w:rPr>
          <w:rFonts w:eastAsia="仿宋_GB2312"/>
          <w:color w:val="auto"/>
          <w:sz w:val="32"/>
          <w:highlight w:val="none"/>
        </w:rPr>
      </w:pPr>
      <w:r>
        <w:rPr>
          <w:rFonts w:eastAsia="仿宋_GB2312"/>
          <w:color w:val="auto"/>
          <w:sz w:val="32"/>
          <w:highlight w:val="none"/>
        </w:rPr>
      </w:r>
      <w:r/>
    </w:p>
    <w:p>
      <w:pPr>
        <w:pStyle w:val="781"/>
        <w:ind w:firstLine="640"/>
        <w:rPr>
          <w:rFonts w:eastAsia="仿宋_GB2312"/>
          <w:color w:val="auto"/>
          <w:sz w:val="32"/>
          <w:highlight w:val="none"/>
        </w:rPr>
      </w:pPr>
      <w:r>
        <w:rPr>
          <w:rFonts w:eastAsia="仿宋_GB2312"/>
          <w:color w:val="auto"/>
          <w:sz w:val="32"/>
          <w:highlight w:val="none"/>
        </w:rPr>
      </w:r>
      <w:r/>
    </w:p>
    <w:p>
      <w:pPr>
        <w:spacing w:line="560" w:lineRule="exact"/>
        <w:rPr>
          <w:color w:val="auto"/>
          <w:highlight w:val="none"/>
        </w:rPr>
      </w:pPr>
      <w:r>
        <w:rPr>
          <w:color w:val="auto"/>
          <w:highlight w:val="none"/>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pPr>
    <w:r/>
    <w:r/>
  </w:p>
  <w:p>
    <w:pPr>
      <w:pStyle w:val="7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Style w:val="773"/>
      </w:rPr>
      <w:framePr w:wrap="around" w:vAnchor="text" w:hAnchor="margin" w:xAlign="center" w:y="1"/>
    </w:pPr>
    <w:r>
      <w:fldChar w:fldCharType="begin"/>
    </w:r>
    <w:r>
      <w:rPr>
        <w:rStyle w:val="773"/>
      </w:rPr>
      <w:instrText xml:space="preserve">PAGE  </w:instrText>
    </w:r>
    <w:r>
      <w:fldChar w:fldCharType="separate"/>
    </w:r>
    <w:r>
      <w:rPr>
        <w:rStyle w:val="773"/>
      </w:rPr>
      <w:t xml:space="preserve">1</w:t>
    </w:r>
    <w:r>
      <w:fldChar w:fldCharType="end"/>
    </w:r>
    <w:r/>
  </w:p>
  <w:p>
    <w:pPr>
      <w:pStyle w:val="7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p>
    <w:pPr>
      <w:pStyle w:val="754"/>
    </w:pPr>
    <w:r/>
    <w:r/>
  </w:p>
  <w:p>
    <w:pPr>
      <w:pStyle w:val="7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30"/>
      <w:isLgl w:val="false"/>
      <w:suff w:val="nothing"/>
      <w:lvlText w:val=""/>
      <w:lvlJc w:val="left"/>
      <w:pPr>
        <w:ind w:left="0" w:firstLine="0"/>
      </w:pPr>
      <w:rPr>
        <w:rFonts w:hint="eastAsia"/>
      </w:rPr>
    </w:lvl>
    <w:lvl w:ilvl="6">
      <w:start w:val="1"/>
      <w:numFmt w:val="none"/>
      <w:pStyle w:val="731"/>
      <w:isLgl w:val="false"/>
      <w:suff w:val="nothing"/>
      <w:lvlText w:val=""/>
      <w:lvlJc w:val="left"/>
      <w:pPr>
        <w:ind w:left="0" w:firstLine="0"/>
      </w:pPr>
      <w:rPr>
        <w:rFonts w:hint="eastAsia"/>
      </w:rPr>
    </w:lvl>
    <w:lvl w:ilvl="7">
      <w:start w:val="1"/>
      <w:numFmt w:val="none"/>
      <w:pStyle w:val="732"/>
      <w:isLgl w:val="false"/>
      <w:suff w:val="nothing"/>
      <w:lvlText w:val=""/>
      <w:lvlJc w:val="left"/>
      <w:pPr>
        <w:ind w:left="0" w:firstLine="0"/>
      </w:pPr>
      <w:rPr>
        <w:rFonts w:hint="eastAsia"/>
      </w:rPr>
    </w:lvl>
    <w:lvl w:ilvl="8">
      <w:start w:val="1"/>
      <w:numFmt w:val="none"/>
      <w:pStyle w:val="733"/>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7"/>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4"/>
    <w:link w:val="725"/>
    <w:uiPriority w:val="9"/>
    <w:rPr>
      <w:rFonts w:ascii="Arial" w:hAnsi="Arial" w:eastAsia="Arial" w:cs="Arial"/>
      <w:sz w:val="40"/>
      <w:szCs w:val="40"/>
    </w:rPr>
  </w:style>
  <w:style w:type="character" w:styleId="15">
    <w:name w:val="Heading 2 Char"/>
    <w:basedOn w:val="734"/>
    <w:link w:val="726"/>
    <w:uiPriority w:val="9"/>
    <w:rPr>
      <w:rFonts w:ascii="Arial" w:hAnsi="Arial" w:eastAsia="Arial" w:cs="Arial"/>
      <w:sz w:val="34"/>
    </w:rPr>
  </w:style>
  <w:style w:type="character" w:styleId="17">
    <w:name w:val="Heading 3 Char"/>
    <w:basedOn w:val="734"/>
    <w:link w:val="727"/>
    <w:uiPriority w:val="9"/>
    <w:rPr>
      <w:rFonts w:ascii="Arial" w:hAnsi="Arial" w:eastAsia="Arial" w:cs="Arial"/>
      <w:sz w:val="30"/>
      <w:szCs w:val="30"/>
    </w:rPr>
  </w:style>
  <w:style w:type="character" w:styleId="19">
    <w:name w:val="Heading 4 Char"/>
    <w:basedOn w:val="734"/>
    <w:link w:val="728"/>
    <w:uiPriority w:val="9"/>
    <w:rPr>
      <w:rFonts w:ascii="Arial" w:hAnsi="Arial" w:eastAsia="Arial" w:cs="Arial"/>
      <w:b/>
      <w:bCs/>
      <w:sz w:val="26"/>
      <w:szCs w:val="26"/>
    </w:rPr>
  </w:style>
  <w:style w:type="character" w:styleId="21">
    <w:name w:val="Heading 5 Char"/>
    <w:basedOn w:val="734"/>
    <w:link w:val="729"/>
    <w:uiPriority w:val="9"/>
    <w:rPr>
      <w:rFonts w:ascii="Arial" w:hAnsi="Arial" w:eastAsia="Arial" w:cs="Arial"/>
      <w:b/>
      <w:bCs/>
      <w:sz w:val="24"/>
      <w:szCs w:val="24"/>
    </w:rPr>
  </w:style>
  <w:style w:type="character" w:styleId="23">
    <w:name w:val="Heading 6 Char"/>
    <w:basedOn w:val="734"/>
    <w:link w:val="730"/>
    <w:uiPriority w:val="9"/>
    <w:rPr>
      <w:rFonts w:ascii="Arial" w:hAnsi="Arial" w:eastAsia="Arial" w:cs="Arial"/>
      <w:b/>
      <w:bCs/>
      <w:sz w:val="22"/>
      <w:szCs w:val="22"/>
    </w:rPr>
  </w:style>
  <w:style w:type="character" w:styleId="25">
    <w:name w:val="Heading 7 Char"/>
    <w:basedOn w:val="734"/>
    <w:link w:val="731"/>
    <w:uiPriority w:val="9"/>
    <w:rPr>
      <w:rFonts w:ascii="Arial" w:hAnsi="Arial" w:eastAsia="Arial" w:cs="Arial"/>
      <w:b/>
      <w:bCs/>
      <w:i/>
      <w:iCs/>
      <w:sz w:val="22"/>
      <w:szCs w:val="22"/>
    </w:rPr>
  </w:style>
  <w:style w:type="character" w:styleId="27">
    <w:name w:val="Heading 8 Char"/>
    <w:basedOn w:val="734"/>
    <w:link w:val="732"/>
    <w:uiPriority w:val="9"/>
    <w:rPr>
      <w:rFonts w:ascii="Arial" w:hAnsi="Arial" w:eastAsia="Arial" w:cs="Arial"/>
      <w:i/>
      <w:iCs/>
      <w:sz w:val="22"/>
      <w:szCs w:val="22"/>
    </w:rPr>
  </w:style>
  <w:style w:type="character" w:styleId="29">
    <w:name w:val="Heading 9 Char"/>
    <w:basedOn w:val="734"/>
    <w:link w:val="733"/>
    <w:uiPriority w:val="9"/>
    <w:rPr>
      <w:rFonts w:ascii="Arial" w:hAnsi="Arial" w:eastAsia="Arial" w:cs="Arial"/>
      <w:i/>
      <w:iCs/>
      <w:sz w:val="21"/>
      <w:szCs w:val="21"/>
    </w:rPr>
  </w:style>
  <w:style w:type="paragraph" w:styleId="33">
    <w:name w:val="Title"/>
    <w:basedOn w:val="724"/>
    <w:next w:val="724"/>
    <w:link w:val="34"/>
    <w:uiPriority w:val="10"/>
    <w:qFormat/>
    <w:pPr>
      <w:contextualSpacing/>
      <w:spacing w:before="300" w:after="200"/>
    </w:pPr>
    <w:rPr>
      <w:sz w:val="48"/>
      <w:szCs w:val="48"/>
    </w:rPr>
  </w:style>
  <w:style w:type="character" w:styleId="34">
    <w:name w:val="Title Char"/>
    <w:basedOn w:val="734"/>
    <w:link w:val="33"/>
    <w:uiPriority w:val="10"/>
    <w:rPr>
      <w:sz w:val="48"/>
      <w:szCs w:val="48"/>
    </w:rPr>
  </w:style>
  <w:style w:type="paragraph" w:styleId="35">
    <w:name w:val="Subtitle"/>
    <w:basedOn w:val="724"/>
    <w:next w:val="724"/>
    <w:link w:val="36"/>
    <w:uiPriority w:val="11"/>
    <w:qFormat/>
    <w:pPr>
      <w:spacing w:before="200" w:after="200"/>
    </w:pPr>
    <w:rPr>
      <w:sz w:val="24"/>
      <w:szCs w:val="24"/>
    </w:rPr>
  </w:style>
  <w:style w:type="character" w:styleId="36">
    <w:name w:val="Subtitle Char"/>
    <w:basedOn w:val="734"/>
    <w:link w:val="35"/>
    <w:uiPriority w:val="11"/>
    <w:rPr>
      <w:sz w:val="24"/>
      <w:szCs w:val="24"/>
    </w:rPr>
  </w:style>
  <w:style w:type="paragraph" w:styleId="37">
    <w:name w:val="Quote"/>
    <w:basedOn w:val="724"/>
    <w:next w:val="724"/>
    <w:link w:val="38"/>
    <w:uiPriority w:val="29"/>
    <w:qFormat/>
    <w:pPr>
      <w:ind w:left="720" w:right="720"/>
    </w:pPr>
    <w:rPr>
      <w:i/>
    </w:rPr>
  </w:style>
  <w:style w:type="character" w:styleId="38">
    <w:name w:val="Quote Char"/>
    <w:link w:val="37"/>
    <w:uiPriority w:val="29"/>
    <w:rPr>
      <w:i/>
    </w:rPr>
  </w:style>
  <w:style w:type="paragraph" w:styleId="39">
    <w:name w:val="Intense Quote"/>
    <w:basedOn w:val="724"/>
    <w:next w:val="7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4"/>
    <w:link w:val="756"/>
    <w:uiPriority w:val="99"/>
  </w:style>
  <w:style w:type="character" w:styleId="44">
    <w:name w:val="Footer Char"/>
    <w:basedOn w:val="734"/>
    <w:link w:val="754"/>
    <w:uiPriority w:val="99"/>
  </w:style>
  <w:style w:type="paragraph" w:styleId="45">
    <w:name w:val="Caption"/>
    <w:basedOn w:val="724"/>
    <w:next w:val="724"/>
    <w:uiPriority w:val="35"/>
    <w:semiHidden/>
    <w:unhideWhenUsed/>
    <w:qFormat/>
    <w:pPr>
      <w:spacing w:line="276" w:lineRule="auto"/>
    </w:pPr>
    <w:rPr>
      <w:b/>
      <w:bCs/>
      <w:color w:val="4f81bd" w:themeColor="accent1"/>
      <w:sz w:val="18"/>
      <w:szCs w:val="18"/>
    </w:rPr>
  </w:style>
  <w:style w:type="character" w:styleId="46">
    <w:name w:val="Caption Char"/>
    <w:basedOn w:val="45"/>
    <w:link w:val="754"/>
    <w:uiPriority w:val="99"/>
  </w:style>
  <w:style w:type="table" w:styleId="48">
    <w:name w:val="Table Grid Light"/>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4"/>
    <w:uiPriority w:val="99"/>
    <w:unhideWhenUsed/>
    <w:rPr>
      <w:vertAlign w:val="superscript"/>
    </w:rPr>
  </w:style>
  <w:style w:type="paragraph" w:styleId="177">
    <w:name w:val="endnote text"/>
    <w:basedOn w:val="7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4"/>
    <w:uiPriority w:val="99"/>
    <w:semiHidden/>
    <w:unhideWhenUsed/>
    <w:rPr>
      <w:vertAlign w:val="superscript"/>
    </w:rPr>
  </w:style>
  <w:style w:type="paragraph" w:styleId="189">
    <w:name w:val="TOC Heading"/>
    <w:uiPriority w:val="39"/>
    <w:unhideWhenUsed/>
  </w:style>
  <w:style w:type="paragraph" w:styleId="72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25">
    <w:name w:val="Heading 1"/>
    <w:basedOn w:val="724"/>
    <w:next w:val="724"/>
    <w:link w:val="782"/>
    <w:uiPriority w:val="0"/>
    <w:qFormat/>
    <w:pPr>
      <w:jc w:val="center"/>
      <w:keepNext/>
      <w:outlineLvl w:val="0"/>
    </w:pPr>
    <w:rPr>
      <w:rFonts w:ascii="楷体_GB2312" w:eastAsia="楷体_GB2312"/>
      <w:sz w:val="28"/>
      <w:szCs w:val="28"/>
    </w:rPr>
  </w:style>
  <w:style w:type="paragraph" w:styleId="726">
    <w:name w:val="Heading 2"/>
    <w:basedOn w:val="724"/>
    <w:next w:val="736"/>
    <w:link w:val="783"/>
    <w:uiPriority w:val="0"/>
    <w:qFormat/>
    <w:pPr>
      <w:jc w:val="center"/>
      <w:keepLines/>
      <w:keepNext/>
      <w:spacing w:before="260" w:after="260" w:line="416" w:lineRule="auto"/>
      <w:outlineLvl w:val="1"/>
    </w:pPr>
    <w:rPr>
      <w:rFonts w:ascii="Arial" w:hAnsi="Arial" w:eastAsia="幼圆"/>
      <w:b/>
      <w:bCs/>
      <w:sz w:val="44"/>
      <w:szCs w:val="44"/>
    </w:rPr>
  </w:style>
  <w:style w:type="paragraph" w:styleId="727">
    <w:name w:val="Heading 3"/>
    <w:basedOn w:val="724"/>
    <w:next w:val="736"/>
    <w:link w:val="785"/>
    <w:uiPriority w:val="0"/>
    <w:qFormat/>
    <w:pPr>
      <w:keepLines/>
      <w:keepNext/>
      <w:spacing w:before="260" w:after="260" w:line="416" w:lineRule="auto"/>
      <w:outlineLvl w:val="2"/>
    </w:pPr>
    <w:rPr>
      <w:b/>
      <w:bCs/>
      <w:sz w:val="32"/>
      <w:szCs w:val="32"/>
    </w:rPr>
  </w:style>
  <w:style w:type="paragraph" w:styleId="728">
    <w:name w:val="Heading 4"/>
    <w:basedOn w:val="724"/>
    <w:next w:val="736"/>
    <w:link w:val="786"/>
    <w:uiPriority w:val="0"/>
    <w:qFormat/>
    <w:pPr>
      <w:keepLines/>
      <w:keepNext/>
      <w:spacing w:before="280" w:after="290" w:line="376" w:lineRule="auto"/>
      <w:outlineLvl w:val="3"/>
    </w:pPr>
    <w:rPr>
      <w:rFonts w:ascii="Arial" w:hAnsi="Arial" w:eastAsia="黑体"/>
      <w:b/>
      <w:bCs/>
      <w:sz w:val="28"/>
      <w:szCs w:val="28"/>
    </w:rPr>
  </w:style>
  <w:style w:type="paragraph" w:styleId="729">
    <w:name w:val="Heading 5"/>
    <w:basedOn w:val="724"/>
    <w:next w:val="736"/>
    <w:link w:val="787"/>
    <w:uiPriority w:val="0"/>
    <w:qFormat/>
    <w:pPr>
      <w:keepNext/>
      <w:outlineLvl w:val="4"/>
    </w:pPr>
    <w:rPr>
      <w:rFonts w:ascii="宋体"/>
      <w:color w:val="000000"/>
      <w:sz w:val="28"/>
      <w:szCs w:val="28"/>
    </w:rPr>
  </w:style>
  <w:style w:type="paragraph" w:styleId="730">
    <w:name w:val="Heading 6"/>
    <w:basedOn w:val="724"/>
    <w:next w:val="724"/>
    <w:link w:val="78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1">
    <w:name w:val="Heading 7"/>
    <w:basedOn w:val="724"/>
    <w:next w:val="724"/>
    <w:link w:val="789"/>
    <w:uiPriority w:val="0"/>
    <w:qFormat/>
    <w:pPr>
      <w:numPr>
        <w:ilvl w:val="6"/>
        <w:numId w:val="1"/>
      </w:numPr>
      <w:keepLines/>
      <w:keepNext/>
      <w:spacing w:before="240" w:after="64" w:line="320" w:lineRule="auto"/>
      <w:outlineLvl w:val="6"/>
    </w:pPr>
    <w:rPr>
      <w:b/>
      <w:bCs/>
      <w:sz w:val="24"/>
      <w:szCs w:val="24"/>
    </w:rPr>
  </w:style>
  <w:style w:type="paragraph" w:styleId="732">
    <w:name w:val="Heading 8"/>
    <w:basedOn w:val="724"/>
    <w:next w:val="724"/>
    <w:link w:val="79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33">
    <w:name w:val="Heading 9"/>
    <w:basedOn w:val="724"/>
    <w:next w:val="724"/>
    <w:link w:val="791"/>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Normal Indent"/>
    <w:basedOn w:val="724"/>
    <w:next w:val="724"/>
    <w:link w:val="784"/>
    <w:uiPriority w:val="0"/>
    <w:qFormat/>
    <w:pPr>
      <w:ind w:firstLine="420"/>
    </w:pPr>
    <w:rPr>
      <w:sz w:val="20"/>
      <w:szCs w:val="21"/>
    </w:rPr>
  </w:style>
  <w:style w:type="paragraph" w:styleId="737">
    <w:name w:val="List 3"/>
    <w:basedOn w:val="724"/>
    <w:uiPriority w:val="0"/>
    <w:qFormat/>
    <w:pPr>
      <w:ind w:left="100" w:hanging="200"/>
    </w:pPr>
    <w:rPr>
      <w:szCs w:val="21"/>
    </w:rPr>
  </w:style>
  <w:style w:type="paragraph" w:styleId="738">
    <w:name w:val="toc 7"/>
    <w:basedOn w:val="724"/>
    <w:next w:val="724"/>
    <w:uiPriority w:val="0"/>
    <w:semiHidden/>
    <w:qFormat/>
    <w:pPr>
      <w:ind w:left="1260"/>
      <w:jc w:val="left"/>
    </w:pPr>
    <w:rPr>
      <w:szCs w:val="21"/>
    </w:rPr>
  </w:style>
  <w:style w:type="paragraph" w:styleId="739">
    <w:name w:val="Document Map"/>
    <w:basedOn w:val="724"/>
    <w:link w:val="792"/>
    <w:uiPriority w:val="0"/>
    <w:semiHidden/>
    <w:qFormat/>
    <w:pPr>
      <w:shd w:val="clear" w:color="auto" w:fill="000080"/>
    </w:pPr>
    <w:rPr>
      <w:sz w:val="20"/>
      <w:szCs w:val="21"/>
    </w:rPr>
  </w:style>
  <w:style w:type="paragraph" w:styleId="740">
    <w:name w:val="annotation text"/>
    <w:basedOn w:val="724"/>
    <w:link w:val="793"/>
    <w:uiPriority w:val="0"/>
    <w:unhideWhenUsed/>
    <w:qFormat/>
    <w:pPr>
      <w:jc w:val="left"/>
    </w:pPr>
  </w:style>
  <w:style w:type="paragraph" w:styleId="741">
    <w:name w:val="Body Text 3"/>
    <w:basedOn w:val="724"/>
    <w:link w:val="794"/>
    <w:uiPriority w:val="0"/>
    <w:qFormat/>
    <w:rPr>
      <w:rFonts w:ascii="仿宋_GB2312" w:hAnsi="Arial" w:eastAsia="仿宋_GB2312"/>
      <w:sz w:val="32"/>
      <w:szCs w:val="32"/>
    </w:rPr>
  </w:style>
  <w:style w:type="paragraph" w:styleId="742">
    <w:name w:val="Body Text"/>
    <w:basedOn w:val="724"/>
    <w:next w:val="743"/>
    <w:link w:val="795"/>
    <w:uiPriority w:val="0"/>
    <w:qFormat/>
    <w:rPr>
      <w:rFonts w:ascii="楷体_GB2312" w:hAnsi="Arial" w:eastAsia="楷体_GB2312"/>
      <w:sz w:val="28"/>
      <w:szCs w:val="28"/>
    </w:rPr>
  </w:style>
  <w:style w:type="paragraph" w:styleId="743" w:customStyle="1">
    <w:name w:val="Default"/>
    <w:uiPriority w:val="0"/>
    <w:qFormat/>
    <w:pPr>
      <w:widowControl w:val="off"/>
    </w:pPr>
    <w:rPr>
      <w:rFonts w:hint="eastAsia" w:ascii="宋体" w:hAnsi="Calibri" w:eastAsia="宋体" w:cs="Times New Roman"/>
      <w:color w:val="000000"/>
      <w:sz w:val="24"/>
      <w:szCs w:val="24"/>
      <w:lang w:val="en-US" w:eastAsia="zh-CN" w:bidi="ar-SA"/>
    </w:rPr>
  </w:style>
  <w:style w:type="paragraph" w:styleId="744">
    <w:name w:val="Body Text Indent"/>
    <w:basedOn w:val="724"/>
    <w:link w:val="796"/>
    <w:uiPriority w:val="0"/>
    <w:unhideWhenUsed/>
    <w:qFormat/>
    <w:pPr>
      <w:ind w:left="420"/>
      <w:spacing w:after="120"/>
    </w:pPr>
  </w:style>
  <w:style w:type="paragraph" w:styleId="745">
    <w:name w:val="List 2"/>
    <w:basedOn w:val="724"/>
    <w:uiPriority w:val="0"/>
    <w:qFormat/>
    <w:pPr>
      <w:ind w:left="100" w:hanging="200"/>
    </w:pPr>
    <w:rPr>
      <w:szCs w:val="21"/>
    </w:rPr>
  </w:style>
  <w:style w:type="paragraph" w:styleId="746">
    <w:name w:val="index 4"/>
    <w:basedOn w:val="724"/>
    <w:next w:val="724"/>
    <w:uiPriority w:val="99"/>
    <w:semiHidden/>
    <w:unhideWhenUsed/>
    <w:qFormat/>
    <w:pPr>
      <w:ind w:left="600"/>
    </w:pPr>
  </w:style>
  <w:style w:type="paragraph" w:styleId="747">
    <w:name w:val="toc 5"/>
    <w:basedOn w:val="724"/>
    <w:next w:val="724"/>
    <w:uiPriority w:val="0"/>
    <w:semiHidden/>
    <w:qFormat/>
    <w:pPr>
      <w:ind w:left="840"/>
      <w:jc w:val="left"/>
    </w:pPr>
    <w:rPr>
      <w:szCs w:val="21"/>
    </w:rPr>
  </w:style>
  <w:style w:type="paragraph" w:styleId="748">
    <w:name w:val="toc 3"/>
    <w:basedOn w:val="724"/>
    <w:next w:val="724"/>
    <w:uiPriority w:val="0"/>
    <w:semiHidden/>
    <w:qFormat/>
    <w:pPr>
      <w:ind w:left="420"/>
      <w:jc w:val="left"/>
    </w:pPr>
    <w:rPr>
      <w:i/>
      <w:iCs/>
      <w:szCs w:val="24"/>
    </w:rPr>
  </w:style>
  <w:style w:type="paragraph" w:styleId="749">
    <w:name w:val="Plain Text"/>
    <w:basedOn w:val="724"/>
    <w:link w:val="797"/>
    <w:uiPriority w:val="0"/>
    <w:qFormat/>
    <w:rPr>
      <w:rFonts w:ascii="宋体" w:hAnsi="Courier New"/>
      <w:sz w:val="20"/>
      <w:szCs w:val="21"/>
    </w:rPr>
  </w:style>
  <w:style w:type="paragraph" w:styleId="750">
    <w:name w:val="toc 8"/>
    <w:basedOn w:val="724"/>
    <w:next w:val="724"/>
    <w:uiPriority w:val="0"/>
    <w:semiHidden/>
    <w:qFormat/>
    <w:pPr>
      <w:ind w:left="1470"/>
      <w:jc w:val="left"/>
    </w:pPr>
    <w:rPr>
      <w:szCs w:val="21"/>
    </w:rPr>
  </w:style>
  <w:style w:type="paragraph" w:styleId="751">
    <w:name w:val="Date"/>
    <w:basedOn w:val="724"/>
    <w:next w:val="724"/>
    <w:link w:val="798"/>
    <w:uiPriority w:val="0"/>
    <w:qFormat/>
    <w:rPr>
      <w:sz w:val="24"/>
      <w:szCs w:val="24"/>
    </w:rPr>
  </w:style>
  <w:style w:type="paragraph" w:styleId="752">
    <w:name w:val="Body Text Indent 2"/>
    <w:basedOn w:val="724"/>
    <w:link w:val="799"/>
    <w:uiPriority w:val="0"/>
    <w:qFormat/>
    <w:pPr>
      <w:ind w:left="630" w:firstLine="645"/>
    </w:pPr>
    <w:rPr>
      <w:rFonts w:ascii="Arial" w:hAnsi="Arial" w:eastAsia="仿宋_GB2312"/>
      <w:sz w:val="32"/>
      <w:szCs w:val="32"/>
    </w:rPr>
  </w:style>
  <w:style w:type="paragraph" w:styleId="753">
    <w:name w:val="Balloon Text"/>
    <w:basedOn w:val="724"/>
    <w:link w:val="800"/>
    <w:uiPriority w:val="0"/>
    <w:semiHidden/>
    <w:qFormat/>
    <w:rPr>
      <w:sz w:val="18"/>
      <w:szCs w:val="18"/>
    </w:rPr>
  </w:style>
  <w:style w:type="paragraph" w:styleId="754">
    <w:name w:val="Footer"/>
    <w:basedOn w:val="724"/>
    <w:link w:val="801"/>
    <w:uiPriority w:val="99"/>
    <w:qFormat/>
    <w:pPr>
      <w:jc w:val="left"/>
      <w:tabs>
        <w:tab w:val="center" w:pos="4153" w:leader="none"/>
        <w:tab w:val="right" w:pos="8306" w:leader="none"/>
      </w:tabs>
    </w:pPr>
    <w:rPr>
      <w:sz w:val="18"/>
      <w:szCs w:val="18"/>
    </w:rPr>
  </w:style>
  <w:style w:type="paragraph" w:styleId="755">
    <w:name w:val="envelope return"/>
    <w:basedOn w:val="724"/>
    <w:uiPriority w:val="99"/>
    <w:unhideWhenUsed/>
    <w:qFormat/>
    <w:rPr>
      <w:rFonts w:ascii="Arial" w:hAnsi="Arial"/>
    </w:rPr>
  </w:style>
  <w:style w:type="paragraph" w:styleId="756">
    <w:name w:val="Header"/>
    <w:basedOn w:val="724"/>
    <w:link w:val="802"/>
    <w:uiPriority w:val="0"/>
    <w:qFormat/>
    <w:pPr>
      <w:jc w:val="center"/>
      <w:tabs>
        <w:tab w:val="center" w:pos="4153" w:leader="none"/>
        <w:tab w:val="right" w:pos="8306" w:leader="none"/>
      </w:tabs>
      <w:pBdr>
        <w:bottom w:val="single" w:color="auto" w:sz="6" w:space="1"/>
      </w:pBdr>
    </w:pPr>
    <w:rPr>
      <w:sz w:val="18"/>
      <w:szCs w:val="18"/>
    </w:rPr>
  </w:style>
  <w:style w:type="paragraph" w:styleId="757">
    <w:name w:val="toc 1"/>
    <w:basedOn w:val="724"/>
    <w:next w:val="724"/>
    <w:uiPriority w:val="0"/>
    <w:semiHidden/>
    <w:qFormat/>
    <w:pPr>
      <w:jc w:val="left"/>
      <w:spacing w:before="120" w:after="120" w:line="400" w:lineRule="exact"/>
      <w:tabs>
        <w:tab w:val="right" w:pos="8720" w:leader="dot"/>
      </w:tabs>
    </w:pPr>
    <w:rPr>
      <w:rFonts w:ascii="宋体" w:hAnsi="宋体"/>
      <w:caps/>
      <w:sz w:val="24"/>
      <w:szCs w:val="24"/>
    </w:rPr>
  </w:style>
  <w:style w:type="paragraph" w:styleId="758">
    <w:name w:val="toc 4"/>
    <w:basedOn w:val="724"/>
    <w:next w:val="724"/>
    <w:uiPriority w:val="0"/>
    <w:semiHidden/>
    <w:qFormat/>
    <w:pPr>
      <w:ind w:left="630"/>
      <w:jc w:val="left"/>
    </w:pPr>
    <w:rPr>
      <w:szCs w:val="21"/>
    </w:rPr>
  </w:style>
  <w:style w:type="paragraph" w:styleId="759">
    <w:name w:val="List"/>
    <w:basedOn w:val="724"/>
    <w:uiPriority w:val="0"/>
    <w:qFormat/>
    <w:pPr>
      <w:ind w:left="200" w:hanging="200"/>
    </w:pPr>
    <w:rPr>
      <w:szCs w:val="21"/>
    </w:rPr>
  </w:style>
  <w:style w:type="paragraph" w:styleId="760">
    <w:name w:val="toc 6"/>
    <w:basedOn w:val="724"/>
    <w:next w:val="724"/>
    <w:uiPriority w:val="0"/>
    <w:semiHidden/>
    <w:qFormat/>
    <w:pPr>
      <w:ind w:left="1050"/>
      <w:jc w:val="left"/>
    </w:pPr>
    <w:rPr>
      <w:szCs w:val="21"/>
    </w:rPr>
  </w:style>
  <w:style w:type="paragraph" w:styleId="761">
    <w:name w:val="Body Text Indent 3"/>
    <w:basedOn w:val="724"/>
    <w:link w:val="803"/>
    <w:uiPriority w:val="0"/>
    <w:qFormat/>
    <w:pPr>
      <w:ind w:left="645" w:firstLine="645"/>
    </w:pPr>
    <w:rPr>
      <w:rFonts w:ascii="Arial" w:hAnsi="Arial" w:eastAsia="仿宋_GB2312"/>
      <w:color w:val="ffff00"/>
      <w:sz w:val="32"/>
      <w:szCs w:val="32"/>
    </w:rPr>
  </w:style>
  <w:style w:type="paragraph" w:styleId="762">
    <w:name w:val="table of figures"/>
    <w:basedOn w:val="724"/>
    <w:next w:val="724"/>
    <w:uiPriority w:val="0"/>
    <w:semiHidden/>
    <w:qFormat/>
    <w:pPr>
      <w:ind w:left="840" w:hanging="420"/>
    </w:pPr>
    <w:rPr>
      <w:szCs w:val="21"/>
    </w:rPr>
  </w:style>
  <w:style w:type="paragraph" w:styleId="763">
    <w:name w:val="toc 2"/>
    <w:basedOn w:val="724"/>
    <w:next w:val="724"/>
    <w:uiPriority w:val="0"/>
    <w:semiHidden/>
    <w:qFormat/>
    <w:pPr>
      <w:ind w:left="210"/>
      <w:jc w:val="left"/>
    </w:pPr>
    <w:rPr>
      <w:smallCaps/>
      <w:szCs w:val="24"/>
    </w:rPr>
  </w:style>
  <w:style w:type="paragraph" w:styleId="764">
    <w:name w:val="toc 9"/>
    <w:basedOn w:val="724"/>
    <w:next w:val="724"/>
    <w:uiPriority w:val="0"/>
    <w:semiHidden/>
    <w:qFormat/>
    <w:pPr>
      <w:ind w:left="1680"/>
      <w:jc w:val="left"/>
    </w:pPr>
    <w:rPr>
      <w:szCs w:val="21"/>
    </w:rPr>
  </w:style>
  <w:style w:type="paragraph" w:styleId="765">
    <w:name w:val="Body Text 2"/>
    <w:basedOn w:val="724"/>
    <w:link w:val="804"/>
    <w:uiPriority w:val="0"/>
    <w:qFormat/>
    <w:pPr>
      <w:jc w:val="center"/>
      <w:widowControl/>
    </w:pPr>
    <w:rPr>
      <w:rFonts w:ascii="楷体_GB2312" w:eastAsia="楷体_GB2312"/>
      <w:sz w:val="28"/>
      <w:szCs w:val="28"/>
    </w:rPr>
  </w:style>
  <w:style w:type="paragraph" w:styleId="766">
    <w:name w:val="Normal (Web)"/>
    <w:basedOn w:val="724"/>
    <w:uiPriority w:val="99"/>
    <w:qFormat/>
    <w:pPr>
      <w:jc w:val="left"/>
      <w:spacing w:before="100" w:beforeAutospacing="1" w:after="100" w:afterAutospacing="1"/>
      <w:widowControl/>
    </w:pPr>
    <w:rPr>
      <w:rFonts w:ascii="宋体" w:hAnsi="宋体" w:cs="宋体"/>
      <w:sz w:val="24"/>
      <w:szCs w:val="24"/>
    </w:rPr>
  </w:style>
  <w:style w:type="paragraph" w:styleId="767">
    <w:name w:val="index 1"/>
    <w:basedOn w:val="724"/>
    <w:next w:val="724"/>
    <w:uiPriority w:val="0"/>
    <w:semiHidden/>
    <w:qFormat/>
    <w:pPr>
      <w:spacing w:line="240" w:lineRule="atLeast"/>
    </w:pPr>
    <w:rPr>
      <w:b/>
      <w:bCs/>
      <w:szCs w:val="21"/>
    </w:rPr>
  </w:style>
  <w:style w:type="paragraph" w:styleId="768">
    <w:name w:val="annotation subject"/>
    <w:basedOn w:val="740"/>
    <w:next w:val="740"/>
    <w:link w:val="805"/>
    <w:uiPriority w:val="0"/>
    <w:semiHidden/>
    <w:qFormat/>
    <w:rPr>
      <w:b/>
      <w:bCs/>
      <w:sz w:val="20"/>
      <w:szCs w:val="21"/>
    </w:rPr>
  </w:style>
  <w:style w:type="paragraph" w:styleId="769">
    <w:name w:val="Body Text First Indent"/>
    <w:basedOn w:val="742"/>
    <w:next w:val="770"/>
    <w:link w:val="806"/>
    <w:uiPriority w:val="0"/>
    <w:qFormat/>
    <w:pPr>
      <w:ind w:firstLine="200"/>
      <w:spacing w:line="360" w:lineRule="auto"/>
    </w:pPr>
    <w:rPr>
      <w:rFonts w:ascii="仿宋_GB2312" w:eastAsia="仿宋_GB2312"/>
      <w:sz w:val="30"/>
      <w:szCs w:val="30"/>
    </w:rPr>
  </w:style>
  <w:style w:type="paragraph" w:styleId="770">
    <w:name w:val="Body Text First Indent 2"/>
    <w:basedOn w:val="744"/>
    <w:next w:val="769"/>
    <w:link w:val="807"/>
    <w:uiPriority w:val="0"/>
    <w:qFormat/>
    <w:pPr>
      <w:ind w:left="0" w:firstLine="420"/>
      <w:spacing w:after="0" w:line="360" w:lineRule="auto"/>
    </w:pPr>
    <w:rPr>
      <w:rFonts w:ascii="宋体" w:hAnsi="宋体"/>
      <w:sz w:val="20"/>
      <w:szCs w:val="20"/>
    </w:rPr>
  </w:style>
  <w:style w:type="table" w:styleId="771">
    <w:name w:val="Table Grid"/>
    <w:basedOn w:val="7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uiPriority w:val="0"/>
    <w:qFormat/>
    <w:rPr>
      <w:b/>
      <w:bCs/>
    </w:rPr>
  </w:style>
  <w:style w:type="character" w:styleId="773">
    <w:name w:val="page number"/>
    <w:uiPriority w:val="0"/>
    <w:qFormat/>
  </w:style>
  <w:style w:type="character" w:styleId="774">
    <w:name w:val="FollowedHyperlink"/>
    <w:uiPriority w:val="0"/>
    <w:qFormat/>
    <w:rPr>
      <w:color w:val="800080"/>
      <w:u w:val="single"/>
    </w:rPr>
  </w:style>
  <w:style w:type="character" w:styleId="775">
    <w:name w:val="Hyperlink"/>
    <w:uiPriority w:val="0"/>
    <w:qFormat/>
    <w:rPr>
      <w:color w:val="0000ff"/>
      <w:u w:val="single"/>
    </w:rPr>
  </w:style>
  <w:style w:type="character" w:styleId="776">
    <w:name w:val="annotation reference"/>
    <w:uiPriority w:val="0"/>
    <w:semiHidden/>
    <w:qFormat/>
    <w:rPr>
      <w:sz w:val="21"/>
      <w:szCs w:val="21"/>
    </w:rPr>
  </w:style>
  <w:style w:type="paragraph" w:styleId="777" w:customStyle="1">
    <w:name w:val="正文文本1"/>
    <w:basedOn w:val="724"/>
    <w:next w:val="778"/>
    <w:uiPriority w:val="0"/>
    <w:qFormat/>
    <w:rPr>
      <w:rFonts w:ascii="楷体_GB2312" w:hAnsi="Arial" w:eastAsia="楷体_GB2312"/>
      <w:sz w:val="28"/>
      <w:szCs w:val="28"/>
    </w:rPr>
  </w:style>
  <w:style w:type="paragraph" w:styleId="778" w:customStyle="1">
    <w:name w:val="目录 21"/>
    <w:basedOn w:val="724"/>
    <w:next w:val="724"/>
    <w:uiPriority w:val="0"/>
    <w:semiHidden/>
    <w:qFormat/>
    <w:pPr>
      <w:ind w:left="420"/>
    </w:pPr>
  </w:style>
  <w:style w:type="paragraph" w:styleId="779" w:customStyle="1">
    <w:name w:val="段"/>
    <w:next w:val="724"/>
    <w:uiPriority w:val="0"/>
    <w:qFormat/>
    <w:pPr>
      <w:ind w:firstLine="200"/>
      <w:jc w:val="both"/>
    </w:pPr>
    <w:rPr>
      <w:rFonts w:ascii="宋体" w:hAnsi="Calibri" w:eastAsia="宋体" w:cs="Times New Roman"/>
      <w:sz w:val="21"/>
      <w:lang w:val="en-US" w:eastAsia="zh-CN" w:bidi="ar-SA"/>
    </w:rPr>
  </w:style>
  <w:style w:type="paragraph" w:styleId="780" w:customStyle="1">
    <w:name w:val="列出段落1"/>
    <w:basedOn w:val="724"/>
    <w:link w:val="811"/>
    <w:uiPriority w:val="0"/>
    <w:qFormat/>
    <w:pPr>
      <w:contextualSpacing/>
      <w:ind w:left="720"/>
      <w:jc w:val="left"/>
      <w:widowControl/>
    </w:pPr>
    <w:rPr>
      <w:sz w:val="24"/>
      <w:szCs w:val="24"/>
      <w:lang w:eastAsia="en-US" w:bidi="en-US"/>
    </w:rPr>
  </w:style>
  <w:style w:type="paragraph" w:styleId="781" w:customStyle="1">
    <w:name w:val="正文（缩进）"/>
    <w:basedOn w:val="724"/>
    <w:uiPriority w:val="0"/>
    <w:qFormat/>
    <w:pPr>
      <w:ind w:firstLine="480"/>
    </w:pPr>
  </w:style>
  <w:style w:type="character" w:styleId="782" w:customStyle="1">
    <w:name w:val="标题 1 Char"/>
    <w:link w:val="725"/>
    <w:uiPriority w:val="0"/>
    <w:qFormat/>
    <w:rPr>
      <w:rFonts w:ascii="楷体_GB2312" w:hAnsi="Times New Roman" w:eastAsia="楷体_GB2312" w:cs="Times New Roman"/>
      <w:sz w:val="28"/>
      <w:szCs w:val="28"/>
    </w:rPr>
  </w:style>
  <w:style w:type="character" w:styleId="783" w:customStyle="1">
    <w:name w:val="标题 2 Char"/>
    <w:link w:val="726"/>
    <w:uiPriority w:val="0"/>
    <w:qFormat/>
    <w:rPr>
      <w:rFonts w:ascii="Arial" w:hAnsi="Arial" w:eastAsia="幼圆" w:cs="Arial"/>
      <w:b/>
      <w:bCs/>
      <w:sz w:val="44"/>
      <w:szCs w:val="44"/>
    </w:rPr>
  </w:style>
  <w:style w:type="character" w:styleId="784" w:customStyle="1">
    <w:name w:val="正文缩进 Char"/>
    <w:link w:val="736"/>
    <w:uiPriority w:val="0"/>
    <w:qFormat/>
    <w:rPr>
      <w:szCs w:val="21"/>
    </w:rPr>
  </w:style>
  <w:style w:type="character" w:styleId="785" w:customStyle="1">
    <w:name w:val="标题 3 Char"/>
    <w:link w:val="727"/>
    <w:uiPriority w:val="0"/>
    <w:qFormat/>
    <w:rPr>
      <w:rFonts w:ascii="Times New Roman" w:hAnsi="Times New Roman" w:eastAsia="宋体" w:cs="Times New Roman"/>
      <w:b/>
      <w:bCs/>
      <w:sz w:val="32"/>
      <w:szCs w:val="32"/>
    </w:rPr>
  </w:style>
  <w:style w:type="character" w:styleId="786" w:customStyle="1">
    <w:name w:val="标题 4 Char"/>
    <w:link w:val="728"/>
    <w:uiPriority w:val="0"/>
    <w:qFormat/>
    <w:rPr>
      <w:rFonts w:ascii="Arial" w:hAnsi="Arial" w:eastAsia="黑体" w:cs="Arial"/>
      <w:b/>
      <w:bCs/>
      <w:sz w:val="28"/>
      <w:szCs w:val="28"/>
    </w:rPr>
  </w:style>
  <w:style w:type="character" w:styleId="787" w:customStyle="1">
    <w:name w:val="标题 5 Char"/>
    <w:link w:val="729"/>
    <w:uiPriority w:val="0"/>
    <w:qFormat/>
    <w:rPr>
      <w:rFonts w:ascii="宋体" w:hAnsi="Times New Roman" w:eastAsia="宋体" w:cs="Times New Roman"/>
      <w:color w:val="000000"/>
      <w:sz w:val="28"/>
      <w:szCs w:val="28"/>
    </w:rPr>
  </w:style>
  <w:style w:type="character" w:styleId="788" w:customStyle="1">
    <w:name w:val="标题 6 Char"/>
    <w:link w:val="730"/>
    <w:uiPriority w:val="0"/>
    <w:qFormat/>
    <w:rPr>
      <w:rFonts w:ascii="Arial" w:hAnsi="Arial" w:eastAsia="黑体" w:cs="Times New Roman"/>
      <w:b/>
      <w:bCs/>
      <w:sz w:val="24"/>
      <w:szCs w:val="24"/>
    </w:rPr>
  </w:style>
  <w:style w:type="character" w:styleId="789" w:customStyle="1">
    <w:name w:val="标题 7 Char"/>
    <w:link w:val="731"/>
    <w:uiPriority w:val="0"/>
    <w:qFormat/>
    <w:rPr>
      <w:rFonts w:ascii="Times New Roman" w:hAnsi="Times New Roman" w:eastAsia="宋体" w:cs="Times New Roman"/>
      <w:b/>
      <w:bCs/>
      <w:sz w:val="24"/>
      <w:szCs w:val="24"/>
    </w:rPr>
  </w:style>
  <w:style w:type="character" w:styleId="790" w:customStyle="1">
    <w:name w:val="标题 8 Char"/>
    <w:link w:val="732"/>
    <w:uiPriority w:val="0"/>
    <w:qFormat/>
    <w:rPr>
      <w:rFonts w:ascii="Arial" w:hAnsi="Arial" w:eastAsia="黑体" w:cs="Times New Roman"/>
      <w:sz w:val="24"/>
      <w:szCs w:val="24"/>
    </w:rPr>
  </w:style>
  <w:style w:type="character" w:styleId="791" w:customStyle="1">
    <w:name w:val="标题 9 Char"/>
    <w:link w:val="733"/>
    <w:uiPriority w:val="0"/>
    <w:qFormat/>
    <w:rPr>
      <w:rFonts w:ascii="Arial" w:hAnsi="Arial" w:eastAsia="黑体" w:cs="Times New Roman"/>
      <w:szCs w:val="21"/>
    </w:rPr>
  </w:style>
  <w:style w:type="character" w:styleId="792" w:customStyle="1">
    <w:name w:val="文档结构图 Char"/>
    <w:link w:val="739"/>
    <w:uiPriority w:val="0"/>
    <w:semiHidden/>
    <w:qFormat/>
    <w:rPr>
      <w:rFonts w:ascii="Times New Roman" w:hAnsi="Times New Roman" w:eastAsia="宋体" w:cs="Times New Roman"/>
      <w:szCs w:val="21"/>
      <w:shd w:val="clear" w:color="auto" w:fill="000080"/>
    </w:rPr>
  </w:style>
  <w:style w:type="character" w:styleId="793" w:customStyle="1">
    <w:name w:val="批注文字 Char"/>
    <w:link w:val="740"/>
    <w:uiPriority w:val="99"/>
    <w:semiHidden/>
    <w:qFormat/>
  </w:style>
  <w:style w:type="character" w:styleId="794" w:customStyle="1">
    <w:name w:val="正文文本 3 Char"/>
    <w:link w:val="741"/>
    <w:uiPriority w:val="0"/>
    <w:qFormat/>
    <w:rPr>
      <w:rFonts w:ascii="仿宋_GB2312" w:hAnsi="Arial" w:eastAsia="仿宋_GB2312" w:cs="Times New Roman"/>
      <w:sz w:val="32"/>
      <w:szCs w:val="32"/>
    </w:rPr>
  </w:style>
  <w:style w:type="character" w:styleId="795" w:customStyle="1">
    <w:name w:val="正文文本 Char"/>
    <w:link w:val="742"/>
    <w:uiPriority w:val="0"/>
    <w:qFormat/>
    <w:rPr>
      <w:rFonts w:ascii="楷体_GB2312" w:hAnsi="Arial" w:eastAsia="楷体_GB2312" w:cs="Times New Roman"/>
      <w:sz w:val="28"/>
      <w:szCs w:val="28"/>
    </w:rPr>
  </w:style>
  <w:style w:type="character" w:styleId="796" w:customStyle="1">
    <w:name w:val="正文文本缩进 Char"/>
    <w:link w:val="744"/>
    <w:uiPriority w:val="99"/>
    <w:semiHidden/>
    <w:qFormat/>
  </w:style>
  <w:style w:type="character" w:styleId="797" w:customStyle="1">
    <w:name w:val="纯文本 Char"/>
    <w:link w:val="749"/>
    <w:uiPriority w:val="0"/>
    <w:qFormat/>
    <w:rPr>
      <w:rFonts w:ascii="宋体" w:hAnsi="Courier New" w:eastAsia="宋体" w:cs="Courier New"/>
      <w:szCs w:val="21"/>
    </w:rPr>
  </w:style>
  <w:style w:type="character" w:styleId="798" w:customStyle="1">
    <w:name w:val="日期 Char"/>
    <w:link w:val="751"/>
    <w:uiPriority w:val="0"/>
    <w:qFormat/>
    <w:rPr>
      <w:rFonts w:ascii="Times New Roman" w:hAnsi="Times New Roman" w:eastAsia="宋体" w:cs="Times New Roman"/>
      <w:sz w:val="24"/>
      <w:szCs w:val="24"/>
    </w:rPr>
  </w:style>
  <w:style w:type="character" w:styleId="799" w:customStyle="1">
    <w:name w:val="正文文本缩进 2 Char"/>
    <w:link w:val="752"/>
    <w:uiPriority w:val="0"/>
    <w:qFormat/>
    <w:rPr>
      <w:rFonts w:ascii="Arial" w:hAnsi="Arial" w:eastAsia="仿宋_GB2312" w:cs="Arial"/>
      <w:sz w:val="32"/>
      <w:szCs w:val="32"/>
    </w:rPr>
  </w:style>
  <w:style w:type="character" w:styleId="800" w:customStyle="1">
    <w:name w:val="批注框文本 Char"/>
    <w:link w:val="753"/>
    <w:uiPriority w:val="0"/>
    <w:semiHidden/>
    <w:qFormat/>
    <w:rPr>
      <w:rFonts w:ascii="Times New Roman" w:hAnsi="Times New Roman" w:eastAsia="宋体" w:cs="Times New Roman"/>
      <w:sz w:val="18"/>
      <w:szCs w:val="18"/>
    </w:rPr>
  </w:style>
  <w:style w:type="character" w:styleId="801" w:customStyle="1">
    <w:name w:val="页脚 Char"/>
    <w:link w:val="754"/>
    <w:uiPriority w:val="99"/>
    <w:qFormat/>
    <w:rPr>
      <w:rFonts w:ascii="Times New Roman" w:hAnsi="Times New Roman" w:eastAsia="宋体" w:cs="Times New Roman"/>
      <w:sz w:val="18"/>
      <w:szCs w:val="18"/>
    </w:rPr>
  </w:style>
  <w:style w:type="character" w:styleId="802" w:customStyle="1">
    <w:name w:val="页眉 Char"/>
    <w:link w:val="756"/>
    <w:uiPriority w:val="0"/>
    <w:qFormat/>
    <w:rPr>
      <w:rFonts w:ascii="Times New Roman" w:hAnsi="Times New Roman" w:eastAsia="宋体" w:cs="Times New Roman"/>
      <w:sz w:val="18"/>
      <w:szCs w:val="18"/>
    </w:rPr>
  </w:style>
  <w:style w:type="character" w:styleId="803" w:customStyle="1">
    <w:name w:val="正文文本缩进 3 Char"/>
    <w:link w:val="761"/>
    <w:uiPriority w:val="0"/>
    <w:qFormat/>
    <w:rPr>
      <w:rFonts w:ascii="Arial" w:hAnsi="Arial" w:eastAsia="仿宋_GB2312" w:cs="Arial"/>
      <w:color w:val="ffff00"/>
      <w:sz w:val="32"/>
      <w:szCs w:val="32"/>
    </w:rPr>
  </w:style>
  <w:style w:type="character" w:styleId="804" w:customStyle="1">
    <w:name w:val="正文文本 2 Char"/>
    <w:link w:val="765"/>
    <w:uiPriority w:val="0"/>
    <w:qFormat/>
    <w:rPr>
      <w:rFonts w:ascii="楷体_GB2312" w:hAnsi="Times New Roman" w:eastAsia="楷体_GB2312" w:cs="Times New Roman"/>
      <w:sz w:val="28"/>
      <w:szCs w:val="28"/>
    </w:rPr>
  </w:style>
  <w:style w:type="character" w:styleId="805" w:customStyle="1">
    <w:name w:val="批注主题 Char"/>
    <w:link w:val="768"/>
    <w:uiPriority w:val="0"/>
    <w:semiHidden/>
    <w:qFormat/>
    <w:rPr>
      <w:rFonts w:ascii="Times New Roman" w:hAnsi="Times New Roman" w:eastAsia="宋体" w:cs="Times New Roman"/>
      <w:b/>
      <w:bCs/>
      <w:szCs w:val="21"/>
    </w:rPr>
  </w:style>
  <w:style w:type="character" w:styleId="806" w:customStyle="1">
    <w:name w:val="正文首行缩进 Char"/>
    <w:link w:val="769"/>
    <w:uiPriority w:val="0"/>
    <w:qFormat/>
    <w:rPr>
      <w:rFonts w:ascii="仿宋_GB2312" w:hAnsi="Times New Roman" w:eastAsia="仿宋_GB2312" w:cs="Times New Roman"/>
      <w:sz w:val="30"/>
      <w:szCs w:val="30"/>
    </w:rPr>
  </w:style>
  <w:style w:type="character" w:styleId="807" w:customStyle="1">
    <w:name w:val="正文首行缩进 2 Char"/>
    <w:link w:val="770"/>
    <w:uiPriority w:val="0"/>
    <w:qFormat/>
    <w:rPr>
      <w:rFonts w:ascii="宋体" w:hAnsi="宋体" w:eastAsia="宋体" w:cs="Times New Roman"/>
      <w:szCs w:val="20"/>
    </w:rPr>
  </w:style>
  <w:style w:type="character" w:styleId="808" w:customStyle="1">
    <w:name w:val="font5 Char"/>
    <w:uiPriority w:val="0"/>
    <w:qFormat/>
    <w:rPr>
      <w:rFonts w:ascii="宋体" w:hAnsi="宋体" w:eastAsia="宋体"/>
      <w:sz w:val="28"/>
      <w:szCs w:val="28"/>
      <w:lang w:val="en-US" w:eastAsia="zh-CN" w:bidi="ar-SA"/>
    </w:rPr>
  </w:style>
  <w:style w:type="character" w:styleId="809" w:customStyle="1">
    <w:name w:val="二级目录 Char"/>
    <w:link w:val="810"/>
    <w:uiPriority w:val="0"/>
    <w:qFormat/>
    <w:rPr>
      <w:b/>
      <w:sz w:val="30"/>
      <w:szCs w:val="28"/>
    </w:rPr>
  </w:style>
  <w:style w:type="paragraph" w:styleId="810" w:customStyle="1">
    <w:name w:val="二级目录"/>
    <w:next w:val="724"/>
    <w:link w:val="80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811" w:customStyle="1">
    <w:name w:val="列出段落 Char"/>
    <w:link w:val="780"/>
    <w:uiPriority w:val="0"/>
    <w:qFormat/>
    <w:rPr>
      <w:rFonts w:ascii="Calibri" w:hAnsi="Calibri"/>
      <w:sz w:val="24"/>
      <w:szCs w:val="24"/>
      <w:lang w:eastAsia="en-US" w:bidi="en-US"/>
    </w:rPr>
  </w:style>
  <w:style w:type="paragraph" w:styleId="812" w:customStyle="1">
    <w:name w:val="Body Text(ch)"/>
    <w:basedOn w:val="724"/>
    <w:next w:val="742"/>
    <w:uiPriority w:val="0"/>
    <w:qFormat/>
    <w:pPr>
      <w:spacing w:after="120"/>
    </w:pPr>
    <w:rPr>
      <w:rFonts w:ascii="宋体" w:hAnsi="Arial"/>
      <w:bCs/>
      <w:iCs/>
      <w:szCs w:val="24"/>
    </w:rPr>
  </w:style>
  <w:style w:type="paragraph" w:styleId="813" w:customStyle="1">
    <w:name w:val="xl27"/>
    <w:basedOn w:val="72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14" w:customStyle="1">
    <w:name w:val="xl26"/>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15" w:customStyle="1">
    <w:name w:val="Char"/>
    <w:basedOn w:val="724"/>
    <w:uiPriority w:val="0"/>
    <w:qFormat/>
    <w:pPr>
      <w:ind w:firstLine="200"/>
      <w:tabs>
        <w:tab w:val="left" w:pos="360" w:leader="none"/>
      </w:tabs>
    </w:pPr>
    <w:rPr>
      <w:sz w:val="28"/>
      <w:szCs w:val="30"/>
    </w:rPr>
  </w:style>
  <w:style w:type="paragraph" w:styleId="816" w:customStyle="1">
    <w:name w:val="Char1"/>
    <w:basedOn w:val="739"/>
    <w:uiPriority w:val="0"/>
    <w:qFormat/>
    <w:rPr>
      <w:rFonts w:ascii="Tahoma" w:hAnsi="Tahoma"/>
      <w:sz w:val="24"/>
      <w:szCs w:val="24"/>
    </w:rPr>
  </w:style>
  <w:style w:type="paragraph" w:styleId="817" w:customStyle="1">
    <w:name w:val="普通正文"/>
    <w:basedOn w:val="724"/>
    <w:uiPriority w:val="0"/>
    <w:qFormat/>
    <w:pPr>
      <w:ind w:firstLine="480"/>
      <w:jc w:val="left"/>
      <w:spacing w:before="120" w:after="120" w:line="360" w:lineRule="auto"/>
    </w:pPr>
    <w:rPr>
      <w:rFonts w:ascii="Arial" w:hAnsi="Arial"/>
      <w:sz w:val="24"/>
      <w:szCs w:val="24"/>
    </w:rPr>
  </w:style>
  <w:style w:type="paragraph" w:styleId="818" w:customStyle="1">
    <w:name w:val="table_lines"/>
    <w:basedOn w:val="724"/>
    <w:uiPriority w:val="0"/>
    <w:qFormat/>
    <w:pPr>
      <w:jc w:val="left"/>
      <w:widowControl/>
    </w:pPr>
    <w:rPr>
      <w:sz w:val="20"/>
      <w:szCs w:val="20"/>
      <w:lang w:val="de-DE" w:eastAsia="de-DE"/>
    </w:rPr>
  </w:style>
  <w:style w:type="paragraph" w:styleId="81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20" w:customStyle="1">
    <w:name w:val="font7"/>
    <w:basedOn w:val="724"/>
    <w:uiPriority w:val="0"/>
    <w:qFormat/>
    <w:pPr>
      <w:jc w:val="left"/>
      <w:spacing w:before="100" w:beforeAutospacing="1" w:after="100" w:afterAutospacing="1"/>
      <w:widowControl/>
    </w:pPr>
    <w:rPr>
      <w:rFonts w:hint="eastAsia" w:ascii="宋体" w:hAnsi="宋体"/>
      <w:sz w:val="18"/>
      <w:szCs w:val="18"/>
    </w:rPr>
  </w:style>
  <w:style w:type="paragraph" w:styleId="821" w:customStyle="1">
    <w:name w:val="Char Char Char Char"/>
    <w:basedOn w:val="739"/>
    <w:uiPriority w:val="0"/>
    <w:qFormat/>
    <w:pPr>
      <w:spacing w:line="360" w:lineRule="auto"/>
    </w:pPr>
    <w:rPr>
      <w:rFonts w:ascii="Tahoma" w:hAnsi="Tahoma"/>
      <w:sz w:val="24"/>
      <w:szCs w:val="24"/>
    </w:rPr>
  </w:style>
  <w:style w:type="paragraph" w:styleId="822">
    <w:name w:val="List Paragraph"/>
    <w:basedOn w:val="724"/>
    <w:uiPriority w:val="0"/>
    <w:qFormat/>
    <w:pPr>
      <w:contextualSpacing/>
      <w:ind w:left="720"/>
      <w:jc w:val="left"/>
      <w:widowControl/>
    </w:pPr>
    <w:rPr>
      <w:rFonts w:ascii="Calibri" w:hAnsi="Calibri"/>
      <w:sz w:val="24"/>
      <w:szCs w:val="24"/>
      <w:lang w:eastAsia="en-US" w:bidi="en-US"/>
    </w:rPr>
  </w:style>
  <w:style w:type="paragraph" w:styleId="823" w:customStyle="1">
    <w:name w:val="4"/>
    <w:basedOn w:val="724"/>
    <w:next w:val="761"/>
    <w:uiPriority w:val="0"/>
    <w:qFormat/>
    <w:pPr>
      <w:ind w:firstLine="420"/>
      <w:spacing w:line="360" w:lineRule="auto"/>
    </w:pPr>
    <w:rPr>
      <w:color w:val="ff0000"/>
      <w:sz w:val="24"/>
      <w:szCs w:val="24"/>
    </w:rPr>
  </w:style>
  <w:style w:type="paragraph" w:styleId="824" w:customStyle="1">
    <w:name w:val="普通 (Web)"/>
    <w:basedOn w:val="724"/>
    <w:uiPriority w:val="0"/>
    <w:qFormat/>
    <w:pPr>
      <w:jc w:val="left"/>
      <w:spacing w:before="100" w:beforeAutospacing="1" w:after="100" w:afterAutospacing="1"/>
      <w:widowControl/>
    </w:pPr>
    <w:rPr>
      <w:rFonts w:ascii="宋体" w:hAnsi="宋体"/>
      <w:sz w:val="24"/>
      <w:szCs w:val="24"/>
    </w:rPr>
  </w:style>
  <w:style w:type="paragraph" w:styleId="825" w:customStyle="1">
    <w:name w:val="Char Char Char Char Char Char Char Char Char Char"/>
    <w:basedOn w:val="724"/>
    <w:uiPriority w:val="0"/>
    <w:qFormat/>
    <w:pPr>
      <w:spacing w:line="360" w:lineRule="auto"/>
    </w:pPr>
    <w:rPr>
      <w:sz w:val="24"/>
      <w:szCs w:val="20"/>
    </w:rPr>
  </w:style>
  <w:style w:type="paragraph" w:styleId="826" w:customStyle="1">
    <w:name w:val="样式1"/>
    <w:basedOn w:val="724"/>
    <w:uiPriority w:val="0"/>
    <w:qFormat/>
    <w:pPr>
      <w:numPr>
        <w:ilvl w:val="0"/>
        <w:numId w:val="3"/>
      </w:numPr>
    </w:pPr>
    <w:rPr>
      <w:rFonts w:ascii="宋体" w:hAnsi="宋体"/>
      <w:szCs w:val="21"/>
    </w:rPr>
  </w:style>
  <w:style w:type="paragraph" w:styleId="827" w:customStyle="1">
    <w:name w:val="font6"/>
    <w:basedOn w:val="724"/>
    <w:uiPriority w:val="0"/>
    <w:qFormat/>
    <w:pPr>
      <w:jc w:val="left"/>
      <w:spacing w:before="100" w:beforeAutospacing="1" w:after="100" w:afterAutospacing="1"/>
      <w:widowControl/>
    </w:pPr>
    <w:rPr>
      <w:rFonts w:hint="eastAsia" w:ascii="宋体" w:hAnsi="宋体"/>
      <w:sz w:val="28"/>
      <w:szCs w:val="28"/>
      <w:u w:val="single"/>
    </w:rPr>
  </w:style>
  <w:style w:type="paragraph" w:styleId="828"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9"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0" w:customStyle="1">
    <w:name w:val="标题3"/>
    <w:basedOn w:val="724"/>
    <w:next w:val="724"/>
    <w:uiPriority w:val="0"/>
    <w:qFormat/>
    <w:pPr>
      <w:ind w:firstLine="624"/>
      <w:spacing w:line="590" w:lineRule="atLeast"/>
    </w:pPr>
    <w:rPr>
      <w:rFonts w:ascii="方正黑体_GBK" w:eastAsia="方正黑体_GBK"/>
      <w:sz w:val="32"/>
      <w:szCs w:val="32"/>
    </w:rPr>
  </w:style>
  <w:style w:type="paragraph" w:styleId="831" w:customStyle="1">
    <w:name w:val="xl24"/>
    <w:basedOn w:val="72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32" w:customStyle="1">
    <w:name w:val="xl29"/>
    <w:basedOn w:val="72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33" w:customStyle="1">
    <w:name w:val="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834" w:customStyle="1">
    <w:name w:val="xl28"/>
    <w:basedOn w:val="72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35" w:customStyle="1">
    <w:name w:val="Char 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836" w:customStyle="1">
    <w:name w:val="xl30"/>
    <w:basedOn w:val="724"/>
    <w:uiPriority w:val="0"/>
    <w:qFormat/>
    <w:pPr>
      <w:jc w:val="center"/>
      <w:spacing w:before="100" w:beforeAutospacing="1" w:after="100" w:afterAutospacing="1"/>
      <w:widowControl/>
    </w:pPr>
    <w:rPr>
      <w:rFonts w:ascii="宋体" w:hAnsi="宋体"/>
      <w:b/>
      <w:bCs/>
      <w:sz w:val="36"/>
      <w:szCs w:val="36"/>
    </w:rPr>
  </w:style>
  <w:style w:type="paragraph" w:styleId="837" w:customStyle="1">
    <w:name w:val="Char Char Char Char1"/>
    <w:basedOn w:val="739"/>
    <w:uiPriority w:val="0"/>
    <w:qFormat/>
    <w:pPr>
      <w:spacing w:line="360" w:lineRule="auto"/>
    </w:pPr>
    <w:rPr>
      <w:rFonts w:ascii="Tahoma" w:hAnsi="Tahoma"/>
      <w:sz w:val="24"/>
      <w:szCs w:val="24"/>
    </w:rPr>
  </w:style>
  <w:style w:type="paragraph" w:styleId="838" w:customStyle="1">
    <w:name w:val="table_1stline"/>
    <w:basedOn w:val="724"/>
    <w:uiPriority w:val="0"/>
    <w:qFormat/>
    <w:pPr>
      <w:jc w:val="left"/>
      <w:spacing w:before="120"/>
      <w:widowControl/>
    </w:pPr>
    <w:rPr>
      <w:bCs/>
      <w:sz w:val="20"/>
      <w:szCs w:val="20"/>
      <w:lang w:val="de-DE" w:eastAsia="de-DE"/>
    </w:rPr>
  </w:style>
  <w:style w:type="paragraph" w:styleId="839" w:customStyle="1">
    <w:name w:val="font5"/>
    <w:basedOn w:val="724"/>
    <w:uiPriority w:val="0"/>
    <w:qFormat/>
    <w:pPr>
      <w:jc w:val="left"/>
      <w:spacing w:before="100" w:beforeAutospacing="1" w:after="100" w:afterAutospacing="1"/>
      <w:widowControl/>
    </w:pPr>
    <w:rPr>
      <w:rFonts w:hint="eastAsia" w:ascii="宋体" w:hAnsi="宋体"/>
      <w:sz w:val="28"/>
      <w:szCs w:val="28"/>
    </w:rPr>
  </w:style>
  <w:style w:type="paragraph" w:styleId="840" w:customStyle="1">
    <w:name w:val="标题1"/>
    <w:basedOn w:val="724"/>
    <w:next w:val="7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41" w:customStyle="1">
    <w:name w:val="修订1"/>
    <w:uiPriority w:val="99"/>
    <w:semiHidden/>
    <w:qFormat/>
    <w:rPr>
      <w:rFonts w:ascii="Times New Roman" w:hAnsi="Times New Roman" w:eastAsia="宋体" w:cs="Times New Roman"/>
      <w:sz w:val="21"/>
      <w:szCs w:val="21"/>
      <w:lang w:val="en-US" w:eastAsia="zh-CN" w:bidi="ar-SA"/>
    </w:rPr>
  </w:style>
  <w:style w:type="paragraph" w:styleId="842">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43" w:customStyle="1">
    <w:name w:val="NormalCharacter"/>
    <w:uiPriority w:val="0"/>
    <w:qFormat/>
  </w:style>
  <w:style w:type="paragraph" w:styleId="844" w:customStyle="1">
    <w:name w:val="文本块1"/>
    <w:basedOn w:val="724"/>
    <w:uiPriority w:val="0"/>
    <w:qFormat/>
    <w:pPr>
      <w:ind w:left="1440" w:right="700"/>
    </w:pPr>
  </w:style>
  <w:style w:type="paragraph" w:styleId="845" w:customStyle="1">
    <w:name w:val="正文首行缩进 21"/>
    <w:basedOn w:val="744"/>
    <w:uiPriority w:val="99"/>
    <w:unhideWhenUsed/>
    <w:qFormat/>
    <w:pPr>
      <w:ind w:firstLine="200"/>
    </w:pPr>
  </w:style>
  <w:style w:type="paragraph" w:styleId="846" w:customStyle="1">
    <w:name w:val="Table Paragraph"/>
    <w:basedOn w:val="724"/>
    <w:uiPriority w:val="0"/>
    <w:qFormat/>
    <w:pPr>
      <w:jc w:val="left"/>
    </w:pPr>
    <w:rPr>
      <w:rFonts w:ascii="Calibri" w:hAnsi="Calibri"/>
      <w:sz w:val="22"/>
    </w:rPr>
  </w:style>
  <w:style w:type="numbering" w:styleId="85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谭勇</cp:lastModifiedBy>
  <cp:revision>253</cp:revision>
  <dcterms:created xsi:type="dcterms:W3CDTF">2024-07-31T06:25:00Z</dcterms:created>
  <dcterms:modified xsi:type="dcterms:W3CDTF">2026-05-14T11:33:46Z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1B8EE31235E94EF59AA0EF839C344728_13</vt:lpwstr>
  </property>
  <property fmtid="{D5CDD505-2E9C-101B-9397-08002B2CF9AE}" pid="4" name="KSOTemplateDocerSaveRecord">
    <vt:lpwstr>eyJoZGlkIjoiZDA3ZTdlNmI2ODc4MjNhYmM0ZjE2ZjcxYjc1NDM3MzEiLCJ1c2VySWQiOiI0Mjk5MjA4NzIifQ==</vt:lpwstr>
  </property>
</Properties>
</file>