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ind w:firstLine="0"/>
        <w:rPr>
          <w:rFonts w:eastAsia="黑体"/>
          <w:b/>
          <w:bCs/>
          <w:sz w:val="84"/>
          <w:shd w:val="clear" w:color="ffffff" w:fill="d9d9d9"/>
        </w:rPr>
      </w:pPr>
      <w:r>
        <w:rPr>
          <w:rFonts w:eastAsia="黑体"/>
          <w:b/>
          <w:bCs/>
          <w:sz w:val="84"/>
          <w:shd w:val="clear" w:color="ffffff" w:fill="d9d9d9"/>
        </w:rPr>
      </w:r>
      <w:r/>
    </w:p>
    <w:p>
      <w:pPr>
        <w:pStyle w:val="762"/>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2"/>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62"/>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2"/>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2"/>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JSZC-320214-JZCG-G2026-0027</w:t>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丽新苑二期安居房物业管理外包项目</w:t>
      </w:r>
      <w:r/>
    </w:p>
    <w:p>
      <w:pPr>
        <w:ind w:left="3519" w:hanging="160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采 购 人：</w:t>
      </w:r>
      <w:r>
        <w:rPr>
          <w:rFonts w:hint="eastAsia" w:ascii="黑体" w:hAnsi="华文中宋" w:eastAsia="黑体"/>
          <w:bCs/>
          <w:sz w:val="32"/>
          <w:szCs w:val="32"/>
          <w:lang w:eastAsia="zh-CN"/>
        </w:rPr>
        <w:t xml:space="preserve">无锡市新吴区人民政府新安街道办事处</w:t>
      </w:r>
      <w:r/>
    </w:p>
    <w:p>
      <w:pPr>
        <w:jc w:val="center"/>
        <w:rPr>
          <w:rFonts w:ascii="黑体" w:hAnsi="华文中宋" w:eastAsia="黑体"/>
          <w:bCs/>
          <w:sz w:val="30"/>
          <w:szCs w:val="30"/>
        </w:rPr>
      </w:pPr>
      <w:r>
        <w:rPr>
          <w:rFonts w:ascii="黑体" w:hAnsi="华文中宋" w:eastAsia="黑体"/>
          <w:bCs/>
          <w:sz w:val="30"/>
          <w:szCs w:val="30"/>
        </w:rPr>
      </w:r>
      <w:r/>
    </w:p>
    <w:p>
      <w:pPr>
        <w:pStyle w:val="762"/>
        <w:ind w:firstLine="0"/>
        <w:jc w:val="center"/>
        <w:spacing w:before="0" w:after="0"/>
        <w:rPr>
          <w:rFonts w:ascii="宋体" w:hAnsi="宋体"/>
          <w:shd w:val="clear" w:color="ffffff" w:fill="d9d9d9"/>
        </w:rPr>
      </w:pPr>
      <w:r>
        <w:rPr>
          <w:rFonts w:ascii="宋体" w:hAnsi="宋体"/>
          <w:shd w:val="clear" w:color="ffffff" w:fill="d9d9d9"/>
        </w:rPr>
      </w:r>
      <w:r/>
    </w:p>
    <w:p>
      <w:pPr>
        <w:pStyle w:val="762"/>
        <w:ind w:firstLine="0"/>
        <w:jc w:val="center"/>
        <w:spacing w:before="0" w:after="0"/>
        <w:rPr>
          <w:rFonts w:ascii="宋体" w:hAnsi="宋体"/>
          <w:shd w:val="clear" w:color="ffffff" w:fill="d9d9d9"/>
        </w:rPr>
      </w:pPr>
      <w:r>
        <w:rPr>
          <w:rFonts w:ascii="宋体" w:hAnsi="宋体"/>
          <w:shd w:val="clear" w:color="ffffff" w:fill="d9d9d9"/>
        </w:rPr>
      </w:r>
      <w:r/>
    </w:p>
    <w:p>
      <w:pPr>
        <w:pStyle w:val="762"/>
        <w:ind w:firstLine="0"/>
        <w:jc w:val="center"/>
        <w:spacing w:before="0" w:after="0"/>
        <w:rPr>
          <w:rFonts w:ascii="宋体" w:hAnsi="宋体"/>
          <w:shd w:val="clear" w:color="ffffff" w:fill="d9d9d9"/>
        </w:rPr>
      </w:pPr>
      <w:r>
        <w:rPr>
          <w:rFonts w:ascii="宋体" w:hAnsi="宋体"/>
          <w:shd w:val="clear" w:color="ffffff" w:fill="d9d9d9"/>
        </w:rPr>
      </w:r>
      <w:r/>
    </w:p>
    <w:p>
      <w:pPr>
        <w:pStyle w:val="762"/>
        <w:ind w:firstLine="0"/>
        <w:jc w:val="center"/>
        <w:spacing w:before="0" w:after="0"/>
        <w:rPr>
          <w:rFonts w:ascii="宋体" w:hAnsi="宋体" w:eastAsia="黑体"/>
          <w:sz w:val="32"/>
          <w:szCs w:val="32"/>
          <w:shd w:val="clear" w:color="ffffff" w:fill="d9d9d9"/>
        </w:rPr>
      </w:pPr>
      <w:r>
        <w:rPr>
          <w:rFonts w:hint="eastAsia" w:ascii="黑体" w:hAnsi="华文中宋" w:eastAsia="黑体"/>
          <w:bCs/>
          <w:color w:val="000000"/>
          <w:sz w:val="32"/>
          <w:szCs w:val="32"/>
        </w:rPr>
        <w:t xml:space="preserve">采购代理机构：无锡市公共资源交易中心新吴分中心</w:t>
      </w:r>
      <w:r/>
    </w:p>
    <w:p>
      <w:pPr>
        <w:pStyle w:val="762"/>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lang w:eastAsia="zh-CN"/>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lang w:eastAsia="zh-CN"/>
        </w:rPr>
        <w:t xml:space="preserve">五</w:t>
      </w:r>
      <w:r>
        <w:rPr>
          <w:rFonts w:hint="eastAsia" w:ascii="黑体" w:hAnsi="华文中宋" w:eastAsia="黑体"/>
          <w:bCs/>
          <w:sz w:val="32"/>
          <w:szCs w:val="32"/>
        </w:rPr>
        <w:t xml:space="preserve">月</w:t>
      </w:r>
      <w:r/>
    </w:p>
    <w:p>
      <w:pPr>
        <w:pStyle w:val="762"/>
        <w:ind w:firstLine="0"/>
        <w:jc w:val="center"/>
        <w:rPr>
          <w:rFonts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43</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51</w:t>
      </w:r>
      <w:r>
        <w:rPr>
          <w:rFonts w:hint="eastAsia" w:ascii="宋体" w:hAnsi="宋体"/>
          <w:sz w:val="30"/>
          <w:szCs w:val="30"/>
        </w:rPr>
        <w:t xml:space="preserve">）</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lang w:eastAsia="zh-CN"/>
        </w:rPr>
        <w:t xml:space="preserve">无锡市新吴区人民政府新安街道办事处</w:t>
      </w:r>
      <w:r>
        <w:rPr>
          <w:rFonts w:hint="eastAsia" w:ascii="宋体" w:hAnsi="宋体"/>
          <w:sz w:val="24"/>
          <w:szCs w:val="24"/>
        </w:rPr>
        <w:t xml:space="preserve">的委托，无锡市公共资源交易中心新吴分中心就</w:t>
      </w:r>
      <w:r>
        <w:rPr>
          <w:rFonts w:hint="eastAsia" w:ascii="宋体" w:hAnsi="宋体"/>
          <w:sz w:val="24"/>
          <w:szCs w:val="24"/>
          <w:lang w:eastAsia="zh-CN"/>
        </w:rPr>
        <w:t xml:space="preserve">丽新苑二期安居房物业管理外包项目</w:t>
      </w:r>
      <w:r>
        <w:rPr>
          <w:rFonts w:hint="eastAsia" w:ascii="宋体" w:hAnsi="宋体"/>
          <w:sz w:val="24"/>
          <w:szCs w:val="24"/>
        </w:rPr>
        <w:t xml:space="preserve">（</w:t>
      </w:r>
      <w:r>
        <w:rPr>
          <w:rFonts w:hint="eastAsia" w:ascii="宋体" w:hAnsi="宋体"/>
          <w:sz w:val="24"/>
          <w:szCs w:val="24"/>
          <w:lang w:eastAsia="zh-CN"/>
        </w:rPr>
        <w:t xml:space="preserve">JSZC-320214-JZCG-G2026-0027</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lang w:eastAsia="zh-CN"/>
        </w:rPr>
        <w:t xml:space="preserve">丽新苑二期安居房物业管理外包项目</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w:t>
      </w:r>
      <w:r>
        <w:rPr>
          <w:rFonts w:hint="eastAsia" w:ascii="宋体" w:hAnsi="宋体"/>
          <w:color w:val="auto"/>
          <w:sz w:val="24"/>
          <w:szCs w:val="24"/>
          <w:highlight w:val="none"/>
        </w:rPr>
        <w:t xml:space="preserve">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03</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5"/>
        <w:ind w:firstLine="452"/>
        <w:keepLines w:val="0"/>
        <w:keepNext w:val="0"/>
        <w:spacing w:before="0" w:after="0" w:line="500" w:lineRule="exact"/>
        <w:rPr>
          <w:sz w:val="30"/>
          <w:szCs w:val="30"/>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JSZC-320214-JZCG-G2026-0027</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丽新苑二期安居房物业管理外包项目</w:t>
      </w:r>
      <w:bookmarkEnd w:id="11"/>
      <w:r/>
    </w:p>
    <w:p>
      <w:pPr>
        <w:ind w:firstLine="480"/>
        <w:spacing w:line="500" w:lineRule="exact"/>
        <w:rPr>
          <w:rFonts w:hint="eastAsia" w:ascii="宋体" w:hAnsi="宋体"/>
          <w:sz w:val="24"/>
          <w:szCs w:val="24"/>
          <w:lang w:eastAsia="zh-CN"/>
        </w:rPr>
      </w:pPr>
      <w:r>
        <w:rPr>
          <w:rFonts w:hint="eastAsia" w:ascii="宋体" w:hAnsi="宋体"/>
          <w:sz w:val="24"/>
          <w:szCs w:val="24"/>
        </w:rPr>
        <w:t xml:space="preserve">3.项目预算金额</w:t>
      </w:r>
      <w:r>
        <w:rPr>
          <w:rFonts w:hint="eastAsia" w:ascii="宋体" w:hAnsi="宋体"/>
          <w:sz w:val="24"/>
          <w:szCs w:val="24"/>
          <w:lang w:eastAsia="zh-CN"/>
        </w:rPr>
        <w:t xml:space="preserve">：510.9万元</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4.项目最高限价：510.9万元</w:t>
      </w:r>
      <w:r/>
    </w:p>
    <w:p>
      <w:pPr>
        <w:ind w:firstLine="480"/>
        <w:spacing w:line="500" w:lineRule="exact"/>
        <w:rPr>
          <w:rFonts w:ascii="宋体" w:hAnsi="宋体"/>
          <w:sz w:val="24"/>
          <w:szCs w:val="24"/>
        </w:rPr>
      </w:pPr>
      <w:r>
        <w:rPr>
          <w:rFonts w:hint="eastAsia" w:ascii="宋体" w:hAnsi="宋体"/>
          <w:sz w:val="24"/>
          <w:szCs w:val="24"/>
        </w:rPr>
        <w:t xml:space="preserve">5.采购方式：公开招标（暗标）</w:t>
      </w:r>
      <w:r/>
    </w:p>
    <w:p>
      <w:pPr>
        <w:ind w:firstLine="480"/>
        <w:spacing w:line="500" w:lineRule="exact"/>
        <w:rPr>
          <w:rFonts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p>
    <w:p>
      <w:pPr>
        <w:pStyle w:val="675"/>
        <w:ind w:firstLine="452"/>
        <w:keepLines w:val="0"/>
        <w:keepNext w:val="0"/>
        <w:spacing w:before="0" w:after="0" w:line="500" w:lineRule="exact"/>
        <w:rPr>
          <w:sz w:val="30"/>
          <w:szCs w:val="30"/>
        </w:rPr>
      </w:pPr>
      <w:r/>
      <w:bookmarkStart w:id="12" w:name="_Toc35393622"/>
      <w:r/>
      <w:bookmarkStart w:id="13" w:name="_Toc28359003"/>
      <w:r/>
      <w:bookmarkStart w:id="14" w:name="_Toc28359080"/>
      <w:r/>
      <w:bookmarkStart w:id="15" w:name="_Toc38985264"/>
      <w:r/>
      <w:bookmarkStart w:id="16" w:name="_Toc35393791"/>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792"/>
      <w:r/>
      <w:bookmarkStart w:id="18" w:name="_Toc28359081"/>
      <w:r/>
      <w:bookmarkStart w:id="19" w:name="_Toc28359004"/>
      <w:r/>
      <w:bookmarkStart w:id="20" w:name="_Toc38985265"/>
      <w:r/>
      <w:bookmarkStart w:id="21" w:name="_Toc35393623"/>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2.1中小企业政策：本项目专门面向</w:t>
      </w:r>
      <w:r>
        <w:rPr>
          <w:rFonts w:hint="eastAsia" w:ascii="宋体" w:hAnsi="宋体"/>
          <w:sz w:val="24"/>
          <w:szCs w:val="24"/>
          <w:lang w:eastAsia="zh-CN"/>
        </w:rPr>
        <w:t xml:space="preserve">小微</w:t>
      </w:r>
      <w:r>
        <w:rPr>
          <w:rFonts w:hint="eastAsia" w:ascii="宋体" w:hAnsi="宋体"/>
          <w:sz w:val="24"/>
          <w:szCs w:val="24"/>
        </w:rPr>
        <w:t xml:space="preserve">企业；</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p>
    <w:p>
      <w:pPr>
        <w:pStyle w:val="67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72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5"/>
        <w:ind w:firstLine="452"/>
        <w:keepLines w:val="0"/>
        <w:keepNext w:val="0"/>
        <w:spacing w:before="0" w:after="0" w:line="500" w:lineRule="exact"/>
        <w:rPr>
          <w:color w:val="auto"/>
          <w:sz w:val="30"/>
          <w:szCs w:val="30"/>
          <w:highlight w:val="none"/>
        </w:rPr>
      </w:pPr>
      <w:r>
        <w:rPr>
          <w:rFonts w:hint="eastAsia"/>
          <w:sz w:val="30"/>
          <w:szCs w:val="30"/>
        </w:rPr>
        <w:t xml:space="preserve">四、</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03</w:t>
      </w:r>
      <w:bookmarkStart w:id="203" w:name="_GoBack"/>
      <w:r/>
      <w:bookmarkEnd w:id="203"/>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点30分（北京时间）</w:t>
      </w:r>
      <w:r/>
    </w:p>
    <w:p>
      <w:pPr>
        <w:ind w:firstLine="480"/>
        <w:spacing w:line="500" w:lineRule="exact"/>
        <w:rPr>
          <w:rFonts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ascii="宋体" w:hAnsi="宋体"/>
          <w:color w:val="000000"/>
          <w:sz w:val="24"/>
          <w:szCs w:val="24"/>
        </w:rPr>
        <w:t xml:space="preserve">”</w:t>
      </w:r>
      <w:r>
        <w:rPr>
          <w:rFonts w:hint="eastAsia" w:ascii="宋体" w:hAnsi="宋体"/>
          <w:sz w:val="24"/>
          <w:szCs w:val="24"/>
        </w:rPr>
        <w:t xml:space="preserve">网上开标大厅。</w:t>
      </w:r>
      <w:r/>
    </w:p>
    <w:p>
      <w:pPr>
        <w:pStyle w:val="675"/>
        <w:ind w:firstLine="452"/>
        <w:keepLines w:val="0"/>
        <w:keepNext w:val="0"/>
        <w:spacing w:before="0" w:after="0" w:line="500" w:lineRule="exact"/>
        <w:rPr>
          <w:sz w:val="30"/>
          <w:szCs w:val="30"/>
        </w:rPr>
      </w:pPr>
      <w:r/>
      <w:bookmarkStart w:id="27" w:name="_Toc38985267"/>
      <w:r/>
      <w:bookmarkStart w:id="28" w:name="_Toc28359007"/>
      <w:r/>
      <w:bookmarkStart w:id="29" w:name="_Toc28359084"/>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67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5"/>
        <w:ind w:firstLine="452"/>
        <w:keepLines w:val="0"/>
        <w:keepNext w:val="0"/>
        <w:spacing w:before="0" w:after="0" w:line="500" w:lineRule="exact"/>
        <w:rPr>
          <w:sz w:val="30"/>
          <w:szCs w:val="30"/>
        </w:rPr>
      </w:pPr>
      <w:r/>
      <w:bookmarkStart w:id="35" w:name="_Toc28359008"/>
      <w:r/>
      <w:bookmarkStart w:id="36" w:name="_Toc35393796"/>
      <w:r/>
      <w:bookmarkStart w:id="37" w:name="_Toc38985269"/>
      <w:r/>
      <w:bookmarkStart w:id="38" w:name="_Toc28359085"/>
      <w:r/>
      <w:bookmarkStart w:id="39" w:name="_Toc35393627"/>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无锡市新吴区人民政府新安街道办事处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江苏省无锡市新吴区新安街道清晏路28-1</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09"/>
      <w:r/>
      <w:bookmarkStart w:id="41" w:name="_Toc28359086"/>
      <w:r>
        <w:rPr>
          <w:rFonts w:hint="eastAsia" w:ascii="宋体" w:hAnsi="宋体" w:eastAsia="宋体" w:cs="宋体"/>
          <w:sz w:val="24"/>
          <w:szCs w:val="24"/>
        </w:rPr>
        <w:t xml:space="preserve">见“项目联系方式”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bookmarkEnd w:id="40"/>
      <w:r/>
      <w:bookmarkEnd w:id="41"/>
      <w:r>
        <w:rPr>
          <w:rFonts w:hint="eastAsia" w:ascii="宋体" w:hAnsi="宋体" w:eastAsia="宋体" w:cs="宋体"/>
          <w:sz w:val="24"/>
          <w:szCs w:val="24"/>
        </w:rPr>
        <w:t xml:space="preserve">采购代理机构信息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名    称：无锡市公共资源交易中心新吴分中心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址：无锡市新吴区清晏路30号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联系方式：见“项目联系方式”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采购人项目咨询联系人：</w:t>
      </w:r>
      <w:r>
        <w:rPr>
          <w:rFonts w:hint="eastAsia" w:ascii="宋体" w:hAnsi="宋体" w:eastAsia="宋体" w:cs="宋体"/>
          <w:sz w:val="24"/>
          <w:szCs w:val="24"/>
          <w:lang w:val="en-US" w:eastAsia="zh-CN"/>
        </w:rPr>
        <w:t xml:space="preserve">郁凯铭</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0510-85381905</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郁凯铭</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0510-85381905</w:t>
      </w:r>
      <w:r/>
    </w:p>
    <w:p>
      <w:pPr>
        <w:ind w:firstLine="480"/>
        <w:spacing w:line="500" w:lineRule="exact"/>
        <w:rPr>
          <w:rFonts w:ascii="宋体" w:hAnsi="宋体" w:cs="宋体"/>
          <w:sz w:val="24"/>
          <w:szCs w:val="24"/>
        </w:rPr>
      </w:pPr>
      <w:r>
        <w:rPr>
          <w:rFonts w:hint="eastAsia" w:ascii="宋体" w:hAnsi="宋体" w:cs="宋体"/>
          <w:sz w:val="24"/>
          <w:szCs w:val="24"/>
        </w:rPr>
        <w:t xml:space="preserve">交易中心项目联系人：华晓芸；电话：0510-85253039</w:t>
      </w:r>
      <w:r/>
    </w:p>
    <w:p>
      <w:pPr>
        <w:pStyle w:val="675"/>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（三）有关本次采购的事项若存在变动或修改，敬请及时关注无锡市公共资源交易中心新吴分中心在“江苏政府采购网”发布的更正公告。</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500" w:lineRule="exact"/>
        <w:tabs>
          <w:tab w:val="left" w:pos="900" w:leader="none"/>
        </w:tabs>
        <w:rPr>
          <w:rFonts w:ascii="宋体" w:hAnsi="宋体"/>
          <w:bCs/>
          <w:sz w:val="24"/>
          <w:szCs w:val="24"/>
          <w:shd w:val="clear" w:color="ffffff" w:fill="d9d9d9"/>
        </w:rPr>
      </w:pPr>
      <w:r>
        <w:rPr>
          <w:rFonts w:ascii="宋体" w:hAnsi="宋体"/>
          <w:bCs/>
          <w:sz w:val="24"/>
          <w:szCs w:val="24"/>
          <w:shd w:val="clear" w:color="ffffff" w:fill="d9d9d9"/>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675"/>
        <w:ind w:firstLine="452"/>
        <w:keepLines w:val="0"/>
        <w:keepNext w:val="0"/>
        <w:spacing w:before="0" w:after="0" w:line="500" w:lineRule="exact"/>
        <w:rPr>
          <w:sz w:val="30"/>
          <w:szCs w:val="30"/>
        </w:rPr>
      </w:pPr>
      <w:r/>
      <w:bookmarkStart w:id="47" w:name="_Toc16938519"/>
      <w:r/>
      <w:bookmarkStart w:id="48" w:name="_Toc20823275"/>
      <w:r/>
      <w:bookmarkStart w:id="49" w:name="_Toc120614214"/>
      <w:r/>
      <w:bookmarkStart w:id="50" w:name="_Toc513029203"/>
      <w:r>
        <w:rPr>
          <w:rFonts w:hint="eastAsia"/>
          <w:sz w:val="30"/>
          <w:szCs w:val="30"/>
        </w:rPr>
        <w:t xml:space="preserve">一、总则</w:t>
      </w:r>
      <w:bookmarkEnd w:id="47"/>
      <w:r/>
      <w:bookmarkEnd w:id="48"/>
      <w:r/>
      <w:bookmarkEnd w:id="49"/>
      <w:r/>
      <w:bookmarkEnd w:id="50"/>
      <w:r/>
      <w:r/>
    </w:p>
    <w:p>
      <w:pPr>
        <w:pStyle w:val="676"/>
        <w:ind w:firstLine="422"/>
        <w:keepLines w:val="0"/>
        <w:keepNext w:val="0"/>
        <w:spacing w:before="0" w:after="0" w:line="500" w:lineRule="exact"/>
        <w:rPr>
          <w:rFonts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676"/>
        <w:ind w:firstLine="422"/>
        <w:keepLines w:val="0"/>
        <w:keepNext w:val="0"/>
        <w:spacing w:before="0" w:after="0" w:line="500" w:lineRule="exact"/>
        <w:rPr>
          <w:rFonts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6"/>
        <w:ind w:firstLine="422"/>
        <w:keepLines w:val="0"/>
        <w:keepNext w:val="0"/>
        <w:spacing w:before="0" w:after="0" w:line="500" w:lineRule="exact"/>
        <w:rPr>
          <w:rFonts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ascii="宋体" w:hAnsi="宋体"/>
          <w:sz w:val="24"/>
        </w:rPr>
      </w:pPr>
      <w:r>
        <w:rPr>
          <w:rFonts w:hint="eastAsia" w:ascii="宋体" w:hAnsi="宋体"/>
          <w:sz w:val="24"/>
        </w:rPr>
        <w:t xml:space="preserve">3.1本次招标及由此产生的合同受中华人民共和国法律的制约和保护。</w:t>
      </w:r>
      <w:r/>
    </w:p>
    <w:p>
      <w:pPr>
        <w:pStyle w:val="676"/>
        <w:ind w:firstLine="422"/>
        <w:keepLines w:val="0"/>
        <w:keepNext w:val="0"/>
        <w:spacing w:before="0" w:after="0" w:line="500" w:lineRule="exact"/>
        <w:rPr>
          <w:rFonts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pStyle w:val="676"/>
        <w:ind w:firstLine="422"/>
        <w:keepLines w:val="0"/>
        <w:keepNext w:val="0"/>
        <w:spacing w:before="0" w:after="0" w:line="500" w:lineRule="exact"/>
        <w:rPr>
          <w:rFonts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5"/>
        <w:ind w:firstLine="452"/>
        <w:keepLines w:val="0"/>
        <w:keepNext w:val="0"/>
        <w:spacing w:before="0" w:after="0" w:line="500" w:lineRule="exact"/>
        <w:rPr>
          <w:sz w:val="30"/>
          <w:szCs w:val="30"/>
        </w:rPr>
      </w:pPr>
      <w:r/>
      <w:bookmarkStart w:id="65" w:name="_Toc16938525"/>
      <w:r/>
      <w:bookmarkStart w:id="66" w:name="_Toc513029209"/>
      <w:r/>
      <w:bookmarkStart w:id="67" w:name="_Toc20823281"/>
      <w:r/>
      <w:bookmarkStart w:id="68" w:name="_Toc120614215"/>
      <w:r>
        <w:rPr>
          <w:rFonts w:hint="eastAsia"/>
          <w:sz w:val="30"/>
          <w:szCs w:val="30"/>
        </w:rPr>
        <w:t xml:space="preserve">二、招标文件</w:t>
      </w:r>
      <w:bookmarkEnd w:id="65"/>
      <w:r/>
      <w:bookmarkEnd w:id="66"/>
      <w:r/>
      <w:bookmarkEnd w:id="67"/>
      <w:r/>
      <w:bookmarkEnd w:id="68"/>
      <w:r/>
      <w:r/>
    </w:p>
    <w:p>
      <w:pPr>
        <w:pStyle w:val="676"/>
        <w:ind w:firstLine="422"/>
        <w:keepLines w:val="0"/>
        <w:keepNext w:val="0"/>
        <w:spacing w:before="0" w:after="0" w:line="500" w:lineRule="exact"/>
        <w:rPr>
          <w:rFonts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firstLine="422"/>
        <w:keepLines w:val="0"/>
        <w:keepNext w:val="0"/>
        <w:spacing w:before="0" w:after="0" w:line="500" w:lineRule="exact"/>
        <w:rPr>
          <w:rFonts w:ascii="宋体" w:hAnsi="宋体" w:eastAsia="宋体"/>
          <w:bCs w:val="0"/>
        </w:rPr>
      </w:pPr>
      <w:r/>
      <w:bookmarkStart w:id="72" w:name="_Toc16938527"/>
      <w:r/>
      <w:bookmarkStart w:id="73" w:name="_Toc20823283"/>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ascii="宋体" w:hAnsi="宋体"/>
          <w:bCs/>
          <w:sz w:val="24"/>
          <w:szCs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6"/>
        <w:ind w:firstLine="422"/>
        <w:keepLines w:val="0"/>
        <w:keepNext w:val="0"/>
        <w:spacing w:before="0" w:after="0" w:line="500" w:lineRule="exact"/>
        <w:rPr>
          <w:rFonts w:ascii="宋体" w:hAnsi="宋体" w:eastAsia="宋体"/>
          <w:bCs w:val="0"/>
        </w:rPr>
      </w:pPr>
      <w:r/>
      <w:bookmarkStart w:id="76" w:name="_Toc20823284"/>
      <w:r/>
      <w:bookmarkStart w:id="77" w:name="_Toc513029212"/>
      <w:r/>
      <w:bookmarkStart w:id="78" w:name="_Toc462564071"/>
      <w:r/>
      <w:bookmarkStart w:id="79" w:name="_Toc16938528"/>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5"/>
        <w:ind w:firstLine="452"/>
        <w:keepLines w:val="0"/>
        <w:keepNext w:val="0"/>
        <w:spacing w:before="0" w:after="0" w:line="500" w:lineRule="exact"/>
        <w:rPr>
          <w:sz w:val="30"/>
          <w:szCs w:val="30"/>
        </w:rPr>
      </w:pPr>
      <w:r/>
      <w:bookmarkStart w:id="80" w:name="_Toc513029213"/>
      <w:r/>
      <w:bookmarkStart w:id="81" w:name="_Toc16938529"/>
      <w:r/>
      <w:bookmarkStart w:id="82" w:name="_Toc20823285"/>
      <w:r/>
      <w:bookmarkStart w:id="83" w:name="_Toc462564072"/>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76"/>
        <w:ind w:firstLine="422"/>
        <w:keepLines w:val="0"/>
        <w:keepNext w:val="0"/>
        <w:spacing w:before="0" w:after="0" w:line="500" w:lineRule="exact"/>
        <w:rPr>
          <w:rFonts w:ascii="宋体" w:hAnsi="宋体" w:eastAsia="宋体"/>
          <w:bCs w:val="0"/>
        </w:rPr>
      </w:pPr>
      <w:r/>
      <w:bookmarkStart w:id="85" w:name="_Toc16938530"/>
      <w:r/>
      <w:bookmarkStart w:id="86" w:name="_Toc462564073"/>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6"/>
        <w:ind w:firstLine="422"/>
        <w:keepLines w:val="0"/>
        <w:keepNext w:val="0"/>
        <w:spacing w:before="0" w:after="0" w:line="500" w:lineRule="exact"/>
        <w:rPr>
          <w:rFonts w:ascii="宋体" w:hAnsi="宋体" w:eastAsia="宋体"/>
          <w:bCs w:val="0"/>
        </w:rPr>
      </w:pPr>
      <w:r/>
      <w:bookmarkStart w:id="89" w:name="_Toc16938531"/>
      <w:r/>
      <w:bookmarkStart w:id="90" w:name="_Toc513029215"/>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上述《评标方法与评标标准》中技术部分不得有体现投标人身份的内容是指：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sz w:val="24"/>
        </w:rPr>
      </w:pPr>
      <w:r>
        <w:rPr>
          <w:rFonts w:hint="eastAsia" w:ascii="宋体" w:hAnsi="宋体"/>
          <w:b/>
          <w:sz w:val="24"/>
        </w:rPr>
        <w:t xml:space="preserve">10.4.4不得有其他体现投标人身份的内容。</w:t>
      </w:r>
      <w:r/>
    </w:p>
    <w:p>
      <w:pPr>
        <w:pStyle w:val="676"/>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bookmarkStart w:id="102" w:name="_Toc16938553"/>
      <w:r/>
      <w:bookmarkStart w:id="103" w:name="_Toc513029237"/>
      <w:r/>
      <w:bookmarkStart w:id="104" w:name="_Toc20823309"/>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5" w:name="_Toc49090508"/>
      <w:r/>
      <w:bookmarkStart w:id="106"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6"/>
        <w:ind w:firstLine="422"/>
        <w:keepLines w:val="0"/>
        <w:keepNext w:val="0"/>
        <w:spacing w:before="0" w:after="0" w:line="500" w:lineRule="exact"/>
        <w:rPr>
          <w:rFonts w:hint="eastAsia" w:ascii="宋体" w:hAnsi="宋体" w:eastAsia="宋体"/>
          <w:bCs w:val="0"/>
        </w:rPr>
      </w:pPr>
      <w:r/>
      <w:bookmarkStart w:id="107" w:name="_Toc49090510"/>
      <w:r/>
      <w:bookmarkStart w:id="108"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7"/>
      <w:bookmarkEnd w:id="108"/>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5"/>
      <w:r/>
      <w:bookmarkEnd w:id="106"/>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9" w:name="_Hlt26954840"/>
      <w:r/>
      <w:bookmarkEnd w:id="109"/>
      <w:r>
        <w:rPr>
          <w:rFonts w:hint="eastAsia" w:ascii="宋体" w:hAnsi="宋体"/>
          <w:sz w:val="24"/>
        </w:rPr>
        <w:t xml:space="preserve">标人应按照招标文件规定格式填报</w:t>
      </w:r>
      <w:bookmarkStart w:id="110" w:name="_Hlt26670399"/>
      <w:r/>
      <w:bookmarkEnd w:id="110"/>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6"/>
        <w:ind w:firstLine="422"/>
        <w:keepLines w:val="0"/>
        <w:keepNext w:val="0"/>
        <w:spacing w:before="0" w:after="0" w:line="500" w:lineRule="exact"/>
        <w:rPr>
          <w:rFonts w:hint="eastAsia" w:ascii="宋体" w:hAnsi="宋体" w:eastAsia="宋体"/>
          <w:bCs w:val="0"/>
        </w:rPr>
      </w:pPr>
      <w:r/>
      <w:bookmarkStart w:id="111" w:name="_Hlt26954731"/>
      <w:r/>
      <w:bookmarkEnd w:id="111"/>
      <w:r/>
      <w:bookmarkStart w:id="112" w:name="_Hlt26954846"/>
      <w:r/>
      <w:bookmarkEnd w:id="112"/>
      <w:r/>
      <w:bookmarkStart w:id="113" w:name="_Hlt26670403"/>
      <w:r/>
      <w:bookmarkEnd w:id="113"/>
      <w:r/>
      <w:bookmarkStart w:id="114" w:name="_Hlt26670425"/>
      <w:r/>
      <w:bookmarkEnd w:id="114"/>
      <w:r/>
      <w:bookmarkStart w:id="115" w:name="_Hlt26670482"/>
      <w:r/>
      <w:bookmarkEnd w:id="115"/>
      <w:r/>
      <w:bookmarkStart w:id="116" w:name="_Hlt26954848"/>
      <w:r/>
      <w:bookmarkEnd w:id="116"/>
      <w:r/>
      <w:bookmarkStart w:id="117" w:name="_Hlt26954842"/>
      <w:r/>
      <w:bookmarkEnd w:id="117"/>
      <w:r/>
      <w:bookmarkStart w:id="118" w:name="_Hlt26670486"/>
      <w:r/>
      <w:bookmarkEnd w:id="118"/>
      <w:r/>
      <w:bookmarkStart w:id="119" w:name="_Hlt26954844"/>
      <w:r/>
      <w:bookmarkEnd w:id="119"/>
      <w:r/>
      <w:bookmarkStart w:id="120" w:name="_Hlt26668983"/>
      <w:r/>
      <w:bookmarkEnd w:id="120"/>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6"/>
        <w:ind w:firstLine="422"/>
        <w:keepLines w:val="0"/>
        <w:keepNext w:val="0"/>
        <w:spacing w:before="0" w:after="0" w:line="500" w:lineRule="exact"/>
        <w:rPr>
          <w:rFonts w:hint="eastAsia" w:ascii="宋体" w:hAnsi="宋体" w:eastAsia="宋体"/>
          <w:bCs w:val="0"/>
        </w:rPr>
      </w:pPr>
      <w:r/>
      <w:bookmarkStart w:id="121" w:name="_Hlt26954734"/>
      <w:r/>
      <w:bookmarkEnd w:id="121"/>
      <w:r/>
      <w:bookmarkStart w:id="122" w:name="_Hlt26954850"/>
      <w:r/>
      <w:bookmarkEnd w:id="122"/>
      <w:r/>
      <w:bookmarkStart w:id="123" w:name="_Hlt26670489"/>
      <w:r/>
      <w:bookmarkEnd w:id="123"/>
      <w:r/>
      <w:bookmarkStart w:id="124" w:name="_Toc49090511"/>
      <w:r/>
      <w:bookmarkStart w:id="125" w:name="_Toc14577360"/>
      <w:r>
        <w:rPr>
          <w:rFonts w:hint="eastAsia" w:ascii="宋体" w:hAnsi="宋体" w:eastAsia="宋体"/>
          <w:bCs w:val="0"/>
        </w:rPr>
        <w:t xml:space="preserve">15.投标有效期</w:t>
      </w:r>
      <w:bookmarkEnd w:id="124"/>
      <w:r/>
      <w:bookmarkEnd w:id="125"/>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5"/>
        <w:ind w:firstLine="452"/>
        <w:keepLines w:val="0"/>
        <w:keepNext w:val="0"/>
        <w:spacing w:before="0" w:after="0" w:line="500" w:lineRule="exact"/>
        <w:rPr>
          <w:rFonts w:hint="eastAsia"/>
          <w:sz w:val="30"/>
          <w:szCs w:val="30"/>
        </w:rPr>
      </w:pPr>
      <w:r/>
      <w:bookmarkStart w:id="126" w:name="_Hlt26954739"/>
      <w:r/>
      <w:bookmarkEnd w:id="126"/>
      <w:r/>
      <w:bookmarkStart w:id="127" w:name="_Hlt26954852"/>
      <w:r/>
      <w:bookmarkEnd w:id="127"/>
      <w:r/>
      <w:bookmarkStart w:id="128" w:name="_Toc120614217"/>
      <w:r/>
      <w:bookmarkStart w:id="129" w:name="_Toc513029224"/>
      <w:r/>
      <w:bookmarkStart w:id="130" w:name="_Toc16938540"/>
      <w:r/>
      <w:bookmarkStart w:id="131" w:name="_Toc20823296"/>
      <w:r>
        <w:rPr>
          <w:rFonts w:hint="eastAsia"/>
          <w:sz w:val="30"/>
          <w:szCs w:val="30"/>
        </w:rPr>
        <w:t xml:space="preserve">四、投标文件的递交</w:t>
      </w:r>
      <w:bookmarkEnd w:id="128"/>
      <w:r/>
      <w:bookmarkEnd w:id="129"/>
      <w:r/>
      <w:bookmarkEnd w:id="130"/>
      <w:r/>
      <w:bookmarkEnd w:id="131"/>
      <w:r/>
      <w:r/>
    </w:p>
    <w:p>
      <w:pPr>
        <w:pStyle w:val="676"/>
        <w:ind w:firstLine="422"/>
        <w:keepLines w:val="0"/>
        <w:keepNext w:val="0"/>
        <w:spacing w:before="0" w:after="0" w:line="500" w:lineRule="exact"/>
        <w:rPr>
          <w:rFonts w:hint="eastAsia" w:ascii="宋体" w:hAnsi="宋体" w:eastAsia="宋体"/>
          <w:bCs w:val="0"/>
        </w:rPr>
      </w:pPr>
      <w:r/>
      <w:bookmarkStart w:id="132" w:name="_Toc20823297"/>
      <w:r/>
      <w:bookmarkStart w:id="133" w:name="_Toc462564084"/>
      <w:r/>
      <w:bookmarkStart w:id="134" w:name="_Toc16938541"/>
      <w:r/>
      <w:bookmarkStart w:id="135" w:name="_Toc513029225"/>
      <w:r>
        <w:rPr>
          <w:rFonts w:hint="eastAsia" w:ascii="宋体" w:hAnsi="宋体" w:eastAsia="宋体"/>
          <w:bCs w:val="0"/>
        </w:rPr>
        <w:t xml:space="preserve">17.投标文件</w:t>
      </w:r>
      <w:bookmarkEnd w:id="132"/>
      <w:r/>
      <w:bookmarkEnd w:id="133"/>
      <w:r/>
      <w:bookmarkEnd w:id="134"/>
      <w:r/>
      <w:bookmarkEnd w:id="135"/>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16938542"/>
      <w:r/>
      <w:bookmarkStart w:id="137" w:name="_Toc513029226"/>
      <w:r/>
      <w:bookmarkStart w:id="138" w:name="_Toc20823298"/>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6"/>
      <w:r/>
      <w:bookmarkEnd w:id="137"/>
      <w:r/>
      <w:bookmarkEnd w:id="138"/>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6"/>
        <w:ind w:firstLine="422"/>
        <w:keepLines w:val="0"/>
        <w:keepNext w:val="0"/>
        <w:spacing w:before="0" w:after="0" w:line="500" w:lineRule="exact"/>
        <w:rPr>
          <w:rFonts w:hint="eastAsia" w:ascii="宋体" w:hAnsi="宋体" w:eastAsia="宋体"/>
          <w:bCs w:val="0"/>
        </w:rPr>
      </w:pPr>
      <w:r/>
      <w:bookmarkStart w:id="139" w:name="_Toc16938543"/>
      <w:r/>
      <w:bookmarkStart w:id="140" w:name="_Toc20823299"/>
      <w:r/>
      <w:bookmarkStart w:id="141" w:name="_Toc513029227"/>
      <w:r>
        <w:rPr>
          <w:rFonts w:hint="eastAsia" w:ascii="宋体" w:hAnsi="宋体" w:eastAsia="宋体"/>
          <w:bCs w:val="0"/>
        </w:rPr>
        <w:t xml:space="preserve">19.投标文件</w:t>
      </w:r>
      <w:bookmarkEnd w:id="139"/>
      <w:r/>
      <w:bookmarkEnd w:id="140"/>
      <w:r/>
      <w:bookmarkEnd w:id="141"/>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6"/>
        <w:ind w:firstLine="422"/>
        <w:keepLines w:val="0"/>
        <w:keepNext w:val="0"/>
        <w:spacing w:before="0" w:after="0" w:line="500" w:lineRule="exact"/>
        <w:rPr>
          <w:rFonts w:hint="eastAsia" w:ascii="宋体" w:hAnsi="宋体" w:eastAsia="宋体"/>
          <w:bCs w:val="0"/>
        </w:rPr>
      </w:pPr>
      <w:r/>
      <w:bookmarkStart w:id="142" w:name="_Toc16938544"/>
      <w:r/>
      <w:bookmarkStart w:id="143" w:name="_Toc513029228"/>
      <w:r/>
      <w:bookmarkStart w:id="144" w:name="_Toc20823300"/>
      <w:r>
        <w:rPr>
          <w:rFonts w:hint="eastAsia" w:ascii="宋体" w:hAnsi="宋体" w:eastAsia="宋体"/>
          <w:bCs w:val="0"/>
        </w:rPr>
        <w:t xml:space="preserve">20.投标文件的撤回和修改</w:t>
      </w:r>
      <w:bookmarkEnd w:id="142"/>
      <w:r/>
      <w:bookmarkEnd w:id="143"/>
      <w:r/>
      <w:bookmarkEnd w:id="144"/>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5"/>
        <w:ind w:firstLine="452"/>
        <w:keepLines w:val="0"/>
        <w:keepNext w:val="0"/>
        <w:spacing w:before="0" w:after="0" w:line="500" w:lineRule="exact"/>
        <w:rPr>
          <w:rFonts w:hint="eastAsia"/>
          <w:sz w:val="30"/>
          <w:szCs w:val="30"/>
        </w:rPr>
      </w:pPr>
      <w:r/>
      <w:bookmarkStart w:id="145" w:name="_Toc513029229"/>
      <w:r/>
      <w:bookmarkStart w:id="146" w:name="_Toc120614218"/>
      <w:r/>
      <w:bookmarkStart w:id="147" w:name="_Toc16938545"/>
      <w:r/>
      <w:bookmarkStart w:id="148" w:name="_Toc20823301"/>
      <w:r>
        <w:rPr>
          <w:rFonts w:hint="eastAsia"/>
          <w:sz w:val="30"/>
          <w:szCs w:val="30"/>
        </w:rPr>
        <w:t xml:space="preserve">五、开标与评标</w:t>
      </w:r>
      <w:bookmarkEnd w:id="145"/>
      <w:r/>
      <w:bookmarkEnd w:id="146"/>
      <w:r/>
      <w:bookmarkEnd w:id="147"/>
      <w:r/>
      <w:bookmarkEnd w:id="148"/>
      <w:r/>
      <w:r/>
    </w:p>
    <w:p>
      <w:pPr>
        <w:pStyle w:val="676"/>
        <w:ind w:firstLine="422"/>
        <w:keepLines w:val="0"/>
        <w:keepNext w:val="0"/>
        <w:spacing w:before="0" w:after="0" w:line="500" w:lineRule="exact"/>
        <w:rPr>
          <w:rFonts w:hint="eastAsia" w:ascii="宋体" w:hAnsi="宋体" w:eastAsia="宋体"/>
          <w:bCs w:val="0"/>
        </w:rPr>
      </w:pPr>
      <w:r/>
      <w:bookmarkStart w:id="149" w:name="_Toc16938546"/>
      <w:r/>
      <w:bookmarkStart w:id="150" w:name="_Toc513029230"/>
      <w:r/>
      <w:bookmarkStart w:id="151" w:name="_Toc20823302"/>
      <w:r>
        <w:rPr>
          <w:rFonts w:hint="eastAsia" w:ascii="宋体" w:hAnsi="宋体" w:eastAsia="宋体"/>
          <w:bCs w:val="0"/>
        </w:rPr>
        <w:t xml:space="preserve">21.开标</w:t>
      </w:r>
      <w:bookmarkEnd w:id="149"/>
      <w:r/>
      <w:bookmarkEnd w:id="150"/>
      <w:r/>
      <w:bookmarkEnd w:id="151"/>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6"/>
        <w:ind w:firstLine="422"/>
        <w:keepLines w:val="0"/>
        <w:keepNext w:val="0"/>
        <w:spacing w:before="0" w:after="0" w:line="500" w:lineRule="exact"/>
        <w:rPr>
          <w:rFonts w:hint="eastAsia" w:ascii="宋体" w:hAnsi="宋体" w:eastAsia="宋体"/>
          <w:bCs w:val="0"/>
        </w:rPr>
      </w:pPr>
      <w:r/>
      <w:bookmarkStart w:id="152" w:name="_Toc16938547"/>
      <w:r/>
      <w:bookmarkStart w:id="153" w:name="_Toc20823303"/>
      <w:r/>
      <w:bookmarkStart w:id="154"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52"/>
      <w:bookmarkEnd w:id="153"/>
      <w:bookmarkEnd w:id="154"/>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6"/>
        <w:ind w:firstLine="422"/>
        <w:keepLines w:val="0"/>
        <w:keepNext w:val="0"/>
        <w:spacing w:before="0" w:after="0" w:line="500" w:lineRule="exact"/>
        <w:rPr>
          <w:rFonts w:hint="eastAsia" w:ascii="宋体" w:hAnsi="宋体" w:eastAsia="宋体"/>
          <w:bCs w:val="0"/>
        </w:rPr>
      </w:pPr>
      <w:r/>
      <w:bookmarkStart w:id="155" w:name="_Toc20823304"/>
      <w:r/>
      <w:bookmarkStart w:id="156" w:name="_Toc513029232"/>
      <w:r/>
      <w:bookmarkStart w:id="157" w:name="_Toc16938548"/>
      <w:r>
        <w:rPr>
          <w:rFonts w:hint="eastAsia" w:ascii="宋体" w:hAnsi="宋体" w:eastAsia="宋体"/>
          <w:bCs w:val="0"/>
        </w:rPr>
        <w:t xml:space="preserve">24.投标文件的澄清</w:t>
      </w:r>
      <w:bookmarkEnd w:id="155"/>
      <w:r/>
      <w:bookmarkEnd w:id="156"/>
      <w:r/>
      <w:bookmarkEnd w:id="157"/>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6"/>
        <w:ind w:firstLine="422"/>
        <w:keepLines w:val="0"/>
        <w:keepNext w:val="0"/>
        <w:spacing w:before="0" w:after="0" w:line="500" w:lineRule="exact"/>
        <w:rPr>
          <w:rFonts w:hint="eastAsia" w:ascii="宋体" w:hAnsi="宋体" w:eastAsia="宋体"/>
          <w:bCs w:val="0"/>
        </w:rPr>
      </w:pPr>
      <w:r/>
      <w:bookmarkStart w:id="158" w:name="_Toc513029233"/>
      <w:r/>
      <w:bookmarkStart w:id="159" w:name="_Toc20823305"/>
      <w:r/>
      <w:bookmarkStart w:id="160" w:name="_Toc16938549"/>
      <w:r>
        <w:rPr>
          <w:rFonts w:hint="eastAsia" w:ascii="宋体" w:hAnsi="宋体" w:eastAsia="宋体"/>
          <w:bCs w:val="0"/>
        </w:rPr>
        <w:t xml:space="preserve">25.对投标文件的初审</w:t>
      </w:r>
      <w:bookmarkEnd w:id="158"/>
      <w:r/>
      <w:bookmarkEnd w:id="159"/>
      <w:r/>
      <w:bookmarkEnd w:id="160"/>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w:t>
      </w:r>
      <w:r>
        <w:rPr>
          <w:rFonts w:hint="eastAsia" w:ascii="宋体" w:hAnsi="宋体"/>
          <w:bCs/>
          <w:sz w:val="24"/>
          <w:szCs w:val="24"/>
          <w:highlight w:val="none"/>
        </w:rPr>
        <w:t xml:space="preserve">”系统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61" w:name="_Toc16938550"/>
      <w:r/>
      <w:bookmarkStart w:id="162" w:name="_Toc513029234"/>
      <w:r/>
      <w:bookmarkStart w:id="163"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4"/>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61"/>
      <w:r/>
      <w:bookmarkEnd w:id="162"/>
      <w:r/>
      <w:bookmarkEnd w:id="163"/>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4" w:name="_Toc20823307"/>
      <w:r/>
      <w:bookmarkStart w:id="165" w:name="_Toc513029235"/>
      <w:r/>
      <w:bookmarkStart w:id="166"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5"/>
        <w:ind w:firstLine="452"/>
        <w:keepLines w:val="0"/>
        <w:keepNext w:val="0"/>
        <w:spacing w:before="0" w:after="0" w:line="500" w:lineRule="exact"/>
        <w:rPr>
          <w:rFonts w:hint="eastAsia"/>
          <w:sz w:val="30"/>
          <w:szCs w:val="30"/>
        </w:rPr>
      </w:pPr>
      <w:r/>
      <w:bookmarkStart w:id="167" w:name="_Toc120614219"/>
      <w:r>
        <w:rPr>
          <w:rFonts w:hint="eastAsia"/>
          <w:sz w:val="30"/>
          <w:szCs w:val="30"/>
        </w:rPr>
        <w:t xml:space="preserve">六、</w:t>
      </w:r>
      <w:bookmarkEnd w:id="164"/>
      <w:r/>
      <w:bookmarkEnd w:id="165"/>
      <w:r/>
      <w:bookmarkEnd w:id="166"/>
      <w:r>
        <w:rPr>
          <w:rFonts w:hint="eastAsia"/>
          <w:sz w:val="30"/>
          <w:szCs w:val="30"/>
        </w:rPr>
        <w:t xml:space="preserve">定标</w:t>
      </w:r>
      <w:bookmarkEnd w:id="167"/>
      <w:r/>
      <w:r/>
    </w:p>
    <w:p>
      <w:pPr>
        <w:pStyle w:val="676"/>
        <w:ind w:firstLine="422"/>
        <w:keepLines w:val="0"/>
        <w:keepNext w:val="0"/>
        <w:spacing w:before="0" w:after="0" w:line="500" w:lineRule="exact"/>
        <w:rPr>
          <w:rFonts w:hint="eastAsia" w:ascii="宋体" w:hAnsi="宋体" w:eastAsia="宋体"/>
          <w:bCs w:val="0"/>
        </w:rPr>
      </w:pPr>
      <w:r/>
      <w:bookmarkStart w:id="168" w:name="_Toc513029238"/>
      <w:r/>
      <w:bookmarkStart w:id="169" w:name="_Toc20823310"/>
      <w:r/>
      <w:bookmarkStart w:id="170" w:name="_Toc16938554"/>
      <w:r>
        <w:rPr>
          <w:rFonts w:hint="eastAsia" w:ascii="宋体" w:hAnsi="宋体" w:eastAsia="宋体"/>
          <w:bCs w:val="0"/>
        </w:rPr>
        <w:t xml:space="preserve">27</w:t>
      </w:r>
      <w:bookmarkEnd w:id="168"/>
      <w:r>
        <w:rPr>
          <w:rFonts w:hint="eastAsia" w:ascii="宋体" w:hAnsi="宋体" w:eastAsia="宋体"/>
          <w:bCs w:val="0"/>
          <w:lang w:eastAsia="zh-CN"/>
        </w:rPr>
        <w:t xml:space="preserve">.</w:t>
      </w:r>
      <w:r>
        <w:rPr>
          <w:rFonts w:hint="eastAsia" w:ascii="宋体" w:hAnsi="宋体" w:eastAsia="宋体"/>
          <w:bCs w:val="0"/>
        </w:rPr>
        <w:t xml:space="preserve">确定</w:t>
      </w:r>
      <w:bookmarkEnd w:id="169"/>
      <w:r/>
      <w:bookmarkEnd w:id="170"/>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71"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71"/>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5"/>
        <w:ind w:firstLine="452"/>
        <w:keepLines w:val="0"/>
        <w:keepNext w:val="0"/>
        <w:spacing w:before="0" w:after="0" w:line="500" w:lineRule="exact"/>
        <w:rPr>
          <w:rFonts w:hint="eastAsia"/>
          <w:sz w:val="30"/>
          <w:szCs w:val="30"/>
        </w:rPr>
      </w:pPr>
      <w:r/>
      <w:bookmarkStart w:id="172" w:name="_Toc120614220"/>
      <w:r/>
      <w:bookmarkStart w:id="173" w:name="_Toc20823308"/>
      <w:r/>
      <w:bookmarkStart w:id="174" w:name="_Toc16938552"/>
      <w:r/>
      <w:bookmarkStart w:id="175" w:name="_Toc513029236"/>
      <w:r>
        <w:rPr>
          <w:rFonts w:hint="eastAsia"/>
          <w:sz w:val="30"/>
          <w:szCs w:val="30"/>
        </w:rPr>
        <w:t xml:space="preserve">七、授予合同</w:t>
      </w:r>
      <w:bookmarkEnd w:id="172"/>
      <w:r/>
      <w:bookmarkEnd w:id="173"/>
      <w:bookmarkEnd w:id="174"/>
      <w:bookmarkEnd w:id="175"/>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02"/>
      <w:bookmarkEnd w:id="103"/>
      <w:bookmarkEnd w:id="104"/>
      <w:r/>
    </w:p>
    <w:p>
      <w:pPr>
        <w:jc w:val="center"/>
        <w:spacing w:line="500" w:lineRule="exact"/>
        <w:tabs>
          <w:tab w:val="left" w:pos="1440" w:leader="none"/>
        </w:tabs>
        <w:rPr>
          <w:rFonts w:ascii="黑体" w:hAnsi="黑体" w:eastAsia="黑体"/>
          <w:sz w:val="36"/>
          <w:szCs w:val="36"/>
        </w:rPr>
        <w:outlineLvl w:val="0"/>
      </w:pPr>
      <w:r/>
      <w:bookmarkStart w:id="176" w:name="_Toc20823314"/>
      <w:r/>
      <w:bookmarkStart w:id="177" w:name="_Toc479757207"/>
      <w:r/>
      <w:bookmarkStart w:id="178" w:name="_Toc16938558"/>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p>
    <w:p>
      <w:pPr>
        <w:pStyle w:val="697"/>
        <w:spacing w:line="400" w:lineRule="exact"/>
        <w:rPr>
          <w:rFonts w:hAnsi="宋体"/>
          <w:sz w:val="24"/>
          <w:szCs w:val="24"/>
        </w:rPr>
      </w:pPr>
      <w:r>
        <w:rPr>
          <w:rFonts w:hAnsi="宋体"/>
          <w:sz w:val="24"/>
          <w:szCs w:val="24"/>
        </w:rPr>
        <w:t xml:space="preserve">项目名称：                                       项目编号：</w:t>
      </w:r>
      <w:r/>
    </w:p>
    <w:p>
      <w:pPr>
        <w:pStyle w:val="697"/>
        <w:spacing w:line="400" w:lineRule="exact"/>
        <w:rPr>
          <w:rFonts w:hAnsi="宋体"/>
          <w:sz w:val="24"/>
          <w:szCs w:val="24"/>
        </w:rPr>
      </w:pPr>
      <w:r>
        <w:rPr>
          <w:rFonts w:hAnsi="宋体"/>
          <w:sz w:val="24"/>
          <w:szCs w:val="24"/>
        </w:rPr>
        <w:t xml:space="preserve">甲方：（买方、需方、采购人）_________</w:t>
      </w:r>
      <w:r/>
    </w:p>
    <w:p>
      <w:pPr>
        <w:pStyle w:val="697"/>
        <w:spacing w:line="400" w:lineRule="exact"/>
        <w:rPr>
          <w:rFonts w:hAnsi="宋体"/>
          <w:sz w:val="24"/>
          <w:szCs w:val="24"/>
        </w:rPr>
      </w:pPr>
      <w:r>
        <w:rPr>
          <w:rFonts w:hAnsi="宋体"/>
          <w:sz w:val="24"/>
          <w:szCs w:val="24"/>
        </w:rPr>
        <w:t xml:space="preserve">乙方：（卖方、供方、供应商）_________</w:t>
      </w:r>
      <w:r/>
    </w:p>
    <w:p>
      <w:pPr>
        <w:pStyle w:val="69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ascii="宋体" w:hAnsi="宋体" w:cs="宋体"/>
          <w:color w:val="000000"/>
          <w:sz w:val="24"/>
        </w:rPr>
      </w:pPr>
      <w:r>
        <w:rPr>
          <w:rFonts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ind w:firstLine="480"/>
        <w:jc w:val="left"/>
        <w:spacing w:line="360" w:lineRule="auto"/>
        <w:rPr>
          <w:rFonts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本项目标的物所属行业：物业管理</w:t>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1.项目基本情况</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1.1物业情况</w:t>
      </w:r>
      <w:r/>
    </w:p>
    <w:tbl>
      <w:tblPr>
        <w:tblStyle w:val="683"/>
        <w:tblW w:w="8730" w:type="dxa"/>
        <w:tblInd w:w="-13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737"/>
        <w:gridCol w:w="737"/>
        <w:gridCol w:w="1479"/>
        <w:gridCol w:w="1755"/>
        <w:gridCol w:w="975"/>
        <w:gridCol w:w="2310"/>
      </w:tblGrid>
      <w:tr>
        <w:trPr>
          <w:trHeight w:val="30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2"/>
                <w:szCs w:val="22"/>
                <w:u w:val="none"/>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项目</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2"/>
                <w:szCs w:val="22"/>
                <w:u w:val="none"/>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数量</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2"/>
                <w:szCs w:val="22"/>
                <w:u w:val="none"/>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单位</w:t>
            </w:r>
            <w:r/>
          </w:p>
        </w:tc>
        <w:tc>
          <w:tcPr>
            <w:shd w:val="clear" w:color="auto" w:fill="auto"/>
            <w:tcW w:w="231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2"/>
                <w:szCs w:val="22"/>
                <w:u w:val="none"/>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备注</w:t>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用地面积</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38813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容积率</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2.29</w:t>
            </w:r>
            <w:r/>
          </w:p>
        </w:tc>
        <w:tc>
          <w:tcPr>
            <w:shd w:val="clear" w:color="auto" w:fill="auto"/>
            <w:tcW w:w="975"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总建筑面积</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123818.92</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0"/>
                <w:szCs w:val="20"/>
                <w:highlight w:val="none"/>
                <w:u w:val="none"/>
                <w:lang w:val="en-US" w:eastAsia="zh-CN" w:bidi="ar"/>
              </w:rPr>
              <w:t xml:space="preserve">物业服务面积</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123411.41</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地上建筑面积（新建）</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89767.67</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其中</w:t>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计容面积</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88866.91</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其中</w:t>
            </w:r>
            <w:r/>
          </w:p>
        </w:tc>
        <w:tc>
          <w:tcPr>
            <w:gridSpan w:val="2"/>
            <w:shd w:val="clear" w:color="auto" w:fill="auto"/>
            <w:tcW w:w="221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住宅</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86351.73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其中</w:t>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14F高层</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86351.73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gridSpan w:val="2"/>
            <w:shd w:val="clear" w:color="auto" w:fill="auto"/>
            <w:tcW w:w="221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商业</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407.51</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gridSpan w:val="2"/>
            <w:shd w:val="clear" w:color="auto" w:fill="auto"/>
            <w:tcW w:w="221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配套公建</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2107.67</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其中</w:t>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物业管理</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497.39</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社区管理</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412.03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养老</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210.29</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文化体育</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402.74</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消控室</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67.34</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路灯控制室</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22.08</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变电所</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495.80 </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保温层面积（不计容）</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900.76</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地下建筑面积（新建）</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34051.25</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人防面积9441m²</w:t>
            </w:r>
            <w:r/>
          </w:p>
        </w:tc>
      </w:tr>
      <w:tr>
        <w:trPr>
          <w:trHeight w:val="330"/>
        </w:trPr>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其中</w:t>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地下机动车库</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27523.25</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地下非机动车库</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6528.00 </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建筑密度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25%</w:t>
            </w:r>
            <w:r/>
          </w:p>
        </w:tc>
        <w:tc>
          <w:tcPr>
            <w:shd w:val="clear" w:color="auto" w:fill="auto"/>
            <w:tcW w:w="975"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绿化率</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30.02%</w:t>
            </w:r>
            <w:r/>
          </w:p>
        </w:tc>
        <w:tc>
          <w:tcPr>
            <w:shd w:val="clear" w:color="auto" w:fill="auto"/>
            <w:tcW w:w="975"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231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11650m²</w:t>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住宅户数</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1043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户</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人数</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3338</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人</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机动车停车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924</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辆</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其中</w:t>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地面停车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115</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辆</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地下停车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809</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辆</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非机动车停车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1087</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辆</w:t>
            </w:r>
            <w:r/>
          </w:p>
        </w:tc>
        <w:tc>
          <w:tcPr>
            <w:shd w:val="clear" w:color="auto" w:fill="auto"/>
            <w:tcW w:w="231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地下</w:t>
            </w:r>
            <w:r/>
          </w:p>
        </w:tc>
      </w:tr>
    </w:tbl>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采购人提供供应商使用的场地、设施、设备、材料等。</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采购人可提供的办公室</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序号</w:t>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数量</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面积㎡</w:t>
            </w:r>
            <w:r/>
          </w:p>
        </w:tc>
        <w:tc>
          <w:tcPr>
            <w:tcW w:w="475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办公室内可用设施设备清单</w:t>
            </w:r>
            <w:r/>
          </w:p>
        </w:tc>
      </w:tr>
      <w:tr>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highlight w:val="none"/>
                <w:lang w:val="en-US" w:eastAsia="zh-CN"/>
              </w:rPr>
              <w:suppressLineNumbers w:val="0"/>
            </w:pPr>
            <w:r>
              <w:rPr>
                <w:rFonts w:hint="eastAsia" w:asciiTheme="minorEastAsia" w:hAnsiTheme="minorEastAsia" w:eastAsiaTheme="minorEastAsia" w:cstheme="minorEastAsia"/>
                <w:sz w:val="18"/>
                <w:szCs w:val="18"/>
                <w:highlight w:val="none"/>
                <w:lang w:val="en-US" w:eastAsia="zh-CN"/>
              </w:rPr>
              <w:t xml:space="preserve">1</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highlight w:val="none"/>
                <w:lang w:val="en-US" w:eastAsia="zh-CN"/>
              </w:rPr>
              <w:suppressLineNumbers w:val="0"/>
            </w:pPr>
            <w:r>
              <w:rPr>
                <w:rFonts w:hint="eastAsia" w:asciiTheme="minorEastAsia" w:hAnsiTheme="minorEastAsia" w:eastAsiaTheme="minorEastAsia" w:cstheme="minorEastAsia"/>
                <w:sz w:val="18"/>
                <w:szCs w:val="18"/>
                <w:highlight w:val="none"/>
                <w:lang w:val="en-US" w:eastAsia="zh-CN"/>
              </w:rPr>
              <w:t xml:space="preserve">497.39</w:t>
            </w:r>
            <w:r/>
          </w:p>
        </w:tc>
        <w:tc>
          <w:tcPr>
            <w:tcW w:w="4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highlight w:val="none"/>
                <w:lang w:val="en-US" w:eastAsia="zh-CN"/>
              </w:rPr>
              <w:suppressLineNumbers w:val="0"/>
            </w:pPr>
            <w:r>
              <w:rPr>
                <w:rFonts w:hint="eastAsia" w:asciiTheme="minorEastAsia" w:hAnsiTheme="minorEastAsia" w:eastAsiaTheme="minorEastAsia" w:cstheme="minorEastAsia"/>
                <w:sz w:val="18"/>
                <w:szCs w:val="18"/>
                <w:highlight w:val="none"/>
                <w:lang w:val="en-US" w:eastAsia="zh-CN"/>
              </w:rPr>
              <w:t xml:space="preserve">本项目的物业管理用房及办公室由采购人提供</w:t>
            </w:r>
            <w:r/>
          </w:p>
        </w:tc>
      </w:tr>
      <w:tr>
        <w:trPr>
          <w:trHeight w:val="90"/>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67.34</w:t>
            </w:r>
            <w:r/>
          </w:p>
        </w:tc>
        <w:tc>
          <w:tcPr>
            <w:tcW w:w="4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本项目的消控由采购人提供</w:t>
            </w:r>
            <w:r/>
          </w:p>
        </w:tc>
      </w:tr>
      <w:tr>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4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本项目的门卫室由采购人提供</w:t>
            </w:r>
            <w:r/>
          </w:p>
        </w:tc>
      </w:tr>
      <w:tr>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4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r>
    </w:tbl>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（2）采购人可提供的物业管理服务设备</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序号</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名称</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数量</w:t>
            </w:r>
            <w:r/>
          </w:p>
        </w:tc>
        <w:tc>
          <w:tcPr>
            <w:tcW w:w="213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用途</w:t>
            </w:r>
            <w:r/>
          </w:p>
        </w:tc>
        <w:tc>
          <w:tcPr>
            <w:tcW w:w="30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主要技术指标</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213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30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213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30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213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30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r>
    </w:tbl>
    <w:p>
      <w:pPr>
        <w:numPr>
          <w:ilvl w:val="0"/>
          <w:numId w:val="5"/>
        </w:num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采购人可提供的零星维修材料、低值易耗品</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hint="eastAsia" w:asciiTheme="minorEastAsia" w:hAnsiTheme="minorEastAsia" w:eastAsiaTheme="minorEastAsia" w:cstheme="minorEastAsia"/>
                <w:b w:val="0"/>
                <w:bCs w:val="0"/>
                <w:color w:val="000000"/>
                <w:spacing w:val="-1"/>
                <w:szCs w:val="21"/>
                <w:highlight w:val="none"/>
                <w:lang w:val="en-US" w:eastAsia="zh-CN"/>
              </w:rPr>
            </w:pPr>
            <w:r>
              <w:rPr>
                <w:rFonts w:hint="eastAsia" w:asciiTheme="minorEastAsia" w:hAnsiTheme="minorEastAsia" w:eastAsiaTheme="minorEastAsia" w:cstheme="minorEastAsia"/>
                <w:b/>
                <w:bCs/>
                <w:color w:val="000000"/>
                <w:spacing w:val="-1"/>
                <w:szCs w:val="21"/>
                <w:highlight w:val="none"/>
                <w:lang w:val="en-US" w:eastAsia="zh-CN"/>
              </w:rPr>
              <w:t xml:space="preserve">零星维修材料</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序号</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名称</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数量</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用途</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r>
      <w:tr>
        <w:trPr/>
        <w:tc>
          <w:tcPr>
            <w:gridSpan w:val="4"/>
            <w:tcW w:w="8519" w:type="dxa"/>
            <w:vAlign w:val="top"/>
            <w:textDirection w:val="lrTb"/>
            <w:noWrap w:val="false"/>
          </w:tcPr>
          <w:p>
            <w:pPr>
              <w:jc w:val="left"/>
              <w:rPr>
                <w:rFonts w:hint="eastAsia" w:asciiTheme="minorEastAsia" w:hAnsiTheme="minorEastAsia" w:eastAsiaTheme="minorEastAsia" w:cstheme="minorEastAsia"/>
                <w:b/>
                <w:bCs/>
                <w:color w:val="000000"/>
                <w:spacing w:val="-1"/>
                <w:szCs w:val="21"/>
                <w:highlight w:val="none"/>
                <w:lang w:val="en-US" w:eastAsia="zh-CN"/>
              </w:rPr>
            </w:pPr>
            <w:r>
              <w:rPr>
                <w:rFonts w:hint="eastAsia" w:asciiTheme="minorEastAsia" w:hAnsiTheme="minorEastAsia" w:eastAsiaTheme="minorEastAsia" w:cstheme="minorEastAsia"/>
                <w:b/>
                <w:bCs/>
                <w:color w:val="000000"/>
                <w:spacing w:val="-1"/>
                <w:szCs w:val="21"/>
                <w:highlight w:val="none"/>
                <w:lang w:val="en-US" w:eastAsia="zh-CN"/>
              </w:rPr>
              <w:t xml:space="preserve">低值易耗品</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序号</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名称</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数量</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用途</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r>
    </w:tbl>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除</w:t>
      </w:r>
      <w:r>
        <w:rPr>
          <w:rFonts w:hint="eastAsia" w:asciiTheme="minorEastAsia" w:hAnsiTheme="minorEastAsia" w:eastAsiaTheme="minorEastAsia" w:cstheme="minorEastAsia"/>
          <w:color w:val="000000"/>
          <w:sz w:val="24"/>
          <w:szCs w:val="24"/>
          <w:highlight w:val="none"/>
        </w:rPr>
        <w:t xml:space="preserve">以上所列场地、设施、设备、材料外，与物业管理服务有关的其他场地、设施、设备、材料均由供应商承担。</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numPr>
          <w:ilvl w:val="0"/>
          <w:numId w:val="6"/>
        </w:numPr>
        <w:ind w:firstLine="482"/>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物业服务范围</w:t>
      </w:r>
      <w:r/>
    </w:p>
    <w:p>
      <w:pPr>
        <w:numPr>
          <w:ilvl w:val="0"/>
          <w:numId w:val="0"/>
        </w:numPr>
        <w:spacing w:line="360" w:lineRule="auto"/>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物业管理（建筑物）</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名称</w:t>
            </w:r>
            <w:r/>
          </w:p>
        </w:tc>
        <w:tc>
          <w:tcPr>
            <w:tcW w:w="292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明细</w:t>
            </w:r>
            <w:r/>
          </w:p>
        </w:tc>
        <w:tc>
          <w:tcPr>
            <w:tcW w:w="338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服务内容及标准</w:t>
            </w:r>
            <w:r/>
          </w:p>
        </w:tc>
      </w:tr>
      <w:tr>
        <w:trPr/>
        <w:tc>
          <w:tcPr>
            <w:tcW w:w="2211"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丽新苑二期小区建筑物部分</w:t>
            </w:r>
            <w:r/>
          </w:p>
        </w:tc>
        <w:tc>
          <w:tcPr>
            <w:tcW w:w="2929"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丽新苑二期总建筑面积为123818.92平方米，地上计容建筑面积89767.67平方米，物业服务面积123411.41平方米，地下建筑面积34051.25平方米。其他具体明细详见“1.1物业情况”的建筑物部分。</w:t>
            </w:r>
            <w:r/>
          </w:p>
        </w:tc>
        <w:tc>
          <w:tcPr>
            <w:tcW w:w="3382"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主要包括丽新苑二期小区内建筑物的保安、保洁工作，以及</w:t>
            </w:r>
            <w:r>
              <w:rPr>
                <w:rFonts w:hint="eastAsia" w:asciiTheme="minorEastAsia" w:hAnsiTheme="minorEastAsia" w:eastAsiaTheme="minorEastAsia" w:cstheme="minorEastAsia"/>
                <w:sz w:val="18"/>
                <w:szCs w:val="18"/>
                <w:lang w:val="en-US" w:eastAsia="en-US"/>
              </w:rPr>
              <w:t xml:space="preserve">房屋和</w:t>
            </w:r>
            <w:r>
              <w:rPr>
                <w:rFonts w:hint="eastAsia" w:asciiTheme="minorEastAsia" w:hAnsiTheme="minorEastAsia" w:eastAsiaTheme="minorEastAsia" w:cstheme="minorEastAsia"/>
                <w:sz w:val="18"/>
                <w:szCs w:val="18"/>
                <w:lang w:val="en-US" w:eastAsia="zh-CN"/>
              </w:rPr>
              <w:t xml:space="preserve">公用设施</w:t>
            </w:r>
            <w:r>
              <w:rPr>
                <w:rFonts w:hint="eastAsia" w:asciiTheme="minorEastAsia" w:hAnsiTheme="minorEastAsia" w:eastAsiaTheme="minorEastAsia" w:cstheme="minorEastAsia"/>
                <w:sz w:val="18"/>
                <w:szCs w:val="18"/>
                <w:lang w:val="en-US" w:eastAsia="en-US"/>
              </w:rPr>
              <w:t xml:space="preserve">设备的维修保养等工作</w:t>
            </w:r>
            <w:r>
              <w:rPr>
                <w:rFonts w:hint="eastAsia" w:asciiTheme="minorEastAsia" w:hAnsiTheme="minorEastAsia" w:eastAsiaTheme="minorEastAsia" w:cstheme="minorEastAsia"/>
                <w:sz w:val="18"/>
                <w:szCs w:val="18"/>
                <w:lang w:val="en-US" w:eastAsia="zh-CN"/>
              </w:rPr>
              <w:t xml:space="preserve">。具体详见“3.物业管理服务内容及标准”</w:t>
            </w:r>
            <w:r>
              <w:rPr>
                <w:rFonts w:hint="eastAsia" w:asciiTheme="minorEastAsia" w:hAnsiTheme="minorEastAsia" w:eastAsiaTheme="minorEastAsia" w:cstheme="minorEastAsia"/>
                <w:sz w:val="18"/>
                <w:szCs w:val="18"/>
                <w:lang w:val="en-US" w:eastAsia="en-US"/>
              </w:rPr>
              <w:t xml:space="preserve">。</w:t>
            </w:r>
            <w:r/>
          </w:p>
        </w:tc>
      </w:tr>
    </w:tbl>
    <w:p>
      <w:pPr>
        <w:numPr>
          <w:ilvl w:val="0"/>
          <w:numId w:val="0"/>
        </w:numPr>
        <w:spacing w:line="360" w:lineRule="auto"/>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2</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物业管理（室外）</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名称</w:t>
            </w:r>
            <w:r/>
          </w:p>
        </w:tc>
        <w:tc>
          <w:tcPr>
            <w:tcW w:w="292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明细</w:t>
            </w:r>
            <w:r/>
          </w:p>
        </w:tc>
        <w:tc>
          <w:tcPr>
            <w:tcW w:w="338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服务内容及标准</w:t>
            </w:r>
            <w:r/>
          </w:p>
        </w:tc>
      </w:tr>
      <w:tr>
        <w:trPr/>
        <w:tc>
          <w:tcPr>
            <w:tcW w:w="2211"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丽新苑二期安居房小区室外部分</w:t>
            </w:r>
            <w:r/>
          </w:p>
        </w:tc>
        <w:tc>
          <w:tcPr>
            <w:tcW w:w="2929"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丽新苑二期总建筑面积为123818.92平方米，绿化面积约11650平方米，地面车位115个，具体详见“1.1物业情况”。</w:t>
            </w:r>
            <w:r/>
          </w:p>
        </w:tc>
        <w:tc>
          <w:tcPr>
            <w:tcW w:w="3382"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主要包括丽新苑二期小区内及小区各出入口至主干道两侧50米距离范围内室外的所有和物业有关的工作（不包含商铺），包括但不仅限于保安、保洁、绿化养护与管理、房屋和共用设施设备的维修保养等工作。具体详见“3.物业管理服务内容及标准”。</w:t>
            </w:r>
            <w:r/>
          </w:p>
        </w:tc>
      </w:tr>
    </w:tbl>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2"/>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3.物业管理服务内容及标准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3.1  清洁管理标准</w:t>
      </w:r>
      <w:r/>
    </w:p>
    <w:tbl>
      <w:tblPr>
        <w:tblStyle w:val="793"/>
        <w:tblW w:w="8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55"/>
        <w:gridCol w:w="6390"/>
      </w:tblGrid>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75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39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共用楼道保洁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打扫1次各楼层通道和楼梯台阶；每周清洁1次楼梯扶手；各层和通道的防火门、消防栓、玻璃箱内侧、灯具、墙面、地脚线、指示牌等公共设施每月循环清洁1次；各梯间墙面每季度除尘1次；每季度擦1次楼梯道共用门窗玻璃。地面、梯间基本干净，无垃圾、灰尘、杂物，污渍、水渍，无乱贴</w:t>
            </w:r>
            <w:r>
              <w:rPr>
                <w:rFonts w:hint="eastAsia" w:asciiTheme="minorEastAsia" w:hAnsiTheme="minorEastAsia" w:eastAsiaTheme="minorEastAsia" w:cstheme="minorEastAsia"/>
                <w:sz w:val="18"/>
                <w:szCs w:val="18"/>
                <w:lang w:val="en-US" w:eastAsia="zh-CN"/>
              </w:rPr>
              <w:t xml:space="preserve">乱画</w:t>
            </w:r>
            <w:r>
              <w:rPr>
                <w:rFonts w:hint="eastAsia" w:asciiTheme="minorEastAsia" w:hAnsiTheme="minorEastAsia" w:eastAsiaTheme="minorEastAsia" w:cstheme="minorEastAsia"/>
                <w:sz w:val="18"/>
                <w:szCs w:val="18"/>
                <w:lang w:val="en-US" w:eastAsia="en-US"/>
              </w:rPr>
              <w:t xml:space="preserve">，无擅自占用现象，无乱堆乱放；梯间顶面无明显蜘蛛网、灰尘，地脚线无明显污渍，地面目视无明显杂物、污迹。楼梯道玻璃无灰尘。</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共用卫生间保洁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早、晚对共用卫生间清洁2次，保洁时悬挂醒目标识；清洁内容包括：通风换气；冲洗烟灰缸、洁具；清扫地面垃圾、清倒垃圾篓垃圾、换新的垃圾袋；用洗洁剂清洗大、小便器；用快捷布擦洗洗手盆并冲洗干净；用毛巾抹墙面、台面、开关、门牌；用毛巾擦干净玻璃、镜面；用拖把拖干净地面等；每月1次用毛巾擦灯具；每月2次对共用卫生间进行消杀，发现墙壁有字及时清洁。室内无异味、臭味；地面无烟头、纸屑、污渍、积水，天花板、墙面无灰尘、蜘蛛网，目视墙壁干净，便器洁净无黄渍。</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停车场、共用车库或车棚保洁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3日清扫1次车库的纸屑和垃圾，每季度对地下室进行一次湿法保洁；及时清除地下室进出口的垃圾；发现油迹、污迹、锈迹，应及时擦洗干净；每季度打开1次地下室、车库的集水坑和排水沟盖板，彻底疏通冲刷1次；每半年擦洗1次门窗、消防栓、指示牌、指示灯、车位档、防火门等公共设施；每2个月进行1次地下室消杀工作。地面无垃圾、果皮、纸屑、无积水、无油迹、无污迹和杂物；无异味、空气流通；管道油漆无脱落、无锈迹；标识、指示牌等公共设施目视无明显灰尘；墙面、管线基本无污迹、无积灰</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4</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道路保洁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每日清扫2次，保洁时间不少于4小时，目视道路基本干净、整洁，无垃圾、杂物、</w:t>
            </w:r>
            <w:r>
              <w:rPr>
                <w:rFonts w:hint="eastAsia" w:asciiTheme="minorEastAsia" w:hAnsiTheme="minorEastAsia" w:eastAsiaTheme="minorEastAsia" w:cstheme="minorEastAsia"/>
                <w:sz w:val="18"/>
                <w:szCs w:val="18"/>
                <w:lang w:val="en-US" w:eastAsia="zh-CN"/>
              </w:rPr>
              <w:t xml:space="preserve">浮沙</w:t>
            </w:r>
            <w:r>
              <w:rPr>
                <w:rFonts w:hint="eastAsia" w:asciiTheme="minorEastAsia" w:hAnsiTheme="minorEastAsia" w:eastAsiaTheme="minorEastAsia" w:cstheme="minorEastAsia"/>
                <w:sz w:val="18"/>
                <w:szCs w:val="18"/>
                <w:lang w:val="en-US" w:eastAsia="en-US"/>
              </w:rPr>
              <w:t xml:space="preserve">，无污迹，无积水、积雪；地面垃圾滞留时间不能超过1小时。</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5</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标识、宣传牌、雕塑、信报箱保洁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标识、宣传牌每3日擦拭1次，雕塑每月擦拭1次。清洁后检查无污渍、无积灰，不损伤被清洁物；每周擦拭1次业主（使用人）信报箱，擦拭后信报箱干净无灰尘、无污迹。</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6</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绿化保洁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清扫2次绿化带、草地上垃圾，捡1次草地、绿化带上的烟头、棉签等小杂物，秋冬季节或落叶较多季节增加清洁次数，地面基本干净、无积尘、无污渍、无垃圾，花坛表面洁净无污渍，地面垃圾滞留时间不超过1小时。</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7</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休闲、娱乐、健身设施保洁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周清洁3次（擦拭表面灰尘、用清洁剂擦拭污渍用清水冲洗干净用抹布抹干、清扫垃圾、擦拭座椅）；设施表面干净，无灰尘污渍、锈迹，目视游乐场内及其周围无果皮、纸屑等垃圾，及时发现设施、设备脱焊、脱漆、断裂及其他安全隐患并报告处理。</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8</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门卫、岗亭、监控探头保洁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门卫、岗亭每日清洁2次，内外地面拖洗干净，擦洗干净内外门窗玻璃、窗台，及其他台面，室内外墙面每月清洁2次，发现不卫生随时处理，保持墙、地面干净、光亮、整洁，保安岗亭随时保洁，墙面、顶面无积灰；工、器具排放整齐、有序；监控探头每周擦拭1次，镜头用专用纸，探头外表用微湿的毛巾；擦拭不得刮伤镜片，清洁后镜头光亮洁净，探头外表干净无灰尘。</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9</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垃圾桶、果皮箱</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垃圾桶、果皮箱：每日清运2次；每日抹布抹1次；垃圾桶、果皮箱周围地面无散落垃圾、无污水、无明显污迹；垃圾桶、果皮箱无明显污迹、油污，无明显异味。</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10</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垃圾收集与处理</w:t>
            </w:r>
            <w:r>
              <w:rPr>
                <w:rFonts w:hint="eastAsia" w:asciiTheme="minorEastAsia" w:hAnsiTheme="minorEastAsia" w:eastAsiaTheme="minorEastAsia" w:cstheme="minorEastAsia"/>
                <w:sz w:val="18"/>
                <w:szCs w:val="18"/>
                <w:lang w:val="en-US" w:eastAsia="zh-CN"/>
              </w:rPr>
              <w:t xml:space="preserve">、化粪池清淤</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生活垃圾由业主（使用人）自己送至楼下固定位置，由保洁人员负责小区内垃圾的分类清运工作，垃圾分类工作按照（如有最新文件，按最新文件要求执行）锡</w:t>
            </w:r>
            <w:r>
              <w:rPr>
                <w:rFonts w:hint="eastAsia" w:asciiTheme="minorEastAsia" w:hAnsiTheme="minorEastAsia" w:eastAsiaTheme="minorEastAsia" w:cstheme="minorEastAsia"/>
                <w:sz w:val="18"/>
                <w:szCs w:val="18"/>
                <w:lang w:val="en-US" w:eastAsia="zh-CN"/>
              </w:rPr>
              <w:t xml:space="preserve">政办发〔2024〕4号</w:t>
            </w:r>
            <w:r>
              <w:rPr>
                <w:rFonts w:hint="eastAsia" w:asciiTheme="minorEastAsia" w:hAnsiTheme="minorEastAsia" w:eastAsiaTheme="minorEastAsia" w:cstheme="minorEastAsia"/>
                <w:sz w:val="18"/>
                <w:szCs w:val="18"/>
                <w:lang w:val="en-US" w:eastAsia="en-US"/>
              </w:rPr>
              <w:t xml:space="preserve">《</w:t>
            </w:r>
            <w:r>
              <w:rPr>
                <w:rFonts w:hint="eastAsia" w:asciiTheme="minorEastAsia" w:hAnsiTheme="minorEastAsia" w:eastAsiaTheme="minorEastAsia" w:cstheme="minorEastAsia"/>
                <w:sz w:val="18"/>
                <w:szCs w:val="18"/>
                <w:lang w:val="en-US" w:eastAsia="zh-CN"/>
              </w:rPr>
              <w:t xml:space="preserve">市政府办公室印发关于进一步推动居民小区生活垃圾分类工作实施方案的通知》</w:t>
            </w:r>
            <w:r>
              <w:rPr>
                <w:rFonts w:hint="eastAsia" w:asciiTheme="minorEastAsia" w:hAnsiTheme="minorEastAsia" w:eastAsiaTheme="minorEastAsia" w:cstheme="minorEastAsia"/>
                <w:sz w:val="18"/>
                <w:szCs w:val="18"/>
                <w:lang w:val="en-US" w:eastAsia="en-US"/>
              </w:rPr>
              <w:t xml:space="preserve">的要求执行。</w:t>
            </w:r>
            <w:r>
              <w:rPr>
                <w:rFonts w:hint="eastAsia" w:asciiTheme="minorEastAsia" w:hAnsiTheme="minorEastAsia" w:eastAsiaTheme="minorEastAsia" w:cstheme="minorEastAsia"/>
                <w:sz w:val="18"/>
                <w:szCs w:val="18"/>
                <w:lang w:val="en-US" w:eastAsia="zh-CN"/>
              </w:rPr>
              <w:t xml:space="preserve">化粪池清淤每年至少1次，确保正常使用。</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11</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卫生消杀</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公用设施设备的清洁卫生、沟渠、下水管道消毒杀菌无异味。</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四害”防治及处理。按国家卫生城市标准和要求对公共场所和周围环境定期进行预防性卫生消杀，制定详尽的消杀预防方案，消除老鼠蟑螂苍蝇及其他有害昆虫及其滋生条件，做到科学、有效、有记录。完成突发性事件造成的保洁工作，配合做好防汛、防冻、防台风、防火的应急处理。</w:t>
            </w:r>
            <w:r/>
          </w:p>
        </w:tc>
      </w:tr>
    </w:tbl>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3.2  秩序维护管理标准</w:t>
      </w:r>
      <w:r/>
    </w:p>
    <w:tbl>
      <w:tblPr>
        <w:tblStyle w:val="793"/>
        <w:tblW w:w="8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875"/>
        <w:gridCol w:w="6315"/>
      </w:tblGrid>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87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31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人员组织</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专职安全护卫人员，身体健康，责任心强，工作认真负责，体态良好；接受过安全护卫或相关训练，训练有素，掌握基本安全护卫技能，并定期进行安全防范学习，增强安全防范能力。熟悉小区内部环境，熟悉物业管理及有关法律法规，能恰当</w:t>
            </w:r>
            <w:r>
              <w:rPr>
                <w:rFonts w:hint="eastAsia" w:asciiTheme="minorEastAsia" w:hAnsiTheme="minorEastAsia" w:eastAsiaTheme="minorEastAsia" w:cstheme="minorEastAsia"/>
                <w:sz w:val="18"/>
                <w:szCs w:val="18"/>
                <w:lang w:val="en-US" w:eastAsia="zh-CN"/>
              </w:rPr>
              <w:t xml:space="preserve">地</w:t>
            </w:r>
            <w:r>
              <w:rPr>
                <w:rFonts w:hint="eastAsia" w:asciiTheme="minorEastAsia" w:hAnsiTheme="minorEastAsia" w:eastAsiaTheme="minorEastAsia" w:cstheme="minorEastAsia"/>
                <w:sz w:val="18"/>
                <w:szCs w:val="18"/>
                <w:lang w:val="en-US" w:eastAsia="en-US"/>
              </w:rPr>
              <w:t xml:space="preserve">处理和应对小区护卫工作；思想品质好，作风正派，热爱安全护卫工作，无犯罪记录。</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当班时保安人员上岗必须凭证并统一着装（着保安服、系武装带，戴保安帽），并配备对讲装置和其他必备的安全护卫工具及警用器材。</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上岗时精神振作，举止应文明，姿态良好，大方、得体，抬头挺胸，注意检查和保持仪容仪表；在执勤时不吸烟、吃零食</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 不袖手、背手、</w:t>
            </w:r>
            <w:r>
              <w:rPr>
                <w:rFonts w:hint="eastAsia" w:asciiTheme="minorEastAsia" w:hAnsiTheme="minorEastAsia" w:eastAsiaTheme="minorEastAsia" w:cstheme="minorEastAsia"/>
                <w:sz w:val="18"/>
                <w:szCs w:val="18"/>
                <w:lang w:val="en-US" w:eastAsia="zh-CN"/>
              </w:rPr>
              <w:t xml:space="preserve">叉腰</w:t>
            </w:r>
            <w:r>
              <w:rPr>
                <w:rFonts w:hint="eastAsia" w:asciiTheme="minorEastAsia" w:hAnsiTheme="minorEastAsia" w:eastAsiaTheme="minorEastAsia" w:cstheme="minorEastAsia"/>
                <w:sz w:val="18"/>
                <w:szCs w:val="18"/>
                <w:lang w:val="en-US" w:eastAsia="en-US"/>
              </w:rPr>
              <w:t xml:space="preserve">或将手插入衣袋，不弯腰驼背，前倾后靠；讲普通话。</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交接班制度完善，并有工作及交接班记录。</w:t>
            </w:r>
            <w:r/>
          </w:p>
        </w:tc>
      </w:tr>
      <w:tr>
        <w:trPr>
          <w:jc w:val="center"/>
          <w:trHeight w:val="1028"/>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门卫</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各出入口24小时有值班看守，谢绝业主拒绝访问人员和未经业主批准的商贩入内，大件物品搬出实行登记，实施交通指挥交通疏导等工作。</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巡逻</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白天巡逻次数不少于4次，夜间巡逻次数不少于6次，每次巡逻时长不低于30分钟，重点部位、重点时间以及特殊情况加强巡逻；及时发现和处理安全隐患；接受业主（使用人）投诉和求助；回答用户的询问；在遇到突发事件时，及时报告警方与管理处，必要时采取正当防卫，防止事态扩大，协助保护现场和证据；安全巡逻有记录有检查。</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4</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紧急事故反应</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制定紧急事故处理预案，至少包括：火灾、爆炸、地震、炸弹恐吓、安全疏散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5</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其他防范措施</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设有业主（使用人）求助与报警电话，24小时有人值守；接到报警信号，确认后管理处应立即派人赶往现场查看，予以恰当的紧急处理；涉及人身安全处，设有明显标志并有防护措施；协助有关部门维持社区正常生活秩序，防止不安全事件发生；对社区内外围边界、角落、车库、道路的照明设施加强维护，保持必要的照明；建立空置房屋、设备室、垃圾房、杂物房巡查、钥匙管理及登记备案制度。</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6</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交通、车辆管理</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有较为完善的车辆管理制度；小区设置明显的交通标志；维持交通秩序，发现车辆未上锁及乱停乱放进行忠告或纠正；发现偷盗车辆、破坏交通设施等现象及时制止；封闭停车场由专人管理，车辆进场、离场有检查、记录；管理人员责任心强，认真负责。</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7</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消防</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执行《中华人民共和国消防条例</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中华人民共和国消防条例实施细则》和其他有关消防法规；</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健全消防组织，建立消防责任制；</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定期进行消防训练，保证有关人员掌握基本消防技能；熟练掌握防火、灭火知识和消防器材的使用方法，提高自防自救的能力。</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每年模拟火灾操作1次，以熟悉操作和检查消防监控设备；</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消防监控室保持清洁，每周至少保洁1次，要求地面无积灰，监控箱表面无污渍；</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每日填写工作记录，建档备查</w:t>
            </w:r>
            <w:r>
              <w:rPr>
                <w:rFonts w:hint="eastAsia" w:asciiTheme="minorEastAsia" w:hAnsiTheme="minorEastAsia" w:eastAsiaTheme="minorEastAsia" w:cstheme="minorEastAsia"/>
                <w:sz w:val="18"/>
                <w:szCs w:val="18"/>
                <w:lang w:val="en-US" w:eastAsia="zh-CN"/>
              </w:rPr>
              <w:t xml:space="preserve">。</w:t>
            </w:r>
            <w:r/>
          </w:p>
        </w:tc>
      </w:tr>
    </w:tbl>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3.3  公共服务</w:t>
      </w:r>
      <w:r/>
    </w:p>
    <w:tbl>
      <w:tblPr>
        <w:tblStyle w:val="793"/>
        <w:tblW w:w="8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770"/>
        <w:gridCol w:w="6420"/>
      </w:tblGrid>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77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42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77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接待</w:t>
            </w:r>
            <w:r/>
          </w:p>
        </w:tc>
        <w:tc>
          <w:tcPr>
            <w:tcW w:w="642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佩戴统一标志，仪表端庄、大方，衣着整洁，表情自然和蔼、亲切；对业主（使用人）一视同仁；接待时主动、热情、规范；迎送接待业主</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使用人</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时，用语准确，称呼恰当，问候亲切，语气诚恳，耐心细致；使用文明用语，不应使用服务忌语。</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对业主（使用人）的报修与求助应耐心细致，对收费项目及时说明服务标准、服务方式、收费标准等事项，征求业主（使用人）的意见。</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77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值守</w:t>
            </w:r>
            <w:r/>
          </w:p>
        </w:tc>
        <w:tc>
          <w:tcPr>
            <w:tcW w:w="642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有完善的值班制度和交接班制度；工作有记录。</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77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服务时限</w:t>
            </w:r>
            <w:r/>
          </w:p>
        </w:tc>
        <w:tc>
          <w:tcPr>
            <w:tcW w:w="642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急修服务30分钟内到位</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24小时内修复，若不能，要有紧急处理措施，并对业主（使用人）做出合理解释，做出限时承诺。小修2日内修复，特殊情况必须</w:t>
            </w:r>
            <w:r>
              <w:rPr>
                <w:rFonts w:hint="eastAsia" w:asciiTheme="minorEastAsia" w:hAnsiTheme="minorEastAsia" w:eastAsiaTheme="minorEastAsia" w:cstheme="minorEastAsia"/>
                <w:sz w:val="18"/>
                <w:szCs w:val="18"/>
                <w:lang w:val="en-US" w:eastAsia="zh-CN"/>
              </w:rPr>
              <w:t xml:space="preserve">作出</w:t>
            </w:r>
            <w:r>
              <w:rPr>
                <w:rFonts w:hint="eastAsia" w:asciiTheme="minorEastAsia" w:hAnsiTheme="minorEastAsia" w:eastAsiaTheme="minorEastAsia" w:cstheme="minorEastAsia"/>
                <w:sz w:val="18"/>
                <w:szCs w:val="18"/>
                <w:lang w:val="en-US" w:eastAsia="en-US"/>
              </w:rPr>
              <w:t xml:space="preserve">说明和限时承诺。服务时限不得以节假日和休息时间顺延。</w:t>
            </w:r>
            <w:r/>
          </w:p>
        </w:tc>
      </w:tr>
    </w:tbl>
    <w:p>
      <w:pPr>
        <w:ind w:firstLine="480"/>
        <w:spacing w:line="360" w:lineRule="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3.4 房屋、</w:t>
      </w:r>
      <w:r>
        <w:rPr>
          <w:rFonts w:hint="eastAsia" w:asciiTheme="minorEastAsia" w:hAnsiTheme="minorEastAsia" w:eastAsiaTheme="minorEastAsia" w:cstheme="minorEastAsia"/>
          <w:b/>
          <w:bCs/>
          <w:color w:val="000000"/>
          <w:sz w:val="24"/>
          <w:szCs w:val="24"/>
          <w:highlight w:val="none"/>
          <w:lang w:eastAsia="zh-CN"/>
        </w:rPr>
        <w:t xml:space="preserve">公用设施</w:t>
      </w:r>
      <w:r>
        <w:rPr>
          <w:rFonts w:hint="eastAsia" w:asciiTheme="minorEastAsia" w:hAnsiTheme="minorEastAsia" w:eastAsiaTheme="minorEastAsia" w:cstheme="minorEastAsia"/>
          <w:b/>
          <w:bCs/>
          <w:color w:val="000000"/>
          <w:sz w:val="24"/>
          <w:szCs w:val="24"/>
          <w:highlight w:val="none"/>
        </w:rPr>
        <w:t xml:space="preserve">、设备维护与管理</w:t>
      </w:r>
      <w:r/>
    </w:p>
    <w:tbl>
      <w:tblPr>
        <w:tblStyle w:val="793"/>
        <w:tblW w:w="8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743"/>
        <w:gridCol w:w="6480"/>
      </w:tblGrid>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74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48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巡检</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每年年底或年初对房屋共用部位、设施设备、道路、绿地等进行全面检查1次，掌握房屋设施设备完损状况，对完损程度</w:t>
            </w:r>
            <w:r>
              <w:rPr>
                <w:rFonts w:hint="eastAsia" w:asciiTheme="minorEastAsia" w:hAnsiTheme="minorEastAsia" w:eastAsiaTheme="minorEastAsia" w:cstheme="minorEastAsia"/>
                <w:sz w:val="18"/>
                <w:szCs w:val="18"/>
                <w:lang w:val="en-US" w:eastAsia="zh-CN"/>
              </w:rPr>
              <w:t xml:space="preserve">作出评价</w:t>
            </w:r>
            <w:r>
              <w:rPr>
                <w:rFonts w:hint="eastAsia" w:asciiTheme="minorEastAsia" w:hAnsiTheme="minorEastAsia" w:eastAsiaTheme="minorEastAsia" w:cstheme="minorEastAsia"/>
                <w:sz w:val="18"/>
                <w:szCs w:val="18"/>
                <w:lang w:val="en-US" w:eastAsia="en-US"/>
              </w:rPr>
              <w:t xml:space="preserve">；</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每半年检查巡视1次房屋主体结构，发现质量问题及时向业主报告与建议；根据委托方的委托，组织维修工作；</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在冬、雨季和天气异常时安排组织房屋设施巡视，对质量较差，易出问题的部位重点检查；每半年检查清除1次屋面、檐沟内落叶杂物树叶等，疏通雨水口、落水管等； </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每日巡视1次房屋门厅、楼梯间通道部位以及</w:t>
            </w:r>
            <w:r>
              <w:rPr>
                <w:rFonts w:hint="eastAsia" w:asciiTheme="minorEastAsia" w:hAnsiTheme="minorEastAsia" w:eastAsiaTheme="minorEastAsia" w:cstheme="minorEastAsia"/>
                <w:sz w:val="18"/>
                <w:szCs w:val="18"/>
                <w:lang w:val="en-US" w:eastAsia="zh-CN"/>
              </w:rPr>
              <w:t xml:space="preserve">其他</w:t>
            </w:r>
            <w:r>
              <w:rPr>
                <w:rFonts w:hint="eastAsia" w:asciiTheme="minorEastAsia" w:hAnsiTheme="minorEastAsia" w:eastAsiaTheme="minorEastAsia" w:cstheme="minorEastAsia"/>
                <w:sz w:val="18"/>
                <w:szCs w:val="18"/>
                <w:lang w:val="en-US" w:eastAsia="en-US"/>
              </w:rPr>
              <w:t xml:space="preserve">共用部位的门窗、玻璃、路灯</w:t>
            </w:r>
            <w:r>
              <w:rPr>
                <w:rFonts w:hint="eastAsia" w:asciiTheme="minorEastAsia" w:hAnsiTheme="minorEastAsia" w:eastAsiaTheme="minorEastAsia" w:cstheme="minorEastAsia"/>
                <w:sz w:val="18"/>
                <w:szCs w:val="18"/>
                <w:lang w:val="en-US" w:eastAsia="zh-CN"/>
              </w:rPr>
              <w:t xml:space="preserve">、窨井盖、雨水篦子、围墙围栏</w:t>
            </w:r>
            <w:r>
              <w:rPr>
                <w:rFonts w:hint="eastAsia" w:asciiTheme="minorEastAsia" w:hAnsiTheme="minorEastAsia" w:eastAsiaTheme="minorEastAsia" w:cstheme="minorEastAsia"/>
                <w:sz w:val="18"/>
                <w:szCs w:val="18"/>
                <w:lang w:val="en-US" w:eastAsia="en-US"/>
              </w:rPr>
              <w:t xml:space="preserve">等；每年秋季对共用部位门窗做专项检修1次；巡检有记录；</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巡检结束将检查情况、维修计划及需要进行大、中修或更新改造的项目报告委托方。</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房屋</w:t>
            </w:r>
            <w:r>
              <w:rPr>
                <w:rFonts w:hint="eastAsia" w:asciiTheme="minorEastAsia" w:hAnsiTheme="minorEastAsia" w:eastAsiaTheme="minorEastAsia" w:cstheme="minorEastAsia"/>
                <w:sz w:val="18"/>
                <w:szCs w:val="18"/>
                <w:lang w:val="en-US" w:eastAsia="zh-CN"/>
              </w:rPr>
              <w:t xml:space="preserve">（装修管理）</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（1）对业主（使用人）装修房屋的申请，应当要求业主提供装修方案，并于2个工作日内给出同意意见或修改意见，并签订装饰装修管理服务协议；</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（2）将室内装饰装修工程的禁止行为和注意事项告知装修人，指导装修人按要求在备案平台上申报装修备案并进行审查；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（3）业主（使用人）装修期间每日巡查装修施工情况；</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（4）装修结束组织验收；</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（5）验收合格2个月后组织复验；</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（6）复验合格后3个工作日内退还装修保证金；</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（7）对装修中的违约行为及时制止并要求其整改；已造成事实后果或者拒不改正的，应当及时报告有关部门依法处理。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委托合同另有约定的按合同约定执行。</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给排水系统及其配套设施</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lang w:val="en-US" w:eastAsia="en-US"/>
              </w:rPr>
              <w:t xml:space="preserve"> 给水设施</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饮用水水池（箱）半年消毒1次，操作人员具有相应操作资格，按照程序操作，清洗时无二次污染，有严密的管理设施；保持水池（箱）结构完好，无渗漏，表面和支架不锈蚀，漆膜脱落处及时修补。每2个月检查保养水箱人孔、进水管、溢水管、泄水管、水位计、液位传感器、浮球阀和各类闸门；冬季水箱有可靠的保温措施，且不得对水质产生污染；</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保持泵房清洁卫生，良好的通风、照明和采暖，地面排水畅通；</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专业人员专人巡视，每日检查泵、管道、水箱、阀门、水表状况，定期保养、维护，出现问题随时处理。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lang w:val="en-US" w:eastAsia="en-US"/>
              </w:rPr>
              <w:t xml:space="preserve">排水设施</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化粪池每年清理1次，出入口畅通，井内无积物浮于面上，池盖无污渍、污物，清理后及时清洁现场；</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楼面落水管落水口等保持完好，开裂、破损等及时更换，定期检查；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每月清扫1次以上排水明沟内的泥沙、纸屑等垃圾，</w:t>
            </w:r>
            <w:r>
              <w:rPr>
                <w:rFonts w:hint="eastAsia" w:asciiTheme="minorEastAsia" w:hAnsiTheme="minorEastAsia" w:eastAsiaTheme="minorEastAsia" w:cstheme="minorEastAsia"/>
                <w:sz w:val="18"/>
                <w:szCs w:val="18"/>
                <w:lang w:val="en-US" w:eastAsia="zh-CN"/>
              </w:rPr>
              <w:t xml:space="preserve">拔除</w:t>
            </w:r>
            <w:r>
              <w:rPr>
                <w:rFonts w:hint="eastAsia" w:asciiTheme="minorEastAsia" w:hAnsiTheme="minorEastAsia" w:eastAsiaTheme="minorEastAsia" w:cstheme="minorEastAsia"/>
                <w:sz w:val="18"/>
                <w:szCs w:val="18"/>
                <w:lang w:val="en-US" w:eastAsia="en-US"/>
              </w:rPr>
              <w:t xml:space="preserve">沟内生长的杂草；达到目视基本干净无污渍、无杂草，排水畅通，无积水、臭味；</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每半年对地下管井清理1次，捞起井内泥沙和悬浮物，清理结束地面冲洗干净。清理时地面竖警示牌，必要时加</w:t>
            </w:r>
            <w:r>
              <w:rPr>
                <w:rFonts w:hint="eastAsia" w:asciiTheme="minorEastAsia" w:hAnsiTheme="minorEastAsia" w:eastAsiaTheme="minorEastAsia" w:cstheme="minorEastAsia"/>
                <w:sz w:val="18"/>
                <w:szCs w:val="18"/>
                <w:lang w:val="en-US" w:eastAsia="zh-CN"/>
              </w:rPr>
              <w:t xml:space="preserve">护栏</w:t>
            </w:r>
            <w:r>
              <w:rPr>
                <w:rFonts w:hint="eastAsia" w:asciiTheme="minorEastAsia" w:hAnsiTheme="minorEastAsia" w:eastAsiaTheme="minorEastAsia" w:cstheme="minorEastAsia"/>
                <w:sz w:val="18"/>
                <w:szCs w:val="18"/>
                <w:lang w:val="en-US" w:eastAsia="en-US"/>
              </w:rPr>
              <w:t xml:space="preserve">。清理后达到目视管道内壁无</w:t>
            </w:r>
            <w:r>
              <w:rPr>
                <w:rFonts w:hint="eastAsia" w:asciiTheme="minorEastAsia" w:hAnsiTheme="minorEastAsia" w:eastAsiaTheme="minorEastAsia" w:cstheme="minorEastAsia"/>
                <w:sz w:val="18"/>
                <w:szCs w:val="18"/>
                <w:lang w:val="en-US" w:eastAsia="zh-CN"/>
              </w:rPr>
              <w:t xml:space="preserve">黏附</w:t>
            </w:r>
            <w:r>
              <w:rPr>
                <w:rFonts w:hint="eastAsia" w:asciiTheme="minorEastAsia" w:hAnsiTheme="minorEastAsia" w:eastAsiaTheme="minorEastAsia" w:cstheme="minorEastAsia"/>
                <w:sz w:val="18"/>
                <w:szCs w:val="18"/>
                <w:lang w:val="en-US" w:eastAsia="en-US"/>
              </w:rPr>
              <w:t xml:space="preserve">物，井底无沉淀物，水面无漂浮物，水流畅通，井盖上无污渍、污物。</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4</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供配电系统</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建立和完善有关规章制度，包括电气设备运行操作规程、安全操作规程、事故处理规程、巡视检查制度、维护制度、安全及交接班制度；</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值班人员具备变配电运行知识和技能，具备上岗资格；</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保持配电房清洁卫生，每周清扫地面及擦拭配电柜表面，要求地面干燥无积灰，配电柜表面无污渍；</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每日检查变压器电压、电流互感器、断路器、隔离开关、高压熔断器及避雷器、配电箱、导线等供配电系统的运行状况，并定时抄表做好记录，出现异常及时处理；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潮湿天气时，采用安全有效措施，保持配电房内主要电器设备干燥；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每月检测1次配电房内有无蛙、鼠、蚁等虫害，如发现马上采取措施杜绝；</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每日填写运行记录，建档备查。</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5</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电梯</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电梯年检及维保</w:t>
            </w:r>
            <w:r>
              <w:rPr>
                <w:rFonts w:hint="eastAsia" w:asciiTheme="minorEastAsia" w:hAnsiTheme="minorEastAsia" w:eastAsiaTheme="minorEastAsia" w:cstheme="minorEastAsia"/>
                <w:sz w:val="18"/>
                <w:szCs w:val="18"/>
                <w:lang w:val="en-US" w:eastAsia="zh-CN"/>
              </w:rPr>
              <w:t xml:space="preserve">维修</w:t>
            </w:r>
            <w:r>
              <w:rPr>
                <w:rFonts w:hint="eastAsia" w:asciiTheme="minorEastAsia" w:hAnsiTheme="minorEastAsia" w:eastAsiaTheme="minorEastAsia" w:cstheme="minorEastAsia"/>
                <w:sz w:val="18"/>
                <w:szCs w:val="18"/>
                <w:lang w:val="en-US" w:eastAsia="en-US"/>
              </w:rPr>
              <w:t xml:space="preserve">不包含在内</w:t>
            </w:r>
            <w:r>
              <w:rPr>
                <w:rFonts w:hint="eastAsia" w:asciiTheme="minorEastAsia" w:hAnsiTheme="minorEastAsia" w:eastAsiaTheme="minorEastAsia" w:cstheme="minorEastAsia"/>
                <w:sz w:val="18"/>
                <w:szCs w:val="18"/>
                <w:lang w:val="en-US" w:eastAsia="zh-CN"/>
              </w:rPr>
              <w:t xml:space="preserve">。</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6</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弱电系统</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操作人员受过专业培训，持证上岗；</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工作时认真负责，精神集中，对异常情况能及时识别；发现异常，及时处理；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有切实可行的维修保养计划；保养、检修及时；</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对相关设备、设施定期进行调试，使系统处于最佳工作状态；</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工作、维修、养护有记录，特殊系统、设备的进入经过授权，密码</w:t>
            </w:r>
            <w:r>
              <w:rPr>
                <w:rFonts w:hint="eastAsia" w:asciiTheme="minorEastAsia" w:hAnsiTheme="minorEastAsia" w:eastAsiaTheme="minorEastAsia" w:cstheme="minorEastAsia"/>
                <w:sz w:val="18"/>
                <w:szCs w:val="18"/>
                <w:lang w:val="en-US" w:eastAsia="zh-CN"/>
              </w:rPr>
              <w:t xml:space="preserve">有效</w:t>
            </w:r>
            <w:r>
              <w:rPr>
                <w:rFonts w:hint="eastAsia" w:asciiTheme="minorEastAsia" w:hAnsiTheme="minorEastAsia" w:eastAsiaTheme="minorEastAsia" w:cstheme="minorEastAsia"/>
                <w:sz w:val="18"/>
                <w:szCs w:val="18"/>
                <w:lang w:val="en-US" w:eastAsia="en-US"/>
              </w:rPr>
              <w:t xml:space="preserve">保护；</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分系统定时检查和记录各部分、各监控点的工作及运行状态，定期对各类信息、数据进行统计分析，形成日、月报表。</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7</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避雷接地系统</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每年雨季来临之前，对整个避雷接地系统进行检查维护；在大雷雨过后也要及时对系统检查，发现严重腐蚀、松脱等立即更换或紧固。</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8</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道路、停车场（车棚、车库）及配套设施</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加强道路维修与养护，制定详细的道路维修养护计划，按照合同约定实施；</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保持道路畅通，路面平坦整齐，排水畅通；</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设立报修渠道，并有巡查制度，专人负责，发现损坏及时修补；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按照社区公约的约定，劝阻人为损坏路面，制止在路面焚烧垃圾、落叶或其他杂物；</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停车场、棚、房完好无损，有大、中、小修计划；</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停车场内照明设施完好，通道畅通无阻，配备必要的消防设备，符合停车场规范要求，便于管理和车主停放车辆。</w:t>
            </w:r>
            <w:r/>
          </w:p>
        </w:tc>
      </w:tr>
    </w:tbl>
    <w:p>
      <w:pPr>
        <w:ind w:firstLine="480"/>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3.5  其他</w:t>
      </w:r>
      <w:r/>
    </w:p>
    <w:tbl>
      <w:tblPr>
        <w:tblStyle w:val="793"/>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753"/>
        <w:gridCol w:w="6510"/>
      </w:tblGrid>
      <w:tr>
        <w:trPr>
          <w:jc w:val="center"/>
        </w:trPr>
        <w:tc>
          <w:tcPr>
            <w:tcW w:w="644"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75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51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644"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车辆管理</w:t>
            </w:r>
            <w:r/>
          </w:p>
        </w:tc>
        <w:tc>
          <w:tcPr>
            <w:tcW w:w="651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lang w:val="en-US" w:eastAsia="en-US"/>
              </w:rPr>
              <w:t xml:space="preserve">地面、墙面按车辆道路行驶要求设立指示牌和地标，车辆行驶有规定路线，车辆停放有序。</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lang w:val="en-US" w:eastAsia="en-US"/>
              </w:rPr>
              <w:t xml:space="preserve">有专职人员24小时巡视和协助停车事宜。</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（3）</w:t>
            </w:r>
            <w:r>
              <w:rPr>
                <w:rFonts w:hint="eastAsia" w:asciiTheme="minorEastAsia" w:hAnsiTheme="minorEastAsia" w:eastAsiaTheme="minorEastAsia" w:cstheme="minorEastAsia"/>
                <w:sz w:val="18"/>
                <w:szCs w:val="18"/>
                <w:lang w:val="en-US" w:eastAsia="en-US"/>
              </w:rPr>
              <w:t xml:space="preserve">收费管理的车库内地面、墙面按车辆道路行驶要求设立标志牌，照明、消防器械配置齐全。</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（4）</w:t>
            </w:r>
            <w:r>
              <w:rPr>
                <w:rFonts w:hint="eastAsia" w:asciiTheme="minorEastAsia" w:hAnsiTheme="minorEastAsia" w:eastAsiaTheme="minorEastAsia" w:cstheme="minorEastAsia"/>
                <w:sz w:val="18"/>
                <w:szCs w:val="18"/>
                <w:lang w:val="en-US" w:eastAsia="en-US"/>
              </w:rPr>
              <w:t xml:space="preserve">地面增加停车位</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配备专业疏导人员管控车辆。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（5）</w:t>
            </w:r>
            <w:r>
              <w:rPr>
                <w:rFonts w:hint="eastAsia" w:asciiTheme="minorEastAsia" w:hAnsiTheme="minorEastAsia" w:eastAsiaTheme="minorEastAsia" w:cstheme="minorEastAsia"/>
                <w:sz w:val="18"/>
                <w:szCs w:val="18"/>
                <w:lang w:val="en-US" w:eastAsia="en-US"/>
              </w:rPr>
              <w:t xml:space="preserve">按照街道要求做好停车收费管理工作。</w:t>
            </w:r>
            <w:r/>
          </w:p>
        </w:tc>
      </w:tr>
      <w:tr>
        <w:trPr>
          <w:jc w:val="center"/>
        </w:trPr>
        <w:tc>
          <w:tcPr>
            <w:tcW w:w="644"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档案资料</w:t>
            </w:r>
            <w:r/>
          </w:p>
        </w:tc>
        <w:tc>
          <w:tcPr>
            <w:tcW w:w="651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档案资料齐全完整；分类成册，管理完善，合理分类，查阅方便；及时变更登记，账物相符。</w:t>
            </w:r>
            <w:r/>
          </w:p>
        </w:tc>
      </w:tr>
      <w:tr>
        <w:trPr>
          <w:jc w:val="center"/>
        </w:trPr>
        <w:tc>
          <w:tcPr>
            <w:tcW w:w="644"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培训制度</w:t>
            </w:r>
            <w:r/>
          </w:p>
        </w:tc>
        <w:tc>
          <w:tcPr>
            <w:tcW w:w="651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中标方应具备完备的培训制度，对物业管理从业人员进行岗前培训及阶段性培训管理，使其熟悉工作流程与要求，定期对保安和保洁人员进行安全教育与业务培训。并定期与业主共同进行消防安全培训和组织消防演练。</w:t>
            </w:r>
            <w:r/>
          </w:p>
        </w:tc>
      </w:tr>
    </w:tbl>
    <w:p>
      <w:pPr>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p>
    <w:tbl>
      <w:tblPr>
        <w:tblStyle w:val="792"/>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序号</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用途</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作业设备名称</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数量</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单位</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1</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基本服务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2</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房屋维修服务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3</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公用设施设备维护服务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4</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保洁服务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5</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绿化服务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6</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保安服务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7</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会议服务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bl>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p>
    <w:p>
      <w:pPr>
        <w:spacing w:line="360" w:lineRule="auto"/>
        <w:rPr>
          <w:rFonts w:ascii="宋体" w:hAnsi="宋体" w:eastAsia="宋体"/>
          <w:sz w:val="24"/>
          <w:szCs w:val="24"/>
          <w:highlight w:val="none"/>
        </w:rPr>
      </w:pPr>
      <w:r>
        <w:rPr>
          <w:rFonts w:ascii="宋体" w:hAnsi="宋体" w:eastAsia="宋体"/>
          <w:sz w:val="24"/>
          <w:szCs w:val="24"/>
          <w:highlight w:val="none"/>
        </w:rPr>
      </w:r>
      <w:r/>
    </w:p>
    <w:p>
      <w:pPr>
        <w:numPr>
          <w:ilvl w:val="0"/>
          <w:numId w:val="7"/>
        </w:num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p>
    <w:p>
      <w:pPr>
        <w:numPr>
          <w:ilvl w:val="0"/>
          <w:numId w:val="0"/>
        </w:numPr>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eastAsia="宋体"/>
          <w:color w:val="000000"/>
          <w:sz w:val="24"/>
          <w:szCs w:val="24"/>
          <w:highlight w:val="none"/>
          <w:lang w:val="en-US" w:eastAsia="zh-CN"/>
        </w:rPr>
        <w:t xml:space="preserve">29</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不</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p>
    <w:p>
      <w:pPr>
        <w:numPr>
          <w:ilvl w:val="0"/>
          <w:numId w:val="0"/>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员工工资、社保费用、税金、保险、加班费等法定费用为不可让利部分（不可竞争费用），须按规定计算并报出，投标总报价不可低于上述相关费用合计，否则作无效投标处理。</w:t>
      </w:r>
      <w:r/>
    </w:p>
    <w:tbl>
      <w:tblPr>
        <w:tblStyle w:val="792"/>
        <w:tblW w:w="9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jc w:val="center"/>
          <w:trHeight w:val="889"/>
        </w:trPr>
        <w:tc>
          <w:tcPr>
            <w:tcW w:w="87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类别</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岗位</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人数</w:t>
            </w:r>
            <w:r/>
          </w:p>
        </w:tc>
        <w:tc>
          <w:tcPr>
            <w:tcW w:w="680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备注</w:t>
            </w:r>
            <w:r/>
          </w:p>
        </w:tc>
      </w:tr>
      <w:tr>
        <w:trPr>
          <w:jc w:val="center"/>
        </w:trPr>
        <w:tc>
          <w:tcPr>
            <w:tcW w:w="87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管理</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物业经理</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全面负责所有物业管理及服务的各项工作，对本项目的物业管理及服务的品质负责，确保客户满意度达标。统筹安排及落实招标人的各项工作要求及任务。</w:t>
            </w:r>
            <w:r/>
          </w:p>
        </w:tc>
      </w:tr>
      <w:tr>
        <w:trPr>
          <w:jc w:val="center"/>
          <w:trHeight w:val="1409"/>
        </w:trPr>
        <w:tc>
          <w:tcPr>
            <w:tcW w:w="87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客服</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项目助理及客服</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2</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协助项目负责人，负责人员登记、接待，处理业主提出的有关物业管理问题等。负责做好对各类活动及接待的事前准备，事中跟进及事后归位的现场全程工作。</w:t>
            </w:r>
            <w:r/>
          </w:p>
        </w:tc>
      </w:tr>
      <w:tr>
        <w:trPr>
          <w:jc w:val="center"/>
          <w:trHeight w:val="1247"/>
        </w:trPr>
        <w:tc>
          <w:tcPr>
            <w:tcW w:w="870"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秩序维护及管理</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保安队长</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en-US"/>
              </w:rPr>
              <w:t xml:space="preserve">协助项目负责人对保安人员的管理，对部门所有工作的执行情况的管理，对各项工作的完成及时性及质量负责。指导部门员工的所有业务工作</w:t>
            </w:r>
            <w:r>
              <w:rPr>
                <w:rFonts w:hint="eastAsia" w:ascii="宋体" w:hAnsi="宋体" w:eastAsia="宋体" w:cs="宋体"/>
                <w:color w:val="000000"/>
                <w:sz w:val="18"/>
                <w:szCs w:val="18"/>
                <w:lang w:val="en-US" w:eastAsia="zh-CN"/>
              </w:rPr>
              <w:t xml:space="preserve">。</w:t>
            </w:r>
            <w:r/>
          </w:p>
        </w:tc>
      </w:tr>
      <w:tr>
        <w:trPr>
          <w:jc w:val="center"/>
          <w:trHeight w:val="1382"/>
        </w:trPr>
        <w:tc>
          <w:tcPr>
            <w:tcW w:w="87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秩序维护员、管理员</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10</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60</w:t>
            </w:r>
            <w:r>
              <w:rPr>
                <w:rFonts w:hint="eastAsia" w:ascii="宋体" w:hAnsi="宋体" w:eastAsia="宋体" w:cs="宋体"/>
                <w:color w:val="000000"/>
                <w:sz w:val="18"/>
                <w:szCs w:val="18"/>
                <w:highlight w:val="none"/>
                <w:lang w:val="en-US" w:eastAsia="zh-CN"/>
              </w:rPr>
              <w:t xml:space="preserve">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①</w:t>
            </w:r>
            <w:r>
              <w:rPr>
                <w:rFonts w:hint="eastAsia" w:ascii="宋体" w:hAnsi="宋体" w:eastAsia="宋体" w:cs="宋体"/>
                <w:color w:val="000000"/>
                <w:sz w:val="18"/>
                <w:szCs w:val="18"/>
                <w:highlight w:val="none"/>
                <w:lang w:val="en-US" w:eastAsia="en-US"/>
              </w:rPr>
              <w:t xml:space="preserve">负责门岗安保、停车管理及巡逻岗巡查</w:t>
            </w:r>
            <w:r>
              <w:rPr>
                <w:rFonts w:hint="eastAsia" w:ascii="宋体" w:hAnsi="宋体" w:eastAsia="宋体" w:cs="宋体"/>
                <w:color w:val="000000"/>
                <w:sz w:val="18"/>
                <w:szCs w:val="18"/>
                <w:highlight w:val="none"/>
                <w:lang w:val="en-US" w:eastAsia="zh-CN"/>
              </w:rPr>
              <w:t xml:space="preserve">。</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②</w:t>
            </w:r>
            <w:r>
              <w:rPr>
                <w:rFonts w:hint="eastAsia" w:ascii="宋体" w:hAnsi="宋体" w:eastAsia="宋体" w:cs="宋体"/>
                <w:color w:val="000000"/>
                <w:sz w:val="18"/>
                <w:szCs w:val="18"/>
                <w:highlight w:val="none"/>
                <w:lang w:val="en-US" w:eastAsia="en-US"/>
              </w:rPr>
              <w:t xml:space="preserve">负责监控</w:t>
            </w:r>
            <w:r>
              <w:rPr>
                <w:rFonts w:hint="eastAsia" w:ascii="宋体" w:hAnsi="宋体" w:eastAsia="宋体" w:cs="宋体"/>
                <w:color w:val="000000"/>
                <w:sz w:val="18"/>
                <w:szCs w:val="18"/>
                <w:highlight w:val="none"/>
                <w:lang w:val="en-US" w:eastAsia="zh-CN"/>
              </w:rPr>
              <w:t xml:space="preserve">值班</w:t>
            </w:r>
            <w:r>
              <w:rPr>
                <w:rFonts w:hint="eastAsia" w:ascii="宋体" w:hAnsi="宋体" w:eastAsia="宋体" w:cs="宋体"/>
                <w:color w:val="000000"/>
                <w:sz w:val="18"/>
                <w:szCs w:val="18"/>
                <w:highlight w:val="none"/>
                <w:lang w:val="en-US" w:eastAsia="en-US"/>
              </w:rPr>
              <w:t xml:space="preserve">和操作消防系统</w:t>
            </w:r>
            <w:r>
              <w:rPr>
                <w:rFonts w:hint="eastAsia" w:ascii="宋体" w:hAnsi="宋体" w:eastAsia="宋体" w:cs="宋体"/>
                <w:color w:val="000000"/>
                <w:sz w:val="18"/>
                <w:szCs w:val="18"/>
                <w:highlight w:val="none"/>
                <w:lang w:val="en-US" w:eastAsia="zh-CN"/>
              </w:rPr>
              <w:t xml:space="preserve">等。</w:t>
            </w:r>
            <w:r/>
          </w:p>
          <w:p>
            <w:pPr>
              <w:ind w:left="0" w:right="0"/>
              <w:jc w:val="left"/>
              <w:keepLines w:val="0"/>
              <w:keepNext w:val="0"/>
              <w:spacing w:before="0" w:beforeAutospacing="0" w:after="0" w:afterAutospacing="0" w:line="240" w:lineRule="auto"/>
              <w:widowControl/>
              <w:rPr>
                <w:rFonts w:hint="default"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③</w:t>
            </w:r>
            <w:r>
              <w:rPr>
                <w:rFonts w:hint="eastAsia" w:ascii="宋体" w:hAnsi="宋体" w:eastAsia="宋体" w:cs="宋体"/>
                <w:color w:val="000000"/>
                <w:sz w:val="18"/>
                <w:szCs w:val="18"/>
                <w:highlight w:val="none"/>
                <w:lang w:val="en-US" w:eastAsia="en-US"/>
              </w:rPr>
              <w:t xml:space="preserve">负责维护</w:t>
            </w:r>
            <w:r>
              <w:rPr>
                <w:rFonts w:hint="eastAsia" w:ascii="宋体" w:hAnsi="宋体" w:eastAsia="宋体" w:cs="宋体"/>
                <w:color w:val="000000"/>
                <w:sz w:val="18"/>
                <w:szCs w:val="18"/>
                <w:highlight w:val="none"/>
                <w:lang w:val="en-US" w:eastAsia="zh-CN"/>
              </w:rPr>
              <w:t xml:space="preserve">、维修</w:t>
            </w:r>
            <w:r>
              <w:rPr>
                <w:rFonts w:hint="eastAsia" w:ascii="宋体" w:hAnsi="宋体" w:eastAsia="宋体" w:cs="宋体"/>
                <w:color w:val="000000"/>
                <w:sz w:val="18"/>
                <w:szCs w:val="18"/>
                <w:highlight w:val="none"/>
                <w:lang w:val="en-US" w:eastAsia="en-US"/>
              </w:rPr>
              <w:t xml:space="preserve">公共部位设施设备</w:t>
            </w:r>
            <w:r>
              <w:rPr>
                <w:rFonts w:hint="eastAsia" w:ascii="宋体" w:hAnsi="宋体" w:eastAsia="宋体" w:cs="宋体"/>
                <w:color w:val="000000"/>
                <w:sz w:val="18"/>
                <w:szCs w:val="18"/>
                <w:highlight w:val="none"/>
                <w:lang w:val="en-US" w:eastAsia="zh-CN"/>
              </w:rPr>
              <w:t xml:space="preserve">。</w:t>
            </w:r>
            <w:r/>
          </w:p>
        </w:tc>
      </w:tr>
      <w:tr>
        <w:trPr>
          <w:jc w:val="center"/>
          <w:trHeight w:val="639"/>
        </w:trPr>
        <w:tc>
          <w:tcPr>
            <w:tcW w:w="870"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保洁服务</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保洁班长</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lang w:val="en-US" w:eastAsia="zh-CN"/>
              </w:rPr>
              <w:t xml:space="preserve">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en-US"/>
              </w:rPr>
              <w:suppressLineNumbers w:val="0"/>
            </w:pPr>
            <w:r>
              <w:rPr>
                <w:rFonts w:hint="eastAsia" w:ascii="宋体" w:hAnsi="宋体" w:eastAsia="宋体" w:cs="宋体"/>
                <w:color w:val="000000"/>
                <w:sz w:val="18"/>
                <w:szCs w:val="18"/>
                <w:highlight w:val="none"/>
                <w:lang w:val="en-US" w:eastAsia="zh-CN"/>
              </w:rPr>
              <w:t xml:space="preserve">负责</w:t>
            </w:r>
            <w:r>
              <w:rPr>
                <w:rFonts w:hint="eastAsia" w:ascii="宋体" w:hAnsi="宋体" w:eastAsia="宋体" w:cs="宋体"/>
                <w:color w:val="000000"/>
                <w:sz w:val="18"/>
                <w:szCs w:val="18"/>
                <w:highlight w:val="none"/>
                <w:lang w:val="en-US" w:eastAsia="en-US"/>
              </w:rPr>
              <w:t xml:space="preserve">项目负责人对保</w:t>
            </w:r>
            <w:r>
              <w:rPr>
                <w:rFonts w:hint="eastAsia" w:ascii="宋体" w:hAnsi="宋体" w:cs="宋体"/>
                <w:color w:val="000000"/>
                <w:sz w:val="18"/>
                <w:szCs w:val="18"/>
                <w:highlight w:val="none"/>
                <w:lang w:val="en-US" w:eastAsia="zh-CN"/>
              </w:rPr>
              <w:t xml:space="preserve">洁</w:t>
            </w:r>
            <w:r>
              <w:rPr>
                <w:rFonts w:hint="eastAsia" w:ascii="宋体" w:hAnsi="宋体" w:eastAsia="宋体" w:cs="宋体"/>
                <w:color w:val="000000"/>
                <w:sz w:val="18"/>
                <w:szCs w:val="18"/>
                <w:highlight w:val="none"/>
                <w:lang w:val="en-US" w:eastAsia="en-US"/>
              </w:rPr>
              <w:t xml:space="preserve">人员的管理</w:t>
            </w: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en-US"/>
              </w:rPr>
              <w:t xml:space="preserve">对部门所有工作的执行情况的管理，对各项工作的完成及时性及质量负责。指导部门员工的所有业务工作</w:t>
            </w:r>
            <w:r>
              <w:rPr>
                <w:rFonts w:hint="eastAsia" w:ascii="宋体" w:hAnsi="宋体" w:eastAsia="宋体" w:cs="宋体"/>
                <w:color w:val="000000"/>
                <w:sz w:val="18"/>
                <w:szCs w:val="18"/>
                <w:highlight w:val="none"/>
                <w:lang w:val="en-US" w:eastAsia="zh-CN"/>
              </w:rPr>
              <w:t xml:space="preserve">。</w:t>
            </w:r>
            <w:r/>
          </w:p>
        </w:tc>
      </w:tr>
      <w:tr>
        <w:trPr>
          <w:jc w:val="center"/>
          <w:trHeight w:val="582"/>
        </w:trPr>
        <w:tc>
          <w:tcPr>
            <w:tcW w:w="87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保洁员</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12</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60</w:t>
            </w:r>
            <w:r>
              <w:rPr>
                <w:rFonts w:hint="eastAsia" w:ascii="宋体" w:hAnsi="宋体" w:eastAsia="宋体" w:cs="宋体"/>
                <w:color w:val="000000"/>
                <w:sz w:val="18"/>
                <w:szCs w:val="18"/>
                <w:highlight w:val="none"/>
                <w:lang w:val="en-US" w:eastAsia="zh-CN"/>
              </w:rPr>
              <w:t xml:space="preserve">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en-US"/>
              </w:rPr>
              <w:suppressLineNumbers w:val="0"/>
            </w:pPr>
            <w:r>
              <w:rPr>
                <w:rFonts w:hint="eastAsia" w:ascii="宋体" w:hAnsi="宋体" w:eastAsia="宋体" w:cs="宋体"/>
                <w:color w:val="000000"/>
                <w:sz w:val="18"/>
                <w:szCs w:val="18"/>
                <w:highlight w:val="none"/>
                <w:lang w:val="en-US" w:eastAsia="zh-CN"/>
              </w:rPr>
              <w:t xml:space="preserve">负责物业管理范围内的卫生保洁及垃圾分类、垃圾桶清运等相关保洁工作。</w:t>
            </w:r>
            <w:r/>
          </w:p>
        </w:tc>
      </w:tr>
      <w:tr>
        <w:trPr>
          <w:jc w:val="center"/>
          <w:trHeight w:val="1277"/>
        </w:trPr>
        <w:tc>
          <w:tcPr>
            <w:tcW w:w="87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绿化养护服务</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绿化维护人员</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2</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w:t>
            </w:r>
            <w:r>
              <w:rPr>
                <w:rFonts w:hint="eastAsia" w:ascii="宋体" w:hAnsi="宋体" w:cs="宋体"/>
                <w:color w:val="000000"/>
                <w:sz w:val="18"/>
                <w:szCs w:val="18"/>
                <w:lang w:val="en-US" w:eastAsia="zh-CN"/>
              </w:rPr>
              <w:t xml:space="preserve">60</w:t>
            </w:r>
            <w:r>
              <w:rPr>
                <w:rFonts w:hint="eastAsia" w:ascii="宋体" w:hAnsi="宋体" w:eastAsia="宋体" w:cs="宋体"/>
                <w:color w:val="000000"/>
                <w:sz w:val="18"/>
                <w:szCs w:val="18"/>
                <w:lang w:val="en-US" w:eastAsia="zh-CN"/>
              </w:rPr>
              <w:t xml:space="preserve">周岁</w:t>
            </w:r>
            <w:r>
              <w:rPr>
                <w:rFonts w:hint="eastAsia" w:ascii="宋体" w:hAnsi="宋体" w:cs="宋体"/>
                <w:color w:val="000000"/>
                <w:sz w:val="18"/>
                <w:szCs w:val="18"/>
                <w:lang w:val="en-US" w:eastAsia="zh-CN"/>
              </w:rPr>
              <w:t xml:space="preserve">。</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负责物业内部的绿化区域的管理和维护。‌</w:t>
            </w:r>
            <w:r/>
          </w:p>
        </w:tc>
      </w:tr>
      <w:tr>
        <w:trPr>
          <w:jc w:val="center"/>
          <w:trHeight w:val="527"/>
        </w:trPr>
        <w:tc>
          <w:tcPr>
            <w:gridSpan w:val="2"/>
            <w:tcW w:w="184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人员总数</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2</w:t>
            </w:r>
            <w:r>
              <w:rPr>
                <w:rFonts w:hint="eastAsia" w:ascii="宋体" w:hAnsi="宋体" w:cs="宋体"/>
                <w:b/>
                <w:bCs/>
                <w:color w:val="000000"/>
                <w:sz w:val="18"/>
                <w:szCs w:val="18"/>
                <w:lang w:val="en-US" w:eastAsia="zh-CN"/>
              </w:rPr>
              <w:t xml:space="preserve">9</w:t>
            </w:r>
            <w:r/>
          </w:p>
        </w:tc>
        <w:tc>
          <w:tcPr>
            <w:tcW w:w="680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bl>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备注：人员由中标人统一管理，依法签订劳动合同，工资</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社会保险费须按国家、省、市的相关规定发放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所有员工必须按照有关规定发放各项福利及津贴。投标时提供以上人员身份证（正、反面）扫描件上传系统，否则作无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p>
    <w:p>
      <w:pPr>
        <w:ind w:firstLine="480"/>
        <w:spacing w:line="360" w:lineRule="auto"/>
        <w:rPr>
          <w:rFonts w:ascii="宋体" w:hAnsi="宋体" w:eastAsia="宋体"/>
          <w:color w:val="000000"/>
          <w:sz w:val="24"/>
          <w:szCs w:val="24"/>
          <w:highlight w:val="none"/>
        </w:rPr>
      </w:pPr>
      <w:r>
        <w:rPr>
          <w:rFonts w:hint="eastAsia" w:ascii="宋体" w:hAnsi="宋体" w:eastAsia="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olor w:val="000000"/>
          <w:sz w:val="24"/>
          <w:szCs w:val="24"/>
          <w:highlight w:val="none"/>
        </w:rPr>
        <w:t xml:space="preserve">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p>
    <w:p>
      <w:pPr>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具体</w:t>
      </w:r>
      <w:r>
        <w:rPr>
          <w:rFonts w:hint="eastAsia" w:ascii="宋体" w:hAnsi="宋体" w:eastAsia="宋体"/>
          <w:b w:val="0"/>
          <w:bCs/>
          <w:sz w:val="24"/>
          <w:szCs w:val="24"/>
          <w:highlight w:val="none"/>
          <w:lang w:val="en-US" w:eastAsia="zh-CN"/>
        </w:rPr>
        <w:t xml:space="preserve">考核标准如下</w:t>
      </w:r>
      <w:r>
        <w:rPr>
          <w:rFonts w:ascii="宋体" w:hAnsi="宋体" w:eastAsia="宋体"/>
          <w:b w:val="0"/>
          <w:bCs/>
          <w:sz w:val="24"/>
          <w:szCs w:val="24"/>
          <w:highlight w:val="none"/>
          <w:lang w:val="en-US" w:eastAsia="zh-CN"/>
        </w:rPr>
        <w:t xml:space="preserve">：</w:t>
      </w:r>
      <w:r>
        <w:rPr>
          <w:rFonts w:hint="eastAsia" w:ascii="宋体" w:hAnsi="宋体"/>
          <w:b w:val="0"/>
          <w:bCs/>
          <w:sz w:val="24"/>
          <w:szCs w:val="24"/>
          <w:highlight w:val="none"/>
          <w:lang w:val="en-US" w:eastAsia="zh-CN"/>
        </w:rPr>
        <w:t xml:space="preserve">（以所辖社区和街道相关部门的具体考核要求为准）</w:t>
      </w:r>
      <w:r/>
    </w:p>
    <w:p>
      <w:pPr>
        <w:ind w:firstLine="482"/>
        <w:spacing w:line="360" w:lineRule="auto"/>
        <w:rPr>
          <w:rFonts w:ascii="宋体" w:hAnsi="宋体" w:cs="宋体"/>
          <w:b/>
          <w:sz w:val="24"/>
          <w:szCs w:val="24"/>
          <w:u w:val="none"/>
        </w:rPr>
      </w:pPr>
      <w:r>
        <w:rPr>
          <w:rFonts w:ascii="宋体" w:hAnsi="宋体" w:cs="宋体"/>
          <w:b/>
          <w:sz w:val="24"/>
          <w:szCs w:val="24"/>
          <w:u w:val="none"/>
        </w:rPr>
      </w:r>
      <w:r/>
    </w:p>
    <w:p>
      <w:pPr>
        <w:jc w:val="center"/>
        <w:rPr>
          <w:rFonts w:ascii="宋体" w:hAnsi="宋体" w:cs="宋体"/>
          <w:b/>
          <w:bCs/>
          <w:sz w:val="24"/>
          <w:szCs w:val="24"/>
        </w:rPr>
      </w:pPr>
      <w:r>
        <w:rPr>
          <w:rFonts w:hint="eastAsia" w:ascii="宋体" w:hAnsi="宋体" w:cs="宋体"/>
          <w:b/>
          <w:bCs/>
          <w:sz w:val="24"/>
          <w:szCs w:val="24"/>
        </w:rPr>
        <w:t xml:space="preserve">《新安街道物业服务企业物业管理工作考评表》</w:t>
      </w:r>
      <w:r/>
    </w:p>
    <w:p>
      <w:pPr>
        <w:jc w:val="center"/>
        <w:widowControl/>
        <w:rPr>
          <w:rFonts w:ascii="宋体" w:hAnsi="宋体" w:cs="宋体"/>
          <w:b/>
          <w:bCs/>
          <w:sz w:val="24"/>
          <w:szCs w:val="24"/>
        </w:rPr>
      </w:pPr>
      <w:r>
        <w:rPr>
          <w:rFonts w:hint="eastAsia" w:ascii="宋体" w:hAnsi="宋体" w:cs="宋体"/>
          <w:b/>
          <w:bCs/>
          <w:sz w:val="24"/>
          <w:szCs w:val="24"/>
        </w:rPr>
        <w:t xml:space="preserve">（物管中心）</w:t>
      </w:r>
      <w:r/>
    </w:p>
    <w:p>
      <w:pPr>
        <w:jc w:val="center"/>
        <w:widowControl/>
        <w:rPr>
          <w:rFonts w:ascii="宋体" w:hAnsi="宋体" w:cs="宋体"/>
          <w:b/>
          <w:bCs/>
          <w:sz w:val="18"/>
          <w:szCs w:val="18"/>
        </w:rPr>
      </w:pPr>
      <w:r>
        <w:rPr>
          <w:rFonts w:ascii="宋体" w:hAnsi="宋体" w:cs="宋体"/>
          <w:b/>
          <w:bCs/>
          <w:sz w:val="18"/>
          <w:szCs w:val="18"/>
        </w:rPr>
      </w:r>
      <w:r/>
    </w:p>
    <w:p>
      <w:pPr>
        <w:jc w:val="left"/>
        <w:widowControl/>
        <w:rPr>
          <w:rFonts w:ascii="宋体" w:hAnsi="宋体" w:cs="宋体"/>
          <w:sz w:val="18"/>
          <w:szCs w:val="18"/>
        </w:rPr>
      </w:pPr>
      <w:r>
        <w:rPr>
          <w:rFonts w:hint="eastAsia" w:ascii="宋体" w:hAnsi="宋体" w:cs="宋体"/>
          <w:sz w:val="18"/>
          <w:szCs w:val="18"/>
        </w:rPr>
        <w:t xml:space="preserve">物业服务企业名称：                        考评得分：</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595"/>
        <w:gridCol w:w="756"/>
        <w:gridCol w:w="2439"/>
        <w:gridCol w:w="750"/>
        <w:gridCol w:w="1073"/>
      </w:tblGrid>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考评内容</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扣分内容</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备注</w:t>
            </w:r>
            <w:r/>
          </w:p>
        </w:tc>
      </w:tr>
      <w:tr>
        <w:trPr>
          <w:jc w:val="center"/>
          <w:trHeight w:val="738"/>
        </w:trPr>
        <w:tc>
          <w:tcPr>
            <w:shd w:val="clear" w:color="auto" w:fill="auto"/>
            <w:tcBorders>
              <w:top w:val="none" w:color="000000" w:sz="4" w:space="0"/>
              <w:left w:val="single" w:color="auto" w:sz="4" w:space="0"/>
              <w:bottom w:val="single" w:color="auto" w:sz="4" w:space="0"/>
              <w:right w:val="single" w:color="auto" w:sz="4" w:space="0"/>
            </w:tcBorders>
            <w:tcW w:w="9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物  业  管  理  工  作</w:t>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组织保障及相关制度建立。包括物业管理制度、年度工作方案及相关应急管理预案等</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未建立相关保障制度及预案，少一项扣1分。</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669"/>
        </w:trPr>
        <w:tc>
          <w:tcPr>
            <w:shd w:val="clear" w:color="auto" w:fill="auto"/>
            <w:tcBorders>
              <w:top w:val="none" w:color="000000" w:sz="4" w:space="0"/>
              <w:left w:val="single" w:color="auto" w:sz="4" w:space="0"/>
              <w:bottom w:val="single" w:color="auto" w:sz="4" w:space="0"/>
              <w:right w:val="single" w:color="auto" w:sz="4" w:space="0"/>
            </w:tcBorders>
            <w:tcW w:w="909"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认真履行招标文件要求和物业服务合同</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未认真履行相关条款，一项扣2分。</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975"/>
        </w:trPr>
        <w:tc>
          <w:tcPr>
            <w:shd w:val="clear" w:color="auto" w:fill="auto"/>
            <w:tcBorders>
              <w:top w:val="none" w:color="000000" w:sz="4" w:space="0"/>
              <w:left w:val="single" w:color="auto" w:sz="4" w:space="0"/>
              <w:bottom w:val="single" w:color="auto" w:sz="4" w:space="0"/>
              <w:right w:val="single" w:color="auto" w:sz="4" w:space="0"/>
            </w:tcBorders>
            <w:tcW w:w="909"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按时参加街道、主管部门召集会议、组织考核活动等；按时参加会议无迟到、早退；按照要求及时报送资料。</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未按时落实的，一次扣1分。</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103"/>
        </w:trPr>
        <w:tc>
          <w:tcPr>
            <w:shd w:val="clear" w:color="auto" w:fill="auto"/>
            <w:tcBorders>
              <w:top w:val="none" w:color="000000" w:sz="4" w:space="0"/>
              <w:left w:val="single" w:color="auto" w:sz="4" w:space="0"/>
              <w:bottom w:val="single" w:color="auto" w:sz="4" w:space="0"/>
              <w:right w:val="single" w:color="auto" w:sz="4" w:space="0"/>
            </w:tcBorders>
            <w:tcW w:w="909"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积极协助筹备物业管理委员会或换届工作，与物业管理委员会关系良好。</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不积极协助物业管理委员会成立或者换届一次扣0.5分；与物业管理委员会关系恶劣扣1分。</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540"/>
        </w:trPr>
        <w:tc>
          <w:tcPr>
            <w:shd w:val="clear" w:color="auto" w:fill="auto"/>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bl>
    <w:p>
      <w:pPr>
        <w:jc w:val="both"/>
        <w:widowControl/>
        <w:rPr>
          <w:rFonts w:ascii="宋体" w:hAnsi="宋体" w:cs="宋体"/>
          <w:b/>
          <w:bCs/>
          <w:sz w:val="18"/>
          <w:szCs w:val="18"/>
        </w:rPr>
      </w:pPr>
      <w:r>
        <w:rPr>
          <w:rFonts w:ascii="宋体" w:hAnsi="宋体" w:cs="宋体"/>
          <w:b/>
          <w:bCs/>
          <w:sz w:val="18"/>
          <w:szCs w:val="18"/>
        </w:rPr>
      </w:r>
      <w:r/>
    </w:p>
    <w:p>
      <w:pPr>
        <w:rPr>
          <w:rFonts w:ascii="宋体" w:hAnsi="宋体" w:cs="宋体"/>
          <w:b/>
          <w:bCs/>
          <w:sz w:val="18"/>
          <w:szCs w:val="18"/>
        </w:rPr>
      </w:pPr>
      <w:r>
        <w:rPr>
          <w:rFonts w:ascii="宋体" w:hAnsi="宋体" w:cs="宋体"/>
          <w:b/>
          <w:bCs/>
          <w:sz w:val="18"/>
          <w:szCs w:val="18"/>
        </w:rPr>
      </w:r>
      <w:r/>
    </w:p>
    <w:p>
      <w:pPr>
        <w:jc w:val="center"/>
        <w:widowControl/>
        <w:rPr>
          <w:rFonts w:ascii="宋体" w:hAnsi="宋体" w:cs="宋体"/>
          <w:b/>
          <w:bCs/>
          <w:sz w:val="18"/>
          <w:szCs w:val="18"/>
        </w:rPr>
      </w:pPr>
      <w:r>
        <w:rPr>
          <w:rFonts w:ascii="宋体" w:hAnsi="宋体" w:cs="宋体"/>
          <w:b/>
          <w:bCs/>
          <w:sz w:val="18"/>
          <w:szCs w:val="18"/>
        </w:rPr>
      </w:r>
      <w:r/>
    </w:p>
    <w:p>
      <w:pPr>
        <w:jc w:val="center"/>
        <w:widowControl/>
        <w:rPr>
          <w:rFonts w:ascii="宋体" w:hAnsi="宋体" w:cs="宋体"/>
          <w:b/>
          <w:bCs/>
          <w:sz w:val="24"/>
          <w:szCs w:val="24"/>
        </w:rPr>
      </w:pPr>
      <w:r>
        <w:rPr>
          <w:rFonts w:hint="eastAsia" w:ascii="宋体" w:hAnsi="宋体" w:cs="宋体"/>
          <w:b/>
          <w:bCs/>
          <w:sz w:val="24"/>
          <w:szCs w:val="24"/>
        </w:rPr>
        <w:t xml:space="preserve">《新安街道物业服务企业物业管理工作考评表》</w:t>
      </w:r>
      <w:r/>
    </w:p>
    <w:p>
      <w:pPr>
        <w:jc w:val="center"/>
        <w:widowControl/>
        <w:rPr>
          <w:rFonts w:ascii="宋体" w:hAnsi="宋体" w:cs="宋体"/>
          <w:b/>
          <w:bCs/>
          <w:sz w:val="24"/>
          <w:szCs w:val="24"/>
        </w:rPr>
      </w:pPr>
      <w:r>
        <w:rPr>
          <w:rFonts w:hint="eastAsia" w:ascii="宋体" w:hAnsi="宋体" w:cs="宋体"/>
          <w:b/>
          <w:bCs/>
          <w:sz w:val="24"/>
          <w:szCs w:val="24"/>
        </w:rPr>
        <w:t xml:space="preserve">（社区）</w:t>
      </w:r>
      <w:r/>
    </w:p>
    <w:p>
      <w:pPr>
        <w:jc w:val="center"/>
        <w:widowControl/>
        <w:rPr>
          <w:rFonts w:ascii="宋体" w:hAnsi="宋体" w:cs="宋体"/>
          <w:b/>
          <w:bCs/>
          <w:sz w:val="18"/>
          <w:szCs w:val="18"/>
        </w:rPr>
      </w:pPr>
      <w:r>
        <w:rPr>
          <w:rFonts w:ascii="宋体" w:hAnsi="宋体" w:cs="宋体"/>
          <w:b/>
          <w:bCs/>
          <w:sz w:val="18"/>
          <w:szCs w:val="18"/>
        </w:rPr>
      </w:r>
      <w:r/>
    </w:p>
    <w:p>
      <w:pPr>
        <w:jc w:val="left"/>
        <w:widowControl/>
        <w:rPr>
          <w:rFonts w:ascii="宋体" w:hAnsi="宋体" w:cs="宋体"/>
          <w:sz w:val="18"/>
          <w:szCs w:val="18"/>
        </w:rPr>
      </w:pPr>
      <w:r>
        <w:rPr>
          <w:rFonts w:hint="eastAsia" w:ascii="宋体" w:hAnsi="宋体" w:cs="宋体"/>
          <w:sz w:val="18"/>
          <w:szCs w:val="18"/>
        </w:rPr>
        <w:t xml:space="preserve">物业服务企业名称：                          考评得分：</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05"/>
        <w:gridCol w:w="2172"/>
        <w:gridCol w:w="753"/>
        <w:gridCol w:w="2340"/>
        <w:gridCol w:w="900"/>
        <w:gridCol w:w="878"/>
      </w:tblGrid>
      <w:tr>
        <w:trPr>
          <w:jc w:val="center"/>
          <w:trHeight w:val="322"/>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小类</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扣分内容</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备注</w:t>
            </w:r>
            <w:r/>
          </w:p>
        </w:tc>
      </w:tr>
      <w:tr>
        <w:trPr>
          <w:jc w:val="center"/>
          <w:trHeight w:val="2933"/>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物  业  管  理  住  宅  小  区  现  场  管  理</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公  共  环  境  管  理</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户外公共区域环境整洁。无暴露生活垃圾或建筑垃圾；建筑装潢垃圾临时堆放管理规范，临时堆放点围挡规范，无满溢现象；无杂物乱堆放、无乱牵乱挂；保洁管理规范，垃圾及时清运</w:t>
            </w:r>
            <w:r>
              <w:rPr>
                <w:rFonts w:hint="eastAsia" w:ascii="宋体" w:hAnsi="宋体" w:cs="宋体"/>
                <w:sz w:val="18"/>
                <w:szCs w:val="18"/>
                <w:lang w:eastAsia="zh-CN"/>
              </w:rPr>
              <w:t xml:space="preserve">，</w:t>
            </w:r>
            <w:r>
              <w:rPr>
                <w:rFonts w:hint="eastAsia" w:ascii="宋体" w:hAnsi="宋体" w:cs="宋体"/>
                <w:sz w:val="18"/>
                <w:szCs w:val="18"/>
              </w:rPr>
              <w:t xml:space="preserve">地面、绿化带无乱扔垃圾，垃圾分类房内外整洁。</w:t>
            </w:r>
            <w:r/>
          </w:p>
        </w:tc>
        <w:tc>
          <w:tcPr>
            <w:shd w:val="clear" w:color="auto" w:fill="auto"/>
            <w:tcBorders>
              <w:top w:val="single" w:color="auto" w:sz="4" w:space="0"/>
              <w:left w:val="none" w:color="000000" w:sz="4" w:space="0"/>
              <w:bottom w:val="single" w:color="auto" w:sz="4" w:space="0"/>
              <w:right w:val="single" w:color="auto" w:sz="4" w:space="0"/>
            </w:tcBorders>
            <w:tcMar>
              <w:left w:w="0" w:type="dxa"/>
              <w:right w:w="0" w:type="dxa"/>
            </w:tcMar>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小区内垃圾成堆、杂物堆放、建筑垃圾无管控，堆放严重的。（发现一处扣1分）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有零星垃圾（地面或绿地）。（发现一处扣0.5分）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小区内有乱牵挂、乱晾晒的。（发现一处扣0.5分</w:t>
            </w:r>
            <w:r>
              <w:rPr>
                <w:rFonts w:hint="eastAsia" w:ascii="宋体" w:hAnsi="宋体" w:cs="宋体"/>
                <w:sz w:val="18"/>
                <w:szCs w:val="18"/>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846"/>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道路、管线等公共设施完好；建筑物外立面完好整洁；电线电缆等设施安装管理规范，各类线缆排列不凌乱。</w:t>
            </w:r>
            <w:r/>
          </w:p>
        </w:tc>
        <w:tc>
          <w:tcPr>
            <w:shd w:val="clear" w:color="auto" w:fill="auto"/>
            <w:tcBorders>
              <w:top w:val="single" w:color="auto" w:sz="4" w:space="0"/>
              <w:left w:val="none" w:color="000000" w:sz="4" w:space="0"/>
              <w:bottom w:val="single" w:color="auto" w:sz="4" w:space="0"/>
              <w:right w:val="single" w:color="auto" w:sz="4" w:space="0"/>
            </w:tcBorders>
            <w:tcMar>
              <w:left w:w="0" w:type="dxa"/>
              <w:right w:w="0" w:type="dxa"/>
            </w:tcMar>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道路严重破损，未及时修复。（发现一处扣1分）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建筑外立面及公共设施有“三乱”小广告、飞线充电、线缆凌乱情形。（发现一处扣0.5分）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424"/>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小区内绿化定期养护，树木无死株和严重病害；草坪无大面积空秃。</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小区内绿化有枯死、大面积空秃现象。</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小区绿地被破坏占绿毁绿种菜现象。</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333"/>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楼道定期清理保洁，无垃圾、三乱和乱堆放杂物。地下车库干净整洁，无堆放、无积水。</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楼道内和地下车库垃圾未清理、乱堆放。（发现一处扣0.5分）</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387"/>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物</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业</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住</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宅</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区</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现</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场</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理</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小类</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扣分内容</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备注</w:t>
            </w:r>
            <w:r/>
          </w:p>
        </w:tc>
      </w:tr>
      <w:tr>
        <w:trPr>
          <w:jc w:val="center"/>
          <w:trHeight w:val="2850"/>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  区  秩  序  和  防  范</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小区内消防通道畅通，门岗、车库正常使用。监控室有专人24小时值班，人证合一，值班记录完整，单元电控防盗门完好，围墙完好，视频监控设备完好</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视频监控设施损坏，没有及时上报整改的。</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门岗无专人值班，脱岗。</w:t>
            </w:r>
            <w:r>
              <w:rPr>
                <w:rFonts w:hint="eastAsia" w:ascii="宋体" w:hAnsi="宋体" w:cs="宋体"/>
                <w:sz w:val="18"/>
                <w:szCs w:val="18"/>
                <w:lang w:eastAsia="zh-CN"/>
              </w:rPr>
              <w:t xml:space="preserve">（</w:t>
            </w:r>
            <w:r>
              <w:rPr>
                <w:rFonts w:hint="eastAsia" w:ascii="宋体" w:hAnsi="宋体" w:cs="宋体"/>
                <w:sz w:val="18"/>
                <w:szCs w:val="18"/>
              </w:rPr>
              <w:t xml:space="preserve">发现一处扣1分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小区围墙、防盗门损坏。</w:t>
            </w:r>
            <w:r>
              <w:rPr>
                <w:rFonts w:hint="eastAsia" w:ascii="宋体" w:hAnsi="宋体" w:cs="宋体"/>
                <w:sz w:val="18"/>
                <w:szCs w:val="18"/>
                <w:lang w:eastAsia="zh-CN"/>
              </w:rPr>
              <w:t xml:space="preserve">（</w:t>
            </w:r>
            <w:r>
              <w:rPr>
                <w:rFonts w:hint="eastAsia" w:ascii="宋体" w:hAnsi="宋体" w:cs="宋体"/>
                <w:sz w:val="18"/>
                <w:szCs w:val="18"/>
              </w:rPr>
              <w:t xml:space="preserve">未及时发现、修复的发现一处扣0.5分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4</w:t>
            </w:r>
            <w:r>
              <w:rPr>
                <w:rFonts w:hint="eastAsia" w:ascii="宋体" w:hAnsi="宋体" w:cs="宋体"/>
                <w:sz w:val="18"/>
                <w:szCs w:val="18"/>
                <w:lang w:eastAsia="zh-CN"/>
              </w:rPr>
              <w:t xml:space="preserve">）</w:t>
            </w:r>
            <w:r>
              <w:rPr>
                <w:rFonts w:hint="eastAsia" w:ascii="宋体" w:hAnsi="宋体" w:cs="宋体"/>
                <w:sz w:val="18"/>
                <w:szCs w:val="18"/>
              </w:rPr>
              <w:t xml:space="preserve">监控室无人值班，无值班记录，人证不合。</w:t>
            </w:r>
            <w:r>
              <w:rPr>
                <w:rFonts w:hint="eastAsia" w:ascii="宋体" w:hAnsi="宋体" w:cs="宋体"/>
                <w:sz w:val="18"/>
                <w:szCs w:val="18"/>
                <w:lang w:eastAsia="zh-CN"/>
              </w:rPr>
              <w:t xml:space="preserve">（</w:t>
            </w:r>
            <w:r>
              <w:rPr>
                <w:rFonts w:hint="eastAsia" w:ascii="宋体" w:hAnsi="宋体" w:cs="宋体"/>
                <w:sz w:val="18"/>
                <w:szCs w:val="18"/>
              </w:rPr>
              <w:t xml:space="preserve">发现一处扣1分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2406"/>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小区内秩序良好，无违法违章搭建，无车辆乱停乱放，无占道经营等现象。</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小区内新增违建现象未及时制止并上报。（发现一处扣1分）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小区内停车秩序混乱，车辆乱停乱放现象。（发现一处扣0.5分）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小区内有占道经营等现象。（发现一处扣0.5分）</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861"/>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物</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业</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住</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宅</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区</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现</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场</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理</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  理  服  务</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小区服务人员队伍配备到位，各项管理制度</w:t>
            </w:r>
            <w:r>
              <w:rPr>
                <w:rFonts w:hint="eastAsia" w:ascii="宋体" w:hAnsi="宋体" w:cs="宋体"/>
                <w:sz w:val="18"/>
                <w:szCs w:val="18"/>
                <w:lang w:eastAsia="zh-CN"/>
              </w:rPr>
              <w:t xml:space="preserve">台账健全</w:t>
            </w:r>
            <w:r>
              <w:rPr>
                <w:rFonts w:hint="eastAsia" w:ascii="宋体" w:hAnsi="宋体" w:cs="宋体"/>
                <w:sz w:val="18"/>
                <w:szCs w:val="18"/>
              </w:rPr>
              <w:t xml:space="preserve">，有突发事件应急处理预案。</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服务人员配备不到位扣1分。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制度</w:t>
            </w:r>
            <w:r>
              <w:rPr>
                <w:rFonts w:hint="eastAsia" w:ascii="宋体" w:hAnsi="宋体" w:cs="宋体"/>
                <w:sz w:val="18"/>
                <w:szCs w:val="18"/>
                <w:lang w:eastAsia="zh-CN"/>
              </w:rPr>
              <w:t xml:space="preserve">台账不健全</w:t>
            </w:r>
            <w:r>
              <w:rPr>
                <w:rFonts w:hint="eastAsia" w:ascii="宋体" w:hAnsi="宋体" w:cs="宋体"/>
                <w:sz w:val="18"/>
                <w:szCs w:val="18"/>
              </w:rPr>
              <w:t xml:space="preserve">一项扣0.5分。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应急预案少1项扣0.5分。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2191"/>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完成街道、社区安排、交办工作（创文、创卫、防汛、垃圾分类、小区市容环境卫生整治行动、消防安全整改等）；及时整改媒体曝光问题、居民投诉等。</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未按时完成安排、交办的相关工作一次扣2分；被媒体曝光、居民投诉等未整改一次扣1分。</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876"/>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及时处理业主的合理诉求，无打骂业主等恶劣行为，小区无因物业管理而引起的群体性事件发生。</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发生一次扣1分。</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651"/>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bl>
    <w:p>
      <w:pPr>
        <w:ind w:firstLine="480"/>
        <w:spacing w:line="360" w:lineRule="auto"/>
        <w:rPr>
          <w:rFonts w:ascii="宋体" w:hAnsi="Calibri"/>
          <w:sz w:val="24"/>
          <w:szCs w:val="24"/>
          <w:u w:val="none"/>
        </w:rPr>
      </w:pPr>
      <w:r>
        <w:rPr>
          <w:rFonts w:ascii="宋体" w:hAnsi="Calibri"/>
          <w:sz w:val="24"/>
          <w:szCs w:val="24"/>
          <w:u w:val="none"/>
        </w:rPr>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sz w:val="24"/>
          <w:szCs w:val="24"/>
          <w:u w:val="none"/>
        </w:rPr>
        <w:t xml:space="preserve">具体考核工作由所辖社区和街道相关部门共同负责，考核按照《新安街道安置房物业服务企业考核办法（试行）》，主要考核消防安全、人员配备、环境卫生、绿化养护、秩序管理、设施设备维护、专项工作等方面的情况。</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物业管理的维修和保养</w:t>
      </w:r>
      <w:r>
        <w:rPr>
          <w:rFonts w:hint="eastAsia" w:ascii="宋体" w:hAnsi="宋体" w:eastAsia="宋体"/>
          <w:color w:val="000000"/>
          <w:sz w:val="24"/>
          <w:szCs w:val="24"/>
          <w:highlight w:val="none"/>
        </w:rPr>
        <w:t xml:space="preserve">：原则上，大、中修由采购方承担费用，小修问题由中标供应商自行解决，</w:t>
      </w:r>
      <w:r>
        <w:rPr>
          <w:rFonts w:hint="eastAsia" w:ascii="宋体" w:hAnsi="宋体"/>
          <w:color w:val="000000"/>
          <w:sz w:val="24"/>
          <w:szCs w:val="24"/>
          <w:highlight w:val="none"/>
          <w:lang w:eastAsia="zh-CN"/>
        </w:rPr>
        <w:t xml:space="preserve">以单项单处</w:t>
      </w:r>
      <w:r>
        <w:rPr>
          <w:rFonts w:hint="eastAsia" w:asciiTheme="minorEastAsia" w:hAnsiTheme="minorEastAsia" w:eastAsiaTheme="minorEastAsia" w:cstheme="minorEastAsia"/>
          <w:sz w:val="24"/>
          <w:highlight w:val="none"/>
        </w:rPr>
        <w:t xml:space="preserve">公共部位及公共设施设备维修费</w:t>
      </w:r>
      <w:r>
        <w:rPr>
          <w:rFonts w:hint="eastAsia" w:eastAsia="宋体" w:asciiTheme="minorEastAsia" w:hAnsiTheme="minorEastAsia" w:cstheme="minorEastAsia"/>
          <w:sz w:val="24"/>
          <w:highlight w:val="none"/>
          <w:lang w:val="en-US" w:eastAsia="zh-CN"/>
        </w:rPr>
        <w:t xml:space="preserve">500元（含）以内为分界点</w:t>
      </w:r>
      <w:r>
        <w:rPr>
          <w:rFonts w:hint="eastAsia" w:asciiTheme="minorEastAsia" w:hAnsiTheme="minorEastAsia" w:cstheme="minorEastAsia"/>
          <w:sz w:val="24"/>
          <w:highlight w:val="none"/>
          <w:lang w:val="en-US" w:eastAsia="zh-CN"/>
        </w:rPr>
        <w:t xml:space="preserve">，不含人工费</w:t>
      </w:r>
      <w:r>
        <w:rPr>
          <w:rFonts w:hint="eastAsia" w:ascii="宋体" w:hAnsi="宋体" w:eastAsia="宋体"/>
          <w:color w:val="000000"/>
          <w:sz w:val="24"/>
          <w:szCs w:val="24"/>
          <w:highlight w:val="none"/>
        </w:rPr>
        <w:t xml:space="preserve">。免费质保期内的非维保单位承担的费用由中标供应商承担，免费质保期外的都由中标供应商承担。</w:t>
      </w:r>
      <w:r/>
    </w:p>
    <w:p>
      <w:pPr>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物业费用有关说明：</w:t>
      </w:r>
      <w:r/>
    </w:p>
    <w:p>
      <w:pPr>
        <w:ind w:firstLine="480"/>
        <w:spacing w:line="360" w:lineRule="auto"/>
        <w:rPr>
          <w:rFonts w:hint="eastAsia" w:ascii="宋体" w:hAnsi="宋体" w:cs="宋体"/>
          <w:sz w:val="24"/>
          <w:szCs w:val="24"/>
          <w:highlight w:val="none"/>
          <w:u w:val="none"/>
        </w:rPr>
      </w:pPr>
      <w:r>
        <w:rPr>
          <w:rFonts w:hint="eastAsia" w:ascii="宋体" w:hAnsi="宋体"/>
          <w:b w:val="0"/>
          <w:bCs w:val="0"/>
          <w:color w:val="000000"/>
          <w:sz w:val="24"/>
          <w:szCs w:val="24"/>
          <w:highlight w:val="none"/>
          <w:lang w:val="en-US" w:eastAsia="zh-CN"/>
        </w:rPr>
        <w:t xml:space="preserve">①</w:t>
      </w:r>
      <w:r>
        <w:rPr>
          <w:rFonts w:hint="eastAsia" w:ascii="宋体" w:hAnsi="宋体" w:cs="宋体"/>
          <w:sz w:val="24"/>
          <w:szCs w:val="24"/>
          <w:highlight w:val="none"/>
          <w:u w:val="none"/>
        </w:rPr>
        <w:t xml:space="preserve">国家法定节假日（元旦、春节、清明、“五一”、端午、“十一”、中秋）加班费及高温费等包含在投标报价中。投标报价中含工具和各类耗材成本、人员工资、社保费用、行政办公费用、人员意外险、绿化养护费</w:t>
      </w:r>
      <w:r>
        <w:rPr>
          <w:rFonts w:hint="eastAsia" w:ascii="宋体" w:hAnsi="宋体" w:cs="宋体"/>
          <w:sz w:val="24"/>
          <w:szCs w:val="24"/>
          <w:highlight w:val="none"/>
          <w:u w:val="none"/>
          <w:lang w:eastAsia="zh-CN"/>
        </w:rPr>
        <w:t xml:space="preserve">、</w:t>
      </w:r>
      <w:r>
        <w:rPr>
          <w:rFonts w:hint="eastAsia" w:ascii="宋体" w:hAnsi="宋体" w:cs="宋体"/>
          <w:sz w:val="24"/>
          <w:szCs w:val="24"/>
          <w:highlight w:val="none"/>
          <w:u w:val="none"/>
          <w:lang w:val="en-US" w:eastAsia="zh-CN"/>
        </w:rPr>
        <w:t xml:space="preserve">化粪池清淤费、公共能耗费、管道养护费、弱电系统维保费</w:t>
      </w:r>
      <w:r>
        <w:rPr>
          <w:rFonts w:hint="eastAsia" w:ascii="宋体" w:hAnsi="宋体" w:cs="宋体"/>
          <w:sz w:val="24"/>
          <w:szCs w:val="24"/>
          <w:highlight w:val="none"/>
          <w:u w:val="none"/>
        </w:rPr>
        <w:t xml:space="preserve">和所应承担的税费等中标方所涉及的一切相关费用。建筑垃圾杂物清运费不包含在本次报价中。</w:t>
      </w:r>
      <w:r/>
    </w:p>
    <w:p>
      <w:pPr>
        <w:ind w:firstLine="480"/>
        <w:spacing w:line="360" w:lineRule="auto"/>
        <w:rPr>
          <w:rFonts w:hint="eastAsia" w:ascii="宋体" w:hAnsi="宋体" w:cs="宋体"/>
          <w:sz w:val="24"/>
          <w:szCs w:val="24"/>
          <w:u w:val="none"/>
        </w:rPr>
      </w:pPr>
      <w:r>
        <w:rPr>
          <w:rFonts w:hint="eastAsia" w:ascii="宋体" w:hAnsi="宋体" w:cs="宋体"/>
          <w:sz w:val="24"/>
          <w:szCs w:val="24"/>
          <w:u w:val="none"/>
          <w:lang w:val="en-US" w:eastAsia="zh-CN"/>
        </w:rPr>
        <w:t xml:space="preserve">②</w:t>
      </w:r>
      <w:r>
        <w:rPr>
          <w:rFonts w:hint="eastAsia" w:ascii="宋体" w:hAnsi="宋体" w:cs="宋体"/>
          <w:sz w:val="24"/>
          <w:szCs w:val="24"/>
          <w:u w:val="none"/>
        </w:rPr>
        <w:t xml:space="preserve">卫生保洁所需的工具（包括保洁车）、清洁剂（全能清洁剂、玻璃清洁剂、高效洁厕剂等）、各类垃圾袋、</w:t>
      </w:r>
      <w:r>
        <w:rPr>
          <w:rFonts w:hint="eastAsia" w:ascii="宋体" w:hAnsi="宋体" w:eastAsia="宋体" w:cs="宋体"/>
          <w:sz w:val="24"/>
          <w:szCs w:val="24"/>
          <w:u w:val="none"/>
          <w:lang w:eastAsia="zh-CN"/>
        </w:rPr>
        <w:t xml:space="preserve">保安</w:t>
      </w:r>
      <w:r>
        <w:rPr>
          <w:rFonts w:hint="eastAsia" w:ascii="宋体" w:hAnsi="宋体" w:cs="宋体"/>
          <w:sz w:val="24"/>
          <w:szCs w:val="24"/>
          <w:u w:val="none"/>
        </w:rPr>
        <w:t xml:space="preserve">人员所需的统一着装（着保安服、系武装带，戴保安帽），</w:t>
      </w:r>
      <w:r>
        <w:rPr>
          <w:rFonts w:hint="eastAsia" w:ascii="宋体" w:hAnsi="宋体" w:eastAsia="宋体" w:cs="宋体"/>
          <w:sz w:val="24"/>
          <w:szCs w:val="24"/>
          <w:u w:val="none"/>
          <w:lang w:eastAsia="zh-CN"/>
        </w:rPr>
        <w:t xml:space="preserve">保安</w:t>
      </w:r>
      <w:r>
        <w:rPr>
          <w:rFonts w:hint="eastAsia" w:ascii="宋体" w:hAnsi="宋体" w:cs="宋体"/>
          <w:sz w:val="24"/>
          <w:szCs w:val="24"/>
          <w:u w:val="none"/>
        </w:rPr>
        <w:t xml:space="preserve">人员配备的对讲装置、巡逻电瓶车</w:t>
      </w:r>
      <w:r>
        <w:rPr>
          <w:rFonts w:hint="eastAsia" w:ascii="宋体" w:hAnsi="宋体" w:eastAsia="宋体" w:cs="宋体"/>
          <w:sz w:val="24"/>
          <w:szCs w:val="24"/>
          <w:u w:val="none"/>
          <w:lang w:eastAsia="zh-CN"/>
        </w:rPr>
        <w:t xml:space="preserve">以及</w:t>
      </w:r>
      <w:r>
        <w:rPr>
          <w:rFonts w:hint="eastAsia" w:ascii="宋体" w:hAnsi="宋体" w:cs="宋体"/>
          <w:sz w:val="24"/>
          <w:szCs w:val="24"/>
          <w:u w:val="none"/>
        </w:rPr>
        <w:t xml:space="preserve">其他必备的安全护卫工具及警用器材，均由中标供应商提供，所需费用包含在投标报价中。小区内建筑垃圾一经发现立即清运</w:t>
      </w:r>
      <w:r>
        <w:rPr>
          <w:rFonts w:hint="eastAsia" w:ascii="宋体" w:hAnsi="宋体" w:eastAsia="宋体" w:cs="宋体"/>
          <w:sz w:val="24"/>
          <w:szCs w:val="24"/>
          <w:u w:val="none"/>
          <w:lang w:eastAsia="zh-CN"/>
        </w:rPr>
        <w:t xml:space="preserve">至</w:t>
      </w:r>
      <w:r>
        <w:rPr>
          <w:rFonts w:hint="eastAsia" w:ascii="宋体" w:hAnsi="宋体" w:cs="宋体"/>
          <w:sz w:val="24"/>
          <w:szCs w:val="24"/>
          <w:u w:val="none"/>
        </w:rPr>
        <w:t xml:space="preserve">指定堆放点。</w:t>
      </w:r>
      <w:r/>
    </w:p>
    <w:p>
      <w:pPr>
        <w:ind w:firstLine="480"/>
        <w:spacing w:line="360" w:lineRule="auto"/>
        <w:rPr>
          <w:rFonts w:ascii="宋体" w:hAnsi="Calibri"/>
          <w:sz w:val="24"/>
          <w:szCs w:val="24"/>
          <w:u w:val="none"/>
        </w:rPr>
      </w:pPr>
      <w:r>
        <w:rPr>
          <w:rFonts w:hint="eastAsia" w:ascii="宋体" w:hAnsi="宋体" w:cs="宋体"/>
          <w:sz w:val="24"/>
          <w:szCs w:val="24"/>
          <w:u w:val="none"/>
          <w:lang w:val="en-US" w:eastAsia="zh-CN"/>
        </w:rPr>
        <w:t xml:space="preserve">③</w:t>
      </w:r>
      <w:r>
        <w:rPr>
          <w:rFonts w:hint="eastAsia" w:ascii="宋体" w:hAnsi="宋体" w:cs="宋体"/>
          <w:sz w:val="24"/>
          <w:szCs w:val="24"/>
          <w:u w:val="none"/>
        </w:rPr>
        <w:t xml:space="preserve">投标人报价时应充分考虑服务期内所有可能影响到的因素，一旦投标结束最终中标，总价将包定，不予调整。</w:t>
      </w:r>
      <w:r/>
    </w:p>
    <w:p>
      <w:pPr>
        <w:ind w:firstLine="480"/>
        <w:spacing w:line="360" w:lineRule="auto"/>
        <w:rPr>
          <w:rFonts w:ascii="宋体" w:hAnsi="Calibri"/>
          <w:sz w:val="24"/>
          <w:szCs w:val="24"/>
          <w:highlight w:val="none"/>
          <w:u w:val="none"/>
        </w:rPr>
      </w:pPr>
      <w:r>
        <w:rPr>
          <w:rFonts w:hint="eastAsia" w:ascii="宋体" w:hAnsi="宋体" w:cs="宋体"/>
          <w:sz w:val="24"/>
          <w:szCs w:val="24"/>
          <w:highlight w:val="none"/>
          <w:u w:val="none"/>
          <w:lang w:val="en-US" w:eastAsia="zh-CN"/>
        </w:rPr>
        <w:t xml:space="preserve">④</w:t>
      </w:r>
      <w:r>
        <w:rPr>
          <w:rFonts w:hint="eastAsia" w:ascii="宋体" w:hAnsi="宋体" w:cs="宋体"/>
          <w:sz w:val="24"/>
          <w:szCs w:val="24"/>
          <w:highlight w:val="none"/>
          <w:u w:val="none"/>
        </w:rPr>
        <w:t xml:space="preserve">涉及国家政策性调整基本工资收入及一些政策性规定，由双方协商解决。</w:t>
      </w:r>
      <w:r/>
    </w:p>
    <w:p>
      <w:pPr>
        <w:ind w:firstLine="480"/>
        <w:spacing w:line="360" w:lineRule="auto"/>
        <w:rPr>
          <w:rFonts w:hint="eastAsia" w:ascii="宋体" w:hAnsi="宋体" w:cs="宋体"/>
          <w:sz w:val="24"/>
          <w:szCs w:val="24"/>
          <w:highlight w:val="none"/>
          <w:u w:val="none"/>
        </w:rPr>
      </w:pPr>
      <w:r>
        <w:rPr>
          <w:rFonts w:hint="eastAsia" w:ascii="宋体" w:hAnsi="宋体" w:cs="宋体"/>
          <w:sz w:val="24"/>
          <w:szCs w:val="24"/>
          <w:highlight w:val="none"/>
          <w:u w:val="none"/>
          <w:lang w:val="en-US" w:eastAsia="zh-CN"/>
        </w:rPr>
        <w:t xml:space="preserve">⑥</w:t>
      </w:r>
      <w:r>
        <w:rPr>
          <w:rFonts w:hint="eastAsia" w:ascii="宋体" w:hAnsi="宋体" w:cs="宋体"/>
          <w:sz w:val="24"/>
          <w:szCs w:val="24"/>
          <w:highlight w:val="none"/>
          <w:u w:val="none"/>
        </w:rPr>
        <w:t xml:space="preserve">报价中相关成本费用的测算及标准符合国家、省、市相关最新政策规定。</w:t>
      </w:r>
      <w:r/>
    </w:p>
    <w:p>
      <w:pPr>
        <w:ind w:firstLine="480"/>
        <w:spacing w:line="360" w:lineRule="auto"/>
        <w:rPr>
          <w:rFonts w:hint="default" w:ascii="宋体" w:hAnsi="宋体" w:eastAsia="宋体" w:cs="宋体"/>
          <w:b/>
          <w:bCs/>
          <w:sz w:val="24"/>
          <w:szCs w:val="24"/>
          <w:highlight w:val="none"/>
          <w:u w:val="none"/>
          <w:lang w:val="en-US" w:eastAsia="zh-CN"/>
        </w:rPr>
      </w:pPr>
      <w:r>
        <w:rPr>
          <w:rFonts w:hint="eastAsia" w:ascii="宋体" w:hAnsi="宋体" w:cs="宋体"/>
          <w:b/>
          <w:bCs/>
          <w:sz w:val="24"/>
          <w:szCs w:val="24"/>
          <w:highlight w:val="none"/>
          <w:u w:val="none"/>
          <w:lang w:val="en-US" w:eastAsia="zh-CN"/>
        </w:rPr>
        <w:t xml:space="preserve">⑦</w:t>
      </w:r>
      <w:r>
        <w:rPr>
          <w:rFonts w:hint="eastAsia" w:ascii="宋体" w:hAnsi="宋体" w:cs="宋体"/>
          <w:b/>
          <w:bCs/>
          <w:sz w:val="24"/>
          <w:szCs w:val="24"/>
          <w:highlight w:val="none"/>
          <w:u w:val="none"/>
        </w:rPr>
        <w:t xml:space="preserve">公共能耗费</w:t>
      </w:r>
      <w:r>
        <w:rPr>
          <w:rFonts w:hint="eastAsia" w:ascii="宋体" w:hAnsi="宋体" w:cs="宋体"/>
          <w:b/>
          <w:bCs/>
          <w:sz w:val="24"/>
          <w:szCs w:val="24"/>
          <w:highlight w:val="none"/>
          <w:u w:val="none"/>
          <w:lang w:eastAsia="zh-CN"/>
        </w:rPr>
        <w:t xml:space="preserve">（</w:t>
      </w:r>
      <w:r>
        <w:rPr>
          <w:rFonts w:hint="eastAsia" w:ascii="宋体" w:hAnsi="宋体" w:cs="宋体"/>
          <w:b/>
          <w:bCs/>
          <w:sz w:val="24"/>
          <w:szCs w:val="24"/>
          <w:highlight w:val="none"/>
          <w:u w:val="none"/>
          <w:lang w:val="en-US" w:eastAsia="zh-CN"/>
        </w:rPr>
        <w:t xml:space="preserve">水电费</w:t>
      </w:r>
      <w:r>
        <w:rPr>
          <w:rFonts w:hint="eastAsia" w:ascii="宋体" w:hAnsi="宋体" w:cs="宋体"/>
          <w:b/>
          <w:bCs/>
          <w:sz w:val="24"/>
          <w:szCs w:val="24"/>
          <w:highlight w:val="none"/>
          <w:u w:val="none"/>
          <w:lang w:eastAsia="zh-CN"/>
        </w:rPr>
        <w:t xml:space="preserve">）</w:t>
      </w:r>
      <w:r>
        <w:rPr>
          <w:rFonts w:hint="eastAsia" w:ascii="宋体" w:hAnsi="宋体" w:cs="宋体"/>
          <w:b/>
          <w:bCs/>
          <w:sz w:val="24"/>
          <w:szCs w:val="24"/>
          <w:highlight w:val="none"/>
          <w:u w:val="none"/>
          <w:lang w:val="en-US" w:eastAsia="zh-CN"/>
        </w:rPr>
        <w:t xml:space="preserve">按</w:t>
      </w:r>
      <w:r>
        <w:rPr>
          <w:rFonts w:hint="eastAsia" w:ascii="宋体" w:hAnsi="宋体" w:cs="宋体"/>
          <w:b/>
          <w:bCs/>
          <w:sz w:val="24"/>
          <w:szCs w:val="24"/>
          <w:highlight w:val="none"/>
          <w:u w:val="none"/>
        </w:rPr>
        <w:t xml:space="preserve">0.15元/m²/月</w:t>
      </w:r>
      <w:r>
        <w:rPr>
          <w:rFonts w:hint="eastAsia" w:ascii="宋体" w:hAnsi="宋体" w:cs="宋体"/>
          <w:b/>
          <w:bCs/>
          <w:sz w:val="24"/>
          <w:szCs w:val="24"/>
          <w:highlight w:val="none"/>
          <w:u w:val="none"/>
          <w:lang w:val="en-US" w:eastAsia="zh-CN"/>
        </w:rPr>
        <w:t xml:space="preserve">包含在投标报价中，投标人须在《分项报价表》中列明，否则作无效标处理。【公共能耗费（水电费）（以物业服务面积为准）由甲方代缴，后续从物业管理费中按</w:t>
      </w:r>
      <w:r>
        <w:rPr>
          <w:rFonts w:hint="eastAsia" w:ascii="宋体" w:hAnsi="宋体" w:cs="宋体"/>
          <w:b/>
          <w:bCs/>
          <w:sz w:val="24"/>
          <w:szCs w:val="24"/>
          <w:highlight w:val="none"/>
          <w:u w:val="none"/>
        </w:rPr>
        <w:t xml:space="preserve">0.15元/m²/月</w:t>
      </w:r>
      <w:r>
        <w:rPr>
          <w:rFonts w:hint="eastAsia" w:ascii="宋体" w:hAnsi="宋体" w:cs="宋体"/>
          <w:b/>
          <w:bCs/>
          <w:sz w:val="24"/>
          <w:szCs w:val="24"/>
          <w:highlight w:val="none"/>
          <w:u w:val="none"/>
          <w:lang w:val="en-US" w:eastAsia="zh-CN"/>
        </w:rPr>
        <w:t xml:space="preserve">的标准扣除，超出标准的按实扣除】</w:t>
      </w:r>
      <w:r/>
    </w:p>
    <w:p>
      <w:pPr>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color w:val="000000"/>
          <w:sz w:val="24"/>
          <w:lang w:val="en-US" w:eastAsia="zh-CN"/>
        </w:rPr>
        <w:t xml:space="preserve">⑧</w:t>
      </w:r>
      <w:r>
        <w:rPr>
          <w:rFonts w:hint="eastAsia" w:ascii="宋体" w:hAnsi="宋体"/>
          <w:color w:val="000000"/>
          <w:sz w:val="24"/>
          <w:lang w:eastAsia="zh-CN"/>
        </w:rPr>
        <w:t xml:space="preserve">总报价应包括为完成招标文件规定的物业管理工作服务期内所涉及的一切相关费用。投标人报价时应充分考虑服务期内所有可能影响到报价的因素，包括无锡市最低工资标准及社保基数的调整因素等，一旦中标，总价（每月金额）将包定，即为合同价，不予调整。</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7.2中标供应商要根据安置小区特点，针对性地提出管理理念、方法、措施，要有针对性、可操作性，如违章搭建、房屋渗漏处理、保洁、车库开店、红白喜事搭木圆堂、养宠物、接待和值守、安全防范、便民人性化服务等。</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7.3前期原有物业从业人员经中标供应商面试后符合要求者优先考虑，由中标供应商与其签订劳动合同，支付劳动报酬及社保</w:t>
      </w:r>
      <w:r>
        <w:rPr>
          <w:rFonts w:hint="eastAsia" w:ascii="宋体" w:hAnsi="宋体"/>
          <w:color w:val="000000"/>
          <w:sz w:val="24"/>
          <w:szCs w:val="24"/>
          <w:highlight w:val="none"/>
          <w:lang w:val="en-US" w:eastAsia="zh-CN"/>
        </w:rPr>
        <w:t xml:space="preserve">缴付</w:t>
      </w:r>
      <w:r>
        <w:rPr>
          <w:rFonts w:hint="eastAsia" w:ascii="宋体" w:hAnsi="宋体" w:eastAsia="宋体"/>
          <w:color w:val="000000"/>
          <w:sz w:val="24"/>
          <w:szCs w:val="24"/>
          <w:highlight w:val="none"/>
          <w:lang w:val="en-US" w:eastAsia="zh-CN"/>
        </w:rPr>
        <w:t xml:space="preserve">和福利。中标供应商按照相关政策做好对小区内、商业店面用房的物业管理费等费用收缴工作，做到规范文明操作、应收尽收。</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7.4中标供应商必须积极参与配合做好社区各类文体活动和创建工作等社区管理的日常事务及各类矛盾纠纷调解。</w:t>
      </w:r>
      <w:r/>
    </w:p>
    <w:p>
      <w:pPr>
        <w:ind w:firstLine="482"/>
        <w:spacing w:line="360" w:lineRule="auto"/>
        <w:rPr>
          <w:rFonts w:ascii="宋体" w:hAnsi="宋体"/>
          <w:bCs/>
          <w:sz w:val="24"/>
          <w:szCs w:val="24"/>
          <w:highlight w:val="none"/>
        </w:rPr>
      </w:pPr>
      <w:r>
        <w:rPr>
          <w:rFonts w:hint="eastAsia" w:ascii="宋体" w:hAnsi="宋体"/>
          <w:b/>
          <w:bCs w:val="0"/>
          <w:sz w:val="24"/>
          <w:szCs w:val="24"/>
          <w:highlight w:val="none"/>
          <w:lang w:val="en-US" w:eastAsia="zh-CN"/>
        </w:rPr>
        <w:t xml:space="preserve">7.5质保期内的维保工作有维保公司负责。质保期满后的维保工作由采购人和中标供应商双方另行协商（电梯、消防维保除外），相关费用由中标供应商承担。</w:t>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Times New Roman"/>
          <w:bCs/>
          <w:sz w:val="24"/>
          <w:szCs w:val="24"/>
          <w:highlight w:val="none"/>
          <w:lang w:eastAsia="zh-CN"/>
        </w:rPr>
        <w:t xml:space="preserve">新安街道办事处</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eastAsia="zh-CN"/>
        </w:rPr>
        <w:t xml:space="preserve">合同约定服务期内</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eastAsia="zh-CN"/>
        </w:rPr>
        <w:t xml:space="preserve">每月一次</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履约验收程序：</w:t>
      </w:r>
      <w:r>
        <w:rPr>
          <w:rFonts w:hint="eastAsia" w:ascii="宋体" w:hAnsi="宋体" w:cs="Times New Roman"/>
          <w:bCs/>
          <w:sz w:val="24"/>
          <w:szCs w:val="24"/>
          <w:highlight w:val="none"/>
          <w:lang w:eastAsia="zh-CN"/>
        </w:rPr>
        <w:t xml:space="preserve">由街道相关部门、属地社区及第三方调查联合验收</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履约验收内容：</w:t>
      </w:r>
      <w:r>
        <w:rPr>
          <w:rFonts w:hint="eastAsia" w:ascii="宋体" w:hAnsi="宋体" w:cs="Times New Roman"/>
          <w:bCs/>
          <w:sz w:val="24"/>
          <w:szCs w:val="24"/>
          <w:highlight w:val="none"/>
          <w:lang w:eastAsia="zh-CN"/>
        </w:rPr>
        <w:t xml:space="preserve">保安、保洁、绿化等物业理应负责的所有服务内容</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履约验收标准：</w:t>
      </w:r>
      <w:r>
        <w:rPr>
          <w:rFonts w:hint="eastAsia" w:ascii="宋体" w:hAnsi="宋体" w:cs="Times New Roman"/>
          <w:bCs/>
          <w:sz w:val="24"/>
          <w:szCs w:val="24"/>
          <w:highlight w:val="none"/>
          <w:lang w:eastAsia="zh-CN"/>
        </w:rPr>
        <w:t xml:space="preserve">按新安街道安置房物业服务企业考核办法执行</w:t>
      </w:r>
      <w:r/>
    </w:p>
    <w:p>
      <w:pPr>
        <w:ind w:firstLine="480"/>
        <w:spacing w:line="360" w:lineRule="auto"/>
        <w:rPr>
          <w:rFonts w:ascii="宋体" w:hAnsi="宋体"/>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：无</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p>
    <w:p>
      <w:pPr>
        <w:numPr>
          <w:ilvl w:val="1"/>
          <w:numId w:val="8"/>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8"/>
        </w:numPr>
        <w:ind w:left="0" w:firstLine="480"/>
        <w:spacing w:line="360" w:lineRule="auto"/>
        <w:tabs>
          <w:tab w:val="left" w:pos="525" w:leader="none"/>
          <w:tab w:val="clear" w:pos="780" w:leader="none"/>
          <w:tab w:val="left" w:pos="945" w:leader="none"/>
        </w:tabs>
        <w:rPr>
          <w:rFonts w:ascii="宋体" w:hAnsi="宋体"/>
          <w:color w:val="000000"/>
          <w:sz w:val="24"/>
        </w:rPr>
      </w:pPr>
      <w:r>
        <w:rPr>
          <w:rFonts w:hint="eastAsia" w:ascii="宋体" w:hAnsi="宋体"/>
          <w:color w:val="000000"/>
          <w:sz w:val="24"/>
        </w:rPr>
        <w:t xml:space="preserve">中标单位应按照相关规定，与所有聘用人员依法签订劳动合同。</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宋体"/>
          <w:color w:val="000000"/>
          <w:sz w:val="24"/>
        </w:rPr>
        <w:t xml:space="preserve">投标人必须在满足采购文件要求的基础上进行报价，如有服务偏离请于投标偏离表</w:t>
      </w:r>
      <w:r>
        <w:rPr>
          <w:rFonts w:hint="eastAsia" w:ascii="宋体" w:hAnsi="Times New Roman" w:eastAsia="宋体" w:cs="Times New Roman"/>
          <w:bCs/>
          <w:sz w:val="24"/>
          <w:szCs w:val="24"/>
        </w:rPr>
        <w:t xml:space="preserve">中说明。</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服务期限：三年（具体起始日期以合同签订日期为准）。</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付款方式：物业服务费按季度支付，第二季度根据小区物业管理考核标准，结合小区物业服务考核结果，支付第一季度费用，以此类推。</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w:t>
      </w:r>
      <w:r>
        <w:rPr>
          <w:rFonts w:hint="eastAsia" w:ascii="宋体" w:hAnsi="Times New Roman" w:eastAsia="宋体" w:cs="Times New Roman"/>
          <w:bCs/>
          <w:sz w:val="24"/>
          <w:szCs w:val="24"/>
          <w:lang w:val="en-US" w:eastAsia="zh-CN"/>
        </w:rPr>
        <w:t xml:space="preserve">8</w:t>
      </w:r>
      <w:r>
        <w:rPr>
          <w:rFonts w:hint="eastAsia" w:ascii="宋体" w:hAnsi="Times New Roman" w:eastAsia="宋体" w:cs="Times New Roman"/>
          <w:bCs/>
          <w:sz w:val="24"/>
          <w:szCs w:val="24"/>
        </w:rPr>
        <w:t xml:space="preserve">%提供履约担保。中标（成交）供应商可采用电子履约保函（保险）形式,具体操作可登录江苏政府采购网的保险保函模块进行办理。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本项目合同履行地点：</w:t>
      </w:r>
      <w:r>
        <w:rPr>
          <w:rFonts w:hint="eastAsia" w:ascii="宋体" w:hAnsi="Times New Roman" w:eastAsia="宋体" w:cs="Times New Roman"/>
          <w:bCs/>
          <w:sz w:val="24"/>
          <w:szCs w:val="24"/>
          <w:lang w:eastAsia="zh-CN"/>
        </w:rPr>
        <w:t xml:space="preserve">丽新苑</w:t>
      </w:r>
      <w:r>
        <w:rPr>
          <w:rFonts w:hint="eastAsia" w:ascii="宋体" w:hAnsi="Times New Roman" w:eastAsia="宋体" w:cs="Times New Roman"/>
          <w:bCs/>
          <w:sz w:val="24"/>
          <w:szCs w:val="24"/>
          <w:lang w:val="en-US" w:eastAsia="zh-CN"/>
        </w:rPr>
        <w:t xml:space="preserve">二</w:t>
      </w:r>
      <w:r>
        <w:rPr>
          <w:rFonts w:hint="eastAsia" w:ascii="宋体" w:hAnsi="Times New Roman" w:eastAsia="宋体" w:cs="Times New Roman"/>
          <w:bCs/>
          <w:sz w:val="24"/>
          <w:szCs w:val="24"/>
          <w:lang w:eastAsia="zh-CN"/>
        </w:rPr>
        <w:t xml:space="preserve">期</w:t>
      </w:r>
      <w:r>
        <w:rPr>
          <w:rFonts w:hint="eastAsia" w:ascii="宋体" w:hAnsi="Times New Roman" w:eastAsia="宋体" w:cs="Times New Roman"/>
          <w:bCs/>
          <w:sz w:val="24"/>
          <w:szCs w:val="24"/>
        </w:rPr>
        <w:t xml:space="preserve">。中标方必须按采购人要求将本项目中货物送到指定地点(包括可能的分布范围)，并分地实施安装调试。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hAnsi="Times New Roman" w:eastAsia="宋体" w:cs="Times New Roman"/>
          <w:bCs/>
          <w:sz w:val="24"/>
          <w:szCs w:val="24"/>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w:t>
      </w:r>
      <w:r>
        <w:rPr>
          <w:rFonts w:hint="eastAsia" w:ascii="宋体"/>
          <w:bCs/>
          <w:color w:val="000000"/>
          <w:sz w:val="24"/>
          <w:szCs w:val="24"/>
          <w:highlight w:val="none"/>
        </w:rPr>
        <w:t xml:space="preserve">如供应商中标（成交）后无正当理由拒不签订政府采购合同的，依法予以处理；如供应商不履行合同或者未按合同约定履行合同导致验收不合格的，采购人应当依法追究其违约责任。</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ascii="宋体"/>
          <w:bCs/>
          <w:sz w:val="24"/>
          <w:szCs w:val="24"/>
          <w:lang w:val="en"/>
        </w:rPr>
      </w:r>
      <w:r/>
    </w:p>
    <w:p>
      <w:pPr>
        <w:jc w:val="center"/>
        <w:spacing w:line="500" w:lineRule="exact"/>
        <w:tabs>
          <w:tab w:val="left" w:pos="1440" w:leader="none"/>
        </w:tabs>
        <w:rPr>
          <w:rFonts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2"/>
        <w:ind w:firstLine="602"/>
        <w:spacing w:before="0" w:after="0" w:line="500" w:lineRule="exact"/>
        <w:rPr>
          <w:rFonts w:cs="Arial"/>
          <w:b/>
          <w:sz w:val="30"/>
          <w:szCs w:val="30"/>
        </w:rPr>
      </w:pPr>
      <w:r>
        <w:rPr>
          <w:rFonts w:hint="eastAsia" w:cs="Arial"/>
          <w:b/>
          <w:sz w:val="30"/>
          <w:szCs w:val="30"/>
        </w:rPr>
        <w:t xml:space="preserve">第一部分  评标方法</w:t>
      </w:r>
      <w:r/>
    </w:p>
    <w:p>
      <w:pPr>
        <w:pStyle w:val="762"/>
        <w:spacing w:before="0" w:after="0" w:line="500" w:lineRule="exact"/>
        <w:rPr>
          <w:rFonts w:cs="Arial"/>
        </w:rPr>
      </w:pPr>
      <w:r>
        <w:rPr>
          <w:rFonts w:hint="eastAsia" w:cs="Arial"/>
        </w:rPr>
        <w:t xml:space="preserve">投标人通过初审的，方可进入比较与评价程序。</w:t>
      </w:r>
      <w:r/>
    </w:p>
    <w:p>
      <w:pPr>
        <w:pStyle w:val="762"/>
        <w:spacing w:before="0" w:after="0" w:line="500" w:lineRule="exact"/>
        <w:rPr>
          <w:rFonts w:cs="Arial"/>
        </w:rPr>
      </w:pPr>
      <w:r>
        <w:rPr>
          <w:rFonts w:hint="eastAsia" w:cs="Arial"/>
        </w:rPr>
        <w:t xml:space="preserve">比较与评价采用综合评分法。</w:t>
      </w:r>
      <w:r/>
    </w:p>
    <w:p>
      <w:pPr>
        <w:pStyle w:val="762"/>
        <w:spacing w:before="0" w:after="0" w:line="500" w:lineRule="exact"/>
        <w:rPr>
          <w:rStyle w:val="72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2"/>
        <w:spacing w:before="0" w:after="0" w:line="500" w:lineRule="exact"/>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2"/>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2"/>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2"/>
        <w:ind w:firstLine="0"/>
        <w:spacing w:before="0" w:after="0" w:line="500" w:lineRule="exact"/>
        <w:rPr>
          <w:rFonts w:ascii="宋体" w:hAnsi="宋体"/>
          <w:shd w:val="clear" w:color="ffffff" w:fill="d9d9d9"/>
        </w:rPr>
      </w:pPr>
      <w:r>
        <w:rPr>
          <w:rFonts w:ascii="宋体" w:hAnsi="宋体"/>
        </w:rPr>
        <w:br w:type="page" w:clear="all"/>
      </w:r>
      <w:r>
        <w:rPr>
          <w:rFonts w:hint="eastAsia" w:ascii="宋体" w:hAnsi="宋体"/>
          <w:b/>
          <w:sz w:val="28"/>
          <w:szCs w:val="28"/>
        </w:rPr>
        <w:t xml:space="preserve">二、评分标准</w:t>
      </w:r>
      <w:r/>
    </w:p>
    <w:p>
      <w:pPr>
        <w:ind w:firstLine="562"/>
        <w:spacing w:line="500" w:lineRule="exact"/>
        <w:tabs>
          <w:tab w:val="left" w:pos="945" w:leader="none"/>
          <w:tab w:val="left" w:pos="1155" w:leader="none"/>
          <w:tab w:val="left" w:pos="3823" w:leader="none"/>
        </w:tabs>
        <w:rPr>
          <w:rFonts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62"/>
        <w:ind w:firstLine="422"/>
        <w:spacing w:before="0" w:after="0" w:line="500" w:lineRule="exact"/>
        <w:rPr>
          <w:rFonts w:ascii="宋体" w:hAnsi="宋体"/>
          <w:b/>
          <w:sz w:val="28"/>
          <w:szCs w:val="28"/>
        </w:rPr>
      </w:pPr>
      <w:r>
        <w:rPr>
          <w:rFonts w:hint="eastAsia" w:ascii="宋体" w:hAnsi="宋体"/>
          <w:b/>
          <w:sz w:val="28"/>
          <w:szCs w:val="28"/>
        </w:rPr>
        <w:t xml:space="preserve">（一）商务部分（50分）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价格（25分）：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投标人评价（</w:t>
      </w:r>
      <w:r>
        <w:rPr>
          <w:rFonts w:hint="eastAsia" w:ascii="宋体" w:hAnsi="宋体" w:cs="Times New Roman"/>
          <w:b/>
          <w:bCs w:val="0"/>
          <w:color w:val="000000"/>
          <w:sz w:val="24"/>
          <w:szCs w:val="24"/>
          <w:highlight w:val="none"/>
          <w:lang w:val="en-US" w:eastAsia="zh-CN"/>
        </w:rPr>
        <w:t xml:space="preserve">4.5</w:t>
      </w:r>
      <w:r>
        <w:rPr>
          <w:rFonts w:hint="eastAsia" w:ascii="宋体" w:hAnsi="宋体" w:eastAsia="宋体" w:cs="Times New Roman"/>
          <w:b/>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认证体系（1.5分）：投标人具备质量管理体系认证证书、环境管理体系认证证书、职业安全健康管理体系认证证书，有一项得0.5分，最多得1.5分。【提供证书原件的扫描件加盖公章上传系统，否则不得分，未按要求提供不得分】</w:t>
      </w:r>
      <w:r/>
    </w:p>
    <w:p>
      <w:pPr>
        <w:ind w:firstLine="480"/>
        <w:keepLines w:val="0"/>
        <w:keepNext w:val="0"/>
        <w:pageBreakBefore w:val="0"/>
        <w:spacing w:line="360" w:lineRule="auto"/>
        <w:widowControl w:val="off"/>
        <w:rPr>
          <w:rFonts w:hint="default"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（2）业绩（3分）：</w:t>
      </w:r>
      <w:r>
        <w:rPr>
          <w:rFonts w:hint="eastAsia" w:ascii="宋体" w:hAnsi="宋体" w:eastAsia="宋体" w:cs="Times New Roman"/>
          <w:bCs/>
          <w:color w:val="auto"/>
          <w:sz w:val="24"/>
          <w:szCs w:val="24"/>
          <w:highlight w:val="none"/>
          <w:lang w:val="en-US" w:eastAsia="zh-CN"/>
        </w:rPr>
        <w:t xml:space="preserve">投标人自202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年1月1日以来承接过与本项目类似的物业管理服务项目的，有1个得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分，最多得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分。【业绩提供合同（协议）原件的扫描件加盖公章上传系统，时间以合同签订时间为准，未按要求提供不得分】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人员配置（</w:t>
      </w:r>
      <w:r>
        <w:rPr>
          <w:rFonts w:hint="eastAsia" w:ascii="宋体" w:hAnsi="宋体" w:cs="Times New Roman"/>
          <w:b/>
          <w:bCs w:val="0"/>
          <w:color w:val="000000"/>
          <w:sz w:val="24"/>
          <w:szCs w:val="24"/>
          <w:highlight w:val="none"/>
          <w:lang w:val="en-US" w:eastAsia="zh-CN"/>
        </w:rPr>
        <w:t xml:space="preserve">20.5</w:t>
      </w:r>
      <w:r>
        <w:rPr>
          <w:rFonts w:hint="eastAsia" w:ascii="宋体" w:hAnsi="宋体" w:eastAsia="宋体" w:cs="Times New Roman"/>
          <w:b/>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（1）拟配物业经理（</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bCs/>
          <w:color w:val="000000"/>
          <w:sz w:val="24"/>
        </w:rPr>
        <w:t xml:space="preserve">年龄40岁以下得0.5分，具有本科及以上学历的得1分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w:t>
      </w:r>
      <w:r>
        <w:rPr>
          <w:rFonts w:hint="eastAsia" w:ascii="宋体" w:hAnsi="宋体" w:cs="宋体"/>
          <w:color w:val="000000"/>
          <w:sz w:val="24"/>
          <w:szCs w:val="24"/>
          <w:highlight w:val="none"/>
          <w:lang w:val="zh-CN"/>
        </w:rPr>
        <w:t xml:space="preserve">具有</w:t>
      </w:r>
      <w:r>
        <w:rPr>
          <w:rFonts w:hint="eastAsia" w:ascii="宋体" w:hAnsi="宋体" w:eastAsia="宋体" w:cs="Times New Roman"/>
          <w:bCs/>
          <w:color w:val="auto"/>
          <w:sz w:val="24"/>
          <w:szCs w:val="24"/>
          <w:highlight w:val="none"/>
          <w:lang w:val="en-US" w:eastAsia="zh-CN"/>
        </w:rPr>
        <w:t xml:space="preserve">物业管理师职业资格证书（技能等级证书</w:t>
      </w:r>
      <w:r>
        <w:rPr>
          <w:rFonts w:hint="eastAsia" w:ascii="宋体" w:hAnsi="宋体" w:cs="Times New Roman"/>
          <w:bCs/>
          <w:color w:val="auto"/>
          <w:sz w:val="24"/>
          <w:szCs w:val="24"/>
          <w:highlight w:val="none"/>
          <w:lang w:val="en-US" w:eastAsia="zh-CN"/>
        </w:rPr>
        <w:t xml:space="preserve">）</w:t>
      </w:r>
      <w:r>
        <w:rPr>
          <w:rFonts w:hint="eastAsia" w:ascii="宋体" w:hAnsi="宋体" w:cs="宋体"/>
          <w:b w:val="0"/>
          <w:bCs w:val="0"/>
          <w:spacing w:val="-2"/>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③具有</w:t>
      </w:r>
      <w:r>
        <w:rPr>
          <w:rFonts w:hint="eastAsia" w:ascii="宋体" w:hAnsi="Calibri" w:cs="宋体"/>
          <w:sz w:val="24"/>
          <w:szCs w:val="24"/>
          <w:highlight w:val="none"/>
        </w:rPr>
        <w:t xml:space="preserve">行政主管部门颁发的</w:t>
      </w:r>
      <w:r>
        <w:rPr>
          <w:rFonts w:hint="eastAsia" w:ascii="宋体" w:hAnsi="宋体" w:cs="Times New Roman"/>
          <w:bCs/>
          <w:color w:val="000000"/>
          <w:sz w:val="24"/>
          <w:szCs w:val="24"/>
          <w:highlight w:val="none"/>
          <w:lang w:val="en-US" w:eastAsia="zh-CN"/>
        </w:rPr>
        <w:t xml:space="preserve">效期内特种设备安全管理和作业人员证1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本项最高得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【提供物业经理相关证明材料扫描件（加盖投标人公章）及投标人近一年中任意一个月份（不含投标当月）经社保部门确认的社保缴纳名单扫描件（加盖投标人公章）上传系统，未按要求提供不得分】</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保安队长</w:t>
      </w:r>
      <w:r>
        <w:rPr>
          <w:rFonts w:hint="eastAsia" w:ascii="宋体" w:cs="宋体"/>
          <w:b w:val="0"/>
          <w:bCs w:val="0"/>
          <w:color w:val="000000"/>
          <w:sz w:val="24"/>
          <w:szCs w:val="24"/>
          <w:highlight w:val="none"/>
          <w:lang w:val="en-US" w:eastAsia="zh-CN"/>
        </w:rPr>
        <w:t xml:space="preserve">（6.5分）</w:t>
      </w:r>
      <w:r>
        <w:rPr>
          <w:rFonts w:hint="eastAsia" w:ascii="宋体" w:hAnsi="Calibri"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①</w:t>
      </w:r>
      <w:r>
        <w:rPr>
          <w:rFonts w:hint="eastAsia" w:ascii="宋体" w:cs="宋体"/>
          <w:color w:val="000000"/>
          <w:sz w:val="24"/>
        </w:rPr>
        <w:t xml:space="preserve">年龄45周岁（含）</w:t>
      </w:r>
      <w:r>
        <w:rPr>
          <w:rFonts w:hint="eastAsia" w:ascii="宋体" w:cs="宋体"/>
          <w:color w:val="000000"/>
          <w:sz w:val="24"/>
          <w:lang w:eastAsia="zh-CN"/>
        </w:rPr>
        <w:t xml:space="preserve">以下</w:t>
      </w:r>
      <w:r>
        <w:rPr>
          <w:rFonts w:hint="eastAsia" w:ascii="宋体" w:cs="宋体"/>
          <w:color w:val="000000"/>
          <w:sz w:val="24"/>
        </w:rPr>
        <w:t xml:space="preserve">得0.5分，具有大专及以上学历的得1分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具有行政主管部门颁发的</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hAnsi="宋体" w:cs="Times New Roman"/>
          <w:bCs/>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消防设施操作员证书</w:t>
      </w:r>
      <w:r>
        <w:rPr>
          <w:rFonts w:hint="eastAsia" w:ascii="宋体" w:hAnsi="宋体" w:eastAsia="宋体" w:cs="Times New Roman"/>
          <w:bCs/>
          <w:color w:val="000000"/>
          <w:sz w:val="24"/>
          <w:szCs w:val="24"/>
          <w:highlight w:val="none"/>
          <w:lang w:val="en-US" w:eastAsia="zh-CN"/>
        </w:rPr>
        <w:t xml:space="preserve">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③具</w:t>
      </w:r>
      <w:r>
        <w:rPr>
          <w:rFonts w:hint="eastAsia" w:ascii="宋体" w:hAnsi="Calibri" w:cs="宋体"/>
          <w:b w:val="0"/>
          <w:bCs w:val="0"/>
          <w:color w:val="000000"/>
          <w:sz w:val="24"/>
          <w:szCs w:val="24"/>
          <w:highlight w:val="none"/>
          <w:lang w:val="en-US" w:eastAsia="zh-CN"/>
        </w:rPr>
        <w:t xml:space="preserve">有</w:t>
      </w:r>
      <w:r>
        <w:rPr>
          <w:rFonts w:hint="eastAsia" w:ascii="宋体" w:hAnsi="宋体" w:eastAsia="宋体" w:cs="Times New Roman"/>
          <w:bCs/>
          <w:color w:val="000000"/>
          <w:sz w:val="24"/>
          <w:szCs w:val="24"/>
          <w:highlight w:val="none"/>
          <w:lang w:val="en-US" w:eastAsia="zh-CN"/>
        </w:rPr>
        <w:t xml:space="preserve">行政主管部门颁发的高级（三级）及以上保安员证的</w:t>
      </w:r>
      <w:r>
        <w:rPr>
          <w:rFonts w:hint="eastAsia" w:ascii="宋体" w:hAnsi="Calibri" w:cs="宋体"/>
          <w:b w:val="0"/>
          <w:bCs w:val="0"/>
          <w:color w:val="000000"/>
          <w:sz w:val="24"/>
          <w:szCs w:val="24"/>
          <w:highlight w:val="none"/>
          <w:lang w:val="en-US" w:eastAsia="zh-CN"/>
        </w:rPr>
        <w:t xml:space="preserve">得</w:t>
      </w:r>
      <w:r>
        <w:rPr>
          <w:rFonts w:hint="eastAsia" w:ascii="宋体" w:hAnsi="宋体" w:cs="Times New Roman"/>
          <w:bCs/>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④具有</w:t>
      </w:r>
      <w:r>
        <w:rPr>
          <w:rFonts w:hint="eastAsia" w:ascii="宋体" w:hAnsi="Calibri" w:cs="宋体"/>
          <w:b w:val="0"/>
          <w:bCs w:val="0"/>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特种设备安全管理（和作业人员）证得</w:t>
      </w:r>
      <w:r>
        <w:rPr>
          <w:rFonts w:hint="eastAsia" w:ascii="宋体" w:hAnsi="宋体" w:cs="Times New Roman"/>
          <w:bCs/>
          <w:color w:val="000000"/>
          <w:sz w:val="24"/>
          <w:szCs w:val="24"/>
          <w:highlight w:val="none"/>
          <w:lang w:val="en-US" w:eastAsia="zh-CN"/>
        </w:rPr>
        <w:t xml:space="preserve">1.5</w:t>
      </w:r>
      <w:r>
        <w:rPr>
          <w:rFonts w:hint="eastAsia" w:ascii="宋体" w:cs="宋体"/>
          <w:b w:val="0"/>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本项最高得6.5分。</w:t>
      </w:r>
      <w:r/>
    </w:p>
    <w:p>
      <w:pPr>
        <w:ind w:firstLine="480"/>
        <w:keepLines w:val="0"/>
        <w:keepNext w:val="0"/>
        <w:pageBreakBefore w:val="0"/>
        <w:spacing w:line="360" w:lineRule="auto"/>
        <w:widowControl w:val="off"/>
        <w:rPr>
          <w:rFonts w:hint="default" w:ascii="宋体" w:hAnsi="Calibri" w:cs="宋体"/>
          <w:b w:val="0"/>
          <w:bCs w:val="0"/>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w:t>
      </w:r>
      <w:r>
        <w:rPr>
          <w:rFonts w:hint="eastAsia" w:ascii="宋体" w:hAnsi="Calibri" w:cs="宋体"/>
          <w:b w:val="0"/>
          <w:bCs w:val="0"/>
          <w:color w:val="000000"/>
          <w:sz w:val="24"/>
          <w:szCs w:val="24"/>
          <w:highlight w:val="none"/>
          <w:lang w:val="en-US" w:eastAsia="zh-CN"/>
        </w:rPr>
        <w:t xml:space="preserve">保安队长</w:t>
      </w:r>
      <w:r>
        <w:rPr>
          <w:rFonts w:hint="eastAsia" w:ascii="宋体" w:hAnsi="宋体" w:eastAsia="宋体" w:cs="Times New Roman"/>
          <w:bCs/>
          <w:color w:val="000000"/>
          <w:sz w:val="24"/>
          <w:szCs w:val="24"/>
          <w:highlight w:val="none"/>
          <w:lang w:val="en-US" w:eastAsia="zh-CN"/>
        </w:rPr>
        <w:t xml:space="preserve">相关证明材料扫描件（加盖投标人公章）及投标人近一年中任意一个月份（不含投标当月）经社保部门确认的社保缴纳名单扫描件（加盖投标人公章）上传系统，未按要求提供不得分】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其他人员的配置（除物业经理</w:t>
      </w:r>
      <w:r>
        <w:rPr>
          <w:rFonts w:hint="eastAsia" w:ascii="宋体" w:hAnsi="宋体" w:cs="Times New Roman"/>
          <w:bCs/>
          <w:color w:val="000000"/>
          <w:sz w:val="24"/>
          <w:szCs w:val="24"/>
          <w:highlight w:val="none"/>
          <w:lang w:val="en-US" w:eastAsia="zh-CN"/>
        </w:rPr>
        <w:t xml:space="preserve">、</w:t>
      </w:r>
      <w:r>
        <w:rPr>
          <w:rFonts w:hint="eastAsia" w:ascii="宋体" w:hAnsi="Calibri" w:cs="宋体"/>
          <w:b w:val="0"/>
          <w:bCs w:val="0"/>
          <w:color w:val="000000"/>
          <w:sz w:val="24"/>
          <w:szCs w:val="24"/>
          <w:highlight w:val="none"/>
          <w:lang w:val="en-US" w:eastAsia="zh-CN"/>
        </w:rPr>
        <w:t xml:space="preserve">保安队长</w:t>
      </w:r>
      <w:r>
        <w:rPr>
          <w:rFonts w:hint="eastAsia" w:ascii="宋体" w:hAnsi="宋体" w:eastAsia="宋体" w:cs="Times New Roman"/>
          <w:bCs/>
          <w:color w:val="000000"/>
          <w:sz w:val="24"/>
          <w:szCs w:val="24"/>
          <w:highlight w:val="none"/>
          <w:lang w:val="en-US" w:eastAsia="zh-CN"/>
        </w:rPr>
        <w:t xml:space="preserve">外）（</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①具有行政主管部门颁发的</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hAnsi="宋体" w:cs="Times New Roman"/>
          <w:bCs/>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消防设施操作员或</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cs="宋体"/>
          <w:b w:val="0"/>
          <w:bCs w:val="0"/>
          <w:color w:val="000000"/>
          <w:sz w:val="24"/>
          <w:szCs w:val="24"/>
          <w:highlight w:val="none"/>
          <w:lang w:val="en-US" w:eastAsia="zh-CN"/>
        </w:rPr>
        <w:t xml:space="preserve">建（构）筑物消防员证书</w:t>
      </w:r>
      <w:r>
        <w:rPr>
          <w:rFonts w:hint="eastAsia" w:ascii="宋体" w:hAnsi="Calibri" w:cs="宋体"/>
          <w:b w:val="0"/>
          <w:bCs w:val="0"/>
          <w:color w:val="000000"/>
          <w:sz w:val="24"/>
          <w:szCs w:val="24"/>
          <w:highlight w:val="none"/>
        </w:rPr>
        <w:t xml:space="preserve">，</w:t>
      </w:r>
      <w:r>
        <w:rPr>
          <w:rFonts w:hint="eastAsia" w:ascii="宋体" w:cs="宋体"/>
          <w:b w:val="0"/>
          <w:bCs w:val="0"/>
          <w:color w:val="000000"/>
          <w:sz w:val="24"/>
          <w:szCs w:val="24"/>
          <w:highlight w:val="none"/>
          <w:lang w:val="en-US" w:eastAsia="zh-CN"/>
        </w:rPr>
        <w:t xml:space="preserve">有一个1</w:t>
      </w:r>
      <w:r>
        <w:rPr>
          <w:rFonts w:hint="eastAsia" w:ascii="宋体" w:hAnsi="Calibri" w:cs="宋体"/>
          <w:b w:val="0"/>
          <w:bCs w:val="0"/>
          <w:color w:val="000000"/>
          <w:sz w:val="24"/>
          <w:szCs w:val="24"/>
          <w:highlight w:val="none"/>
        </w:rPr>
        <w:t xml:space="preserve">分，最多得</w:t>
      </w:r>
      <w:r>
        <w:rPr>
          <w:rFonts w:hint="eastAsia" w:ascii="宋体" w:cs="宋体"/>
          <w:b w:val="0"/>
          <w:bCs w:val="0"/>
          <w:color w:val="000000"/>
          <w:sz w:val="24"/>
          <w:szCs w:val="24"/>
          <w:highlight w:val="none"/>
          <w:lang w:val="en-US" w:eastAsia="zh-CN"/>
        </w:rPr>
        <w:t xml:space="preserve">3</w:t>
      </w:r>
      <w:r>
        <w:rPr>
          <w:rFonts w:hint="eastAsia" w:ascii="宋体" w:hAnsi="Calibri" w:cs="宋体"/>
          <w:b w:val="0"/>
          <w:bCs w:val="0"/>
          <w:color w:val="000000"/>
          <w:sz w:val="24"/>
          <w:szCs w:val="24"/>
          <w:highlight w:val="none"/>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Calibri" w:cs="宋体"/>
          <w:b w:val="0"/>
          <w:bCs w:val="0"/>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特种设备安全管理（和作业人员）证</w:t>
      </w:r>
      <w:r>
        <w:rPr>
          <w:rFonts w:hint="eastAsia" w:ascii="宋体" w:hAnsi="Calibri" w:cs="宋体"/>
          <w:b w:val="0"/>
          <w:bCs w:val="0"/>
          <w:color w:val="000000"/>
          <w:sz w:val="24"/>
          <w:szCs w:val="24"/>
          <w:highlight w:val="none"/>
          <w:lang w:val="en-US" w:eastAsia="zh-CN"/>
        </w:rPr>
        <w:t xml:space="preserve">的，每个得2分，最高得</w:t>
      </w:r>
      <w:r>
        <w:rPr>
          <w:rFonts w:hint="eastAsia" w:ascii="宋体" w:cs="宋体"/>
          <w:b w:val="0"/>
          <w:bCs w:val="0"/>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hAnsi="Calibri" w:cs="宋体"/>
          <w:b w:val="0"/>
          <w:bCs w:val="0"/>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高压电工证书的每提供一个得</w:t>
      </w:r>
      <w:r>
        <w:rPr>
          <w:rFonts w:hint="eastAsia" w:ascii="宋体" w:cs="宋体"/>
          <w:b w:val="0"/>
          <w:bCs w:val="0"/>
          <w:color w:val="000000"/>
          <w:sz w:val="24"/>
          <w:szCs w:val="24"/>
          <w:highlight w:val="none"/>
          <w:lang w:val="en-US" w:eastAsia="zh-CN"/>
        </w:rPr>
        <w:t xml:space="preserve">1</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低压电工证书的每提供一个得</w:t>
      </w:r>
      <w:r>
        <w:rPr>
          <w:rFonts w:hint="eastAsia" w:ascii="宋体" w:cs="宋体"/>
          <w:b w:val="0"/>
          <w:bCs w:val="0"/>
          <w:color w:val="000000"/>
          <w:sz w:val="24"/>
          <w:szCs w:val="24"/>
          <w:highlight w:val="none"/>
          <w:lang w:val="en-US" w:eastAsia="zh-CN"/>
        </w:rPr>
        <w:t xml:space="preserve">1</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；本项</w:t>
      </w:r>
      <w:r>
        <w:rPr>
          <w:rFonts w:hint="eastAsia" w:ascii="宋体" w:hAnsi="Calibri" w:cs="宋体"/>
          <w:b w:val="0"/>
          <w:bCs w:val="0"/>
          <w:color w:val="000000"/>
          <w:sz w:val="24"/>
          <w:szCs w:val="24"/>
          <w:highlight w:val="none"/>
          <w:lang w:val="en-US" w:eastAsia="zh-CN"/>
        </w:rPr>
        <w:t xml:space="preserve">最高得</w:t>
      </w:r>
      <w:r>
        <w:rPr>
          <w:rFonts w:hint="eastAsia" w:ascii="宋体" w:cs="宋体"/>
          <w:b w:val="0"/>
          <w:bCs w:val="0"/>
          <w:color w:val="000000"/>
          <w:sz w:val="24"/>
          <w:szCs w:val="24"/>
          <w:highlight w:val="none"/>
          <w:lang w:val="en-US" w:eastAsia="zh-CN"/>
        </w:rPr>
        <w:t xml:space="preserve">3</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pStyle w:val="725"/>
        <w:ind w:firstLine="480"/>
        <w:rPr>
          <w:rFonts w:hint="default"/>
          <w:lang w:val="en-US" w:eastAsia="zh-CN"/>
        </w:rPr>
      </w:pPr>
      <w:r>
        <w:rPr>
          <w:rFonts w:hint="eastAsia" w:ascii="宋体" w:cs="宋体"/>
          <w:b w:val="0"/>
          <w:bCs w:val="0"/>
          <w:color w:val="000000"/>
          <w:sz w:val="24"/>
          <w:szCs w:val="24"/>
          <w:highlight w:val="none"/>
          <w:lang w:val="en-US" w:eastAsia="zh-CN"/>
        </w:rPr>
        <w:t xml:space="preserve">④具有</w:t>
      </w:r>
      <w:r>
        <w:rPr>
          <w:rFonts w:hint="eastAsia" w:ascii="宋体" w:hAnsi="宋体" w:eastAsia="宋体" w:cs="Times New Roman"/>
          <w:bCs/>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应急救援员证书的</w:t>
      </w:r>
      <w:r>
        <w:rPr>
          <w:rFonts w:hint="eastAsia" w:ascii="宋体" w:hAnsi="Calibri" w:cs="宋体"/>
          <w:b w:val="0"/>
          <w:bCs w:val="0"/>
          <w:color w:val="000000"/>
          <w:sz w:val="24"/>
          <w:szCs w:val="24"/>
          <w:highlight w:val="none"/>
          <w:lang w:val="en-US" w:eastAsia="zh-CN"/>
        </w:rPr>
        <w:t xml:space="preserve">每提供一个得</w:t>
      </w:r>
      <w:r>
        <w:rPr>
          <w:rFonts w:hint="eastAsia" w:ascii="宋体" w:cs="宋体"/>
          <w:b w:val="0"/>
          <w:bCs w:val="0"/>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，本项</w:t>
      </w:r>
      <w:r>
        <w:rPr>
          <w:rFonts w:hint="eastAsia" w:ascii="宋体" w:hAnsi="Calibri" w:cs="宋体"/>
          <w:b w:val="0"/>
          <w:bCs w:val="0"/>
          <w:color w:val="000000"/>
          <w:sz w:val="24"/>
          <w:szCs w:val="24"/>
          <w:highlight w:val="none"/>
          <w:lang w:val="en-US" w:eastAsia="zh-CN"/>
        </w:rPr>
        <w:t xml:space="preserve">最高得</w:t>
      </w:r>
      <w:r>
        <w:rPr>
          <w:rFonts w:hint="eastAsia" w:ascii="宋体" w:cs="宋体"/>
          <w:b w:val="0"/>
          <w:bCs w:val="0"/>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pStyle w:val="762"/>
        <w:ind w:firstLine="360"/>
        <w:spacing w:before="0" w:after="0" w:line="500" w:lineRule="exact"/>
        <w:rPr>
          <w:rFonts w:ascii="宋体" w:hAnsi="宋体"/>
        </w:rPr>
      </w:pPr>
      <w:r>
        <w:rPr>
          <w:rFonts w:hint="eastAsia" w:ascii="宋体" w:hAnsi="宋体" w:eastAsia="宋体" w:cs="Times New Roman"/>
          <w:bCs/>
          <w:color w:val="000000"/>
          <w:sz w:val="24"/>
          <w:szCs w:val="24"/>
          <w:highlight w:val="none"/>
          <w:lang w:val="en-US" w:eastAsia="zh-CN"/>
        </w:rPr>
        <w:t xml:space="preserve">【以上人员一人多证不重复得分，按最高分计。以上人员须提供相关证明材料扫描件（加盖投标人公章）及投标人近一年中任意一个月份（不含投标当月）经社保部门确认的社保缴纳名单扫描件（加盖投标人公章）上传系统，未按要求提供不得分】</w:t>
      </w:r>
      <w:r/>
    </w:p>
    <w:p>
      <w:pPr>
        <w:pStyle w:val="762"/>
        <w:ind w:firstLine="422"/>
        <w:spacing w:before="0" w:after="0" w:line="500" w:lineRule="exact"/>
        <w:rPr>
          <w:rFonts w:ascii="宋体" w:hAnsi="宋体"/>
          <w:b/>
          <w:sz w:val="28"/>
          <w:szCs w:val="28"/>
        </w:rPr>
      </w:pPr>
      <w:r>
        <w:rPr>
          <w:rFonts w:hint="eastAsia" w:ascii="宋体" w:hAnsi="宋体"/>
          <w:b/>
          <w:sz w:val="28"/>
          <w:szCs w:val="28"/>
        </w:rPr>
        <w:t xml:space="preserve">（二）技术部分（50分）</w:t>
      </w:r>
      <w:r/>
    </w:p>
    <w:p>
      <w:pPr>
        <w:pStyle w:val="762"/>
        <w:ind w:firstLine="422"/>
        <w:spacing w:before="0" w:after="0" w:line="500" w:lineRule="exact"/>
        <w:rPr>
          <w:rFonts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Ansi="宋体"/>
          <w:b/>
          <w:bCs/>
          <w:sz w:val="24"/>
          <w:highlight w:val="none"/>
        </w:rPr>
      </w:pPr>
      <w:r>
        <w:rPr>
          <w:rFonts w:hint="eastAsia" w:hAnsi="宋体"/>
          <w:b/>
          <w:bCs/>
          <w:sz w:val="24"/>
          <w:highlight w:val="none"/>
        </w:rPr>
        <w:t xml:space="preserve">服务方案（50分）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方案完整、科学合理，设计清晰详细，完全符合本项目需求，且能够提供上述5项全部方案的，得8分；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（4）管理规章制度（7分）：内容包括：①管理运作制度与客户服务制度；②安全管理制度；③日常巡检制度；④清洁管理制度；⑤档案资料的建立、分类管理等制度。</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 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right="60" w:firstLine="480"/>
        <w:jc w:val="left"/>
        <w:spacing w:line="500" w:lineRule="exact"/>
        <w:tabs>
          <w:tab w:val="left" w:pos="1440" w:leader="none"/>
        </w:tabs>
        <w:rPr>
          <w:rFonts w:hint="eastAsia" w:ascii="宋体" w:hAnsi="宋体" w:eastAsia="宋体" w:cs="Times New Roman"/>
          <w:b w:val="0"/>
          <w:bCs/>
          <w:color w:val="000000"/>
          <w:sz w:val="24"/>
          <w:szCs w:val="24"/>
          <w:highlight w:val="none"/>
          <w:lang w:val="en-US" w:eastAsia="zh-CN"/>
        </w:rPr>
        <w:outlineLvl w:val="0"/>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right="60"/>
        <w:jc w:val="center"/>
        <w:spacing w:line="500" w:lineRule="exact"/>
        <w:tabs>
          <w:tab w:val="left" w:pos="1440" w:leader="none"/>
        </w:tabs>
        <w:rPr>
          <w:rFonts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2"/>
        <w:ind w:firstLine="602"/>
        <w:spacing w:before="0" w:after="0" w:line="500" w:lineRule="exact"/>
        <w:rPr>
          <w:rFonts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62"/>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68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2"/>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2"/>
              <w:jc w:val="center"/>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2"/>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2"/>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4"/>
                <w:rFonts w:hint="eastAsia" w:ascii="宋体" w:hAnsi="宋体" w:cs="宋体"/>
                <w:sz w:val="24"/>
                <w:szCs w:val="24"/>
              </w:rPr>
              <w:t xml:space="preserve">。</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62"/>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2"/>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62"/>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2"/>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2"/>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762"/>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762"/>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2"/>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2"/>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2"/>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val="false"/>
          </w:tcPr>
          <w:p>
            <w:pPr>
              <w:pStyle w:val="762"/>
              <w:ind w:firstLine="0"/>
              <w:jc w:val="both"/>
              <w:spacing w:before="0" w:after="0" w:line="240" w:lineRule="auto"/>
              <w:rPr>
                <w:rFonts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2"/>
              <w:ind w:firstLine="0"/>
              <w:jc w:val="both"/>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ascii="宋体" w:hAnsi="宋体" w:cs="宋体"/>
          <w:color w:val="ff0000"/>
          <w:sz w:val="24"/>
          <w:szCs w:val="24"/>
        </w:rPr>
      </w:pPr>
      <w:r>
        <w:rPr>
          <w:rFonts w:ascii="宋体" w:hAnsi="宋体" w:cs="宋体"/>
          <w:color w:val="ff0000"/>
          <w:sz w:val="24"/>
          <w:szCs w:val="24"/>
        </w:rPr>
      </w:r>
      <w:r/>
    </w:p>
    <w:p>
      <w:pPr>
        <w:rPr>
          <w:b/>
          <w:sz w:val="28"/>
          <w:szCs w:val="28"/>
        </w:rPr>
      </w:pPr>
      <w:r>
        <w:rPr>
          <w:rFonts w:hint="eastAsia"/>
          <w:b/>
          <w:sz w:val="28"/>
          <w:szCs w:val="28"/>
        </w:rPr>
        <w:t xml:space="preserve">（二）其他证明文件</w:t>
      </w:r>
      <w:r/>
    </w:p>
    <w:p>
      <w:pPr>
        <w:ind w:left="480"/>
        <w:spacing w:line="500" w:lineRule="exact"/>
        <w:rPr>
          <w:rFonts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2"/>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JSZC-320214-JZCG-G2026-0027</w:t>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丽新苑二期安居房物业管理外包项目</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760"/>
        <w:ind w:firstLine="480"/>
        <w:rPr>
          <w:sz w:val="24"/>
          <w:szCs w:val="24"/>
        </w:rPr>
      </w:pPr>
      <w:r>
        <w:rPr>
          <w:rFonts w:hint="eastAsia"/>
          <w:sz w:val="24"/>
          <w:szCs w:val="24"/>
        </w:rPr>
        <w:t xml:space="preserve">我公司（单位、联合体）针对</w:t>
      </w:r>
      <w:r>
        <w:rPr>
          <w:rFonts w:hint="eastAsia" w:ascii="宋体" w:hAnsi="宋体"/>
          <w:bCs/>
          <w:sz w:val="24"/>
          <w:szCs w:val="24"/>
          <w:lang w:eastAsia="zh-CN"/>
        </w:rPr>
        <w:t xml:space="preserve">JSZC-320214-JZCG-G2026-0027</w:t>
      </w:r>
      <w:r>
        <w:rPr>
          <w:rFonts w:hint="eastAsia" w:ascii="宋体" w:hAnsi="宋体"/>
          <w:bCs/>
          <w:sz w:val="24"/>
          <w:szCs w:val="24"/>
        </w:rPr>
        <w:t xml:space="preserve">项目，兹授权：</w:t>
      </w:r>
      <w:r/>
    </w:p>
    <w:p>
      <w:pPr>
        <w:pStyle w:val="760"/>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760"/>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0"/>
        <w:ind w:firstLine="480"/>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0"/>
        <w:ind w:firstLine="480"/>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760"/>
        <w:ind w:firstLine="480"/>
        <w:rPr>
          <w:sz w:val="24"/>
          <w:szCs w:val="24"/>
        </w:rPr>
      </w:pPr>
      <w:r>
        <w:rPr>
          <w:rFonts w:hint="eastAsia"/>
          <w:sz w:val="24"/>
          <w:szCs w:val="24"/>
        </w:rPr>
        <w:t xml:space="preserve">特此授权委托。</w:t>
      </w:r>
      <w:r/>
    </w:p>
    <w:p>
      <w:pPr>
        <w:pStyle w:val="760"/>
        <w:ind w:firstLine="0"/>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0"/>
        <w:ind w:firstLine="0"/>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0"/>
        <w:ind w:firstLine="0"/>
        <w:rPr>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0"/>
        <w:ind w:firstLine="0"/>
        <w:spacing w:line="360" w:lineRule="auto"/>
        <w:rPr>
          <w:sz w:val="21"/>
          <w:szCs w:val="21"/>
        </w:rPr>
      </w:pPr>
      <w:r>
        <w:rPr>
          <w:sz w:val="21"/>
          <w:szCs w:val="21"/>
        </w:rPr>
      </w:r>
      <w:r/>
    </w:p>
    <w:p>
      <w:pPr>
        <w:pStyle w:val="760"/>
        <w:ind w:firstLine="0"/>
        <w:spacing w:line="360" w:lineRule="auto"/>
        <w:rPr>
          <w:sz w:val="21"/>
          <w:szCs w:val="21"/>
        </w:rPr>
      </w:pPr>
      <w:r>
        <w:rPr>
          <w:rFonts w:hint="eastAsia"/>
          <w:sz w:val="21"/>
          <w:szCs w:val="21"/>
        </w:rPr>
        <w:t xml:space="preserve">说明：</w:t>
      </w:r>
      <w:r/>
    </w:p>
    <w:p>
      <w:pPr>
        <w:pStyle w:val="760"/>
        <w:numPr>
          <w:ilvl w:val="0"/>
          <w:numId w:val="13"/>
        </w:numPr>
        <w:ind w:firstLine="420"/>
        <w:spacing w:line="360" w:lineRule="auto"/>
        <w:rPr>
          <w:rFonts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0"/>
        <w:numPr>
          <w:ilvl w:val="0"/>
          <w:numId w:val="13"/>
        </w:numPr>
        <w:ind w:firstLine="420"/>
        <w:spacing w:line="360" w:lineRule="auto"/>
        <w:rPr>
          <w:rFonts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0"/>
        <w:numPr>
          <w:ilvl w:val="0"/>
          <w:numId w:val="13"/>
        </w:numPr>
        <w:ind w:firstLine="420"/>
        <w:spacing w:line="360" w:lineRule="auto"/>
        <w:rPr>
          <w:rFonts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0"/>
        <w:numPr>
          <w:ilvl w:val="0"/>
          <w:numId w:val="13"/>
        </w:numPr>
        <w:ind w:firstLine="420"/>
        <w:spacing w:line="360" w:lineRule="auto"/>
        <w:rPr>
          <w:rFonts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0"/>
        <w:ind w:firstLine="0"/>
        <w:rPr>
          <w:rFonts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sz w:val="24"/>
          <w:szCs w:val="24"/>
        </w:rPr>
      </w:pPr>
      <w:r>
        <w:rPr>
          <w:rFonts w:hint="eastAsia" w:ascii="宋体" w:hAnsi="宋体"/>
          <w:bCs/>
          <w:color w:val="000000"/>
          <w:sz w:val="24"/>
          <w:szCs w:val="24"/>
        </w:rPr>
        <w:t xml:space="preserve">无锡市公共资源交易</w:t>
      </w:r>
      <w:r>
        <w:rPr>
          <w:rFonts w:hint="eastAsia" w:ascii="宋体" w:hAnsi="宋体"/>
          <w:bCs/>
          <w:sz w:val="24"/>
          <w:szCs w:val="24"/>
        </w:rPr>
        <w:t xml:space="preserve">中心新吴分中心：</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bCs/>
          <w:sz w:val="24"/>
          <w:szCs w:val="24"/>
          <w:lang w:eastAsia="zh-CN"/>
        </w:rPr>
        <w:t xml:space="preserve">JSZC-320214-JZCG-G2026-0027</w:t>
      </w:r>
      <w:r>
        <w:rPr>
          <w:rFonts w:hint="eastAsia" w:ascii="宋体" w:hAnsi="宋体"/>
          <w:bCs/>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sz w:val="24"/>
          <w:szCs w:val="24"/>
        </w:rPr>
      </w:pPr>
      <w:r>
        <w:rPr>
          <w:rFonts w:hint="eastAsia" w:ascii="宋体" w:hAnsi="宋体"/>
          <w:bCs/>
          <w:color w:val="000000"/>
          <w:sz w:val="24"/>
          <w:szCs w:val="24"/>
        </w:rPr>
        <w:t xml:space="preserve">我方收</w:t>
      </w:r>
      <w:r>
        <w:rPr>
          <w:rFonts w:hint="eastAsia" w:ascii="宋体" w:hAnsi="宋体"/>
          <w:bCs/>
          <w:sz w:val="24"/>
          <w:szCs w:val="24"/>
        </w:rPr>
        <w:t xml:space="preserve">到贵方</w:t>
      </w:r>
      <w:r>
        <w:rPr>
          <w:rFonts w:hint="eastAsia" w:ascii="宋体" w:hAnsi="宋体"/>
          <w:bCs/>
          <w:sz w:val="24"/>
          <w:szCs w:val="24"/>
          <w:lang w:eastAsia="zh-CN"/>
        </w:rPr>
        <w:t xml:space="preserve">JSZC-320214-JZCG-G2026-0027</w:t>
      </w:r>
      <w:r>
        <w:rPr>
          <w:rFonts w:hint="eastAsia" w:ascii="宋体" w:hAnsi="宋体"/>
          <w:bCs/>
          <w:sz w:val="24"/>
          <w:szCs w:val="24"/>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sz w:val="24"/>
          <w:szCs w:val="24"/>
        </w:rPr>
        <w:t xml:space="preserve">我方愿意按照招标文件的一切要求，提供本项目的</w:t>
      </w:r>
      <w:r>
        <w:rPr>
          <w:rFonts w:hint="eastAsia" w:ascii="宋体" w:hAnsi="宋体"/>
          <w:bCs/>
          <w:color w:val="000000"/>
          <w:sz w:val="24"/>
          <w:szCs w:val="24"/>
        </w:rPr>
        <w:t xml:space="preserve">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2"/>
          <w:bCs/>
          <w:color w:val="000000"/>
        </w:rPr>
      </w:pPr>
      <w:r>
        <w:rPr>
          <w:rFonts w:hint="eastAsia" w:ascii="宋体" w:hAnsi="宋体"/>
          <w:bCs/>
          <w:color w:val="000000"/>
          <w:sz w:val="24"/>
          <w:szCs w:val="24"/>
        </w:rPr>
        <w:t xml:space="preserve">我方愿意提供无锡市公共资源交易中心新吴分中心在招标文件中要求的文件、资料。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七、承诺书（给定格式）：</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宋体" w:hAnsi="宋体"/>
          <w:bCs/>
          <w:sz w:val="24"/>
          <w:szCs w:val="24"/>
          <w:lang w:eastAsia="zh-CN"/>
        </w:rPr>
        <w:t xml:space="preserve">JSZC-320214-JZCG-G2026-0027</w:t>
      </w:r>
      <w:r>
        <w:rPr>
          <w:rFonts w:hint="eastAsia" w:ascii="宋体" w:hAnsi="宋体"/>
          <w:sz w:val="24"/>
          <w:szCs w:val="24"/>
        </w:rPr>
        <w:t xml:space="preserve">在此对服务保障做如下承诺：</w:t>
      </w:r>
      <w:r/>
    </w:p>
    <w:p>
      <w:pPr>
        <w:spacing w:line="48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sz w:val="24"/>
          <w:szCs w:val="24"/>
        </w:rPr>
      </w:pPr>
      <w:r>
        <w:rPr>
          <w:rFonts w:hint="eastAsia" w:ascii="宋体" w:hAnsi="宋体" w:cs="宋体"/>
          <w:sz w:val="24"/>
          <w:szCs w:val="24"/>
        </w:rPr>
        <w:t xml:space="preserve">3.</w:t>
      </w:r>
      <w:r/>
    </w:p>
    <w:p>
      <w:pPr>
        <w:ind w:firstLine="480"/>
        <w:spacing w:line="360" w:lineRule="auto"/>
        <w:rPr>
          <w:rFonts w:ascii="宋体" w:hAnsi="宋体" w:cs="宋体"/>
          <w:sz w:val="24"/>
          <w:szCs w:val="24"/>
        </w:rPr>
      </w:pPr>
      <w:r>
        <w:rPr>
          <w:rFonts w:hint="eastAsia" w:ascii="宋体" w:hAnsi="宋体" w:cs="宋体"/>
          <w:sz w:val="24"/>
          <w:szCs w:val="24"/>
        </w:rPr>
        <w:t xml:space="preserve">4.</w:t>
      </w:r>
      <w:r/>
    </w:p>
    <w:p>
      <w:pPr>
        <w:ind w:firstLine="480"/>
        <w:spacing w:line="360" w:lineRule="auto"/>
        <w:rPr>
          <w:rFonts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ascii="宋体" w:hAnsi="宋体" w:cs="宋体"/>
          <w:sz w:val="24"/>
          <w:szCs w:val="24"/>
        </w:rPr>
      </w:pPr>
      <w:r>
        <w:rPr>
          <w:rFonts w:hint="eastAsia" w:ascii="宋体" w:hAnsi="宋体" w:cs="宋体"/>
          <w:sz w:val="24"/>
          <w:szCs w:val="24"/>
        </w:rPr>
        <w:t xml:space="preserve">6.</w:t>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ascii="宋体" w:hAnsi="宋体"/>
          <w:bCs/>
          <w:color w:val="000000"/>
          <w:sz w:val="24"/>
          <w:szCs w:val="24"/>
        </w:rPr>
      </w:pPr>
      <w:r>
        <w:rPr>
          <w:rFonts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 项目编号：</w:t>
      </w:r>
      <w:r>
        <w:rPr>
          <w:rFonts w:hint="eastAsia" w:ascii="黑体" w:eastAsia="黑体"/>
          <w:bCs/>
          <w:sz w:val="24"/>
          <w:szCs w:val="24"/>
          <w:lang w:eastAsia="zh-CN"/>
        </w:rPr>
        <w:t xml:space="preserve">JSZC-320214-JZCG-G2026-0027</w:t>
      </w:r>
      <w:r/>
    </w:p>
    <w:tbl>
      <w:tblPr>
        <w:tblStyle w:val="68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p>
        </w:tc>
      </w:tr>
      <w:tr>
        <w:trPr>
          <w:cantSplit/>
          <w:trHeight w:val="1630"/>
        </w:trPr>
        <w:tc>
          <w:tcPr>
            <w:tcW w:w="5697" w:type="dxa"/>
            <w:vAlign w:val="center"/>
            <w:textDirection w:val="lrTb"/>
            <w:noWrap w:val="false"/>
          </w:tcPr>
          <w:p>
            <w:pPr>
              <w:pStyle w:val="788"/>
              <w:jc w:val="center"/>
              <w:spacing w:line="400" w:lineRule="exact"/>
              <w:rPr>
                <w:rFonts w:hint="eastAsia" w:hAnsi="宋体" w:eastAsia="宋体"/>
                <w:bCs/>
                <w:szCs w:val="24"/>
                <w:lang w:eastAsia="zh-CN"/>
              </w:rPr>
            </w:pPr>
            <w:r>
              <w:rPr>
                <w:rFonts w:hint="eastAsia" w:hAnsi="宋体"/>
                <w:bCs/>
                <w:szCs w:val="24"/>
                <w:lang w:eastAsia="zh-CN"/>
              </w:rPr>
              <w:t xml:space="preserve">丽新苑二期安居房物业管理外包项目</w:t>
            </w:r>
            <w:r/>
          </w:p>
        </w:tc>
        <w:tc>
          <w:tcPr>
            <w:tcW w:w="3188" w:type="dxa"/>
            <w:vAlign w:val="center"/>
            <w:textDirection w:val="lrTb"/>
            <w:noWrap w:val="false"/>
          </w:tcPr>
          <w:p>
            <w:pPr>
              <w:pStyle w:val="788"/>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bookmarkEnd w:id="199"/>
      <w:bookmarkEnd w:id="200"/>
      <w:r/>
    </w:p>
    <w:p>
      <w:pPr>
        <w:ind w:firstLine="420"/>
        <w:jc w:val="center"/>
        <w:spacing w:line="400" w:lineRule="exact"/>
        <w:rPr>
          <w:rFonts w:ascii="黑体" w:hAnsi="宋体" w:eastAsia="黑体"/>
          <w:bCs/>
          <w:sz w:val="24"/>
          <w:szCs w:val="24"/>
        </w:rPr>
        <w:outlineLvl w:val="0"/>
      </w:pPr>
      <w:r/>
      <w:bookmarkStart w:id="202" w:name="_Toc120614284"/>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JSZC-320214-JZCG-G2026-0027</w:t>
      </w:r>
      <w:r/>
    </w:p>
    <w:tbl>
      <w:tblPr>
        <w:tblStyle w:val="683"/>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序号</w:t>
            </w:r>
            <w:r/>
          </w:p>
        </w:tc>
        <w:tc>
          <w:tcPr>
            <w:tcW w:w="3575" w:type="dxa"/>
            <w:vAlign w:val="center"/>
            <w:textDirection w:val="lrTb"/>
            <w:noWrap w:val="false"/>
          </w:tcPr>
          <w:p>
            <w:pPr>
              <w:jc w:val="center"/>
              <w:rPr>
                <w:rFonts w:ascii="宋体" w:hAnsi="宋体"/>
                <w:b/>
              </w:rPr>
            </w:pPr>
            <w:r>
              <w:rPr>
                <w:rFonts w:hint="eastAsia" w:ascii="宋体" w:hAnsi="宋体"/>
                <w:b/>
              </w:rPr>
              <w:t xml:space="preserve">项目名称</w:t>
            </w:r>
            <w:r/>
          </w:p>
        </w:tc>
        <w:tc>
          <w:tcPr>
            <w:tcW w:w="1465"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（元/月）</w:t>
            </w:r>
            <w:r/>
          </w:p>
        </w:tc>
        <w:tc>
          <w:tcPr>
            <w:tcW w:w="1418"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（元/年）</w:t>
            </w:r>
            <w:r/>
          </w:p>
        </w:tc>
        <w:tc>
          <w:tcPr>
            <w:tcW w:w="1842" w:type="dxa"/>
            <w:vAlign w:val="center"/>
            <w:textDirection w:val="lrTb"/>
            <w:noWrap w:val="false"/>
          </w:tcPr>
          <w:p>
            <w:pPr>
              <w:jc w:val="center"/>
              <w:rPr>
                <w:rFonts w:ascii="宋体" w:hAnsi="宋体"/>
                <w:b/>
              </w:rPr>
            </w:pPr>
            <w:r>
              <w:rPr>
                <w:rFonts w:hint="eastAsia" w:ascii="宋体" w:hAnsi="宋体"/>
                <w:b/>
              </w:rPr>
              <w:t xml:space="preserve">备注</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1</w:t>
            </w:r>
            <w:r/>
          </w:p>
        </w:tc>
        <w:tc>
          <w:tcPr>
            <w:tcW w:w="3575" w:type="dxa"/>
            <w:vAlign w:val="center"/>
            <w:textDirection w:val="lrTb"/>
            <w:noWrap w:val="false"/>
          </w:tcPr>
          <w:p>
            <w:pPr>
              <w:jc w:val="left"/>
              <w:rPr>
                <w:rFonts w:ascii="宋体" w:hAnsi="宋体"/>
                <w:b/>
              </w:rPr>
            </w:pPr>
            <w:r>
              <w:rPr>
                <w:rFonts w:hint="eastAsia" w:ascii="宋体" w:hAnsi="宋体"/>
                <w:b/>
              </w:rPr>
              <w:t xml:space="preserve">员工工资、福利、法定计提费用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hint="eastAsia" w:ascii="宋体" w:hAnsi="宋体"/>
              </w:rPr>
              <w:t xml:space="preserve">参照表（1）</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2</w:t>
            </w:r>
            <w:r/>
          </w:p>
        </w:tc>
        <w:tc>
          <w:tcPr>
            <w:tcW w:w="3575" w:type="dxa"/>
            <w:vAlign w:val="center"/>
            <w:textDirection w:val="lrTb"/>
            <w:noWrap w:val="false"/>
          </w:tcPr>
          <w:p>
            <w:pPr>
              <w:jc w:val="left"/>
              <w:rPr>
                <w:rFonts w:ascii="宋体" w:hAnsi="宋体"/>
                <w:b/>
              </w:rPr>
            </w:pPr>
            <w:r>
              <w:rPr>
                <w:rFonts w:hint="eastAsia" w:ascii="宋体" w:hAnsi="宋体"/>
                <w:b/>
              </w:rPr>
              <w:t xml:space="preserve">行政办公费用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ascii="宋体" w:hAnsi="宋体"/>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hint="default" w:ascii="宋体" w:hAnsi="宋体" w:eastAsia="宋体"/>
                <w:b/>
                <w:color w:val="000000"/>
                <w:lang w:val="en-US" w:eastAsia="zh-CN"/>
              </w:rPr>
            </w:pPr>
            <w:r>
              <w:rPr>
                <w:rFonts w:hint="eastAsia" w:ascii="宋体" w:hAnsi="宋体"/>
                <w:b/>
                <w:color w:val="000000"/>
                <w:lang w:val="en-US" w:eastAsia="zh-CN"/>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公共能耗费</w:t>
            </w:r>
            <w:r>
              <w:rPr>
                <w:rFonts w:hint="eastAsia" w:ascii="宋体" w:hAnsi="宋体"/>
                <w:b/>
                <w:color w:val="000000"/>
                <w:lang w:eastAsia="zh-CN"/>
              </w:rPr>
              <w:t xml:space="preserve">（</w:t>
            </w:r>
            <w:r>
              <w:rPr>
                <w:rFonts w:hint="eastAsia" w:ascii="宋体" w:hAnsi="宋体"/>
                <w:b/>
                <w:color w:val="000000"/>
                <w:lang w:val="en-US" w:eastAsia="zh-CN"/>
              </w:rPr>
              <w:t xml:space="preserve">水电费</w:t>
            </w:r>
            <w:r>
              <w:rPr>
                <w:rFonts w:hint="eastAsia" w:ascii="宋体" w:hAnsi="宋体"/>
                <w:b/>
                <w:color w:val="000000"/>
                <w:lang w:eastAsia="zh-CN"/>
              </w:rPr>
              <w:t xml:space="preserve">）</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hint="eastAsia" w:ascii="宋体" w:hAnsi="宋体" w:eastAsia="宋体"/>
                <w:b/>
                <w:color w:val="000000"/>
                <w:lang w:val="en-US" w:eastAsia="zh-CN"/>
              </w:rPr>
            </w:pPr>
            <w:r>
              <w:rPr>
                <w:rFonts w:hint="eastAsia" w:ascii="宋体" w:hAnsi="宋体"/>
                <w:b/>
                <w:color w:val="000000"/>
              </w:rPr>
              <w:t xml:space="preserve">1</w:t>
            </w:r>
            <w:r>
              <w:rPr>
                <w:rFonts w:hint="eastAsia" w:ascii="宋体" w:hAnsi="宋体"/>
                <w:b/>
                <w:color w:val="000000"/>
                <w:lang w:val="en-US" w:eastAsia="zh-CN"/>
              </w:rPr>
              <w:t xml:space="preserve">1</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ascii="宋体" w:hAnsi="宋体"/>
                <w:b/>
                <w:color w:val="000000"/>
              </w:rPr>
            </w:pPr>
            <w:r>
              <w:rPr>
                <w:rFonts w:ascii="宋体" w:hAnsi="宋体"/>
                <w:b/>
                <w:color w:val="000000"/>
              </w:rPr>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bl>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p>
    <w:p>
      <w:pPr>
        <w:ind w:firstLine="420"/>
        <w:rPr>
          <w:rFonts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人员费用标准</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项目经理</w:t>
            </w:r>
            <w:r/>
          </w:p>
          <w:p>
            <w:pPr>
              <w:jc w:val="center"/>
              <w:rPr>
                <w:rFonts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ascii="宋体" w:hAnsi="宋体"/>
                <w:b/>
                <w:sz w:val="18"/>
                <w:szCs w:val="18"/>
              </w:rPr>
            </w:pPr>
            <w:r>
              <w:rPr>
                <w:rFonts w:ascii="宋体" w:hAnsi="宋体"/>
                <w:b/>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2"/>
            <w:tcW w:w="266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w:t>
      </w:r>
      <w:r>
        <w:rPr>
          <w:rFonts w:hint="eastAsia" w:ascii="宋体" w:hAnsi="宋体"/>
          <w:bCs/>
        </w:rPr>
        <w:t xml:space="preserve">省、市相关政策规定</w:t>
      </w:r>
      <w:r>
        <w:rPr>
          <w:rFonts w:hint="eastAsia" w:ascii="宋体" w:hAnsi="宋体"/>
          <w:bCs/>
          <w:color w:val="auto"/>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品牌</w:t>
            </w:r>
            <w:r/>
          </w:p>
          <w:p>
            <w:pPr>
              <w:rPr>
                <w:rFonts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21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070"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3"/>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ascii="宋体" w:hAnsi="宋体" w:cs="宋体"/>
                <w:bCs/>
                <w:color w:val="000000"/>
                <w:sz w:val="18"/>
                <w:szCs w:val="18"/>
              </w:rPr>
            </w:pPr>
            <w:r>
              <w:rPr>
                <w:rFonts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JSZC-320214-JZCG-G2026-0027</w:t>
      </w:r>
      <w:r/>
    </w:p>
    <w:tbl>
      <w:tblPr>
        <w:tblStyle w:val="68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color w:val="000000"/>
          <w:sz w:val="30"/>
        </w:rPr>
      </w:pPr>
      <w:r>
        <w:rPr>
          <w:rFonts w:ascii="宋体"/>
          <w:bCs/>
          <w:color w:val="000000"/>
          <w:sz w:val="30"/>
        </w:rPr>
      </w:r>
      <w:bookmarkEnd w:id="189"/>
      <w:bookmarkEnd w:id="190"/>
      <w:bookmarkEnd w:id="202"/>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p>
    <w:p>
      <w:pPr>
        <w:ind w:firstLine="420"/>
        <w:rPr>
          <w:rFonts w:ascii="宋体" w:hAns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p>
    <w:p>
      <w:pPr>
        <w:ind w:firstLine="420"/>
        <w:rPr>
          <w:rFonts w:ascii="宋体" w:hAnsi="宋体"/>
          <w:bCs/>
          <w:sz w:val="24"/>
          <w:szCs w:val="24"/>
        </w:rPr>
        <w:outlineLvl w:val="0"/>
      </w:pPr>
      <w:r>
        <w:rPr>
          <w:rFonts w:ascii="宋体" w:hAnsi="宋体"/>
          <w:bCs/>
          <w:sz w:val="24"/>
          <w:szCs w:val="24"/>
        </w:rPr>
      </w:r>
      <w:r/>
    </w:p>
    <w:p>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十一、项目人员配置考察表（格式）</w:t>
      </w:r>
      <w:r/>
    </w:p>
    <w:p>
      <w:pPr>
        <w:ind w:firstLine="420"/>
        <w:rPr>
          <w:rFonts w:ascii="黑体" w:hAnsi="宋体" w:eastAsia="黑体"/>
          <w:bCs/>
          <w:sz w:val="24"/>
          <w:szCs w:val="24"/>
        </w:rPr>
        <w:outlineLvl w:val="0"/>
      </w:pPr>
      <w:r>
        <w:rPr>
          <w:rFonts w:ascii="黑体" w:hAnsi="宋体" w:eastAsia="黑体"/>
          <w:bCs/>
          <w:sz w:val="24"/>
          <w:szCs w:val="24"/>
        </w:rPr>
      </w:r>
      <w:r/>
    </w:p>
    <w:p>
      <w:pPr>
        <w:ind w:firstLine="490"/>
        <w:jc w:val="center"/>
        <w:rPr>
          <w:rFonts w:ascii="黑体" w:hAnsi="宋体" w:eastAsia="黑体"/>
          <w:bCs/>
          <w:sz w:val="24"/>
          <w:szCs w:val="24"/>
        </w:rPr>
        <w:outlineLvl w:val="0"/>
      </w:pPr>
      <w:r>
        <w:rPr>
          <w:rFonts w:hint="eastAsia" w:ascii="黑体" w:eastAsia="黑体"/>
          <w:bCs/>
          <w:sz w:val="28"/>
          <w:szCs w:val="28"/>
        </w:rPr>
        <w:t xml:space="preserve">项目人员配置考察表</w:t>
      </w:r>
      <w:r/>
    </w:p>
    <w:p>
      <w:pPr>
        <w:jc w:val="center"/>
        <w:spacing w:line="400" w:lineRule="exact"/>
        <w:rPr>
          <w:rFonts w:ascii="黑体" w:eastAsia="黑体"/>
          <w:bCs/>
          <w:sz w:val="28"/>
          <w:szCs w:val="28"/>
        </w:rPr>
      </w:pPr>
      <w:r>
        <w:rPr>
          <w:rFonts w:ascii="黑体" w:eastAsia="黑体"/>
          <w:bCs/>
          <w:sz w:val="28"/>
          <w:szCs w:val="28"/>
        </w:rPr>
      </w:r>
      <w:r/>
    </w:p>
    <w:p>
      <w:pPr>
        <w:ind w:firstLine="480"/>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JSZC-320214-JZCG-G2026-0027</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b/>
                <w:sz w:val="24"/>
              </w:rPr>
            </w:pPr>
            <w:r>
              <w:rPr>
                <w:rFonts w:hint="eastAsia"/>
                <w:b/>
                <w:sz w:val="24"/>
              </w:rPr>
              <w:t xml:space="preserve">人员经验描述</w:t>
            </w:r>
            <w:r/>
          </w:p>
          <w:p>
            <w:pPr>
              <w:jc w:val="center"/>
              <w:rPr>
                <w:b/>
                <w:sz w:val="24"/>
              </w:rPr>
            </w:pPr>
            <w:r>
              <w:rPr>
                <w:rFonts w:hint="eastAsia"/>
                <w:b/>
                <w:sz w:val="24"/>
              </w:rPr>
              <w:t xml:space="preserve">（如有要求）</w:t>
            </w:r>
            <w:r/>
          </w:p>
        </w:tc>
        <w:tc>
          <w:tcPr>
            <w:tcW w:w="992" w:type="dxa"/>
            <w:vAlign w:val="center"/>
            <w:textDirection w:val="lrTb"/>
            <w:noWrap w:val="false"/>
          </w:tcPr>
          <w:p>
            <w:pPr>
              <w:jc w:val="center"/>
              <w:rPr>
                <w:b/>
                <w:sz w:val="24"/>
              </w:rPr>
            </w:pPr>
            <w:r>
              <w:rPr>
                <w:rFonts w:hint="eastAsia"/>
                <w:b/>
                <w:sz w:val="24"/>
              </w:rPr>
              <w:t xml:space="preserve">备注</w:t>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ascii="黑体" w:eastAsia="黑体"/>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本表对应评分标准中的项目人员配置情况，表格不够可自行延长。</w:t>
      </w:r>
      <w:r/>
    </w:p>
    <w:p>
      <w:r>
        <w:rPr>
          <w:rFonts w:hint="eastAsia" w:ascii="宋体" w:hAnsi="宋体"/>
          <w:bCs/>
        </w:rPr>
        <w:t xml:space="preserve">2. 上表内容须提供投标人近一年中任意一个月份(不含投标当月)经社保部门确认的社保缴纳名单复印件。</w:t>
      </w:r>
      <w:r/>
    </w:p>
    <w:p>
      <w:pPr>
        <w:rPr>
          <w:rFonts w:ascii="宋体" w:hAnsi="宋体"/>
          <w:bCs/>
        </w:rPr>
      </w:pPr>
      <w:r>
        <w:rPr>
          <w:rFonts w:hint="eastAsia" w:ascii="宋体" w:hAnsi="宋体"/>
          <w:bCs/>
        </w:rPr>
        <w:t xml:space="preserve">3.上表内容须按评分标准中的相关要求提供相应证明材料。</w:t>
      </w:r>
      <w:r/>
    </w:p>
    <w:p>
      <w:pPr>
        <w:rPr>
          <w:rFonts w:ascii="宋体" w:hAnsi="宋体"/>
          <w:bCs/>
        </w:rPr>
      </w:pPr>
      <w:r>
        <w:rPr>
          <w:rFonts w:hint="eastAsia" w:ascii="宋体" w:hAnsi="宋体"/>
          <w:bCs/>
        </w:rPr>
        <w:t xml:space="preserve">4.证明材料均请附在本表之后。</w:t>
      </w:r>
      <w:r/>
    </w:p>
    <w:p>
      <w:pPr>
        <w:rPr>
          <w:rFonts w:ascii="宋体" w:hAnsi="宋体"/>
          <w:bCs/>
          <w:color w:val="000000"/>
          <w:sz w:val="24"/>
          <w:szCs w:val="24"/>
        </w:rPr>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0"/>
        <w:rFonts w:ascii="宋体" w:hAnsi="宋体"/>
      </w:rPr>
      <w:framePr w:wrap="around" w:vAnchor="text" w:hAnchor="margin" w:xAlign="center" w:y="1"/>
    </w:pPr>
    <w:r>
      <w:rPr>
        <w:rFonts w:ascii="宋体" w:hAnsi="宋体"/>
      </w:rPr>
      <w:fldChar w:fldCharType="begin"/>
    </w:r>
    <w:r>
      <w:rPr>
        <w:rStyle w:val="720"/>
        <w:rFonts w:ascii="宋体" w:hAnsi="宋体"/>
      </w:rPr>
      <w:instrText xml:space="preserve">PAGE  </w:instrText>
    </w:r>
    <w:r>
      <w:rPr>
        <w:rFonts w:ascii="宋体" w:hAnsi="宋体"/>
      </w:rPr>
      <w:fldChar w:fldCharType="separate"/>
    </w:r>
    <w:r>
      <w:rPr>
        <w:rStyle w:val="720"/>
        <w:rFonts w:ascii="宋体" w:hAnsi="宋体"/>
      </w:rPr>
      <w:t xml:space="preserve">５３</w:t>
    </w:r>
    <w:r>
      <w:rPr>
        <w:rFonts w:ascii="宋体" w:hAnsi="宋体"/>
      </w:rPr>
      <w:fldChar w:fldCharType="end"/>
    </w:r>
    <w:r/>
  </w:p>
  <w:p>
    <w:pPr>
      <w:pStyle w:val="702"/>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0"/>
      </w:rPr>
      <w:framePr w:wrap="around" w:vAnchor="text" w:hAnchor="margin" w:xAlign="center" w:y="1"/>
    </w:pPr>
    <w:r>
      <w:fldChar w:fldCharType="begin"/>
    </w:r>
    <w:r>
      <w:rPr>
        <w:rStyle w:val="720"/>
      </w:rPr>
      <w:instrText xml:space="preserve">PAGE  </w:instrText>
    </w:r>
    <w:r>
      <w:fldChar w:fldCharType="separate"/>
    </w:r>
    <w:r>
      <w:rPr>
        <w:rStyle w:val="720"/>
      </w:rPr>
      <w:t xml:space="preserve">1</w: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pStyle w:val="7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8"/>
      <w:isLgl w:val="false"/>
      <w:suff w:val="nothing"/>
      <w:lvlText w:val=""/>
      <w:lvlJc w:val="left"/>
      <w:pPr>
        <w:ind w:left="0" w:firstLine="0"/>
      </w:pPr>
      <w:rPr>
        <w:rFonts w:hint="eastAsia"/>
      </w:rPr>
    </w:lvl>
    <w:lvl w:ilvl="6">
      <w:start w:val="1"/>
      <w:numFmt w:val="none"/>
      <w:pStyle w:val="679"/>
      <w:isLgl w:val="false"/>
      <w:suff w:val="nothing"/>
      <w:lvlText w:val=""/>
      <w:lvlJc w:val="left"/>
      <w:pPr>
        <w:ind w:left="0" w:firstLine="0"/>
      </w:pPr>
      <w:rPr>
        <w:rFonts w:hint="eastAsia"/>
      </w:rPr>
    </w:lvl>
    <w:lvl w:ilvl="7">
      <w:start w:val="1"/>
      <w:numFmt w:val="none"/>
      <w:pStyle w:val="680"/>
      <w:isLgl w:val="false"/>
      <w:suff w:val="nothing"/>
      <w:lvlText w:val=""/>
      <w:lvlJc w:val="left"/>
      <w:pPr>
        <w:ind w:left="0" w:firstLine="0"/>
      </w:pPr>
      <w:rPr>
        <w:rFonts w:hint="eastAsia"/>
      </w:rPr>
    </w:lvl>
    <w:lvl w:ilvl="8">
      <w:start w:val="1"/>
      <w:numFmt w:val="none"/>
      <w:pStyle w:val="681"/>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7"/>
  </w:num>
  <w:num w:numId="4">
    <w:abstractNumId w:val="13"/>
  </w:num>
  <w:num w:numId="5">
    <w:abstractNumId w:val="3"/>
  </w:num>
  <w:num w:numId="6">
    <w:abstractNumId w:val="8"/>
  </w:num>
  <w:num w:numId="7">
    <w:abstractNumId w:val="2"/>
  </w:num>
  <w:num w:numId="8">
    <w:abstractNumId w:val="9"/>
  </w:num>
  <w:num w:numId="9">
    <w:abstractNumId w:val="1"/>
  </w:num>
  <w:num w:numId="10">
    <w:abstractNumId w:val="6"/>
  </w:num>
  <w:num w:numId="11">
    <w:abstractNumId w:val="4"/>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703"/>
    <w:uiPriority w:val="99"/>
  </w:style>
  <w:style w:type="character" w:styleId="44">
    <w:name w:val="Footer Char"/>
    <w:basedOn w:val="682"/>
    <w:link w:val="702"/>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9">
    <w:name w:val="TOC Heading"/>
    <w:uiPriority w:val="39"/>
    <w:unhideWhenUsed/>
  </w:style>
  <w:style w:type="paragraph" w:styleId="672" w:default="1">
    <w:name w:val="Normal"/>
    <w:next w:val="684"/>
    <w:uiPriority w:val="0"/>
    <w:qFormat/>
    <w:pPr>
      <w:jc w:val="both"/>
      <w:widowControl w:val="off"/>
    </w:pPr>
    <w:rPr>
      <w:rFonts w:ascii="Times New Roman" w:hAnsi="Times New Roman" w:eastAsia="宋体" w:cs="Times New Roman"/>
      <w:sz w:val="21"/>
      <w:szCs w:val="21"/>
      <w:lang w:val="en-US" w:eastAsia="zh-CN" w:bidi="ar-SA"/>
    </w:rPr>
  </w:style>
  <w:style w:type="paragraph" w:styleId="673">
    <w:name w:val="Heading 1"/>
    <w:basedOn w:val="672"/>
    <w:next w:val="672"/>
    <w:link w:val="726"/>
    <w:uiPriority w:val="0"/>
    <w:qFormat/>
    <w:pPr>
      <w:jc w:val="center"/>
      <w:keepNext/>
      <w:outlineLvl w:val="0"/>
    </w:pPr>
    <w:rPr>
      <w:rFonts w:ascii="楷体_GB2312" w:eastAsia="楷体_GB2312"/>
      <w:sz w:val="28"/>
      <w:szCs w:val="28"/>
    </w:rPr>
  </w:style>
  <w:style w:type="paragraph" w:styleId="674">
    <w:name w:val="Heading 2"/>
    <w:basedOn w:val="672"/>
    <w:next w:val="685"/>
    <w:link w:val="727"/>
    <w:uiPriority w:val="0"/>
    <w:qFormat/>
    <w:pPr>
      <w:jc w:val="center"/>
      <w:keepLines/>
      <w:keepNext/>
      <w:spacing w:before="260" w:after="260" w:line="416" w:lineRule="auto"/>
      <w:outlineLvl w:val="1"/>
    </w:pPr>
    <w:rPr>
      <w:rFonts w:ascii="Arial" w:hAnsi="Arial" w:eastAsia="幼圆"/>
      <w:b/>
      <w:bCs/>
      <w:sz w:val="44"/>
      <w:szCs w:val="44"/>
    </w:rPr>
  </w:style>
  <w:style w:type="paragraph" w:styleId="675">
    <w:name w:val="Heading 3"/>
    <w:basedOn w:val="672"/>
    <w:next w:val="685"/>
    <w:link w:val="729"/>
    <w:uiPriority w:val="0"/>
    <w:qFormat/>
    <w:pPr>
      <w:keepLines/>
      <w:keepNext/>
      <w:spacing w:before="260" w:after="260" w:line="416" w:lineRule="auto"/>
      <w:outlineLvl w:val="2"/>
    </w:pPr>
    <w:rPr>
      <w:b/>
      <w:bCs/>
      <w:sz w:val="32"/>
      <w:szCs w:val="32"/>
    </w:rPr>
  </w:style>
  <w:style w:type="paragraph" w:styleId="676">
    <w:name w:val="Heading 4"/>
    <w:basedOn w:val="672"/>
    <w:next w:val="685"/>
    <w:link w:val="730"/>
    <w:uiPriority w:val="0"/>
    <w:qFormat/>
    <w:pPr>
      <w:keepLines/>
      <w:keepNext/>
      <w:spacing w:before="280" w:after="290" w:line="376" w:lineRule="auto"/>
      <w:outlineLvl w:val="3"/>
    </w:pPr>
    <w:rPr>
      <w:rFonts w:ascii="Arial" w:hAnsi="Arial" w:eastAsia="黑体"/>
      <w:b/>
      <w:bCs/>
      <w:sz w:val="28"/>
      <w:szCs w:val="28"/>
    </w:rPr>
  </w:style>
  <w:style w:type="paragraph" w:styleId="677">
    <w:name w:val="Heading 5"/>
    <w:basedOn w:val="672"/>
    <w:next w:val="685"/>
    <w:link w:val="731"/>
    <w:uiPriority w:val="0"/>
    <w:qFormat/>
    <w:pPr>
      <w:keepNext/>
      <w:outlineLvl w:val="4"/>
    </w:pPr>
    <w:rPr>
      <w:rFonts w:ascii="宋体"/>
      <w:color w:val="000000"/>
      <w:sz w:val="28"/>
      <w:szCs w:val="28"/>
    </w:rPr>
  </w:style>
  <w:style w:type="paragraph" w:styleId="678">
    <w:name w:val="Heading 6"/>
    <w:basedOn w:val="672"/>
    <w:next w:val="672"/>
    <w:link w:val="7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Heading 7"/>
    <w:basedOn w:val="672"/>
    <w:next w:val="672"/>
    <w:link w:val="733"/>
    <w:uiPriority w:val="0"/>
    <w:qFormat/>
    <w:pPr>
      <w:numPr>
        <w:ilvl w:val="6"/>
        <w:numId w:val="1"/>
      </w:numPr>
      <w:keepLines/>
      <w:keepNext/>
      <w:spacing w:before="240" w:after="64" w:line="320" w:lineRule="auto"/>
      <w:outlineLvl w:val="6"/>
    </w:pPr>
    <w:rPr>
      <w:b/>
      <w:bCs/>
      <w:sz w:val="24"/>
      <w:szCs w:val="24"/>
    </w:rPr>
  </w:style>
  <w:style w:type="paragraph" w:styleId="680">
    <w:name w:val="Heading 8"/>
    <w:basedOn w:val="672"/>
    <w:next w:val="672"/>
    <w:link w:val="73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Heading 9"/>
    <w:basedOn w:val="672"/>
    <w:next w:val="672"/>
    <w:link w:val="735"/>
    <w:uiPriority w:val="0"/>
    <w:qFormat/>
    <w:pPr>
      <w:numPr>
        <w:ilvl w:val="8"/>
        <w:numId w:val="1"/>
      </w:numPr>
      <w:keepLines/>
      <w:keepNext/>
      <w:spacing w:before="240" w:after="64" w:line="320" w:lineRule="auto"/>
      <w:outlineLvl w:val="8"/>
    </w:pPr>
    <w:rPr>
      <w:rFonts w:ascii="Arial" w:hAnsi="Arial" w:eastAsia="黑体"/>
      <w:sz w:val="20"/>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customStyle="1">
    <w:name w:val="正文文本1"/>
    <w:basedOn w:val="672"/>
    <w:uiPriority w:val="0"/>
    <w:qFormat/>
    <w:pPr>
      <w:ind w:firstLine="400"/>
      <w:spacing w:line="377" w:lineRule="auto"/>
    </w:pPr>
    <w:rPr>
      <w:rFonts w:ascii="宋体" w:hAnsi="宋体" w:cs="宋体"/>
      <w:lang w:val="zh-CN" w:bidi="zh-CN"/>
    </w:rPr>
  </w:style>
  <w:style w:type="paragraph" w:styleId="685">
    <w:name w:val="Normal Indent"/>
    <w:basedOn w:val="672"/>
    <w:link w:val="728"/>
    <w:uiPriority w:val="0"/>
    <w:qFormat/>
    <w:pPr>
      <w:ind w:firstLine="420"/>
    </w:pPr>
    <w:rPr>
      <w:sz w:val="20"/>
    </w:rPr>
  </w:style>
  <w:style w:type="paragraph" w:styleId="686">
    <w:name w:val="List 3"/>
    <w:basedOn w:val="672"/>
    <w:uiPriority w:val="0"/>
    <w:qFormat/>
    <w:pPr>
      <w:ind w:left="100" w:hanging="200"/>
    </w:pPr>
  </w:style>
  <w:style w:type="paragraph" w:styleId="687">
    <w:name w:val="toc 7"/>
    <w:basedOn w:val="672"/>
    <w:next w:val="672"/>
    <w:uiPriority w:val="0"/>
    <w:semiHidden/>
    <w:qFormat/>
    <w:pPr>
      <w:ind w:left="1260"/>
      <w:jc w:val="left"/>
    </w:pPr>
  </w:style>
  <w:style w:type="paragraph" w:styleId="688">
    <w:name w:val="Document Map"/>
    <w:basedOn w:val="672"/>
    <w:link w:val="736"/>
    <w:uiPriority w:val="0"/>
    <w:semiHidden/>
    <w:qFormat/>
    <w:pPr>
      <w:shd w:val="clear" w:color="auto" w:fill="000080"/>
    </w:pPr>
    <w:rPr>
      <w:sz w:val="20"/>
    </w:rPr>
  </w:style>
  <w:style w:type="paragraph" w:styleId="689">
    <w:name w:val="annotation text"/>
    <w:basedOn w:val="672"/>
    <w:link w:val="737"/>
    <w:uiPriority w:val="99"/>
    <w:semiHidden/>
    <w:qFormat/>
    <w:pPr>
      <w:jc w:val="left"/>
    </w:pPr>
    <w:rPr>
      <w:sz w:val="20"/>
    </w:rPr>
  </w:style>
  <w:style w:type="paragraph" w:styleId="690">
    <w:name w:val="Body Text 3"/>
    <w:basedOn w:val="672"/>
    <w:link w:val="738"/>
    <w:uiPriority w:val="0"/>
    <w:qFormat/>
    <w:rPr>
      <w:rFonts w:ascii="仿宋_GB2312" w:hAnsi="Arial" w:eastAsia="仿宋_GB2312"/>
      <w:sz w:val="32"/>
      <w:szCs w:val="32"/>
    </w:rPr>
  </w:style>
  <w:style w:type="paragraph" w:styleId="691">
    <w:name w:val="Body Text"/>
    <w:basedOn w:val="672"/>
    <w:link w:val="739"/>
    <w:uiPriority w:val="0"/>
    <w:qFormat/>
    <w:rPr>
      <w:rFonts w:ascii="楷体_GB2312" w:hAnsi="Arial" w:eastAsia="楷体_GB2312"/>
      <w:sz w:val="28"/>
      <w:szCs w:val="28"/>
    </w:rPr>
  </w:style>
  <w:style w:type="paragraph" w:styleId="692">
    <w:name w:val="Body Text Indent"/>
    <w:basedOn w:val="672"/>
    <w:next w:val="693"/>
    <w:link w:val="740"/>
    <w:uiPriority w:val="0"/>
    <w:qFormat/>
    <w:pPr>
      <w:ind w:firstLine="645"/>
    </w:pPr>
    <w:rPr>
      <w:rFonts w:ascii="楷体_GB2312" w:eastAsia="楷体_GB2312"/>
      <w:sz w:val="32"/>
      <w:szCs w:val="32"/>
    </w:rPr>
  </w:style>
  <w:style w:type="paragraph" w:styleId="693">
    <w:name w:val="envelope return"/>
    <w:basedOn w:val="672"/>
    <w:uiPriority w:val="99"/>
    <w:unhideWhenUsed/>
    <w:qFormat/>
    <w:rPr>
      <w:rFonts w:hint="eastAsia" w:ascii="Arial" w:hAnsi="Arial"/>
      <w:sz w:val="24"/>
    </w:rPr>
  </w:style>
  <w:style w:type="paragraph" w:styleId="694">
    <w:name w:val="List 2"/>
    <w:basedOn w:val="672"/>
    <w:uiPriority w:val="0"/>
    <w:qFormat/>
    <w:pPr>
      <w:ind w:left="100" w:hanging="200"/>
    </w:pPr>
  </w:style>
  <w:style w:type="paragraph" w:styleId="695">
    <w:name w:val="toc 5"/>
    <w:basedOn w:val="672"/>
    <w:next w:val="672"/>
    <w:uiPriority w:val="0"/>
    <w:semiHidden/>
    <w:qFormat/>
    <w:pPr>
      <w:ind w:left="840"/>
      <w:jc w:val="left"/>
    </w:pPr>
  </w:style>
  <w:style w:type="paragraph" w:styleId="696">
    <w:name w:val="toc 3"/>
    <w:basedOn w:val="672"/>
    <w:next w:val="672"/>
    <w:uiPriority w:val="0"/>
    <w:semiHidden/>
    <w:qFormat/>
    <w:pPr>
      <w:ind w:left="420"/>
      <w:jc w:val="left"/>
    </w:pPr>
    <w:rPr>
      <w:i/>
      <w:iCs/>
      <w:szCs w:val="24"/>
    </w:rPr>
  </w:style>
  <w:style w:type="paragraph" w:styleId="697">
    <w:name w:val="Plain Text"/>
    <w:basedOn w:val="672"/>
    <w:link w:val="741"/>
    <w:uiPriority w:val="0"/>
    <w:qFormat/>
    <w:rPr>
      <w:rFonts w:ascii="宋体" w:hAnsi="Courier New"/>
      <w:sz w:val="20"/>
    </w:rPr>
  </w:style>
  <w:style w:type="paragraph" w:styleId="698">
    <w:name w:val="toc 8"/>
    <w:basedOn w:val="672"/>
    <w:next w:val="672"/>
    <w:uiPriority w:val="0"/>
    <w:semiHidden/>
    <w:qFormat/>
    <w:pPr>
      <w:ind w:left="1470"/>
      <w:jc w:val="left"/>
    </w:pPr>
  </w:style>
  <w:style w:type="paragraph" w:styleId="699">
    <w:name w:val="Date"/>
    <w:basedOn w:val="672"/>
    <w:next w:val="672"/>
    <w:link w:val="742"/>
    <w:uiPriority w:val="0"/>
    <w:qFormat/>
    <w:rPr>
      <w:sz w:val="24"/>
      <w:szCs w:val="24"/>
    </w:rPr>
  </w:style>
  <w:style w:type="paragraph" w:styleId="700">
    <w:name w:val="Body Text Indent 2"/>
    <w:basedOn w:val="672"/>
    <w:link w:val="743"/>
    <w:uiPriority w:val="0"/>
    <w:qFormat/>
    <w:pPr>
      <w:ind w:left="630" w:firstLine="645"/>
    </w:pPr>
    <w:rPr>
      <w:rFonts w:ascii="Arial" w:hAnsi="Arial" w:eastAsia="仿宋_GB2312"/>
      <w:sz w:val="32"/>
      <w:szCs w:val="32"/>
    </w:rPr>
  </w:style>
  <w:style w:type="paragraph" w:styleId="701">
    <w:name w:val="Balloon Text"/>
    <w:basedOn w:val="672"/>
    <w:link w:val="744"/>
    <w:uiPriority w:val="0"/>
    <w:semiHidden/>
    <w:qFormat/>
    <w:rPr>
      <w:sz w:val="18"/>
      <w:szCs w:val="18"/>
    </w:rPr>
  </w:style>
  <w:style w:type="paragraph" w:styleId="702">
    <w:name w:val="Footer"/>
    <w:basedOn w:val="672"/>
    <w:link w:val="745"/>
    <w:uiPriority w:val="0"/>
    <w:qFormat/>
    <w:pPr>
      <w:jc w:val="left"/>
      <w:tabs>
        <w:tab w:val="center" w:pos="4153" w:leader="none"/>
        <w:tab w:val="right" w:pos="8306" w:leader="none"/>
      </w:tabs>
    </w:pPr>
    <w:rPr>
      <w:sz w:val="18"/>
      <w:szCs w:val="18"/>
    </w:rPr>
  </w:style>
  <w:style w:type="paragraph" w:styleId="703">
    <w:name w:val="Header"/>
    <w:basedOn w:val="672"/>
    <w:link w:val="746"/>
    <w:uiPriority w:val="99"/>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705">
    <w:name w:val="toc 4"/>
    <w:basedOn w:val="672"/>
    <w:next w:val="672"/>
    <w:uiPriority w:val="0"/>
    <w:semiHidden/>
    <w:qFormat/>
    <w:pPr>
      <w:ind w:left="630"/>
      <w:jc w:val="left"/>
    </w:pPr>
  </w:style>
  <w:style w:type="paragraph" w:styleId="706">
    <w:name w:val="List"/>
    <w:basedOn w:val="672"/>
    <w:uiPriority w:val="0"/>
    <w:qFormat/>
    <w:pPr>
      <w:ind w:left="200" w:hanging="200"/>
    </w:pPr>
  </w:style>
  <w:style w:type="paragraph" w:styleId="707">
    <w:name w:val="toc 6"/>
    <w:basedOn w:val="672"/>
    <w:next w:val="672"/>
    <w:uiPriority w:val="0"/>
    <w:semiHidden/>
    <w:qFormat/>
    <w:pPr>
      <w:ind w:left="1050"/>
      <w:jc w:val="left"/>
    </w:pPr>
  </w:style>
  <w:style w:type="paragraph" w:styleId="708">
    <w:name w:val="Body Text Indent 3"/>
    <w:basedOn w:val="672"/>
    <w:link w:val="747"/>
    <w:uiPriority w:val="0"/>
    <w:qFormat/>
    <w:pPr>
      <w:ind w:left="645" w:firstLine="645"/>
    </w:pPr>
    <w:rPr>
      <w:rFonts w:ascii="Arial" w:hAnsi="Arial" w:eastAsia="仿宋_GB2312"/>
      <w:color w:val="ffff00"/>
      <w:sz w:val="32"/>
      <w:szCs w:val="32"/>
    </w:rPr>
  </w:style>
  <w:style w:type="paragraph" w:styleId="709">
    <w:name w:val="table of figures"/>
    <w:basedOn w:val="672"/>
    <w:next w:val="672"/>
    <w:uiPriority w:val="0"/>
    <w:semiHidden/>
    <w:qFormat/>
    <w:pPr>
      <w:ind w:left="840" w:hanging="420"/>
    </w:pPr>
  </w:style>
  <w:style w:type="paragraph" w:styleId="710">
    <w:name w:val="toc 2"/>
    <w:basedOn w:val="672"/>
    <w:next w:val="672"/>
    <w:uiPriority w:val="0"/>
    <w:semiHidden/>
    <w:qFormat/>
    <w:pPr>
      <w:ind w:left="210"/>
      <w:jc w:val="left"/>
    </w:pPr>
    <w:rPr>
      <w:smallCaps/>
      <w:szCs w:val="24"/>
    </w:rPr>
  </w:style>
  <w:style w:type="paragraph" w:styleId="711">
    <w:name w:val="toc 9"/>
    <w:basedOn w:val="672"/>
    <w:next w:val="672"/>
    <w:uiPriority w:val="0"/>
    <w:semiHidden/>
    <w:qFormat/>
    <w:pPr>
      <w:ind w:left="1680"/>
      <w:jc w:val="left"/>
    </w:pPr>
  </w:style>
  <w:style w:type="paragraph" w:styleId="712">
    <w:name w:val="Body Text 2"/>
    <w:basedOn w:val="672"/>
    <w:link w:val="748"/>
    <w:uiPriority w:val="0"/>
    <w:qFormat/>
    <w:pPr>
      <w:jc w:val="center"/>
      <w:widowControl/>
    </w:pPr>
    <w:rPr>
      <w:rFonts w:ascii="楷体_GB2312" w:eastAsia="楷体_GB2312"/>
      <w:sz w:val="28"/>
      <w:szCs w:val="28"/>
    </w:rPr>
  </w:style>
  <w:style w:type="paragraph" w:styleId="713">
    <w:name w:val="Normal (Web)"/>
    <w:basedOn w:val="672"/>
    <w:uiPriority w:val="99"/>
    <w:qFormat/>
    <w:pPr>
      <w:jc w:val="left"/>
      <w:spacing w:before="100" w:beforeAutospacing="1" w:after="100" w:afterAutospacing="1"/>
      <w:widowControl/>
    </w:pPr>
    <w:rPr>
      <w:rFonts w:ascii="宋体" w:hAnsi="宋体" w:cs="宋体"/>
      <w:sz w:val="24"/>
      <w:szCs w:val="24"/>
    </w:rPr>
  </w:style>
  <w:style w:type="paragraph" w:styleId="714">
    <w:name w:val="index 1"/>
    <w:basedOn w:val="672"/>
    <w:next w:val="672"/>
    <w:uiPriority w:val="0"/>
    <w:semiHidden/>
    <w:qFormat/>
    <w:pPr>
      <w:spacing w:line="240" w:lineRule="atLeast"/>
    </w:pPr>
    <w:rPr>
      <w:b/>
      <w:bCs/>
    </w:rPr>
  </w:style>
  <w:style w:type="paragraph" w:styleId="715">
    <w:name w:val="annotation subject"/>
    <w:basedOn w:val="689"/>
    <w:next w:val="689"/>
    <w:link w:val="749"/>
    <w:uiPriority w:val="0"/>
    <w:semiHidden/>
    <w:qFormat/>
    <w:rPr>
      <w:b/>
      <w:bCs/>
    </w:rPr>
  </w:style>
  <w:style w:type="paragraph" w:styleId="716">
    <w:name w:val="Body Text First Indent"/>
    <w:basedOn w:val="672"/>
    <w:link w:val="750"/>
    <w:uiPriority w:val="0"/>
    <w:qFormat/>
    <w:pPr>
      <w:ind w:firstLine="200"/>
      <w:spacing w:line="360" w:lineRule="auto"/>
    </w:pPr>
    <w:rPr>
      <w:rFonts w:ascii="仿宋_GB2312" w:eastAsia="仿宋_GB2312"/>
      <w:sz w:val="30"/>
      <w:szCs w:val="30"/>
    </w:rPr>
  </w:style>
  <w:style w:type="paragraph" w:styleId="717">
    <w:name w:val="Body Text First Indent 2"/>
    <w:basedOn w:val="692"/>
    <w:link w:val="751"/>
    <w:uiPriority w:val="0"/>
    <w:qFormat/>
    <w:pPr>
      <w:ind w:firstLine="420"/>
      <w:spacing w:line="360" w:lineRule="auto"/>
    </w:pPr>
    <w:rPr>
      <w:rFonts w:ascii="宋体" w:hAnsi="宋体" w:eastAsia="宋体"/>
      <w:szCs w:val="20"/>
    </w:rPr>
  </w:style>
  <w:style w:type="table" w:styleId="718">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uiPriority w:val="0"/>
    <w:qFormat/>
    <w:rPr>
      <w:b/>
      <w:bCs/>
    </w:rPr>
  </w:style>
  <w:style w:type="character" w:styleId="720">
    <w:name w:val="page number"/>
    <w:uiPriority w:val="0"/>
    <w:qFormat/>
  </w:style>
  <w:style w:type="character" w:styleId="721">
    <w:name w:val="FollowedHyperlink"/>
    <w:uiPriority w:val="0"/>
    <w:qFormat/>
    <w:rPr>
      <w:color w:val="800080"/>
      <w:u w:val="single"/>
    </w:rPr>
  </w:style>
  <w:style w:type="character" w:styleId="722">
    <w:name w:val="HTML Typewriter"/>
    <w:uiPriority w:val="99"/>
    <w:qFormat/>
    <w:rPr>
      <w:rFonts w:ascii="宋体" w:hAnsi="宋体" w:eastAsia="宋体" w:cs="宋体"/>
      <w:sz w:val="24"/>
      <w:szCs w:val="24"/>
    </w:rPr>
  </w:style>
  <w:style w:type="character" w:styleId="723">
    <w:name w:val="Hyperlink"/>
    <w:uiPriority w:val="0"/>
    <w:qFormat/>
    <w:rPr>
      <w:color w:val="0000ff"/>
      <w:u w:val="single"/>
    </w:rPr>
  </w:style>
  <w:style w:type="character" w:styleId="724">
    <w:name w:val="annotation reference"/>
    <w:uiPriority w:val="0"/>
    <w:semiHidden/>
    <w:qFormat/>
    <w:rPr>
      <w:sz w:val="21"/>
      <w:szCs w:val="21"/>
    </w:rPr>
  </w:style>
  <w:style w:type="paragraph" w:styleId="725" w:customStyle="1">
    <w:name w:val="正文文本11"/>
    <w:uiPriority w:val="0"/>
    <w:qFormat/>
    <w:pPr>
      <w:jc w:val="both"/>
      <w:widowControl w:val="off"/>
    </w:pPr>
    <w:rPr>
      <w:rFonts w:ascii="Times New Roman" w:hAnsi="Times New Roman" w:eastAsia="宋体" w:cs="Times New Roman"/>
      <w:sz w:val="18"/>
      <w:lang w:val="en-US" w:eastAsia="zh-CN" w:bidi="ar-SA"/>
    </w:rPr>
  </w:style>
  <w:style w:type="character" w:styleId="726" w:customStyle="1">
    <w:name w:val="标题 1 Char"/>
    <w:link w:val="673"/>
    <w:uiPriority w:val="0"/>
    <w:qFormat/>
    <w:rPr>
      <w:rFonts w:ascii="楷体_GB2312" w:hAnsi="Times New Roman" w:eastAsia="楷体_GB2312" w:cs="Times New Roman"/>
      <w:sz w:val="28"/>
      <w:szCs w:val="28"/>
    </w:rPr>
  </w:style>
  <w:style w:type="character" w:styleId="727" w:customStyle="1">
    <w:name w:val="标题 2 Char"/>
    <w:link w:val="674"/>
    <w:uiPriority w:val="0"/>
    <w:qFormat/>
    <w:rPr>
      <w:rFonts w:ascii="Arial" w:hAnsi="Arial" w:eastAsia="幼圆" w:cs="Arial"/>
      <w:b/>
      <w:bCs/>
      <w:sz w:val="44"/>
      <w:szCs w:val="44"/>
    </w:rPr>
  </w:style>
  <w:style w:type="character" w:styleId="728" w:customStyle="1">
    <w:name w:val="正文缩进 Char"/>
    <w:link w:val="685"/>
    <w:uiPriority w:val="0"/>
    <w:qFormat/>
    <w:rPr>
      <w:rFonts w:ascii="Times New Roman" w:hAnsi="Times New Roman" w:eastAsia="宋体" w:cs="Times New Roman"/>
      <w:szCs w:val="21"/>
    </w:rPr>
  </w:style>
  <w:style w:type="character" w:styleId="729" w:customStyle="1">
    <w:name w:val="标题 3 Char"/>
    <w:link w:val="675"/>
    <w:uiPriority w:val="0"/>
    <w:qFormat/>
    <w:rPr>
      <w:rFonts w:ascii="Times New Roman" w:hAnsi="Times New Roman" w:eastAsia="宋体" w:cs="Times New Roman"/>
      <w:b/>
      <w:bCs/>
      <w:sz w:val="32"/>
      <w:szCs w:val="32"/>
    </w:rPr>
  </w:style>
  <w:style w:type="character" w:styleId="730" w:customStyle="1">
    <w:name w:val="标题 4 Char"/>
    <w:link w:val="676"/>
    <w:uiPriority w:val="0"/>
    <w:qFormat/>
    <w:rPr>
      <w:rFonts w:ascii="Arial" w:hAnsi="Arial" w:eastAsia="黑体" w:cs="Arial"/>
      <w:b/>
      <w:bCs/>
      <w:sz w:val="28"/>
      <w:szCs w:val="28"/>
    </w:rPr>
  </w:style>
  <w:style w:type="character" w:styleId="731" w:customStyle="1">
    <w:name w:val="标题 5 Char"/>
    <w:link w:val="677"/>
    <w:uiPriority w:val="0"/>
    <w:qFormat/>
    <w:rPr>
      <w:rFonts w:ascii="宋体" w:hAnsi="Times New Roman" w:eastAsia="宋体" w:cs="Times New Roman"/>
      <w:color w:val="000000"/>
      <w:sz w:val="28"/>
      <w:szCs w:val="28"/>
    </w:rPr>
  </w:style>
  <w:style w:type="character" w:styleId="732" w:customStyle="1">
    <w:name w:val="标题 6 Char"/>
    <w:link w:val="678"/>
    <w:uiPriority w:val="0"/>
    <w:qFormat/>
    <w:rPr>
      <w:rFonts w:ascii="Arial" w:hAnsi="Arial" w:eastAsia="黑体" w:cs="Times New Roman"/>
      <w:b/>
      <w:bCs/>
      <w:sz w:val="24"/>
      <w:szCs w:val="24"/>
    </w:rPr>
  </w:style>
  <w:style w:type="character" w:styleId="733" w:customStyle="1">
    <w:name w:val="标题 7 Char"/>
    <w:link w:val="679"/>
    <w:uiPriority w:val="0"/>
    <w:qFormat/>
    <w:rPr>
      <w:rFonts w:ascii="Times New Roman" w:hAnsi="Times New Roman" w:eastAsia="宋体" w:cs="Times New Roman"/>
      <w:b/>
      <w:bCs/>
      <w:sz w:val="24"/>
      <w:szCs w:val="24"/>
    </w:rPr>
  </w:style>
  <w:style w:type="character" w:styleId="734" w:customStyle="1">
    <w:name w:val="标题 8 Char"/>
    <w:link w:val="680"/>
    <w:uiPriority w:val="0"/>
    <w:qFormat/>
    <w:rPr>
      <w:rFonts w:ascii="Arial" w:hAnsi="Arial" w:eastAsia="黑体" w:cs="Times New Roman"/>
      <w:sz w:val="24"/>
      <w:szCs w:val="24"/>
    </w:rPr>
  </w:style>
  <w:style w:type="character" w:styleId="735" w:customStyle="1">
    <w:name w:val="标题 9 Char"/>
    <w:link w:val="681"/>
    <w:uiPriority w:val="0"/>
    <w:qFormat/>
    <w:rPr>
      <w:rFonts w:ascii="Arial" w:hAnsi="Arial" w:eastAsia="黑体" w:cs="Times New Roman"/>
      <w:szCs w:val="21"/>
    </w:rPr>
  </w:style>
  <w:style w:type="character" w:styleId="736" w:customStyle="1">
    <w:name w:val="文档结构图 Char"/>
    <w:link w:val="688"/>
    <w:uiPriority w:val="0"/>
    <w:semiHidden/>
    <w:qFormat/>
    <w:rPr>
      <w:rFonts w:ascii="Times New Roman" w:hAnsi="Times New Roman" w:eastAsia="宋体" w:cs="Times New Roman"/>
      <w:szCs w:val="21"/>
      <w:shd w:val="clear" w:color="auto" w:fill="000080"/>
    </w:rPr>
  </w:style>
  <w:style w:type="character" w:styleId="737" w:customStyle="1">
    <w:name w:val="批注文字 Char"/>
    <w:link w:val="689"/>
    <w:uiPriority w:val="0"/>
    <w:semiHidden/>
    <w:qFormat/>
    <w:rPr>
      <w:rFonts w:ascii="Times New Roman" w:hAnsi="Times New Roman" w:eastAsia="宋体" w:cs="Times New Roman"/>
      <w:szCs w:val="21"/>
    </w:rPr>
  </w:style>
  <w:style w:type="character" w:styleId="738" w:customStyle="1">
    <w:name w:val="正文文本 3 Char"/>
    <w:link w:val="690"/>
    <w:uiPriority w:val="0"/>
    <w:qFormat/>
    <w:rPr>
      <w:rFonts w:ascii="仿宋_GB2312" w:hAnsi="Arial" w:eastAsia="仿宋_GB2312" w:cs="Times New Roman"/>
      <w:sz w:val="32"/>
      <w:szCs w:val="32"/>
    </w:rPr>
  </w:style>
  <w:style w:type="character" w:styleId="739" w:customStyle="1">
    <w:name w:val="正文文本 Char"/>
    <w:link w:val="691"/>
    <w:uiPriority w:val="0"/>
    <w:qFormat/>
    <w:rPr>
      <w:rFonts w:ascii="楷体_GB2312" w:hAnsi="Arial" w:eastAsia="楷体_GB2312" w:cs="Times New Roman"/>
      <w:sz w:val="28"/>
      <w:szCs w:val="28"/>
    </w:rPr>
  </w:style>
  <w:style w:type="character" w:styleId="740" w:customStyle="1">
    <w:name w:val="正文文本缩进 Char"/>
    <w:link w:val="692"/>
    <w:uiPriority w:val="0"/>
    <w:qFormat/>
    <w:rPr>
      <w:rFonts w:ascii="楷体_GB2312" w:hAnsi="Times New Roman" w:eastAsia="楷体_GB2312" w:cs="Times New Roman"/>
      <w:sz w:val="32"/>
      <w:szCs w:val="32"/>
    </w:rPr>
  </w:style>
  <w:style w:type="character" w:styleId="741" w:customStyle="1">
    <w:name w:val="纯文本 Char"/>
    <w:link w:val="697"/>
    <w:uiPriority w:val="0"/>
    <w:qFormat/>
    <w:rPr>
      <w:rFonts w:ascii="宋体" w:hAnsi="Courier New" w:eastAsia="宋体" w:cs="Courier New"/>
      <w:szCs w:val="21"/>
    </w:rPr>
  </w:style>
  <w:style w:type="character" w:styleId="742" w:customStyle="1">
    <w:name w:val="日期 Char"/>
    <w:link w:val="699"/>
    <w:uiPriority w:val="0"/>
    <w:qFormat/>
    <w:rPr>
      <w:rFonts w:ascii="Times New Roman" w:hAnsi="Times New Roman" w:eastAsia="宋体" w:cs="Times New Roman"/>
      <w:sz w:val="24"/>
      <w:szCs w:val="24"/>
    </w:rPr>
  </w:style>
  <w:style w:type="character" w:styleId="743" w:customStyle="1">
    <w:name w:val="正文文本缩进 2 Char"/>
    <w:link w:val="700"/>
    <w:uiPriority w:val="0"/>
    <w:qFormat/>
    <w:rPr>
      <w:rFonts w:ascii="Arial" w:hAnsi="Arial" w:eastAsia="仿宋_GB2312" w:cs="Arial"/>
      <w:sz w:val="32"/>
      <w:szCs w:val="32"/>
    </w:rPr>
  </w:style>
  <w:style w:type="character" w:styleId="744" w:customStyle="1">
    <w:name w:val="批注框文本 Char"/>
    <w:link w:val="701"/>
    <w:uiPriority w:val="0"/>
    <w:semiHidden/>
    <w:qFormat/>
    <w:rPr>
      <w:rFonts w:ascii="Times New Roman" w:hAnsi="Times New Roman" w:eastAsia="宋体" w:cs="Times New Roman"/>
      <w:sz w:val="18"/>
      <w:szCs w:val="18"/>
    </w:rPr>
  </w:style>
  <w:style w:type="character" w:styleId="745" w:customStyle="1">
    <w:name w:val="页脚 Char"/>
    <w:link w:val="702"/>
    <w:uiPriority w:val="0"/>
    <w:qFormat/>
    <w:rPr>
      <w:rFonts w:ascii="Times New Roman" w:hAnsi="Times New Roman" w:eastAsia="宋体" w:cs="Times New Roman"/>
      <w:sz w:val="18"/>
      <w:szCs w:val="18"/>
    </w:rPr>
  </w:style>
  <w:style w:type="character" w:styleId="746" w:customStyle="1">
    <w:name w:val="页眉 Char"/>
    <w:link w:val="703"/>
    <w:uiPriority w:val="99"/>
    <w:qFormat/>
    <w:rPr>
      <w:rFonts w:ascii="Times New Roman" w:hAnsi="Times New Roman" w:eastAsia="宋体" w:cs="Times New Roman"/>
      <w:sz w:val="18"/>
      <w:szCs w:val="18"/>
    </w:rPr>
  </w:style>
  <w:style w:type="character" w:styleId="747" w:customStyle="1">
    <w:name w:val="正文文本缩进 3 Char"/>
    <w:link w:val="708"/>
    <w:uiPriority w:val="0"/>
    <w:qFormat/>
    <w:rPr>
      <w:rFonts w:ascii="Arial" w:hAnsi="Arial" w:eastAsia="仿宋_GB2312" w:cs="Arial"/>
      <w:color w:val="ffff00"/>
      <w:sz w:val="32"/>
      <w:szCs w:val="32"/>
    </w:rPr>
  </w:style>
  <w:style w:type="character" w:styleId="748" w:customStyle="1">
    <w:name w:val="正文文本 2 Char"/>
    <w:link w:val="712"/>
    <w:uiPriority w:val="0"/>
    <w:qFormat/>
    <w:rPr>
      <w:rFonts w:ascii="楷体_GB2312" w:hAnsi="Times New Roman" w:eastAsia="楷体_GB2312" w:cs="Times New Roman"/>
      <w:sz w:val="28"/>
      <w:szCs w:val="28"/>
    </w:rPr>
  </w:style>
  <w:style w:type="character" w:styleId="749" w:customStyle="1">
    <w:name w:val="批注主题 Char"/>
    <w:link w:val="715"/>
    <w:uiPriority w:val="0"/>
    <w:semiHidden/>
    <w:qFormat/>
    <w:rPr>
      <w:rFonts w:ascii="Times New Roman" w:hAnsi="Times New Roman" w:eastAsia="宋体" w:cs="Times New Roman"/>
      <w:b/>
      <w:bCs/>
      <w:szCs w:val="21"/>
    </w:rPr>
  </w:style>
  <w:style w:type="character" w:styleId="750" w:customStyle="1">
    <w:name w:val="正文首行缩进 Char"/>
    <w:link w:val="716"/>
    <w:uiPriority w:val="0"/>
    <w:qFormat/>
    <w:rPr>
      <w:rFonts w:ascii="仿宋_GB2312" w:hAnsi="Times New Roman" w:eastAsia="仿宋_GB2312" w:cs="Times New Roman"/>
      <w:sz w:val="30"/>
      <w:szCs w:val="30"/>
    </w:rPr>
  </w:style>
  <w:style w:type="character" w:styleId="751" w:customStyle="1">
    <w:name w:val="正文首行缩进 2 Char"/>
    <w:link w:val="717"/>
    <w:uiPriority w:val="0"/>
    <w:qFormat/>
    <w:rPr>
      <w:rFonts w:ascii="宋体" w:hAnsi="宋体" w:eastAsia="宋体" w:cs="Times New Roman"/>
      <w:sz w:val="32"/>
      <w:szCs w:val="20"/>
    </w:rPr>
  </w:style>
  <w:style w:type="character" w:styleId="752" w:customStyle="1">
    <w:name w:val="font5 Char"/>
    <w:uiPriority w:val="0"/>
    <w:qFormat/>
    <w:rPr>
      <w:rFonts w:ascii="宋体" w:hAnsi="宋体" w:eastAsia="宋体"/>
      <w:sz w:val="28"/>
      <w:szCs w:val="28"/>
      <w:lang w:val="en-US" w:eastAsia="zh-CN" w:bidi="ar-SA"/>
    </w:rPr>
  </w:style>
  <w:style w:type="character" w:styleId="753" w:customStyle="1">
    <w:name w:val="二级目录 Char"/>
    <w:link w:val="754"/>
    <w:uiPriority w:val="0"/>
    <w:qFormat/>
    <w:rPr>
      <w:b/>
      <w:sz w:val="30"/>
      <w:szCs w:val="28"/>
    </w:rPr>
  </w:style>
  <w:style w:type="paragraph" w:styleId="754" w:customStyle="1">
    <w:name w:val="二级目录"/>
    <w:next w:val="672"/>
    <w:link w:val="75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755" w:customStyle="1">
    <w:name w:val="列出段落 Char"/>
    <w:link w:val="756"/>
    <w:uiPriority w:val="0"/>
    <w:qFormat/>
    <w:rPr>
      <w:rFonts w:ascii="Calibri" w:hAnsi="Calibri"/>
      <w:sz w:val="24"/>
      <w:szCs w:val="24"/>
      <w:lang w:eastAsia="en-US" w:bidi="en-US"/>
    </w:rPr>
  </w:style>
  <w:style w:type="paragraph" w:styleId="756" w:customStyle="1">
    <w:name w:val="列出段落1"/>
    <w:basedOn w:val="672"/>
    <w:link w:val="755"/>
    <w:uiPriority w:val="0"/>
    <w:qFormat/>
    <w:pPr>
      <w:contextualSpacing/>
      <w:ind w:left="720"/>
      <w:jc w:val="left"/>
      <w:widowControl/>
    </w:pPr>
    <w:rPr>
      <w:rFonts w:ascii="Calibri" w:hAnsi="Calibri"/>
      <w:sz w:val="24"/>
      <w:szCs w:val="24"/>
      <w:lang w:eastAsia="en-US" w:bidi="en-US"/>
    </w:rPr>
  </w:style>
  <w:style w:type="paragraph" w:styleId="757" w:customStyle="1">
    <w:name w:val="Body Text(ch)"/>
    <w:basedOn w:val="672"/>
    <w:next w:val="691"/>
    <w:uiPriority w:val="0"/>
    <w:qFormat/>
    <w:pPr>
      <w:spacing w:after="120"/>
    </w:pPr>
    <w:rPr>
      <w:rFonts w:ascii="宋体" w:hAnsi="Arial"/>
      <w:bCs/>
      <w:iCs/>
      <w:szCs w:val="24"/>
    </w:rPr>
  </w:style>
  <w:style w:type="paragraph" w:styleId="758" w:customStyle="1">
    <w:name w:val="xl2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9" w:customStyle="1">
    <w:name w:val="xl2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0" w:customStyle="1">
    <w:name w:val="Char"/>
    <w:basedOn w:val="672"/>
    <w:uiPriority w:val="0"/>
    <w:qFormat/>
    <w:pPr>
      <w:ind w:firstLine="200"/>
      <w:tabs>
        <w:tab w:val="left" w:pos="360" w:leader="none"/>
      </w:tabs>
    </w:pPr>
    <w:rPr>
      <w:sz w:val="28"/>
      <w:szCs w:val="30"/>
    </w:rPr>
  </w:style>
  <w:style w:type="paragraph" w:styleId="761" w:customStyle="1">
    <w:name w:val="Char1"/>
    <w:basedOn w:val="688"/>
    <w:uiPriority w:val="0"/>
    <w:qFormat/>
    <w:rPr>
      <w:rFonts w:ascii="Tahoma" w:hAnsi="Tahoma"/>
      <w:sz w:val="24"/>
      <w:szCs w:val="24"/>
    </w:rPr>
  </w:style>
  <w:style w:type="paragraph" w:styleId="762"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763" w:customStyle="1">
    <w:name w:val="table_lines"/>
    <w:basedOn w:val="672"/>
    <w:uiPriority w:val="0"/>
    <w:qFormat/>
    <w:pPr>
      <w:jc w:val="left"/>
      <w:widowControl/>
    </w:pPr>
    <w:rPr>
      <w:sz w:val="20"/>
      <w:szCs w:val="20"/>
      <w:lang w:val="de-DE" w:eastAsia="de-DE"/>
    </w:rPr>
  </w:style>
  <w:style w:type="paragraph" w:styleId="76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5"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766" w:customStyle="1">
    <w:name w:val="Char Char Char Char"/>
    <w:basedOn w:val="688"/>
    <w:uiPriority w:val="0"/>
    <w:qFormat/>
    <w:pPr>
      <w:spacing w:line="360" w:lineRule="auto"/>
    </w:pPr>
    <w:rPr>
      <w:rFonts w:ascii="Tahoma" w:hAnsi="Tahoma"/>
      <w:sz w:val="24"/>
      <w:szCs w:val="24"/>
    </w:rPr>
  </w:style>
  <w:style w:type="paragraph" w:styleId="767">
    <w:name w:val="List Paragraph"/>
    <w:basedOn w:val="672"/>
    <w:uiPriority w:val="99"/>
    <w:qFormat/>
    <w:pPr>
      <w:contextualSpacing/>
      <w:ind w:left="720"/>
      <w:jc w:val="left"/>
      <w:widowControl/>
    </w:pPr>
    <w:rPr>
      <w:rFonts w:ascii="Calibri" w:hAnsi="Calibri"/>
      <w:sz w:val="24"/>
      <w:szCs w:val="24"/>
      <w:lang w:eastAsia="en-US" w:bidi="en-US"/>
    </w:rPr>
  </w:style>
  <w:style w:type="paragraph" w:styleId="768" w:customStyle="1">
    <w:name w:val="4"/>
    <w:basedOn w:val="672"/>
    <w:next w:val="708"/>
    <w:uiPriority w:val="0"/>
    <w:qFormat/>
    <w:pPr>
      <w:ind w:firstLine="420"/>
      <w:spacing w:line="360" w:lineRule="auto"/>
    </w:pPr>
    <w:rPr>
      <w:color w:val="ff0000"/>
      <w:sz w:val="24"/>
      <w:szCs w:val="24"/>
    </w:rPr>
  </w:style>
  <w:style w:type="paragraph" w:styleId="769"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770" w:customStyle="1">
    <w:name w:val="Char Char Char Char Char Char Char Char Char Char"/>
    <w:basedOn w:val="672"/>
    <w:uiPriority w:val="0"/>
    <w:qFormat/>
    <w:pPr>
      <w:spacing w:line="360" w:lineRule="auto"/>
    </w:pPr>
    <w:rPr>
      <w:sz w:val="24"/>
      <w:szCs w:val="20"/>
    </w:rPr>
  </w:style>
  <w:style w:type="paragraph" w:styleId="771" w:customStyle="1">
    <w:name w:val="样式1"/>
    <w:basedOn w:val="672"/>
    <w:uiPriority w:val="0"/>
    <w:qFormat/>
    <w:pPr>
      <w:numPr>
        <w:ilvl w:val="0"/>
        <w:numId w:val="3"/>
      </w:numPr>
    </w:pPr>
    <w:rPr>
      <w:rFonts w:ascii="宋体" w:hAnsi="宋体"/>
    </w:rPr>
  </w:style>
  <w:style w:type="paragraph" w:styleId="772"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773"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4"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5"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776" w:customStyle="1">
    <w:name w:val="xl24"/>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7" w:customStyle="1">
    <w:name w:val="xl29"/>
    <w:basedOn w:val="67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8"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779" w:customStyle="1">
    <w:name w:val="xl28"/>
    <w:basedOn w:val="67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0" w:customStyle="1">
    <w:name w:val="Char Char Char Char Char Char Char Char1"/>
    <w:basedOn w:val="672"/>
    <w:uiPriority w:val="0"/>
    <w:qFormat/>
    <w:pPr>
      <w:jc w:val="left"/>
      <w:spacing w:after="160" w:line="240" w:lineRule="exact"/>
      <w:widowControl/>
    </w:pPr>
    <w:rPr>
      <w:rFonts w:ascii="Verdana" w:hAnsi="Verdana"/>
      <w:sz w:val="20"/>
      <w:szCs w:val="20"/>
      <w:lang w:eastAsia="en-US"/>
    </w:rPr>
  </w:style>
  <w:style w:type="paragraph" w:styleId="781"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782" w:customStyle="1">
    <w:name w:val="Char Char Char Char1"/>
    <w:basedOn w:val="688"/>
    <w:uiPriority w:val="0"/>
    <w:qFormat/>
    <w:pPr>
      <w:spacing w:line="360" w:lineRule="auto"/>
    </w:pPr>
    <w:rPr>
      <w:rFonts w:ascii="Tahoma" w:hAnsi="Tahoma"/>
      <w:sz w:val="24"/>
      <w:szCs w:val="24"/>
    </w:rPr>
  </w:style>
  <w:style w:type="paragraph" w:styleId="783" w:customStyle="1">
    <w:name w:val="table_1stline"/>
    <w:basedOn w:val="672"/>
    <w:uiPriority w:val="0"/>
    <w:qFormat/>
    <w:pPr>
      <w:jc w:val="left"/>
      <w:spacing w:before="120"/>
      <w:widowControl/>
    </w:pPr>
    <w:rPr>
      <w:bCs/>
      <w:sz w:val="20"/>
      <w:szCs w:val="20"/>
      <w:lang w:val="de-DE" w:eastAsia="de-DE"/>
    </w:rPr>
  </w:style>
  <w:style w:type="paragraph" w:styleId="784"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785"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6" w:customStyle="1">
    <w:name w:val="_Style 113"/>
    <w:uiPriority w:val="99"/>
    <w:semiHidden/>
    <w:qFormat/>
    <w:rPr>
      <w:rFonts w:ascii="Times New Roman" w:hAnsi="Times New Roman" w:eastAsia="宋体" w:cs="Times New Roman"/>
      <w:sz w:val="21"/>
      <w:szCs w:val="21"/>
      <w:lang w:val="en-US" w:eastAsia="zh-CN" w:bidi="ar-SA"/>
    </w:rPr>
  </w:style>
  <w:style w:type="paragraph" w:styleId="78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8" w:customStyle="1">
    <w:name w:val="普通文字"/>
    <w:basedOn w:val="672"/>
    <w:next w:val="672"/>
    <w:uiPriority w:val="99"/>
    <w:qFormat/>
    <w:rPr>
      <w:rFonts w:ascii="宋体"/>
      <w:sz w:val="24"/>
      <w:szCs w:val="20"/>
    </w:rPr>
  </w:style>
  <w:style w:type="paragraph" w:styleId="789" w:customStyle="1">
    <w:name w:val="目录 111"/>
    <w:basedOn w:val="672"/>
    <w:next w:val="672"/>
    <w:uiPriority w:val="39"/>
    <w:unhideWhenUsed/>
    <w:qFormat/>
    <w:pPr>
      <w:jc w:val="left"/>
      <w:spacing w:after="100" w:line="259" w:lineRule="auto"/>
      <w:widowControl/>
    </w:pPr>
    <w:rPr>
      <w:rFonts w:ascii="Calibri" w:hAnsi="Calibri"/>
      <w:sz w:val="22"/>
      <w:szCs w:val="22"/>
    </w:rPr>
  </w:style>
  <w:style w:type="paragraph" w:styleId="790" w:customStyle="1">
    <w:name w:val="列表1"/>
    <w:basedOn w:val="672"/>
    <w:uiPriority w:val="0"/>
    <w:qFormat/>
    <w:pPr>
      <w:ind w:left="200" w:hanging="200"/>
    </w:pPr>
  </w:style>
  <w:style w:type="paragraph" w:styleId="791" w:customStyle="1">
    <w:name w:val="Table Text"/>
    <w:basedOn w:val="672"/>
    <w:uiPriority w:val="0"/>
    <w:semiHidden/>
    <w:qFormat/>
    <w:pPr>
      <w:jc w:val="left"/>
      <w:widowControl/>
    </w:pPr>
    <w:rPr>
      <w:rFonts w:ascii="宋体" w:hAnsi="宋体" w:cs="宋体"/>
      <w:color w:val="000000"/>
      <w:lang w:eastAsia="en-US"/>
    </w:rPr>
  </w:style>
  <w:style w:type="table" w:styleId="792"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table" w:styleId="793" w:customStyle="1">
    <w:name w:val="网格型11"/>
    <w:basedOn w:val="794"/>
    <w:uiPriority w:val="59"/>
    <w:qFormat/>
    <w:tblPr>
      <w:tblCellMar>
        <w:left w:w="0" w:type="dxa"/>
        <w:top w:w="0" w:type="dxa"/>
        <w:right w:w="0" w:type="dxa"/>
        <w:bottom w:w="0" w:type="dxa"/>
      </w:tblCellMar>
    </w:tblPr>
  </w:style>
  <w:style w:type="table" w:styleId="794" w:customStyle="1">
    <w:name w:val="普通表格11"/>
    <w:uiPriority w:val="0"/>
    <w:semiHidden/>
    <w:qFormat/>
    <w:tblPr>
      <w:tblCellMar>
        <w:left w:w="0" w:type="dxa"/>
        <w:top w:w="0" w:type="dxa"/>
        <w:right w:w="0" w:type="dxa"/>
        <w:bottom w:w="0" w:type="dxa"/>
      </w:tblCellMar>
    </w:tblPr>
  </w:style>
  <w:style w:type="paragraph" w:styleId="795"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numbering" w:styleId="16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521</cp:revision>
  <dcterms:created xsi:type="dcterms:W3CDTF">2023-03-16T02:16:00Z</dcterms:created>
  <dcterms:modified xsi:type="dcterms:W3CDTF">2026-05-15T01:18:01Z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A161BF986C324CD58EB6D8D952189A8D_13</vt:lpwstr>
  </property>
  <property fmtid="{D5CDD505-2E9C-101B-9397-08002B2CF9AE}" pid="4" name="KSOTemplateDocerSaveRecord">
    <vt:lpwstr>eyJoZGlkIjoiM2I1OTQ2NDJjNjRhMmE2ZTU5NDcxMWJiZTc3MGMzNzciLCJ1c2VySWQiOiIxMzY2MzQxNDQ3In0=</vt:lpwstr>
  </property>
</Properties>
</file>