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7A20">
      <w:pPr>
        <w:pStyle w:val="2"/>
        <w:jc w:val="center"/>
        <w:rPr>
          <w:rFonts w:ascii="方正仿宋_GB2312" w:hAnsi="方正仿宋_GB2312" w:cs="方正仿宋_GB2312"/>
          <w:color w:val="auto"/>
          <w:highlight w:val="none"/>
        </w:rPr>
      </w:pPr>
      <w:bookmarkStart w:id="0" w:name="_Toc30145"/>
      <w:r>
        <w:rPr>
          <w:rFonts w:hint="eastAsia" w:ascii="方正仿宋_GB2312" w:hAnsi="方正仿宋_GB2312" w:cs="方正仿宋_GB2312"/>
          <w:color w:val="auto"/>
          <w:highlight w:val="none"/>
        </w:rPr>
        <w:t>园区植物保护防治技术规范</w:t>
      </w:r>
      <w:bookmarkEnd w:id="0"/>
    </w:p>
    <w:p w14:paraId="40D5252F">
      <w:pPr>
        <w:ind w:firstLine="562" w:firstLineChars="200"/>
        <w:rPr>
          <w:rFonts w:ascii="方正仿宋_GB2312" w:hAnsi="方正仿宋_GB2312" w:eastAsia="方正仿宋_GB2312" w:cs="方正仿宋_GB2312"/>
          <w:b/>
          <w:bCs/>
          <w:color w:val="auto"/>
          <w:sz w:val="28"/>
          <w:szCs w:val="28"/>
          <w:highlight w:val="none"/>
        </w:rPr>
      </w:pPr>
      <w:r>
        <w:rPr>
          <w:rFonts w:eastAsia="方正仿宋_GB2312" w:cs="Calibri"/>
          <w:b/>
          <w:bCs/>
          <w:color w:val="auto"/>
          <w:sz w:val="28"/>
          <w:szCs w:val="28"/>
          <w:highlight w:val="none"/>
        </w:rPr>
        <w:t>1</w:t>
      </w:r>
      <w:r>
        <w:rPr>
          <w:rFonts w:hint="eastAsia" w:ascii="方正仿宋_GB2312" w:hAnsi="方正仿宋_GB2312" w:eastAsia="方正仿宋_GB2312" w:cs="方正仿宋_GB2312"/>
          <w:b/>
          <w:bCs/>
          <w:color w:val="auto"/>
          <w:sz w:val="28"/>
          <w:szCs w:val="28"/>
          <w:highlight w:val="none"/>
        </w:rPr>
        <w:t>范围</w:t>
      </w:r>
    </w:p>
    <w:p w14:paraId="4CD8AD9F">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 xml:space="preserve">本节规定了城市园林有害生物综合防治技术的监测预报、综合防控技术和技术档案。                         </w:t>
      </w:r>
    </w:p>
    <w:p w14:paraId="3DDEF53E">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本文件适用于苏州工业园区区域范围内符合CJJ/T 85《城市绿地分类标准》中所有绿地类型内有害生物的综合治理。</w:t>
      </w:r>
    </w:p>
    <w:p w14:paraId="056661A7">
      <w:pPr>
        <w:ind w:firstLine="562" w:firstLineChars="200"/>
        <w:rPr>
          <w:rFonts w:ascii="方正仿宋_GB2312" w:hAnsi="方正仿宋_GB2312" w:eastAsia="方正仿宋_GB2312" w:cs="方正仿宋_GB2312"/>
          <w:b/>
          <w:bCs/>
          <w:color w:val="auto"/>
          <w:sz w:val="28"/>
          <w:szCs w:val="28"/>
          <w:highlight w:val="none"/>
        </w:rPr>
      </w:pPr>
      <w:r>
        <w:rPr>
          <w:rFonts w:eastAsia="方正仿宋_GB2312" w:cs="Calibri"/>
          <w:b/>
          <w:bCs/>
          <w:color w:val="auto"/>
          <w:sz w:val="28"/>
          <w:szCs w:val="28"/>
          <w:highlight w:val="none"/>
        </w:rPr>
        <w:t>2</w:t>
      </w:r>
      <w:r>
        <w:rPr>
          <w:rFonts w:hint="eastAsia" w:ascii="方正仿宋_GB2312" w:hAnsi="方正仿宋_GB2312" w:eastAsia="方正仿宋_GB2312" w:cs="方正仿宋_GB2312"/>
          <w:b/>
          <w:bCs/>
          <w:color w:val="auto"/>
          <w:sz w:val="28"/>
          <w:szCs w:val="28"/>
          <w:highlight w:val="none"/>
        </w:rPr>
        <w:t>规范性引用文件</w:t>
      </w:r>
    </w:p>
    <w:p w14:paraId="78D45ED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下列文件对于本文件的应用是必不可少的。凡是注日期的引用文件，仅注日期的版本适用于本文件。凡是未注日期的引用文件，其最新版本（包括所有的修改单）适用于本文件。</w:t>
      </w:r>
    </w:p>
    <w:p w14:paraId="767D9A1B">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GB/T 8321（所有部分）农药合理使用准则</w:t>
      </w:r>
    </w:p>
    <w:p w14:paraId="6A836183">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NY/T 1276  农药安全使用规范 总则</w:t>
      </w:r>
    </w:p>
    <w:p w14:paraId="77DF8F37">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CJJ/T 85  城市绿地分类标准</w:t>
      </w:r>
    </w:p>
    <w:p w14:paraId="17D64328">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CJJ/T 287  园林绿化养护标准</w:t>
      </w:r>
    </w:p>
    <w:p w14:paraId="0C8219D6">
      <w:pPr>
        <w:ind w:firstLine="562" w:firstLineChars="200"/>
        <w:rPr>
          <w:rFonts w:ascii="方正仿宋_GB2312" w:hAnsi="方正仿宋_GB2312" w:eastAsia="方正仿宋_GB2312" w:cs="方正仿宋_GB2312"/>
          <w:b/>
          <w:bCs/>
          <w:color w:val="auto"/>
          <w:sz w:val="28"/>
          <w:szCs w:val="28"/>
          <w:highlight w:val="none"/>
        </w:rPr>
      </w:pPr>
      <w:r>
        <w:rPr>
          <w:rFonts w:eastAsia="方正仿宋_GB2312" w:cs="Calibri"/>
          <w:b/>
          <w:bCs/>
          <w:color w:val="auto"/>
          <w:sz w:val="28"/>
          <w:szCs w:val="28"/>
          <w:highlight w:val="none"/>
        </w:rPr>
        <w:t>3</w:t>
      </w:r>
      <w:r>
        <w:rPr>
          <w:rFonts w:hint="eastAsia" w:ascii="方正仿宋_GB2312" w:hAnsi="方正仿宋_GB2312" w:eastAsia="方正仿宋_GB2312" w:cs="方正仿宋_GB2312"/>
          <w:b/>
          <w:bCs/>
          <w:color w:val="auto"/>
          <w:sz w:val="28"/>
          <w:szCs w:val="28"/>
          <w:highlight w:val="none"/>
        </w:rPr>
        <w:t>术语和定义</w:t>
      </w:r>
    </w:p>
    <w:p w14:paraId="27089141">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下列术语和定义适用于本文件。</w:t>
      </w:r>
    </w:p>
    <w:p w14:paraId="4FF1A89B">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3.1</w:t>
      </w:r>
      <w:r>
        <w:rPr>
          <w:rFonts w:hint="eastAsia" w:ascii="方正仿宋_GB2312" w:hAnsi="方正仿宋_GB2312" w:eastAsia="方正仿宋_GB2312" w:cs="方正仿宋_GB2312"/>
          <w:b/>
          <w:bCs/>
          <w:color w:val="auto"/>
          <w:kern w:val="0"/>
          <w:szCs w:val="24"/>
          <w:highlight w:val="none"/>
        </w:rPr>
        <w:t>园林有害生物 Gardening pests</w:t>
      </w:r>
    </w:p>
    <w:p w14:paraId="60DAEBA8">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指影响园林植物正常生长发育，并造成其严重损失的病原物、杂草以及其它有害生物。包括病原菌、病毒、害虫、线虫、寄生性种子植物、杂草、鼠类、软体动物等。</w:t>
      </w:r>
    </w:p>
    <w:p w14:paraId="13239606">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3.2</w:t>
      </w:r>
      <w:r>
        <w:rPr>
          <w:rFonts w:hint="eastAsia" w:ascii="方正仿宋_GB2312" w:hAnsi="方正仿宋_GB2312" w:eastAsia="方正仿宋_GB2312" w:cs="方正仿宋_GB2312"/>
          <w:b/>
          <w:bCs/>
          <w:color w:val="auto"/>
          <w:kern w:val="0"/>
          <w:szCs w:val="24"/>
          <w:highlight w:val="none"/>
        </w:rPr>
        <w:t>有害生物综合治理（IPM）Integrated pest management</w:t>
      </w:r>
    </w:p>
    <w:p w14:paraId="21436F9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从植物生态系统总体出发，根据有害生物和环境之间的相互关系，充分发挥自然控制因素的作用，因地制宜，协调应用必要的措施，将有害生物控制在经济受害允许水平之下，以获得最佳的经济、生态及社会效益。</w:t>
      </w:r>
    </w:p>
    <w:p w14:paraId="2FC7F06B">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3.3</w:t>
      </w:r>
      <w:r>
        <w:rPr>
          <w:rFonts w:hint="eastAsia" w:ascii="方正仿宋_GB2312" w:hAnsi="方正仿宋_GB2312" w:eastAsia="方正仿宋_GB2312" w:cs="方正仿宋_GB2312"/>
          <w:b/>
          <w:bCs/>
          <w:color w:val="auto"/>
          <w:kern w:val="0"/>
          <w:szCs w:val="24"/>
          <w:highlight w:val="none"/>
        </w:rPr>
        <w:t>植物检疫 Plant quarantine</w:t>
      </w:r>
    </w:p>
    <w:p w14:paraId="383C2C70">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由国家颁布条例和法令，对植物及其产品，特别是苗木、接穗、插条、种子等繁殖材料进行管理和控制，防止危险性病、虫、杂草传播蔓延。</w:t>
      </w:r>
    </w:p>
    <w:p w14:paraId="4251312B">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3.4</w:t>
      </w:r>
      <w:r>
        <w:rPr>
          <w:rFonts w:hint="eastAsia" w:ascii="方正仿宋_GB2312" w:hAnsi="方正仿宋_GB2312" w:eastAsia="方正仿宋_GB2312" w:cs="方正仿宋_GB2312"/>
          <w:b/>
          <w:bCs/>
          <w:color w:val="auto"/>
          <w:kern w:val="0"/>
          <w:szCs w:val="24"/>
          <w:highlight w:val="none"/>
        </w:rPr>
        <w:t>园艺防治 Gardening method of pest control</w:t>
      </w:r>
    </w:p>
    <w:p w14:paraId="5A40E87F">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通过田园清洁，科学修剪，深耕与轮作，合理施肥与排灌，树种合理搭配与布局，选育和利用抗性品种等手段，有目的地创造有利于植物生长发育的环境条件，同时创造出不利于有害生物活动、繁殖和侵染的环境条件的一种防治方法。</w:t>
      </w:r>
    </w:p>
    <w:p w14:paraId="462636CE">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3.5</w:t>
      </w:r>
      <w:r>
        <w:rPr>
          <w:rFonts w:hint="eastAsia" w:ascii="方正仿宋_GB2312" w:hAnsi="方正仿宋_GB2312" w:eastAsia="方正仿宋_GB2312" w:cs="方正仿宋_GB2312"/>
          <w:b/>
          <w:bCs/>
          <w:color w:val="auto"/>
          <w:kern w:val="0"/>
          <w:szCs w:val="24"/>
          <w:highlight w:val="none"/>
        </w:rPr>
        <w:t>转主寄生Heteroecism</w:t>
      </w:r>
    </w:p>
    <w:p w14:paraId="4AD2EED3">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病菌必须在两种亲缘不同的寄主植物上寄生生活才能完成其生活史的现象。</w:t>
      </w:r>
    </w:p>
    <w:p w14:paraId="522CB21F">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3.6</w:t>
      </w:r>
      <w:r>
        <w:rPr>
          <w:rFonts w:hint="eastAsia" w:ascii="方正仿宋_GB2312" w:hAnsi="方正仿宋_GB2312" w:eastAsia="方正仿宋_GB2312" w:cs="方正仿宋_GB2312"/>
          <w:b/>
          <w:bCs/>
          <w:color w:val="auto"/>
          <w:kern w:val="0"/>
          <w:szCs w:val="24"/>
          <w:highlight w:val="none"/>
        </w:rPr>
        <w:t xml:space="preserve"> 转主寄主Alternate host</w:t>
      </w:r>
    </w:p>
    <w:p w14:paraId="390E58B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病菌需要转主寄生的寄主植物中，对国民经济较为次要的称为转主寄主。</w:t>
      </w:r>
    </w:p>
    <w:p w14:paraId="01569BDE">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3.7</w:t>
      </w:r>
      <w:r>
        <w:rPr>
          <w:rFonts w:hint="eastAsia" w:ascii="方正仿宋_GB2312" w:hAnsi="方正仿宋_GB2312" w:eastAsia="方正仿宋_GB2312" w:cs="方正仿宋_GB2312"/>
          <w:b/>
          <w:bCs/>
          <w:color w:val="auto"/>
          <w:kern w:val="0"/>
          <w:szCs w:val="24"/>
          <w:highlight w:val="none"/>
        </w:rPr>
        <w:t>蜜源植物 Nectar plant</w:t>
      </w:r>
    </w:p>
    <w:p w14:paraId="389E908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吸引昆虫采集花蜜和花粉，为害虫天敌提供补充营养物质的植物。</w:t>
      </w:r>
    </w:p>
    <w:p w14:paraId="674CD3E7">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3.8</w:t>
      </w:r>
      <w:r>
        <w:rPr>
          <w:rFonts w:hint="eastAsia" w:ascii="方正仿宋_GB2312" w:hAnsi="方正仿宋_GB2312" w:eastAsia="方正仿宋_GB2312" w:cs="方正仿宋_GB2312"/>
          <w:b/>
          <w:bCs/>
          <w:color w:val="auto"/>
          <w:kern w:val="0"/>
          <w:szCs w:val="24"/>
          <w:highlight w:val="none"/>
        </w:rPr>
        <w:t>益鸟食饵植物 Bird-friendly food plant</w:t>
      </w:r>
    </w:p>
    <w:p w14:paraId="7CE01F60">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用于提供益鸟食饵或改善益鸟营巢条件，吸引益鸟前来栖居的植物。</w:t>
      </w:r>
    </w:p>
    <w:p w14:paraId="68EF84EB">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3.9</w:t>
      </w:r>
      <w:r>
        <w:rPr>
          <w:rFonts w:hint="eastAsia" w:ascii="方正仿宋_GB2312" w:hAnsi="方正仿宋_GB2312" w:eastAsia="方正仿宋_GB2312" w:cs="方正仿宋_GB2312"/>
          <w:b/>
          <w:bCs/>
          <w:color w:val="auto"/>
          <w:kern w:val="0"/>
          <w:szCs w:val="24"/>
          <w:highlight w:val="none"/>
        </w:rPr>
        <w:t>物理防治 Physical control</w:t>
      </w:r>
    </w:p>
    <w:p w14:paraId="58E532A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利用各种物理因子、人工和器械防治有害生物的植物保护措施。</w:t>
      </w:r>
    </w:p>
    <w:p w14:paraId="334AC5B7">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3.10</w:t>
      </w:r>
      <w:r>
        <w:rPr>
          <w:rFonts w:hint="eastAsia" w:ascii="方正仿宋_GB2312" w:hAnsi="方正仿宋_GB2312" w:eastAsia="方正仿宋_GB2312" w:cs="方正仿宋_GB2312"/>
          <w:b/>
          <w:bCs/>
          <w:color w:val="auto"/>
          <w:kern w:val="0"/>
          <w:szCs w:val="24"/>
          <w:highlight w:val="none"/>
        </w:rPr>
        <w:t>化学防治 Chemical control</w:t>
      </w:r>
    </w:p>
    <w:p w14:paraId="386071DA">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利用化学药剂预防和治理有害生物的防治技术。</w:t>
      </w:r>
    </w:p>
    <w:p w14:paraId="168572F4">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3.11</w:t>
      </w:r>
      <w:r>
        <w:rPr>
          <w:rFonts w:hint="eastAsia" w:ascii="方正仿宋_GB2312" w:hAnsi="方正仿宋_GB2312" w:eastAsia="方正仿宋_GB2312" w:cs="方正仿宋_GB2312"/>
          <w:b/>
          <w:bCs/>
          <w:color w:val="auto"/>
          <w:kern w:val="0"/>
          <w:szCs w:val="24"/>
          <w:highlight w:val="none"/>
        </w:rPr>
        <w:t>生物防治 Biological control</w:t>
      </w:r>
    </w:p>
    <w:p w14:paraId="285FB853">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利用有益生物及其产物控制有害生物种群数量的防治技术。</w:t>
      </w:r>
    </w:p>
    <w:p w14:paraId="457299C9">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3.12</w:t>
      </w:r>
      <w:r>
        <w:rPr>
          <w:rFonts w:hint="eastAsia" w:ascii="方正仿宋_GB2312" w:hAnsi="方正仿宋_GB2312" w:eastAsia="方正仿宋_GB2312" w:cs="方正仿宋_GB2312"/>
          <w:b/>
          <w:bCs/>
          <w:color w:val="auto"/>
          <w:kern w:val="0"/>
          <w:szCs w:val="24"/>
          <w:highlight w:val="none"/>
        </w:rPr>
        <w:t>防治指标Control index</w:t>
      </w:r>
    </w:p>
    <w:p w14:paraId="64631A1A">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虫口密度或病株率达到影响园林景观完好度或人的容忍度允许水平上限。</w:t>
      </w:r>
    </w:p>
    <w:p w14:paraId="7D0F5DA0">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eastAsia="方正仿宋_GB2312" w:cs="Calibri"/>
          <w:b/>
          <w:bCs/>
          <w:color w:val="auto"/>
          <w:kern w:val="0"/>
          <w:szCs w:val="24"/>
          <w:highlight w:val="none"/>
        </w:rPr>
        <w:t>3.13</w:t>
      </w:r>
      <w:r>
        <w:rPr>
          <w:rFonts w:hint="eastAsia" w:ascii="方正仿宋_GB2312" w:hAnsi="方正仿宋_GB2312" w:eastAsia="方正仿宋_GB2312" w:cs="方正仿宋_GB2312"/>
          <w:b/>
          <w:bCs/>
          <w:color w:val="auto"/>
          <w:kern w:val="0"/>
          <w:szCs w:val="24"/>
          <w:highlight w:val="none"/>
        </w:rPr>
        <w:t>药害Pesticide damage</w:t>
      </w:r>
    </w:p>
    <w:p w14:paraId="457AADE3">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因药剂不当使用而造成植物生长发育过程中所表现出的各种病态现象。</w:t>
      </w:r>
    </w:p>
    <w:p w14:paraId="67953AD2">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hint="eastAsia" w:eastAsia="方正仿宋_GB2312" w:cs="Calibri"/>
          <w:b/>
          <w:bCs/>
          <w:color w:val="auto"/>
          <w:kern w:val="0"/>
          <w:szCs w:val="24"/>
          <w:highlight w:val="none"/>
        </w:rPr>
        <w:t>3.14</w:t>
      </w:r>
      <w:r>
        <w:rPr>
          <w:rFonts w:hint="eastAsia" w:ascii="方正仿宋_GB2312" w:hAnsi="方正仿宋_GB2312" w:eastAsia="方正仿宋_GB2312" w:cs="方正仿宋_GB2312"/>
          <w:b/>
          <w:bCs/>
          <w:color w:val="auto"/>
          <w:kern w:val="0"/>
          <w:szCs w:val="24"/>
          <w:highlight w:val="none"/>
        </w:rPr>
        <w:t>物候预测 Phenological forecasting</w:t>
      </w:r>
    </w:p>
    <w:p w14:paraId="02BC5B3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根据自然界生物群落中病虫害和寄主树木或其他动植物对于同一地区内的外界环境条件有着相同的时间性反应来预测病虫害的发生期。</w:t>
      </w:r>
    </w:p>
    <w:p w14:paraId="48933775">
      <w:pPr>
        <w:ind w:firstLine="562" w:firstLineChars="200"/>
        <w:rPr>
          <w:rFonts w:ascii="方正仿宋_GB2312" w:hAnsi="方正仿宋_GB2312" w:eastAsia="方正仿宋_GB2312" w:cs="方正仿宋_GB2312"/>
          <w:b/>
          <w:bCs/>
          <w:color w:val="auto"/>
          <w:sz w:val="28"/>
          <w:szCs w:val="28"/>
          <w:highlight w:val="none"/>
        </w:rPr>
      </w:pPr>
      <w:r>
        <w:rPr>
          <w:rFonts w:eastAsia="方正仿宋_GB2312" w:cs="Calibri"/>
          <w:b/>
          <w:bCs/>
          <w:color w:val="auto"/>
          <w:sz w:val="28"/>
          <w:szCs w:val="28"/>
          <w:highlight w:val="none"/>
        </w:rPr>
        <w:t>4</w:t>
      </w:r>
      <w:r>
        <w:rPr>
          <w:rFonts w:hint="eastAsia" w:ascii="方正仿宋_GB2312" w:hAnsi="方正仿宋_GB2312" w:eastAsia="方正仿宋_GB2312" w:cs="方正仿宋_GB2312"/>
          <w:b/>
          <w:bCs/>
          <w:color w:val="auto"/>
          <w:sz w:val="28"/>
          <w:szCs w:val="28"/>
          <w:highlight w:val="none"/>
        </w:rPr>
        <w:t>监测预报</w:t>
      </w:r>
    </w:p>
    <w:p w14:paraId="58DAB64C">
      <w:pPr>
        <w:widowControl/>
        <w:spacing w:before="100" w:after="100"/>
        <w:ind w:firstLine="422" w:firstLineChars="200"/>
        <w:rPr>
          <w:rFonts w:ascii="方正仿宋_GB2312" w:hAnsi="方正仿宋_GB2312" w:eastAsia="方正仿宋_GB2312" w:cs="方正仿宋_GB2312"/>
          <w:b/>
          <w:bCs/>
          <w:color w:val="auto"/>
          <w:kern w:val="0"/>
          <w:szCs w:val="24"/>
          <w:highlight w:val="none"/>
        </w:rPr>
      </w:pPr>
      <w:r>
        <w:rPr>
          <w:rFonts w:hint="eastAsia" w:eastAsia="方正仿宋_GB2312" w:cs="Calibri"/>
          <w:b/>
          <w:bCs/>
          <w:color w:val="auto"/>
          <w:kern w:val="0"/>
          <w:szCs w:val="24"/>
          <w:highlight w:val="none"/>
        </w:rPr>
        <w:t xml:space="preserve">4.1 </w:t>
      </w:r>
      <w:r>
        <w:rPr>
          <w:rFonts w:hint="eastAsia" w:ascii="方正仿宋_GB2312" w:hAnsi="方正仿宋_GB2312" w:eastAsia="方正仿宋_GB2312" w:cs="方正仿宋_GB2312"/>
          <w:b/>
          <w:bCs/>
          <w:color w:val="auto"/>
          <w:kern w:val="0"/>
          <w:szCs w:val="24"/>
          <w:highlight w:val="none"/>
        </w:rPr>
        <w:t xml:space="preserve"> 监测管理</w:t>
      </w:r>
    </w:p>
    <w:p w14:paraId="49F79EF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 xml:space="preserve">4.1.1 </w:t>
      </w:r>
      <w:r>
        <w:rPr>
          <w:rFonts w:hint="eastAsia" w:ascii="方正仿宋_GB2312" w:hAnsi="方正仿宋_GB2312" w:eastAsia="方正仿宋_GB2312" w:cs="方正仿宋_GB2312"/>
          <w:color w:val="auto"/>
          <w:kern w:val="0"/>
          <w:szCs w:val="24"/>
          <w:highlight w:val="none"/>
        </w:rPr>
        <w:t xml:space="preserve"> 监测平台</w:t>
      </w:r>
    </w:p>
    <w:p w14:paraId="1AC0C811">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4.1.1.1</w:t>
      </w:r>
      <w:r>
        <w:rPr>
          <w:rFonts w:hint="eastAsia" w:ascii="方正仿宋_GB2312" w:hAnsi="方正仿宋_GB2312" w:eastAsia="方正仿宋_GB2312" w:cs="方正仿宋_GB2312"/>
          <w:color w:val="auto"/>
          <w:kern w:val="0"/>
          <w:szCs w:val="24"/>
          <w:highlight w:val="none"/>
        </w:rPr>
        <w:t>建立园林有害生物监测平台，对园林有害生物的发生进行动态分析、预报、预警及防控技术指导。</w:t>
      </w:r>
    </w:p>
    <w:p w14:paraId="18FA5024">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4.1.1.2</w:t>
      </w:r>
      <w:r>
        <w:rPr>
          <w:rFonts w:hint="eastAsia" w:ascii="方正仿宋_GB2312" w:hAnsi="方正仿宋_GB2312" w:eastAsia="方正仿宋_GB2312" w:cs="方正仿宋_GB2312"/>
          <w:color w:val="auto"/>
          <w:kern w:val="0"/>
          <w:szCs w:val="24"/>
          <w:highlight w:val="none"/>
        </w:rPr>
        <w:t>设置园林有害生物监测样本点，园林养护企业配备专职植保员，定点按月调查与监测，按时上报相关数据至园林有害生物监测平台。</w:t>
      </w:r>
    </w:p>
    <w:p w14:paraId="19C3C25C">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4.1.2</w:t>
      </w:r>
      <w:r>
        <w:rPr>
          <w:rFonts w:hint="eastAsia" w:ascii="方正仿宋_GB2312" w:hAnsi="方正仿宋_GB2312" w:eastAsia="方正仿宋_GB2312" w:cs="方正仿宋_GB2312"/>
          <w:color w:val="auto"/>
          <w:kern w:val="0"/>
          <w:szCs w:val="24"/>
          <w:highlight w:val="none"/>
        </w:rPr>
        <w:t>监测内容</w:t>
      </w:r>
    </w:p>
    <w:p w14:paraId="67B2147B">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定点、定期调查与监测城市园林样本区域内园林有害生物的发生、发展动态。应包括以下内容：</w:t>
      </w:r>
    </w:p>
    <w:p w14:paraId="7AC1C9AA">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a）病、虫害诊断识别：包括病虫害发生的寄主和病、虫害种类。</w:t>
      </w:r>
    </w:p>
    <w:p w14:paraId="417C7AFF">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b）病、虫害发生范围：包括发生区域和发生面积。</w:t>
      </w:r>
    </w:p>
    <w:p w14:paraId="19C5A9A2">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c）病、虫害发生程度：虫害包括虫株率和虫口密度；病害包括病株（叶/果/穗）率和病情指数。</w:t>
      </w:r>
    </w:p>
    <w:p w14:paraId="4976AE95">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4.1.3</w:t>
      </w:r>
      <w:r>
        <w:rPr>
          <w:rFonts w:hint="eastAsia" w:ascii="方正仿宋_GB2312" w:hAnsi="方正仿宋_GB2312" w:eastAsia="方正仿宋_GB2312" w:cs="方正仿宋_GB2312"/>
          <w:color w:val="auto"/>
          <w:kern w:val="0"/>
          <w:szCs w:val="24"/>
          <w:highlight w:val="none"/>
        </w:rPr>
        <w:t>监测时段</w:t>
      </w:r>
    </w:p>
    <w:p w14:paraId="51AF0114">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4.1.3.1</w:t>
      </w:r>
      <w:r>
        <w:rPr>
          <w:rFonts w:hint="eastAsia" w:ascii="方正仿宋_GB2312" w:hAnsi="方正仿宋_GB2312" w:eastAsia="方正仿宋_GB2312" w:cs="方正仿宋_GB2312"/>
          <w:color w:val="auto"/>
          <w:kern w:val="0"/>
          <w:szCs w:val="24"/>
          <w:highlight w:val="none"/>
        </w:rPr>
        <w:t>每月下旬（无植保作业月份除外）植保处结合当月病虫害具体发生情况组织一次有害生物专项检查。</w:t>
      </w:r>
    </w:p>
    <w:p w14:paraId="29B7E914">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4.1.3.2</w:t>
      </w:r>
      <w:r>
        <w:rPr>
          <w:rFonts w:hint="eastAsia" w:ascii="方正仿宋_GB2312" w:hAnsi="方正仿宋_GB2312" w:eastAsia="方正仿宋_GB2312" w:cs="方正仿宋_GB2312"/>
          <w:color w:val="auto"/>
          <w:kern w:val="0"/>
          <w:szCs w:val="24"/>
          <w:highlight w:val="none"/>
        </w:rPr>
        <w:t>根据监测对象的生物学特性和寄主的生长情况设定具体的监测时间和监测频率。</w:t>
      </w:r>
    </w:p>
    <w:p w14:paraId="74407AB3">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4.1.3.3</w:t>
      </w:r>
      <w:r>
        <w:rPr>
          <w:rFonts w:hint="eastAsia" w:ascii="方正仿宋_GB2312" w:hAnsi="方正仿宋_GB2312" w:eastAsia="方正仿宋_GB2312" w:cs="方正仿宋_GB2312"/>
          <w:color w:val="auto"/>
          <w:kern w:val="0"/>
          <w:szCs w:val="24"/>
          <w:highlight w:val="none"/>
        </w:rPr>
        <w:t>每五年组织一次全区域范围内园林有害生物普查。</w:t>
      </w:r>
    </w:p>
    <w:p w14:paraId="429859F4">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4.1.4</w:t>
      </w:r>
      <w:r>
        <w:rPr>
          <w:rFonts w:hint="eastAsia" w:ascii="方正仿宋_GB2312" w:hAnsi="方正仿宋_GB2312" w:eastAsia="方正仿宋_GB2312" w:cs="方正仿宋_GB2312"/>
          <w:color w:val="auto"/>
          <w:kern w:val="0"/>
          <w:szCs w:val="24"/>
          <w:highlight w:val="none"/>
        </w:rPr>
        <w:t>监测方法</w:t>
      </w:r>
    </w:p>
    <w:p w14:paraId="36042D18">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4.1.4.1</w:t>
      </w:r>
      <w:r>
        <w:rPr>
          <w:rFonts w:hint="eastAsia" w:ascii="方正仿宋_GB2312" w:hAnsi="方正仿宋_GB2312" w:eastAsia="方正仿宋_GB2312" w:cs="方正仿宋_GB2312"/>
          <w:color w:val="auto"/>
          <w:kern w:val="0"/>
          <w:szCs w:val="24"/>
          <w:highlight w:val="none"/>
        </w:rPr>
        <w:t>物候监测。利用物候预测法，监测园林植物有害生物发生动态。</w:t>
      </w:r>
    </w:p>
    <w:p w14:paraId="37DFF7E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4.1.4.2</w:t>
      </w:r>
      <w:r>
        <w:rPr>
          <w:rFonts w:hint="eastAsia" w:ascii="方正仿宋_GB2312" w:hAnsi="方正仿宋_GB2312" w:eastAsia="方正仿宋_GB2312" w:cs="方正仿宋_GB2312"/>
          <w:color w:val="auto"/>
          <w:kern w:val="0"/>
          <w:szCs w:val="24"/>
          <w:highlight w:val="none"/>
        </w:rPr>
        <w:t>趋性监测。利用有害生物的趋性，设置诱虫灯、诱捕器、色板、信息素或诱木监测园林植物的害虫发生动态。</w:t>
      </w:r>
    </w:p>
    <w:p w14:paraId="1BEE64D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4.1.4.3</w:t>
      </w:r>
      <w:r>
        <w:rPr>
          <w:rFonts w:hint="eastAsia" w:ascii="方正仿宋_GB2312" w:hAnsi="方正仿宋_GB2312" w:eastAsia="方正仿宋_GB2312" w:cs="方正仿宋_GB2312"/>
          <w:color w:val="auto"/>
          <w:kern w:val="0"/>
          <w:szCs w:val="24"/>
          <w:highlight w:val="none"/>
        </w:rPr>
        <w:t>人工监测。根据人工目测有害生物发生状况，检查植株花朵、果实、叶片、枝条、茎干和根系是否有病虫为害症状，采用包括调查、取样、捕捉、详查、定期巡查和定点监测的方法进行监测。根据不同绿地类别和有害生物的习性，选择平行线、对角线、棋盘式或随机取样等方法，监测有害生物的种类、分布、数量、危害等。</w:t>
      </w:r>
    </w:p>
    <w:p w14:paraId="29D2152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4.1.5</w:t>
      </w:r>
      <w:r>
        <w:rPr>
          <w:rFonts w:hint="eastAsia" w:ascii="方正仿宋_GB2312" w:hAnsi="方正仿宋_GB2312" w:eastAsia="方正仿宋_GB2312" w:cs="方正仿宋_GB2312"/>
          <w:color w:val="auto"/>
          <w:kern w:val="0"/>
          <w:szCs w:val="24"/>
          <w:highlight w:val="none"/>
        </w:rPr>
        <w:t>监测记录</w:t>
      </w:r>
    </w:p>
    <w:p w14:paraId="4F235FCC">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现场采集病虫害的标本或影像资料，第一时间掌握病虫害种类、寄主、发生数量和危害情况等信息，及时发布病虫害调查简报。对于不能鉴定的病虫害采集样本并保存好，送有鉴定资质的专业部门鉴定。</w:t>
      </w:r>
    </w:p>
    <w:p w14:paraId="57932FB9">
      <w:pPr>
        <w:widowControl/>
        <w:spacing w:before="100" w:after="100"/>
        <w:ind w:firstLine="420" w:firstLineChars="200"/>
        <w:rPr>
          <w:rFonts w:ascii="方正仿宋_GB2312" w:hAnsi="方正仿宋_GB2312" w:eastAsia="方正仿宋_GB2312" w:cs="方正仿宋_GB2312"/>
          <w:b/>
          <w:bCs/>
          <w:color w:val="auto"/>
          <w:kern w:val="0"/>
          <w:szCs w:val="24"/>
          <w:highlight w:val="none"/>
        </w:rPr>
      </w:pPr>
      <w:r>
        <w:rPr>
          <w:rFonts w:hint="eastAsia" w:eastAsia="方正仿宋_GB2312" w:cs="Calibri"/>
          <w:color w:val="auto"/>
          <w:kern w:val="0"/>
          <w:szCs w:val="24"/>
          <w:highlight w:val="none"/>
        </w:rPr>
        <w:t>4.2</w:t>
      </w:r>
      <w:r>
        <w:rPr>
          <w:rFonts w:hint="eastAsia" w:ascii="方正仿宋_GB2312" w:hAnsi="方正仿宋_GB2312" w:eastAsia="方正仿宋_GB2312" w:cs="方正仿宋_GB2312"/>
          <w:b/>
          <w:bCs/>
          <w:color w:val="auto"/>
          <w:kern w:val="0"/>
          <w:szCs w:val="24"/>
          <w:highlight w:val="none"/>
        </w:rPr>
        <w:t>监测预报响应</w:t>
      </w:r>
    </w:p>
    <w:p w14:paraId="14822500">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植保员对本区域监测发现的检疫性有害生物应立即报上级业务主管部门；发现危险性及常见的有严重发生趋势的有害生物，必须在发现后24小时内报上级业务主管部门。</w:t>
      </w:r>
    </w:p>
    <w:p w14:paraId="3293F513">
      <w:pPr>
        <w:ind w:firstLine="562" w:firstLineChars="200"/>
        <w:rPr>
          <w:rFonts w:ascii="方正仿宋_GB2312" w:hAnsi="方正仿宋_GB2312" w:eastAsia="方正仿宋_GB2312" w:cs="方正仿宋_GB2312"/>
          <w:b/>
          <w:bCs/>
          <w:color w:val="auto"/>
          <w:sz w:val="28"/>
          <w:szCs w:val="28"/>
          <w:highlight w:val="none"/>
        </w:rPr>
      </w:pPr>
      <w:bookmarkStart w:id="5" w:name="_GoBack"/>
      <w:r>
        <w:rPr>
          <w:rFonts w:eastAsia="方正仿宋_GB2312" w:cs="Calibri"/>
          <w:b/>
          <w:bCs/>
          <w:color w:val="auto"/>
          <w:sz w:val="28"/>
          <w:szCs w:val="28"/>
          <w:highlight w:val="none"/>
        </w:rPr>
        <w:t>5</w:t>
      </w:r>
      <w:r>
        <w:rPr>
          <w:rFonts w:hint="eastAsia" w:ascii="方正仿宋_GB2312" w:hAnsi="方正仿宋_GB2312" w:eastAsia="方正仿宋_GB2312" w:cs="方正仿宋_GB2312"/>
          <w:b/>
          <w:bCs/>
          <w:color w:val="auto"/>
          <w:sz w:val="28"/>
          <w:szCs w:val="28"/>
          <w:highlight w:val="none"/>
        </w:rPr>
        <w:t>综合防控要求</w:t>
      </w:r>
    </w:p>
    <w:bookmarkEnd w:id="5"/>
    <w:p w14:paraId="67932BC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5.1 </w:t>
      </w:r>
      <w:r>
        <w:rPr>
          <w:rFonts w:hint="eastAsia" w:ascii="方正仿宋_GB2312" w:hAnsi="方正仿宋_GB2312" w:eastAsia="方正仿宋_GB2312" w:cs="方正仿宋_GB2312"/>
          <w:color w:val="auto"/>
          <w:kern w:val="0"/>
          <w:szCs w:val="24"/>
          <w:highlight w:val="none"/>
        </w:rPr>
        <w:t xml:space="preserve"> 防治指标</w:t>
      </w:r>
    </w:p>
    <w:p w14:paraId="6A399073">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不同等级绿地的防治指标要求确定见表1。</w:t>
      </w:r>
    </w:p>
    <w:p w14:paraId="0106EC71">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表1不同等级绿地有害生物防治指标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1559"/>
        <w:gridCol w:w="1559"/>
        <w:gridCol w:w="1489"/>
      </w:tblGrid>
      <w:tr w14:paraId="470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1418" w:type="dxa"/>
            <w:vMerge w:val="restart"/>
            <w:vAlign w:val="center"/>
          </w:tcPr>
          <w:p w14:paraId="04C78EA2">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有害生物类别</w:t>
            </w:r>
          </w:p>
        </w:tc>
        <w:tc>
          <w:tcPr>
            <w:tcW w:w="6308" w:type="dxa"/>
            <w:gridSpan w:val="4"/>
            <w:vAlign w:val="center"/>
          </w:tcPr>
          <w:p w14:paraId="16D2913E">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防治指标</w:t>
            </w:r>
          </w:p>
        </w:tc>
      </w:tr>
      <w:tr w14:paraId="565A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8" w:type="dxa"/>
            <w:vMerge w:val="continue"/>
          </w:tcPr>
          <w:p w14:paraId="1F4AD98A">
            <w:pPr>
              <w:widowControl/>
              <w:spacing w:before="100" w:after="100"/>
              <w:rPr>
                <w:rFonts w:ascii="方正仿宋_GB2312" w:hAnsi="方正仿宋_GB2312" w:eastAsia="方正仿宋_GB2312" w:cs="方正仿宋_GB2312"/>
                <w:color w:val="auto"/>
                <w:kern w:val="0"/>
                <w:szCs w:val="24"/>
                <w:highlight w:val="none"/>
              </w:rPr>
            </w:pPr>
          </w:p>
        </w:tc>
        <w:tc>
          <w:tcPr>
            <w:tcW w:w="1701" w:type="dxa"/>
            <w:vAlign w:val="center"/>
          </w:tcPr>
          <w:p w14:paraId="7AFE7D85">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一级绿地</w:t>
            </w:r>
          </w:p>
        </w:tc>
        <w:tc>
          <w:tcPr>
            <w:tcW w:w="1559" w:type="dxa"/>
            <w:vAlign w:val="center"/>
          </w:tcPr>
          <w:p w14:paraId="60E44DDA">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二级绿地</w:t>
            </w:r>
          </w:p>
        </w:tc>
        <w:tc>
          <w:tcPr>
            <w:tcW w:w="1559" w:type="dxa"/>
            <w:vAlign w:val="center"/>
          </w:tcPr>
          <w:p w14:paraId="6430F576">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三级绿地</w:t>
            </w:r>
          </w:p>
        </w:tc>
        <w:tc>
          <w:tcPr>
            <w:tcW w:w="1489" w:type="dxa"/>
            <w:vAlign w:val="center"/>
          </w:tcPr>
          <w:p w14:paraId="381ED0B5">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四级绿地</w:t>
            </w:r>
          </w:p>
        </w:tc>
      </w:tr>
      <w:tr w14:paraId="1D8E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18" w:type="dxa"/>
            <w:vAlign w:val="center"/>
          </w:tcPr>
          <w:p w14:paraId="2A8D09D6">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病虫</w:t>
            </w:r>
          </w:p>
        </w:tc>
        <w:tc>
          <w:tcPr>
            <w:tcW w:w="1701" w:type="dxa"/>
            <w:vAlign w:val="center"/>
          </w:tcPr>
          <w:p w14:paraId="7C4C46D5">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被害株率≤2%</w:t>
            </w:r>
          </w:p>
        </w:tc>
        <w:tc>
          <w:tcPr>
            <w:tcW w:w="1559" w:type="dxa"/>
            <w:vAlign w:val="center"/>
          </w:tcPr>
          <w:p w14:paraId="5A6DAF60">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被害株率≤5%</w:t>
            </w:r>
          </w:p>
        </w:tc>
        <w:tc>
          <w:tcPr>
            <w:tcW w:w="1559" w:type="dxa"/>
            <w:vAlign w:val="center"/>
          </w:tcPr>
          <w:p w14:paraId="67AE53A6">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被害株率≤10%</w:t>
            </w:r>
          </w:p>
        </w:tc>
        <w:tc>
          <w:tcPr>
            <w:tcW w:w="1489" w:type="dxa"/>
            <w:vAlign w:val="center"/>
          </w:tcPr>
          <w:p w14:paraId="4C2EC2D1">
            <w:pPr>
              <w:widowControl/>
              <w:spacing w:before="100" w:after="1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被害株率≤15%</w:t>
            </w:r>
          </w:p>
        </w:tc>
      </w:tr>
    </w:tbl>
    <w:p w14:paraId="1EBEDAE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5.2</w:t>
      </w:r>
      <w:r>
        <w:rPr>
          <w:rFonts w:hint="eastAsia" w:ascii="方正仿宋_GB2312" w:hAnsi="方正仿宋_GB2312" w:eastAsia="方正仿宋_GB2312" w:cs="方正仿宋_GB2312"/>
          <w:color w:val="auto"/>
          <w:kern w:val="0"/>
          <w:szCs w:val="24"/>
          <w:highlight w:val="none"/>
        </w:rPr>
        <w:t>防控操作要求</w:t>
      </w:r>
    </w:p>
    <w:p w14:paraId="3EEAC3D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5.2.1</w:t>
      </w:r>
      <w:r>
        <w:rPr>
          <w:rFonts w:hint="eastAsia" w:ascii="方正仿宋_GB2312" w:hAnsi="方正仿宋_GB2312" w:eastAsia="方正仿宋_GB2312" w:cs="方正仿宋_GB2312"/>
          <w:color w:val="auto"/>
          <w:kern w:val="0"/>
          <w:szCs w:val="24"/>
          <w:highlight w:val="none"/>
        </w:rPr>
        <w:t xml:space="preserve"> 在同一地块避免大面积种植单一园林植物，提倡使用抗性品种、健壮种苗。</w:t>
      </w:r>
    </w:p>
    <w:p w14:paraId="62E76196">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5.2.2</w:t>
      </w:r>
      <w:r>
        <w:rPr>
          <w:rFonts w:hint="eastAsia" w:ascii="方正仿宋_GB2312" w:hAnsi="方正仿宋_GB2312" w:eastAsia="方正仿宋_GB2312" w:cs="方正仿宋_GB2312"/>
          <w:color w:val="auto"/>
          <w:kern w:val="0"/>
          <w:szCs w:val="24"/>
          <w:highlight w:val="none"/>
        </w:rPr>
        <w:t xml:space="preserve"> 绿地内乔灌木疏密合理，控制密度。</w:t>
      </w:r>
    </w:p>
    <w:p w14:paraId="0729183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5.2.3</w:t>
      </w:r>
      <w:r>
        <w:rPr>
          <w:rFonts w:hint="eastAsia" w:ascii="方正仿宋_GB2312" w:hAnsi="方正仿宋_GB2312" w:eastAsia="方正仿宋_GB2312" w:cs="方正仿宋_GB2312"/>
          <w:color w:val="auto"/>
          <w:kern w:val="0"/>
          <w:szCs w:val="24"/>
          <w:highlight w:val="none"/>
        </w:rPr>
        <w:t xml:space="preserve"> 施药操作人员安全及药剂的施用时期必须符合NY/T 1276，操作人员应做好防护工作，避免发生中毒现象。禁止在安全间隔期限内施药，免得产生药害，造成不良结果。</w:t>
      </w:r>
    </w:p>
    <w:p w14:paraId="51E3DFA8">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5.2.4 </w:t>
      </w:r>
      <w:r>
        <w:rPr>
          <w:rFonts w:hint="eastAsia" w:ascii="方正仿宋_GB2312" w:hAnsi="方正仿宋_GB2312" w:eastAsia="方正仿宋_GB2312" w:cs="方正仿宋_GB2312"/>
          <w:color w:val="auto"/>
          <w:kern w:val="0"/>
          <w:szCs w:val="24"/>
          <w:highlight w:val="none"/>
        </w:rPr>
        <w:t>防治时间应避开人流高峰期，在施药时，设置工作区域，禁止行人进入，以防药水喷射到行人身上，不得在人流密集地使用药剂。</w:t>
      </w:r>
    </w:p>
    <w:p w14:paraId="1875A00A">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5.2.5</w:t>
      </w:r>
      <w:r>
        <w:rPr>
          <w:rFonts w:hint="eastAsia" w:ascii="方正仿宋_GB2312" w:hAnsi="方正仿宋_GB2312" w:eastAsia="方正仿宋_GB2312" w:cs="方正仿宋_GB2312"/>
          <w:color w:val="auto"/>
          <w:kern w:val="0"/>
          <w:szCs w:val="24"/>
          <w:highlight w:val="none"/>
        </w:rPr>
        <w:t>树表喷药时间尽量避开高温时段，用药应均匀细致，正反兼顾，喷药后2小时内下雨，应补喷一次药。</w:t>
      </w:r>
    </w:p>
    <w:p w14:paraId="7B22410A">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5.2.6</w:t>
      </w:r>
      <w:r>
        <w:rPr>
          <w:rFonts w:hint="eastAsia" w:ascii="方正仿宋_GB2312" w:hAnsi="方正仿宋_GB2312" w:eastAsia="方正仿宋_GB2312" w:cs="方正仿宋_GB2312"/>
          <w:color w:val="auto"/>
          <w:kern w:val="0"/>
          <w:szCs w:val="24"/>
          <w:highlight w:val="none"/>
        </w:rPr>
        <w:t xml:space="preserve"> 对树干进行钻孔塞药（药签、树干杀虫剂等），应根据树干粗细确定用药量。人为钻孔粗度以不造成树木二次伤害为宜。</w:t>
      </w:r>
    </w:p>
    <w:p w14:paraId="138A1A43">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5.2.7 </w:t>
      </w:r>
      <w:r>
        <w:rPr>
          <w:rFonts w:hint="eastAsia" w:ascii="方正仿宋_GB2312" w:hAnsi="方正仿宋_GB2312" w:eastAsia="方正仿宋_GB2312" w:cs="方正仿宋_GB2312"/>
          <w:color w:val="auto"/>
          <w:kern w:val="0"/>
          <w:szCs w:val="24"/>
          <w:highlight w:val="none"/>
        </w:rPr>
        <w:t>应按农药管理条例，做好药品使用管理及领用使用记录。在植保过程中产生的农药废弃物不能随手丢弃，要集中回收，集中处理。</w:t>
      </w:r>
    </w:p>
    <w:p w14:paraId="4A3EF95C">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5.2.8</w:t>
      </w:r>
      <w:r>
        <w:rPr>
          <w:rFonts w:hint="eastAsia" w:ascii="方正仿宋_GB2312" w:hAnsi="方正仿宋_GB2312" w:eastAsia="方正仿宋_GB2312" w:cs="方正仿宋_GB2312"/>
          <w:color w:val="auto"/>
          <w:kern w:val="0"/>
          <w:szCs w:val="24"/>
          <w:highlight w:val="none"/>
        </w:rPr>
        <w:t>严禁在水源地使用影响水生生物、污染地下水及土壤的药剂。</w:t>
      </w:r>
    </w:p>
    <w:p w14:paraId="36900364">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5.2.9</w:t>
      </w:r>
      <w:r>
        <w:rPr>
          <w:rFonts w:hint="eastAsia" w:ascii="方正仿宋_GB2312" w:hAnsi="方正仿宋_GB2312" w:eastAsia="方正仿宋_GB2312" w:cs="方正仿宋_GB2312"/>
          <w:color w:val="auto"/>
          <w:kern w:val="0"/>
          <w:szCs w:val="24"/>
          <w:highlight w:val="none"/>
        </w:rPr>
        <w:t>绿地中严禁使用灭生性除草剂。</w:t>
      </w:r>
    </w:p>
    <w:p w14:paraId="77F57C08">
      <w:pPr>
        <w:ind w:firstLine="562" w:firstLineChars="200"/>
        <w:rPr>
          <w:rFonts w:ascii="方正仿宋_GB2312" w:hAnsi="方正仿宋_GB2312" w:eastAsia="方正仿宋_GB2312" w:cs="方正仿宋_GB2312"/>
          <w:b/>
          <w:bCs/>
          <w:color w:val="auto"/>
          <w:sz w:val="28"/>
          <w:szCs w:val="28"/>
          <w:highlight w:val="none"/>
        </w:rPr>
      </w:pPr>
      <w:r>
        <w:rPr>
          <w:rFonts w:eastAsia="方正仿宋_GB2312" w:cs="Calibri"/>
          <w:b/>
          <w:bCs/>
          <w:color w:val="auto"/>
          <w:sz w:val="28"/>
          <w:szCs w:val="28"/>
          <w:highlight w:val="none"/>
        </w:rPr>
        <w:t>6</w:t>
      </w:r>
      <w:r>
        <w:rPr>
          <w:rFonts w:hint="eastAsia" w:ascii="方正仿宋_GB2312" w:hAnsi="方正仿宋_GB2312" w:eastAsia="方正仿宋_GB2312" w:cs="方正仿宋_GB2312"/>
          <w:b/>
          <w:bCs/>
          <w:color w:val="auto"/>
          <w:sz w:val="28"/>
          <w:szCs w:val="28"/>
          <w:highlight w:val="none"/>
        </w:rPr>
        <w:t xml:space="preserve"> 综合防控技术</w:t>
      </w:r>
    </w:p>
    <w:p w14:paraId="54EB55C0">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6.1 </w:t>
      </w:r>
      <w:r>
        <w:rPr>
          <w:rFonts w:hint="eastAsia" w:ascii="方正仿宋_GB2312" w:hAnsi="方正仿宋_GB2312" w:eastAsia="方正仿宋_GB2312" w:cs="方正仿宋_GB2312"/>
          <w:color w:val="auto"/>
          <w:kern w:val="0"/>
          <w:szCs w:val="24"/>
          <w:highlight w:val="none"/>
        </w:rPr>
        <w:t>有害生物确定</w:t>
      </w:r>
    </w:p>
    <w:p w14:paraId="79B77AEC">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根据现场取得的病虫害样本和植物受害的具体情况，应参照现有检测规程确定病虫为害类型，或对照常见病虫害诊断表，确定病虫害为害类型，参见附录A（防治月历），并根据防控指标及要求判断是否需要防治及采取相应措施。</w:t>
      </w:r>
    </w:p>
    <w:p w14:paraId="604E0978">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6.2</w:t>
      </w:r>
      <w:r>
        <w:rPr>
          <w:rFonts w:hint="eastAsia" w:ascii="方正仿宋_GB2312" w:hAnsi="方正仿宋_GB2312" w:eastAsia="方正仿宋_GB2312" w:cs="方正仿宋_GB2312"/>
          <w:color w:val="auto"/>
          <w:kern w:val="0"/>
          <w:szCs w:val="24"/>
          <w:highlight w:val="none"/>
        </w:rPr>
        <w:t>园艺防控措施</w:t>
      </w:r>
    </w:p>
    <w:p w14:paraId="66378136">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6.2.1 </w:t>
      </w:r>
      <w:r>
        <w:rPr>
          <w:rFonts w:hint="eastAsia" w:ascii="方正仿宋_GB2312" w:hAnsi="方正仿宋_GB2312" w:eastAsia="方正仿宋_GB2312" w:cs="方正仿宋_GB2312"/>
          <w:color w:val="auto"/>
          <w:kern w:val="0"/>
          <w:szCs w:val="24"/>
          <w:highlight w:val="none"/>
        </w:rPr>
        <w:t>优先选择本地乡土树种及抗病虫树种作为主要树种；常绿植物与落叶植物、速生树种与慢生树种应互相兼顾。</w:t>
      </w:r>
    </w:p>
    <w:p w14:paraId="327080E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6.2.2 </w:t>
      </w:r>
      <w:r>
        <w:rPr>
          <w:rFonts w:hint="eastAsia" w:ascii="方正仿宋_GB2312" w:hAnsi="方正仿宋_GB2312" w:eastAsia="方正仿宋_GB2312" w:cs="方正仿宋_GB2312"/>
          <w:color w:val="auto"/>
          <w:kern w:val="0"/>
          <w:szCs w:val="24"/>
          <w:highlight w:val="none"/>
        </w:rPr>
        <w:t>应增加蜜源植物和益鸟食饵植物在绿地中的种类和数量。</w:t>
      </w:r>
    </w:p>
    <w:p w14:paraId="0C395AF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6.2.3</w:t>
      </w:r>
      <w:r>
        <w:rPr>
          <w:rFonts w:hint="eastAsia" w:ascii="方正仿宋_GB2312" w:hAnsi="方正仿宋_GB2312" w:eastAsia="方正仿宋_GB2312" w:cs="方正仿宋_GB2312"/>
          <w:color w:val="auto"/>
          <w:kern w:val="0"/>
          <w:szCs w:val="24"/>
          <w:highlight w:val="none"/>
        </w:rPr>
        <w:t xml:space="preserve"> 适地、适树、适栽，应合理设置植物规格和栽植密度，一般应保持3-5年生长期内植物间不出现树冠过分重叠、偏冠和恶性竞争生长为宜。</w:t>
      </w:r>
    </w:p>
    <w:p w14:paraId="73602601">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6.2.4</w:t>
      </w:r>
      <w:r>
        <w:rPr>
          <w:rFonts w:hint="eastAsia" w:ascii="方正仿宋_GB2312" w:hAnsi="方正仿宋_GB2312" w:eastAsia="方正仿宋_GB2312" w:cs="方正仿宋_GB2312"/>
          <w:color w:val="auto"/>
          <w:kern w:val="0"/>
          <w:szCs w:val="24"/>
          <w:highlight w:val="none"/>
        </w:rPr>
        <w:t xml:space="preserve"> 人工清除有害生物。</w:t>
      </w:r>
    </w:p>
    <w:p w14:paraId="2ED1C71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6.2.5 </w:t>
      </w:r>
      <w:r>
        <w:rPr>
          <w:rFonts w:hint="eastAsia" w:ascii="方正仿宋_GB2312" w:hAnsi="方正仿宋_GB2312" w:eastAsia="方正仿宋_GB2312" w:cs="方正仿宋_GB2312"/>
          <w:color w:val="auto"/>
          <w:kern w:val="0"/>
          <w:szCs w:val="24"/>
          <w:highlight w:val="none"/>
        </w:rPr>
        <w:t>合理进行水肥管理，提倡使用有机肥，严禁使用未腐熟的介质和肥料。</w:t>
      </w:r>
    </w:p>
    <w:p w14:paraId="33CD0DBF">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6.2.6 </w:t>
      </w:r>
      <w:r>
        <w:rPr>
          <w:rFonts w:hint="eastAsia" w:ascii="方正仿宋_GB2312" w:hAnsi="方正仿宋_GB2312" w:eastAsia="方正仿宋_GB2312" w:cs="方正仿宋_GB2312"/>
          <w:color w:val="auto"/>
          <w:kern w:val="0"/>
          <w:szCs w:val="24"/>
          <w:highlight w:val="none"/>
        </w:rPr>
        <w:t>合理利用冬季清园、深耕或中耕等养护技术控制和减少绿地土壤中病虫源、杂草种子基数，抑制来年病虫、杂草的发生。</w:t>
      </w:r>
    </w:p>
    <w:p w14:paraId="6088D9C0">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6.2.7 </w:t>
      </w:r>
      <w:r>
        <w:rPr>
          <w:rFonts w:hint="eastAsia" w:ascii="方正仿宋_GB2312" w:hAnsi="方正仿宋_GB2312" w:eastAsia="方正仿宋_GB2312" w:cs="方正仿宋_GB2312"/>
          <w:color w:val="auto"/>
          <w:kern w:val="0"/>
          <w:szCs w:val="24"/>
          <w:highlight w:val="none"/>
        </w:rPr>
        <w:t>清理杂草，恶性杂草、缠绕性杂草应连根处理，顽固性杂草、大型杂草应除早除小。</w:t>
      </w:r>
    </w:p>
    <w:p w14:paraId="3C5C2FE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6.3</w:t>
      </w:r>
      <w:r>
        <w:rPr>
          <w:rFonts w:hint="eastAsia" w:ascii="方正仿宋_GB2312" w:hAnsi="方正仿宋_GB2312" w:eastAsia="方正仿宋_GB2312" w:cs="方正仿宋_GB2312"/>
          <w:color w:val="auto"/>
          <w:kern w:val="0"/>
          <w:szCs w:val="24"/>
          <w:highlight w:val="none"/>
        </w:rPr>
        <w:t>物理防控措施</w:t>
      </w:r>
    </w:p>
    <w:p w14:paraId="04806096">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6.3.1</w:t>
      </w:r>
      <w:r>
        <w:rPr>
          <w:rFonts w:hint="eastAsia" w:ascii="方正仿宋_GB2312" w:hAnsi="方正仿宋_GB2312" w:eastAsia="方正仿宋_GB2312" w:cs="方正仿宋_GB2312"/>
          <w:color w:val="auto"/>
          <w:kern w:val="0"/>
          <w:szCs w:val="24"/>
          <w:highlight w:val="none"/>
        </w:rPr>
        <w:t xml:space="preserve"> 合理修剪，去除有害生物危害枝，直径大于5cm的切口或伤口，应及时封涂杀菌剂、保护剂或伤口涂抹剂等。</w:t>
      </w:r>
    </w:p>
    <w:p w14:paraId="1C1D9113">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6.3.2 </w:t>
      </w:r>
      <w:r>
        <w:rPr>
          <w:rFonts w:hint="eastAsia" w:ascii="方正仿宋_GB2312" w:hAnsi="方正仿宋_GB2312" w:eastAsia="方正仿宋_GB2312" w:cs="方正仿宋_GB2312"/>
          <w:color w:val="auto"/>
          <w:kern w:val="0"/>
          <w:szCs w:val="24"/>
          <w:highlight w:val="none"/>
        </w:rPr>
        <w:t>利用害虫的趋光性，采用杀虫灯诱杀成虫；利用害虫的趋化性，采用性信息素、糖醋液、诱饵、诱木等诱杀害虫以及软体动物；利用害虫的趋色性或负趋色性，采用不同色板诱杀或趋避害虫。</w:t>
      </w:r>
    </w:p>
    <w:p w14:paraId="5BB08D58">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6.3.3 </w:t>
      </w:r>
      <w:r>
        <w:rPr>
          <w:rFonts w:hint="eastAsia" w:ascii="方正仿宋_GB2312" w:hAnsi="方正仿宋_GB2312" w:eastAsia="方正仿宋_GB2312" w:cs="方正仿宋_GB2312"/>
          <w:color w:val="auto"/>
          <w:kern w:val="0"/>
          <w:szCs w:val="24"/>
          <w:highlight w:val="none"/>
        </w:rPr>
        <w:t>利用害虫出蛰或休眠期上、下树过程中，在树干涂胶，阻隔害虫上树或灭杀害虫；利用防虫网、地膜覆盖阻隔害虫和病原体传播危害。</w:t>
      </w:r>
    </w:p>
    <w:p w14:paraId="2A72794E">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6.4</w:t>
      </w:r>
      <w:r>
        <w:rPr>
          <w:rFonts w:hint="eastAsia" w:ascii="方正仿宋_GB2312" w:hAnsi="方正仿宋_GB2312" w:eastAsia="方正仿宋_GB2312" w:cs="方正仿宋_GB2312"/>
          <w:color w:val="auto"/>
          <w:kern w:val="0"/>
          <w:szCs w:val="24"/>
          <w:highlight w:val="none"/>
        </w:rPr>
        <w:t>生物防控措施</w:t>
      </w:r>
    </w:p>
    <w:p w14:paraId="57C9A5F4">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6.4.1</w:t>
      </w:r>
      <w:r>
        <w:rPr>
          <w:rFonts w:hint="eastAsia" w:ascii="方正仿宋_GB2312" w:hAnsi="方正仿宋_GB2312" w:eastAsia="方正仿宋_GB2312" w:cs="方正仿宋_GB2312"/>
          <w:color w:val="auto"/>
          <w:kern w:val="0"/>
          <w:szCs w:val="24"/>
          <w:highlight w:val="none"/>
        </w:rPr>
        <w:t>宜多采用天敌防控有害生物，生物防治类型及防治对象参见附录B。</w:t>
      </w:r>
    </w:p>
    <w:p w14:paraId="7AA8CFBE">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6.4.2</w:t>
      </w:r>
      <w:r>
        <w:rPr>
          <w:rFonts w:hint="eastAsia" w:ascii="方正仿宋_GB2312" w:hAnsi="方正仿宋_GB2312" w:eastAsia="方正仿宋_GB2312" w:cs="方正仿宋_GB2312"/>
          <w:color w:val="auto"/>
          <w:kern w:val="0"/>
          <w:szCs w:val="24"/>
          <w:highlight w:val="none"/>
        </w:rPr>
        <w:t>宜多使用病原微生物防控有害生物，推广和使用生物制剂。</w:t>
      </w:r>
    </w:p>
    <w:p w14:paraId="7450584A">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6.4.3</w:t>
      </w:r>
      <w:r>
        <w:rPr>
          <w:rFonts w:hint="eastAsia" w:ascii="方正仿宋_GB2312" w:hAnsi="方正仿宋_GB2312" w:eastAsia="方正仿宋_GB2312" w:cs="方正仿宋_GB2312"/>
          <w:color w:val="auto"/>
          <w:kern w:val="0"/>
          <w:szCs w:val="24"/>
          <w:highlight w:val="none"/>
        </w:rPr>
        <w:t>宜多利用昆虫信息素等诱杀防治害虫。</w:t>
      </w:r>
    </w:p>
    <w:p w14:paraId="57B67F09">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6.4.4</w:t>
      </w:r>
      <w:r>
        <w:rPr>
          <w:rFonts w:hint="eastAsia" w:ascii="方正仿宋_GB2312" w:hAnsi="方正仿宋_GB2312" w:eastAsia="方正仿宋_GB2312" w:cs="方正仿宋_GB2312"/>
          <w:color w:val="auto"/>
          <w:kern w:val="0"/>
          <w:szCs w:val="24"/>
          <w:highlight w:val="none"/>
        </w:rPr>
        <w:t>应利用植物种类间相生相克的自然现象。如枫香与竹类共植可吸引啄木鸟的常驻，减轻天牛的危害；不得将梨属、海棠属植物与锈病的转主寄主柏属植物共植，避免锈病。</w:t>
      </w:r>
    </w:p>
    <w:p w14:paraId="4234E46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eastAsia="方正仿宋_GB2312" w:cs="Calibri"/>
          <w:color w:val="auto"/>
          <w:kern w:val="0"/>
          <w:szCs w:val="24"/>
          <w:highlight w:val="none"/>
        </w:rPr>
        <w:t>6.5</w:t>
      </w:r>
      <w:r>
        <w:rPr>
          <w:rFonts w:hint="eastAsia" w:ascii="方正仿宋_GB2312" w:hAnsi="方正仿宋_GB2312" w:eastAsia="方正仿宋_GB2312" w:cs="方正仿宋_GB2312"/>
          <w:color w:val="auto"/>
          <w:kern w:val="0"/>
          <w:szCs w:val="24"/>
          <w:highlight w:val="none"/>
        </w:rPr>
        <w:t>化学防控措施</w:t>
      </w:r>
    </w:p>
    <w:p w14:paraId="3CEFC75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6.5.1</w:t>
      </w:r>
      <w:r>
        <w:rPr>
          <w:rFonts w:hint="eastAsia" w:ascii="方正仿宋_GB2312" w:hAnsi="方正仿宋_GB2312" w:eastAsia="方正仿宋_GB2312" w:cs="方正仿宋_GB2312"/>
          <w:color w:val="auto"/>
          <w:kern w:val="0"/>
          <w:szCs w:val="24"/>
          <w:highlight w:val="none"/>
        </w:rPr>
        <w:t>坚持预防为主、防治结合原则。病、虫、草等有害生物发生数量超过防治指标时，应及时防治。防治适期参见附录A。</w:t>
      </w:r>
    </w:p>
    <w:p w14:paraId="16C0F639">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6.5.2 </w:t>
      </w:r>
      <w:r>
        <w:rPr>
          <w:rFonts w:hint="eastAsia" w:ascii="方正仿宋_GB2312" w:hAnsi="方正仿宋_GB2312" w:eastAsia="方正仿宋_GB2312" w:cs="方正仿宋_GB2312"/>
          <w:color w:val="auto"/>
          <w:kern w:val="0"/>
          <w:szCs w:val="24"/>
          <w:highlight w:val="none"/>
        </w:rPr>
        <w:t xml:space="preserve"> 农药使用者应严格按照农药标签标注的使用范围、使用方法和剂量、使用技术要求和注意事项使用农药，不得扩大使用范围、加大用药剂量或改变使用办法。</w:t>
      </w:r>
    </w:p>
    <w:p w14:paraId="78DA4EA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 xml:space="preserve">6.5.3 </w:t>
      </w:r>
      <w:r>
        <w:rPr>
          <w:rFonts w:hint="eastAsia" w:ascii="方正仿宋_GB2312" w:hAnsi="方正仿宋_GB2312" w:eastAsia="方正仿宋_GB2312" w:cs="方正仿宋_GB2312"/>
          <w:color w:val="auto"/>
          <w:kern w:val="0"/>
          <w:szCs w:val="24"/>
          <w:highlight w:val="none"/>
        </w:rPr>
        <w:t xml:space="preserve"> 应选择高效低毒药剂和生物药剂，药剂需交替使用，以免产生抗药性。药剂最大残留限量必须符合GB/T 8321（所有部分），防治器械及药剂选择参见附录C。</w:t>
      </w:r>
    </w:p>
    <w:p w14:paraId="772BFADE">
      <w:pPr>
        <w:ind w:firstLine="562" w:firstLineChars="200"/>
        <w:rPr>
          <w:rFonts w:ascii="方正仿宋_GB2312" w:hAnsi="方正仿宋_GB2312" w:eastAsia="方正仿宋_GB2312" w:cs="方正仿宋_GB2312"/>
          <w:b/>
          <w:bCs/>
          <w:color w:val="auto"/>
          <w:sz w:val="28"/>
          <w:szCs w:val="28"/>
          <w:highlight w:val="none"/>
        </w:rPr>
      </w:pPr>
      <w:r>
        <w:rPr>
          <w:rFonts w:eastAsia="方正仿宋_GB2312" w:cs="Calibri"/>
          <w:b/>
          <w:bCs/>
          <w:color w:val="auto"/>
          <w:sz w:val="28"/>
          <w:szCs w:val="28"/>
          <w:highlight w:val="none"/>
        </w:rPr>
        <w:t>7</w:t>
      </w:r>
      <w:r>
        <w:rPr>
          <w:rFonts w:hint="eastAsia" w:ascii="方正仿宋_GB2312" w:hAnsi="方正仿宋_GB2312" w:eastAsia="方正仿宋_GB2312" w:cs="方正仿宋_GB2312"/>
          <w:b/>
          <w:bCs/>
          <w:color w:val="auto"/>
          <w:sz w:val="28"/>
          <w:szCs w:val="28"/>
          <w:highlight w:val="none"/>
        </w:rPr>
        <w:t>技术档案</w:t>
      </w:r>
    </w:p>
    <w:p w14:paraId="466DCD95">
      <w:pPr>
        <w:widowControl/>
        <w:spacing w:before="100" w:after="100"/>
        <w:ind w:firstLine="420" w:firstLineChars="200"/>
        <w:rPr>
          <w:rFonts w:ascii="方正仿宋_GB2312" w:hAnsi="方正仿宋_GB2312" w:eastAsia="方正仿宋_GB2312" w:cs="方正仿宋_GB2312"/>
          <w:b/>
          <w:bCs/>
          <w:color w:val="auto"/>
          <w:kern w:val="0"/>
          <w:szCs w:val="24"/>
          <w:highlight w:val="none"/>
        </w:rPr>
      </w:pPr>
      <w:r>
        <w:rPr>
          <w:rFonts w:hint="eastAsia" w:eastAsia="方正仿宋_GB2312" w:cs="Calibri"/>
          <w:color w:val="auto"/>
          <w:kern w:val="0"/>
          <w:szCs w:val="24"/>
          <w:highlight w:val="none"/>
        </w:rPr>
        <w:t xml:space="preserve">7.1  </w:t>
      </w:r>
      <w:r>
        <w:rPr>
          <w:rFonts w:hint="eastAsia" w:ascii="方正仿宋_GB2312" w:hAnsi="方正仿宋_GB2312" w:eastAsia="方正仿宋_GB2312" w:cs="方正仿宋_GB2312"/>
          <w:b/>
          <w:bCs/>
          <w:color w:val="auto"/>
          <w:kern w:val="0"/>
          <w:szCs w:val="24"/>
          <w:highlight w:val="none"/>
        </w:rPr>
        <w:t>建立档案</w:t>
      </w:r>
    </w:p>
    <w:p w14:paraId="1FCA439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绿地有害生物治理技术档案应有专人负责记录、整理和保管。</w:t>
      </w:r>
    </w:p>
    <w:p w14:paraId="59588E20">
      <w:pPr>
        <w:widowControl/>
        <w:spacing w:before="100" w:after="100"/>
        <w:ind w:firstLine="420" w:firstLineChars="200"/>
        <w:rPr>
          <w:rFonts w:ascii="方正仿宋_GB2312" w:hAnsi="方正仿宋_GB2312" w:eastAsia="方正仿宋_GB2312" w:cs="方正仿宋_GB2312"/>
          <w:b/>
          <w:bCs/>
          <w:color w:val="auto"/>
          <w:kern w:val="0"/>
          <w:szCs w:val="24"/>
          <w:highlight w:val="none"/>
        </w:rPr>
      </w:pPr>
      <w:r>
        <w:rPr>
          <w:rFonts w:hint="eastAsia" w:eastAsia="方正仿宋_GB2312" w:cs="Calibri"/>
          <w:color w:val="auto"/>
          <w:kern w:val="0"/>
          <w:szCs w:val="24"/>
          <w:highlight w:val="none"/>
        </w:rPr>
        <w:t xml:space="preserve">7.2 </w:t>
      </w:r>
      <w:r>
        <w:rPr>
          <w:rFonts w:hint="eastAsia" w:ascii="方正仿宋_GB2312" w:hAnsi="方正仿宋_GB2312" w:eastAsia="方正仿宋_GB2312" w:cs="方正仿宋_GB2312"/>
          <w:b/>
          <w:bCs/>
          <w:color w:val="auto"/>
          <w:kern w:val="0"/>
          <w:szCs w:val="24"/>
          <w:highlight w:val="none"/>
        </w:rPr>
        <w:t xml:space="preserve"> 建档内容</w:t>
      </w:r>
    </w:p>
    <w:p w14:paraId="4DAE78FD">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7.2.1</w:t>
      </w:r>
      <w:r>
        <w:rPr>
          <w:rFonts w:hint="eastAsia" w:ascii="方正仿宋_GB2312" w:hAnsi="方正仿宋_GB2312" w:eastAsia="方正仿宋_GB2312" w:cs="方正仿宋_GB2312"/>
          <w:color w:val="auto"/>
          <w:kern w:val="0"/>
          <w:szCs w:val="24"/>
          <w:highlight w:val="none"/>
        </w:rPr>
        <w:t>气象档案：记录当年特殊气候。</w:t>
      </w:r>
    </w:p>
    <w:p w14:paraId="7D043B30">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7.2.2</w:t>
      </w:r>
      <w:r>
        <w:rPr>
          <w:rFonts w:hint="eastAsia" w:ascii="方正仿宋_GB2312" w:hAnsi="方正仿宋_GB2312" w:eastAsia="方正仿宋_GB2312" w:cs="方正仿宋_GB2312"/>
          <w:color w:val="auto"/>
          <w:kern w:val="0"/>
          <w:szCs w:val="24"/>
          <w:highlight w:val="none"/>
        </w:rPr>
        <w:t>有害生物发生档案：记录有害生物名称、发生期、发生地、虫态、发生量、种群密度、危害率、因病虫的严重危害而伐除的植物数量或面积，并收录相关的照片、视频等。</w:t>
      </w:r>
    </w:p>
    <w:p w14:paraId="46892565">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7.2.3</w:t>
      </w:r>
      <w:r>
        <w:rPr>
          <w:rFonts w:hint="eastAsia" w:ascii="方正仿宋_GB2312" w:hAnsi="方正仿宋_GB2312" w:eastAsia="方正仿宋_GB2312" w:cs="方正仿宋_GB2312"/>
          <w:color w:val="auto"/>
          <w:kern w:val="0"/>
          <w:szCs w:val="24"/>
          <w:highlight w:val="none"/>
        </w:rPr>
        <w:t>有害生物控制档案：记录控制时间、控制方法、控制效果等数据。</w:t>
      </w:r>
    </w:p>
    <w:p w14:paraId="4A90E552">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7.2.4</w:t>
      </w:r>
      <w:r>
        <w:rPr>
          <w:rFonts w:hint="eastAsia" w:ascii="方正仿宋_GB2312" w:hAnsi="方正仿宋_GB2312" w:eastAsia="方正仿宋_GB2312" w:cs="方正仿宋_GB2312"/>
          <w:color w:val="auto"/>
          <w:kern w:val="0"/>
          <w:szCs w:val="24"/>
          <w:highlight w:val="none"/>
        </w:rPr>
        <w:t>药剂使用档案：记录用药名称、规格、使用时间、防治对象、用药方式、稀释浓度、使用次数、用药量、防治效果、寄主植物、防治面积等数据。</w:t>
      </w:r>
    </w:p>
    <w:p w14:paraId="64241FB5">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7.2.5</w:t>
      </w:r>
      <w:r>
        <w:rPr>
          <w:rFonts w:hint="eastAsia" w:ascii="方正仿宋_GB2312" w:hAnsi="方正仿宋_GB2312" w:eastAsia="方正仿宋_GB2312" w:cs="方正仿宋_GB2312"/>
          <w:color w:val="auto"/>
          <w:kern w:val="0"/>
          <w:szCs w:val="24"/>
          <w:highlight w:val="none"/>
        </w:rPr>
        <w:t>标本档案：将本市发生的绿化植物病害、虫害、有害植物、天敌等种类制作成干制、针插、浸渍、玻片等标本，并记录其学名、中文名、鉴定人、采集时间、地点、采集人。</w:t>
      </w:r>
    </w:p>
    <w:p w14:paraId="721E9F9E">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eastAsia="方正仿宋_GB2312" w:cs="Calibri"/>
          <w:color w:val="auto"/>
          <w:kern w:val="0"/>
          <w:szCs w:val="24"/>
          <w:highlight w:val="none"/>
        </w:rPr>
        <w:t>7.2.6</w:t>
      </w:r>
      <w:r>
        <w:rPr>
          <w:rFonts w:hint="eastAsia" w:ascii="方正仿宋_GB2312" w:hAnsi="方正仿宋_GB2312" w:eastAsia="方正仿宋_GB2312" w:cs="方正仿宋_GB2312"/>
          <w:color w:val="auto"/>
          <w:kern w:val="0"/>
          <w:szCs w:val="24"/>
          <w:highlight w:val="none"/>
        </w:rPr>
        <w:t>管理技术档案：植保工作计划、方案、总结、养护台账。</w:t>
      </w:r>
    </w:p>
    <w:p w14:paraId="37F51C99">
      <w:pPr>
        <w:widowControl/>
        <w:spacing w:before="100" w:after="100"/>
        <w:ind w:firstLine="420" w:firstLineChars="200"/>
        <w:rPr>
          <w:rFonts w:ascii="方正仿宋_GB2312" w:hAnsi="方正仿宋_GB2312" w:eastAsia="方正仿宋_GB2312" w:cs="方正仿宋_GB2312"/>
          <w:b/>
          <w:bCs/>
          <w:color w:val="auto"/>
          <w:kern w:val="0"/>
          <w:szCs w:val="24"/>
          <w:highlight w:val="none"/>
        </w:rPr>
      </w:pPr>
      <w:r>
        <w:rPr>
          <w:rFonts w:hint="eastAsia" w:eastAsia="方正仿宋_GB2312" w:cs="Calibri"/>
          <w:color w:val="auto"/>
          <w:kern w:val="0"/>
          <w:szCs w:val="24"/>
          <w:highlight w:val="none"/>
        </w:rPr>
        <w:t xml:space="preserve">7.3 </w:t>
      </w:r>
      <w:r>
        <w:rPr>
          <w:rFonts w:hint="eastAsia" w:ascii="方正仿宋_GB2312" w:hAnsi="方正仿宋_GB2312" w:eastAsia="方正仿宋_GB2312" w:cs="方正仿宋_GB2312"/>
          <w:b/>
          <w:bCs/>
          <w:color w:val="auto"/>
          <w:kern w:val="0"/>
          <w:szCs w:val="24"/>
          <w:highlight w:val="none"/>
        </w:rPr>
        <w:t xml:space="preserve"> 档案表格</w:t>
      </w:r>
    </w:p>
    <w:p w14:paraId="1F930587">
      <w:pPr>
        <w:widowControl/>
        <w:spacing w:before="100" w:after="100"/>
        <w:ind w:firstLine="420" w:firstLineChars="200"/>
        <w:rPr>
          <w:rFonts w:ascii="方正仿宋_GB2312" w:hAnsi="方正仿宋_GB2312" w:eastAsia="方正仿宋_GB2312" w:cs="方正仿宋_GB2312"/>
          <w:color w:val="auto"/>
          <w:kern w:val="0"/>
          <w:szCs w:val="24"/>
          <w:highlight w:val="none"/>
        </w:rPr>
      </w:pPr>
      <w:r>
        <w:rPr>
          <w:rFonts w:hint="eastAsia" w:ascii="方正仿宋_GB2312" w:hAnsi="方正仿宋_GB2312" w:eastAsia="方正仿宋_GB2312" w:cs="方正仿宋_GB2312"/>
          <w:color w:val="auto"/>
          <w:kern w:val="0"/>
          <w:szCs w:val="24"/>
          <w:highlight w:val="none"/>
        </w:rPr>
        <w:t>城市园林绿地有害生物发生和防治技术方案记录表格，详见附表39、40。</w:t>
      </w:r>
    </w:p>
    <w:p w14:paraId="34316542">
      <w:pPr>
        <w:widowControl/>
        <w:spacing w:before="100" w:after="100"/>
        <w:rPr>
          <w:rFonts w:ascii="方正仿宋_GB2312" w:hAnsi="方正仿宋_GB2312" w:eastAsia="方正仿宋_GB2312" w:cs="方正仿宋_GB2312"/>
          <w:color w:val="auto"/>
          <w:kern w:val="0"/>
          <w:szCs w:val="24"/>
          <w:highlight w:val="none"/>
        </w:rPr>
      </w:pPr>
    </w:p>
    <w:p w14:paraId="4D101628">
      <w:pPr>
        <w:pStyle w:val="4"/>
        <w:jc w:val="center"/>
        <w:rPr>
          <w:rFonts w:ascii="方正仿宋_GB2312" w:hAnsi="方正仿宋_GB2312" w:eastAsia="方正仿宋_GB2312" w:cs="方正仿宋_GB2312"/>
          <w:color w:val="auto"/>
          <w:sz w:val="21"/>
          <w:szCs w:val="21"/>
          <w:highlight w:val="none"/>
        </w:rPr>
      </w:pPr>
    </w:p>
    <w:p w14:paraId="40739CF4">
      <w:pPr>
        <w:rPr>
          <w:rFonts w:ascii="方正仿宋_GB2312" w:hAnsi="方正仿宋_GB2312" w:eastAsia="方正仿宋_GB2312" w:cs="方正仿宋_GB2312"/>
          <w:color w:val="auto"/>
          <w:szCs w:val="21"/>
          <w:highlight w:val="none"/>
        </w:rPr>
        <w:sectPr>
          <w:pgSz w:w="11906" w:h="16838"/>
          <w:pgMar w:top="1440" w:right="1800" w:bottom="1440" w:left="1800" w:header="851" w:footer="992" w:gutter="0"/>
          <w:cols w:space="720" w:num="1"/>
          <w:docGrid w:type="lines" w:linePitch="312" w:charSpace="0"/>
        </w:sectPr>
      </w:pPr>
    </w:p>
    <w:p w14:paraId="35CDBDE3">
      <w:pPr>
        <w:pStyle w:val="3"/>
        <w:ind w:firstLine="0"/>
        <w:jc w:val="center"/>
        <w:rPr>
          <w:color w:val="auto"/>
          <w:highlight w:val="none"/>
        </w:rPr>
      </w:pPr>
      <w:bookmarkStart w:id="1" w:name="_Toc17859"/>
      <w:r>
        <w:rPr>
          <w:color w:val="auto"/>
          <w:highlight w:val="none"/>
        </w:rPr>
        <w:t>附录</w:t>
      </w:r>
      <w:r>
        <w:rPr>
          <w:rFonts w:hint="eastAsia"/>
          <w:color w:val="auto"/>
          <w:highlight w:val="none"/>
        </w:rPr>
        <w:t>A苏州工业园区主要病虫害防治月历</w:t>
      </w:r>
      <w:bookmarkEnd w:id="1"/>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25"/>
        <w:gridCol w:w="425"/>
        <w:gridCol w:w="425"/>
        <w:gridCol w:w="425"/>
        <w:gridCol w:w="425"/>
        <w:gridCol w:w="425"/>
        <w:gridCol w:w="425"/>
        <w:gridCol w:w="425"/>
        <w:gridCol w:w="425"/>
        <w:gridCol w:w="442"/>
        <w:gridCol w:w="442"/>
        <w:gridCol w:w="442"/>
        <w:gridCol w:w="5963"/>
        <w:gridCol w:w="2164"/>
      </w:tblGrid>
      <w:tr w14:paraId="10BF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Merge w:val="restart"/>
            <w:vAlign w:val="center"/>
          </w:tcPr>
          <w:p w14:paraId="10586D6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
                <w:color w:val="auto"/>
                <w:kern w:val="0"/>
                <w:sz w:val="18"/>
                <w:szCs w:val="18"/>
                <w:highlight w:val="none"/>
              </w:rPr>
              <w:t>病虫害种类</w:t>
            </w:r>
          </w:p>
        </w:tc>
        <w:tc>
          <w:tcPr>
            <w:tcW w:w="1817" w:type="pct"/>
            <w:gridSpan w:val="12"/>
            <w:vAlign w:val="center"/>
          </w:tcPr>
          <w:p w14:paraId="0BB2820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
                <w:color w:val="auto"/>
                <w:kern w:val="0"/>
                <w:sz w:val="18"/>
                <w:szCs w:val="18"/>
                <w:highlight w:val="none"/>
              </w:rPr>
              <w:t>防治适期</w:t>
            </w:r>
          </w:p>
        </w:tc>
        <w:tc>
          <w:tcPr>
            <w:tcW w:w="2103" w:type="pct"/>
            <w:vMerge w:val="restart"/>
            <w:vAlign w:val="center"/>
          </w:tcPr>
          <w:p w14:paraId="51AF357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
                <w:color w:val="auto"/>
                <w:kern w:val="0"/>
                <w:sz w:val="18"/>
                <w:szCs w:val="18"/>
                <w:highlight w:val="none"/>
              </w:rPr>
              <w:t>防治方法</w:t>
            </w:r>
          </w:p>
        </w:tc>
        <w:tc>
          <w:tcPr>
            <w:tcW w:w="763" w:type="pct"/>
            <w:vMerge w:val="restart"/>
            <w:vAlign w:val="center"/>
          </w:tcPr>
          <w:p w14:paraId="0BE9EA9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
                <w:color w:val="auto"/>
                <w:kern w:val="0"/>
                <w:sz w:val="18"/>
                <w:szCs w:val="18"/>
                <w:highlight w:val="none"/>
              </w:rPr>
              <w:t>寄主植物</w:t>
            </w:r>
          </w:p>
        </w:tc>
      </w:tr>
      <w:tr w14:paraId="07C8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Merge w:val="continue"/>
            <w:vAlign w:val="center"/>
          </w:tcPr>
          <w:p w14:paraId="7C6B170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5D7071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1月</w:t>
            </w:r>
          </w:p>
        </w:tc>
        <w:tc>
          <w:tcPr>
            <w:tcW w:w="150" w:type="pct"/>
            <w:vAlign w:val="center"/>
          </w:tcPr>
          <w:p w14:paraId="1435C32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2月</w:t>
            </w:r>
          </w:p>
        </w:tc>
        <w:tc>
          <w:tcPr>
            <w:tcW w:w="150" w:type="pct"/>
            <w:vAlign w:val="center"/>
          </w:tcPr>
          <w:p w14:paraId="7291CAE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3月</w:t>
            </w:r>
          </w:p>
        </w:tc>
        <w:tc>
          <w:tcPr>
            <w:tcW w:w="150" w:type="pct"/>
            <w:vAlign w:val="center"/>
          </w:tcPr>
          <w:p w14:paraId="453FE9B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4月</w:t>
            </w:r>
          </w:p>
        </w:tc>
        <w:tc>
          <w:tcPr>
            <w:tcW w:w="150" w:type="pct"/>
            <w:vAlign w:val="center"/>
          </w:tcPr>
          <w:p w14:paraId="3F825BF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5月</w:t>
            </w:r>
          </w:p>
        </w:tc>
        <w:tc>
          <w:tcPr>
            <w:tcW w:w="150" w:type="pct"/>
            <w:vAlign w:val="center"/>
          </w:tcPr>
          <w:p w14:paraId="67E6897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6月</w:t>
            </w:r>
          </w:p>
        </w:tc>
        <w:tc>
          <w:tcPr>
            <w:tcW w:w="150" w:type="pct"/>
            <w:vAlign w:val="center"/>
          </w:tcPr>
          <w:p w14:paraId="63F6D40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7月</w:t>
            </w:r>
          </w:p>
        </w:tc>
        <w:tc>
          <w:tcPr>
            <w:tcW w:w="150" w:type="pct"/>
            <w:vAlign w:val="center"/>
          </w:tcPr>
          <w:p w14:paraId="783EECE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8月</w:t>
            </w:r>
          </w:p>
        </w:tc>
        <w:tc>
          <w:tcPr>
            <w:tcW w:w="150" w:type="pct"/>
            <w:vAlign w:val="center"/>
          </w:tcPr>
          <w:p w14:paraId="5CBB87E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9月</w:t>
            </w:r>
          </w:p>
        </w:tc>
        <w:tc>
          <w:tcPr>
            <w:tcW w:w="156" w:type="pct"/>
            <w:vAlign w:val="center"/>
          </w:tcPr>
          <w:p w14:paraId="234C328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10月</w:t>
            </w:r>
          </w:p>
        </w:tc>
        <w:tc>
          <w:tcPr>
            <w:tcW w:w="156" w:type="pct"/>
            <w:vAlign w:val="center"/>
          </w:tcPr>
          <w:p w14:paraId="7CEB1DE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11月</w:t>
            </w:r>
          </w:p>
        </w:tc>
        <w:tc>
          <w:tcPr>
            <w:tcW w:w="156" w:type="pct"/>
            <w:vAlign w:val="center"/>
          </w:tcPr>
          <w:p w14:paraId="19F3E6A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12月</w:t>
            </w:r>
          </w:p>
        </w:tc>
        <w:tc>
          <w:tcPr>
            <w:tcW w:w="2103" w:type="pct"/>
            <w:vMerge w:val="continue"/>
            <w:vAlign w:val="center"/>
          </w:tcPr>
          <w:p w14:paraId="0F3E57A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763" w:type="pct"/>
            <w:vMerge w:val="continue"/>
            <w:vAlign w:val="center"/>
          </w:tcPr>
          <w:p w14:paraId="3E6FA80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r>
      <w:tr w14:paraId="446A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14:paraId="6FB6E56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草履蚧</w:t>
            </w:r>
          </w:p>
        </w:tc>
        <w:tc>
          <w:tcPr>
            <w:tcW w:w="150" w:type="pct"/>
            <w:vAlign w:val="center"/>
          </w:tcPr>
          <w:p w14:paraId="60D48EE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2FF1E6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216EFB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4C1561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4751EB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E9044E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64C721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C363BC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AB1D87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A80356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49012C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D68423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23C4D4A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25%阿克泰8000倍或70%艾美乐5000倍喷雾</w:t>
            </w:r>
          </w:p>
        </w:tc>
        <w:tc>
          <w:tcPr>
            <w:tcW w:w="763" w:type="pct"/>
            <w:vAlign w:val="center"/>
          </w:tcPr>
          <w:p w14:paraId="16876A7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无患子、珊瑚树等植物</w:t>
            </w:r>
          </w:p>
        </w:tc>
      </w:tr>
      <w:tr w14:paraId="6142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CFDBDB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栾多态毛蚜</w:t>
            </w:r>
          </w:p>
        </w:tc>
        <w:tc>
          <w:tcPr>
            <w:tcW w:w="150" w:type="pct"/>
            <w:vAlign w:val="center"/>
          </w:tcPr>
          <w:p w14:paraId="01F786D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63D8A4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A85343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1D37A1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4DD32C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937C15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BCE311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74A0A8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986B86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7692FFA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72826A1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A71BC8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5952D21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25%阿克泰8000倍或70%艾美乐5000倍喷雾</w:t>
            </w:r>
          </w:p>
        </w:tc>
        <w:tc>
          <w:tcPr>
            <w:tcW w:w="763" w:type="pct"/>
            <w:vAlign w:val="center"/>
          </w:tcPr>
          <w:p w14:paraId="01E3641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栾树</w:t>
            </w:r>
          </w:p>
        </w:tc>
      </w:tr>
      <w:tr w14:paraId="11D8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E4AC0C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葱兰炭疽病</w:t>
            </w:r>
          </w:p>
        </w:tc>
        <w:tc>
          <w:tcPr>
            <w:tcW w:w="150" w:type="pct"/>
            <w:vAlign w:val="center"/>
          </w:tcPr>
          <w:p w14:paraId="67314BE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5FE7C2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ED5F08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333BF4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A8658F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689B22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FF39BF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1017AB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5D1921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607D57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981494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9C8EE6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29D1E79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1-2月份割除地上叶片，喷施石硫合剂等药剂清除越冬菌源；梅雨期间加强防治工作，喷施代森锰锌、多菌灵等药剂预防病害发生。</w:t>
            </w:r>
          </w:p>
        </w:tc>
        <w:tc>
          <w:tcPr>
            <w:tcW w:w="763" w:type="pct"/>
            <w:vAlign w:val="center"/>
          </w:tcPr>
          <w:p w14:paraId="67A85D3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葱兰</w:t>
            </w:r>
          </w:p>
        </w:tc>
      </w:tr>
      <w:tr w14:paraId="2EB1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EC9407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紫薇梨象</w:t>
            </w:r>
          </w:p>
        </w:tc>
        <w:tc>
          <w:tcPr>
            <w:tcW w:w="150" w:type="pct"/>
            <w:vAlign w:val="center"/>
          </w:tcPr>
          <w:p w14:paraId="4C81AEF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990A03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933CFB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5E5562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ACFB4D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6DD6A4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89FCCD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B425D4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30B414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7FD147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7E94B1F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1A1D326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8C9964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3-10 月喷施4.5%高效氯氰菊酯1000倍液混配2%甲维盐2000倍液防治成虫；秋季及时减除果实，降低越冬成虫数量</w:t>
            </w:r>
          </w:p>
        </w:tc>
        <w:tc>
          <w:tcPr>
            <w:tcW w:w="763" w:type="pct"/>
            <w:vAlign w:val="center"/>
          </w:tcPr>
          <w:p w14:paraId="5D8423B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紫薇</w:t>
            </w:r>
          </w:p>
        </w:tc>
      </w:tr>
      <w:tr w14:paraId="026F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F06792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黄杨绢野螟</w:t>
            </w:r>
          </w:p>
        </w:tc>
        <w:tc>
          <w:tcPr>
            <w:tcW w:w="150" w:type="pct"/>
            <w:vAlign w:val="center"/>
          </w:tcPr>
          <w:p w14:paraId="3B45541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47EF15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B837B5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BBEAB8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71B41E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27F767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1310E9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948695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40DFF6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0052F9C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44DDDA2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937D8D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D0D09E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越冬代幼虫是该虫防治的关键，越冬代防治彻底将达到一劳永逸的效果。在3月中下旬，越冬幼虫出苞为害期，使用100亿孢子/ml短稳杆菌600~800倍液，或1.2%苦参烟碱乳油1000倍液，或4.5%高效氯氰菊酯1000倍液等喷雾防治</w:t>
            </w:r>
          </w:p>
        </w:tc>
        <w:tc>
          <w:tcPr>
            <w:tcW w:w="763" w:type="pct"/>
            <w:vAlign w:val="center"/>
          </w:tcPr>
          <w:p w14:paraId="172FE83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瓜子黄杨</w:t>
            </w:r>
          </w:p>
        </w:tc>
      </w:tr>
      <w:tr w14:paraId="7416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677E15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二色切叶象</w:t>
            </w:r>
          </w:p>
        </w:tc>
        <w:tc>
          <w:tcPr>
            <w:tcW w:w="150" w:type="pct"/>
            <w:vAlign w:val="center"/>
          </w:tcPr>
          <w:p w14:paraId="5230B68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5707DC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F0697B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F42A5D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E987A7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EBAB28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2ADD16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A90509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E40703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A07BE1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250F0D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A19C66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02420E2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1、及时清除落叶；2、喷施4.5%高效氯氰菊酯1000倍液混配2%甲维盐2000倍液防治成虫</w:t>
            </w:r>
          </w:p>
        </w:tc>
        <w:tc>
          <w:tcPr>
            <w:tcW w:w="763" w:type="pct"/>
            <w:vAlign w:val="center"/>
          </w:tcPr>
          <w:p w14:paraId="188105A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石楠、樱花</w:t>
            </w:r>
          </w:p>
        </w:tc>
      </w:tr>
      <w:tr w14:paraId="0CD1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FE684F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蚜虫</w:t>
            </w:r>
          </w:p>
        </w:tc>
        <w:tc>
          <w:tcPr>
            <w:tcW w:w="150" w:type="pct"/>
            <w:vAlign w:val="center"/>
          </w:tcPr>
          <w:p w14:paraId="725C7A2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505B7E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00B692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B492AB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7853C5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18548E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82330C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A7562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FCB359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3BB4751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0187A2B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4C8C44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5379DB8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25%阿克泰8000倍或70%艾美乐5000倍喷雾</w:t>
            </w:r>
          </w:p>
        </w:tc>
        <w:tc>
          <w:tcPr>
            <w:tcW w:w="763" w:type="pct"/>
            <w:vAlign w:val="center"/>
          </w:tcPr>
          <w:p w14:paraId="1EDD028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火棘、红叶石楠、三角枫、、重阳木、西府海棠、无患子、紫薇、蔓长春等</w:t>
            </w:r>
          </w:p>
        </w:tc>
      </w:tr>
      <w:tr w14:paraId="1A14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664172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杜鹃冠网蝽</w:t>
            </w:r>
          </w:p>
        </w:tc>
        <w:tc>
          <w:tcPr>
            <w:tcW w:w="150" w:type="pct"/>
            <w:vAlign w:val="center"/>
          </w:tcPr>
          <w:p w14:paraId="575103A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B45194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90122F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9E2FE2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DE620C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1597EB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93DEA0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B2EB07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F0BF44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E463BC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5DEA221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EC79E1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5A35495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1、用5%啶虫脒1000倍液、10%吡虫啉800倍（70%艾美乐5000~ 8000倍）或25%阿克泰（噻虫嗪）8000倍喷雾防治。杜鹃种植较密的区域，建议施药时将喷头深入杜鹃丛中，自下向上喷，尽量喷到所有叶片，增加防治效果； 2、也可埋施呋虫胺或噻虫嗪颗粒剂。</w:t>
            </w:r>
          </w:p>
        </w:tc>
        <w:tc>
          <w:tcPr>
            <w:tcW w:w="763" w:type="pct"/>
            <w:vAlign w:val="center"/>
          </w:tcPr>
          <w:p w14:paraId="5E54B1F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杜鹃</w:t>
            </w:r>
          </w:p>
        </w:tc>
      </w:tr>
      <w:tr w14:paraId="7EEF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ED7D87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梨锈病</w:t>
            </w:r>
          </w:p>
        </w:tc>
        <w:tc>
          <w:tcPr>
            <w:tcW w:w="150" w:type="pct"/>
            <w:vAlign w:val="center"/>
          </w:tcPr>
          <w:p w14:paraId="544DEB3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221C8E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6B73AC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EE99C9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889ABD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7E2D3E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B5203D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0D8045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068E21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0E931B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3EA8B3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41029F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D283AE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1）绿地中贴梗海棠、梨树等植物附近避免种植桧柏等柏类植物，梨园尽可能远离桧柏等柏类植物 。2）在冬孢子堆膨大前(3月中旬前)，在桧柏类植物上喷施1~2度的波尔多液或大生600倍液。3）在4月上旬梨树、贴梗海棠等植物花谢后，喷施20%粉锈宁乳油1500倍或12.5%烯唑醇2500~3000倍预防（不要在花期使用）。</w:t>
            </w:r>
          </w:p>
        </w:tc>
        <w:tc>
          <w:tcPr>
            <w:tcW w:w="763" w:type="pct"/>
            <w:vAlign w:val="center"/>
          </w:tcPr>
          <w:p w14:paraId="509CC04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梨树、贴梗海棠</w:t>
            </w:r>
          </w:p>
        </w:tc>
      </w:tr>
      <w:tr w14:paraId="4521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8FCCD4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石楠白粉病</w:t>
            </w:r>
          </w:p>
        </w:tc>
        <w:tc>
          <w:tcPr>
            <w:tcW w:w="150" w:type="pct"/>
            <w:vAlign w:val="center"/>
          </w:tcPr>
          <w:p w14:paraId="672A21E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D1D3BF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EDD893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34816F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C22F96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969790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0381C7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4F7244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10AD93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706970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04E45E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7A9627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C2CB75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对于发生严重的植物，应先修剪掉发病严重的枝叶，减少侵染源，再进行药剂防治。2）注意在发病初期及时施药，如发病严重后再施药，很难防治。3）防治白粉病的药剂为12.5%腈菌唑粉剂或20%三唑酮乳油1500-2000倍、12.5%烯唑醇（力克菌）粉剂2500-3000倍。建议立刻防治，每隔10至15天施药一次，连续3-5次。</w:t>
            </w:r>
          </w:p>
        </w:tc>
        <w:tc>
          <w:tcPr>
            <w:tcW w:w="763" w:type="pct"/>
            <w:vAlign w:val="center"/>
          </w:tcPr>
          <w:p w14:paraId="0A26793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椤木石楠</w:t>
            </w:r>
          </w:p>
        </w:tc>
      </w:tr>
      <w:tr w14:paraId="5F72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881B27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石楠红斑病</w:t>
            </w:r>
          </w:p>
        </w:tc>
        <w:tc>
          <w:tcPr>
            <w:tcW w:w="150" w:type="pct"/>
            <w:vAlign w:val="center"/>
          </w:tcPr>
          <w:p w14:paraId="44D6704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8E7DF4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3F2495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08DACA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B3E40E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C47C28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86C081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D509D5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4CB1CB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B92B39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D98537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2B446E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E4AA10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春季新叶萌发开始使用大生600倍液进行预防，如有病斑出现使用10%苯醚甲环唑2500倍液进行防治，间隔10天左右。</w:t>
            </w:r>
          </w:p>
        </w:tc>
        <w:tc>
          <w:tcPr>
            <w:tcW w:w="763" w:type="pct"/>
            <w:vAlign w:val="center"/>
          </w:tcPr>
          <w:p w14:paraId="2A8FF21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红叶石楠</w:t>
            </w:r>
          </w:p>
        </w:tc>
      </w:tr>
      <w:tr w14:paraId="7D2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9B8EA0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女贞球象</w:t>
            </w:r>
          </w:p>
        </w:tc>
        <w:tc>
          <w:tcPr>
            <w:tcW w:w="150" w:type="pct"/>
            <w:vAlign w:val="center"/>
          </w:tcPr>
          <w:p w14:paraId="50545DA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4BB309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9EA2F5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14555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AEB324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35BE55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19A049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9C52EA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D3FA66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5DAB8A4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81557A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D52E12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19C267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喷施4.5%高效氯氰菊酯1000倍液混配2%甲维盐2000倍液防治成虫、幼虫</w:t>
            </w:r>
          </w:p>
        </w:tc>
        <w:tc>
          <w:tcPr>
            <w:tcW w:w="763" w:type="pct"/>
            <w:vAlign w:val="center"/>
          </w:tcPr>
          <w:p w14:paraId="1BD7723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金叶女贞、金森女贞</w:t>
            </w:r>
          </w:p>
        </w:tc>
      </w:tr>
      <w:tr w14:paraId="772D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FE7B67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枫杨跳象</w:t>
            </w:r>
          </w:p>
        </w:tc>
        <w:tc>
          <w:tcPr>
            <w:tcW w:w="150" w:type="pct"/>
            <w:vAlign w:val="center"/>
          </w:tcPr>
          <w:p w14:paraId="7197253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B027B7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BC138F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1696CC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1441EC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7BEC1A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4546E5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06CAB6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246094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F4899A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F33CCE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EEF116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84AF47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喷施4.5%高效氯氰菊酯1000倍液混配2%甲维盐2000倍液防治成虫、幼虫</w:t>
            </w:r>
          </w:p>
        </w:tc>
        <w:tc>
          <w:tcPr>
            <w:tcW w:w="763" w:type="pct"/>
            <w:vAlign w:val="center"/>
          </w:tcPr>
          <w:p w14:paraId="3587A4A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枫杨</w:t>
            </w:r>
          </w:p>
        </w:tc>
      </w:tr>
      <w:tr w14:paraId="3C51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64D0C3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银杏超小卷叶蛾</w:t>
            </w:r>
          </w:p>
        </w:tc>
        <w:tc>
          <w:tcPr>
            <w:tcW w:w="150" w:type="pct"/>
            <w:vAlign w:val="center"/>
          </w:tcPr>
          <w:p w14:paraId="323A153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13ED3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F13BC0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F9AD45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6FE355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F209A3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3675E0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FAD765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90A918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A2DCD3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D549BF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7EAC13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9AD00A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（1）4月中下旬-5月中旬幼虫为害盛期， 1.2%苦参烟碱800倍液加4.5%高效氯氰菊酯800倍液或氯虫苯甲酰胺喷雾树冠，每周防治1次。</w:t>
            </w:r>
          </w:p>
          <w:p w14:paraId="61003523">
            <w:pPr>
              <w:widowControl/>
              <w:spacing w:line="0" w:lineRule="atLeast"/>
              <w:jc w:val="center"/>
              <w:rPr>
                <w:rFonts w:ascii="方正仿宋_GB2312" w:hAnsi="方正仿宋_GB2312" w:eastAsia="方正仿宋_GB2312" w:cs="方正仿宋_GB2312"/>
                <w:bCs/>
                <w:color w:val="auto"/>
                <w:kern w:val="0"/>
                <w:sz w:val="18"/>
                <w:szCs w:val="18"/>
                <w:highlight w:val="none"/>
              </w:rPr>
            </w:pPr>
          </w:p>
          <w:p w14:paraId="32085EE0">
            <w:pPr>
              <w:widowControl/>
              <w:spacing w:line="0" w:lineRule="atLeast"/>
              <w:jc w:val="center"/>
              <w:rPr>
                <w:rFonts w:ascii="方正仿宋_GB2312" w:hAnsi="方正仿宋_GB2312" w:eastAsia="方正仿宋_GB2312" w:cs="方正仿宋_GB2312"/>
                <w:bCs/>
                <w:color w:val="auto"/>
                <w:kern w:val="0"/>
                <w:sz w:val="18"/>
                <w:szCs w:val="18"/>
                <w:highlight w:val="none"/>
              </w:rPr>
            </w:pPr>
          </w:p>
          <w:p w14:paraId="0049768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（2）5月下旬至6月上旬为老熟幼虫转向枯叶的盛期。6月中下旬幼虫爬回树干，并蛀入树皮。 4.5%高效氯氰菊酯800倍液、氯虫苯甲酰胺交替使用喷雾树冠，每周防治1次 。同时用绿色威雷喷雾树干消灭下树幼虫，每周防治1次 。</w:t>
            </w:r>
          </w:p>
        </w:tc>
        <w:tc>
          <w:tcPr>
            <w:tcW w:w="763" w:type="pct"/>
            <w:vAlign w:val="center"/>
          </w:tcPr>
          <w:p w14:paraId="059471B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银杏</w:t>
            </w:r>
          </w:p>
        </w:tc>
      </w:tr>
      <w:tr w14:paraId="41A7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6664DA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天牛幼虫</w:t>
            </w:r>
          </w:p>
        </w:tc>
        <w:tc>
          <w:tcPr>
            <w:tcW w:w="150" w:type="pct"/>
            <w:vAlign w:val="center"/>
          </w:tcPr>
          <w:p w14:paraId="04F93D6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17A22C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29E2F9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77504C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A78724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60421C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F41993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381A7F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D4D0C3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5E25957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8399F7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1E49B6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09AD376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对明显排泄孔处进行如下处理：1）安排工人使用钢丝从排泄物处塞入，钩杀天牛幼虫；2）仔细检查树干，清理所有排泄孔处的排泄物，并塞入蘸有100 倍敌敌畏的药棉，并用泥巴封口，对树干内的幼虫进行熏蒸处理。</w:t>
            </w:r>
          </w:p>
        </w:tc>
        <w:tc>
          <w:tcPr>
            <w:tcW w:w="763" w:type="pct"/>
            <w:vAlign w:val="center"/>
          </w:tcPr>
          <w:p w14:paraId="2169A36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无患子、美国红枫、黄山栾树、三角枫、女贞、蚊母、红叶石楠、朴树、合欢、柑橘、胡柚等</w:t>
            </w:r>
          </w:p>
        </w:tc>
      </w:tr>
      <w:tr w14:paraId="4DC0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49208A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浙江朴盾木虱</w:t>
            </w:r>
          </w:p>
        </w:tc>
        <w:tc>
          <w:tcPr>
            <w:tcW w:w="150" w:type="pct"/>
            <w:vAlign w:val="center"/>
          </w:tcPr>
          <w:p w14:paraId="014E39C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7EF5C8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17BE3F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757A87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7B2EE7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7C69CC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3C8081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65C904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6F4D17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FB6317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574EF9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9319DD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9436BE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1年1代，以卵在芽片内越冬。翌年4月上旬卵开始孵化，4月下旬在叶面形成长角状虫瘿，5月中旬左右成虫大量羽化，产卵于芽片内越冬。</w:t>
            </w:r>
          </w:p>
        </w:tc>
        <w:tc>
          <w:tcPr>
            <w:tcW w:w="763" w:type="pct"/>
            <w:vAlign w:val="center"/>
          </w:tcPr>
          <w:p w14:paraId="22C43A7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朴树</w:t>
            </w:r>
          </w:p>
        </w:tc>
      </w:tr>
      <w:tr w14:paraId="769A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CB53F4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朴树绵蚜</w:t>
            </w:r>
          </w:p>
        </w:tc>
        <w:tc>
          <w:tcPr>
            <w:tcW w:w="150" w:type="pct"/>
            <w:vAlign w:val="center"/>
          </w:tcPr>
          <w:p w14:paraId="134541A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1423EC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E560DB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42A291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55A040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5054EE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42E399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AE3AAA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6EA7DA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EA828A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AF3E98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5C57D6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29292D4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使用5%啶虫脒1000倍液、10%吡虫啉800倍（70%艾美乐5000~8000倍）或25%阿克泰（噻虫嗪）8000倍喷雾防治</w:t>
            </w:r>
          </w:p>
        </w:tc>
        <w:tc>
          <w:tcPr>
            <w:tcW w:w="763" w:type="pct"/>
            <w:vAlign w:val="center"/>
          </w:tcPr>
          <w:p w14:paraId="2EDB4D6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朴树</w:t>
            </w:r>
          </w:p>
        </w:tc>
      </w:tr>
      <w:tr w14:paraId="643F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594888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斑衣蜡蝉</w:t>
            </w:r>
          </w:p>
        </w:tc>
        <w:tc>
          <w:tcPr>
            <w:tcW w:w="150" w:type="pct"/>
            <w:vAlign w:val="center"/>
          </w:tcPr>
          <w:p w14:paraId="243521D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A3C1C4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1CB69F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65E007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469F69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E0713D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F9E931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FE0FAD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8982BE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944ABC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166FC6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D786E6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2A4FBB2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使用5%啶虫脒1000倍液、10%吡虫啉800倍（70%艾美乐5000~8000倍）或25%阿克泰（噻虫嗪）8000倍喷雾防治</w:t>
            </w:r>
          </w:p>
        </w:tc>
        <w:tc>
          <w:tcPr>
            <w:tcW w:w="763" w:type="pct"/>
            <w:vAlign w:val="center"/>
          </w:tcPr>
          <w:p w14:paraId="560EFE2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红椿、无患子、柑橘等植物</w:t>
            </w:r>
          </w:p>
        </w:tc>
      </w:tr>
      <w:tr w14:paraId="58E3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2F7CB4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异榉长斑蚜</w:t>
            </w:r>
          </w:p>
        </w:tc>
        <w:tc>
          <w:tcPr>
            <w:tcW w:w="150" w:type="pct"/>
            <w:vAlign w:val="center"/>
          </w:tcPr>
          <w:p w14:paraId="43A07AD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440ADB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DD7A6D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CF8AA3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08DC17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D8BCA2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2DD202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25702B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6F0C2B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08F6B67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E8E742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902908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2E2D908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使用5%啶虫脒1000倍液、10%吡虫啉800倍（70%艾美乐5000~8000倍）或25%阿克泰（噻虫嗪）8000倍喷雾防治</w:t>
            </w:r>
          </w:p>
        </w:tc>
        <w:tc>
          <w:tcPr>
            <w:tcW w:w="763" w:type="pct"/>
            <w:vAlign w:val="center"/>
          </w:tcPr>
          <w:p w14:paraId="5672DD1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榉树</w:t>
            </w:r>
          </w:p>
        </w:tc>
      </w:tr>
      <w:tr w14:paraId="7E76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FC9316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白蜡绢野螟</w:t>
            </w:r>
          </w:p>
        </w:tc>
        <w:tc>
          <w:tcPr>
            <w:tcW w:w="150" w:type="pct"/>
            <w:vAlign w:val="center"/>
          </w:tcPr>
          <w:p w14:paraId="0847339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AABA36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A50586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99467A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AAE287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F92D08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8DCB83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003E18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482070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30CD1D8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BC17B7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4C63C9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41B6A97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使用5%啶虫脒1000倍液、10%吡虫啉800倍（70%艾美乐5000~8000倍）或25%阿克泰（噻虫嗪）8000倍喷雾防治</w:t>
            </w:r>
          </w:p>
        </w:tc>
        <w:tc>
          <w:tcPr>
            <w:tcW w:w="763" w:type="pct"/>
            <w:vAlign w:val="center"/>
          </w:tcPr>
          <w:p w14:paraId="1422631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桂花</w:t>
            </w:r>
          </w:p>
        </w:tc>
      </w:tr>
      <w:tr w14:paraId="3615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A6452C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萌发新叶的病害预防</w:t>
            </w:r>
          </w:p>
        </w:tc>
        <w:tc>
          <w:tcPr>
            <w:tcW w:w="150" w:type="pct"/>
            <w:vAlign w:val="center"/>
          </w:tcPr>
          <w:p w14:paraId="6669B0E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E82237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128C88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F3D98B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33726B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F36954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46348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2029D2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53E2C5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7744D6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9338D8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CAE444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71530B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80%大生600倍，如发现发病症状，加世高治疗。红头水蜡：叶片完全展开、梅雨前、梅雨后分别连续预防2次，中间间隔10天。红瑞木溃疡病：使用80%大生600 倍液混配25%敌力脱5000倍液或25%阿米西达1000-1500 倍液至少喷施植株2次，中间间隔10天。</w:t>
            </w:r>
          </w:p>
        </w:tc>
        <w:tc>
          <w:tcPr>
            <w:tcW w:w="763" w:type="pct"/>
            <w:vAlign w:val="center"/>
          </w:tcPr>
          <w:p w14:paraId="429B3DC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卫矛、马褂木、樱花、泡桐、水杉、红叶石楠、月季等灌木；</w:t>
            </w:r>
          </w:p>
        </w:tc>
      </w:tr>
      <w:tr w14:paraId="2A16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21334F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青桐木虱</w:t>
            </w:r>
          </w:p>
        </w:tc>
        <w:tc>
          <w:tcPr>
            <w:tcW w:w="150" w:type="pct"/>
            <w:vAlign w:val="center"/>
          </w:tcPr>
          <w:p w14:paraId="5593C1E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96527F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42F211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A70129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E2D6A9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4B0FA1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8EB4BB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D64C49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7F342C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34E310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03A5F4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896678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5DBD53E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使用5%啶虫脒1000倍液、10%吡虫啉800倍（70%艾美乐5000~8000倍）或25%阿克泰（噻虫嗪）8000倍喷雾防治</w:t>
            </w:r>
          </w:p>
        </w:tc>
        <w:tc>
          <w:tcPr>
            <w:tcW w:w="763" w:type="pct"/>
            <w:vAlign w:val="center"/>
          </w:tcPr>
          <w:p w14:paraId="43A20C7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青桐</w:t>
            </w:r>
          </w:p>
        </w:tc>
      </w:tr>
      <w:tr w14:paraId="6E9A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C12AE6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藤壶蚧</w:t>
            </w:r>
          </w:p>
        </w:tc>
        <w:tc>
          <w:tcPr>
            <w:tcW w:w="150" w:type="pct"/>
            <w:vAlign w:val="center"/>
          </w:tcPr>
          <w:p w14:paraId="665AA84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28C281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2827D5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C80D31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EFAC85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CE1472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E947B0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54D356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AD6293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774AB9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326F62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B94C5D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B891AD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25%阿克泰8000倍或70%艾美乐5000倍喷雾。 6月连续防治3次，中间间隔10天防治1次。对于高大树木，可在4月20日左右采用灌根的方法进行一次防治</w:t>
            </w:r>
          </w:p>
        </w:tc>
        <w:tc>
          <w:tcPr>
            <w:tcW w:w="763" w:type="pct"/>
            <w:vAlign w:val="center"/>
          </w:tcPr>
          <w:p w14:paraId="1438507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广玉兰、香樟</w:t>
            </w:r>
          </w:p>
        </w:tc>
      </w:tr>
      <w:tr w14:paraId="623E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50FC39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天牛成虫</w:t>
            </w:r>
          </w:p>
        </w:tc>
        <w:tc>
          <w:tcPr>
            <w:tcW w:w="150" w:type="pct"/>
            <w:vAlign w:val="center"/>
          </w:tcPr>
          <w:p w14:paraId="7764CB8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739247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34D910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38575B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864080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A62569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030BAA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CB2374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280B10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80697A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FB473A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6BC275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B3B3C4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5月下旬-8月上旬成虫防治。8%绿色威雷200倍液进行树干喷雾，高效氯氰菊酯600倍液喷雾树冠，连续喷雾3-4次，中间间隔20天</w:t>
            </w:r>
          </w:p>
        </w:tc>
        <w:tc>
          <w:tcPr>
            <w:tcW w:w="763" w:type="pct"/>
            <w:vAlign w:val="center"/>
          </w:tcPr>
          <w:p w14:paraId="7A687DA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无患子、美国红枫、黄山栾树、三角枫、女贞、蚊母、红叶石楠、朴树、国槐、合欢等</w:t>
            </w:r>
          </w:p>
        </w:tc>
      </w:tr>
      <w:tr w14:paraId="1DC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C1C638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重阳木锦斑蛾</w:t>
            </w:r>
          </w:p>
        </w:tc>
        <w:tc>
          <w:tcPr>
            <w:tcW w:w="150" w:type="pct"/>
            <w:vAlign w:val="center"/>
          </w:tcPr>
          <w:p w14:paraId="2B30DF2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A638ED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71DCE9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0C2B14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DF822D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855225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0CD0B0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DF31BF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82FDE5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FC4918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1E077E8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BCA640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682972D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幼虫发生始盛期即为防治适期。第一代幼虫：5月中下至6月中旬；第二代幼虫：7月初开始至7月下；第三代：幼虫8月中下旬至9月上；第四代幼虫：9月下旬至10月中旬。</w:t>
            </w:r>
          </w:p>
          <w:p w14:paraId="34D78442">
            <w:pPr>
              <w:widowControl/>
              <w:spacing w:line="0" w:lineRule="atLeast"/>
              <w:jc w:val="center"/>
              <w:rPr>
                <w:rFonts w:ascii="方正仿宋_GB2312" w:hAnsi="方正仿宋_GB2312" w:eastAsia="方正仿宋_GB2312" w:cs="方正仿宋_GB2312"/>
                <w:bCs/>
                <w:color w:val="auto"/>
                <w:kern w:val="0"/>
                <w:sz w:val="18"/>
                <w:szCs w:val="18"/>
                <w:highlight w:val="none"/>
              </w:rPr>
            </w:pPr>
          </w:p>
          <w:p w14:paraId="1C80DF19">
            <w:pPr>
              <w:widowControl/>
              <w:spacing w:line="0" w:lineRule="atLeast"/>
              <w:jc w:val="center"/>
              <w:rPr>
                <w:rFonts w:ascii="方正仿宋_GB2312" w:hAnsi="方正仿宋_GB2312" w:eastAsia="方正仿宋_GB2312" w:cs="方正仿宋_GB2312"/>
                <w:bCs/>
                <w:color w:val="auto"/>
                <w:kern w:val="0"/>
                <w:sz w:val="18"/>
                <w:szCs w:val="18"/>
                <w:highlight w:val="none"/>
              </w:rPr>
            </w:pPr>
          </w:p>
          <w:p w14:paraId="71DE36B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防治方法：（1）各代幼虫盛发期使用1%甲维盐1 000 倍液、1.2%烟碱•苦参碱800 倍液喷雾树冠。在施药方法上，要保证喷药质量，尽量注意喷洒均匀和足量，保证每棵树上的所有叶片均能喷洒到药液。（2）调查中也发现该虫枯枝落叶中潜伏越冬，可在冬季清理枯枝落叶作为压低来年虫口基数的辅助手段。</w:t>
            </w:r>
          </w:p>
        </w:tc>
        <w:tc>
          <w:tcPr>
            <w:tcW w:w="763" w:type="pct"/>
            <w:vAlign w:val="center"/>
          </w:tcPr>
          <w:p w14:paraId="1C476FE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重阳木</w:t>
            </w:r>
          </w:p>
        </w:tc>
      </w:tr>
      <w:tr w14:paraId="3128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FB8E20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桃一点斑叶蝉</w:t>
            </w:r>
          </w:p>
        </w:tc>
        <w:tc>
          <w:tcPr>
            <w:tcW w:w="150" w:type="pct"/>
            <w:vAlign w:val="center"/>
          </w:tcPr>
          <w:p w14:paraId="43C4CC6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153544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716401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3DE41C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48016F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6EF046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000A03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EFBE4C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F3EB97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685E15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69CAF2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C28EA6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0C7C3B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使用5%啶虫脒1000倍液、10%吡虫啉800倍（70%艾美乐5000~8000倍）或25%阿克泰（噻虫嗪）8000倍喷雾防治</w:t>
            </w:r>
          </w:p>
        </w:tc>
        <w:tc>
          <w:tcPr>
            <w:tcW w:w="763" w:type="pct"/>
            <w:vAlign w:val="center"/>
          </w:tcPr>
          <w:p w14:paraId="72FEC13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桃树、梅等植物</w:t>
            </w:r>
          </w:p>
        </w:tc>
      </w:tr>
      <w:tr w14:paraId="24AA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7B6304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樟曼盲蝽</w:t>
            </w:r>
          </w:p>
        </w:tc>
        <w:tc>
          <w:tcPr>
            <w:tcW w:w="150" w:type="pct"/>
            <w:vAlign w:val="center"/>
          </w:tcPr>
          <w:p w14:paraId="78CF2D3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272C86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204B1A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0843CE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BEE32B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588BE9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2AB730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A34410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1EFAF5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CBC255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1DCB75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96AD3B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D4D9E5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5月中下旬防治，连续防治2次，中间间隔7-10天。25%阿克泰8000倍或70%艾美乐5000倍喷雾。</w:t>
            </w:r>
          </w:p>
        </w:tc>
        <w:tc>
          <w:tcPr>
            <w:tcW w:w="763" w:type="pct"/>
            <w:vAlign w:val="center"/>
          </w:tcPr>
          <w:p w14:paraId="281A709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香樟、大叶樟</w:t>
            </w:r>
          </w:p>
        </w:tc>
      </w:tr>
      <w:tr w14:paraId="50F1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EDE99C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合欢羞木虱</w:t>
            </w:r>
          </w:p>
        </w:tc>
        <w:tc>
          <w:tcPr>
            <w:tcW w:w="150" w:type="pct"/>
            <w:vAlign w:val="center"/>
          </w:tcPr>
          <w:p w14:paraId="14AF4F6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C5FE7A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7DC325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F7C485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9DFC5A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60617C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B873D0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50A600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632821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314780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9CF809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F9E01D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460130B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使用5%啶虫脒1000倍液、10%吡虫啉800倍（70%艾美乐5000~8000倍）或25%阿克泰（噻虫嗪）8000倍喷雾防治</w:t>
            </w:r>
          </w:p>
        </w:tc>
        <w:tc>
          <w:tcPr>
            <w:tcW w:w="763" w:type="pct"/>
            <w:vAlign w:val="center"/>
          </w:tcPr>
          <w:p w14:paraId="76A430D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合欢</w:t>
            </w:r>
          </w:p>
        </w:tc>
      </w:tr>
      <w:tr w14:paraId="3B49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D997AA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悬铃木方翅网蝽</w:t>
            </w:r>
          </w:p>
        </w:tc>
        <w:tc>
          <w:tcPr>
            <w:tcW w:w="150" w:type="pct"/>
            <w:vAlign w:val="center"/>
          </w:tcPr>
          <w:p w14:paraId="5B2486A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7EB5A2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0571FD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FF1035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2BA14B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8C86EE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27710A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FB7C2D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5AB727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586158B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095CE7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A36A3E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9E7518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25%阿克泰8000倍或70%艾美乐5000倍喷雾</w:t>
            </w:r>
          </w:p>
        </w:tc>
        <w:tc>
          <w:tcPr>
            <w:tcW w:w="763" w:type="pct"/>
            <w:vAlign w:val="center"/>
          </w:tcPr>
          <w:p w14:paraId="78E6D55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悬铃木</w:t>
            </w:r>
          </w:p>
        </w:tc>
      </w:tr>
      <w:tr w14:paraId="223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E28DF4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月季黑斑病</w:t>
            </w:r>
          </w:p>
        </w:tc>
        <w:tc>
          <w:tcPr>
            <w:tcW w:w="150" w:type="pct"/>
            <w:vAlign w:val="center"/>
          </w:tcPr>
          <w:p w14:paraId="0BA9F69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D3535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58BCC1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9DC755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9C994A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5F2AAD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3CA958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7369F0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6F30F1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295A06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C7497D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A84224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0AE7FE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75%百菌清800倍液或50%多菌灵500倍液或甲基托布津（或按产品推荐剂量即可）防治2-3次，中间间隔7-10天。注意及时清除枯枝落叶</w:t>
            </w:r>
          </w:p>
        </w:tc>
        <w:tc>
          <w:tcPr>
            <w:tcW w:w="763" w:type="pct"/>
            <w:vAlign w:val="center"/>
          </w:tcPr>
          <w:p w14:paraId="55A041E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月季</w:t>
            </w:r>
          </w:p>
        </w:tc>
      </w:tr>
      <w:tr w14:paraId="47BE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83CB34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樱花穿孔病</w:t>
            </w:r>
          </w:p>
        </w:tc>
        <w:tc>
          <w:tcPr>
            <w:tcW w:w="150" w:type="pct"/>
            <w:vAlign w:val="center"/>
          </w:tcPr>
          <w:p w14:paraId="2FE7BE2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8A9F3A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F35ED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6CD584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77B1B8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E96644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E0965B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040F1B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D947F5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282F96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E5B9B3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6EBAEC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9B2ABB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使用80%大生600倍液加15%农用链霉素500倍液（或按产品推荐剂量即可）连续防治2-3次，中间间隔7-10天即可。</w:t>
            </w:r>
          </w:p>
        </w:tc>
        <w:tc>
          <w:tcPr>
            <w:tcW w:w="763" w:type="pct"/>
            <w:vAlign w:val="center"/>
          </w:tcPr>
          <w:p w14:paraId="27B98A0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樱花</w:t>
            </w:r>
          </w:p>
        </w:tc>
      </w:tr>
      <w:tr w14:paraId="283A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5B8864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悬铃木白粉病</w:t>
            </w:r>
          </w:p>
        </w:tc>
        <w:tc>
          <w:tcPr>
            <w:tcW w:w="150" w:type="pct"/>
            <w:vAlign w:val="center"/>
          </w:tcPr>
          <w:p w14:paraId="5E0521D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A19042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16A9F1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33FE86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689EB0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72FD63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A6582C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C990CB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A696D3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3AF09E2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2212842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AFF5F9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E1355B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12.5%腈菌唑3000倍液，或20%粉锈宁（三唑酮）2000~2500倍液，或40%氟硅唑8000倍液，或其它三唑类药剂防治1次。</w:t>
            </w:r>
          </w:p>
        </w:tc>
        <w:tc>
          <w:tcPr>
            <w:tcW w:w="763" w:type="pct"/>
            <w:vAlign w:val="center"/>
          </w:tcPr>
          <w:p w14:paraId="67E345C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悬铃木</w:t>
            </w:r>
          </w:p>
        </w:tc>
      </w:tr>
      <w:tr w14:paraId="6DC0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AE6D5D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紫薇白粉病</w:t>
            </w:r>
          </w:p>
        </w:tc>
        <w:tc>
          <w:tcPr>
            <w:tcW w:w="150" w:type="pct"/>
            <w:vAlign w:val="center"/>
          </w:tcPr>
          <w:p w14:paraId="1676821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8AFECF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E53C2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ED08FD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096B97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DB04A0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9AC2B5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A49D4F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F9FDFF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248A844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46C0A2D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6C93CD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1D0A14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12.5%腈菌唑3000倍液，或20%粉锈宁（三唑酮）2000~2500倍液，或40%氟硅唑8000倍液，或其它三唑类药剂防治1次。</w:t>
            </w:r>
          </w:p>
        </w:tc>
        <w:tc>
          <w:tcPr>
            <w:tcW w:w="763" w:type="pct"/>
            <w:vAlign w:val="center"/>
          </w:tcPr>
          <w:p w14:paraId="501D2EC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紫薇</w:t>
            </w:r>
          </w:p>
        </w:tc>
      </w:tr>
      <w:tr w14:paraId="7E83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9BB513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水杉赤枯病</w:t>
            </w:r>
          </w:p>
        </w:tc>
        <w:tc>
          <w:tcPr>
            <w:tcW w:w="150" w:type="pct"/>
            <w:vAlign w:val="center"/>
          </w:tcPr>
          <w:p w14:paraId="6E29133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B8D294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A46037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9CD7DF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A53998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282CD3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119324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C9C730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426AF0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91BBC5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0BC091F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613DBD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570CED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与水杉螨类兼治。10%世高2000倍液混配80%大生600倍液，连续防治2次，10-15天防治一次。</w:t>
            </w:r>
          </w:p>
        </w:tc>
        <w:tc>
          <w:tcPr>
            <w:tcW w:w="763" w:type="pct"/>
            <w:vAlign w:val="center"/>
          </w:tcPr>
          <w:p w14:paraId="7EF55AB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水杉</w:t>
            </w:r>
          </w:p>
        </w:tc>
      </w:tr>
      <w:tr w14:paraId="5566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EEF9AF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叶螨</w:t>
            </w:r>
          </w:p>
        </w:tc>
        <w:tc>
          <w:tcPr>
            <w:tcW w:w="150" w:type="pct"/>
            <w:vAlign w:val="center"/>
          </w:tcPr>
          <w:p w14:paraId="4916F26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E9DAEB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7C9802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A38259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43F6C9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450D05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9DAA0B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25AD3E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65AA3D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33E5170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4BDC92C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2C5E0B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540CD6A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1.8%阿维菌素1500倍液或克螨特（推荐倍数）或哒螨灵1000倍液。</w:t>
            </w:r>
          </w:p>
        </w:tc>
        <w:tc>
          <w:tcPr>
            <w:tcW w:w="763" w:type="pct"/>
            <w:vAlign w:val="center"/>
          </w:tcPr>
          <w:p w14:paraId="635596E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白玉兰、香樟、水杉、朴树、桂花</w:t>
            </w:r>
          </w:p>
        </w:tc>
      </w:tr>
      <w:tr w14:paraId="6BDF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14FEE0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国槐尺蛾</w:t>
            </w:r>
          </w:p>
        </w:tc>
        <w:tc>
          <w:tcPr>
            <w:tcW w:w="150" w:type="pct"/>
            <w:vAlign w:val="center"/>
          </w:tcPr>
          <w:p w14:paraId="3752C1E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97271D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AA9191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55366D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E99C06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DEC142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0E0264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834246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27C179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12DA571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242427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BB2200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085FBC1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该虫易暴发危害，注意加强监测幼虫低龄时用25%灭幼脲3号1000倍液、1.2%苦参烟碱800倍液喷防。</w:t>
            </w:r>
          </w:p>
        </w:tc>
        <w:tc>
          <w:tcPr>
            <w:tcW w:w="763" w:type="pct"/>
            <w:vAlign w:val="center"/>
          </w:tcPr>
          <w:p w14:paraId="7B53DF3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国槐</w:t>
            </w:r>
          </w:p>
        </w:tc>
      </w:tr>
      <w:tr w14:paraId="1AE6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67DF34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梅雨前病害预防</w:t>
            </w:r>
          </w:p>
        </w:tc>
        <w:tc>
          <w:tcPr>
            <w:tcW w:w="150" w:type="pct"/>
            <w:vAlign w:val="center"/>
          </w:tcPr>
          <w:p w14:paraId="0C26782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04FC55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7C8699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0A15EE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5E70F7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06153D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93A380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7F4FA1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085675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7C2AF9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15AFF6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0A7A7E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27E1066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80%大生600倍，如发现发病症状，加世高治疗。</w:t>
            </w:r>
          </w:p>
        </w:tc>
        <w:tc>
          <w:tcPr>
            <w:tcW w:w="763" w:type="pct"/>
            <w:vAlign w:val="center"/>
          </w:tcPr>
          <w:p w14:paraId="63F43E2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卫矛、马褂木、樱花、泡桐、水杉、红叶石楠、月季等灌木；</w:t>
            </w:r>
          </w:p>
        </w:tc>
      </w:tr>
      <w:tr w14:paraId="0E76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9E23CF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红蜡蚧</w:t>
            </w:r>
          </w:p>
        </w:tc>
        <w:tc>
          <w:tcPr>
            <w:tcW w:w="150" w:type="pct"/>
            <w:vAlign w:val="center"/>
          </w:tcPr>
          <w:p w14:paraId="10247DA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F1723A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634191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A98678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03351B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31E93E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9ADF4D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59E463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F86D8A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84850A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FB3261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23F772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EE4347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25%阿克泰8000倍或70%艾美乐5000倍喷雾。 6月连续防治4次，中间间隔7天防治1次</w:t>
            </w:r>
          </w:p>
        </w:tc>
        <w:tc>
          <w:tcPr>
            <w:tcW w:w="763" w:type="pct"/>
            <w:vAlign w:val="center"/>
          </w:tcPr>
          <w:p w14:paraId="5FFBF50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雪松、构骨、芸香科植物</w:t>
            </w:r>
          </w:p>
        </w:tc>
      </w:tr>
      <w:tr w14:paraId="028E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3016DD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龟蜡蚧</w:t>
            </w:r>
          </w:p>
        </w:tc>
        <w:tc>
          <w:tcPr>
            <w:tcW w:w="150" w:type="pct"/>
            <w:vAlign w:val="center"/>
          </w:tcPr>
          <w:p w14:paraId="5C3C745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0ED811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27E402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AFA9EF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98EF77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D55782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60AD0B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57F326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557799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682859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12CD9B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A67891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BAFD86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25%阿克泰8000倍或70%艾美乐5000倍喷雾。 6月连续防治4次，中间间隔7天防治1次</w:t>
            </w:r>
          </w:p>
        </w:tc>
        <w:tc>
          <w:tcPr>
            <w:tcW w:w="763" w:type="pct"/>
            <w:vAlign w:val="center"/>
          </w:tcPr>
          <w:p w14:paraId="71296E7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梨树</w:t>
            </w:r>
          </w:p>
        </w:tc>
      </w:tr>
      <w:tr w14:paraId="41ED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E147F4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木蠹蛾的预防</w:t>
            </w:r>
          </w:p>
        </w:tc>
        <w:tc>
          <w:tcPr>
            <w:tcW w:w="150" w:type="pct"/>
            <w:vAlign w:val="center"/>
          </w:tcPr>
          <w:p w14:paraId="0006D06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DF9B4B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7EAD53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E65ED9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70A096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DF4396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28DE99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1893BB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CF3134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E6029F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DE7B47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827EA0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29D98DB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6月中旬第一次防治，建议使用氯虫苯甲酰胺1000倍，连续喷施两次，6月下旬第二次防治。注意观察幼虫危害情况，及时修剪虫枝。</w:t>
            </w:r>
          </w:p>
        </w:tc>
        <w:tc>
          <w:tcPr>
            <w:tcW w:w="763" w:type="pct"/>
            <w:vAlign w:val="center"/>
          </w:tcPr>
          <w:p w14:paraId="30C812E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栾树、重阳木等植物</w:t>
            </w:r>
          </w:p>
        </w:tc>
      </w:tr>
      <w:tr w14:paraId="30DE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DC299A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樟巢螟</w:t>
            </w:r>
          </w:p>
        </w:tc>
        <w:tc>
          <w:tcPr>
            <w:tcW w:w="150" w:type="pct"/>
            <w:vAlign w:val="center"/>
          </w:tcPr>
          <w:p w14:paraId="372F58F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C76775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CCA6B5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7FA147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444D84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081E3A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2F17AE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2C497F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1E9255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166DD10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5FBB658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60D0A0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478E0BB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6月上旬是第一代幼虫孵化为害。初期（缀2-3叶），可选用25%灭幼脲3号1000倍液，或1.2%苦参烟碱1000倍液，后期可选择氯虫苯甲酰胺进行防治。</w:t>
            </w:r>
          </w:p>
          <w:p w14:paraId="0E5ED67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2、虫巢较大（缀10叶以上），药剂防治效果较差，需人工剪除虫巢</w:t>
            </w:r>
          </w:p>
        </w:tc>
        <w:tc>
          <w:tcPr>
            <w:tcW w:w="763" w:type="pct"/>
            <w:vAlign w:val="center"/>
          </w:tcPr>
          <w:p w14:paraId="285BBCF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香樟、大叶樟</w:t>
            </w:r>
          </w:p>
        </w:tc>
      </w:tr>
      <w:tr w14:paraId="00B2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FA81F6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刺蛾</w:t>
            </w:r>
          </w:p>
        </w:tc>
        <w:tc>
          <w:tcPr>
            <w:tcW w:w="150" w:type="pct"/>
            <w:vAlign w:val="center"/>
          </w:tcPr>
          <w:p w14:paraId="462993B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5CD568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7A29F3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003F55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807669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BDB65B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746A38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7778F1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5EACE9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1AA0D93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5097DE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EF15EB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46532F7">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选用25%灭幼脲3号1000倍液，或1.2%苦参烟碱1000倍液进行防治。</w:t>
            </w:r>
          </w:p>
        </w:tc>
        <w:tc>
          <w:tcPr>
            <w:tcW w:w="763" w:type="pct"/>
            <w:vAlign w:val="center"/>
          </w:tcPr>
          <w:p w14:paraId="779B5C9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枫香、鸡爪槭、黄山栾树、火棘、北美枫香、三角枫、黄连木、美国红枫、七叶树、火棘、白玉兰</w:t>
            </w:r>
          </w:p>
        </w:tc>
      </w:tr>
      <w:tr w14:paraId="08D2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379BBB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小丝棉木金星尺蛾</w:t>
            </w:r>
          </w:p>
        </w:tc>
        <w:tc>
          <w:tcPr>
            <w:tcW w:w="150" w:type="pct"/>
            <w:vAlign w:val="center"/>
          </w:tcPr>
          <w:p w14:paraId="692DCB1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747AE3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D3FE9C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D33E7C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A3A5E1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9B20A7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100E40B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763BFC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AD2D41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59494B6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0397C0D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9DCE35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7CB276D0">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选用25%灭幼脲3号1000倍液，或1.2%苦参烟碱1000倍液进行防治。</w:t>
            </w:r>
          </w:p>
        </w:tc>
        <w:tc>
          <w:tcPr>
            <w:tcW w:w="763" w:type="pct"/>
            <w:vAlign w:val="center"/>
          </w:tcPr>
          <w:p w14:paraId="27FBF09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大叶黄杨、金边黄杨、丝棉木、扶芳藤等植物</w:t>
            </w:r>
          </w:p>
        </w:tc>
      </w:tr>
      <w:tr w14:paraId="5DF3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F62A9B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茶袋蛾</w:t>
            </w:r>
          </w:p>
        </w:tc>
        <w:tc>
          <w:tcPr>
            <w:tcW w:w="150" w:type="pct"/>
            <w:vAlign w:val="center"/>
          </w:tcPr>
          <w:p w14:paraId="51033EA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2973D9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4D1FDD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B4669B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ED3E7A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E3A120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3AD0B68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50297D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E297C7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2A230D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CFE745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B58950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13715A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选用25%灭幼脲3号1000倍液，或1.2%苦参烟碱1000倍液进行防治。</w:t>
            </w:r>
          </w:p>
        </w:tc>
        <w:tc>
          <w:tcPr>
            <w:tcW w:w="763" w:type="pct"/>
            <w:vAlign w:val="center"/>
          </w:tcPr>
          <w:p w14:paraId="22F9323F">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多种植物</w:t>
            </w:r>
          </w:p>
        </w:tc>
      </w:tr>
      <w:tr w14:paraId="171F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48EB17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变色夜蛾</w:t>
            </w:r>
          </w:p>
        </w:tc>
        <w:tc>
          <w:tcPr>
            <w:tcW w:w="150" w:type="pct"/>
            <w:vAlign w:val="center"/>
          </w:tcPr>
          <w:p w14:paraId="7EF4B8D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8FAC41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074169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D274A8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ACC218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3CD329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93D0DF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586F5A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3FAF99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17A6E7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EEDB49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5FD714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93B55E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选用25%灭幼脲3号1000倍液，或1.2%苦参烟碱1000倍液进行防治。</w:t>
            </w:r>
          </w:p>
        </w:tc>
        <w:tc>
          <w:tcPr>
            <w:tcW w:w="763" w:type="pct"/>
            <w:vAlign w:val="center"/>
          </w:tcPr>
          <w:p w14:paraId="3DA5238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合欢</w:t>
            </w:r>
          </w:p>
        </w:tc>
      </w:tr>
      <w:tr w14:paraId="4399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16" w:type="pct"/>
            <w:vAlign w:val="center"/>
          </w:tcPr>
          <w:p w14:paraId="5D869283">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天牛卵、初孵幼虫的防治</w:t>
            </w:r>
          </w:p>
        </w:tc>
        <w:tc>
          <w:tcPr>
            <w:tcW w:w="150" w:type="pct"/>
            <w:vAlign w:val="center"/>
          </w:tcPr>
          <w:p w14:paraId="61E830C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C4CF9E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0D0704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FF19E2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50DC1F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6A650F8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80A538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5116802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EED767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8BE12F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7BBF7E7E">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48ED5F5">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96682B9">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重物击卵+人工钩杀。</w:t>
            </w:r>
          </w:p>
        </w:tc>
        <w:tc>
          <w:tcPr>
            <w:tcW w:w="763" w:type="pct"/>
            <w:vAlign w:val="center"/>
          </w:tcPr>
          <w:p w14:paraId="6117662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无患子、美国红枫、黄山栾树、三角枫、女贞、蚊母、红叶石楠、朴树、国槐、合欢</w:t>
            </w:r>
          </w:p>
        </w:tc>
      </w:tr>
      <w:tr w14:paraId="0033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1E6C256">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梅雨后病害预防</w:t>
            </w:r>
          </w:p>
        </w:tc>
        <w:tc>
          <w:tcPr>
            <w:tcW w:w="150" w:type="pct"/>
            <w:vAlign w:val="center"/>
          </w:tcPr>
          <w:p w14:paraId="2252CB7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4A463E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9227E9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A97A37C">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C2C63D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F2B7FE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CDEDE9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4E224600">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9DC2A5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4EEF236D">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D8F0E0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04BF9F5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FC212D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80%大生600倍，如发现发病症状，加世高治疗。</w:t>
            </w:r>
          </w:p>
        </w:tc>
        <w:tc>
          <w:tcPr>
            <w:tcW w:w="763" w:type="pct"/>
            <w:vAlign w:val="center"/>
          </w:tcPr>
          <w:p w14:paraId="420F0104">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卫矛、马褂木、樱花、泡桐、水杉、红叶石楠、月季等灌木；</w:t>
            </w:r>
          </w:p>
        </w:tc>
      </w:tr>
      <w:tr w14:paraId="2B0A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D8E774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银杏叶枯病</w:t>
            </w:r>
          </w:p>
        </w:tc>
        <w:tc>
          <w:tcPr>
            <w:tcW w:w="150" w:type="pct"/>
            <w:vAlign w:val="center"/>
          </w:tcPr>
          <w:p w14:paraId="1F334CA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3DE840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5E83E8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5F5F982">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1655331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B2CC9C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860AE5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1B8E6B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0A1BF9FA">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78260D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15E5454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6CCD449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6A280C5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银杏叶枯病该病一般7-8月为高峰期。建议喷施40%拌种双可湿性粉剂500倍液、50%多菌灵500-600倍液、70%甲基托布津800-1000倍液防治，可同时混配80%大生800倍液，10-15天一次。叶片上已有明显症状的必须防治，症状较轻或较少的，可7-8月各防治一次。</w:t>
            </w:r>
          </w:p>
        </w:tc>
        <w:tc>
          <w:tcPr>
            <w:tcW w:w="763" w:type="pct"/>
            <w:vAlign w:val="center"/>
          </w:tcPr>
          <w:p w14:paraId="6E808B8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银杏</w:t>
            </w:r>
          </w:p>
        </w:tc>
      </w:tr>
      <w:tr w14:paraId="6403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B2F767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斜纹夜蛾</w:t>
            </w:r>
          </w:p>
        </w:tc>
        <w:tc>
          <w:tcPr>
            <w:tcW w:w="150" w:type="pct"/>
            <w:vAlign w:val="center"/>
          </w:tcPr>
          <w:p w14:paraId="22A3445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F7875C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25DD95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78C5A848">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DA12CB3">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D2F66E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658BEEE">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233C74B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36172E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1573204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6B62FE14">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26990ED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3BF186DA">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7月-11月安装斜纹夜蛾诱捕器，诱芯每30天更换一次。7月开始监测幼虫的发生为害情况，一旦发现为害严重，即使用20%氯虫苯甲酰胺（康宽）5000倍液、虫酰肼或除尽交替防治。</w:t>
            </w:r>
          </w:p>
        </w:tc>
        <w:tc>
          <w:tcPr>
            <w:tcW w:w="763" w:type="pct"/>
            <w:vAlign w:val="center"/>
          </w:tcPr>
          <w:p w14:paraId="3187F76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白花三叶草、草花、荷叶</w:t>
            </w:r>
          </w:p>
        </w:tc>
      </w:tr>
      <w:tr w14:paraId="3CEA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1AE75C2">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淡剑灰翅夜蛾</w:t>
            </w:r>
          </w:p>
        </w:tc>
        <w:tc>
          <w:tcPr>
            <w:tcW w:w="150" w:type="pct"/>
            <w:vAlign w:val="center"/>
          </w:tcPr>
          <w:p w14:paraId="33DBEB5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0B3084B1">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50FEBE7">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5F3C225B">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3049165F">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2F9707F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0" w:type="pct"/>
            <w:vAlign w:val="center"/>
          </w:tcPr>
          <w:p w14:paraId="49C1A0C8">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7763B42C">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0" w:type="pct"/>
            <w:vAlign w:val="center"/>
          </w:tcPr>
          <w:p w14:paraId="6477F8A1">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76E12B75">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w:t>
            </w:r>
          </w:p>
        </w:tc>
        <w:tc>
          <w:tcPr>
            <w:tcW w:w="156" w:type="pct"/>
            <w:vAlign w:val="center"/>
          </w:tcPr>
          <w:p w14:paraId="3A2060B6">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156" w:type="pct"/>
            <w:vAlign w:val="center"/>
          </w:tcPr>
          <w:p w14:paraId="3E64C329">
            <w:pPr>
              <w:widowControl/>
              <w:spacing w:line="0" w:lineRule="atLeast"/>
              <w:jc w:val="center"/>
              <w:rPr>
                <w:rFonts w:ascii="方正仿宋_GB2312" w:hAnsi="方正仿宋_GB2312" w:eastAsia="方正仿宋_GB2312" w:cs="方正仿宋_GB2312"/>
                <w:bCs/>
                <w:color w:val="auto"/>
                <w:kern w:val="0"/>
                <w:sz w:val="18"/>
                <w:szCs w:val="18"/>
                <w:highlight w:val="none"/>
              </w:rPr>
            </w:pPr>
          </w:p>
        </w:tc>
        <w:tc>
          <w:tcPr>
            <w:tcW w:w="2103" w:type="pct"/>
            <w:vAlign w:val="center"/>
          </w:tcPr>
          <w:p w14:paraId="1BF43DEB">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乐斯本1000倍，或辛硫磷1000倍液，防治低龄幼虫时可用生物性农药美满1500倍。施药时，要求药液量充分，每平方米至少达到0.2KG药水，可以接触到草基部或浅土中的虫，并且施药时间最好选在下午五点以后。</w:t>
            </w:r>
          </w:p>
        </w:tc>
        <w:tc>
          <w:tcPr>
            <w:tcW w:w="763" w:type="pct"/>
            <w:vAlign w:val="center"/>
          </w:tcPr>
          <w:p w14:paraId="5BE38D8D">
            <w:pPr>
              <w:widowControl/>
              <w:spacing w:line="0" w:lineRule="atLeast"/>
              <w:jc w:val="center"/>
              <w:rPr>
                <w:rFonts w:ascii="方正仿宋_GB2312" w:hAnsi="方正仿宋_GB2312" w:eastAsia="方正仿宋_GB2312" w:cs="方正仿宋_GB2312"/>
                <w:bCs/>
                <w:color w:val="auto"/>
                <w:kern w:val="0"/>
                <w:sz w:val="18"/>
                <w:szCs w:val="18"/>
                <w:highlight w:val="none"/>
              </w:rPr>
            </w:pPr>
            <w:r>
              <w:rPr>
                <w:rFonts w:hint="eastAsia" w:ascii="方正仿宋_GB2312" w:hAnsi="方正仿宋_GB2312" w:eastAsia="方正仿宋_GB2312" w:cs="方正仿宋_GB2312"/>
                <w:bCs/>
                <w:color w:val="auto"/>
                <w:kern w:val="0"/>
                <w:sz w:val="18"/>
                <w:szCs w:val="18"/>
                <w:highlight w:val="none"/>
              </w:rPr>
              <w:t>百慕大草坪</w:t>
            </w:r>
          </w:p>
        </w:tc>
      </w:tr>
    </w:tbl>
    <w:p w14:paraId="786373C3">
      <w:pPr>
        <w:widowControl/>
        <w:spacing w:after="160" w:line="259" w:lineRule="auto"/>
        <w:jc w:val="left"/>
        <w:rPr>
          <w:rFonts w:ascii="方正仿宋_GB2312" w:hAnsi="方正仿宋_GB2312" w:eastAsia="方正仿宋_GB2312" w:cs="方正仿宋_GB2312"/>
          <w:b/>
          <w:color w:val="auto"/>
          <w:kern w:val="0"/>
          <w:sz w:val="18"/>
          <w:szCs w:val="18"/>
          <w:highlight w:val="none"/>
        </w:rPr>
      </w:pPr>
      <w:r>
        <w:rPr>
          <w:rFonts w:hint="eastAsia" w:ascii="方正仿宋_GB2312" w:hAnsi="方正仿宋_GB2312" w:eastAsia="方正仿宋_GB2312" w:cs="方正仿宋_GB2312"/>
          <w:b/>
          <w:color w:val="auto"/>
          <w:kern w:val="0"/>
          <w:sz w:val="18"/>
          <w:szCs w:val="18"/>
          <w:highlight w:val="none"/>
        </w:rPr>
        <w:t>补充说明：</w:t>
      </w:r>
    </w:p>
    <w:p w14:paraId="5DA6189E">
      <w:pPr>
        <w:widowControl/>
        <w:spacing w:after="160" w:line="259" w:lineRule="auto"/>
        <w:ind w:firstLine="360" w:firstLineChars="200"/>
        <w:jc w:val="left"/>
        <w:rPr>
          <w:rFonts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表中列出的各主要病虫害的防治月历是根据调查和参考资料制定的，应根据每年的监测情况确定具体防治时间，对于一年发生多代的害虫，重点在于压低第一代害虫的发生基数，但对后面几代的发生同样需要关注，加强对后几代害虫发生情况的监测，虫量增大时及时进行防治。</w:t>
      </w:r>
    </w:p>
    <w:p w14:paraId="2FB21EC9">
      <w:pPr>
        <w:widowControl/>
        <w:spacing w:after="160" w:line="259" w:lineRule="auto"/>
        <w:ind w:firstLine="360" w:firstLineChars="200"/>
        <w:jc w:val="left"/>
        <w:rPr>
          <w:rFonts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每年的7–8月份是苏州地区最热的月份，也是病虫害最为活跃的季节，由于天气、气候、植物立地条件和害虫发生基数存在着较大差异，导致许多害虫世代重叠的现象十分普遍。如果前期的监测和防治不到位，多数病虫害尤其是食叶性害虫都可能在这个季节爆发，因此需要对病虫害的发生进行监测，抓住主要矛盾，着力解决对景观危害大的爆发性害虫，并加强对天牛等蛀干性害虫的防治力度，减少对植物的伤害；同时将预测预报和现场调查情况相结合，及时发现并解决问题。</w:t>
      </w:r>
    </w:p>
    <w:p w14:paraId="795AE106">
      <w:pPr>
        <w:widowControl/>
        <w:spacing w:after="160" w:line="259" w:lineRule="auto"/>
        <w:ind w:firstLine="360" w:firstLineChars="200"/>
        <w:jc w:val="left"/>
        <w:rPr>
          <w:rFonts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（3）进入10月份以后，病虫害的发生显著减少，这时重点需要关注斜纹夜蛾、淡剑灰翅夜蛾和葱兰夜蛾等几种食叶性害虫的防治工作，同时继续开展对天牛幼虫的人工防治，注意袋蛾的防治工作。</w:t>
      </w:r>
    </w:p>
    <w:p w14:paraId="747ABCC1">
      <w:pPr>
        <w:widowControl/>
        <w:spacing w:after="160" w:line="259" w:lineRule="auto"/>
        <w:ind w:firstLine="360" w:firstLineChars="200"/>
        <w:jc w:val="left"/>
        <w:rPr>
          <w:rFonts w:ascii="宋体" w:hAnsi="宋体" w:cs="宋体"/>
          <w:b/>
          <w:color w:val="auto"/>
          <w:kern w:val="0"/>
          <w:sz w:val="18"/>
          <w:szCs w:val="18"/>
          <w:highlight w:val="none"/>
        </w:rPr>
        <w:sectPr>
          <w:pgSz w:w="16838" w:h="11906" w:orient="landscape"/>
          <w:pgMar w:top="1800" w:right="1440" w:bottom="1800" w:left="1440" w:header="851" w:footer="992" w:gutter="0"/>
          <w:cols w:space="720" w:num="1"/>
          <w:docGrid w:type="lines" w:linePitch="312" w:charSpace="0"/>
        </w:sectPr>
      </w:pPr>
      <w:r>
        <w:rPr>
          <w:rFonts w:hint="eastAsia" w:ascii="方正仿宋_GB2312" w:hAnsi="方正仿宋_GB2312" w:eastAsia="方正仿宋_GB2312" w:cs="方正仿宋_GB2312"/>
          <w:color w:val="auto"/>
          <w:kern w:val="0"/>
          <w:sz w:val="18"/>
          <w:szCs w:val="18"/>
          <w:highlight w:val="none"/>
        </w:rPr>
        <w:t>（4）11至次年2月份天气转凉，病虫害的发生继续减轻，植保工作也应向冬季养护转移；此时零星发现的害虫通常不建议再大规模使用药剂防治，个别种类如蛴螬可使用翻耕等方法处理；刺蛾敲除越冬虫茧；冬季涂白、修剪等操作可安排在这个季节进行</w:t>
      </w:r>
    </w:p>
    <w:p w14:paraId="13A4D86B">
      <w:pPr>
        <w:pStyle w:val="3"/>
        <w:ind w:firstLine="0"/>
        <w:rPr>
          <w:rFonts w:hAnsi="黑体" w:eastAsia="黑体"/>
          <w:color w:val="auto"/>
          <w:sz w:val="21"/>
          <w:szCs w:val="21"/>
          <w:highlight w:val="none"/>
        </w:rPr>
      </w:pPr>
      <w:bookmarkStart w:id="2" w:name="_Toc25378"/>
      <w:r>
        <w:rPr>
          <w:rFonts w:hint="eastAsia"/>
          <w:color w:val="auto"/>
          <w:highlight w:val="none"/>
        </w:rPr>
        <w:t>附录B常见园林绿地生物防治类型及防治对象</w:t>
      </w:r>
      <w:bookmarkEnd w:id="2"/>
    </w:p>
    <w:p w14:paraId="04DB4DB7">
      <w:pPr>
        <w:pStyle w:val="3"/>
        <w:jc w:val="center"/>
        <w:rPr>
          <w:color w:val="auto"/>
          <w:highlight w:val="none"/>
        </w:rPr>
      </w:pPr>
      <w:bookmarkStart w:id="3" w:name="_Toc23163"/>
      <w:bookmarkStart w:id="4" w:name="_Toc25412"/>
      <w:r>
        <w:rPr>
          <w:color w:val="auto"/>
          <w:highlight w:val="none"/>
        </w:rPr>
        <w:t>常见园林绿地生物</w:t>
      </w:r>
      <w:r>
        <w:rPr>
          <w:rFonts w:hint="eastAsia"/>
          <w:color w:val="auto"/>
          <w:highlight w:val="none"/>
        </w:rPr>
        <w:t>防治类型</w:t>
      </w:r>
      <w:r>
        <w:rPr>
          <w:color w:val="auto"/>
          <w:highlight w:val="none"/>
        </w:rPr>
        <w:t>及防治对象</w:t>
      </w:r>
      <w:bookmarkEnd w:id="3"/>
      <w:bookmarkEnd w:id="4"/>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7"/>
        <w:gridCol w:w="3064"/>
        <w:gridCol w:w="4331"/>
      </w:tblGrid>
      <w:tr w14:paraId="19651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14:paraId="003DEECF">
            <w:pPr>
              <w:pStyle w:val="4"/>
              <w:jc w:val="center"/>
              <w:rPr>
                <w:rFonts w:ascii="方正仿宋_GB2312" w:hAnsi="方正仿宋_GB2312" w:eastAsia="方正仿宋_GB2312" w:cs="方正仿宋_GB2312"/>
                <w:b/>
                <w:color w:val="auto"/>
                <w:sz w:val="18"/>
                <w:szCs w:val="18"/>
                <w:highlight w:val="none"/>
              </w:rPr>
            </w:pPr>
            <w:r>
              <w:rPr>
                <w:rFonts w:hint="eastAsia" w:ascii="方正仿宋_GB2312" w:hAnsi="方正仿宋_GB2312" w:eastAsia="方正仿宋_GB2312" w:cs="方正仿宋_GB2312"/>
                <w:b/>
                <w:color w:val="auto"/>
                <w:sz w:val="18"/>
                <w:szCs w:val="18"/>
                <w:highlight w:val="none"/>
              </w:rPr>
              <w:t>分类</w:t>
            </w:r>
          </w:p>
        </w:tc>
        <w:tc>
          <w:tcPr>
            <w:tcW w:w="3402" w:type="dxa"/>
            <w:vAlign w:val="center"/>
          </w:tcPr>
          <w:p w14:paraId="316FCBF6">
            <w:pPr>
              <w:pStyle w:val="4"/>
              <w:jc w:val="center"/>
              <w:rPr>
                <w:rFonts w:ascii="方正仿宋_GB2312" w:hAnsi="方正仿宋_GB2312" w:eastAsia="方正仿宋_GB2312" w:cs="方正仿宋_GB2312"/>
                <w:b/>
                <w:color w:val="auto"/>
                <w:sz w:val="18"/>
                <w:szCs w:val="18"/>
                <w:highlight w:val="none"/>
              </w:rPr>
            </w:pPr>
            <w:r>
              <w:rPr>
                <w:rFonts w:hint="eastAsia" w:ascii="方正仿宋_GB2312" w:hAnsi="方正仿宋_GB2312" w:eastAsia="方正仿宋_GB2312" w:cs="方正仿宋_GB2312"/>
                <w:b/>
                <w:color w:val="auto"/>
                <w:sz w:val="18"/>
                <w:szCs w:val="18"/>
                <w:highlight w:val="none"/>
              </w:rPr>
              <w:t>代表性天敌（病原物生物）种类</w:t>
            </w:r>
          </w:p>
        </w:tc>
        <w:tc>
          <w:tcPr>
            <w:tcW w:w="4926" w:type="dxa"/>
            <w:vAlign w:val="center"/>
          </w:tcPr>
          <w:p w14:paraId="2CBD92BD">
            <w:pPr>
              <w:pStyle w:val="4"/>
              <w:jc w:val="center"/>
              <w:rPr>
                <w:rFonts w:ascii="方正仿宋_GB2312" w:hAnsi="方正仿宋_GB2312" w:eastAsia="方正仿宋_GB2312" w:cs="方正仿宋_GB2312"/>
                <w:b/>
                <w:color w:val="auto"/>
                <w:sz w:val="18"/>
                <w:szCs w:val="18"/>
                <w:highlight w:val="none"/>
              </w:rPr>
            </w:pPr>
            <w:r>
              <w:rPr>
                <w:rFonts w:hint="eastAsia" w:ascii="方正仿宋_GB2312" w:hAnsi="方正仿宋_GB2312" w:eastAsia="方正仿宋_GB2312" w:cs="方正仿宋_GB2312"/>
                <w:b/>
                <w:color w:val="auto"/>
                <w:sz w:val="18"/>
                <w:szCs w:val="18"/>
                <w:highlight w:val="none"/>
              </w:rPr>
              <w:t>主要防治对象</w:t>
            </w:r>
          </w:p>
        </w:tc>
      </w:tr>
      <w:tr w14:paraId="7CF0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vAlign w:val="center"/>
          </w:tcPr>
          <w:p w14:paraId="13CFF975">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捕食性天敌</w:t>
            </w:r>
          </w:p>
        </w:tc>
        <w:tc>
          <w:tcPr>
            <w:tcW w:w="3402" w:type="dxa"/>
            <w:vAlign w:val="center"/>
          </w:tcPr>
          <w:p w14:paraId="3CB52DF7">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捕食螨</w:t>
            </w:r>
          </w:p>
        </w:tc>
        <w:tc>
          <w:tcPr>
            <w:tcW w:w="4926" w:type="dxa"/>
            <w:vAlign w:val="center"/>
          </w:tcPr>
          <w:p w14:paraId="526BF432">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各类叶螨类害虫</w:t>
            </w:r>
          </w:p>
        </w:tc>
      </w:tr>
      <w:tr w14:paraId="64DD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28716D4F">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586EE051">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草蛉</w:t>
            </w:r>
          </w:p>
        </w:tc>
        <w:tc>
          <w:tcPr>
            <w:tcW w:w="4926" w:type="dxa"/>
            <w:vAlign w:val="center"/>
          </w:tcPr>
          <w:p w14:paraId="03B0B7C1">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刺吸性害虫、鳞翅目害虫卵</w:t>
            </w:r>
          </w:p>
        </w:tc>
      </w:tr>
      <w:tr w14:paraId="3496F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3EE364A9">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3E7F4EDE">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瓢虫、食蚜蝇</w:t>
            </w:r>
          </w:p>
        </w:tc>
        <w:tc>
          <w:tcPr>
            <w:tcW w:w="4926" w:type="dxa"/>
            <w:vAlign w:val="center"/>
          </w:tcPr>
          <w:p w14:paraId="18C5C7AF">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蚜虫</w:t>
            </w:r>
          </w:p>
        </w:tc>
      </w:tr>
      <w:tr w14:paraId="56CD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4AF41491">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54E93912">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拉步甲</w:t>
            </w:r>
          </w:p>
        </w:tc>
        <w:tc>
          <w:tcPr>
            <w:tcW w:w="4926" w:type="dxa"/>
            <w:vAlign w:val="center"/>
          </w:tcPr>
          <w:p w14:paraId="40E34527">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鳞翅目、双翅目害虫幼虫及蜗牛、蛞蝓等软体动物</w:t>
            </w:r>
          </w:p>
        </w:tc>
      </w:tr>
      <w:tr w14:paraId="195D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15A8D20F">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41152367">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青蛙、蟾蜍</w:t>
            </w:r>
          </w:p>
        </w:tc>
        <w:tc>
          <w:tcPr>
            <w:tcW w:w="4926" w:type="dxa"/>
            <w:vAlign w:val="center"/>
          </w:tcPr>
          <w:p w14:paraId="4F5A1015">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鳞翅目、直翅目害虫等</w:t>
            </w:r>
          </w:p>
        </w:tc>
      </w:tr>
      <w:tr w14:paraId="72C0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08A5303B">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347ADB4B">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益鸟</w:t>
            </w:r>
          </w:p>
        </w:tc>
        <w:tc>
          <w:tcPr>
            <w:tcW w:w="4926" w:type="dxa"/>
            <w:vAlign w:val="center"/>
          </w:tcPr>
          <w:p w14:paraId="0B6A2890">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天牛、鳞翅目害虫等</w:t>
            </w:r>
          </w:p>
        </w:tc>
      </w:tr>
      <w:tr w14:paraId="7CDFC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vAlign w:val="center"/>
          </w:tcPr>
          <w:p w14:paraId="230A535F">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寄生性天敌</w:t>
            </w:r>
          </w:p>
        </w:tc>
        <w:tc>
          <w:tcPr>
            <w:tcW w:w="3402" w:type="dxa"/>
            <w:vAlign w:val="center"/>
          </w:tcPr>
          <w:p w14:paraId="3ACE2CF5">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花绒寄甲</w:t>
            </w:r>
          </w:p>
        </w:tc>
        <w:tc>
          <w:tcPr>
            <w:tcW w:w="4926" w:type="dxa"/>
            <w:vAlign w:val="center"/>
          </w:tcPr>
          <w:p w14:paraId="1DD14A94">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天牛类害虫幼虫</w:t>
            </w:r>
          </w:p>
        </w:tc>
      </w:tr>
      <w:tr w14:paraId="4670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4F20EDA4">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128F6A16">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肿腿蜂、周氏啮小蜂</w:t>
            </w:r>
          </w:p>
        </w:tc>
        <w:tc>
          <w:tcPr>
            <w:tcW w:w="4926" w:type="dxa"/>
            <w:vAlign w:val="center"/>
          </w:tcPr>
          <w:p w14:paraId="0FEDA152">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鳞翅目、鞘翅目害虫幼虫</w:t>
            </w:r>
          </w:p>
        </w:tc>
      </w:tr>
      <w:tr w14:paraId="2729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42FA6607">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44B5CC68">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赤眼蜂</w:t>
            </w:r>
          </w:p>
        </w:tc>
        <w:tc>
          <w:tcPr>
            <w:tcW w:w="4926" w:type="dxa"/>
            <w:vAlign w:val="center"/>
          </w:tcPr>
          <w:p w14:paraId="139B7799">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鳞翅目害虫卵</w:t>
            </w:r>
          </w:p>
        </w:tc>
      </w:tr>
      <w:tr w14:paraId="156B4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1242" w:type="dxa"/>
            <w:vMerge w:val="restart"/>
            <w:vAlign w:val="center"/>
          </w:tcPr>
          <w:p w14:paraId="5724BEC5">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病原微生物</w:t>
            </w:r>
          </w:p>
        </w:tc>
        <w:tc>
          <w:tcPr>
            <w:tcW w:w="3402" w:type="dxa"/>
            <w:vAlign w:val="center"/>
          </w:tcPr>
          <w:p w14:paraId="4CB37EFB">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苏云金杆菌（Bt）、短稳杆菌、白僵菌</w:t>
            </w:r>
          </w:p>
        </w:tc>
        <w:tc>
          <w:tcPr>
            <w:tcW w:w="4926" w:type="dxa"/>
            <w:vAlign w:val="center"/>
          </w:tcPr>
          <w:p w14:paraId="0CE607CF">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鳞翅目害虫</w:t>
            </w:r>
          </w:p>
        </w:tc>
      </w:tr>
      <w:tr w14:paraId="6DB9D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0C7804F4">
            <w:pPr>
              <w:pStyle w:val="4"/>
              <w:jc w:val="center"/>
              <w:rPr>
                <w:rFonts w:ascii="方正仿宋_GB2312" w:hAnsi="方正仿宋_GB2312" w:eastAsia="方正仿宋_GB2312" w:cs="方正仿宋_GB2312"/>
                <w:color w:val="auto"/>
                <w:sz w:val="18"/>
                <w:szCs w:val="18"/>
                <w:highlight w:val="none"/>
              </w:rPr>
            </w:pPr>
          </w:p>
        </w:tc>
        <w:tc>
          <w:tcPr>
            <w:tcW w:w="3402" w:type="dxa"/>
            <w:vAlign w:val="center"/>
          </w:tcPr>
          <w:p w14:paraId="08059ACE">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核型多角体病毒</w:t>
            </w:r>
          </w:p>
        </w:tc>
        <w:tc>
          <w:tcPr>
            <w:tcW w:w="4926" w:type="dxa"/>
            <w:vAlign w:val="center"/>
          </w:tcPr>
          <w:p w14:paraId="13210468">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鳞翅目食叶性害虫，对斜纹夜蛾有特效</w:t>
            </w:r>
          </w:p>
        </w:tc>
      </w:tr>
    </w:tbl>
    <w:p w14:paraId="56B9A201">
      <w:pPr>
        <w:pStyle w:val="4"/>
        <w:ind w:firstLine="420" w:firstLineChars="200"/>
        <w:rPr>
          <w:color w:val="auto"/>
          <w:sz w:val="21"/>
          <w:szCs w:val="21"/>
          <w:highlight w:val="none"/>
        </w:rPr>
      </w:pPr>
    </w:p>
    <w:p w14:paraId="79B0B7FB">
      <w:pPr>
        <w:pStyle w:val="4"/>
        <w:ind w:firstLine="420" w:firstLineChars="200"/>
        <w:rPr>
          <w:color w:val="auto"/>
          <w:sz w:val="21"/>
          <w:szCs w:val="21"/>
          <w:highlight w:val="none"/>
        </w:rPr>
      </w:pPr>
    </w:p>
    <w:p w14:paraId="1F241ABF">
      <w:pPr>
        <w:pStyle w:val="4"/>
        <w:ind w:firstLine="420" w:firstLineChars="200"/>
        <w:rPr>
          <w:color w:val="auto"/>
          <w:sz w:val="21"/>
          <w:szCs w:val="21"/>
          <w:highlight w:val="none"/>
        </w:rPr>
      </w:pPr>
    </w:p>
    <w:p w14:paraId="177AAD5A">
      <w:pPr>
        <w:pStyle w:val="4"/>
        <w:ind w:firstLine="420" w:firstLineChars="200"/>
        <w:rPr>
          <w:color w:val="auto"/>
          <w:sz w:val="21"/>
          <w:szCs w:val="21"/>
          <w:highlight w:val="none"/>
        </w:rPr>
      </w:pPr>
    </w:p>
    <w:p w14:paraId="2834DDA2">
      <w:pPr>
        <w:pStyle w:val="4"/>
        <w:ind w:firstLine="420" w:firstLineChars="200"/>
        <w:rPr>
          <w:color w:val="auto"/>
          <w:sz w:val="21"/>
          <w:szCs w:val="21"/>
          <w:highlight w:val="none"/>
        </w:rPr>
      </w:pPr>
    </w:p>
    <w:p w14:paraId="4829BB29">
      <w:pPr>
        <w:pStyle w:val="4"/>
        <w:ind w:firstLine="420" w:firstLineChars="200"/>
        <w:rPr>
          <w:color w:val="auto"/>
          <w:sz w:val="21"/>
          <w:szCs w:val="21"/>
          <w:highlight w:val="none"/>
        </w:rPr>
      </w:pPr>
    </w:p>
    <w:p w14:paraId="2CD13C44">
      <w:pPr>
        <w:pStyle w:val="4"/>
        <w:ind w:firstLine="420" w:firstLineChars="200"/>
        <w:rPr>
          <w:color w:val="auto"/>
          <w:sz w:val="21"/>
          <w:szCs w:val="21"/>
          <w:highlight w:val="none"/>
        </w:rPr>
      </w:pPr>
    </w:p>
    <w:p w14:paraId="5C914A3B">
      <w:pPr>
        <w:pStyle w:val="4"/>
        <w:ind w:firstLine="420" w:firstLineChars="200"/>
        <w:rPr>
          <w:color w:val="auto"/>
          <w:sz w:val="21"/>
          <w:szCs w:val="21"/>
          <w:highlight w:val="none"/>
        </w:rPr>
      </w:pPr>
    </w:p>
    <w:p w14:paraId="7BA0CB3D">
      <w:pPr>
        <w:pStyle w:val="4"/>
        <w:ind w:firstLine="420" w:firstLineChars="200"/>
        <w:rPr>
          <w:color w:val="auto"/>
          <w:sz w:val="21"/>
          <w:szCs w:val="21"/>
          <w:highlight w:val="none"/>
        </w:rPr>
      </w:pPr>
    </w:p>
    <w:p w14:paraId="3C553B3C">
      <w:pPr>
        <w:pStyle w:val="4"/>
        <w:rPr>
          <w:color w:val="auto"/>
          <w:sz w:val="21"/>
          <w:szCs w:val="21"/>
          <w:highlight w:val="none"/>
        </w:rPr>
      </w:pPr>
    </w:p>
    <w:p w14:paraId="42F487E7">
      <w:pPr>
        <w:jc w:val="center"/>
        <w:rPr>
          <w:rFonts w:hint="eastAsia" w:ascii="方正仿宋_GB2312" w:hAnsi="方正仿宋_GB2312" w:eastAsia="方正仿宋_GB2312" w:cs="方正仿宋_GB2312"/>
          <w:color w:val="auto"/>
          <w:highlight w:val="none"/>
        </w:rPr>
      </w:pPr>
    </w:p>
    <w:p w14:paraId="363DCF54">
      <w:pPr>
        <w:jc w:val="center"/>
        <w:rPr>
          <w:rFonts w:hint="eastAsia" w:ascii="方正仿宋_GB2312" w:hAnsi="方正仿宋_GB2312" w:eastAsia="方正仿宋_GB2312" w:cs="方正仿宋_GB2312"/>
          <w:color w:val="auto"/>
          <w:highlight w:val="none"/>
        </w:rPr>
      </w:pPr>
    </w:p>
    <w:p w14:paraId="6DE8FAD9">
      <w:pPr>
        <w:jc w:val="center"/>
        <w:rPr>
          <w:rFonts w:hint="eastAsia" w:ascii="方正仿宋_GB2312" w:hAnsi="方正仿宋_GB2312" w:eastAsia="方正仿宋_GB2312" w:cs="方正仿宋_GB2312"/>
          <w:color w:val="auto"/>
          <w:highlight w:val="none"/>
        </w:rPr>
      </w:pPr>
    </w:p>
    <w:p w14:paraId="3E10EE17">
      <w:pPr>
        <w:jc w:val="center"/>
        <w:rPr>
          <w:rFonts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园林绿地可用监测、防治器械及监测、防治对象</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5883"/>
        <w:gridCol w:w="1758"/>
      </w:tblGrid>
      <w:tr w14:paraId="2208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22D2D6F3">
            <w:pPr>
              <w:pStyle w:val="4"/>
              <w:jc w:val="center"/>
              <w:rPr>
                <w:rFonts w:ascii="方正仿宋_GB2312" w:hAnsi="方正仿宋_GB2312" w:eastAsia="方正仿宋_GB2312" w:cs="方正仿宋_GB2312"/>
                <w:b/>
                <w:color w:val="auto"/>
                <w:sz w:val="18"/>
                <w:szCs w:val="18"/>
                <w:highlight w:val="none"/>
              </w:rPr>
            </w:pPr>
            <w:r>
              <w:rPr>
                <w:rFonts w:hint="eastAsia" w:ascii="方正仿宋_GB2312" w:hAnsi="方正仿宋_GB2312" w:eastAsia="方正仿宋_GB2312" w:cs="方正仿宋_GB2312"/>
                <w:b/>
                <w:color w:val="auto"/>
                <w:sz w:val="18"/>
                <w:szCs w:val="18"/>
                <w:highlight w:val="none"/>
              </w:rPr>
              <w:t>器具名称</w:t>
            </w:r>
          </w:p>
        </w:tc>
        <w:tc>
          <w:tcPr>
            <w:tcW w:w="6662" w:type="dxa"/>
            <w:vAlign w:val="center"/>
          </w:tcPr>
          <w:p w14:paraId="0A98E2E2">
            <w:pPr>
              <w:pStyle w:val="4"/>
              <w:jc w:val="center"/>
              <w:rPr>
                <w:rFonts w:ascii="方正仿宋_GB2312" w:hAnsi="方正仿宋_GB2312" w:eastAsia="方正仿宋_GB2312" w:cs="方正仿宋_GB2312"/>
                <w:b/>
                <w:color w:val="auto"/>
                <w:sz w:val="18"/>
                <w:szCs w:val="18"/>
                <w:highlight w:val="none"/>
              </w:rPr>
            </w:pPr>
            <w:r>
              <w:rPr>
                <w:rFonts w:hint="eastAsia" w:ascii="方正仿宋_GB2312" w:hAnsi="方正仿宋_GB2312" w:eastAsia="方正仿宋_GB2312" w:cs="方正仿宋_GB2312"/>
                <w:b/>
                <w:color w:val="auto"/>
                <w:sz w:val="18"/>
                <w:szCs w:val="18"/>
                <w:highlight w:val="none"/>
              </w:rPr>
              <w:t>作业原理</w:t>
            </w:r>
          </w:p>
        </w:tc>
        <w:tc>
          <w:tcPr>
            <w:tcW w:w="1949" w:type="dxa"/>
            <w:vAlign w:val="center"/>
          </w:tcPr>
          <w:p w14:paraId="2A247AEA">
            <w:pPr>
              <w:pStyle w:val="4"/>
              <w:jc w:val="center"/>
              <w:rPr>
                <w:rFonts w:ascii="方正仿宋_GB2312" w:hAnsi="方正仿宋_GB2312" w:eastAsia="方正仿宋_GB2312" w:cs="方正仿宋_GB2312"/>
                <w:b/>
                <w:color w:val="auto"/>
                <w:sz w:val="18"/>
                <w:szCs w:val="18"/>
                <w:highlight w:val="none"/>
              </w:rPr>
            </w:pPr>
            <w:r>
              <w:rPr>
                <w:rFonts w:hint="eastAsia" w:ascii="方正仿宋_GB2312" w:hAnsi="方正仿宋_GB2312" w:eastAsia="方正仿宋_GB2312" w:cs="方正仿宋_GB2312"/>
                <w:b/>
                <w:color w:val="auto"/>
                <w:sz w:val="18"/>
                <w:szCs w:val="18"/>
                <w:highlight w:val="none"/>
              </w:rPr>
              <w:t>对象</w:t>
            </w:r>
          </w:p>
        </w:tc>
      </w:tr>
      <w:tr w14:paraId="76274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416022AC">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杀虫灯</w:t>
            </w:r>
          </w:p>
        </w:tc>
        <w:tc>
          <w:tcPr>
            <w:tcW w:w="6662" w:type="dxa"/>
            <w:vAlign w:val="center"/>
          </w:tcPr>
          <w:p w14:paraId="5A6224F7">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利用害虫较强的趋光、趋波、趋色、趋性等特征，引诱成虫扑灯，触动高压电网或钻入挡虫板后致死。诱捕范围广，可用于害虫防治及虫害预测预报。每年3月中旬开始运用，11月下旬收回。</w:t>
            </w:r>
          </w:p>
        </w:tc>
        <w:tc>
          <w:tcPr>
            <w:tcW w:w="1949" w:type="dxa"/>
            <w:vAlign w:val="center"/>
          </w:tcPr>
          <w:p w14:paraId="7EB4CC2B">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鳞翅目、鞘翅目等害虫成虫</w:t>
            </w:r>
          </w:p>
        </w:tc>
      </w:tr>
      <w:tr w14:paraId="55795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24C0330">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信息素诱虫灯</w:t>
            </w:r>
          </w:p>
        </w:tc>
        <w:tc>
          <w:tcPr>
            <w:tcW w:w="6662" w:type="dxa"/>
            <w:vAlign w:val="center"/>
          </w:tcPr>
          <w:p w14:paraId="1486A971">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模拟自然界中昆虫释放性信息素求偶的行为物理诱杀害虫，专一性较高，无抗药性，兼具诱杀和监测作用。</w:t>
            </w:r>
          </w:p>
        </w:tc>
        <w:tc>
          <w:tcPr>
            <w:tcW w:w="1949" w:type="dxa"/>
            <w:vAlign w:val="center"/>
          </w:tcPr>
          <w:p w14:paraId="00260BF6">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斜纹夜蛾、松墨天牛等</w:t>
            </w:r>
          </w:p>
        </w:tc>
      </w:tr>
      <w:tr w14:paraId="35586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604214D3">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黏虫胶</w:t>
            </w:r>
          </w:p>
        </w:tc>
        <w:tc>
          <w:tcPr>
            <w:tcW w:w="6662" w:type="dxa"/>
            <w:vAlign w:val="center"/>
          </w:tcPr>
          <w:p w14:paraId="7717A3F1">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利用害虫上下树高峰期涂干形成物理阻隔，同时杀灭害虫。</w:t>
            </w:r>
          </w:p>
        </w:tc>
        <w:tc>
          <w:tcPr>
            <w:tcW w:w="1949" w:type="dxa"/>
            <w:vAlign w:val="center"/>
          </w:tcPr>
          <w:p w14:paraId="6F78CA3C">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鳞翅目和半翅目害虫</w:t>
            </w:r>
          </w:p>
        </w:tc>
      </w:tr>
      <w:tr w14:paraId="05AF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6C9A669">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诱虫板</w:t>
            </w:r>
          </w:p>
        </w:tc>
        <w:tc>
          <w:tcPr>
            <w:tcW w:w="6662" w:type="dxa"/>
            <w:vAlign w:val="center"/>
          </w:tcPr>
          <w:p w14:paraId="0F30BDA8">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利用昆虫趋色性物理诱杀害虫，颜色多样，常用的为黄板和蓝板，悬挂高度在植株上方10-15cm。</w:t>
            </w:r>
          </w:p>
        </w:tc>
        <w:tc>
          <w:tcPr>
            <w:tcW w:w="1949" w:type="dxa"/>
            <w:vAlign w:val="center"/>
          </w:tcPr>
          <w:p w14:paraId="4623F06F">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蚜虫、蓟马等</w:t>
            </w:r>
          </w:p>
        </w:tc>
      </w:tr>
      <w:tr w14:paraId="67CA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2F39A6D7">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注干针剂</w:t>
            </w:r>
          </w:p>
        </w:tc>
        <w:tc>
          <w:tcPr>
            <w:tcW w:w="6662" w:type="dxa"/>
            <w:vAlign w:val="center"/>
          </w:tcPr>
          <w:p w14:paraId="07EF97B7">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利用植物传导作用使药剂充满植株各部位杀死害虫。</w:t>
            </w:r>
          </w:p>
        </w:tc>
        <w:tc>
          <w:tcPr>
            <w:tcW w:w="1949" w:type="dxa"/>
            <w:vAlign w:val="center"/>
          </w:tcPr>
          <w:p w14:paraId="3EE89925">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刺吸性、钻蛀性害虫</w:t>
            </w:r>
          </w:p>
        </w:tc>
      </w:tr>
      <w:tr w14:paraId="5B39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234AF28">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喷雾机</w:t>
            </w:r>
          </w:p>
        </w:tc>
        <w:tc>
          <w:tcPr>
            <w:tcW w:w="6662" w:type="dxa"/>
            <w:vAlign w:val="center"/>
          </w:tcPr>
          <w:p w14:paraId="3BF0154B">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将农药分散成雾状喷施，利用药剂均匀洒施于植物表面，提高药效，机型多样。</w:t>
            </w:r>
          </w:p>
        </w:tc>
        <w:tc>
          <w:tcPr>
            <w:tcW w:w="1949" w:type="dxa"/>
            <w:vMerge w:val="restart"/>
            <w:vAlign w:val="center"/>
          </w:tcPr>
          <w:p w14:paraId="33E3C9F8">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根据使用药剂决定</w:t>
            </w:r>
          </w:p>
        </w:tc>
      </w:tr>
      <w:tr w14:paraId="08B1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42A200C">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烟雾机</w:t>
            </w:r>
          </w:p>
        </w:tc>
        <w:tc>
          <w:tcPr>
            <w:tcW w:w="6662" w:type="dxa"/>
            <w:vAlign w:val="center"/>
          </w:tcPr>
          <w:p w14:paraId="0C02F5DE">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将农药呈烟雾状喷施的器械，烟雾粒径小，可随空气扩散弥漫，适合林带和道路条件差及水少地方施药。</w:t>
            </w:r>
          </w:p>
        </w:tc>
        <w:tc>
          <w:tcPr>
            <w:tcW w:w="1949" w:type="dxa"/>
            <w:vMerge w:val="continue"/>
            <w:vAlign w:val="center"/>
          </w:tcPr>
          <w:p w14:paraId="5680A9E1">
            <w:pPr>
              <w:pStyle w:val="4"/>
              <w:jc w:val="center"/>
              <w:rPr>
                <w:rFonts w:ascii="方正仿宋_GB2312" w:hAnsi="方正仿宋_GB2312" w:eastAsia="方正仿宋_GB2312" w:cs="方正仿宋_GB2312"/>
                <w:color w:val="auto"/>
                <w:sz w:val="18"/>
                <w:szCs w:val="18"/>
                <w:highlight w:val="none"/>
              </w:rPr>
            </w:pPr>
          </w:p>
        </w:tc>
      </w:tr>
      <w:tr w14:paraId="5F9B1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912B4DC">
            <w:pPr>
              <w:pStyle w:val="4"/>
              <w:jc w:val="center"/>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无人机</w:t>
            </w:r>
          </w:p>
        </w:tc>
        <w:tc>
          <w:tcPr>
            <w:tcW w:w="6662" w:type="dxa"/>
            <w:vAlign w:val="center"/>
          </w:tcPr>
          <w:p w14:paraId="18204556">
            <w:pPr>
              <w:pStyle w:val="4"/>
              <w:rPr>
                <w:rFonts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利用遥控式农业喷药小飞机进行植保作业，可用于高大乔木和较大面积的病虫防治，同时避免作业人员暴露于农药的危险。</w:t>
            </w:r>
          </w:p>
        </w:tc>
        <w:tc>
          <w:tcPr>
            <w:tcW w:w="1949" w:type="dxa"/>
            <w:vMerge w:val="continue"/>
            <w:vAlign w:val="center"/>
          </w:tcPr>
          <w:p w14:paraId="55B45337">
            <w:pPr>
              <w:pStyle w:val="4"/>
              <w:jc w:val="center"/>
              <w:rPr>
                <w:rFonts w:ascii="方正仿宋_GB2312" w:hAnsi="方正仿宋_GB2312" w:eastAsia="方正仿宋_GB2312" w:cs="方正仿宋_GB2312"/>
                <w:color w:val="auto"/>
                <w:sz w:val="18"/>
                <w:szCs w:val="18"/>
                <w:highlight w:val="none"/>
              </w:rPr>
            </w:pPr>
          </w:p>
        </w:tc>
      </w:tr>
    </w:tbl>
    <w:p w14:paraId="462405AD">
      <w:pPr>
        <w:rPr>
          <w:color w:val="auto"/>
          <w:highlight w:val="none"/>
        </w:rPr>
      </w:pPr>
    </w:p>
    <w:p w14:paraId="7D236A97">
      <w:pPr>
        <w:rPr>
          <w:color w:val="auto"/>
          <w:highlight w:val="none"/>
        </w:rPr>
      </w:pPr>
    </w:p>
    <w:p w14:paraId="18225B70">
      <w:pPr>
        <w:rPr>
          <w:color w:val="auto"/>
          <w:highlight w:val="none"/>
        </w:rPr>
      </w:pPr>
    </w:p>
    <w:p w14:paraId="4B72CD5E">
      <w:pPr>
        <w:rPr>
          <w:color w:val="auto"/>
          <w:highlight w:val="none"/>
        </w:rPr>
      </w:pPr>
    </w:p>
    <w:p w14:paraId="19197597">
      <w:pPr>
        <w:rPr>
          <w:color w:val="auto"/>
          <w:highlight w:val="none"/>
        </w:rPr>
      </w:pPr>
    </w:p>
    <w:p w14:paraId="245A9192">
      <w:pPr>
        <w:rPr>
          <w:color w:val="auto"/>
          <w:highlight w:val="none"/>
        </w:rPr>
      </w:pPr>
    </w:p>
    <w:p w14:paraId="6049E426">
      <w:pPr>
        <w:rPr>
          <w:color w:val="auto"/>
          <w:highlight w:val="none"/>
        </w:rPr>
      </w:pPr>
    </w:p>
    <w:p w14:paraId="0D41E5BC">
      <w:pPr>
        <w:rPr>
          <w:color w:val="auto"/>
          <w:highlight w:val="none"/>
        </w:rPr>
      </w:pPr>
    </w:p>
    <w:p w14:paraId="48C8A501">
      <w:pPr>
        <w:rPr>
          <w:color w:val="auto"/>
          <w:highlight w:val="none"/>
        </w:rPr>
      </w:pPr>
    </w:p>
    <w:p w14:paraId="3520586F">
      <w:pPr>
        <w:rPr>
          <w:color w:val="auto"/>
          <w:highlight w:val="none"/>
        </w:rPr>
      </w:pPr>
    </w:p>
    <w:p w14:paraId="40F057BA">
      <w:pPr>
        <w:rPr>
          <w:color w:val="auto"/>
          <w:highlight w:val="none"/>
        </w:rPr>
      </w:pPr>
    </w:p>
    <w:p w14:paraId="2D63C02C">
      <w:pPr>
        <w:rPr>
          <w:color w:val="auto"/>
          <w:highlight w:val="none"/>
        </w:rPr>
      </w:pPr>
    </w:p>
    <w:p w14:paraId="13A37145">
      <w:pPr>
        <w:rPr>
          <w:color w:val="auto"/>
          <w:highlight w:val="none"/>
        </w:rPr>
      </w:pPr>
    </w:p>
    <w:p w14:paraId="0F31FBBC">
      <w:pPr>
        <w:rPr>
          <w:color w:val="auto"/>
          <w:highlight w:val="none"/>
        </w:rPr>
      </w:pPr>
    </w:p>
    <w:p w14:paraId="1B2CBA8C">
      <w:pPr>
        <w:rPr>
          <w:color w:val="auto"/>
          <w:highlight w:val="none"/>
        </w:rPr>
      </w:pPr>
    </w:p>
    <w:p w14:paraId="1E5C496B">
      <w:pPr>
        <w:rPr>
          <w:color w:val="auto"/>
          <w:highlight w:val="none"/>
        </w:rPr>
      </w:pPr>
    </w:p>
    <w:p w14:paraId="6B7712FC">
      <w:pPr>
        <w:rPr>
          <w:color w:val="auto"/>
          <w:highlight w:val="none"/>
        </w:rPr>
      </w:pPr>
    </w:p>
    <w:p w14:paraId="2F1B0070">
      <w:pPr>
        <w:rPr>
          <w:color w:val="auto"/>
          <w:highlight w:val="none"/>
        </w:rPr>
      </w:pPr>
    </w:p>
    <w:p w14:paraId="22BA45A5">
      <w:pPr>
        <w:rPr>
          <w:color w:val="auto"/>
          <w:highlight w:val="none"/>
        </w:rPr>
      </w:pPr>
    </w:p>
    <w:p w14:paraId="198F3315">
      <w:pPr>
        <w:spacing w:line="360" w:lineRule="auto"/>
        <w:ind w:firstLine="1911" w:firstLineChars="595"/>
        <w:rPr>
          <w:rFonts w:ascii="仿宋" w:hAnsi="仿宋" w:eastAsia="仿宋"/>
          <w:b/>
          <w:color w:val="auto"/>
          <w:sz w:val="32"/>
          <w:szCs w:val="32"/>
          <w:highlight w:val="none"/>
        </w:rPr>
      </w:pPr>
      <w:r>
        <w:rPr>
          <w:rFonts w:hint="eastAsia" w:ascii="仿宋" w:hAnsi="仿宋" w:eastAsia="仿宋"/>
          <w:b/>
          <w:color w:val="auto"/>
          <w:sz w:val="32"/>
          <w:szCs w:val="32"/>
          <w:highlight w:val="none"/>
        </w:rPr>
        <w:t>苏州工业园区农药安全使用规范</w:t>
      </w:r>
    </w:p>
    <w:p w14:paraId="5BC2FE72">
      <w:pPr>
        <w:widowControl/>
        <w:ind w:firstLine="562" w:firstLineChars="200"/>
        <w:jc w:val="left"/>
        <w:rPr>
          <w:rFonts w:ascii="仿宋" w:hAnsi="仿宋" w:eastAsia="仿宋"/>
          <w:b/>
          <w:color w:val="auto"/>
          <w:sz w:val="28"/>
          <w:szCs w:val="28"/>
          <w:highlight w:val="none"/>
        </w:rPr>
      </w:pPr>
      <w:r>
        <w:rPr>
          <w:rFonts w:hint="eastAsia" w:ascii="仿宋" w:hAnsi="仿宋" w:eastAsia="仿宋"/>
          <w:b/>
          <w:color w:val="auto"/>
          <w:sz w:val="28"/>
          <w:szCs w:val="28"/>
          <w:highlight w:val="none"/>
        </w:rPr>
        <w:t>1  总则</w:t>
      </w:r>
    </w:p>
    <w:p w14:paraId="145EDB58">
      <w:pPr>
        <w:widowControl/>
        <w:ind w:firstLine="562" w:firstLineChars="200"/>
        <w:jc w:val="left"/>
        <w:rPr>
          <w:rFonts w:ascii="仿宋" w:hAnsi="仿宋" w:eastAsia="仿宋"/>
          <w:b/>
          <w:color w:val="auto"/>
          <w:sz w:val="28"/>
          <w:szCs w:val="28"/>
          <w:highlight w:val="none"/>
        </w:rPr>
      </w:pPr>
      <w:r>
        <w:rPr>
          <w:rFonts w:hint="eastAsia" w:ascii="仿宋" w:hAnsi="仿宋" w:eastAsia="仿宋"/>
          <w:b/>
          <w:color w:val="auto"/>
          <w:sz w:val="28"/>
          <w:szCs w:val="28"/>
          <w:highlight w:val="none"/>
        </w:rPr>
        <w:t>1.1 编制目的</w:t>
      </w:r>
    </w:p>
    <w:p w14:paraId="23397DF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为了加强农药管理，保证农药质量，保障人畜安全，保护生态环境，结合园区实际，制定本规范。</w:t>
      </w:r>
    </w:p>
    <w:p w14:paraId="75546F9B">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1.2 编制依据</w:t>
      </w:r>
    </w:p>
    <w:p w14:paraId="3B579AC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本规范依据NY/T 1276《农药安全使用规范 总则》、GB/T 8321《农药合理使用准则》、《农药管理条例（2022修订）》、GB 12475《农药贮运、销售和使用的防毒规程》、《苏州工业园区绿化养护手册》</w:t>
      </w:r>
      <w:r>
        <w:rPr>
          <w:rFonts w:ascii="仿宋" w:hAnsi="仿宋" w:eastAsia="仿宋"/>
          <w:color w:val="auto"/>
          <w:sz w:val="28"/>
          <w:szCs w:val="28"/>
          <w:highlight w:val="none"/>
        </w:rPr>
        <w:t>等有关法律、法规及文件制定</w:t>
      </w:r>
      <w:r>
        <w:rPr>
          <w:rFonts w:hint="eastAsia" w:ascii="仿宋" w:hAnsi="仿宋" w:eastAsia="仿宋"/>
          <w:color w:val="auto"/>
          <w:sz w:val="28"/>
          <w:szCs w:val="28"/>
          <w:highlight w:val="none"/>
        </w:rPr>
        <w:t>。</w:t>
      </w:r>
    </w:p>
    <w:p w14:paraId="465A9310">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1.3 适用范围</w:t>
      </w:r>
    </w:p>
    <w:p w14:paraId="168F9327">
      <w:pPr>
        <w:spacing w:line="5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适用于</w:t>
      </w:r>
      <w:r>
        <w:rPr>
          <w:rFonts w:hint="eastAsia" w:ascii="仿宋" w:hAnsi="仿宋" w:eastAsia="仿宋"/>
          <w:color w:val="auto"/>
          <w:sz w:val="28"/>
          <w:szCs w:val="28"/>
          <w:highlight w:val="none"/>
        </w:rPr>
        <w:t>园区市政服务集团管养</w:t>
      </w:r>
      <w:r>
        <w:rPr>
          <w:rFonts w:ascii="仿宋" w:hAnsi="仿宋" w:eastAsia="仿宋"/>
          <w:color w:val="auto"/>
          <w:sz w:val="28"/>
          <w:szCs w:val="28"/>
          <w:highlight w:val="none"/>
        </w:rPr>
        <w:t>区域内</w:t>
      </w:r>
      <w:r>
        <w:rPr>
          <w:rFonts w:hint="eastAsia" w:ascii="仿宋" w:hAnsi="仿宋" w:eastAsia="仿宋"/>
          <w:color w:val="auto"/>
          <w:sz w:val="28"/>
          <w:szCs w:val="28"/>
          <w:highlight w:val="none"/>
        </w:rPr>
        <w:t>园林绿化养护作业中涉及的农药使用</w:t>
      </w:r>
      <w:r>
        <w:rPr>
          <w:rFonts w:ascii="仿宋" w:hAnsi="仿宋" w:eastAsia="仿宋"/>
          <w:color w:val="auto"/>
          <w:sz w:val="28"/>
          <w:szCs w:val="28"/>
          <w:highlight w:val="none"/>
        </w:rPr>
        <w:t>。</w:t>
      </w:r>
    </w:p>
    <w:p w14:paraId="7507811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本规范所称农药，是指用于预防、控制危害农业、林业的病、虫、草、鼠和其他有害生物以及有目的地调节植物、昆虫生长的化学合成或者来源于生物、其他天然物质的一种物质或者几种物质的混合物及其制剂。</w:t>
      </w:r>
    </w:p>
    <w:p w14:paraId="742A8603">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2  农药选择</w:t>
      </w:r>
    </w:p>
    <w:p w14:paraId="7D5A6A7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2.1 </w:t>
      </w:r>
      <w:r>
        <w:rPr>
          <w:rFonts w:hint="eastAsia" w:ascii="仿宋" w:hAnsi="仿宋" w:eastAsia="仿宋"/>
          <w:color w:val="auto"/>
          <w:sz w:val="28"/>
          <w:szCs w:val="28"/>
          <w:highlight w:val="none"/>
        </w:rPr>
        <w:t>购买应到</w:t>
      </w:r>
      <w:r>
        <w:rPr>
          <w:rFonts w:hint="eastAsia" w:ascii="仿宋" w:hAnsi="仿宋" w:eastAsia="仿宋"/>
          <w:color w:val="auto"/>
          <w:sz w:val="28"/>
          <w:szCs w:val="28"/>
          <w:highlight w:val="none"/>
        </w:rPr>
        <w:t>具有农药经营资格的经营点，购药后应索取凭证或发票。所购买的农药应具有符合NY 608要求的标签以及符合要求的农药包装。</w:t>
      </w:r>
    </w:p>
    <w:p w14:paraId="5EE7D7D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2.2 应选择对生态环境安全的农药品种，严禁选用国家禁止生产、使用的农药；选择限用的农药应按照有关规定；不得选择剧毒、高毒农药用于蔬菜、果树和防治卫生害虫。</w:t>
      </w:r>
    </w:p>
    <w:p w14:paraId="0F6EFAD2">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2.3 所选择农药须为《苏州工业园区园林植物病虫害防治农药品种》目录内农药，如需使用非清单内的药品，须经审批同意后方可使用。</w:t>
      </w:r>
    </w:p>
    <w:p w14:paraId="1654F4B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2.4 施药前应调查病、虫、草和其他有害生物发生情况，对不能识别和不能确定的，应查阅相关资料或咨询有关专家，明确防治对象并获得指导性防止意见后，根据防治对象选择合适的农药品种。</w:t>
      </w:r>
    </w:p>
    <w:p w14:paraId="64C0408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2.5 在一个防治季节应选择不同作用机理的农药品种交替使用。</w:t>
      </w:r>
    </w:p>
    <w:p w14:paraId="10D54C86">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3  农药配制</w:t>
      </w:r>
    </w:p>
    <w:p w14:paraId="011EFBA1">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3.1 量取要点</w:t>
      </w:r>
    </w:p>
    <w:p w14:paraId="38AE1DF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3.1.1 准确核定施药面积，根据农药标签推荐的农药使用剂量或植保技术人员的推荐，计算用药量和施药液量。</w:t>
      </w:r>
    </w:p>
    <w:p w14:paraId="7AC1A41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3.1.2 准确量取农药，量具专用。</w:t>
      </w:r>
    </w:p>
    <w:p w14:paraId="10BEBD0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3.1.3 量取和称重农药应在避风处操作。</w:t>
      </w:r>
    </w:p>
    <w:p w14:paraId="35949C9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3.1.4 所有称量器具在使用后都要清洗，冲洗后的废液应在远离居所、水源的地点妥善处理。用于量取农药的器皿不得作其他用途。</w:t>
      </w:r>
    </w:p>
    <w:p w14:paraId="0268FAF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3.1.5 在量取农药后，封闭原农药包装并将其安全贮存。农药在使用前应始终保存在其原包装中。</w:t>
      </w:r>
    </w:p>
    <w:p w14:paraId="6221B924">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3.2 配制</w:t>
      </w:r>
    </w:p>
    <w:p w14:paraId="6822F13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3.2.1 应选择</w:t>
      </w:r>
      <w:r>
        <w:rPr>
          <w:rFonts w:hint="eastAsia" w:ascii="仿宋" w:hAnsi="仿宋" w:eastAsia="仿宋"/>
          <w:color w:val="auto"/>
          <w:sz w:val="28"/>
          <w:szCs w:val="28"/>
          <w:highlight w:val="none"/>
        </w:rPr>
        <w:t>在远离水源、居所等场</w:t>
      </w:r>
      <w:r>
        <w:rPr>
          <w:rFonts w:hint="eastAsia" w:ascii="仿宋" w:hAnsi="仿宋" w:eastAsia="仿宋"/>
          <w:color w:val="auto"/>
          <w:sz w:val="28"/>
          <w:szCs w:val="28"/>
          <w:highlight w:val="none"/>
        </w:rPr>
        <w:t>所配制。</w:t>
      </w:r>
    </w:p>
    <w:p w14:paraId="12C14349">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3.2.2 药剂现用现配，不宜久置；短时存放时，应密闭并安排专人报管。</w:t>
      </w:r>
    </w:p>
    <w:p w14:paraId="45DDE1D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3.2.3 应选择没有杂质的清水配制农药，不应用配制农药的器具直接取水，药液不应超过额定容量。</w:t>
      </w:r>
    </w:p>
    <w:p w14:paraId="14FBD0A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3.2.4 应根据农药剂型，按照农药标签推荐的方法配制农药。</w:t>
      </w:r>
    </w:p>
    <w:p w14:paraId="1BE31DE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3.2.5 采用“二次法”进行操作：先用少量水将农药制剂稀释成“母液”，然后再将“母液”进一步稀释至所需要的浓度。</w:t>
      </w:r>
    </w:p>
    <w:p w14:paraId="48F0D087">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4  农药施用</w:t>
      </w:r>
    </w:p>
    <w:p w14:paraId="32B4BFDC">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4.1 施药时间</w:t>
      </w:r>
    </w:p>
    <w:p w14:paraId="52FD67D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4.1.1 根据病、虫、草</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树木</w:t>
      </w:r>
      <w:r>
        <w:rPr>
          <w:rFonts w:hint="eastAsia" w:ascii="仿宋" w:hAnsi="仿宋" w:eastAsia="仿宋"/>
          <w:color w:val="auto"/>
          <w:sz w:val="28"/>
          <w:szCs w:val="28"/>
          <w:highlight w:val="none"/>
        </w:rPr>
        <w:t>和其他有害生物发生程度和药剂本身性能，结合病虫情报信息，确定是否施药和施药适期。</w:t>
      </w:r>
    </w:p>
    <w:p w14:paraId="42C39F7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4.1.2 不宜在高温、雨天及风力大于3级时施药。</w:t>
      </w:r>
    </w:p>
    <w:p w14:paraId="335EAFAF">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4.2 施药器械</w:t>
      </w:r>
    </w:p>
    <w:p w14:paraId="53AC80E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4.2.1 应综合考虑防治对象、防治场所、植物种类、农药剂型、防治规模等情况选择合适的药械。</w:t>
      </w:r>
    </w:p>
    <w:p w14:paraId="5186BFE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4.2.2 应选择正规厂家生产、经国家质检部门检测合格的药械。</w:t>
      </w:r>
    </w:p>
    <w:p w14:paraId="53E808A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4.2.3 应根据病、虫、草和其他有害生物防治需要和施药器械类型选择合适的喷头，定期更换磨损的喷头。</w:t>
      </w:r>
    </w:p>
    <w:p w14:paraId="422E039D">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4.3 施药器械的检查与校准</w:t>
      </w:r>
    </w:p>
    <w:p w14:paraId="08E5D97C">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4.3.1 施药作业前，应检查施药器械的压力部件、控制部件。喷雾器（机）截止阀应能够自如扳动，药液箱盖上的进气孔应畅通，各接口部分没有滴漏情况。</w:t>
      </w:r>
    </w:p>
    <w:p w14:paraId="5CAAF1D2">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4.3.2 在喷雾作业开始前，喷雾机具检修后、作业车辆跟换车轮后或者安装新的喷头时，应对喷雾机具进行校准，校准因子包括行走速度、喷幅以及药液流量和压力。</w:t>
      </w:r>
    </w:p>
    <w:p w14:paraId="106A7649">
      <w:pPr>
        <w:spacing w:line="360" w:lineRule="auto"/>
        <w:ind w:firstLine="562" w:firstLineChars="200"/>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4.4乔木施药要求</w:t>
      </w:r>
    </w:p>
    <w:p w14:paraId="7D130AAD">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施药前需准确识别树木病虫害种类，明确防治目标，严禁盲目用药。</w:t>
      </w:r>
      <w:r>
        <w:rPr>
          <w:rFonts w:hint="default" w:ascii="仿宋" w:hAnsi="仿宋" w:eastAsia="仿宋"/>
          <w:color w:val="auto"/>
          <w:sz w:val="28"/>
          <w:szCs w:val="28"/>
          <w:highlight w:val="none"/>
        </w:rPr>
        <w:t>优先选择生物农药、高效低毒低残留农药，禁止使用国家明令禁止的高毒、高残留农药（如甲胺磷、对硫磷等）。</w:t>
      </w:r>
    </w:p>
    <w:p w14:paraId="175BB41E">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 xml:space="preserve">2 </w:t>
      </w:r>
      <w:r>
        <w:rPr>
          <w:rFonts w:hint="default" w:ascii="仿宋" w:hAnsi="仿宋" w:eastAsia="仿宋"/>
          <w:color w:val="auto"/>
          <w:sz w:val="28"/>
          <w:szCs w:val="28"/>
          <w:highlight w:val="none"/>
        </w:rPr>
        <w:t>核查农药的生产日期、有效期、批准文号，确保药剂正规且在有效期内；变质、破损、标签模糊的农药严禁使用。</w:t>
      </w:r>
    </w:p>
    <w:p w14:paraId="5D6BA2C4">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 xml:space="preserve">3 </w:t>
      </w:r>
      <w:r>
        <w:rPr>
          <w:rFonts w:hint="eastAsia" w:ascii="仿宋" w:hAnsi="仿宋" w:eastAsia="仿宋"/>
          <w:color w:val="auto"/>
          <w:sz w:val="28"/>
          <w:szCs w:val="28"/>
          <w:highlight w:val="none"/>
        </w:rPr>
        <w:t>古树名木施药需制定</w:t>
      </w:r>
      <w:r>
        <w:rPr>
          <w:rFonts w:hint="default" w:ascii="仿宋" w:hAnsi="仿宋" w:eastAsia="仿宋"/>
          <w:color w:val="auto"/>
          <w:sz w:val="28"/>
          <w:szCs w:val="28"/>
          <w:highlight w:val="none"/>
        </w:rPr>
        <w:t>专项方案，经专家论证后实施；优先采用生物防治、物理防治方法，确需用药时选择最低有效浓度，并采用局部施药方式，避免大面积喷施。施药过程需安排专人监护，施药后加强养护观察，及时调整养护措施。</w:t>
      </w:r>
    </w:p>
    <w:p w14:paraId="525C8122">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4.</w:t>
      </w:r>
      <w:r>
        <w:rPr>
          <w:rFonts w:hint="eastAsia" w:ascii="仿宋" w:hAnsi="仿宋" w:eastAsia="仿宋"/>
          <w:b/>
          <w:color w:val="auto"/>
          <w:sz w:val="28"/>
          <w:szCs w:val="28"/>
          <w:highlight w:val="none"/>
          <w:lang w:val="en-US" w:eastAsia="zh-CN"/>
        </w:rPr>
        <w:t>5</w:t>
      </w:r>
      <w:r>
        <w:rPr>
          <w:rFonts w:hint="eastAsia" w:ascii="仿宋" w:hAnsi="仿宋" w:eastAsia="仿宋"/>
          <w:b/>
          <w:color w:val="auto"/>
          <w:sz w:val="28"/>
          <w:szCs w:val="28"/>
          <w:highlight w:val="none"/>
        </w:rPr>
        <w:t xml:space="preserve"> 施药机械的维护</w:t>
      </w:r>
    </w:p>
    <w:p w14:paraId="2BA22BB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.1 施药作业后，应仔细清洗机具，并进行保养。存放前应对可能锈蚀的部件涂防锈黄油。</w:t>
      </w:r>
    </w:p>
    <w:p w14:paraId="4A5A176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.2 喷雾器（机）喷洒除草剂后，必须用加油清洗剂的清水彻底清洗干净（至少清洗三遍）。</w:t>
      </w:r>
    </w:p>
    <w:p w14:paraId="63D5E31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.3 保养后的施药器械应放在干燥通风的库房内，切勿靠近火源，避免露天存放或与农药、酸、碱等腐蚀性物质存放在一起。</w:t>
      </w:r>
    </w:p>
    <w:p w14:paraId="03BB885E">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5  安全防护</w:t>
      </w:r>
    </w:p>
    <w:p w14:paraId="6712E7B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5.1 配制和施用农药人员应身体健康，经过专业技术培顺，具备一定的植保知识。</w:t>
      </w:r>
    </w:p>
    <w:p w14:paraId="2825E46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5.2 配制和施用农药时应穿戴必要的防护用品，严禁用手直接接触农药，谨防农药进入眼睛、接触皮肤或吸入体内。应按照GB 12475的规定执行。</w:t>
      </w:r>
    </w:p>
    <w:p w14:paraId="3D567940">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5.3 施药中作业人员不准许吸烟、饮水进食，不要用手直接擦拭面部；避免过累、过热。</w:t>
      </w:r>
    </w:p>
    <w:p w14:paraId="6856ABD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5.4 施药作业过程中要做好警示标识，作业人员应处于上风向位置。</w:t>
      </w:r>
    </w:p>
    <w:p w14:paraId="0612EF5E">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5.5 施药作业时要求有两名以上操作人员；施药人员每日工作时间不应超过6h，连续施药时间不应超过5d。</w:t>
      </w:r>
    </w:p>
    <w:p w14:paraId="16A45E3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5.6 施药过程中遇喷头堵塞等情况时，应立即关闭截止阀，先用清水冲洗喷头，然后戴着乳胶手套进行故障排除，用毛刷疏通喷孔，严禁用嘴吹吸喷头和滤网。</w:t>
      </w:r>
    </w:p>
    <w:p w14:paraId="4835981D">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5.7 防护用品用毕，应及时清洗、维护，存放在清洁、干燥的室内备用；防护用品的储存和清洗要与其他衣物分开，远离施药区；防护用品应根据说明书进行清洗，如无特殊说明，建议用清洗剂和热水清洗。</w:t>
      </w:r>
    </w:p>
    <w:p w14:paraId="12FCC2F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5.8 施过农药的果林要树立警示标志，在农药持效期内禁止采摘，施药后24h内禁止进入。</w:t>
      </w:r>
    </w:p>
    <w:p w14:paraId="034A3701">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6  农药施用后</w:t>
      </w:r>
    </w:p>
    <w:p w14:paraId="3E231F64">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6.1 剩余农药的处理</w:t>
      </w:r>
    </w:p>
    <w:p w14:paraId="59FD19CD">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未用完的农药制剂应保存在其原包装中，并密封贮存于上锁的地方（防爆箱），不得用其他容器盛装，严禁用空饮料瓶分装剩余农药；已配制的药剂，尽量一次性用完。</w:t>
      </w:r>
    </w:p>
    <w:p w14:paraId="3848AA8A">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6.2 废容器和废包装的处理</w:t>
      </w:r>
    </w:p>
    <w:p w14:paraId="47B0C44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6.2.1 废容器和废包装应冲洗3次后妥善保存，阻止儿童和牲畜接近，待统一回收处置。</w:t>
      </w:r>
    </w:p>
    <w:p w14:paraId="0F7AD42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6.2.2 不应用废农药容器盛装其他农药，严禁用作人、畜饮食用具。</w:t>
      </w:r>
    </w:p>
    <w:p w14:paraId="1C23862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6.2.3 废弃外包装应按照要求统一回收处置，不得任意抛弃、污染环境。</w:t>
      </w:r>
    </w:p>
    <w:p w14:paraId="4243C8C6">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6.3 用药档案记录</w:t>
      </w:r>
    </w:p>
    <w:p w14:paraId="28F9B3B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shd w:val="clear" w:color="auto" w:fill="FFFFFF"/>
        </w:rPr>
        <w:t>植保员须做好用药档案管理工作，每次施药应记录天气状况、植物种类、用药时间、药剂品种、防治对象、用药量、废弃外包装回收量、防治效果、安全性等信息，并于每年12月份备案市政服务集团。</w:t>
      </w:r>
    </w:p>
    <w:p w14:paraId="321D2E1F">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7、事故应急处理</w:t>
      </w:r>
    </w:p>
    <w:p w14:paraId="124D187A">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7.1 贮存</w:t>
      </w:r>
    </w:p>
    <w:p w14:paraId="38C694E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7.1</w:t>
      </w:r>
      <w:r>
        <w:rPr>
          <w:rFonts w:hint="eastAsia" w:ascii="仿宋" w:hAnsi="仿宋" w:eastAsia="仿宋"/>
          <w:color w:val="auto"/>
          <w:sz w:val="28"/>
          <w:szCs w:val="28"/>
          <w:highlight w:val="none"/>
        </w:rPr>
        <w:t>.1 发生农药溢出、泄漏或渗漏时，应将农药容器迅速移至安全区域。</w:t>
      </w:r>
    </w:p>
    <w:p w14:paraId="5A70E9F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7.1.2 发生火灾时，应施用配备得消防器材（包括灭火器、水桶、锹、沙袋等）进行灭火，同时告知消防部门等有关部门；灭火时应避免迎面救火。</w:t>
      </w:r>
    </w:p>
    <w:p w14:paraId="10963B44">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7.2 中毒者自救</w:t>
      </w:r>
    </w:p>
    <w:p w14:paraId="356863CB">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7.2.1 施药人员如果将农药溅入眼睛内或皮肤上，应及时用大量干净、清凉得水冲洗数次或携带农药标签前往医院就诊。</w:t>
      </w:r>
    </w:p>
    <w:p w14:paraId="3FF032F4">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7.2.2 施药人员如果出现头痛、头昏、恶心、呕吐等农药中毒症状，应立即停止作业，离开施药现场，脱掉污染衣服或携带农药标签前往医院就诊。</w:t>
      </w:r>
    </w:p>
    <w:p w14:paraId="236D250B">
      <w:pPr>
        <w:spacing w:line="360" w:lineRule="auto"/>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7.3 中毒者救治</w:t>
      </w:r>
    </w:p>
    <w:p w14:paraId="3D809C23">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7.3.1 发现施药人员中毒后，应将中毒者放在阴凉、通风的地方，防治受热或受凉。</w:t>
      </w:r>
    </w:p>
    <w:p w14:paraId="2C92A472">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7.3.2 应带上引起中毒的农药标签立即将中毒者送至最近的医院菜去医疗措施救治。</w:t>
      </w:r>
    </w:p>
    <w:p w14:paraId="14944571">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7.3.3 如果中毒者出现停止呼吸现象，应立即对中毒者施以人工呼吸。</w:t>
      </w:r>
    </w:p>
    <w:p w14:paraId="42A75488">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EA1D6D-0AFE-4031-8808-ED52BE64B7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376581-54E2-4980-A8B3-B034D5EEA4F4}"/>
  </w:font>
  <w:font w:name="Calibri Light">
    <w:panose1 w:val="020F0302020204030204"/>
    <w:charset w:val="00"/>
    <w:family w:val="auto"/>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5D58C029-4117-4AD1-AFF6-4AED49BCAD4F}"/>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4" w:fontKey="{60323BE8-A90E-4ACB-BC31-AAB5A29896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MWY0Mjg3YTFhZmQ4ZWM1NmM3YTY0ZjI0ZjA5NDMifQ=="/>
  </w:docVars>
  <w:rsids>
    <w:rsidRoot w:val="44D07CF1"/>
    <w:rsid w:val="034D095E"/>
    <w:rsid w:val="10182690"/>
    <w:rsid w:val="18387273"/>
    <w:rsid w:val="191E34AE"/>
    <w:rsid w:val="34383EF0"/>
    <w:rsid w:val="356B5980"/>
    <w:rsid w:val="3B2E2848"/>
    <w:rsid w:val="44D07CF1"/>
    <w:rsid w:val="4AFF5BC7"/>
    <w:rsid w:val="556728A4"/>
    <w:rsid w:val="5BCD7685"/>
    <w:rsid w:val="6DC7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9"/>
    <w:pPr>
      <w:keepNext/>
      <w:keepLines/>
      <w:spacing w:line="0" w:lineRule="atLeast"/>
      <w:ind w:firstLine="482"/>
      <w:outlineLvl w:val="2"/>
    </w:pPr>
    <w:rPr>
      <w:rFonts w:eastAsia="方正仿宋_GB2312"/>
      <w:b/>
      <w:bCs/>
      <w:kern w:val="0"/>
      <w:sz w:val="28"/>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napToGrid w:val="0"/>
      <w:spacing w:beforeAutospacing="1" w:afterAutospacing="1" w:line="360" w:lineRule="auto"/>
    </w:pPr>
    <w:rPr>
      <w:rFonts w:ascii="Calibri" w:hAnsi="Calibri" w:eastAsia="方正楷体_GB2312" w:cs="Times New Roman"/>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3655</Words>
  <Characters>4169</Characters>
  <Lines>0</Lines>
  <Paragraphs>0</Paragraphs>
  <TotalTime>6</TotalTime>
  <ScaleCrop>false</ScaleCrop>
  <LinksUpToDate>false</LinksUpToDate>
  <CharactersWithSpaces>4270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2025-05-20T04:16:00Z</dcterms:created>
  <dc:creator>Administrator</dc:creator>
  <cp:lastModifiedBy>村夫</cp:lastModifiedBy>
  <dcterms:modified xsi:type="dcterms:W3CDTF">2026-04-10T03:23:55Z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D5DEB05401B34A1B9128FB14F385DD34_11</vt:lpwstr>
  </property>
  <property fmtid="{D5CDD505-2E9C-101B-9397-08002B2CF9AE}" pid="4" name="KSOTemplateDocerSaveRecord">
    <vt:lpwstr>eyJoZGlkIjoiMmQzNzAwYmNlNTM0ZmExYmQ1YThjOTkzOWVjODE5OGUiLCJ1c2VySWQiOiI0MzYxODQ2OTcifQ==</vt:lpwstr>
  </property>
</Properties>
</file>