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6965D">
      <w:pPr>
        <w:jc w:val="left"/>
        <w:rPr>
          <w:rFonts w:hint="eastAsia" w:ascii="仿宋" w:hAnsi="仿宋" w:eastAsia="仿宋" w:cs="仿宋"/>
          <w:color w:val="000000"/>
        </w:rPr>
      </w:pPr>
    </w:p>
    <w:p w14:paraId="488814E8">
      <w:pPr>
        <w:jc w:val="center"/>
        <w:rPr>
          <w:rFonts w:hint="default" w:ascii="仿宋" w:hAnsi="仿宋" w:eastAsia="仿宋" w:cs="仿宋"/>
          <w:color w:val="auto"/>
          <w:sz w:val="56"/>
          <w:szCs w:val="72"/>
          <w:lang w:val="en-US" w:eastAsia="zh-CN"/>
        </w:rPr>
      </w:pPr>
      <w:r>
        <w:rPr>
          <w:rFonts w:hint="eastAsia" w:ascii="仿宋" w:hAnsi="仿宋" w:eastAsia="仿宋" w:cs="仿宋"/>
          <w:color w:val="auto"/>
          <w:sz w:val="56"/>
          <w:szCs w:val="72"/>
          <w:lang w:val="en-US" w:eastAsia="zh-CN"/>
        </w:rPr>
        <w:t>以下为更正后的内容</w:t>
      </w:r>
    </w:p>
    <w:p w14:paraId="5A426493">
      <w:pPr>
        <w:jc w:val="left"/>
        <w:rPr>
          <w:rFonts w:hint="eastAsia" w:ascii="仿宋" w:hAnsi="仿宋" w:eastAsia="仿宋" w:cs="仿宋"/>
          <w:color w:val="000000"/>
          <w:sz w:val="32"/>
        </w:rPr>
      </w:pPr>
      <w:bookmarkStart w:id="19" w:name="_GoBack"/>
      <w:bookmarkEnd w:id="19"/>
      <w:r>
        <w:rPr>
          <w:rFonts w:hint="eastAsia" w:ascii="仿宋" w:hAnsi="仿宋" w:eastAsia="仿宋" w:cs="仿宋"/>
          <w:color w:val="000000"/>
        </w:rPr>
        <w:drawing>
          <wp:inline distT="0" distB="0" distL="0" distR="0">
            <wp:extent cx="1735455" cy="118300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1735620" cy="1183091"/>
                    </a:xfrm>
                    <a:prstGeom prst="rect">
                      <a:avLst/>
                    </a:prstGeom>
                    <a:noFill/>
                    <a:ln>
                      <a:noFill/>
                    </a:ln>
                  </pic:spPr>
                </pic:pic>
              </a:graphicData>
            </a:graphic>
          </wp:inline>
        </w:drawing>
      </w:r>
      <w:r>
        <w:rPr>
          <w:rFonts w:hint="eastAsia" w:ascii="仿宋" w:hAnsi="仿宋" w:eastAsia="仿宋" w:cs="仿宋"/>
          <w:color w:val="000000"/>
          <w:sz w:val="32"/>
        </w:rPr>
        <w:t xml:space="preserve">       </w:t>
      </w:r>
    </w:p>
    <w:p w14:paraId="3E6FF0C5">
      <w:pPr>
        <w:jc w:val="center"/>
        <w:rPr>
          <w:rFonts w:hint="eastAsia" w:ascii="仿宋" w:hAnsi="仿宋" w:eastAsia="仿宋" w:cs="仿宋"/>
          <w:color w:val="000000"/>
          <w:spacing w:val="76"/>
          <w:sz w:val="144"/>
        </w:rPr>
      </w:pPr>
      <w:r>
        <w:rPr>
          <w:rFonts w:hint="eastAsia" w:ascii="仿宋" w:hAnsi="仿宋" w:eastAsia="仿宋" w:cs="仿宋"/>
          <w:color w:val="000000"/>
          <w:spacing w:val="76"/>
          <w:sz w:val="144"/>
        </w:rPr>
        <w:t>招</w:t>
      </w:r>
    </w:p>
    <w:p w14:paraId="4DBD45FC">
      <w:pPr>
        <w:jc w:val="center"/>
        <w:rPr>
          <w:rFonts w:hint="eastAsia" w:ascii="仿宋" w:hAnsi="仿宋" w:eastAsia="仿宋" w:cs="仿宋"/>
          <w:color w:val="000000"/>
          <w:spacing w:val="76"/>
          <w:sz w:val="144"/>
        </w:rPr>
      </w:pPr>
      <w:r>
        <w:rPr>
          <w:rFonts w:hint="eastAsia" w:ascii="仿宋" w:hAnsi="仿宋" w:eastAsia="仿宋" w:cs="仿宋"/>
          <w:color w:val="000000"/>
          <w:spacing w:val="76"/>
          <w:sz w:val="144"/>
        </w:rPr>
        <w:t>标</w:t>
      </w:r>
    </w:p>
    <w:p w14:paraId="0ACD99E3">
      <w:pPr>
        <w:jc w:val="center"/>
        <w:rPr>
          <w:rFonts w:hint="eastAsia" w:ascii="仿宋" w:hAnsi="仿宋" w:eastAsia="仿宋" w:cs="仿宋"/>
          <w:color w:val="000000"/>
          <w:spacing w:val="76"/>
          <w:sz w:val="144"/>
        </w:rPr>
      </w:pPr>
      <w:r>
        <w:rPr>
          <w:rFonts w:hint="eastAsia" w:ascii="仿宋" w:hAnsi="仿宋" w:eastAsia="仿宋" w:cs="仿宋"/>
          <w:color w:val="000000"/>
          <w:spacing w:val="76"/>
          <w:sz w:val="144"/>
        </w:rPr>
        <w:t>文</w:t>
      </w:r>
    </w:p>
    <w:p w14:paraId="3DF67CAF">
      <w:pPr>
        <w:jc w:val="center"/>
        <w:rPr>
          <w:rFonts w:hint="eastAsia" w:ascii="仿宋" w:hAnsi="仿宋" w:eastAsia="仿宋" w:cs="仿宋"/>
          <w:color w:val="000000"/>
          <w:spacing w:val="76"/>
          <w:sz w:val="144"/>
        </w:rPr>
      </w:pPr>
      <w:r>
        <w:rPr>
          <w:rFonts w:hint="eastAsia" w:ascii="仿宋" w:hAnsi="仿宋" w:eastAsia="仿宋" w:cs="仿宋"/>
          <w:color w:val="000000"/>
          <w:spacing w:val="76"/>
          <w:sz w:val="144"/>
        </w:rPr>
        <w:t>件</w:t>
      </w:r>
    </w:p>
    <w:p w14:paraId="540BDFA2">
      <w:pPr>
        <w:jc w:val="center"/>
        <w:rPr>
          <w:rFonts w:hint="eastAsia" w:ascii="仿宋" w:hAnsi="仿宋" w:eastAsia="仿宋" w:cs="仿宋"/>
          <w:color w:val="000000"/>
          <w:sz w:val="30"/>
          <w:szCs w:val="30"/>
        </w:rPr>
      </w:pPr>
    </w:p>
    <w:p w14:paraId="199AA203">
      <w:pPr>
        <w:ind w:firstLine="1200"/>
        <w:jc w:val="both"/>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项目名称：</w:t>
      </w:r>
      <w:r>
        <w:rPr>
          <w:rFonts w:hint="eastAsia" w:ascii="仿宋" w:hAnsi="仿宋" w:eastAsia="仿宋" w:cs="仿宋"/>
          <w:color w:val="000000"/>
          <w:sz w:val="30"/>
          <w:szCs w:val="30"/>
          <w:lang w:eastAsia="zh-CN"/>
        </w:rPr>
        <w:t>徐州生物工程职业技术学院大学生活动中心舞美设备采购与安装</w:t>
      </w:r>
    </w:p>
    <w:p w14:paraId="215610FC">
      <w:pPr>
        <w:ind w:firstLine="1200"/>
        <w:jc w:val="both"/>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项目编号：</w:t>
      </w:r>
      <w:r>
        <w:rPr>
          <w:rFonts w:hint="eastAsia" w:ascii="仿宋" w:hAnsi="仿宋" w:eastAsia="仿宋" w:cs="仿宋"/>
          <w:color w:val="000000"/>
          <w:sz w:val="30"/>
          <w:szCs w:val="30"/>
          <w:lang w:eastAsia="zh-CN"/>
        </w:rPr>
        <w:t>JSZC-320300-ZJZB-G2026-0042</w:t>
      </w:r>
    </w:p>
    <w:p w14:paraId="7581608B">
      <w:pPr>
        <w:ind w:firstLine="1200"/>
        <w:jc w:val="both"/>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采 购 人：</w:t>
      </w:r>
      <w:r>
        <w:rPr>
          <w:rFonts w:hint="eastAsia" w:ascii="仿宋" w:hAnsi="仿宋" w:eastAsia="仿宋" w:cs="仿宋"/>
          <w:color w:val="000000"/>
          <w:sz w:val="30"/>
          <w:szCs w:val="30"/>
          <w:lang w:eastAsia="zh-CN"/>
        </w:rPr>
        <w:t>徐州生物工程职业技术学院</w:t>
      </w:r>
    </w:p>
    <w:p w14:paraId="2D2046AE">
      <w:pPr>
        <w:jc w:val="center"/>
        <w:rPr>
          <w:rFonts w:hint="eastAsia" w:ascii="仿宋" w:hAnsi="仿宋" w:eastAsia="仿宋" w:cs="仿宋"/>
          <w:color w:val="000000"/>
          <w:sz w:val="30"/>
          <w:szCs w:val="30"/>
        </w:rPr>
      </w:pPr>
    </w:p>
    <w:p w14:paraId="224E0DA4">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采购代理机构：江苏中际招标代理有限公司</w:t>
      </w:r>
    </w:p>
    <w:p w14:paraId="5FAA9DE6">
      <w:pPr>
        <w:pStyle w:val="259"/>
        <w:ind w:firstLine="0"/>
        <w:jc w:val="center"/>
        <w:rPr>
          <w:rFonts w:hint="eastAsia" w:ascii="仿宋" w:hAnsi="仿宋" w:eastAsia="仿宋" w:cs="仿宋"/>
          <w:color w:val="000000"/>
          <w:sz w:val="30"/>
          <w:szCs w:val="30"/>
        </w:rPr>
      </w:pPr>
    </w:p>
    <w:p w14:paraId="30957CEA">
      <w:pPr>
        <w:pStyle w:val="259"/>
        <w:ind w:firstLine="0"/>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rPr>
        <w:t>二〇二</w:t>
      </w:r>
      <w:r>
        <w:rPr>
          <w:rFonts w:hint="eastAsia" w:ascii="仿宋" w:hAnsi="仿宋" w:eastAsia="仿宋" w:cs="仿宋"/>
          <w:color w:val="000000"/>
          <w:sz w:val="30"/>
          <w:szCs w:val="30"/>
          <w:lang w:val="en-US" w:eastAsia="zh-CN"/>
        </w:rPr>
        <w:t>六</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五</w:t>
      </w:r>
      <w:r>
        <w:rPr>
          <w:rFonts w:hint="eastAsia" w:ascii="仿宋" w:hAnsi="仿宋" w:eastAsia="仿宋" w:cs="仿宋"/>
          <w:color w:val="000000"/>
          <w:sz w:val="30"/>
          <w:szCs w:val="30"/>
        </w:rPr>
        <w:t>月</w:t>
      </w:r>
    </w:p>
    <w:p w14:paraId="31941AA9">
      <w:pPr>
        <w:widowControl/>
        <w:jc w:val="center"/>
        <w:rPr>
          <w:rFonts w:hint="eastAsia" w:ascii="仿宋" w:hAnsi="仿宋" w:eastAsia="仿宋" w:cs="仿宋"/>
          <w:b/>
          <w:color w:val="000000"/>
          <w:sz w:val="44"/>
        </w:rPr>
      </w:pPr>
      <w:r>
        <w:rPr>
          <w:rFonts w:hint="eastAsia" w:ascii="仿宋" w:hAnsi="仿宋" w:eastAsia="仿宋" w:cs="仿宋"/>
          <w:b/>
          <w:color w:val="000000"/>
          <w:sz w:val="44"/>
        </w:rPr>
        <w:br w:type="page" w:clear="all"/>
      </w:r>
      <w:r>
        <w:rPr>
          <w:rFonts w:hint="eastAsia" w:ascii="仿宋" w:hAnsi="仿宋" w:eastAsia="仿宋" w:cs="仿宋"/>
          <w:b/>
          <w:color w:val="000000"/>
          <w:sz w:val="44"/>
        </w:rPr>
        <w:t>目 录</w:t>
      </w:r>
    </w:p>
    <w:p w14:paraId="5B984BD5">
      <w:pPr>
        <w:spacing w:line="520" w:lineRule="exact"/>
        <w:jc w:val="center"/>
        <w:rPr>
          <w:rFonts w:hint="eastAsia" w:ascii="仿宋" w:hAnsi="仿宋" w:eastAsia="仿宋" w:cs="仿宋"/>
          <w:b/>
          <w:color w:val="000000"/>
          <w:sz w:val="44"/>
          <w:szCs w:val="44"/>
        </w:rPr>
      </w:pPr>
      <w:bookmarkStart w:id="0" w:name="_Toc522790130"/>
    </w:p>
    <w:p w14:paraId="721A0A7D">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b/>
          <w:color w:val="000000"/>
          <w:sz w:val="30"/>
          <w:szCs w:val="30"/>
        </w:rPr>
        <w:fldChar w:fldCharType="begin"/>
      </w:r>
      <w:r>
        <w:rPr>
          <w:rFonts w:hint="eastAsia" w:ascii="仿宋" w:hAnsi="仿宋" w:eastAsia="仿宋" w:cs="仿宋"/>
          <w:b/>
          <w:color w:val="000000"/>
          <w:sz w:val="30"/>
          <w:szCs w:val="30"/>
        </w:rPr>
        <w:instrText xml:space="preserve"> TOC \o "1-3" \h \z \u </w:instrText>
      </w:r>
      <w:r>
        <w:rPr>
          <w:rFonts w:hint="eastAsia" w:ascii="仿宋" w:hAnsi="仿宋" w:eastAsia="仿宋" w:cs="仿宋"/>
          <w:b/>
          <w:color w:val="000000"/>
          <w:sz w:val="30"/>
          <w:szCs w:val="30"/>
        </w:rPr>
        <w:fldChar w:fldCharType="separate"/>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_Toc24257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第一章  投标邀请</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_Toc24257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3</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0D5BE2F7">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_Toc6866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lang w:val="en-US" w:eastAsia="zh-CN"/>
        </w:rPr>
        <w:t>第二章  投标人须知</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_Toc6866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5</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449FAC46">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_Toc12259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第三章  投标资料表</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_Toc12259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17</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07DD4D3A">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_Toc9429 </w:instrText>
      </w:r>
      <w:r>
        <w:rPr>
          <w:rFonts w:hint="eastAsia" w:ascii="仿宋" w:hAnsi="仿宋" w:eastAsia="仿宋" w:cs="仿宋"/>
          <w:color w:val="000000"/>
          <w:sz w:val="30"/>
          <w:szCs w:val="30"/>
        </w:rPr>
        <w:fldChar w:fldCharType="separate"/>
      </w:r>
      <w:r>
        <w:rPr>
          <w:rFonts w:hint="eastAsia" w:ascii="仿宋" w:hAnsi="仿宋" w:eastAsia="仿宋" w:cs="仿宋"/>
          <w:bCs/>
          <w:color w:val="000000"/>
          <w:sz w:val="30"/>
          <w:szCs w:val="30"/>
        </w:rPr>
        <w:t xml:space="preserve">第四章 </w:t>
      </w:r>
      <w:r>
        <w:rPr>
          <w:rFonts w:hint="eastAsia" w:ascii="仿宋" w:hAnsi="仿宋" w:eastAsia="仿宋" w:cs="仿宋"/>
          <w:color w:val="000000"/>
          <w:sz w:val="30"/>
          <w:szCs w:val="30"/>
        </w:rPr>
        <w:t xml:space="preserve"> 评标标准</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_Toc9429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30</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4C1F986C">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_Toc14780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第五章  拟签订的合同文本</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_Toc14780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32</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7D6E8EFE">
      <w:pPr>
        <w:pStyle w:val="269"/>
        <w:keepNext w:val="0"/>
        <w:keepLines w:val="0"/>
        <w:pageBreakBefore w:val="0"/>
        <w:widowControl w:val="0"/>
        <w:tabs>
          <w:tab w:val="right" w:leader="dot" w:pos="8306"/>
        </w:tabs>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_Toc12097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第六章  采购需求</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_Toc12097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32</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626150DA">
      <w:pPr>
        <w:pStyle w:val="269"/>
        <w:keepNext w:val="0"/>
        <w:keepLines w:val="0"/>
        <w:pageBreakBefore w:val="0"/>
        <w:widowControl w:val="0"/>
        <w:tabs>
          <w:tab w:val="right" w:leader="dot" w:pos="8306"/>
        </w:tabs>
        <w:spacing w:line="360" w:lineRule="auto"/>
        <w:rPr>
          <w:rFonts w:hint="eastAsia" w:ascii="仿宋" w:hAnsi="仿宋" w:eastAsia="仿宋" w:cs="仿宋"/>
          <w:color w:val="00000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\l _Toc17335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第七章  投标文件相关格式</w:t>
      </w:r>
      <w:r>
        <w:rPr>
          <w:rFonts w:hint="eastAsia" w:ascii="仿宋" w:hAnsi="仿宋" w:eastAsia="仿宋" w:cs="仿宋"/>
          <w:color w:val="000000"/>
          <w:sz w:val="30"/>
          <w:szCs w:val="30"/>
        </w:rPr>
        <w:tab/>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PAGEREF _Toc17335 \h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173</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fldChar w:fldCharType="end"/>
      </w:r>
    </w:p>
    <w:p w14:paraId="098E64CD">
      <w:pPr>
        <w:spacing w:line="520" w:lineRule="exact"/>
        <w:jc w:val="center"/>
        <w:rPr>
          <w:rFonts w:hint="eastAsia" w:ascii="仿宋" w:hAnsi="仿宋" w:eastAsia="仿宋" w:cs="仿宋"/>
          <w:b/>
          <w:color w:val="000000"/>
          <w:sz w:val="44"/>
          <w:szCs w:val="44"/>
        </w:rPr>
      </w:pPr>
      <w:r>
        <w:rPr>
          <w:rFonts w:hint="eastAsia" w:ascii="仿宋" w:hAnsi="仿宋" w:eastAsia="仿宋" w:cs="仿宋"/>
          <w:color w:val="000000"/>
          <w:szCs w:val="30"/>
        </w:rPr>
        <w:fldChar w:fldCharType="end"/>
      </w:r>
    </w:p>
    <w:p w14:paraId="10D9FA57">
      <w:pPr>
        <w:spacing w:line="520" w:lineRule="exact"/>
        <w:jc w:val="center"/>
        <w:rPr>
          <w:rFonts w:hint="eastAsia" w:ascii="仿宋" w:hAnsi="仿宋" w:eastAsia="仿宋" w:cs="仿宋"/>
          <w:b/>
          <w:color w:val="000000"/>
          <w:sz w:val="44"/>
          <w:szCs w:val="44"/>
        </w:rPr>
      </w:pPr>
    </w:p>
    <w:p w14:paraId="3144370C">
      <w:pPr>
        <w:spacing w:line="520" w:lineRule="exact"/>
        <w:jc w:val="center"/>
        <w:rPr>
          <w:rFonts w:hint="eastAsia" w:ascii="仿宋" w:hAnsi="仿宋" w:eastAsia="仿宋" w:cs="仿宋"/>
          <w:b/>
          <w:color w:val="000000"/>
          <w:sz w:val="44"/>
          <w:szCs w:val="44"/>
        </w:rPr>
      </w:pPr>
    </w:p>
    <w:p w14:paraId="17068CD0">
      <w:pPr>
        <w:spacing w:line="520" w:lineRule="exact"/>
        <w:jc w:val="center"/>
        <w:rPr>
          <w:rFonts w:hint="eastAsia" w:ascii="仿宋" w:hAnsi="仿宋" w:eastAsia="仿宋" w:cs="仿宋"/>
          <w:b/>
          <w:color w:val="000000"/>
          <w:sz w:val="44"/>
          <w:szCs w:val="44"/>
        </w:rPr>
      </w:pPr>
    </w:p>
    <w:p w14:paraId="681C3338">
      <w:pPr>
        <w:spacing w:line="520" w:lineRule="exact"/>
        <w:jc w:val="center"/>
        <w:rPr>
          <w:rFonts w:hint="eastAsia" w:ascii="仿宋" w:hAnsi="仿宋" w:eastAsia="仿宋" w:cs="仿宋"/>
          <w:b/>
          <w:color w:val="000000"/>
          <w:sz w:val="44"/>
          <w:szCs w:val="44"/>
        </w:rPr>
      </w:pPr>
    </w:p>
    <w:p w14:paraId="62543D49">
      <w:pPr>
        <w:spacing w:line="520" w:lineRule="exact"/>
        <w:jc w:val="center"/>
        <w:rPr>
          <w:rFonts w:hint="eastAsia" w:ascii="仿宋" w:hAnsi="仿宋" w:eastAsia="仿宋" w:cs="仿宋"/>
          <w:b/>
          <w:color w:val="000000"/>
          <w:sz w:val="44"/>
          <w:szCs w:val="44"/>
        </w:rPr>
      </w:pPr>
    </w:p>
    <w:p w14:paraId="30962931">
      <w:pPr>
        <w:spacing w:line="520" w:lineRule="exact"/>
        <w:jc w:val="center"/>
        <w:rPr>
          <w:rFonts w:hint="eastAsia" w:ascii="仿宋" w:hAnsi="仿宋" w:eastAsia="仿宋" w:cs="仿宋"/>
          <w:b/>
          <w:color w:val="000000"/>
          <w:sz w:val="44"/>
          <w:szCs w:val="44"/>
        </w:rPr>
      </w:pPr>
    </w:p>
    <w:p w14:paraId="544F60EB">
      <w:pPr>
        <w:spacing w:line="520" w:lineRule="exact"/>
        <w:jc w:val="center"/>
        <w:rPr>
          <w:rFonts w:hint="eastAsia" w:ascii="仿宋" w:hAnsi="仿宋" w:eastAsia="仿宋" w:cs="仿宋"/>
          <w:b/>
          <w:color w:val="000000"/>
          <w:sz w:val="44"/>
          <w:szCs w:val="44"/>
        </w:rPr>
      </w:pPr>
    </w:p>
    <w:p w14:paraId="63E13BEE">
      <w:pPr>
        <w:spacing w:line="520" w:lineRule="exact"/>
        <w:jc w:val="center"/>
        <w:rPr>
          <w:rFonts w:hint="eastAsia" w:ascii="仿宋" w:hAnsi="仿宋" w:eastAsia="仿宋" w:cs="仿宋"/>
          <w:b/>
          <w:color w:val="000000"/>
          <w:sz w:val="44"/>
          <w:szCs w:val="44"/>
        </w:rPr>
      </w:pPr>
    </w:p>
    <w:p w14:paraId="16D2C299">
      <w:pPr>
        <w:spacing w:line="520" w:lineRule="exact"/>
        <w:jc w:val="center"/>
        <w:rPr>
          <w:rFonts w:hint="eastAsia" w:ascii="仿宋" w:hAnsi="仿宋" w:eastAsia="仿宋" w:cs="仿宋"/>
          <w:b/>
          <w:color w:val="000000"/>
          <w:sz w:val="44"/>
          <w:szCs w:val="44"/>
        </w:rPr>
      </w:pPr>
    </w:p>
    <w:p w14:paraId="1EAD9DC0">
      <w:pPr>
        <w:spacing w:line="520" w:lineRule="exact"/>
        <w:jc w:val="center"/>
        <w:rPr>
          <w:rFonts w:hint="eastAsia" w:ascii="仿宋" w:hAnsi="仿宋" w:eastAsia="仿宋" w:cs="仿宋"/>
          <w:b/>
          <w:color w:val="000000"/>
          <w:sz w:val="44"/>
          <w:szCs w:val="44"/>
        </w:rPr>
      </w:pPr>
    </w:p>
    <w:p w14:paraId="18EE1B97">
      <w:pPr>
        <w:spacing w:line="520" w:lineRule="exact"/>
        <w:jc w:val="center"/>
        <w:rPr>
          <w:rFonts w:hint="eastAsia" w:ascii="仿宋" w:hAnsi="仿宋" w:eastAsia="仿宋" w:cs="仿宋"/>
          <w:b/>
          <w:color w:val="000000"/>
          <w:sz w:val="44"/>
          <w:szCs w:val="44"/>
        </w:rPr>
      </w:pPr>
    </w:p>
    <w:p w14:paraId="3D54580D">
      <w:pPr>
        <w:spacing w:line="520" w:lineRule="exact"/>
        <w:jc w:val="center"/>
        <w:rPr>
          <w:rFonts w:hint="eastAsia" w:ascii="仿宋" w:hAnsi="仿宋" w:eastAsia="仿宋" w:cs="仿宋"/>
          <w:b/>
          <w:color w:val="000000"/>
          <w:sz w:val="44"/>
          <w:szCs w:val="44"/>
        </w:rPr>
      </w:pPr>
    </w:p>
    <w:p w14:paraId="73CBC015">
      <w:pPr>
        <w:spacing w:line="520" w:lineRule="exact"/>
        <w:jc w:val="center"/>
        <w:rPr>
          <w:rFonts w:hint="eastAsia" w:ascii="仿宋" w:hAnsi="仿宋" w:eastAsia="仿宋" w:cs="仿宋"/>
          <w:b/>
          <w:color w:val="000000"/>
          <w:sz w:val="44"/>
          <w:szCs w:val="44"/>
        </w:rPr>
      </w:pPr>
    </w:p>
    <w:p w14:paraId="6A7500D8">
      <w:pPr>
        <w:spacing w:line="520" w:lineRule="exact"/>
        <w:jc w:val="center"/>
        <w:rPr>
          <w:rFonts w:hint="eastAsia" w:ascii="仿宋" w:hAnsi="仿宋" w:eastAsia="仿宋" w:cs="仿宋"/>
          <w:b/>
          <w:color w:val="000000"/>
          <w:sz w:val="44"/>
          <w:szCs w:val="44"/>
        </w:rPr>
      </w:pPr>
    </w:p>
    <w:p w14:paraId="4797B2A7">
      <w:pPr>
        <w:widowControl/>
        <w:jc w:val="center"/>
        <w:rPr>
          <w:rFonts w:hint="eastAsia" w:ascii="仿宋" w:hAnsi="仿宋" w:eastAsia="仿宋" w:cs="仿宋"/>
          <w:b/>
          <w:color w:val="000000"/>
          <w:sz w:val="44"/>
          <w:szCs w:val="44"/>
          <w:lang w:eastAsia="zh-CN"/>
        </w:rPr>
      </w:pPr>
      <w:r>
        <w:rPr>
          <w:rFonts w:hint="eastAsia" w:ascii="仿宋" w:hAnsi="仿宋" w:eastAsia="仿宋" w:cs="仿宋"/>
          <w:b/>
          <w:color w:val="000000"/>
          <w:sz w:val="44"/>
          <w:szCs w:val="44"/>
        </w:rPr>
        <w:br w:type="page" w:clear="all"/>
      </w:r>
      <w:r>
        <w:rPr>
          <w:rFonts w:hint="eastAsia" w:ascii="仿宋" w:hAnsi="仿宋" w:eastAsia="仿宋" w:cs="仿宋"/>
          <w:b/>
          <w:color w:val="000000"/>
          <w:sz w:val="44"/>
          <w:szCs w:val="44"/>
          <w:lang w:eastAsia="zh-CN"/>
        </w:rPr>
        <w:t>徐州生物工程职业技术学院</w:t>
      </w:r>
    </w:p>
    <w:p w14:paraId="6B7647B8">
      <w:pPr>
        <w:spacing w:line="520" w:lineRule="exact"/>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w:t>
      </w:r>
      <w:r>
        <w:rPr>
          <w:rFonts w:hint="eastAsia" w:ascii="仿宋" w:hAnsi="仿宋" w:eastAsia="仿宋" w:cs="仿宋"/>
          <w:b/>
          <w:color w:val="000000"/>
          <w:sz w:val="44"/>
          <w:szCs w:val="44"/>
          <w:lang w:eastAsia="zh-CN"/>
        </w:rPr>
        <w:t>徐州生物工程职业技术学院大学生活动中心舞美设备采购与安装</w:t>
      </w:r>
      <w:r>
        <w:rPr>
          <w:rFonts w:hint="eastAsia" w:ascii="仿宋" w:hAnsi="仿宋" w:eastAsia="仿宋" w:cs="仿宋"/>
          <w:b/>
          <w:color w:val="000000"/>
          <w:sz w:val="44"/>
          <w:szCs w:val="44"/>
        </w:rPr>
        <w:t>项目》招标文件</w:t>
      </w:r>
    </w:p>
    <w:p w14:paraId="33328DF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10D48C14">
      <w:pPr>
        <w:spacing w:line="360" w:lineRule="exact"/>
        <w:rPr>
          <w:rFonts w:hint="eastAsia" w:ascii="仿宋" w:hAnsi="仿宋" w:eastAsia="仿宋" w:cs="仿宋"/>
          <w:color w:val="000000"/>
          <w:sz w:val="30"/>
          <w:szCs w:val="30"/>
        </w:rPr>
      </w:pPr>
    </w:p>
    <w:p w14:paraId="77CC591D">
      <w:pPr>
        <w:pStyle w:val="38"/>
        <w:spacing w:line="520" w:lineRule="exact"/>
        <w:rPr>
          <w:rFonts w:hint="eastAsia" w:ascii="仿宋" w:hAnsi="仿宋" w:eastAsia="仿宋" w:cs="仿宋"/>
          <w:color w:val="000000"/>
        </w:rPr>
      </w:pPr>
      <w:bookmarkStart w:id="1" w:name="_Toc24257"/>
      <w:r>
        <w:rPr>
          <w:rFonts w:hint="eastAsia" w:ascii="仿宋" w:hAnsi="仿宋" w:eastAsia="仿宋" w:cs="仿宋"/>
          <w:color w:val="000000"/>
        </w:rPr>
        <w:t>第一章  投标邀请</w:t>
      </w:r>
      <w:bookmarkEnd w:id="1"/>
    </w:p>
    <w:p w14:paraId="1177E314">
      <w:pPr>
        <w:spacing w:line="360" w:lineRule="exact"/>
        <w:jc w:val="center"/>
        <w:rPr>
          <w:rFonts w:hint="eastAsia" w:ascii="仿宋" w:hAnsi="仿宋" w:eastAsia="仿宋" w:cs="仿宋"/>
          <w:color w:val="000000"/>
          <w:sz w:val="30"/>
          <w:szCs w:val="30"/>
        </w:rPr>
      </w:pPr>
    </w:p>
    <w:p w14:paraId="748F91C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江苏中际招标代理有限公司对</w:t>
      </w:r>
      <w:r>
        <w:rPr>
          <w:rFonts w:hint="eastAsia" w:ascii="仿宋" w:hAnsi="仿宋" w:eastAsia="仿宋" w:cs="仿宋"/>
          <w:color w:val="000000"/>
          <w:sz w:val="30"/>
          <w:szCs w:val="30"/>
          <w:lang w:eastAsia="zh-CN"/>
        </w:rPr>
        <w:t>徐州生物工程职业技术学院</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30"/>
          <w:szCs w:val="30"/>
        </w:rPr>
        <w:t>项目”进行公开招标采购，现邀请符合相关条件的供应商投标。</w:t>
      </w:r>
    </w:p>
    <w:p w14:paraId="64A1C17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一、项目名称和项目编号</w:t>
      </w:r>
    </w:p>
    <w:p w14:paraId="1C454EF0">
      <w:pPr>
        <w:spacing w:line="520" w:lineRule="exact"/>
        <w:ind w:firstLine="600"/>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(一)项目名称：</w:t>
      </w:r>
      <w:r>
        <w:rPr>
          <w:rFonts w:hint="eastAsia" w:ascii="仿宋" w:hAnsi="仿宋" w:eastAsia="仿宋" w:cs="仿宋"/>
          <w:color w:val="000000"/>
          <w:sz w:val="30"/>
          <w:szCs w:val="30"/>
          <w:lang w:eastAsia="zh-CN"/>
        </w:rPr>
        <w:t>徐州生物工程职业技术学院大学生活动中心舞美设备采购与安装</w:t>
      </w:r>
    </w:p>
    <w:p w14:paraId="314CA990">
      <w:pPr>
        <w:spacing w:line="520" w:lineRule="exact"/>
        <w:ind w:firstLine="600"/>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(二)项目编号：</w:t>
      </w:r>
      <w:r>
        <w:rPr>
          <w:rFonts w:hint="eastAsia" w:ascii="仿宋" w:hAnsi="仿宋" w:eastAsia="仿宋" w:cs="仿宋"/>
          <w:color w:val="000000"/>
          <w:sz w:val="30"/>
          <w:szCs w:val="30"/>
          <w:lang w:eastAsia="zh-CN"/>
        </w:rPr>
        <w:t>JSZC-320300-ZJZB-G2026-0042</w:t>
      </w:r>
    </w:p>
    <w:p w14:paraId="63DB23D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二、对投标人的资格要求</w:t>
      </w:r>
    </w:p>
    <w:p w14:paraId="0E80F13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详见本项目公开招标公告。</w:t>
      </w:r>
    </w:p>
    <w:p w14:paraId="72CF0CC1">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三、获取招标文件</w:t>
      </w:r>
      <w:bookmarkEnd w:id="0"/>
    </w:p>
    <w:p w14:paraId="56DDA8A3">
      <w:pPr>
        <w:spacing w:line="520" w:lineRule="exact"/>
        <w:ind w:firstLine="600"/>
        <w:rPr>
          <w:rFonts w:hint="eastAsia" w:ascii="仿宋" w:hAnsi="仿宋" w:eastAsia="仿宋" w:cs="仿宋"/>
          <w:bCs/>
          <w:color w:val="000000"/>
          <w:sz w:val="30"/>
          <w:szCs w:val="30"/>
        </w:rPr>
      </w:pPr>
      <w:r>
        <w:rPr>
          <w:rFonts w:hint="eastAsia" w:ascii="仿宋" w:hAnsi="仿宋" w:eastAsia="仿宋" w:cs="仿宋"/>
          <w:bCs/>
          <w:color w:val="000000"/>
          <w:sz w:val="30"/>
          <w:szCs w:val="30"/>
        </w:rPr>
        <w:t>（1）潜在供应商访问电子招标投标交易平台的网络地址和方法：</w:t>
      </w:r>
    </w:p>
    <w:p w14:paraId="02FABE88">
      <w:pPr>
        <w:spacing w:line="520" w:lineRule="exact"/>
        <w:ind w:firstLine="600"/>
        <w:rPr>
          <w:rFonts w:hint="eastAsia" w:ascii="仿宋" w:hAnsi="仿宋" w:eastAsia="仿宋" w:cs="仿宋"/>
          <w:bCs/>
          <w:color w:val="000000"/>
          <w:sz w:val="30"/>
          <w:szCs w:val="30"/>
        </w:rPr>
      </w:pPr>
      <w:r>
        <w:rPr>
          <w:rFonts w:hint="eastAsia" w:ascii="仿宋" w:hAnsi="仿宋" w:eastAsia="仿宋" w:cs="仿宋"/>
          <w:bCs/>
          <w:color w:val="000000"/>
          <w:sz w:val="30"/>
          <w:szCs w:val="30"/>
        </w:rPr>
        <w:t>①登录 http://jszfcg.jsczt.cn/ ，或进入徐州政府采购网--业务工作--用户登录，点击“苏采云”进入系统。</w:t>
      </w:r>
    </w:p>
    <w:p w14:paraId="4B035168">
      <w:pPr>
        <w:spacing w:line="520" w:lineRule="exact"/>
        <w:ind w:firstLine="600"/>
        <w:rPr>
          <w:rFonts w:hint="eastAsia" w:ascii="仿宋" w:hAnsi="仿宋" w:eastAsia="仿宋" w:cs="仿宋"/>
          <w:bCs/>
          <w:color w:val="000000"/>
          <w:sz w:val="30"/>
          <w:szCs w:val="30"/>
        </w:rPr>
      </w:pPr>
      <w:r>
        <w:rPr>
          <w:rFonts w:hint="eastAsia" w:ascii="仿宋" w:hAnsi="仿宋" w:eastAsia="仿宋" w:cs="仿宋"/>
          <w:bCs/>
          <w:color w:val="000000"/>
          <w:sz w:val="30"/>
          <w:szCs w:val="30"/>
        </w:rPr>
        <w:t>②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302A54A">
      <w:pPr>
        <w:spacing w:line="520" w:lineRule="exact"/>
        <w:ind w:firstLine="600"/>
        <w:rPr>
          <w:rFonts w:hint="eastAsia" w:ascii="仿宋" w:hAnsi="仿宋" w:eastAsia="仿宋" w:cs="仿宋"/>
          <w:bCs/>
          <w:color w:val="000000"/>
          <w:sz w:val="30"/>
          <w:szCs w:val="30"/>
        </w:rPr>
      </w:pPr>
      <w:r>
        <w:rPr>
          <w:rFonts w:hint="eastAsia" w:ascii="仿宋" w:hAnsi="仿宋" w:eastAsia="仿宋" w:cs="仿宋"/>
          <w:bCs/>
          <w:color w:val="000000"/>
          <w:sz w:val="30"/>
          <w:szCs w:val="30"/>
        </w:rPr>
        <w:t>（2）采购代理机构将数据电文形式的招标文件加载至电子招标投标交易平台，供潜在供应商下载或者查阅。</w:t>
      </w:r>
    </w:p>
    <w:p w14:paraId="10B2BC53">
      <w:pPr>
        <w:spacing w:line="520" w:lineRule="exact"/>
        <w:ind w:firstLine="600"/>
        <w:rPr>
          <w:rFonts w:hint="eastAsia" w:ascii="仿宋" w:hAnsi="仿宋" w:eastAsia="仿宋" w:cs="仿宋"/>
          <w:color w:val="000000"/>
          <w:sz w:val="30"/>
          <w:szCs w:val="30"/>
        </w:rPr>
      </w:pPr>
      <w:r>
        <w:rPr>
          <w:rFonts w:hint="eastAsia" w:ascii="仿宋" w:hAnsi="仿宋" w:eastAsia="仿宋" w:cs="仿宋"/>
          <w:bCs/>
          <w:color w:val="000000"/>
          <w:sz w:val="30"/>
          <w:szCs w:val="30"/>
        </w:rPr>
        <w:t>（3）售价：免费。</w:t>
      </w:r>
    </w:p>
    <w:p w14:paraId="3F89525E">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四、提交投标文件截止时间、开标时间和地点</w:t>
      </w:r>
    </w:p>
    <w:p w14:paraId="13E45FA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（一）投标截止时间：202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06月10日</w:t>
      </w:r>
      <w:r>
        <w:rPr>
          <w:rFonts w:hint="eastAsia" w:ascii="仿宋" w:hAnsi="仿宋" w:eastAsia="仿宋" w:cs="仿宋"/>
          <w:color w:val="000000"/>
          <w:sz w:val="30"/>
          <w:szCs w:val="30"/>
        </w:rPr>
        <w:t>北京时间</w:t>
      </w:r>
      <w:r>
        <w:rPr>
          <w:rFonts w:hint="eastAsia" w:ascii="仿宋" w:hAnsi="仿宋" w:eastAsia="仿宋" w:cs="仿宋"/>
          <w:color w:val="000000"/>
          <w:sz w:val="30"/>
          <w:szCs w:val="30"/>
          <w:lang w:val="en-US" w:eastAsia="zh-CN"/>
        </w:rPr>
        <w:t>09</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0。</w:t>
      </w:r>
    </w:p>
    <w:p w14:paraId="6440179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（二）开标时间：202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06月10日</w:t>
      </w:r>
      <w:r>
        <w:rPr>
          <w:rFonts w:hint="eastAsia" w:ascii="仿宋" w:hAnsi="仿宋" w:eastAsia="仿宋" w:cs="仿宋"/>
          <w:color w:val="000000"/>
          <w:sz w:val="30"/>
          <w:szCs w:val="30"/>
        </w:rPr>
        <w:t>北京时间</w:t>
      </w:r>
      <w:r>
        <w:rPr>
          <w:rFonts w:hint="eastAsia" w:ascii="仿宋" w:hAnsi="仿宋" w:eastAsia="仿宋" w:cs="仿宋"/>
          <w:color w:val="000000"/>
          <w:sz w:val="30"/>
          <w:szCs w:val="30"/>
          <w:lang w:val="en-US" w:eastAsia="zh-CN"/>
        </w:rPr>
        <w:t>09</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0。</w:t>
      </w:r>
    </w:p>
    <w:p w14:paraId="0AC71BF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（三）开标地点：“苏采云”系统（网址： http://jszfcg.jsczt.cn/）“开标大厅”或进入徐州政府采购网（网址：</w:t>
      </w:r>
      <w:r>
        <w:rPr>
          <w:rFonts w:hint="eastAsia" w:ascii="仿宋" w:hAnsi="仿宋" w:eastAsia="仿宋" w:cs="仿宋"/>
          <w:color w:val="000000"/>
          <w:sz w:val="30"/>
          <w:szCs w:val="30"/>
          <w:lang w:eastAsia="zh-CN"/>
        </w:rPr>
        <w:t>https://czj.xz.gov.cn/zfcg/</w:t>
      </w:r>
      <w:r>
        <w:rPr>
          <w:rFonts w:hint="eastAsia" w:ascii="仿宋" w:hAnsi="仿宋" w:eastAsia="仿宋" w:cs="仿宋"/>
          <w:color w:val="000000"/>
          <w:sz w:val="30"/>
          <w:szCs w:val="30"/>
        </w:rPr>
        <w:t>）点击“苏采云”进入系统“开标大厅”。</w:t>
      </w:r>
    </w:p>
    <w:p w14:paraId="00DA69B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五、采购人</w:t>
      </w:r>
    </w:p>
    <w:p w14:paraId="0F4EA444">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（一）名称：</w:t>
      </w:r>
      <w:r>
        <w:rPr>
          <w:rFonts w:hint="eastAsia" w:ascii="仿宋" w:hAnsi="仿宋" w:eastAsia="仿宋" w:cs="仿宋"/>
          <w:color w:val="000000"/>
          <w:sz w:val="30"/>
          <w:szCs w:val="30"/>
          <w:lang w:eastAsia="zh-CN"/>
        </w:rPr>
        <w:t>徐州生物工程职业技术学院</w:t>
      </w:r>
      <w:r>
        <w:rPr>
          <w:rFonts w:hint="eastAsia" w:ascii="仿宋" w:hAnsi="仿宋" w:eastAsia="仿宋" w:cs="仿宋"/>
          <w:color w:val="000000"/>
          <w:sz w:val="30"/>
          <w:szCs w:val="30"/>
        </w:rPr>
        <w:t>。</w:t>
      </w:r>
    </w:p>
    <w:p w14:paraId="46D534CF">
      <w:pPr>
        <w:spacing w:line="520" w:lineRule="exact"/>
        <w:ind w:firstLine="600"/>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（二）地址：</w:t>
      </w:r>
      <w:r>
        <w:rPr>
          <w:rFonts w:hint="eastAsia" w:ascii="仿宋" w:hAnsi="仿宋" w:eastAsia="仿宋" w:cs="仿宋"/>
          <w:color w:val="000000"/>
          <w:sz w:val="30"/>
          <w:szCs w:val="30"/>
          <w:lang w:eastAsia="zh-CN"/>
        </w:rPr>
        <w:t>徐州市西三环路297号。</w:t>
      </w:r>
    </w:p>
    <w:p w14:paraId="76C16D67">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（三）联系方法：</w:t>
      </w:r>
      <w:r>
        <w:rPr>
          <w:rFonts w:hint="eastAsia" w:ascii="仿宋" w:hAnsi="仿宋" w:eastAsia="仿宋" w:cs="仿宋"/>
          <w:color w:val="000000"/>
          <w:sz w:val="30"/>
          <w:szCs w:val="30"/>
          <w:lang w:eastAsia="zh-CN"/>
        </w:rPr>
        <w:t>0516-83628918</w:t>
      </w:r>
      <w:r>
        <w:rPr>
          <w:rFonts w:hint="eastAsia" w:ascii="仿宋" w:hAnsi="仿宋" w:eastAsia="仿宋" w:cs="仿宋"/>
          <w:color w:val="000000"/>
          <w:sz w:val="30"/>
          <w:szCs w:val="30"/>
        </w:rPr>
        <w:t>。</w:t>
      </w:r>
    </w:p>
    <w:p w14:paraId="79A1C975">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（四）采购项目联系人：</w:t>
      </w:r>
      <w:r>
        <w:rPr>
          <w:rFonts w:hint="eastAsia" w:ascii="仿宋" w:hAnsi="仿宋" w:eastAsia="仿宋" w:cs="仿宋"/>
          <w:color w:val="000000"/>
          <w:sz w:val="30"/>
          <w:szCs w:val="30"/>
          <w:lang w:eastAsia="zh-CN"/>
        </w:rPr>
        <w:t>杜雷</w:t>
      </w:r>
      <w:r>
        <w:rPr>
          <w:rFonts w:hint="eastAsia" w:ascii="仿宋" w:hAnsi="仿宋" w:eastAsia="仿宋" w:cs="仿宋"/>
          <w:color w:val="000000"/>
          <w:sz w:val="30"/>
          <w:szCs w:val="30"/>
        </w:rPr>
        <w:t>；联系电话：</w:t>
      </w:r>
      <w:r>
        <w:rPr>
          <w:rFonts w:hint="eastAsia" w:ascii="仿宋" w:hAnsi="仿宋" w:eastAsia="仿宋" w:cs="仿宋"/>
          <w:color w:val="000000"/>
          <w:sz w:val="30"/>
          <w:szCs w:val="30"/>
          <w:lang w:eastAsia="zh-CN"/>
        </w:rPr>
        <w:t>0516-83628918</w:t>
      </w:r>
      <w:r>
        <w:rPr>
          <w:rFonts w:hint="eastAsia" w:ascii="仿宋" w:hAnsi="仿宋" w:eastAsia="仿宋" w:cs="仿宋"/>
          <w:color w:val="000000"/>
          <w:sz w:val="30"/>
          <w:szCs w:val="30"/>
        </w:rPr>
        <w:t>。</w:t>
      </w:r>
    </w:p>
    <w:p w14:paraId="1B3FEAD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六、采购代理机构</w:t>
      </w:r>
    </w:p>
    <w:p w14:paraId="4011A842">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（一）名称：江苏中际招标代理有限公司。</w:t>
      </w:r>
    </w:p>
    <w:p w14:paraId="590B770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（二）地址：徐州市云龙区绿地商务城LOFT领海办公楼5#1906室（汉风路和昆仑大道交叉口东北角）</w:t>
      </w:r>
    </w:p>
    <w:p w14:paraId="4918B5E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（三）联系方法：</w:t>
      </w:r>
      <w:r>
        <w:rPr>
          <w:rFonts w:hint="eastAsia" w:ascii="仿宋" w:hAnsi="仿宋" w:eastAsia="仿宋" w:cs="仿宋"/>
          <w:color w:val="000000"/>
          <w:sz w:val="30"/>
          <w:szCs w:val="30"/>
          <w:lang w:eastAsia="zh-CN"/>
        </w:rPr>
        <w:t>0516-83205176</w:t>
      </w:r>
      <w:r>
        <w:rPr>
          <w:rFonts w:hint="eastAsia" w:ascii="仿宋" w:hAnsi="仿宋" w:eastAsia="仿宋" w:cs="仿宋"/>
          <w:color w:val="000000"/>
          <w:sz w:val="30"/>
          <w:szCs w:val="30"/>
        </w:rPr>
        <w:t xml:space="preserve"> </w:t>
      </w:r>
    </w:p>
    <w:p w14:paraId="719E07FF">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（四）采购项目联系人：</w:t>
      </w:r>
      <w:r>
        <w:rPr>
          <w:rFonts w:hint="eastAsia" w:ascii="仿宋" w:hAnsi="仿宋" w:eastAsia="仿宋" w:cs="仿宋"/>
          <w:color w:val="000000"/>
          <w:sz w:val="30"/>
          <w:szCs w:val="30"/>
          <w:lang w:eastAsia="zh-CN"/>
        </w:rPr>
        <w:t>李海沫、柴鑫</w:t>
      </w:r>
      <w:r>
        <w:rPr>
          <w:rFonts w:hint="eastAsia" w:ascii="仿宋" w:hAnsi="仿宋" w:eastAsia="仿宋" w:cs="仿宋"/>
          <w:color w:val="000000"/>
          <w:sz w:val="30"/>
          <w:szCs w:val="30"/>
        </w:rPr>
        <w:t>；联系电话：</w:t>
      </w:r>
      <w:r>
        <w:rPr>
          <w:rFonts w:hint="eastAsia" w:ascii="仿宋" w:hAnsi="仿宋" w:eastAsia="仿宋" w:cs="仿宋"/>
          <w:color w:val="000000"/>
          <w:sz w:val="30"/>
          <w:szCs w:val="30"/>
          <w:lang w:eastAsia="zh-CN"/>
        </w:rPr>
        <w:t>0516-83205176</w:t>
      </w:r>
      <w:r>
        <w:rPr>
          <w:rFonts w:hint="eastAsia" w:ascii="仿宋" w:hAnsi="仿宋" w:eastAsia="仿宋" w:cs="仿宋"/>
          <w:color w:val="000000"/>
          <w:sz w:val="30"/>
          <w:szCs w:val="30"/>
        </w:rPr>
        <w:t xml:space="preserve"> </w:t>
      </w:r>
    </w:p>
    <w:p w14:paraId="2C730ADF">
      <w:pPr>
        <w:spacing w:line="360" w:lineRule="exact"/>
        <w:ind w:firstLine="600"/>
        <w:rPr>
          <w:rFonts w:hint="eastAsia" w:ascii="仿宋" w:hAnsi="仿宋" w:eastAsia="仿宋" w:cs="仿宋"/>
          <w:color w:val="000000"/>
          <w:sz w:val="30"/>
          <w:szCs w:val="30"/>
        </w:rPr>
      </w:pPr>
    </w:p>
    <w:p w14:paraId="0A1BAAC6">
      <w:pPr>
        <w:widowControl/>
        <w:jc w:val="center"/>
        <w:rPr>
          <w:rFonts w:hint="eastAsia" w:ascii="仿宋" w:hAnsi="仿宋" w:eastAsia="仿宋" w:cs="仿宋"/>
          <w:color w:val="000000"/>
        </w:rPr>
      </w:pPr>
      <w:bookmarkStart w:id="2" w:name="_Toc6866"/>
      <w:bookmarkStart w:id="3" w:name="_Toc522790131"/>
      <w:r>
        <w:rPr>
          <w:rStyle w:val="37"/>
          <w:rFonts w:hint="eastAsia" w:ascii="仿宋" w:hAnsi="仿宋" w:eastAsia="仿宋" w:cs="仿宋"/>
          <w:color w:val="000000"/>
          <w:lang w:val="en-US" w:eastAsia="zh-CN"/>
        </w:rPr>
        <w:br w:type="page" w:clear="all"/>
      </w:r>
      <w:r>
        <w:rPr>
          <w:rStyle w:val="37"/>
          <w:rFonts w:hint="eastAsia" w:ascii="仿宋" w:hAnsi="仿宋" w:eastAsia="仿宋" w:cs="仿宋"/>
          <w:color w:val="000000"/>
          <w:lang w:val="en-US" w:eastAsia="zh-CN"/>
        </w:rPr>
        <w:t>第二章  投标人须知</w:t>
      </w:r>
      <w:bookmarkEnd w:id="2"/>
      <w:bookmarkEnd w:id="3"/>
    </w:p>
    <w:p w14:paraId="71057AAA">
      <w:pPr>
        <w:spacing w:line="360" w:lineRule="exact"/>
        <w:ind w:firstLine="600"/>
        <w:rPr>
          <w:rFonts w:hint="eastAsia" w:ascii="仿宋" w:hAnsi="仿宋" w:eastAsia="仿宋" w:cs="仿宋"/>
          <w:color w:val="000000"/>
          <w:sz w:val="30"/>
          <w:szCs w:val="30"/>
        </w:rPr>
      </w:pPr>
    </w:p>
    <w:p w14:paraId="7B64B01D">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一、总则</w:t>
      </w:r>
    </w:p>
    <w:p w14:paraId="4C578581">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（一）采购人。采购人即指依法进行政府采购的国家机关、事业单位和团体组织。</w:t>
      </w:r>
    </w:p>
    <w:p w14:paraId="7CF0DDF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（二）政府招标采购方式。政府采购货物或服务（以下简称“货物服务”）的招标方式，分为公开招标和邀请招标。</w:t>
      </w:r>
    </w:p>
    <w:p w14:paraId="33EC3E6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（三）采购人在采购货物服务的招标投标活动中，应当贯彻落实“节约能源、保护环境、扶持不发达地区和少数民族地区和促进中小企业发展”等政府采购政策。</w:t>
      </w:r>
    </w:p>
    <w:p w14:paraId="186BFEB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（四）采购人应当按照财政部制定的《政府采购品目分类目录》确定采购项目属性，对按照《政府采购品目分类目录》无法确定采购项目属性的，应按照有利于采购项目实施的原则确定。</w:t>
      </w:r>
    </w:p>
    <w:p w14:paraId="4B2AD5F8">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（五）采购人委托采购代理机构代理招标的，采购代理机构必须在采购人委托的范围内依法开展采购活动。</w:t>
      </w:r>
    </w:p>
    <w:p w14:paraId="7A92EA7A">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（六）投标人的资格条件：</w:t>
      </w:r>
    </w:p>
    <w:p w14:paraId="7286D983">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1.参加“政府采购货物服务投标活动”的供应商（以下简称投标人），应当是能够提供本国货物服务的本国供应商，但法律、行政法规规定的外国供应商可以参加货物服务招标投标活动的除外。</w:t>
      </w:r>
    </w:p>
    <w:p w14:paraId="37561BBB">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投标人是指响应招标、参加投标竞争的法人、其他组织或者自然人。</w:t>
      </w:r>
    </w:p>
    <w:p w14:paraId="3F09F007">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2.投标人授权代表系指法定代表人或受法人委托的受托人。</w:t>
      </w:r>
    </w:p>
    <w:p w14:paraId="408E07F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（七）投标费用：投标人应承担所有与准备和参加投标有关的费用。无论投标的结果如何，采购代理机构对上述费用不承担任何责任和义务。</w:t>
      </w:r>
    </w:p>
    <w:p w14:paraId="577E508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二、招标</w:t>
      </w:r>
    </w:p>
    <w:p w14:paraId="4984852E">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（八）招标文件应包括以下内容：</w:t>
      </w:r>
    </w:p>
    <w:p w14:paraId="3AA44F4D">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第一章，投标邀请；</w:t>
      </w:r>
    </w:p>
    <w:p w14:paraId="09257FB5">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第二章，投标人须知；</w:t>
      </w:r>
    </w:p>
    <w:p w14:paraId="30E2100B">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第三章，投标资料表；</w:t>
      </w:r>
    </w:p>
    <w:p w14:paraId="502E1BBE">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第四章，评标标准；</w:t>
      </w:r>
    </w:p>
    <w:p w14:paraId="5BB84E1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第五章，拟签订的合同文本；</w:t>
      </w:r>
    </w:p>
    <w:p w14:paraId="0A94495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第六章，采购需求；</w:t>
      </w:r>
    </w:p>
    <w:p w14:paraId="28E7C774">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第七章，投标文件相关格式。</w:t>
      </w:r>
    </w:p>
    <w:p w14:paraId="4DFD1C8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（九）招标文件澄清或者修改：</w:t>
      </w:r>
    </w:p>
    <w:p w14:paraId="3DCFE252">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292250CF">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0E69A1D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2.现场考察以本文件第三章《投标资料表》中的要求为准。</w:t>
      </w:r>
    </w:p>
    <w:p w14:paraId="0E896512">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3.开标前答疑会以本文件第三章《投标资料表》中的要求为准。</w:t>
      </w:r>
    </w:p>
    <w:p w14:paraId="0C3237E7">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三、投标</w:t>
      </w:r>
    </w:p>
    <w:p w14:paraId="6BDF93BF">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（十）投标人应当按照招标文件的要求编制投标文件。投标文件应对招标文件提出的要求和条件作出实质性响应。</w:t>
      </w:r>
    </w:p>
    <w:p w14:paraId="01957C5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（十一）投标文件的语言。投标文件以及投标人与采购代理机构就有关投标的往来函电均应使用本文件第三章《投标资料表》规定的语言书写，否则无效。</w:t>
      </w:r>
    </w:p>
    <w:p w14:paraId="7DBC8C2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（十二）投标文件的构成：</w:t>
      </w:r>
    </w:p>
    <w:p w14:paraId="604FB2E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1.投标文件的构成以本文件第三章《投标资料表》中的要求为准。</w:t>
      </w:r>
    </w:p>
    <w:p w14:paraId="3CB2E745">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2.投标人应当提交的资格、资信证明文件，以本文件第三章《投标资料表》中的所提要求为准。</w:t>
      </w:r>
    </w:p>
    <w:p w14:paraId="1D20B42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（十三）投标函和价格表、商务条件、交货和提供服务的时间：</w:t>
      </w:r>
    </w:p>
    <w:p w14:paraId="1711FBED">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1.投标函和价格表的要求见本章（十二）、（十三），格式见本文件第七章《投标文件相关格式》中《投标函》和《开标一览表》。</w:t>
      </w:r>
    </w:p>
    <w:p w14:paraId="393248C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2.商务条件以本文件第三章《投标资料表》中的要求为准。</w:t>
      </w:r>
    </w:p>
    <w:p w14:paraId="2689979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3.交货和提供服务的时间，以本文件第三章《投标资料表》中所提要求为准。</w:t>
      </w:r>
    </w:p>
    <w:p w14:paraId="5C5F85BD">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（十四）投标报价要求：</w:t>
      </w:r>
    </w:p>
    <w:p w14:paraId="6BC32CA4">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1.投标人应按照招标文件的要求报出分项价格和总价。</w:t>
      </w:r>
    </w:p>
    <w:p w14:paraId="7103A3A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2.投标人应按照招标文件的要求进行报价，如投标人作出偏离，应在《偏离表》中列出。</w:t>
      </w:r>
    </w:p>
    <w:p w14:paraId="19EF6C5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3.采购人不支付报价以外的任何费用。</w:t>
      </w:r>
    </w:p>
    <w:p w14:paraId="536EE7A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4.投标人所报的价格，在合同执行过程中是固定的，不得以任何理由予以变更。投标人提交滑动价格的投标文件，在资格性、符合性检查时按照无效投标处理。</w:t>
      </w:r>
    </w:p>
    <w:p w14:paraId="6F8235C1">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5.投标人只能提交一个投标价格，投标人提交多个价格的投标文件，在资格性、符合性检查时按照无效投标处理。</w:t>
      </w:r>
    </w:p>
    <w:p w14:paraId="32DDE66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（十五）投标货币。以本文件第三章《投标资料表》中所提要求为准。</w:t>
      </w:r>
    </w:p>
    <w:p w14:paraId="156AFB7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（十六）投标有效期：</w:t>
      </w:r>
    </w:p>
    <w:p w14:paraId="6FD5AB5A">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1.投标有效期为开标之日后90天。采购人可以要求对投标有效期延长一次，但该延长期最长不得超过30天。</w:t>
      </w:r>
    </w:p>
    <w:p w14:paraId="39F4C3AF">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2.采购人要求延长投标有效期的，必须要在距投标有效期满20日之前，以书面形式通知投标人，如果有关投标人同意延长投标有效期的要求，其应在原投标有效期期满前以书面形式向采购人确认。</w:t>
      </w:r>
    </w:p>
    <w:p w14:paraId="176DA39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3.如果采购人发出要求延长投标有效期的通知，并在投标有效期届满前，没有收到投标人同意的书面通知，则视为该投标人不接受上述延期的要求。</w:t>
      </w:r>
    </w:p>
    <w:p w14:paraId="3038042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（十七）投标文件的编制要求和签署要求：</w:t>
      </w:r>
    </w:p>
    <w:p w14:paraId="57A9FA86">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1.电子投标文件要求</w:t>
      </w:r>
    </w:p>
    <w:p w14:paraId="047C8303">
      <w:pPr>
        <w:widowControl/>
        <w:spacing w:line="520" w:lineRule="exact"/>
        <w:ind w:firstLine="482"/>
        <w:jc w:val="left"/>
        <w:rPr>
          <w:rFonts w:hint="eastAsia" w:ascii="仿宋" w:hAnsi="仿宋" w:eastAsia="仿宋" w:cs="仿宋"/>
          <w:color w:val="000000"/>
          <w:sz w:val="30"/>
          <w:szCs w:val="30"/>
        </w:rPr>
      </w:pPr>
      <w:r>
        <w:rPr>
          <w:rFonts w:hint="eastAsia" w:ascii="仿宋" w:hAnsi="仿宋" w:eastAsia="仿宋" w:cs="仿宋"/>
          <w:color w:val="000000"/>
          <w:sz w:val="30"/>
          <w:szCs w:val="30"/>
        </w:rPr>
        <w:t>（1）电子招标投标交易平台（即“苏采云”系统）相关要求是本招标文件的组成部分。</w:t>
      </w:r>
    </w:p>
    <w:p w14:paraId="37B87A14">
      <w:pPr>
        <w:widowControl/>
        <w:spacing w:line="520" w:lineRule="exact"/>
        <w:ind w:firstLine="482"/>
        <w:jc w:val="left"/>
        <w:rPr>
          <w:rFonts w:hint="eastAsia" w:ascii="仿宋" w:hAnsi="仿宋" w:eastAsia="仿宋" w:cs="仿宋"/>
          <w:color w:val="000000"/>
          <w:sz w:val="30"/>
          <w:szCs w:val="30"/>
        </w:rPr>
      </w:pPr>
      <w:r>
        <w:rPr>
          <w:rFonts w:hint="eastAsia" w:ascii="仿宋" w:hAnsi="仿宋" w:eastAsia="仿宋" w:cs="仿宋"/>
          <w:color w:val="000000"/>
          <w:sz w:val="30"/>
          <w:szCs w:val="30"/>
        </w:rPr>
        <w:t>（2）投标人应对 CA 证书妥善保管，如被他人盗用投标，因此带来的结果均由投标人自行承担。</w:t>
      </w:r>
    </w:p>
    <w:p w14:paraId="6F204A5B">
      <w:pPr>
        <w:widowControl/>
        <w:spacing w:line="520" w:lineRule="exact"/>
        <w:ind w:firstLine="482"/>
        <w:jc w:val="left"/>
        <w:rPr>
          <w:rFonts w:hint="eastAsia" w:ascii="仿宋" w:hAnsi="仿宋" w:eastAsia="仿宋" w:cs="仿宋"/>
          <w:color w:val="000000"/>
          <w:sz w:val="30"/>
          <w:szCs w:val="30"/>
        </w:rPr>
      </w:pPr>
      <w:r>
        <w:rPr>
          <w:rFonts w:hint="eastAsia" w:ascii="仿宋" w:hAnsi="仿宋" w:eastAsia="仿宋" w:cs="仿宋"/>
          <w:color w:val="000000"/>
          <w:sz w:val="30"/>
          <w:szCs w:val="30"/>
        </w:rPr>
        <w:t>（3）投标人应当对招标文件提出的要求和条件作出实质性响应，并在电子投标系统逐条应答。</w:t>
      </w:r>
    </w:p>
    <w:p w14:paraId="0F72DA8C">
      <w:pPr>
        <w:widowControl/>
        <w:spacing w:line="520" w:lineRule="exact"/>
        <w:ind w:firstLine="482"/>
        <w:jc w:val="left"/>
        <w:rPr>
          <w:rFonts w:hint="eastAsia" w:ascii="仿宋" w:hAnsi="仿宋" w:eastAsia="仿宋" w:cs="仿宋"/>
          <w:color w:val="000000"/>
          <w:sz w:val="30"/>
          <w:szCs w:val="30"/>
        </w:rPr>
      </w:pPr>
      <w:r>
        <w:rPr>
          <w:rFonts w:hint="eastAsia" w:ascii="仿宋" w:hAnsi="仿宋" w:eastAsia="仿宋" w:cs="仿宋"/>
          <w:color w:val="000000"/>
          <w:sz w:val="30"/>
          <w:szCs w:val="30"/>
        </w:rPr>
        <w:t>（4）投标人应对要求提供的资格证明文件（如资质证书、资格证书）、技术资料（如白皮书、彩页、手册、检测报告等）扫描上传至投标系统。</w:t>
      </w:r>
    </w:p>
    <w:p w14:paraId="2521846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（十八）投标文件的盖章要求：</w:t>
      </w:r>
    </w:p>
    <w:p w14:paraId="480088D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投标文件的盖章要求，以本文件第三章《投标资料表》中所提要求为准。</w:t>
      </w:r>
    </w:p>
    <w:p w14:paraId="4254033E">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（十九）提交投标文件的截止 时间和收到投标文件后注意事项。投标人应在招标文件要求的提交投标文件的截止时间前，将投标文件提交至“苏采云”系统。</w:t>
      </w:r>
    </w:p>
    <w:p w14:paraId="402A6C5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二十</w:t>
      </w:r>
      <w:r>
        <w:rPr>
          <w:rFonts w:hint="eastAsia" w:ascii="仿宋" w:hAnsi="仿宋" w:eastAsia="仿宋" w:cs="仿宋"/>
          <w:color w:val="000000"/>
          <w:sz w:val="30"/>
          <w:szCs w:val="30"/>
        </w:rPr>
        <w:t>）凡在招标文件要求提交投标文件的截止时间之后</w:t>
      </w:r>
      <w:r>
        <w:rPr>
          <w:rFonts w:hint="eastAsia" w:ascii="仿宋" w:hAnsi="仿宋" w:eastAsia="仿宋" w:cs="仿宋"/>
          <w:color w:val="000000"/>
          <w:sz w:val="30"/>
          <w:szCs w:val="30"/>
          <w:lang w:eastAsia="zh-CN"/>
        </w:rPr>
        <w:t>提交</w:t>
      </w:r>
      <w:r>
        <w:rPr>
          <w:rFonts w:hint="eastAsia" w:ascii="仿宋" w:hAnsi="仿宋" w:eastAsia="仿宋" w:cs="仿宋"/>
          <w:color w:val="000000"/>
          <w:sz w:val="30"/>
          <w:szCs w:val="30"/>
        </w:rPr>
        <w:t>的投标文件，均为无效投标文件，</w:t>
      </w:r>
      <w:r>
        <w:rPr>
          <w:rFonts w:hint="eastAsia" w:ascii="仿宋" w:hAnsi="仿宋" w:eastAsia="仿宋" w:cs="仿宋"/>
          <w:color w:val="000000"/>
          <w:sz w:val="30"/>
          <w:szCs w:val="30"/>
          <w:lang w:eastAsia="zh-CN"/>
        </w:rPr>
        <w:t>“苏采云”系统将自动拒收</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各投标人应</w:t>
      </w:r>
      <w:r>
        <w:rPr>
          <w:rFonts w:hint="eastAsia" w:ascii="仿宋" w:hAnsi="仿宋" w:eastAsia="仿宋" w:cs="仿宋"/>
          <w:color w:val="000000"/>
          <w:sz w:val="30"/>
          <w:szCs w:val="30"/>
        </w:rPr>
        <w:t>在规定时间内</w:t>
      </w:r>
      <w:r>
        <w:rPr>
          <w:rFonts w:hint="eastAsia" w:ascii="仿宋" w:hAnsi="仿宋" w:eastAsia="仿宋" w:cs="仿宋"/>
          <w:color w:val="000000"/>
          <w:sz w:val="30"/>
          <w:szCs w:val="30"/>
          <w:lang w:eastAsia="zh-CN"/>
        </w:rPr>
        <w:t>通过</w:t>
      </w:r>
      <w:r>
        <w:rPr>
          <w:rFonts w:hint="eastAsia" w:ascii="仿宋" w:hAnsi="仿宋" w:eastAsia="仿宋" w:cs="仿宋"/>
          <w:color w:val="000000"/>
          <w:sz w:val="30"/>
          <w:szCs w:val="30"/>
        </w:rPr>
        <w:t>CA锁进行网上解密。</w:t>
      </w:r>
    </w:p>
    <w:p w14:paraId="0848727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一</w:t>
      </w:r>
      <w:r>
        <w:rPr>
          <w:rFonts w:hint="eastAsia" w:ascii="仿宋" w:hAnsi="仿宋" w:eastAsia="仿宋" w:cs="仿宋"/>
          <w:color w:val="000000"/>
          <w:sz w:val="30"/>
          <w:szCs w:val="30"/>
        </w:rPr>
        <w:t>）投标人在投标截止时间前，可以对所递交的投标文件进行补充、修改或者撤回，但应书面通知采购代理机构。其所进行补充、修改的内容，应当按照招标文件要求进行</w:t>
      </w:r>
      <w:r>
        <w:rPr>
          <w:rFonts w:hint="eastAsia" w:ascii="仿宋" w:hAnsi="仿宋" w:eastAsia="仿宋" w:cs="仿宋"/>
          <w:color w:val="000000"/>
          <w:sz w:val="30"/>
          <w:szCs w:val="30"/>
          <w:lang w:eastAsia="zh-CN"/>
        </w:rPr>
        <w:t>电子签章</w:t>
      </w:r>
      <w:r>
        <w:rPr>
          <w:rFonts w:hint="eastAsia" w:ascii="仿宋" w:hAnsi="仿宋" w:eastAsia="仿宋" w:cs="仿宋"/>
          <w:color w:val="000000"/>
          <w:sz w:val="30"/>
          <w:szCs w:val="30"/>
        </w:rPr>
        <w:t>，然后纳为投标文件的组成部分。</w:t>
      </w:r>
    </w:p>
    <w:p w14:paraId="5675BF01">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二</w:t>
      </w:r>
      <w:r>
        <w:rPr>
          <w:rFonts w:hint="eastAsia" w:ascii="仿宋" w:hAnsi="仿宋" w:eastAsia="仿宋" w:cs="仿宋"/>
          <w:color w:val="000000"/>
          <w:sz w:val="30"/>
          <w:szCs w:val="30"/>
        </w:rPr>
        <w:t>）本项目不允许分包。</w:t>
      </w:r>
    </w:p>
    <w:p w14:paraId="1F141E56">
      <w:pPr>
        <w:shd w:val="clear" w:color="auto" w:fill="FFFFFF"/>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三</w:t>
      </w:r>
      <w:r>
        <w:rPr>
          <w:rFonts w:hint="eastAsia" w:ascii="仿宋" w:hAnsi="仿宋" w:eastAsia="仿宋" w:cs="仿宋"/>
          <w:color w:val="000000"/>
          <w:sz w:val="30"/>
          <w:szCs w:val="30"/>
        </w:rPr>
        <w:t>）投标人应当遵循公平竞争的原则，不得恶意串通，不得妨碍其他投标人的竞争行为，不得损害采购人或者其他投标人的合法权益。</w:t>
      </w:r>
    </w:p>
    <w:p w14:paraId="14054AA3">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在评标过程中发现投标人有上述情形的，评标委员会应当认定其投标无效，并书面报告本级财政部门。</w:t>
      </w:r>
    </w:p>
    <w:p w14:paraId="20B78D49">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四</w:t>
      </w:r>
      <w:r>
        <w:rPr>
          <w:rFonts w:hint="eastAsia" w:ascii="仿宋" w:hAnsi="仿宋" w:eastAsia="仿宋" w:cs="仿宋"/>
          <w:color w:val="000000"/>
          <w:sz w:val="30"/>
          <w:szCs w:val="30"/>
        </w:rPr>
        <w:t>）有下列情形之一的，其投标无效。</w:t>
      </w:r>
    </w:p>
    <w:p w14:paraId="2DD348D5">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1.不同投标人的投标文件，由同一单位或者个人编制；</w:t>
      </w:r>
    </w:p>
    <w:p w14:paraId="4E1388C7">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2.不同投标人委托同一单位或者个人办理投标事宜；</w:t>
      </w:r>
    </w:p>
    <w:p w14:paraId="75A1A227">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3.不同投标人的投标文件中，所载明的项目管理成员或联系人为同一人；</w:t>
      </w:r>
    </w:p>
    <w:p w14:paraId="100C1C04">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4.不同投标人的投标文件，异常一致或者投标报价呈规律性差异；</w:t>
      </w:r>
    </w:p>
    <w:p w14:paraId="4962DAF3">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5.不同投标人的投标文件相互混装；</w:t>
      </w:r>
    </w:p>
    <w:p w14:paraId="72535F92">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6.不同投标人投标文件内容存在非正常一致、项目组成员出现同一人、投标文件中错误（或异常）一致或雷同、电子文档信息一致或雷同的、投标报价呈规律性差异的；</w:t>
      </w:r>
    </w:p>
    <w:p w14:paraId="7C053A7E">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7.电子投标文件未按规定期限投标的；</w:t>
      </w:r>
    </w:p>
    <w:p w14:paraId="21DCDC86">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8.电子投标文件未按招标文件要求签章的；</w:t>
      </w:r>
    </w:p>
    <w:p w14:paraId="171CA91F">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9.投标人未在规定时间内解密电子投标文件的；</w:t>
      </w:r>
    </w:p>
    <w:p w14:paraId="01F3CCDA">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10.投标文件未按招标文件规定的内容和要求填写的；没有在投标系统指定位置上传对应文件、材料的。</w:t>
      </w:r>
    </w:p>
    <w:p w14:paraId="6BCF848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.不具备招标文件中规定的资格要求的；</w:t>
      </w:r>
    </w:p>
    <w:p w14:paraId="47517737">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.报价超过招标文件中规定的预算金额或者最高限价的；</w:t>
      </w:r>
    </w:p>
    <w:p w14:paraId="594A35D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.投标文件含有采购人不能接受的附加条件的；</w:t>
      </w:r>
    </w:p>
    <w:p w14:paraId="40651FE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.法律、法规和招标文件规定的其他无效情形。</w:t>
      </w:r>
    </w:p>
    <w:p w14:paraId="23C6D2C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四、开标</w:t>
      </w:r>
    </w:p>
    <w:p w14:paraId="4A5FD98E">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五</w:t>
      </w:r>
      <w:r>
        <w:rPr>
          <w:rFonts w:hint="eastAsia" w:ascii="仿宋" w:hAnsi="仿宋" w:eastAsia="仿宋" w:cs="仿宋"/>
          <w:color w:val="000000"/>
          <w:sz w:val="30"/>
          <w:szCs w:val="30"/>
        </w:rPr>
        <w:t>）开标：</w:t>
      </w:r>
    </w:p>
    <w:p w14:paraId="199DFA6B">
      <w:pPr>
        <w:spacing w:line="520" w:lineRule="exact"/>
        <w:ind w:firstLine="6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1.开标时间及地点。开标应当在招标文件确定的提交投标文件截止时间的同一时间公开进行；开标地点应当为招标文件中预先确定的地点。</w:t>
      </w:r>
    </w:p>
    <w:p w14:paraId="6FED42E0">
      <w:pPr>
        <w:spacing w:line="520" w:lineRule="exact"/>
        <w:ind w:firstLine="6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2.由电子招标投标交易平台主持，邀请投标人参加。</w:t>
      </w:r>
    </w:p>
    <w:p w14:paraId="17E90ED4">
      <w:pPr>
        <w:spacing w:line="520" w:lineRule="exact"/>
        <w:ind w:firstLine="6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 所有投标单位使用 CA 证书在开标时间时，解密各自投标文件，由工作人员操作系统进行开标，投标人不足3家的，不得评标。</w:t>
      </w:r>
    </w:p>
    <w:p w14:paraId="11B1312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highlight w:val="none"/>
        </w:rPr>
        <w:t>4.投标人原因造成投标文件未解密的，视为撤销其投标文件;因投标人之外的原因造成投标文件未解密的，视为撤回其投标文件。部分投标文件未解密的，其他投标文件的开标可以继续进行。</w:t>
      </w:r>
    </w:p>
    <w:p w14:paraId="34894FFB">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五、评标</w:t>
      </w:r>
    </w:p>
    <w:p w14:paraId="667556B9">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六</w:t>
      </w:r>
      <w:r>
        <w:rPr>
          <w:rFonts w:hint="eastAsia" w:ascii="仿宋" w:hAnsi="仿宋" w:eastAsia="仿宋" w:cs="仿宋"/>
          <w:color w:val="000000"/>
          <w:sz w:val="30"/>
          <w:szCs w:val="30"/>
        </w:rPr>
        <w:t>）公开招标采购项目开标结束后，采购人依法对投标人的资格进行审查。合格投标人不足3家的，不得评标。</w:t>
      </w:r>
    </w:p>
    <w:p w14:paraId="4CBF2288">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1.评标工作由采购代理机构负责组织，并履行下列职责：</w:t>
      </w:r>
    </w:p>
    <w:p w14:paraId="2D4D3C53">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（1）核对评审专家身份和采购人代表授权函，对评审专家在政府采购活动中的职责履行情况予以记录，并及时将有关违法违规行为向财政部门报告；</w:t>
      </w:r>
    </w:p>
    <w:p w14:paraId="7B943E8E">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（2）宣布评标纪律；</w:t>
      </w:r>
    </w:p>
    <w:p w14:paraId="285A3EE3">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（3）公布投标人名单，告知评审专家应当回避的情形；</w:t>
      </w:r>
    </w:p>
    <w:p w14:paraId="7C17332B">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（4）组织评标委员会推选评标组长（采购人代表不得担任组长）；</w:t>
      </w:r>
    </w:p>
    <w:p w14:paraId="54B9484F">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（5）在评标期间采取必要的通讯管理措施，保证评标活动不受外界干扰；</w:t>
      </w:r>
    </w:p>
    <w:p w14:paraId="16933BFF">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（6）根据评标委员会的要求介绍政府采购相关政策法规、招标文件；</w:t>
      </w:r>
    </w:p>
    <w:p w14:paraId="68AF8E08">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（7）维护评标秩序，监督评标委员会依照招标文件规定的评标程序、方法和标准进行独立评审。及时制止和纠正采购人代表、评审专家的倾向性言论或者违法违规行为；</w:t>
      </w:r>
    </w:p>
    <w:p w14:paraId="1B16C87F">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（8）核对评标结果，对有《</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"http://www.caigou2003.com/" \t "_blank" </w:instrText>
      </w:r>
      <w:r>
        <w:rPr>
          <w:rFonts w:hint="eastAsia" w:ascii="仿宋" w:hAnsi="仿宋" w:eastAsia="仿宋" w:cs="仿宋"/>
          <w:color w:val="000000"/>
        </w:rPr>
        <w:fldChar w:fldCharType="separate"/>
      </w:r>
      <w:r>
        <w:rPr>
          <w:rFonts w:hint="eastAsia" w:ascii="仿宋" w:hAnsi="仿宋" w:eastAsia="仿宋" w:cs="仿宋"/>
          <w:color w:val="000000"/>
          <w:sz w:val="30"/>
          <w:szCs w:val="30"/>
        </w:rPr>
        <w:t>政府采购</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t>货物和服务招标投标管理办法》第六十四条规定情形的，应要求评标委员会复核或者书面说明理由，评标委员会拒绝的，应予记录并向本级财政部门报告；</w:t>
      </w:r>
    </w:p>
    <w:p w14:paraId="30EAF515">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（9）评审工作完成后，按照规定向评审专家支付劳务报酬和异地评审差旅费，不得向评审专家以外的其他人员支付评审劳务报酬； </w:t>
      </w:r>
    </w:p>
    <w:p w14:paraId="3CE72B16">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（10）处理与评标有关的其他事项。</w:t>
      </w:r>
    </w:p>
    <w:p w14:paraId="5000F6C7">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采购人可以在评标前说明项目背景和采购需求，说明内容不得含有歧视性、倾向性意见，不得超出招标文件所述范围。其说明应当提交书面材料，并随采购文件一并存档。</w:t>
      </w:r>
    </w:p>
    <w:p w14:paraId="23B25C6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2.评标委员会负责具体评标事务，并独立履行下列职责：</w:t>
      </w:r>
    </w:p>
    <w:p w14:paraId="4CBCE4CE">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（1）审查、评价投标文件是否符合招标文件的商务、技术等实质性要求；</w:t>
      </w:r>
    </w:p>
    <w:p w14:paraId="3CB7F31F">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（2）要求投标人对投标文件有关事项作出澄清或者说明；</w:t>
      </w:r>
    </w:p>
    <w:p w14:paraId="163A351B">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（3）对投标文件进行比较和评价；</w:t>
      </w:r>
    </w:p>
    <w:p w14:paraId="1A6B3C56">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（4）确定中标候选人名单，以及根据采购人委托直接确定中标人；</w:t>
      </w:r>
    </w:p>
    <w:p w14:paraId="22451773">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（5）向采购人、采购代理机构或有关部门报告评标中发现的违法行为。</w:t>
      </w:r>
    </w:p>
    <w:p w14:paraId="7A936816">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七</w:t>
      </w:r>
      <w:r>
        <w:rPr>
          <w:rFonts w:hint="eastAsia" w:ascii="仿宋" w:hAnsi="仿宋" w:eastAsia="仿宋" w:cs="仿宋"/>
          <w:color w:val="000000"/>
          <w:sz w:val="30"/>
          <w:szCs w:val="30"/>
        </w:rPr>
        <w:t>）评标方法分为最低评标价法和综合评分法。</w:t>
      </w:r>
    </w:p>
    <w:p w14:paraId="3BE82B7C">
      <w:pPr>
        <w:widowControl/>
        <w:spacing w:line="520" w:lineRule="exact"/>
        <w:ind w:firstLine="45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八</w:t>
      </w:r>
      <w:r>
        <w:rPr>
          <w:rFonts w:hint="eastAsia" w:ascii="仿宋" w:hAnsi="仿宋" w:eastAsia="仿宋" w:cs="仿宋"/>
          <w:color w:val="000000"/>
          <w:sz w:val="30"/>
          <w:szCs w:val="30"/>
        </w:rPr>
        <w:t>）评标</w:t>
      </w:r>
    </w:p>
    <w:p w14:paraId="0399CB66">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1.评标工作程序：</w:t>
      </w:r>
    </w:p>
    <w:p w14:paraId="74D003B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（1）投标文件初审。</w:t>
      </w:r>
    </w:p>
    <w:p w14:paraId="59431DD9">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①资格性审查。</w:t>
      </w:r>
    </w:p>
    <w:p w14:paraId="06B5D78E">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②符合性审查。</w:t>
      </w:r>
    </w:p>
    <w:p w14:paraId="4C86483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（2）澄清有关问题。</w:t>
      </w:r>
    </w:p>
    <w:p w14:paraId="690D036B">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（3）比较与评价。</w:t>
      </w:r>
    </w:p>
    <w:p w14:paraId="36CDB5A8">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（4）推荐中标候选供应商名单。</w:t>
      </w:r>
    </w:p>
    <w:p w14:paraId="0EC8E72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（5）编写评审报告（评标报告）。</w:t>
      </w:r>
    </w:p>
    <w:p w14:paraId="75486A1A">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2.在评标中，不得改变招标文件中规定的评标标准、方法和中标条件。评标委员会对投标文件响应性的判定，要基于投标文件本身的内容，而不得寻求外部的证据。</w:t>
      </w:r>
    </w:p>
    <w:p w14:paraId="735196F0">
      <w:pPr>
        <w:shd w:val="clear" w:color="auto" w:fill="FFFFFF"/>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3.采用</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"http://lilun.caigou2003.com/recijiedu/2365668.html" \t "_blank" </w:instrText>
      </w:r>
      <w:r>
        <w:rPr>
          <w:rFonts w:hint="eastAsia" w:ascii="仿宋" w:hAnsi="仿宋" w:eastAsia="仿宋" w:cs="仿宋"/>
          <w:color w:val="000000"/>
        </w:rPr>
        <w:fldChar w:fldCharType="separate"/>
      </w:r>
      <w:r>
        <w:rPr>
          <w:rFonts w:hint="eastAsia" w:ascii="仿宋" w:hAnsi="仿宋" w:eastAsia="仿宋" w:cs="仿宋"/>
          <w:color w:val="000000"/>
          <w:sz w:val="30"/>
          <w:szCs w:val="30"/>
        </w:rPr>
        <w:t>最低评标价法</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t>的采购项目，对提供相同品牌产品的不同投标人参加同一合同项下投标的，应以其中通过资格审查、符合性审查的，并且报价最低的参加评标；报价相同的，采取随机抽取方式确定，其他投标无效。</w:t>
      </w:r>
    </w:p>
    <w:p w14:paraId="4648AC72">
      <w:pPr>
        <w:shd w:val="clear" w:color="auto" w:fill="FFFFFF"/>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采用</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"http://lilun.caigou2003.com/recijiedu/2365667.html" \t "_blank" </w:instrText>
      </w:r>
      <w:r>
        <w:rPr>
          <w:rFonts w:hint="eastAsia" w:ascii="仿宋" w:hAnsi="仿宋" w:eastAsia="仿宋" w:cs="仿宋"/>
          <w:color w:val="000000"/>
        </w:rPr>
        <w:fldChar w:fldCharType="separate"/>
      </w:r>
      <w:r>
        <w:rPr>
          <w:rFonts w:hint="eastAsia" w:ascii="仿宋" w:hAnsi="仿宋" w:eastAsia="仿宋" w:cs="仿宋"/>
          <w:color w:val="000000"/>
          <w:sz w:val="30"/>
          <w:szCs w:val="30"/>
        </w:rPr>
        <w:t>综合评分法</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498EB035">
      <w:pPr>
        <w:shd w:val="clear" w:color="auto" w:fill="FFFFFF"/>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非单一产品采购项目，多家投标人提供的核心产品品牌相同的，按前两款规定处理。</w:t>
      </w:r>
    </w:p>
    <w:p w14:paraId="79DD28DA">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（二十</w:t>
      </w:r>
      <w:r>
        <w:rPr>
          <w:rFonts w:hint="eastAsia" w:ascii="仿宋" w:hAnsi="仿宋" w:eastAsia="仿宋" w:cs="仿宋"/>
          <w:color w:val="000000"/>
          <w:sz w:val="30"/>
          <w:szCs w:val="30"/>
          <w:lang w:eastAsia="zh-CN"/>
        </w:rPr>
        <w:t>九</w:t>
      </w:r>
      <w:r>
        <w:rPr>
          <w:rFonts w:hint="eastAsia" w:ascii="仿宋" w:hAnsi="仿宋" w:eastAsia="仿宋" w:cs="仿宋"/>
          <w:color w:val="000000"/>
          <w:sz w:val="30"/>
          <w:szCs w:val="30"/>
        </w:rPr>
        <w:t>）投标文件报价出现前后不一致的，按照下列规定修正：</w:t>
      </w:r>
    </w:p>
    <w:p w14:paraId="39CB20B0">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1.投标文件中开标一览表（报价表）内容与投标文件中相应内容不一致的，以开标一览表（报价表）为准；</w:t>
      </w:r>
    </w:p>
    <w:p w14:paraId="6630A41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2.大写金额和小写金额不一致的，以大写金额为准；</w:t>
      </w:r>
    </w:p>
    <w:p w14:paraId="25E746F5">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3.单价金额小数点或者百分比有明显错位的，以开标一览表的总价为准，并修改单价；</w:t>
      </w:r>
    </w:p>
    <w:p w14:paraId="38410547">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4.总价金额与按单价合计金额不一致的，以单价金额计算结果为准。</w:t>
      </w:r>
    </w:p>
    <w:p w14:paraId="03732771">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同时出现两种以上不一致的，按照前款规定的顺序修正。将修正后的报价，形成投标人的澄清、说明或补正材料，经投标人确认后产生约束力。投标人不确认的，其投标无效。</w:t>
      </w:r>
    </w:p>
    <w:p w14:paraId="56D59363">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评标中需要投标人对投标文件澄清或者说明的，应当通过“苏采云”系统交换数据电文。在评标期间，请投标人保持在线。</w:t>
      </w:r>
    </w:p>
    <w:p w14:paraId="736A662D">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7257161A">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（三十一）评标委员会成员对需要共同认定的事项存在争议的，应当按照少数服从多数的原则作出结论。持不同意见的评标委员会成员应当在评标报告上签署不同意见及理由，否则视为同意评标报告。</w:t>
      </w:r>
    </w:p>
    <w:p w14:paraId="26A64A33">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（三十二）废标条款：</w:t>
      </w:r>
    </w:p>
    <w:p w14:paraId="5B823A2A">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出现下列情形之一的，应予废标。</w:t>
      </w:r>
    </w:p>
    <w:p w14:paraId="0785746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1.符合专业条件的供应商或者对招标文件作实质响应的供应商不足三家的；</w:t>
      </w:r>
    </w:p>
    <w:p w14:paraId="41323AA4">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2.出现影响采购公正的违法、违规行为的；</w:t>
      </w:r>
    </w:p>
    <w:p w14:paraId="6BC9BF15">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3.投标人的报价均超过了采购预算，采购人不能支付的；</w:t>
      </w:r>
    </w:p>
    <w:p w14:paraId="1AA2AEC1">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4.因重大变故，采购任务取消的。</w:t>
      </w:r>
    </w:p>
    <w:p w14:paraId="6A0CC45C">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六、定标</w:t>
      </w:r>
    </w:p>
    <w:p w14:paraId="4C38C6E7">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（三十三）采购代理机构应当在评标结束后2个工作日内将评标报告送采购人。</w:t>
      </w:r>
    </w:p>
    <w:p w14:paraId="69980D82">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（三十四）采购人应当自收到评标报告之日起5个工作日内，在评标报告确定的中标候选人名单中按顺序确定中标人。</w:t>
      </w:r>
    </w:p>
    <w:p w14:paraId="3409280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1A0247A9">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七、政府采购合同</w:t>
      </w:r>
    </w:p>
    <w:p w14:paraId="57EB19A0">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（三十六）签订政府采购合同（合同签订方式）：</w:t>
      </w:r>
    </w:p>
    <w:p w14:paraId="2C870A6E">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1.采购人应当自中标通知书发出之日起30日内，按照招标文件和中标人投标文件的规定，与中标人签订书面合同。所签订的合同不得对招标文件确定的事项和中标人投标文件作实质性修改。</w:t>
      </w:r>
    </w:p>
    <w:p w14:paraId="6247A316">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采购人不得向中标人提出任何不合理的要求作为签订合同的条件。</w:t>
      </w:r>
    </w:p>
    <w:p w14:paraId="27A4550C">
      <w:pPr>
        <w:widowControl/>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2.中标或者成交供应商拒绝与采购人签订合同的，采购人可以按照评审报告推荐的中标或者成交候选人名单排序，确定下一个候选人为中标或者成交供应商，也可以重新开展政府采购活动。</w:t>
      </w:r>
    </w:p>
    <w:p w14:paraId="5CFDFFE3">
      <w:pPr>
        <w:shd w:val="clear" w:color="auto" w:fill="FFFFFF"/>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（三十七）采购人与中标人应当根据合同的约定依法履行合同义务。政府采购合同的履行、违约责任和解决争议的方法等，按《中华人民共和国</w:t>
      </w:r>
      <w:r>
        <w:rPr>
          <w:rFonts w:hint="eastAsia" w:ascii="仿宋" w:hAnsi="仿宋" w:eastAsia="仿宋" w:cs="仿宋"/>
          <w:color w:val="000000"/>
          <w:sz w:val="30"/>
          <w:szCs w:val="30"/>
          <w:lang w:eastAsia="zh-CN"/>
        </w:rPr>
        <w:t>民法典</w:t>
      </w:r>
      <w:r>
        <w:rPr>
          <w:rFonts w:hint="eastAsia" w:ascii="仿宋" w:hAnsi="仿宋" w:eastAsia="仿宋" w:cs="仿宋"/>
          <w:color w:val="000000"/>
          <w:sz w:val="30"/>
          <w:szCs w:val="30"/>
        </w:rPr>
        <w:t>》相关条款执行。</w:t>
      </w:r>
    </w:p>
    <w:p w14:paraId="72364EB2">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（三十八）履约保证金：</w:t>
      </w:r>
    </w:p>
    <w:p w14:paraId="7D3D4441">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1.中标人应当在中标公告起三日内向采购人提交本文件第三章《投标资料表》中规定金额的履约保证金。</w:t>
      </w:r>
    </w:p>
    <w:p w14:paraId="081C9A58">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2.如果中标人没有遵守本章（三十八）1 或本章（三十九） 的规定，采购代理机构有权取消该中标决定。在此情况下，采购人可以与排位在中标人之后第一位的中标候选人签订政府采购合同，以此类推。</w:t>
      </w:r>
    </w:p>
    <w:p w14:paraId="12E86941">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3.中标人凭采购人出具验收书的复印件及收款收据办理履约保证金退付手续。履约保证金在采购人处存放期间，不计利息。</w:t>
      </w:r>
    </w:p>
    <w:p w14:paraId="59BD9212">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（三十九）腐败和欺诈行为：</w:t>
      </w:r>
    </w:p>
    <w:p w14:paraId="4A176C3B">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1.采购代理机构、采购人、投标人等参与招投标的各方，均应在招标、采购、合同执行等过程中保持廉洁和最高的道德水准。</w:t>
      </w:r>
    </w:p>
    <w:p w14:paraId="3239397D">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（1）腐败和欺诈行为的含义：</w:t>
      </w:r>
    </w:p>
    <w:p w14:paraId="787474F7">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①“腐败行为”系指在招标、采购和合同执行等过程中，为了谋求私利，影响相关人员提供、给予、接受或索取有价物品，并导致损害买方、卖方、采购代理机构和他人利益的行为。</w:t>
      </w:r>
    </w:p>
    <w:p w14:paraId="670FAB3B">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②“欺诈行为”系指为了影响招标、采购和合同执行等过程，隐瞒事实真象，给买方、卖方、采购代理机构及他人造成损害的行为，其中包括投标人之间的串通行为。</w:t>
      </w:r>
    </w:p>
    <w:p w14:paraId="4F7EE7CE">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（2）如果被推荐的中标人有腐败和欺诈行为，将取消其中标资格。</w:t>
      </w:r>
    </w:p>
    <w:p w14:paraId="1A654069">
      <w:pPr>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（3）如果投标人在任何时候，被法院及政府有关管理部门认定为有腐败和欺诈行为，采购代理机构有权拒绝其投标、取消其中标资格和撤消其已签署的合同。</w:t>
      </w:r>
    </w:p>
    <w:p w14:paraId="5E4B1A48">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八、询问和质疑</w:t>
      </w:r>
    </w:p>
    <w:p w14:paraId="4FDED523">
      <w:pPr>
        <w:keepNext w:val="0"/>
        <w:keepLines w:val="0"/>
        <w:pageBreakBefore w:val="0"/>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（四十）询问和质疑</w:t>
      </w:r>
    </w:p>
    <w:p w14:paraId="7B9B036E">
      <w:pPr>
        <w:keepNext w:val="0"/>
        <w:keepLines w:val="0"/>
        <w:pageBreakBefore w:val="0"/>
        <w:widowControl/>
        <w:shd w:val="clear" w:color="auto" w:fill="FFFFFF"/>
        <w:spacing w:line="52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27709805">
      <w:pPr>
        <w:keepNext w:val="0"/>
        <w:keepLines w:val="0"/>
        <w:pageBreakBefore w:val="0"/>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九、电子招标投标交易平台</w:t>
      </w:r>
    </w:p>
    <w:p w14:paraId="757DDFFA">
      <w:pPr>
        <w:pStyle w:val="253"/>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（四十一）电子招标投标交易平台（即“苏采云”系统，网址：</w:t>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HYPERLINK "http://jszfcg.jsczt.cn/" \o "http://jszfcg.jsczt.cn/"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http://jszfcg.jsczt.cn/</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t>）相关要求是本招标文件的组成部分。</w:t>
      </w:r>
    </w:p>
    <w:p w14:paraId="34F3320C">
      <w:pPr>
        <w:pStyle w:val="253"/>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特别说明：“苏采云”系统通过“江苏省政府采购一体化不见面开标大厅”提醒投标人。投标人自行查看，投标人因自身原因不及时查看导致没收到信息，“苏采云”系统不承担任何责任。</w:t>
      </w:r>
    </w:p>
    <w:p w14:paraId="2D6A9176">
      <w:pPr>
        <w:spacing w:line="360" w:lineRule="exact"/>
        <w:ind w:firstLine="602"/>
        <w:jc w:val="center"/>
        <w:rPr>
          <w:rFonts w:hint="eastAsia" w:ascii="仿宋" w:hAnsi="仿宋" w:eastAsia="仿宋" w:cs="仿宋"/>
          <w:b/>
          <w:color w:val="000000"/>
          <w:sz w:val="30"/>
          <w:szCs w:val="30"/>
        </w:rPr>
      </w:pPr>
    </w:p>
    <w:p w14:paraId="6AF1325F">
      <w:pPr>
        <w:jc w:val="center"/>
        <w:rPr>
          <w:rFonts w:hint="eastAsia" w:ascii="仿宋" w:hAnsi="仿宋" w:eastAsia="仿宋" w:cs="仿宋"/>
          <w:color w:val="000000"/>
        </w:rPr>
      </w:pPr>
      <w:bookmarkStart w:id="4" w:name="_Toc522790132"/>
      <w:r>
        <w:rPr>
          <w:rFonts w:hint="eastAsia" w:ascii="仿宋" w:hAnsi="仿宋" w:eastAsia="仿宋" w:cs="仿宋"/>
          <w:color w:val="000000"/>
        </w:rPr>
        <w:br w:type="page" w:clear="all"/>
      </w:r>
      <w:bookmarkStart w:id="5" w:name="_Toc12259"/>
      <w:r>
        <w:rPr>
          <w:rStyle w:val="37"/>
          <w:rFonts w:hint="eastAsia" w:ascii="仿宋" w:hAnsi="仿宋" w:eastAsia="仿宋" w:cs="仿宋"/>
          <w:color w:val="000000"/>
          <w:lang w:val="en-US" w:eastAsia="zh-CN"/>
        </w:rPr>
        <w:t>第三章  投标资料表</w:t>
      </w:r>
      <w:bookmarkEnd w:id="4"/>
      <w:bookmarkEnd w:id="5"/>
    </w:p>
    <w:p w14:paraId="48DF4FE4">
      <w:pPr>
        <w:spacing w:line="360" w:lineRule="exact"/>
        <w:ind w:firstLine="600"/>
        <w:jc w:val="center"/>
        <w:rPr>
          <w:rFonts w:hint="eastAsia" w:ascii="仿宋" w:hAnsi="仿宋" w:eastAsia="仿宋" w:cs="仿宋"/>
          <w:color w:val="000000"/>
          <w:sz w:val="30"/>
          <w:szCs w:val="30"/>
        </w:rPr>
      </w:pPr>
    </w:p>
    <w:p w14:paraId="3F43A43E">
      <w:pPr>
        <w:pStyle w:val="262"/>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该资料表的条款项号是与《投标人须知》的条款项号相对应的，若有增加的条款，是对《投标人须知》的补充、修改和完善，如果因此而造成矛盾时，应以本资料表为准。</w:t>
      </w:r>
    </w:p>
    <w:p w14:paraId="0C965F4F">
      <w:pPr>
        <w:spacing w:line="240" w:lineRule="exact"/>
        <w:rPr>
          <w:rFonts w:hint="eastAsia" w:ascii="仿宋" w:hAnsi="仿宋" w:eastAsia="仿宋" w:cs="仿宋"/>
          <w:color w:val="000000"/>
        </w:rPr>
      </w:pPr>
    </w:p>
    <w:tbl>
      <w:tblPr>
        <w:tblStyle w:val="28"/>
        <w:tblW w:w="878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7220"/>
      </w:tblGrid>
      <w:tr w14:paraId="5152B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3C4E0C11">
            <w:pPr>
              <w:spacing w:line="4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条款项号</w:t>
            </w:r>
          </w:p>
        </w:tc>
        <w:tc>
          <w:tcPr>
            <w:tcW w:w="7220" w:type="dxa"/>
            <w:noWrap w:val="0"/>
            <w:vAlign w:val="top"/>
          </w:tcPr>
          <w:p w14:paraId="15D83392">
            <w:pPr>
              <w:spacing w:line="4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内    容</w:t>
            </w:r>
          </w:p>
        </w:tc>
      </w:tr>
      <w:tr w14:paraId="58620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3784851C">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一</w:t>
            </w:r>
          </w:p>
        </w:tc>
        <w:tc>
          <w:tcPr>
            <w:tcW w:w="7220" w:type="dxa"/>
            <w:noWrap w:val="0"/>
            <w:vAlign w:val="top"/>
          </w:tcPr>
          <w:p w14:paraId="0FFA512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总则</w:t>
            </w:r>
          </w:p>
        </w:tc>
      </w:tr>
      <w:tr w14:paraId="4CE4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AED3FE5">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(一)</w:t>
            </w:r>
          </w:p>
        </w:tc>
        <w:tc>
          <w:tcPr>
            <w:tcW w:w="7220" w:type="dxa"/>
            <w:noWrap w:val="0"/>
            <w:vAlign w:val="top"/>
          </w:tcPr>
          <w:p w14:paraId="26301A19">
            <w:pPr>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本项目采购人：</w:t>
            </w:r>
            <w:r>
              <w:rPr>
                <w:rFonts w:hint="eastAsia" w:ascii="仿宋" w:hAnsi="仿宋" w:eastAsia="仿宋" w:cs="仿宋"/>
                <w:color w:val="000000"/>
                <w:sz w:val="28"/>
                <w:szCs w:val="28"/>
                <w:lang w:eastAsia="zh-CN"/>
              </w:rPr>
              <w:t>徐州生物工程职业技术学院</w:t>
            </w:r>
          </w:p>
        </w:tc>
      </w:tr>
      <w:tr w14:paraId="48BD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87FDE88">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w:t>
            </w:r>
          </w:p>
        </w:tc>
        <w:tc>
          <w:tcPr>
            <w:tcW w:w="7220" w:type="dxa"/>
            <w:noWrap w:val="0"/>
            <w:vAlign w:val="top"/>
          </w:tcPr>
          <w:p w14:paraId="046CB7FB">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本次采购采用的政府采购方式：公开招标。</w:t>
            </w:r>
          </w:p>
        </w:tc>
      </w:tr>
      <w:tr w14:paraId="4ED8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CF7503B">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w:t>
            </w:r>
          </w:p>
        </w:tc>
        <w:tc>
          <w:tcPr>
            <w:tcW w:w="7220" w:type="dxa"/>
            <w:noWrap w:val="0"/>
            <w:vAlign w:val="top"/>
          </w:tcPr>
          <w:p w14:paraId="06448FE3">
            <w:pPr>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采购人确定的采购项目属性：</w:t>
            </w:r>
            <w:r>
              <w:rPr>
                <w:rFonts w:hint="eastAsia" w:ascii="仿宋" w:hAnsi="仿宋" w:eastAsia="仿宋" w:cs="仿宋"/>
                <w:color w:val="000000"/>
                <w:sz w:val="28"/>
                <w:szCs w:val="28"/>
                <w:lang w:eastAsia="zh-CN"/>
              </w:rPr>
              <w:t>货物</w:t>
            </w:r>
          </w:p>
        </w:tc>
      </w:tr>
      <w:tr w14:paraId="5F26E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7D64F0D">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w:t>
            </w:r>
          </w:p>
        </w:tc>
        <w:tc>
          <w:tcPr>
            <w:tcW w:w="7220" w:type="dxa"/>
            <w:noWrap w:val="0"/>
            <w:vAlign w:val="top"/>
          </w:tcPr>
          <w:p w14:paraId="1A08C6F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本项目采购代理机构：江苏中际招标代理有限公司</w:t>
            </w:r>
          </w:p>
        </w:tc>
      </w:tr>
      <w:tr w14:paraId="6C00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6F736B0">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(六)</w:t>
            </w:r>
          </w:p>
        </w:tc>
        <w:tc>
          <w:tcPr>
            <w:tcW w:w="7220" w:type="dxa"/>
            <w:noWrap w:val="0"/>
            <w:vAlign w:val="top"/>
          </w:tcPr>
          <w:p w14:paraId="5D4FD2F3">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投标人的资格条件：</w:t>
            </w:r>
          </w:p>
          <w:p w14:paraId="2D99CB8B">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1.符合《中华人民共和国政府采购法》第二十二条的规定；</w:t>
            </w:r>
          </w:p>
          <w:p w14:paraId="4FBB1FBC">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本项目不属于专门面向中小微企业采购的项目</w:t>
            </w:r>
          </w:p>
          <w:p w14:paraId="4E136346">
            <w:pPr>
              <w:spacing w:line="400" w:lineRule="exact"/>
              <w:rPr>
                <w:rFonts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3.本顶目的特定资格要求：无</w:t>
            </w:r>
          </w:p>
          <w:p w14:paraId="0D4C1E0A">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同时明确相关事项如下：</w:t>
            </w:r>
          </w:p>
          <w:p w14:paraId="3C54AF7E">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本项目不接受联合体参与采购活动。</w:t>
            </w:r>
          </w:p>
          <w:p w14:paraId="248AB69F">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、单位负责人为同一人或者存在直接控股、管理关系的不同供应商，不得参加同一合同项下的政府采购活动。</w:t>
            </w:r>
          </w:p>
          <w:p w14:paraId="54B6DE0E">
            <w:pPr>
              <w:widowControl/>
              <w:spacing w:line="400" w:lineRule="exact"/>
              <w:ind w:left="560" w:hanging="560"/>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、为本采购项目提供整体设计、规范编制或者项目管理、监理、检测等服务的供应商，不得再参加本采购项目的采购活动。</w:t>
            </w:r>
          </w:p>
          <w:p w14:paraId="43F10F1B">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、查询及使用供应商信用记录：</w:t>
            </w:r>
          </w:p>
          <w:p w14:paraId="2A023D36">
            <w:pPr>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(一)由采购人查询信用信息。</w:t>
            </w:r>
          </w:p>
          <w:p w14:paraId="5779976B">
            <w:pPr>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(二)查询渠道包括：</w:t>
            </w:r>
          </w:p>
          <w:p w14:paraId="536543EC">
            <w:pPr>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1.“信用中国”网（</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"http://www.creditchina.gov.cn/" </w:instrText>
            </w:r>
            <w:r>
              <w:rPr>
                <w:rFonts w:hint="eastAsia" w:ascii="仿宋" w:hAnsi="仿宋" w:eastAsia="仿宋" w:cs="仿宋"/>
                <w:color w:val="000000"/>
              </w:rPr>
              <w:fldChar w:fldCharType="separate"/>
            </w:r>
            <w:r>
              <w:rPr>
                <w:rFonts w:hint="eastAsia" w:ascii="仿宋" w:hAnsi="仿宋" w:eastAsia="仿宋" w:cs="仿宋"/>
                <w:color w:val="000000"/>
                <w:sz w:val="28"/>
                <w:szCs w:val="28"/>
              </w:rPr>
              <w:t>www.creditchina.gov.cn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591DC063">
            <w:pPr>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2.中国政府采购网（</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"http://www.ccgp.gov.cn/" </w:instrText>
            </w:r>
            <w:r>
              <w:rPr>
                <w:rFonts w:hint="eastAsia" w:ascii="仿宋" w:hAnsi="仿宋" w:eastAsia="仿宋" w:cs="仿宋"/>
                <w:color w:val="000000"/>
              </w:rPr>
              <w:fldChar w:fldCharType="separate"/>
            </w:r>
            <w:r>
              <w:rPr>
                <w:rFonts w:hint="eastAsia" w:ascii="仿宋" w:hAnsi="仿宋" w:eastAsia="仿宋" w:cs="仿宋"/>
                <w:color w:val="000000"/>
                <w:sz w:val="28"/>
                <w:szCs w:val="28"/>
              </w:rPr>
              <w:t>www.ccgp.gov.cn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05549902">
            <w:pPr>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3.“信用江苏”网（www.jscredit.gov.cn）；</w:t>
            </w:r>
          </w:p>
          <w:p w14:paraId="627C46EF">
            <w:pPr>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4.“信用中国（江苏徐州）”网</w:t>
            </w:r>
          </w:p>
          <w:p w14:paraId="619F5469">
            <w:pPr>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"http://www.xuzhoucredit.gov.cn/" </w:instrText>
            </w:r>
            <w:r>
              <w:rPr>
                <w:rFonts w:hint="eastAsia" w:ascii="仿宋" w:hAnsi="仿宋" w:eastAsia="仿宋" w:cs="仿宋"/>
                <w:color w:val="000000"/>
              </w:rPr>
              <w:fldChar w:fldCharType="separate"/>
            </w:r>
            <w:r>
              <w:rPr>
                <w:rFonts w:hint="eastAsia" w:ascii="仿宋" w:hAnsi="仿宋" w:eastAsia="仿宋" w:cs="仿宋"/>
                <w:color w:val="000000"/>
                <w:sz w:val="28"/>
                <w:szCs w:val="28"/>
              </w:rPr>
              <w:t>http://www.xuzhoucredit.gov.cn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6D2276C1">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(三)截止时点（查询环节）：评标结束前。</w:t>
            </w:r>
          </w:p>
          <w:p w14:paraId="1F0CBFBC">
            <w:pPr>
              <w:spacing w:line="400" w:lineRule="exact"/>
              <w:ind w:left="980" w:hanging="560"/>
              <w:rPr>
                <w:rFonts w:hint="eastAsia" w:ascii="仿宋" w:hAnsi="仿宋" w:eastAsia="仿宋" w:cs="仿宋"/>
                <w:color w:val="000000"/>
                <w:sz w:val="28"/>
                <w:szCs w:val="28"/>
              </w:rPr>
            </w:pPr>
            <w:r>
              <w:rPr>
                <w:rFonts w:hint="eastAsia" w:ascii="仿宋" w:hAnsi="仿宋" w:eastAsia="仿宋" w:cs="仿宋"/>
                <w:color w:val="000000"/>
                <w:sz w:val="28"/>
                <w:szCs w:val="28"/>
              </w:rPr>
              <w:t>(四)信用信息查询记录和证据留存的具体方式：网页截屏打印，与其他采购文件一并保存。</w:t>
            </w:r>
          </w:p>
          <w:p w14:paraId="242CAC5B">
            <w:pPr>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(五)信用信息的使用规则：</w:t>
            </w:r>
          </w:p>
          <w:p w14:paraId="34ABE819">
            <w:pPr>
              <w:spacing w:line="400" w:lineRule="exact"/>
              <w:ind w:left="899"/>
              <w:rPr>
                <w:rFonts w:hint="eastAsia" w:ascii="仿宋" w:hAnsi="仿宋" w:eastAsia="仿宋" w:cs="仿宋"/>
                <w:color w:val="000000"/>
                <w:sz w:val="28"/>
                <w:szCs w:val="28"/>
              </w:rPr>
            </w:pPr>
            <w:r>
              <w:rPr>
                <w:rFonts w:hint="eastAsia" w:ascii="仿宋" w:hAnsi="仿宋" w:eastAsia="仿宋" w:cs="仿宋"/>
                <w:color w:val="000000"/>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715FF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52FD672E">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(七)</w:t>
            </w:r>
          </w:p>
        </w:tc>
        <w:tc>
          <w:tcPr>
            <w:tcW w:w="7220" w:type="dxa"/>
            <w:noWrap w:val="0"/>
            <w:vAlign w:val="top"/>
          </w:tcPr>
          <w:p w14:paraId="7BFD5FC0">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招标代理服务费由中标人支付，标准见《招标代理服务收费标准》（见附件）。</w:t>
            </w:r>
          </w:p>
        </w:tc>
      </w:tr>
      <w:tr w14:paraId="3D9B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56492DC">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w:t>
            </w:r>
          </w:p>
        </w:tc>
        <w:tc>
          <w:tcPr>
            <w:tcW w:w="7220" w:type="dxa"/>
            <w:noWrap w:val="0"/>
            <w:vAlign w:val="top"/>
          </w:tcPr>
          <w:p w14:paraId="39B7E2DF">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招标</w:t>
            </w:r>
          </w:p>
        </w:tc>
      </w:tr>
      <w:tr w14:paraId="14E1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4B5C09A">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(九)1</w:t>
            </w:r>
          </w:p>
        </w:tc>
        <w:tc>
          <w:tcPr>
            <w:tcW w:w="7220" w:type="dxa"/>
            <w:noWrap w:val="0"/>
            <w:vAlign w:val="top"/>
          </w:tcPr>
          <w:p w14:paraId="4AF560A1">
            <w:pPr>
              <w:spacing w:line="400" w:lineRule="exact"/>
              <w:rPr>
                <w:rFonts w:hint="eastAsia" w:ascii="仿宋" w:hAnsi="仿宋" w:eastAsia="仿宋" w:cs="仿宋"/>
                <w:color w:val="000000"/>
                <w:sz w:val="28"/>
                <w:szCs w:val="28"/>
              </w:rPr>
            </w:pPr>
            <w:r>
              <w:rPr>
                <w:rFonts w:hint="eastAsia" w:ascii="仿宋" w:hAnsi="仿宋" w:eastAsia="仿宋" w:cs="仿宋"/>
                <w:bCs/>
                <w:color w:val="000000"/>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15823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323817DC">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(九)2</w:t>
            </w:r>
          </w:p>
        </w:tc>
        <w:tc>
          <w:tcPr>
            <w:tcW w:w="7220" w:type="dxa"/>
            <w:noWrap w:val="0"/>
            <w:vAlign w:val="top"/>
          </w:tcPr>
          <w:p w14:paraId="4DF760B7">
            <w:pPr>
              <w:tabs>
                <w:tab w:val="left" w:pos="5760"/>
              </w:tabs>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不安排现场考察。</w:t>
            </w:r>
          </w:p>
        </w:tc>
      </w:tr>
      <w:tr w14:paraId="54AA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560" w:type="dxa"/>
            <w:noWrap w:val="0"/>
            <w:vAlign w:val="top"/>
          </w:tcPr>
          <w:p w14:paraId="5284CB2B">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(九)3</w:t>
            </w:r>
          </w:p>
        </w:tc>
        <w:tc>
          <w:tcPr>
            <w:tcW w:w="7220" w:type="dxa"/>
            <w:noWrap w:val="0"/>
            <w:vAlign w:val="top"/>
          </w:tcPr>
          <w:p w14:paraId="1F5F3343">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不安排开标前答疑会。</w:t>
            </w:r>
          </w:p>
        </w:tc>
      </w:tr>
      <w:tr w14:paraId="47B7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5A6BF80">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三</w:t>
            </w:r>
          </w:p>
        </w:tc>
        <w:tc>
          <w:tcPr>
            <w:tcW w:w="7220" w:type="dxa"/>
            <w:noWrap w:val="0"/>
            <w:vAlign w:val="top"/>
          </w:tcPr>
          <w:p w14:paraId="6E76AAD5">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w:t>
            </w:r>
          </w:p>
        </w:tc>
      </w:tr>
      <w:tr w14:paraId="5862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560" w:type="dxa"/>
            <w:noWrap w:val="0"/>
            <w:vAlign w:val="top"/>
          </w:tcPr>
          <w:p w14:paraId="0EEDC6FB">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w:t>
            </w:r>
          </w:p>
        </w:tc>
        <w:tc>
          <w:tcPr>
            <w:tcW w:w="7220" w:type="dxa"/>
            <w:noWrap w:val="0"/>
            <w:vAlign w:val="top"/>
          </w:tcPr>
          <w:p w14:paraId="1FEC72E2">
            <w:pPr>
              <w:tabs>
                <w:tab w:val="left" w:pos="5760"/>
              </w:tabs>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投标文件的语言为中文</w:t>
            </w:r>
          </w:p>
        </w:tc>
      </w:tr>
      <w:tr w14:paraId="2EC8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60" w:type="dxa"/>
            <w:noWrap w:val="0"/>
            <w:vAlign w:val="top"/>
          </w:tcPr>
          <w:p w14:paraId="0E2A0C99">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(十二)1</w:t>
            </w:r>
          </w:p>
          <w:p w14:paraId="6536CA52">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(十二)2</w:t>
            </w:r>
          </w:p>
        </w:tc>
        <w:tc>
          <w:tcPr>
            <w:tcW w:w="7220" w:type="dxa"/>
            <w:noWrap w:val="0"/>
            <w:vAlign w:val="top"/>
          </w:tcPr>
          <w:p w14:paraId="38D29DB1">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线上投标文件编制要求：</w:t>
            </w:r>
          </w:p>
          <w:p w14:paraId="62419279">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请按照以下要求（包括但不限于以下要求）制作：</w:t>
            </w:r>
          </w:p>
          <w:p w14:paraId="56666A16">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一、基本目录</w:t>
            </w:r>
          </w:p>
          <w:p w14:paraId="40AFD9FA">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1.《开标一览表》（加盖</w:t>
            </w:r>
            <w:r>
              <w:rPr>
                <w:rFonts w:hint="eastAsia" w:ascii="仿宋" w:hAnsi="仿宋" w:eastAsia="仿宋" w:cs="仿宋"/>
                <w:color w:val="000000"/>
                <w:sz w:val="28"/>
                <w:szCs w:val="28"/>
                <w:lang w:val="en-US" w:eastAsia="zh-CN"/>
              </w:rPr>
              <w:t>电子签章</w:t>
            </w:r>
            <w:r>
              <w:rPr>
                <w:rFonts w:hint="eastAsia" w:ascii="仿宋" w:hAnsi="仿宋" w:eastAsia="仿宋" w:cs="仿宋"/>
                <w:color w:val="000000"/>
                <w:sz w:val="28"/>
                <w:szCs w:val="28"/>
              </w:rPr>
              <w:t>，政府采购客户端工具输入报价自动生成）；</w:t>
            </w:r>
          </w:p>
          <w:p w14:paraId="0DB2539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2.《授权委托书》（提供原件的扫描件，格式见招标文件第七章《投标文件相关格式》）；</w:t>
            </w:r>
          </w:p>
          <w:p w14:paraId="221D2572">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3.所投产品的环境标志产品认证证书原件的扫描件（如有）。</w:t>
            </w:r>
          </w:p>
          <w:p w14:paraId="3C4DA74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w:t>
            </w:r>
          </w:p>
          <w:p w14:paraId="1F9DBA0A">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6C4BCDD4">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（2）环境标志产品认证证书是否符合要求，采购人评标时查询中国政府采购网（www.ccgp.gov.cn）相关内容后确定。</w:t>
            </w:r>
          </w:p>
          <w:p w14:paraId="7586A502">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4.所投产品的节能产品认证证书原件的扫描件（如有）。</w:t>
            </w:r>
          </w:p>
          <w:p w14:paraId="4C155BBA">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w:t>
            </w:r>
          </w:p>
          <w:p w14:paraId="072EB20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5390FCAC">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（2）节能产品认证证书是否符合要求，采购人评标时查询中国政府采购网（www.ccgp.gov.cn）相关内容后确定。</w:t>
            </w:r>
          </w:p>
          <w:p w14:paraId="73C06C44">
            <w:pPr>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二、资格条件（1-</w:t>
            </w:r>
            <w:r>
              <w:rPr>
                <w:rFonts w:hint="eastAsia" w:ascii="仿宋" w:hAnsi="仿宋" w:eastAsia="仿宋" w:cs="仿宋"/>
                <w:b/>
                <w:bCs/>
                <w:color w:val="000000"/>
                <w:sz w:val="28"/>
                <w:szCs w:val="28"/>
                <w:lang w:val="en-US" w:eastAsia="zh-CN"/>
              </w:rPr>
              <w:t>7</w:t>
            </w:r>
            <w:r>
              <w:rPr>
                <w:rFonts w:hint="eastAsia" w:ascii="仿宋" w:hAnsi="仿宋" w:eastAsia="仿宋" w:cs="仿宋"/>
                <w:b/>
                <w:bCs/>
                <w:color w:val="000000"/>
                <w:sz w:val="28"/>
                <w:szCs w:val="28"/>
              </w:rPr>
              <w:t>必须提供，否则投标无效）</w:t>
            </w:r>
          </w:p>
          <w:p w14:paraId="559B286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1.投标人合法有效的法人或者其他组织的营业执照等证明文件，自然人的身份证明。以上证明文件提供原件的扫描件。</w:t>
            </w:r>
          </w:p>
          <w:p w14:paraId="3963F17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2.财务状况报告（即提供投标人的本项目开标时间前6个月内任何时间的资产负债表、利润表各一份或提供投标人上年度财务报告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2024年度或2025年度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或投标人的本项目开标时间前6个月内银行出具的资信证明</w:t>
            </w:r>
            <w:r>
              <w:rPr>
                <w:rFonts w:hint="eastAsia" w:ascii="仿宋" w:hAnsi="仿宋" w:eastAsia="仿宋" w:cs="仿宋"/>
                <w:color w:val="000000"/>
                <w:sz w:val="28"/>
                <w:szCs w:val="28"/>
                <w:lang w:val="en-US" w:eastAsia="zh-CN"/>
              </w:rPr>
              <w:t>扫描</w:t>
            </w:r>
            <w:r>
              <w:rPr>
                <w:rFonts w:hint="eastAsia" w:ascii="仿宋" w:hAnsi="仿宋" w:eastAsia="仿宋" w:cs="仿宋"/>
                <w:color w:val="000000"/>
                <w:sz w:val="28"/>
                <w:szCs w:val="28"/>
              </w:rPr>
              <w:t>件）；</w:t>
            </w:r>
          </w:p>
          <w:p w14:paraId="256FE6FD">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3.投标人的本项目开标时间前6个月内任何1个月的依法缴纳税收和社会保障资金的相关材料</w:t>
            </w:r>
            <w:r>
              <w:rPr>
                <w:rFonts w:hint="eastAsia" w:ascii="仿宋" w:hAnsi="仿宋" w:eastAsia="仿宋" w:cs="仿宋"/>
                <w:color w:val="000000"/>
                <w:sz w:val="28"/>
                <w:szCs w:val="28"/>
                <w:lang w:val="en-US" w:eastAsia="zh-CN"/>
              </w:rPr>
              <w:t>扫描</w:t>
            </w:r>
            <w:r>
              <w:rPr>
                <w:rFonts w:hint="eastAsia" w:ascii="仿宋" w:hAnsi="仿宋" w:eastAsia="仿宋" w:cs="仿宋"/>
                <w:color w:val="000000"/>
                <w:sz w:val="28"/>
                <w:szCs w:val="28"/>
              </w:rPr>
              <w:t>件（依法免税或不需要缴纳社会保障资金的供应商,提供相应文件证明其依法免税或不需要缴纳社会保障资金)；</w:t>
            </w:r>
          </w:p>
          <w:p w14:paraId="737D19B0">
            <w:pPr>
              <w:widowControl/>
              <w:spacing w:line="400" w:lineRule="exact"/>
              <w:rPr>
                <w:rFonts w:hint="eastAsia" w:ascii="仿宋" w:hAnsi="仿宋" w:eastAsia="仿宋" w:cs="仿宋"/>
                <w:b/>
                <w:bCs/>
                <w:color w:val="000000"/>
                <w:sz w:val="28"/>
                <w:szCs w:val="28"/>
              </w:rPr>
            </w:pPr>
            <w:r>
              <w:rPr>
                <w:rFonts w:hint="eastAsia" w:ascii="仿宋" w:hAnsi="仿宋" w:eastAsia="仿宋" w:cs="仿宋"/>
                <w:color w:val="000000"/>
                <w:sz w:val="28"/>
                <w:szCs w:val="28"/>
              </w:rPr>
              <w:t>4.具备履行合同所必需的设备和专业技术能力的证明材料</w:t>
            </w:r>
            <w:r>
              <w:rPr>
                <w:rFonts w:hint="eastAsia" w:ascii="仿宋" w:hAnsi="仿宋" w:eastAsia="仿宋" w:cs="仿宋"/>
                <w:b/>
                <w:bCs/>
                <w:color w:val="000000"/>
                <w:sz w:val="28"/>
                <w:szCs w:val="28"/>
              </w:rPr>
              <w:t>（即</w:t>
            </w:r>
            <w:r>
              <w:rPr>
                <w:rFonts w:hint="eastAsia" w:ascii="仿宋" w:hAnsi="仿宋" w:eastAsia="仿宋" w:cs="仿宋"/>
                <w:b/>
                <w:bCs/>
                <w:color w:val="000000"/>
                <w:sz w:val="28"/>
                <w:szCs w:val="28"/>
                <w:lang w:eastAsia="zh-CN"/>
              </w:rPr>
              <w:t>提供</w:t>
            </w:r>
            <w:r>
              <w:rPr>
                <w:rFonts w:hint="eastAsia" w:ascii="仿宋" w:hAnsi="仿宋" w:eastAsia="仿宋" w:cs="仿宋"/>
                <w:b/>
                <w:bCs/>
                <w:color w:val="000000"/>
                <w:sz w:val="28"/>
                <w:szCs w:val="28"/>
                <w:lang w:val="en-US" w:eastAsia="zh-CN"/>
              </w:rPr>
              <w:t>至</w:t>
            </w:r>
            <w:r>
              <w:rPr>
                <w:rFonts w:hint="eastAsia" w:ascii="仿宋" w:hAnsi="仿宋" w:eastAsia="仿宋" w:cs="仿宋"/>
                <w:b/>
                <w:bCs/>
                <w:color w:val="000000"/>
                <w:sz w:val="28"/>
                <w:szCs w:val="28"/>
                <w:lang w:eastAsia="zh-CN"/>
              </w:rPr>
              <w:t>少一名为本项目服务人员的劳动合同或身份证原件扫描件</w:t>
            </w:r>
            <w:r>
              <w:rPr>
                <w:rFonts w:hint="eastAsia" w:ascii="仿宋" w:hAnsi="仿宋" w:eastAsia="仿宋" w:cs="仿宋"/>
                <w:b/>
                <w:bCs/>
                <w:color w:val="000000"/>
                <w:sz w:val="28"/>
                <w:szCs w:val="28"/>
              </w:rPr>
              <w:t>）；</w:t>
            </w:r>
          </w:p>
          <w:p w14:paraId="040C84F6">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5.投标人参加政府采购活动前3年内在经营活动中没有重大违法记录的书面声明（加盖</w:t>
            </w:r>
            <w:r>
              <w:rPr>
                <w:rFonts w:hint="eastAsia" w:ascii="仿宋" w:hAnsi="仿宋" w:eastAsia="仿宋" w:cs="仿宋"/>
                <w:color w:val="000000"/>
                <w:sz w:val="28"/>
                <w:szCs w:val="28"/>
                <w:lang w:val="en-US" w:eastAsia="zh-CN"/>
              </w:rPr>
              <w:t>电子签章</w:t>
            </w:r>
            <w:r>
              <w:rPr>
                <w:rFonts w:hint="eastAsia" w:ascii="仿宋" w:hAnsi="仿宋" w:eastAsia="仿宋" w:cs="仿宋"/>
                <w:color w:val="000000"/>
                <w:sz w:val="28"/>
                <w:szCs w:val="28"/>
              </w:rPr>
              <w:t>，格式见招标文件第七章《投标文件相关格式》）。</w:t>
            </w:r>
          </w:p>
          <w:p w14:paraId="6DF74E5D">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6.供应商关于单位负责人为同一人或者存在直接控股、管理关系的不同供应商，不得参加同一合同项下的政府采购活动的承诺。（加盖电子签章，格式见招标文件第七章《投标文件相关格式》）。</w:t>
            </w:r>
          </w:p>
          <w:p w14:paraId="42EE85A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7.供应商不是为本采购项目提供整体设计、规范编制或者项目管理、监理、检测等服务的供应商的书面声明。（加盖电子签章，格式见招标文件第七章《投标文件相关格式》）。</w:t>
            </w:r>
          </w:p>
          <w:p w14:paraId="6C8B259E">
            <w:pPr>
              <w:pStyle w:val="73"/>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投标人信用信息（要求见本章条款项号“(六)”中“四、”内容）</w:t>
            </w:r>
            <w:r>
              <w:rPr>
                <w:rFonts w:hint="eastAsia" w:ascii="仿宋" w:hAnsi="仿宋" w:eastAsia="仿宋" w:cs="仿宋"/>
                <w:color w:val="000000"/>
                <w:sz w:val="28"/>
                <w:szCs w:val="28"/>
                <w:lang w:eastAsia="zh-CN"/>
              </w:rPr>
              <w:t>。</w:t>
            </w:r>
          </w:p>
          <w:p w14:paraId="1627CAF5">
            <w:pPr>
              <w:spacing w:line="400" w:lineRule="exac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三、符合条件（必须提供，否则投标无效）</w:t>
            </w:r>
          </w:p>
          <w:p w14:paraId="4447DE14">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(一)报价</w:t>
            </w:r>
          </w:p>
          <w:p w14:paraId="3C9C50B3">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1.《分项价格表》（加盖</w:t>
            </w:r>
            <w:r>
              <w:rPr>
                <w:rFonts w:hint="eastAsia" w:ascii="仿宋" w:hAnsi="仿宋" w:eastAsia="仿宋" w:cs="仿宋"/>
                <w:color w:val="000000"/>
                <w:sz w:val="28"/>
                <w:szCs w:val="28"/>
                <w:highlight w:val="none"/>
                <w:lang w:val="en-US" w:eastAsia="zh-CN"/>
              </w:rPr>
              <w:t>电子签章</w:t>
            </w:r>
            <w:r>
              <w:rPr>
                <w:rFonts w:hint="eastAsia" w:ascii="仿宋" w:hAnsi="仿宋" w:eastAsia="仿宋" w:cs="仿宋"/>
                <w:color w:val="000000"/>
                <w:sz w:val="28"/>
                <w:szCs w:val="28"/>
                <w:highlight w:val="none"/>
              </w:rPr>
              <w:t>，格式见招标文件第七章《投标文件相关格式》）。</w:t>
            </w:r>
          </w:p>
          <w:p w14:paraId="698E1D55">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（二）商务资信</w:t>
            </w:r>
          </w:p>
          <w:p w14:paraId="4B903555">
            <w:pPr>
              <w:spacing w:line="400" w:lineRule="exac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1.《投标函》（加盖</w:t>
            </w:r>
            <w:r>
              <w:rPr>
                <w:rFonts w:hint="eastAsia" w:ascii="仿宋" w:hAnsi="仿宋" w:eastAsia="仿宋" w:cs="仿宋"/>
                <w:color w:val="000000"/>
                <w:sz w:val="28"/>
                <w:szCs w:val="28"/>
                <w:highlight w:val="none"/>
                <w:lang w:val="en-US" w:eastAsia="zh-CN"/>
              </w:rPr>
              <w:t>电子签章</w:t>
            </w:r>
            <w:r>
              <w:rPr>
                <w:rFonts w:hint="eastAsia" w:ascii="仿宋" w:hAnsi="仿宋" w:eastAsia="仿宋" w:cs="仿宋"/>
                <w:color w:val="000000"/>
                <w:sz w:val="28"/>
                <w:szCs w:val="28"/>
                <w:highlight w:val="none"/>
              </w:rPr>
              <w:t>，格式见招标文件第七章《投标文件相关格式》）</w:t>
            </w:r>
            <w:r>
              <w:rPr>
                <w:rFonts w:hint="eastAsia" w:ascii="仿宋" w:hAnsi="仿宋" w:eastAsia="仿宋" w:cs="仿宋"/>
                <w:color w:val="000000"/>
                <w:sz w:val="28"/>
                <w:szCs w:val="28"/>
                <w:highlight w:val="none"/>
                <w:lang w:eastAsia="zh-CN"/>
              </w:rPr>
              <w:t>；</w:t>
            </w:r>
          </w:p>
          <w:p w14:paraId="0AC16A9E">
            <w:pPr>
              <w:spacing w:line="400" w:lineRule="exac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2.《授权委托书》（提供原件的扫描件，格式见招标文件第七章《投标文件相关格式》）</w:t>
            </w:r>
            <w:r>
              <w:rPr>
                <w:rFonts w:hint="eastAsia" w:ascii="仿宋" w:hAnsi="仿宋" w:eastAsia="仿宋" w:cs="仿宋"/>
                <w:color w:val="000000"/>
                <w:sz w:val="28"/>
                <w:szCs w:val="28"/>
                <w:highlight w:val="none"/>
                <w:lang w:eastAsia="zh-CN"/>
              </w:rPr>
              <w:t>；</w:t>
            </w:r>
          </w:p>
          <w:p w14:paraId="55673BF9">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（三）技术响应</w:t>
            </w:r>
          </w:p>
          <w:p w14:paraId="672A85B5">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1.《偏离表》（加盖</w:t>
            </w:r>
            <w:r>
              <w:rPr>
                <w:rFonts w:hint="eastAsia" w:ascii="仿宋" w:hAnsi="仿宋" w:eastAsia="仿宋" w:cs="仿宋"/>
                <w:color w:val="000000"/>
                <w:sz w:val="28"/>
                <w:szCs w:val="28"/>
                <w:highlight w:val="none"/>
                <w:lang w:val="en-US" w:eastAsia="zh-CN"/>
              </w:rPr>
              <w:t>电子签章</w:t>
            </w:r>
            <w:r>
              <w:rPr>
                <w:rFonts w:hint="eastAsia" w:ascii="仿宋" w:hAnsi="仿宋" w:eastAsia="仿宋" w:cs="仿宋"/>
                <w:color w:val="000000"/>
                <w:sz w:val="28"/>
                <w:szCs w:val="28"/>
                <w:highlight w:val="none"/>
              </w:rPr>
              <w:t>，格式见招标文件第七章《投标文件相关格式》）。</w:t>
            </w:r>
          </w:p>
          <w:p w14:paraId="079D5108">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firstLine="0"/>
              <w:jc w:val="both"/>
              <w:rPr>
                <w:rFonts w:hint="eastAsia" w:ascii="仿宋" w:hAnsi="仿宋" w:eastAsia="仿宋" w:cs="仿宋"/>
                <w:color w:val="000000"/>
                <w:sz w:val="28"/>
                <w:szCs w:val="28"/>
                <w:highlight w:val="none"/>
                <w:lang w:bidi="ar-SA"/>
              </w:rPr>
            </w:pPr>
            <w:r>
              <w:rPr>
                <w:rFonts w:hint="eastAsia" w:ascii="仿宋" w:hAnsi="仿宋" w:eastAsia="仿宋" w:cs="仿宋"/>
                <w:color w:val="000000"/>
                <w:sz w:val="28"/>
                <w:szCs w:val="28"/>
                <w:highlight w:val="none"/>
                <w:lang w:val="en-US" w:eastAsia="zh-CN" w:bidi="ar-SA"/>
              </w:rPr>
              <w:t>2</w:t>
            </w:r>
            <w:r>
              <w:rPr>
                <w:rFonts w:hint="eastAsia" w:ascii="仿宋" w:hAnsi="仿宋" w:eastAsia="仿宋" w:cs="仿宋"/>
                <w:color w:val="000000"/>
                <w:sz w:val="28"/>
                <w:szCs w:val="28"/>
                <w:highlight w:val="none"/>
                <w:lang w:bidi="ar-SA"/>
              </w:rPr>
              <w:t>.《采购需求符合性条件响应表》（加盖电子签章，格式见招标文件第七章《投标文件相关格式》。）</w:t>
            </w:r>
          </w:p>
          <w:p w14:paraId="02C9BD8A">
            <w:pPr>
              <w:spacing w:line="400" w:lineRule="exac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四、综合评审评分项</w:t>
            </w:r>
          </w:p>
          <w:p w14:paraId="44012CED">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（一）技术部分</w:t>
            </w:r>
          </w:p>
          <w:p w14:paraId="453D8762">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1.所投产品的技术规格（技术性能）（格式自拟，要求见招标文件第四章《评标标准》）；</w:t>
            </w:r>
          </w:p>
          <w:p w14:paraId="3FCFED9F">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2.系统集成方案（格式自拟，要求见招标文件第四章《评标标准》）；</w:t>
            </w:r>
          </w:p>
          <w:p w14:paraId="72F02F21">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rPr>
              <w:t>.安装调试方案（格式自拟，要求见招标文件第四章《评标标准》）；</w:t>
            </w:r>
          </w:p>
          <w:p w14:paraId="33CD3DA5">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4</w:t>
            </w:r>
            <w:r>
              <w:rPr>
                <w:rFonts w:hint="eastAsia" w:ascii="仿宋" w:hAnsi="仿宋" w:eastAsia="仿宋" w:cs="仿宋"/>
                <w:bCs/>
                <w:color w:val="000000"/>
                <w:sz w:val="28"/>
                <w:szCs w:val="28"/>
                <w:highlight w:val="none"/>
              </w:rPr>
              <w:t>.培训方案（格式自拟，要求见招标文件第四章《评标标准》）；</w:t>
            </w:r>
          </w:p>
          <w:p w14:paraId="194EE0CE">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5</w:t>
            </w:r>
            <w:r>
              <w:rPr>
                <w:rFonts w:hint="eastAsia" w:ascii="仿宋" w:hAnsi="仿宋" w:eastAsia="仿宋" w:cs="仿宋"/>
                <w:bCs/>
                <w:color w:val="000000"/>
                <w:sz w:val="28"/>
                <w:szCs w:val="28"/>
                <w:highlight w:val="none"/>
              </w:rPr>
              <w:t>.售后服务方案（格式自拟，要求见招标文件第四章《评标标准》）；</w:t>
            </w:r>
          </w:p>
          <w:p w14:paraId="42EB431F">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6</w:t>
            </w:r>
            <w:r>
              <w:rPr>
                <w:rFonts w:hint="eastAsia" w:ascii="仿宋" w:hAnsi="仿宋" w:eastAsia="仿宋" w:cs="仿宋"/>
                <w:bCs/>
                <w:color w:val="000000"/>
                <w:sz w:val="28"/>
                <w:szCs w:val="28"/>
                <w:highlight w:val="none"/>
              </w:rPr>
              <w:t>.设计深化能力（格式自拟，要求见招标文件第四章《评标标准》）；</w:t>
            </w:r>
          </w:p>
          <w:p w14:paraId="5F1DE015">
            <w:pPr>
              <w:pStyle w:val="112"/>
              <w:spacing w:line="400" w:lineRule="exac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val="en-US" w:eastAsia="zh-CN"/>
              </w:rPr>
              <w:t>7</w:t>
            </w:r>
            <w:r>
              <w:rPr>
                <w:rFonts w:hint="eastAsia" w:ascii="仿宋" w:hAnsi="仿宋" w:eastAsia="仿宋" w:cs="仿宋"/>
                <w:bCs/>
                <w:color w:val="000000"/>
                <w:sz w:val="28"/>
                <w:szCs w:val="28"/>
                <w:highlight w:val="none"/>
              </w:rPr>
              <w:t>.项目实施方案（格式自拟，要求见招标文件第四章《评标标准》）</w:t>
            </w:r>
            <w:r>
              <w:rPr>
                <w:rFonts w:hint="eastAsia" w:ascii="仿宋" w:hAnsi="仿宋" w:eastAsia="仿宋" w:cs="仿宋"/>
                <w:bCs/>
                <w:color w:val="000000"/>
                <w:sz w:val="28"/>
                <w:szCs w:val="28"/>
                <w:highlight w:val="none"/>
                <w:lang w:eastAsia="zh-CN"/>
              </w:rPr>
              <w:t>。</w:t>
            </w:r>
          </w:p>
          <w:p w14:paraId="3B419946">
            <w:pPr>
              <w:pStyle w:val="112"/>
              <w:spacing w:line="40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（二）商务部分</w:t>
            </w:r>
          </w:p>
          <w:p w14:paraId="6C2D3F1C">
            <w:pPr>
              <w:widowControl/>
              <w:spacing w:line="400" w:lineRule="exact"/>
              <w:rPr>
                <w:rFonts w:hint="eastAsia" w:ascii="仿宋" w:hAnsi="仿宋" w:eastAsia="仿宋" w:cs="仿宋"/>
              </w:rPr>
            </w:pPr>
            <w:r>
              <w:rPr>
                <w:rFonts w:hint="eastAsia" w:ascii="仿宋" w:hAnsi="仿宋" w:eastAsia="仿宋" w:cs="仿宋"/>
                <w:bCs/>
                <w:color w:val="000000"/>
                <w:sz w:val="28"/>
                <w:szCs w:val="28"/>
                <w:highlight w:val="none"/>
              </w:rPr>
              <w:t>1.投标人业绩（要求见招标文件第四章《评标标准》）</w:t>
            </w:r>
            <w:r>
              <w:rPr>
                <w:rFonts w:hint="eastAsia" w:ascii="仿宋" w:hAnsi="仿宋" w:eastAsia="仿宋" w:cs="仿宋"/>
                <w:bCs/>
                <w:color w:val="000000"/>
                <w:sz w:val="28"/>
                <w:szCs w:val="28"/>
                <w:highlight w:val="none"/>
                <w:lang w:eastAsia="zh-CN"/>
              </w:rPr>
              <w:t>。</w:t>
            </w:r>
          </w:p>
          <w:p w14:paraId="37A13B47">
            <w:pPr>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其他部分</w:t>
            </w:r>
          </w:p>
          <w:p w14:paraId="23329AA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（一）投标人《关于符合本国产品标准的声明函》（填写完整，加盖公章，格式见招标文件第七章《投标文件相关格式》）（请填写完整，如不填写完整或未按要求填写的，视为非本国产品）。</w:t>
            </w:r>
          </w:p>
          <w:p w14:paraId="2E5DF00F">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1、本国产品应当符合以下条件：</w:t>
            </w:r>
          </w:p>
          <w:p w14:paraId="2E49DAE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（一）在中国境内生产</w:t>
            </w:r>
          </w:p>
          <w:p w14:paraId="2C1165E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产品应当在中国境内生产，即在中华人民共和国关境内实现从原材料、组件到产品的属性改变。</w:t>
            </w:r>
          </w:p>
          <w:p w14:paraId="400DA311">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属性改变是指经过制造、加工或者组装等工序，产生完全不同于原材料、组件的新产品，并具有新的名称和特征（用途）。属性改变不包括以下细微操作：</w:t>
            </w:r>
          </w:p>
          <w:p w14:paraId="49713DE1">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1.为确保产品在运输或者储存期间保持某种状态而进行的操作；</w:t>
            </w:r>
          </w:p>
          <w:p w14:paraId="3766261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2.为产品运输或者销售进行的包装或者展示；</w:t>
            </w:r>
          </w:p>
          <w:p w14:paraId="5653B871">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3.在产品或者其包装上粘贴或者印刷品牌、标志、标识以及其他用于区别的标记；</w:t>
            </w:r>
          </w:p>
          <w:p w14:paraId="28CB1FF9">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4.简单的上漆、磨光和分装；</w:t>
            </w:r>
          </w:p>
          <w:p w14:paraId="545A1F7F">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5.其他不属于属性改变的情形。</w:t>
            </w:r>
          </w:p>
          <w:p w14:paraId="3D0C993E">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（二）在中国境内生产的组件成本占比达到规定比例</w:t>
            </w:r>
          </w:p>
          <w:p w14:paraId="3612DC54">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产品在中国境内生产的组件成本占比应当达到规定比例，计算公式为：</w:t>
            </w:r>
          </w:p>
          <w:p w14:paraId="09F58BB6">
            <w:pPr>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drawing>
                <wp:inline distT="0" distB="0" distL="0" distR="0">
                  <wp:extent cx="3467100" cy="5232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3467100" cy="523763"/>
                          </a:xfrm>
                          <a:prstGeom prst="rect">
                            <a:avLst/>
                          </a:prstGeom>
                          <a:noFill/>
                          <a:ln>
                            <a:noFill/>
                          </a:ln>
                        </pic:spPr>
                      </pic:pic>
                    </a:graphicData>
                  </a:graphic>
                </wp:inline>
              </w:drawing>
            </w:r>
          </w:p>
          <w:p w14:paraId="3FA4EFDD">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0C80D2">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（三）特定产品的关键组件、关键工序符合相关要求</w:t>
            </w:r>
          </w:p>
          <w:p w14:paraId="7AB128B8">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对特定产品，在符合本通知第一条第（一）项和第（二）项条件的基础上，应当符合财政部会同有关行业主管部门确定的其关键组件、关键工序在中国境内生产、完成等要求。</w:t>
            </w:r>
          </w:p>
          <w:p w14:paraId="16226FE2">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7A8BBA5">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2、本国产品标准的适用范围</w:t>
            </w:r>
          </w:p>
          <w:p w14:paraId="20619D6E">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7DAF57">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3、对本国产品的支持政策</w:t>
            </w:r>
          </w:p>
          <w:p w14:paraId="36599E3B">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政府采购活动中既有本国产品又有非本国产品参与竞争的，依法对本国产品给予价格评审优惠，对本国产品的报价给予20%的价格扣除，用扣除后的价格参与评审。</w:t>
            </w:r>
          </w:p>
          <w:p w14:paraId="083D1BF7">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C44BA53">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具体以《国务院办公厅关于在政府采购中实施本国产品标准及相关政策的通知》（国办发〔2025〕34号）规定为准。</w:t>
            </w:r>
          </w:p>
          <w:p w14:paraId="5CE32A6A">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注：中国境内生产的组件成本核算基本规则</w:t>
            </w:r>
          </w:p>
          <w:p w14:paraId="4633EBBD">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86AEE34">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一、产品的一级组件是指直接组成产品的组件。产品的二级组件是指直接组成产品一级组件的组件。一级组件不可分解的，视同二级组件。</w:t>
            </w:r>
          </w:p>
          <w:p w14:paraId="3FAD45B4">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二、二级组件在中国境内生产的，其全部成本计入中国境内生产的组件成本；二级组件不在中国境内生产的，其成本不计入中国境内生产的组件成本。</w:t>
            </w:r>
          </w:p>
          <w:p w14:paraId="69DD1C93">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三、产品总成本和组件成本以相关会计核算数据、采购合同、进货记录等为基础进行计算。</w:t>
            </w:r>
          </w:p>
          <w:p w14:paraId="6ABB2BDC">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四、需要对成本核算规则予以进一步明确的其他有关事项，由财政部会同有关部门另行规定。</w:t>
            </w:r>
          </w:p>
          <w:p w14:paraId="0C302141">
            <w:pPr>
              <w:widowControl/>
              <w:spacing w:line="400" w:lineRule="exac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、价格折扣文件格式</w:t>
            </w:r>
          </w:p>
          <w:p w14:paraId="37A0443C">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企业报价折扣证明：</w:t>
            </w:r>
          </w:p>
          <w:p w14:paraId="614FB7B8">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投标人提供的货物全部由符合政策要求的中小企业制造，提供《中小企业声明函》（加盖电子签章，格式见招标文件第七章《投标文件相关格式》）。（如不填写完整或未按要求填写的，视为无效）《中小企业声明函》查询渠道用微信搜索“中小企业规模类型自测小程序”；</w:t>
            </w:r>
          </w:p>
          <w:p w14:paraId="167DCC60">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注：具体以《政府采购促进中小企业发展管理办法》（财库[2020]46号）和《关于印发中小企业划型标准规定的通知》（工信部联企业[2011]300号）的规定为准。</w:t>
            </w:r>
          </w:p>
          <w:p w14:paraId="44E3C207">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注：监狱企业和残疾人福利性单位等同于小微企业。</w:t>
            </w:r>
          </w:p>
          <w:p w14:paraId="787F52DB">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投标人为监狱企业的，提供省级以上监狱管理局、戒毒管理局（含新疆生产建设兵团）出具的属于监狱企业的证明文件原件的扫描件。</w:t>
            </w:r>
          </w:p>
          <w:p w14:paraId="194371EB">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具体以《财政部 司法部关于政府采购支持监狱企业发展有关问题的通知》（财库〔2014〕68号）的规定为准。</w:t>
            </w:r>
          </w:p>
          <w:p w14:paraId="4785197F">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投标人为享受政府采购支持政策的残疾人福利性单位的，提供《残疾人福利性单位声明函》（加盖电子签章，格式见招标文件第七章《投标文件相关格式》）。</w:t>
            </w:r>
          </w:p>
          <w:p w14:paraId="76BA21D5">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享受政府采购支持政策的残疾人福利性单位应当同时满足以下条件：</w:t>
            </w:r>
          </w:p>
          <w:p w14:paraId="4FBA997B">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①安置的残疾人占本单位在职职工人数的比例不低于25%（含25%），并且安置的残疾人人数不少于10人（含10人）；</w:t>
            </w:r>
          </w:p>
          <w:p w14:paraId="469A36B5">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②依法与安置的每位残疾人签订了一年以上（含一年）的劳动合同或服务协议；</w:t>
            </w:r>
          </w:p>
          <w:p w14:paraId="3BEC6D0C">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③为安置的每位残疾人按月足额缴纳了基本养老保险、基本医疗保险、失业保险、工伤保险和生育保险等社会保险费；</w:t>
            </w:r>
          </w:p>
          <w:p w14:paraId="54DD2B9E">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④通过银行等金融机构向安置的每位残疾人，按月支付了不低于单位所在区县适用的经省级人民政府批准的月最低工资标准的工资；</w:t>
            </w:r>
          </w:p>
          <w:p w14:paraId="1B053815">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⑤提供本单位制造的货物、承担的工程或者服务（以下简称产品），或者提供其他残疾人福利性单位制造的货物（不包括使用非残疾人福利性单位注册商标的货物）。</w:t>
            </w:r>
          </w:p>
          <w:p w14:paraId="06F85B6C">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E4A199">
            <w:pPr>
              <w:widowControl/>
              <w:spacing w:line="400" w:lineRule="exact"/>
              <w:ind w:firstLine="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具体以《三部门联合发布关于促进残疾人就业政府采购政策的通知》（财库〔2017〕141号）规定为准。</w:t>
            </w:r>
          </w:p>
          <w:p w14:paraId="42CC4F86">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w:t>
            </w:r>
          </w:p>
          <w:p w14:paraId="16F40888">
            <w:pPr>
              <w:widowControl/>
              <w:spacing w:line="4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1.投标人应对以上文件的合法性、真实性负责。</w:t>
            </w:r>
          </w:p>
          <w:p w14:paraId="215255A0">
            <w:pPr>
              <w:spacing w:line="400" w:lineRule="exact"/>
              <w:ind w:left="832" w:hanging="280"/>
              <w:rPr>
                <w:rFonts w:hint="eastAsia" w:ascii="仿宋" w:hAnsi="仿宋" w:eastAsia="仿宋" w:cs="仿宋"/>
                <w:bCs/>
                <w:color w:val="000000"/>
                <w:sz w:val="28"/>
                <w:szCs w:val="28"/>
              </w:rPr>
            </w:pPr>
            <w:r>
              <w:rPr>
                <w:rFonts w:hint="eastAsia" w:ascii="仿宋" w:hAnsi="仿宋" w:eastAsia="仿宋" w:cs="仿宋"/>
                <w:color w:val="000000"/>
                <w:sz w:val="28"/>
                <w:szCs w:val="28"/>
              </w:rPr>
              <w:t>2.</w:t>
            </w:r>
            <w:r>
              <w:rPr>
                <w:rFonts w:hint="eastAsia" w:ascii="仿宋" w:hAnsi="仿宋" w:eastAsia="仿宋" w:cs="仿宋"/>
                <w:bCs/>
                <w:color w:val="000000"/>
                <w:sz w:val="28"/>
                <w:szCs w:val="28"/>
              </w:rPr>
              <w:t>签订合同前，中标人必须向采购人提交其投标文件中所有扫描件的原件，采购人核查无误后，签订合同。如中标人不能在采购人规定的时间内向采购人提供原件，将被采购人视为放弃中标资格。特别要求的除外。</w:t>
            </w:r>
          </w:p>
        </w:tc>
      </w:tr>
      <w:tr w14:paraId="39F2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1F5CF12">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(十三)2</w:t>
            </w:r>
          </w:p>
        </w:tc>
        <w:tc>
          <w:tcPr>
            <w:tcW w:w="7220" w:type="dxa"/>
            <w:noWrap w:val="0"/>
            <w:vAlign w:val="top"/>
          </w:tcPr>
          <w:p w14:paraId="1255258D">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商务条件见：</w:t>
            </w:r>
          </w:p>
          <w:p w14:paraId="0A7C5515">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一、本文件第四章《评标标准》中《评分细则》。</w:t>
            </w:r>
          </w:p>
          <w:p w14:paraId="4D2F913F">
            <w:pPr>
              <w:spacing w:line="400" w:lineRule="exact"/>
              <w:rPr>
                <w:rFonts w:hint="eastAsia" w:ascii="仿宋" w:hAnsi="仿宋" w:eastAsia="仿宋" w:cs="仿宋"/>
                <w:bCs/>
                <w:color w:val="000000"/>
                <w:sz w:val="28"/>
                <w:szCs w:val="28"/>
              </w:rPr>
            </w:pPr>
            <w:r>
              <w:rPr>
                <w:rFonts w:hint="eastAsia" w:ascii="仿宋" w:hAnsi="仿宋" w:eastAsia="仿宋" w:cs="仿宋"/>
                <w:color w:val="000000"/>
                <w:sz w:val="28"/>
                <w:szCs w:val="28"/>
              </w:rPr>
              <w:t>二、本文件第三章《投标资料表》中(十二)1和(十二)2。</w:t>
            </w:r>
          </w:p>
        </w:tc>
      </w:tr>
      <w:tr w14:paraId="462A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66DC00D">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(十三)3</w:t>
            </w:r>
          </w:p>
        </w:tc>
        <w:tc>
          <w:tcPr>
            <w:tcW w:w="7220" w:type="dxa"/>
            <w:noWrap w:val="0"/>
            <w:vAlign w:val="top"/>
          </w:tcPr>
          <w:p w14:paraId="53CF2DD0">
            <w:pPr>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交货和提供服务的时间：见本文件第五章 《拟签订的合同文本》及或本文件第六章《采购需求》。</w:t>
            </w:r>
          </w:p>
        </w:tc>
      </w:tr>
      <w:tr w14:paraId="08F0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1249317">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(十四)3</w:t>
            </w:r>
          </w:p>
        </w:tc>
        <w:tc>
          <w:tcPr>
            <w:tcW w:w="7220" w:type="dxa"/>
            <w:noWrap w:val="0"/>
            <w:vAlign w:val="top"/>
          </w:tcPr>
          <w:p w14:paraId="1094AB0C">
            <w:pPr>
              <w:spacing w:line="400" w:lineRule="exact"/>
              <w:rPr>
                <w:rFonts w:hint="eastAsia" w:ascii="仿宋" w:hAnsi="仿宋" w:eastAsia="仿宋" w:cs="仿宋"/>
                <w:color w:val="000000"/>
                <w:sz w:val="28"/>
                <w:szCs w:val="28"/>
              </w:rPr>
            </w:pPr>
            <w:r>
              <w:rPr>
                <w:rFonts w:hint="eastAsia" w:ascii="仿宋" w:hAnsi="仿宋" w:eastAsia="仿宋" w:cs="仿宋"/>
                <w:bCs/>
                <w:color w:val="000000"/>
                <w:sz w:val="28"/>
                <w:szCs w:val="28"/>
              </w:rPr>
              <w:t>本项目不接受超</w:t>
            </w:r>
            <w:r>
              <w:rPr>
                <w:rFonts w:hint="eastAsia" w:ascii="仿宋" w:hAnsi="仿宋" w:eastAsia="仿宋" w:cs="仿宋"/>
                <w:bCs/>
                <w:color w:val="000000"/>
                <w:sz w:val="28"/>
                <w:szCs w:val="28"/>
                <w:highlight w:val="none"/>
              </w:rPr>
              <w:t>过</w:t>
            </w:r>
            <w:r>
              <w:rPr>
                <w:rFonts w:hint="eastAsia" w:ascii="仿宋" w:hAnsi="仿宋" w:eastAsia="仿宋" w:cs="仿宋"/>
                <w:color w:val="000000"/>
                <w:sz w:val="28"/>
                <w:szCs w:val="28"/>
                <w:highlight w:val="none"/>
                <w:u w:val="single"/>
                <w:lang w:val="en-US" w:eastAsia="zh-CN"/>
              </w:rPr>
              <w:t>440万元</w:t>
            </w:r>
            <w:r>
              <w:rPr>
                <w:rFonts w:hint="eastAsia" w:ascii="仿宋" w:hAnsi="仿宋" w:eastAsia="仿宋" w:cs="仿宋"/>
                <w:bCs/>
                <w:color w:val="000000"/>
                <w:sz w:val="28"/>
                <w:szCs w:val="28"/>
                <w:highlight w:val="none"/>
              </w:rPr>
              <w:t>人民币</w:t>
            </w:r>
            <w:r>
              <w:rPr>
                <w:rFonts w:hint="eastAsia" w:ascii="仿宋" w:hAnsi="仿宋" w:eastAsia="仿宋" w:cs="仿宋"/>
                <w:bCs/>
                <w:color w:val="000000"/>
                <w:sz w:val="28"/>
                <w:szCs w:val="28"/>
              </w:rPr>
              <w:t>（采购项目预算金额）的投标报价。</w:t>
            </w:r>
            <w:r>
              <w:rPr>
                <w:rFonts w:hint="eastAsia" w:ascii="仿宋" w:hAnsi="仿宋" w:eastAsia="仿宋" w:cs="仿宋"/>
                <w:color w:val="000000"/>
                <w:sz w:val="28"/>
                <w:szCs w:val="28"/>
              </w:rPr>
              <w:t>报价包括产品价、税金、运费、安装调试、检验、保险、验收等全部费用。用户不再支付报价以外的任何费用。</w:t>
            </w:r>
          </w:p>
        </w:tc>
      </w:tr>
      <w:tr w14:paraId="50C0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0408E20C">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w:t>
            </w: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w:t>
            </w:r>
          </w:p>
        </w:tc>
        <w:tc>
          <w:tcPr>
            <w:tcW w:w="7220" w:type="dxa"/>
            <w:noWrap w:val="0"/>
            <w:vAlign w:val="top"/>
          </w:tcPr>
          <w:p w14:paraId="5ECFB384">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以人民币报价。</w:t>
            </w:r>
          </w:p>
        </w:tc>
      </w:tr>
      <w:tr w14:paraId="1D9D3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1884561">
            <w:pPr>
              <w:spacing w:line="40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（十七）</w:t>
            </w:r>
          </w:p>
        </w:tc>
        <w:tc>
          <w:tcPr>
            <w:tcW w:w="7220" w:type="dxa"/>
            <w:noWrap w:val="0"/>
            <w:vAlign w:val="top"/>
          </w:tcPr>
          <w:p w14:paraId="62B66D52">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线上要求：</w:t>
            </w:r>
          </w:p>
          <w:p w14:paraId="3767AD24">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投标人应当通过“苏采云”系统提交数据电文形式的投标文件（即电子投标）。</w:t>
            </w:r>
          </w:p>
          <w:p w14:paraId="1D1F762E">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特别说明：通过“苏采云”系统提交政府采购客户端工具导出加密的投标文件（后缀名为zip）。投标文件不得超过</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50M！</w:t>
            </w:r>
          </w:p>
          <w:p w14:paraId="53F27829">
            <w:pPr>
              <w:spacing w:line="400" w:lineRule="exact"/>
              <w:rPr>
                <w:rFonts w:hint="eastAsia" w:ascii="仿宋" w:hAnsi="仿宋" w:eastAsia="仿宋" w:cs="仿宋"/>
                <w:color w:val="000000"/>
              </w:rPr>
            </w:pPr>
            <w:r>
              <w:rPr>
                <w:rFonts w:hint="eastAsia" w:ascii="仿宋" w:hAnsi="仿宋" w:eastAsia="仿宋" w:cs="仿宋"/>
                <w:color w:val="000000"/>
                <w:sz w:val="28"/>
                <w:szCs w:val="28"/>
              </w:rPr>
              <w:t>说明：本项目采用线上投标，即供应商投标文件从政府采购客户端工具制作通过“苏采云”系统提交，未提供线上投标文件的，投标无效。</w:t>
            </w:r>
          </w:p>
        </w:tc>
      </w:tr>
      <w:tr w14:paraId="373D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329EE88">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(十八)</w:t>
            </w:r>
          </w:p>
        </w:tc>
        <w:tc>
          <w:tcPr>
            <w:tcW w:w="7220" w:type="dxa"/>
            <w:noWrap w:val="0"/>
            <w:vAlign w:val="top"/>
          </w:tcPr>
          <w:p w14:paraId="1128D35B">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线上投标文件的密封、签署、盖章要求：</w:t>
            </w:r>
          </w:p>
          <w:p w14:paraId="42D62C4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一、投标文件的密封（加密）要求：</w:t>
            </w:r>
          </w:p>
          <w:p w14:paraId="79D3DB41">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投标人应当按照招标文件和“苏采云”系统的要求编制并加密投标文件。本项目投标人须通过“苏采云”系统提供的政府采购客户端工具（使用“CA数字证书”）对其数据电文形式的投标文件加密。</w:t>
            </w:r>
          </w:p>
          <w:p w14:paraId="27A11EC3">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二、投标文件的签署要求：见招标文件第七章《投标文件相关格式》。</w:t>
            </w:r>
          </w:p>
          <w:p w14:paraId="7C41693C">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三、投标文件的盖章要求：见招标文件第三章《投标资料表》和招标文件第七章《投标文件相关格式》。投标人须通过“苏采云”系统提供的政府采购客户端工具（使用“CA数字证书”）加盖电子签章。</w:t>
            </w:r>
          </w:p>
          <w:p w14:paraId="38BB9E7A">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投标人未按规定加密的投标文件，“苏采云”系统应当拒收并提示。</w:t>
            </w:r>
          </w:p>
        </w:tc>
      </w:tr>
      <w:tr w14:paraId="5BFD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686BBB23">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(十九)</w:t>
            </w:r>
          </w:p>
        </w:tc>
        <w:tc>
          <w:tcPr>
            <w:tcW w:w="7220" w:type="dxa"/>
            <w:noWrap w:val="0"/>
            <w:vAlign w:val="top"/>
          </w:tcPr>
          <w:p w14:paraId="1EEE5B02">
            <w:pPr>
              <w:spacing w:line="400" w:lineRule="exact"/>
              <w:ind w:left="560" w:hanging="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投标文件的提交： </w:t>
            </w:r>
          </w:p>
          <w:p w14:paraId="206F25C2">
            <w:pPr>
              <w:spacing w:line="4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1.投标文件提交时间：2026年06月10日北京时间09:30前。</w:t>
            </w:r>
          </w:p>
          <w:p w14:paraId="126ABDA5">
            <w:pPr>
              <w:spacing w:line="400" w:lineRule="exact"/>
              <w:ind w:left="560" w:hanging="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2.投标截止时间：2026年06月10日北京时间09:30。</w:t>
            </w:r>
          </w:p>
          <w:p w14:paraId="3FBB1069">
            <w:pPr>
              <w:spacing w:line="400" w:lineRule="exact"/>
              <w:rPr>
                <w:rFonts w:hint="eastAsia" w:ascii="仿宋" w:hAnsi="仿宋" w:eastAsia="仿宋" w:cs="仿宋"/>
                <w:color w:val="000000"/>
                <w:sz w:val="28"/>
                <w:szCs w:val="28"/>
                <w:highlight w:val="yellow"/>
              </w:rPr>
            </w:pPr>
            <w:r>
              <w:rPr>
                <w:rFonts w:hint="eastAsia" w:ascii="仿宋" w:hAnsi="仿宋" w:eastAsia="仿宋" w:cs="仿宋"/>
                <w:color w:val="000000"/>
                <w:sz w:val="28"/>
                <w:szCs w:val="28"/>
                <w:highlight w:val="none"/>
                <w:lang w:val="en-US" w:eastAsia="zh-CN"/>
              </w:rPr>
              <w:t>3.投标文件提交地点：投标人应当通过“苏采云”系统提交数据电文形式的投标文件（即电子投标），“苏采云”系统自动接收。</w:t>
            </w:r>
          </w:p>
        </w:tc>
      </w:tr>
      <w:tr w14:paraId="3658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506BE148">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w:t>
            </w:r>
          </w:p>
        </w:tc>
        <w:tc>
          <w:tcPr>
            <w:tcW w:w="7220" w:type="dxa"/>
            <w:noWrap w:val="0"/>
            <w:vAlign w:val="top"/>
          </w:tcPr>
          <w:p w14:paraId="45B02AEF">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电子投标文件应由其法定代表人或法定代表人授权代表在规定的网上投标时间内，凭 CA 证书登陆“苏采云”系统在线编制投标文件（电子数据），并在投标截止时间之前上传投标文件。</w:t>
            </w:r>
          </w:p>
          <w:p w14:paraId="41EB392B">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投标人应在达到开标时间后，使用CA数字证书解密各自投标文件。</w:t>
            </w:r>
          </w:p>
        </w:tc>
      </w:tr>
      <w:tr w14:paraId="1572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C945572">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w:t>
            </w:r>
          </w:p>
        </w:tc>
        <w:tc>
          <w:tcPr>
            <w:tcW w:w="7220" w:type="dxa"/>
            <w:noWrap w:val="0"/>
            <w:vAlign w:val="top"/>
          </w:tcPr>
          <w:p w14:paraId="5FA75842">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开标</w:t>
            </w:r>
          </w:p>
        </w:tc>
      </w:tr>
      <w:tr w14:paraId="0BB5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A05E793">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(二十五)1</w:t>
            </w:r>
          </w:p>
        </w:tc>
        <w:tc>
          <w:tcPr>
            <w:tcW w:w="7220" w:type="dxa"/>
            <w:noWrap w:val="0"/>
            <w:vAlign w:val="top"/>
          </w:tcPr>
          <w:p w14:paraId="09192E10">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开标时间及地点：</w:t>
            </w:r>
          </w:p>
          <w:p w14:paraId="0F0A0881">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1.开标时间：2026年06月10日09：30（标准时间）</w:t>
            </w:r>
          </w:p>
          <w:p w14:paraId="09BCA9DF">
            <w:pPr>
              <w:spacing w:line="400" w:lineRule="exact"/>
              <w:rPr>
                <w:rFonts w:hint="eastAsia" w:ascii="仿宋" w:hAnsi="仿宋" w:eastAsia="仿宋" w:cs="仿宋"/>
                <w:color w:val="000000"/>
              </w:rPr>
            </w:pPr>
            <w:r>
              <w:rPr>
                <w:rFonts w:hint="eastAsia" w:ascii="仿宋" w:hAnsi="仿宋" w:eastAsia="仿宋" w:cs="仿宋"/>
                <w:color w:val="000000"/>
                <w:sz w:val="28"/>
                <w:szCs w:val="28"/>
                <w:lang w:val="en-US" w:eastAsia="zh-CN"/>
              </w:rPr>
              <w:t>2.开标地点：“苏采云”系统（网址： http://jszfcg.jsczt.cn/）“开标大厅”或进入徐州政府采购网（网址：https://czj.xz.gov.cn/zfcg/）--业务工作--用户登录，点击“苏采云”进入系统“开标大厅”。</w:t>
            </w:r>
          </w:p>
        </w:tc>
      </w:tr>
      <w:tr w14:paraId="66521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1F3DBE0">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(二十五)3</w:t>
            </w:r>
          </w:p>
        </w:tc>
        <w:tc>
          <w:tcPr>
            <w:tcW w:w="7220" w:type="dxa"/>
            <w:noWrap w:val="0"/>
            <w:vAlign w:val="top"/>
          </w:tcPr>
          <w:p w14:paraId="4453945C">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14:paraId="4661D5D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所有投标人解密（或解密时间）结束后，“苏采云”系统生成开标记录并向社会公众公布，但依法应当保密的除外。</w:t>
            </w:r>
          </w:p>
        </w:tc>
      </w:tr>
      <w:tr w14:paraId="1F66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0899F1D1">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w:t>
            </w:r>
          </w:p>
        </w:tc>
        <w:tc>
          <w:tcPr>
            <w:tcW w:w="7220" w:type="dxa"/>
            <w:noWrap w:val="0"/>
            <w:vAlign w:val="top"/>
          </w:tcPr>
          <w:p w14:paraId="75FFAD08">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评标</w:t>
            </w:r>
          </w:p>
        </w:tc>
      </w:tr>
      <w:tr w14:paraId="558E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6D90F953">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(二十七)</w:t>
            </w:r>
          </w:p>
        </w:tc>
        <w:tc>
          <w:tcPr>
            <w:tcW w:w="7220" w:type="dxa"/>
            <w:noWrap w:val="0"/>
            <w:vAlign w:val="top"/>
          </w:tcPr>
          <w:p w14:paraId="7BF33B7C">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采用综合评分法。</w:t>
            </w:r>
          </w:p>
        </w:tc>
      </w:tr>
      <w:tr w14:paraId="74045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60" w:type="dxa"/>
            <w:noWrap w:val="0"/>
            <w:vAlign w:val="top"/>
          </w:tcPr>
          <w:p w14:paraId="76599140">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(二十八)1</w:t>
            </w:r>
          </w:p>
          <w:p w14:paraId="2471E18B">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(二十八)1（4）</w:t>
            </w:r>
          </w:p>
        </w:tc>
        <w:tc>
          <w:tcPr>
            <w:tcW w:w="7220" w:type="dxa"/>
            <w:noWrap w:val="0"/>
            <w:vAlign w:val="top"/>
          </w:tcPr>
          <w:p w14:paraId="39BD1356">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一、推荐中标候选供应商名单。中标候选供应商数量应当根据采购需要确定，但必须按顺序排列中标候选供应商。</w:t>
            </w:r>
          </w:p>
          <w:p w14:paraId="437DB3B2">
            <w:pPr>
              <w:spacing w:line="400" w:lineRule="exact"/>
              <w:rPr>
                <w:rFonts w:hint="eastAsia" w:ascii="仿宋" w:hAnsi="仿宋" w:eastAsia="仿宋" w:cs="仿宋"/>
                <w:color w:val="000000"/>
              </w:rPr>
            </w:pPr>
            <w:r>
              <w:rPr>
                <w:rFonts w:hint="eastAsia" w:ascii="仿宋" w:hAnsi="仿宋" w:eastAsia="仿宋" w:cs="仿宋"/>
                <w:color w:val="000000"/>
                <w:sz w:val="28"/>
                <w:szCs w:val="28"/>
              </w:rPr>
              <w:t>二、采用综合评分法的，按评审后得分由高到低顺序排列。得分相同的，按投标报价由低到高顺序排列。得分且投标报价相同的，按</w:t>
            </w:r>
            <w:r>
              <w:rPr>
                <w:rFonts w:hint="eastAsia" w:ascii="仿宋" w:hAnsi="仿宋" w:eastAsia="仿宋" w:cs="仿宋"/>
                <w:color w:val="000000"/>
                <w:sz w:val="28"/>
                <w:szCs w:val="28"/>
                <w:lang w:val="en-US" w:eastAsia="zh-CN"/>
              </w:rPr>
              <w:t>“所投产品的技术参数”</w:t>
            </w:r>
            <w:r>
              <w:rPr>
                <w:rFonts w:hint="eastAsia" w:ascii="仿宋" w:hAnsi="仿宋" w:eastAsia="仿宋" w:cs="仿宋"/>
                <w:color w:val="000000"/>
                <w:sz w:val="28"/>
                <w:szCs w:val="28"/>
                <w:highlight w:val="none"/>
              </w:rPr>
              <w:t>得分</w:t>
            </w:r>
            <w:r>
              <w:rPr>
                <w:rFonts w:hint="eastAsia" w:ascii="仿宋" w:hAnsi="仿宋" w:eastAsia="仿宋" w:cs="仿宋"/>
                <w:color w:val="000000"/>
                <w:sz w:val="28"/>
                <w:szCs w:val="28"/>
                <w:lang w:eastAsia="zh-CN"/>
              </w:rPr>
              <w:t>由高到低</w:t>
            </w:r>
            <w:r>
              <w:rPr>
                <w:rFonts w:hint="eastAsia" w:ascii="仿宋" w:hAnsi="仿宋" w:eastAsia="仿宋" w:cs="仿宋"/>
                <w:color w:val="000000"/>
                <w:sz w:val="28"/>
                <w:szCs w:val="28"/>
              </w:rPr>
              <w:t>顺序排列。</w:t>
            </w:r>
          </w:p>
        </w:tc>
      </w:tr>
      <w:tr w14:paraId="0551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B9A8FB7">
            <w:pPr>
              <w:spacing w:line="400" w:lineRule="exact"/>
              <w:jc w:val="center"/>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（二十九）</w:t>
            </w:r>
          </w:p>
          <w:p w14:paraId="664F73DA">
            <w:pPr>
              <w:spacing w:line="400" w:lineRule="exact"/>
              <w:jc w:val="center"/>
              <w:rPr>
                <w:rFonts w:hint="eastAsia" w:ascii="仿宋" w:hAnsi="仿宋" w:eastAsia="仿宋" w:cs="仿宋"/>
                <w:color w:val="000000"/>
                <w:sz w:val="28"/>
                <w:szCs w:val="28"/>
              </w:rPr>
            </w:pPr>
            <w:r>
              <w:rPr>
                <w:rFonts w:hint="eastAsia" w:ascii="仿宋" w:hAnsi="仿宋" w:eastAsia="仿宋" w:cs="仿宋"/>
                <w:b w:val="0"/>
                <w:bCs w:val="0"/>
                <w:color w:val="000000"/>
                <w:sz w:val="28"/>
                <w:szCs w:val="28"/>
              </w:rPr>
              <w:t>（4）</w:t>
            </w:r>
          </w:p>
        </w:tc>
        <w:tc>
          <w:tcPr>
            <w:tcW w:w="7220" w:type="dxa"/>
            <w:noWrap w:val="0"/>
            <w:vAlign w:val="top"/>
          </w:tcPr>
          <w:p w14:paraId="09DBFAE1">
            <w:pPr>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1.评标中需要投标人对投标文件澄清或者说明的，应当通过“苏采云”系统交换数据电文。在评标期间，请投标人保持在线。</w:t>
            </w:r>
          </w:p>
          <w:p w14:paraId="41B51993">
            <w:pPr>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2.对于投标文件中含义不明确、同类问题表述不一致或者有明显文字和计算错误的内容，评标委员会通过“苏采云”系统要求投标人作出必要的澄清、说明或者补正，并规定回复时间。</w:t>
            </w:r>
          </w:p>
          <w:p w14:paraId="2F648B2B">
            <w:pPr>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42B883C0">
            <w:pPr>
              <w:spacing w:line="400" w:lineRule="exact"/>
              <w:rPr>
                <w:rFonts w:hint="eastAsia" w:ascii="仿宋" w:hAnsi="仿宋" w:eastAsia="仿宋" w:cs="仿宋"/>
                <w:color w:val="000000"/>
                <w:sz w:val="28"/>
                <w:szCs w:val="28"/>
              </w:rPr>
            </w:pPr>
            <w:r>
              <w:rPr>
                <w:rFonts w:hint="eastAsia" w:ascii="仿宋" w:hAnsi="仿宋" w:eastAsia="仿宋" w:cs="仿宋"/>
                <w:b w:val="0"/>
                <w:bCs w:val="0"/>
                <w:color w:val="000000"/>
                <w:sz w:val="28"/>
                <w:szCs w:val="28"/>
              </w:rPr>
              <w:t>特别说明：“苏采云”系统通过“江苏省政府采购一体化不见面开标大厅”提醒投标人。投标人自行查看，投标人因自身原因不及时查看导致没收到信息，“苏采云”系统不承担任何责任。</w:t>
            </w:r>
          </w:p>
        </w:tc>
      </w:tr>
      <w:tr w14:paraId="5C03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4B358951">
            <w:pPr>
              <w:spacing w:line="400" w:lineRule="exact"/>
              <w:jc w:val="center"/>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rPr>
              <w:t>（三十）</w:t>
            </w:r>
          </w:p>
        </w:tc>
        <w:tc>
          <w:tcPr>
            <w:tcW w:w="7220" w:type="dxa"/>
            <w:noWrap w:val="0"/>
            <w:vAlign w:val="top"/>
          </w:tcPr>
          <w:p w14:paraId="75BB52C9">
            <w:pPr>
              <w:spacing w:line="400" w:lineRule="exact"/>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rPr>
              <w:t>评审（评标）委员会启动异常低价投标（响应）审查后，通过“苏采云”系统要求相关供应商在评审现场合理的时间内对投标（响应）价格作出解释，相关供应商通过“苏采云”系统（使用“CA数字证书”,加盖电子签章）提供项目具体成本测算等与报价合理性相关的书面说明及必要的证明材料，包括但不限于原材料成本、人工成本、制造费用等。具体以《关于推动解决政府采购异常低价问题的通知》（财库〔2026〕2号）规定为准</w:t>
            </w:r>
            <w:r>
              <w:rPr>
                <w:rFonts w:hint="eastAsia" w:ascii="仿宋" w:hAnsi="仿宋" w:eastAsia="仿宋" w:cs="仿宋"/>
                <w:b w:val="0"/>
                <w:bCs w:val="0"/>
                <w:color w:val="000000"/>
                <w:sz w:val="30"/>
                <w:szCs w:val="30"/>
                <w:lang w:eastAsia="zh-CN"/>
              </w:rPr>
              <w:t>。</w:t>
            </w:r>
          </w:p>
          <w:p w14:paraId="0CB16BEA">
            <w:pPr>
              <w:spacing w:line="400" w:lineRule="exact"/>
              <w:jc w:val="both"/>
              <w:rPr>
                <w:rFonts w:hint="eastAsia" w:ascii="仿宋" w:hAnsi="仿宋" w:eastAsia="仿宋" w:cs="仿宋"/>
                <w:b w:val="0"/>
                <w:bCs w:val="0"/>
                <w:color w:val="000000"/>
                <w:sz w:val="30"/>
                <w:szCs w:val="30"/>
                <w:lang w:val="en-US" w:eastAsia="zh-CN"/>
              </w:rPr>
            </w:pPr>
            <w:r>
              <w:rPr>
                <w:rFonts w:hint="eastAsia" w:ascii="仿宋" w:hAnsi="仿宋" w:eastAsia="仿宋" w:cs="仿宋"/>
                <w:b/>
                <w:bCs/>
                <w:color w:val="000000"/>
                <w:sz w:val="30"/>
                <w:szCs w:val="30"/>
              </w:rPr>
              <w:t>特别说明：“苏采云”系统通过“江苏省政府采购一体化不见面开标大厅”提醒投标人，投标人自行查看。投标人未及时查看或因自身原因导致未收到信息的，责任自负。</w:t>
            </w:r>
          </w:p>
        </w:tc>
      </w:tr>
      <w:tr w14:paraId="027F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2F8812B1">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七</w:t>
            </w:r>
          </w:p>
        </w:tc>
        <w:tc>
          <w:tcPr>
            <w:tcW w:w="7220" w:type="dxa"/>
            <w:noWrap w:val="0"/>
            <w:vAlign w:val="top"/>
          </w:tcPr>
          <w:p w14:paraId="46A63F8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政府采购合同</w:t>
            </w:r>
          </w:p>
        </w:tc>
      </w:tr>
      <w:tr w14:paraId="7350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57507882">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(三十七)</w:t>
            </w:r>
          </w:p>
        </w:tc>
        <w:tc>
          <w:tcPr>
            <w:tcW w:w="7220" w:type="dxa"/>
            <w:noWrap w:val="0"/>
            <w:vAlign w:val="top"/>
          </w:tcPr>
          <w:p w14:paraId="10D1D3DD">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采购人与中标、成交供应商应当在中标、成交通知书发出之日起30日内，按照采购文件确定的事项签订政府采购合同。</w:t>
            </w:r>
          </w:p>
        </w:tc>
      </w:tr>
      <w:tr w14:paraId="4BCF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2787F02C">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（三十八）</w:t>
            </w:r>
          </w:p>
        </w:tc>
        <w:tc>
          <w:tcPr>
            <w:tcW w:w="7220" w:type="dxa"/>
            <w:noWrap w:val="0"/>
            <w:vAlign w:val="top"/>
          </w:tcPr>
          <w:p w14:paraId="675AA81A">
            <w:pPr>
              <w:spacing w:line="400" w:lineRule="exac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履约保证金：中标金额的5%，向采购人交纳。</w:t>
            </w:r>
          </w:p>
          <w:p w14:paraId="7009605C">
            <w:pPr>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履约保证金应当以支票、汇票、本票、电汇或者金融机构、担保机构出具的保函等非现金形式提交履约保证金，也可自愿使用履约保函（保险）代替缴纳履约保证金，具体详见《关于在全省政府采购领域推行电子履约保函（保险）的通知》（苏财购〔2023〕150号）规定。</w:t>
            </w:r>
          </w:p>
        </w:tc>
      </w:tr>
      <w:tr w14:paraId="31F9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1C9A52C8">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三十九</w:t>
            </w:r>
            <w:r>
              <w:rPr>
                <w:rFonts w:hint="eastAsia" w:ascii="仿宋" w:hAnsi="仿宋" w:eastAsia="仿宋" w:cs="仿宋"/>
                <w:color w:val="000000"/>
                <w:sz w:val="28"/>
                <w:szCs w:val="28"/>
              </w:rPr>
              <w:t>)</w:t>
            </w:r>
          </w:p>
        </w:tc>
        <w:tc>
          <w:tcPr>
            <w:tcW w:w="7220" w:type="dxa"/>
            <w:noWrap w:val="0"/>
            <w:vAlign w:val="top"/>
          </w:tcPr>
          <w:p w14:paraId="28ECA024">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768C96D1">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二、供应商在法定质疑期内一次性提出针对同一采购程序环节的质疑。</w:t>
            </w:r>
          </w:p>
          <w:p w14:paraId="19509459">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质疑接收人：</w:t>
            </w:r>
            <w:r>
              <w:rPr>
                <w:rFonts w:hint="eastAsia" w:ascii="仿宋" w:hAnsi="仿宋" w:eastAsia="仿宋" w:cs="仿宋"/>
                <w:color w:val="000000"/>
                <w:sz w:val="28"/>
                <w:szCs w:val="28"/>
                <w:lang w:eastAsia="zh-CN"/>
              </w:rPr>
              <w:t>李海沫、柴鑫</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lang w:eastAsia="zh-CN"/>
              </w:rPr>
              <w:t>0516-83205176</w:t>
            </w:r>
            <w:r>
              <w:rPr>
                <w:rFonts w:hint="eastAsia" w:ascii="仿宋" w:hAnsi="仿宋" w:eastAsia="仿宋" w:cs="仿宋"/>
                <w:color w:val="000000"/>
                <w:sz w:val="28"/>
                <w:szCs w:val="28"/>
              </w:rPr>
              <w:t>;</w:t>
            </w:r>
          </w:p>
          <w:p w14:paraId="402F7094">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办公地址：徐州市云龙区绿地商务城LOFT领海办公楼5#19</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室（汉风路和昆仑大道交叉口东北角）</w:t>
            </w:r>
          </w:p>
        </w:tc>
      </w:tr>
      <w:tr w14:paraId="2904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noWrap w:val="0"/>
            <w:vAlign w:val="top"/>
          </w:tcPr>
          <w:p w14:paraId="38E0DBE3">
            <w:pPr>
              <w:spacing w:line="400" w:lineRule="exact"/>
              <w:jc w:val="center"/>
              <w:rPr>
                <w:rFonts w:hint="eastAsia" w:ascii="仿宋" w:hAnsi="仿宋" w:eastAsia="仿宋" w:cs="仿宋"/>
                <w:color w:val="000000"/>
                <w:sz w:val="28"/>
                <w:szCs w:val="28"/>
              </w:rPr>
            </w:pPr>
            <w:r>
              <w:rPr>
                <w:rFonts w:hint="eastAsia" w:ascii="仿宋" w:hAnsi="仿宋" w:eastAsia="仿宋" w:cs="仿宋"/>
                <w:bCs/>
                <w:color w:val="000000"/>
                <w:sz w:val="28"/>
                <w:szCs w:val="28"/>
              </w:rPr>
              <w:t>附加说明</w:t>
            </w:r>
          </w:p>
        </w:tc>
        <w:tc>
          <w:tcPr>
            <w:tcW w:w="7220" w:type="dxa"/>
            <w:noWrap w:val="0"/>
            <w:vAlign w:val="top"/>
          </w:tcPr>
          <w:p w14:paraId="5B433ED0">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中标人在收到中标通知书时，须向采购代理机构提交《开标一览表》和《分项价格表》的数据文件（WORD格式）。</w:t>
            </w:r>
          </w:p>
        </w:tc>
      </w:tr>
    </w:tbl>
    <w:p w14:paraId="16B0DEA1">
      <w:pPr>
        <w:widowControl/>
        <w:spacing w:line="520" w:lineRule="exact"/>
        <w:ind w:firstLine="600"/>
        <w:rPr>
          <w:rFonts w:hint="eastAsia" w:ascii="仿宋" w:hAnsi="仿宋" w:eastAsia="仿宋" w:cs="仿宋"/>
          <w:b/>
          <w:color w:val="000000"/>
          <w:sz w:val="30"/>
          <w:szCs w:val="30"/>
        </w:rPr>
      </w:pPr>
      <w:bookmarkStart w:id="6" w:name="_Toc522790133"/>
      <w:r>
        <w:rPr>
          <w:rFonts w:hint="eastAsia" w:ascii="仿宋" w:hAnsi="仿宋" w:eastAsia="仿宋" w:cs="仿宋"/>
          <w:color w:val="000000"/>
          <w:sz w:val="30"/>
          <w:szCs w:val="30"/>
        </w:rPr>
        <w:br w:type="page" w:clear="all"/>
      </w:r>
      <w:r>
        <w:rPr>
          <w:rFonts w:hint="eastAsia" w:ascii="仿宋" w:hAnsi="仿宋" w:eastAsia="仿宋" w:cs="仿宋"/>
          <w:color w:val="000000"/>
          <w:sz w:val="30"/>
          <w:szCs w:val="30"/>
        </w:rPr>
        <w:t>本章附件：</w:t>
      </w:r>
      <w:r>
        <w:rPr>
          <w:rFonts w:hint="eastAsia" w:ascii="仿宋" w:hAnsi="仿宋" w:eastAsia="仿宋" w:cs="仿宋"/>
          <w:b/>
          <w:color w:val="000000"/>
          <w:sz w:val="30"/>
          <w:szCs w:val="30"/>
        </w:rPr>
        <w:t>招标代理服务收费标准</w:t>
      </w:r>
    </w:p>
    <w:tbl>
      <w:tblPr>
        <w:tblStyle w:val="28"/>
        <w:tblW w:w="7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91"/>
        <w:gridCol w:w="3147"/>
      </w:tblGrid>
      <w:tr w14:paraId="2084F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4291" w:type="dxa"/>
            <w:noWrap w:val="0"/>
            <w:vAlign w:val="center"/>
          </w:tcPr>
          <w:p w14:paraId="74B2F1F7">
            <w:pPr>
              <w:pStyle w:val="289"/>
              <w:spacing w:before="168" w:line="219" w:lineRule="auto"/>
              <w:jc w:val="center"/>
              <w:rPr>
                <w:rFonts w:hint="eastAsia" w:ascii="仿宋" w:hAnsi="仿宋" w:eastAsia="仿宋" w:cs="仿宋"/>
                <w:color w:val="000000"/>
                <w:sz w:val="28"/>
                <w:szCs w:val="28"/>
              </w:rPr>
            </w:pPr>
            <w:r>
              <w:rPr>
                <w:rFonts w:hint="eastAsia" w:ascii="仿宋" w:hAnsi="仿宋" w:eastAsia="仿宋" w:cs="仿宋"/>
                <w:color w:val="000000"/>
                <w:spacing w:val="1"/>
                <w:sz w:val="28"/>
                <w:szCs w:val="28"/>
              </w:rPr>
              <w:t>中标或者成交金额</w:t>
            </w:r>
          </w:p>
        </w:tc>
        <w:tc>
          <w:tcPr>
            <w:tcW w:w="3147" w:type="dxa"/>
            <w:noWrap w:val="0"/>
            <w:vAlign w:val="center"/>
          </w:tcPr>
          <w:p w14:paraId="52D88C40">
            <w:pPr>
              <w:pStyle w:val="289"/>
              <w:spacing w:before="168" w:line="219" w:lineRule="auto"/>
              <w:jc w:val="center"/>
              <w:rPr>
                <w:rFonts w:hint="eastAsia" w:ascii="仿宋" w:hAnsi="仿宋" w:eastAsia="仿宋" w:cs="仿宋"/>
                <w:color w:val="000000"/>
                <w:sz w:val="28"/>
                <w:szCs w:val="28"/>
              </w:rPr>
            </w:pPr>
            <w:r>
              <w:rPr>
                <w:rFonts w:hint="eastAsia" w:ascii="仿宋" w:hAnsi="仿宋" w:eastAsia="仿宋" w:cs="仿宋"/>
                <w:color w:val="000000"/>
                <w:spacing w:val="7"/>
                <w:sz w:val="28"/>
                <w:szCs w:val="28"/>
              </w:rPr>
              <w:t>费率</w:t>
            </w:r>
          </w:p>
        </w:tc>
      </w:tr>
      <w:tr w14:paraId="6DCA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324F9E38">
            <w:pPr>
              <w:pStyle w:val="289"/>
              <w:spacing w:before="154" w:line="219" w:lineRule="auto"/>
              <w:rPr>
                <w:rFonts w:hint="eastAsia" w:ascii="仿宋" w:hAnsi="仿宋" w:eastAsia="仿宋" w:cs="仿宋"/>
                <w:color w:val="000000"/>
                <w:sz w:val="28"/>
                <w:szCs w:val="28"/>
              </w:rPr>
            </w:pPr>
            <w:r>
              <w:rPr>
                <w:rFonts w:hint="eastAsia" w:ascii="仿宋" w:hAnsi="仿宋" w:eastAsia="仿宋" w:cs="仿宋"/>
                <w:color w:val="000000"/>
                <w:spacing w:val="4"/>
                <w:sz w:val="28"/>
                <w:szCs w:val="28"/>
              </w:rPr>
              <w:t>最低收费金额(每个委托项目)</w:t>
            </w:r>
          </w:p>
        </w:tc>
        <w:tc>
          <w:tcPr>
            <w:tcW w:w="3147" w:type="dxa"/>
            <w:noWrap w:val="0"/>
            <w:vAlign w:val="center"/>
          </w:tcPr>
          <w:p w14:paraId="1F05190C">
            <w:pPr>
              <w:pStyle w:val="289"/>
              <w:spacing w:before="155" w:line="220" w:lineRule="auto"/>
              <w:jc w:val="center"/>
              <w:rPr>
                <w:rFonts w:hint="eastAsia" w:ascii="仿宋" w:hAnsi="仿宋" w:eastAsia="仿宋" w:cs="仿宋"/>
                <w:color w:val="000000"/>
                <w:sz w:val="28"/>
                <w:szCs w:val="28"/>
              </w:rPr>
            </w:pPr>
            <w:r>
              <w:rPr>
                <w:rFonts w:hint="eastAsia" w:ascii="仿宋" w:hAnsi="仿宋" w:eastAsia="仿宋" w:cs="仿宋"/>
                <w:color w:val="000000"/>
                <w:spacing w:val="2"/>
                <w:sz w:val="28"/>
                <w:szCs w:val="28"/>
              </w:rPr>
              <w:t>5000元</w:t>
            </w:r>
          </w:p>
        </w:tc>
      </w:tr>
      <w:tr w14:paraId="2E13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7FFAB310">
            <w:pPr>
              <w:pStyle w:val="289"/>
              <w:spacing w:before="155" w:line="219" w:lineRule="auto"/>
              <w:rPr>
                <w:rFonts w:hint="eastAsia" w:ascii="仿宋" w:hAnsi="仿宋" w:eastAsia="仿宋" w:cs="仿宋"/>
                <w:color w:val="000000"/>
                <w:sz w:val="28"/>
                <w:szCs w:val="28"/>
              </w:rPr>
            </w:pPr>
            <w:r>
              <w:rPr>
                <w:rFonts w:hint="eastAsia" w:ascii="仿宋" w:hAnsi="仿宋" w:eastAsia="仿宋" w:cs="仿宋"/>
                <w:color w:val="000000"/>
                <w:spacing w:val="5"/>
                <w:sz w:val="28"/>
                <w:szCs w:val="28"/>
              </w:rPr>
              <w:t>50万元以下(含50万元)</w:t>
            </w:r>
          </w:p>
        </w:tc>
        <w:tc>
          <w:tcPr>
            <w:tcW w:w="3147" w:type="dxa"/>
            <w:noWrap w:val="0"/>
            <w:vAlign w:val="center"/>
          </w:tcPr>
          <w:p w14:paraId="7EC53949">
            <w:pPr>
              <w:pStyle w:val="289"/>
              <w:spacing w:before="236" w:line="184" w:lineRule="auto"/>
              <w:jc w:val="center"/>
              <w:rPr>
                <w:rFonts w:hint="eastAsia" w:ascii="仿宋" w:hAnsi="仿宋" w:eastAsia="仿宋" w:cs="仿宋"/>
                <w:color w:val="000000"/>
                <w:sz w:val="28"/>
                <w:szCs w:val="28"/>
              </w:rPr>
            </w:pPr>
            <w:r>
              <w:rPr>
                <w:rFonts w:hint="eastAsia" w:ascii="仿宋" w:hAnsi="仿宋" w:eastAsia="仿宋" w:cs="仿宋"/>
                <w:color w:val="000000"/>
                <w:spacing w:val="-8"/>
                <w:sz w:val="28"/>
                <w:szCs w:val="28"/>
              </w:rPr>
              <w:t>1.6%</w:t>
            </w:r>
          </w:p>
        </w:tc>
      </w:tr>
      <w:tr w14:paraId="2C76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5C0B4ABE">
            <w:pPr>
              <w:pStyle w:val="289"/>
              <w:spacing w:before="156" w:line="219" w:lineRule="auto"/>
              <w:rPr>
                <w:rFonts w:hint="eastAsia" w:ascii="仿宋" w:hAnsi="仿宋" w:eastAsia="仿宋" w:cs="仿宋"/>
                <w:color w:val="000000"/>
                <w:sz w:val="28"/>
                <w:szCs w:val="28"/>
              </w:rPr>
            </w:pPr>
            <w:r>
              <w:rPr>
                <w:rFonts w:hint="eastAsia" w:ascii="仿宋" w:hAnsi="仿宋" w:eastAsia="仿宋" w:cs="仿宋"/>
                <w:color w:val="000000"/>
                <w:spacing w:val="4"/>
                <w:sz w:val="28"/>
                <w:szCs w:val="28"/>
              </w:rPr>
              <w:t>50-400万元(含400万元)</w:t>
            </w:r>
          </w:p>
        </w:tc>
        <w:tc>
          <w:tcPr>
            <w:tcW w:w="3147" w:type="dxa"/>
            <w:noWrap w:val="0"/>
            <w:vAlign w:val="center"/>
          </w:tcPr>
          <w:p w14:paraId="31FDDB8A">
            <w:pPr>
              <w:pStyle w:val="289"/>
              <w:spacing w:before="237" w:line="184" w:lineRule="auto"/>
              <w:jc w:val="center"/>
              <w:rPr>
                <w:rFonts w:hint="eastAsia" w:ascii="仿宋" w:hAnsi="仿宋" w:eastAsia="仿宋" w:cs="仿宋"/>
                <w:color w:val="000000"/>
                <w:sz w:val="28"/>
                <w:szCs w:val="28"/>
              </w:rPr>
            </w:pPr>
            <w:r>
              <w:rPr>
                <w:rFonts w:hint="eastAsia" w:ascii="仿宋" w:hAnsi="仿宋" w:eastAsia="仿宋" w:cs="仿宋"/>
                <w:color w:val="000000"/>
                <w:spacing w:val="-7"/>
                <w:sz w:val="28"/>
                <w:szCs w:val="28"/>
              </w:rPr>
              <w:t>1.5%</w:t>
            </w:r>
          </w:p>
        </w:tc>
      </w:tr>
      <w:tr w14:paraId="226F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5ABB3D48">
            <w:pPr>
              <w:pStyle w:val="289"/>
              <w:spacing w:before="167" w:line="219" w:lineRule="auto"/>
              <w:rPr>
                <w:rFonts w:hint="eastAsia" w:ascii="仿宋" w:hAnsi="仿宋" w:eastAsia="仿宋" w:cs="仿宋"/>
                <w:color w:val="000000"/>
                <w:sz w:val="28"/>
                <w:szCs w:val="28"/>
              </w:rPr>
            </w:pPr>
            <w:r>
              <w:rPr>
                <w:rFonts w:hint="eastAsia" w:ascii="仿宋" w:hAnsi="仿宋" w:eastAsia="仿宋" w:cs="仿宋"/>
                <w:color w:val="000000"/>
                <w:spacing w:val="3"/>
                <w:sz w:val="28"/>
                <w:szCs w:val="28"/>
              </w:rPr>
              <w:t>400-1000万元(含1000万元)</w:t>
            </w:r>
          </w:p>
        </w:tc>
        <w:tc>
          <w:tcPr>
            <w:tcW w:w="3147" w:type="dxa"/>
            <w:noWrap w:val="0"/>
            <w:vAlign w:val="center"/>
          </w:tcPr>
          <w:p w14:paraId="55046BB2">
            <w:pPr>
              <w:pStyle w:val="289"/>
              <w:spacing w:before="248" w:line="184" w:lineRule="auto"/>
              <w:jc w:val="center"/>
              <w:rPr>
                <w:rFonts w:hint="eastAsia" w:ascii="仿宋" w:hAnsi="仿宋" w:eastAsia="仿宋" w:cs="仿宋"/>
                <w:color w:val="000000"/>
                <w:sz w:val="28"/>
                <w:szCs w:val="28"/>
              </w:rPr>
            </w:pPr>
            <w:r>
              <w:rPr>
                <w:rFonts w:hint="eastAsia" w:ascii="仿宋" w:hAnsi="仿宋" w:eastAsia="仿宋" w:cs="仿宋"/>
                <w:color w:val="000000"/>
                <w:spacing w:val="-5"/>
                <w:sz w:val="28"/>
                <w:szCs w:val="28"/>
              </w:rPr>
              <w:t>1.1%</w:t>
            </w:r>
          </w:p>
        </w:tc>
      </w:tr>
      <w:tr w14:paraId="5E27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64A82D89">
            <w:pPr>
              <w:pStyle w:val="289"/>
              <w:spacing w:before="158" w:line="219" w:lineRule="auto"/>
              <w:rPr>
                <w:rFonts w:hint="eastAsia" w:ascii="仿宋" w:hAnsi="仿宋" w:eastAsia="仿宋" w:cs="仿宋"/>
                <w:color w:val="000000"/>
                <w:sz w:val="28"/>
                <w:szCs w:val="28"/>
              </w:rPr>
            </w:pPr>
            <w:r>
              <w:rPr>
                <w:rFonts w:hint="eastAsia" w:ascii="仿宋" w:hAnsi="仿宋" w:eastAsia="仿宋" w:cs="仿宋"/>
                <w:color w:val="000000"/>
                <w:spacing w:val="3"/>
                <w:sz w:val="28"/>
                <w:szCs w:val="28"/>
              </w:rPr>
              <w:t>1000-5000万元(含5000万元)</w:t>
            </w:r>
          </w:p>
        </w:tc>
        <w:tc>
          <w:tcPr>
            <w:tcW w:w="3147" w:type="dxa"/>
            <w:noWrap w:val="0"/>
            <w:vAlign w:val="center"/>
          </w:tcPr>
          <w:p w14:paraId="0ED7FFDC">
            <w:pPr>
              <w:pStyle w:val="289"/>
              <w:spacing w:before="240" w:line="183" w:lineRule="auto"/>
              <w:jc w:val="center"/>
              <w:rPr>
                <w:rFonts w:hint="eastAsia" w:ascii="仿宋" w:hAnsi="仿宋" w:eastAsia="仿宋" w:cs="仿宋"/>
                <w:color w:val="000000"/>
                <w:sz w:val="28"/>
                <w:szCs w:val="28"/>
              </w:rPr>
            </w:pPr>
            <w:r>
              <w:rPr>
                <w:rFonts w:hint="eastAsia" w:ascii="仿宋" w:hAnsi="仿宋" w:eastAsia="仿宋" w:cs="仿宋"/>
                <w:color w:val="000000"/>
                <w:spacing w:val="-3"/>
                <w:sz w:val="28"/>
                <w:szCs w:val="28"/>
              </w:rPr>
              <w:t>0.8%</w:t>
            </w:r>
          </w:p>
        </w:tc>
      </w:tr>
      <w:tr w14:paraId="2D83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72ECFC8C">
            <w:pPr>
              <w:pStyle w:val="289"/>
              <w:spacing w:before="159" w:line="219" w:lineRule="auto"/>
              <w:rPr>
                <w:rFonts w:hint="eastAsia" w:ascii="仿宋" w:hAnsi="仿宋" w:eastAsia="仿宋" w:cs="仿宋"/>
                <w:color w:val="000000"/>
                <w:sz w:val="28"/>
                <w:szCs w:val="28"/>
              </w:rPr>
            </w:pPr>
            <w:r>
              <w:rPr>
                <w:rFonts w:hint="eastAsia" w:ascii="仿宋" w:hAnsi="仿宋" w:eastAsia="仿宋" w:cs="仿宋"/>
                <w:color w:val="000000"/>
                <w:spacing w:val="5"/>
                <w:sz w:val="28"/>
                <w:szCs w:val="28"/>
              </w:rPr>
              <w:t>5000-1亿元(含1亿元)</w:t>
            </w:r>
          </w:p>
        </w:tc>
        <w:tc>
          <w:tcPr>
            <w:tcW w:w="3147" w:type="dxa"/>
            <w:noWrap w:val="0"/>
            <w:vAlign w:val="center"/>
          </w:tcPr>
          <w:p w14:paraId="4A590061">
            <w:pPr>
              <w:pStyle w:val="289"/>
              <w:spacing w:before="241" w:line="183" w:lineRule="auto"/>
              <w:jc w:val="center"/>
              <w:rPr>
                <w:rFonts w:hint="eastAsia" w:ascii="仿宋" w:hAnsi="仿宋" w:eastAsia="仿宋" w:cs="仿宋"/>
                <w:color w:val="000000"/>
                <w:sz w:val="28"/>
                <w:szCs w:val="28"/>
              </w:rPr>
            </w:pPr>
            <w:r>
              <w:rPr>
                <w:rFonts w:hint="eastAsia" w:ascii="仿宋" w:hAnsi="仿宋" w:eastAsia="仿宋" w:cs="仿宋"/>
                <w:color w:val="000000"/>
                <w:spacing w:val="-2"/>
                <w:sz w:val="28"/>
                <w:szCs w:val="28"/>
              </w:rPr>
              <w:t>0.25%</w:t>
            </w:r>
          </w:p>
        </w:tc>
      </w:tr>
      <w:tr w14:paraId="1F221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0B75C2E7">
            <w:pPr>
              <w:pStyle w:val="289"/>
              <w:spacing w:before="170" w:line="219" w:lineRule="auto"/>
              <w:rPr>
                <w:rFonts w:hint="eastAsia" w:ascii="仿宋" w:hAnsi="仿宋" w:eastAsia="仿宋" w:cs="仿宋"/>
                <w:color w:val="000000"/>
                <w:sz w:val="28"/>
                <w:szCs w:val="28"/>
              </w:rPr>
            </w:pPr>
            <w:r>
              <w:rPr>
                <w:rFonts w:hint="eastAsia" w:ascii="仿宋" w:hAnsi="仿宋" w:eastAsia="仿宋" w:cs="仿宋"/>
                <w:color w:val="000000"/>
                <w:spacing w:val="5"/>
                <w:sz w:val="28"/>
                <w:szCs w:val="28"/>
              </w:rPr>
              <w:t>1-10亿元(含10亿元)</w:t>
            </w:r>
          </w:p>
        </w:tc>
        <w:tc>
          <w:tcPr>
            <w:tcW w:w="3147" w:type="dxa"/>
            <w:noWrap w:val="0"/>
            <w:vAlign w:val="center"/>
          </w:tcPr>
          <w:p w14:paraId="3F6703B9">
            <w:pPr>
              <w:pStyle w:val="289"/>
              <w:spacing w:before="252" w:line="183" w:lineRule="auto"/>
              <w:jc w:val="center"/>
              <w:rPr>
                <w:rFonts w:hint="eastAsia" w:ascii="仿宋" w:hAnsi="仿宋" w:eastAsia="仿宋" w:cs="仿宋"/>
                <w:color w:val="000000"/>
                <w:sz w:val="28"/>
                <w:szCs w:val="28"/>
              </w:rPr>
            </w:pPr>
            <w:r>
              <w:rPr>
                <w:rFonts w:hint="eastAsia" w:ascii="仿宋" w:hAnsi="仿宋" w:eastAsia="仿宋" w:cs="仿宋"/>
                <w:color w:val="000000"/>
                <w:spacing w:val="-3"/>
                <w:sz w:val="28"/>
                <w:szCs w:val="28"/>
              </w:rPr>
              <w:t>0.05%</w:t>
            </w:r>
          </w:p>
        </w:tc>
      </w:tr>
      <w:tr w14:paraId="26FD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1C62FAFB">
            <w:pPr>
              <w:pStyle w:val="289"/>
              <w:spacing w:before="162" w:line="219" w:lineRule="auto"/>
              <w:rPr>
                <w:rFonts w:hint="eastAsia" w:ascii="仿宋" w:hAnsi="仿宋" w:eastAsia="仿宋" w:cs="仿宋"/>
                <w:color w:val="000000"/>
                <w:sz w:val="28"/>
                <w:szCs w:val="28"/>
              </w:rPr>
            </w:pPr>
            <w:r>
              <w:rPr>
                <w:rFonts w:hint="eastAsia" w:ascii="仿宋" w:hAnsi="仿宋" w:eastAsia="仿宋" w:cs="仿宋"/>
                <w:color w:val="000000"/>
                <w:spacing w:val="5"/>
                <w:sz w:val="28"/>
                <w:szCs w:val="28"/>
              </w:rPr>
              <w:t>10-50亿元(含50亿元)</w:t>
            </w:r>
          </w:p>
        </w:tc>
        <w:tc>
          <w:tcPr>
            <w:tcW w:w="3147" w:type="dxa"/>
            <w:noWrap w:val="0"/>
            <w:vAlign w:val="center"/>
          </w:tcPr>
          <w:p w14:paraId="517742FA">
            <w:pPr>
              <w:pStyle w:val="289"/>
              <w:spacing w:before="243" w:line="184" w:lineRule="auto"/>
              <w:jc w:val="center"/>
              <w:rPr>
                <w:rFonts w:hint="eastAsia" w:ascii="仿宋" w:hAnsi="仿宋" w:eastAsia="仿宋" w:cs="仿宋"/>
                <w:color w:val="000000"/>
                <w:sz w:val="28"/>
                <w:szCs w:val="28"/>
              </w:rPr>
            </w:pPr>
            <w:r>
              <w:rPr>
                <w:rFonts w:hint="eastAsia" w:ascii="仿宋" w:hAnsi="仿宋" w:eastAsia="仿宋" w:cs="仿宋"/>
                <w:color w:val="000000"/>
                <w:spacing w:val="-3"/>
                <w:sz w:val="28"/>
                <w:szCs w:val="28"/>
              </w:rPr>
              <w:t>0.01%</w:t>
            </w:r>
          </w:p>
        </w:tc>
      </w:tr>
      <w:tr w14:paraId="7E46F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291" w:type="dxa"/>
            <w:noWrap w:val="0"/>
            <w:vAlign w:val="center"/>
          </w:tcPr>
          <w:p w14:paraId="7860F740">
            <w:pPr>
              <w:pStyle w:val="289"/>
              <w:spacing w:before="164" w:line="220" w:lineRule="auto"/>
              <w:rPr>
                <w:rFonts w:hint="eastAsia" w:ascii="仿宋" w:hAnsi="仿宋" w:eastAsia="仿宋" w:cs="仿宋"/>
                <w:color w:val="000000"/>
                <w:sz w:val="28"/>
                <w:szCs w:val="28"/>
              </w:rPr>
            </w:pPr>
            <w:r>
              <w:rPr>
                <w:rFonts w:hint="eastAsia" w:ascii="仿宋" w:hAnsi="仿宋" w:eastAsia="仿宋" w:cs="仿宋"/>
                <w:color w:val="000000"/>
                <w:spacing w:val="2"/>
                <w:sz w:val="28"/>
                <w:szCs w:val="28"/>
              </w:rPr>
              <w:t>50亿元以上</w:t>
            </w:r>
          </w:p>
        </w:tc>
        <w:tc>
          <w:tcPr>
            <w:tcW w:w="3147" w:type="dxa"/>
            <w:noWrap w:val="0"/>
            <w:vAlign w:val="center"/>
          </w:tcPr>
          <w:p w14:paraId="70FAD53D">
            <w:pPr>
              <w:pStyle w:val="289"/>
              <w:spacing w:before="245" w:line="183" w:lineRule="auto"/>
              <w:jc w:val="center"/>
              <w:rPr>
                <w:rFonts w:hint="eastAsia" w:ascii="仿宋" w:hAnsi="仿宋" w:eastAsia="仿宋" w:cs="仿宋"/>
                <w:color w:val="000000"/>
                <w:sz w:val="28"/>
                <w:szCs w:val="28"/>
              </w:rPr>
            </w:pPr>
            <w:r>
              <w:rPr>
                <w:rFonts w:hint="eastAsia" w:ascii="仿宋" w:hAnsi="仿宋" w:eastAsia="仿宋" w:cs="仿宋"/>
                <w:color w:val="000000"/>
                <w:spacing w:val="-2"/>
                <w:sz w:val="28"/>
                <w:szCs w:val="28"/>
              </w:rPr>
              <w:t>0.005%</w:t>
            </w:r>
          </w:p>
        </w:tc>
      </w:tr>
    </w:tbl>
    <w:p w14:paraId="035F8ED7">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说明：</w:t>
      </w:r>
    </w:p>
    <w:p w14:paraId="0289AEA9">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1.按上表计算的收费为代理服务全过程的收费金额。各社会代理机构不再收取采购文件制作售卖费用。</w:t>
      </w:r>
    </w:p>
    <w:p w14:paraId="2554E53F">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2.代理服务费按差额定率累进法计算。</w:t>
      </w:r>
    </w:p>
    <w:p w14:paraId="0BA78C0B">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3.代理服务费基准金额(按差额定率累进法计算的)=中标金额(按差额定率累进法计算的)*费率(%)</w:t>
      </w:r>
    </w:p>
    <w:p w14:paraId="218879E0">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4.代理服务费应收取金额=代理服务费基准金额(按差额定率累进法计算的)的合计数。</w:t>
      </w:r>
    </w:p>
    <w:p w14:paraId="34BF2BA3">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5.定点类等无金额或事先不能计算出价格总额的项目，按中标(成交)金额按100万元计算。</w:t>
      </w:r>
    </w:p>
    <w:p w14:paraId="5CE1505B">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6.有分包(分标段)的以一个项目计算。</w:t>
      </w:r>
    </w:p>
    <w:p w14:paraId="5D70AC39">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7.以上价格为协会指导价，双方可根据项目难易程度和优质优价原则协商确定。</w:t>
      </w:r>
    </w:p>
    <w:p w14:paraId="49E1E922">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8.账户信息：</w:t>
      </w:r>
    </w:p>
    <w:p w14:paraId="169A477B">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收款人：江苏中际招标代理有限公司 </w:t>
      </w:r>
    </w:p>
    <w:p w14:paraId="19E70CD8">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开户银行：徐州农村商业银行股份有限公司彭园支行 </w:t>
      </w:r>
    </w:p>
    <w:p w14:paraId="1958EE7C">
      <w:pPr>
        <w:widowControl/>
        <w:pBdr>
          <w:top w:val="none" w:color="000000" w:sz="0" w:space="0"/>
          <w:left w:val="none" w:color="000000" w:sz="0" w:space="0"/>
          <w:bottom w:val="none" w:color="000000" w:sz="0" w:space="0"/>
          <w:right w:val="none" w:color="000000" w:sz="0" w:space="0"/>
        </w:pBdr>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账号：3203020171010000003980</w:t>
      </w:r>
    </w:p>
    <w:p w14:paraId="73DF381C">
      <w:pPr>
        <w:widowControl/>
        <w:spacing w:line="44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行号：314303000180</w:t>
      </w:r>
    </w:p>
    <w:p w14:paraId="4C7D884D">
      <w:pPr>
        <w:widowControl/>
        <w:spacing w:line="440" w:lineRule="exact"/>
        <w:ind w:firstLine="562"/>
        <w:rPr>
          <w:rFonts w:hint="eastAsia" w:ascii="仿宋" w:hAnsi="仿宋" w:eastAsia="仿宋" w:cs="仿宋"/>
          <w:b/>
          <w:color w:val="000000"/>
          <w:sz w:val="28"/>
          <w:szCs w:val="28"/>
        </w:rPr>
      </w:pPr>
    </w:p>
    <w:p w14:paraId="73F04778">
      <w:pPr>
        <w:widowControl/>
        <w:numPr>
          <w:ilvl w:val="0"/>
          <w:numId w:val="1"/>
        </w:numPr>
        <w:spacing w:line="520" w:lineRule="exact"/>
        <w:ind w:firstLine="420"/>
        <w:jc w:val="center"/>
        <w:rPr>
          <w:rFonts w:hint="eastAsia" w:ascii="仿宋" w:hAnsi="仿宋" w:eastAsia="仿宋" w:cs="仿宋"/>
          <w:b/>
          <w:color w:val="000000"/>
          <w:sz w:val="32"/>
          <w:szCs w:val="28"/>
        </w:rPr>
      </w:pPr>
      <w:r>
        <w:rPr>
          <w:rFonts w:hint="eastAsia" w:ascii="仿宋" w:hAnsi="仿宋" w:eastAsia="仿宋" w:cs="仿宋"/>
          <w:color w:val="000000"/>
        </w:rPr>
        <w:br w:type="page" w:clear="all"/>
      </w:r>
      <w:bookmarkStart w:id="7" w:name="_Toc9429"/>
      <w:r>
        <w:rPr>
          <w:rStyle w:val="37"/>
          <w:rFonts w:hint="eastAsia" w:ascii="仿宋" w:hAnsi="仿宋" w:eastAsia="仿宋" w:cs="仿宋"/>
          <w:color w:val="000000"/>
        </w:rPr>
        <w:t xml:space="preserve"> 评标标准</w:t>
      </w:r>
      <w:bookmarkEnd w:id="6"/>
      <w:bookmarkEnd w:id="7"/>
    </w:p>
    <w:tbl>
      <w:tblPr>
        <w:tblStyle w:val="28"/>
        <w:tblpPr w:leftFromText="180" w:rightFromText="180" w:vertAnchor="text" w:horzAnchor="page" w:tblpX="706" w:tblpY="468"/>
        <w:tblW w:w="10550"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1347"/>
        <w:gridCol w:w="8315"/>
      </w:tblGrid>
      <w:tr w14:paraId="582BC2E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77" w:hRule="atLeast"/>
        </w:trPr>
        <w:tc>
          <w:tcPr>
            <w:tcW w:w="2235" w:type="dxa"/>
            <w:gridSpan w:val="2"/>
            <w:noWrap w:val="0"/>
            <w:vAlign w:val="center"/>
          </w:tcPr>
          <w:p w14:paraId="4C493A3B">
            <w:pPr>
              <w:widowControl/>
              <w:spacing w:line="40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评审因素</w:t>
            </w:r>
          </w:p>
        </w:tc>
        <w:tc>
          <w:tcPr>
            <w:tcW w:w="8315" w:type="dxa"/>
            <w:noWrap w:val="0"/>
            <w:vAlign w:val="center"/>
          </w:tcPr>
          <w:p w14:paraId="10D147AC">
            <w:pPr>
              <w:widowControl/>
              <w:spacing w:line="400" w:lineRule="exact"/>
              <w:ind w:firstLine="482"/>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评审因素细化和量化</w:t>
            </w:r>
          </w:p>
        </w:tc>
      </w:tr>
      <w:tr w14:paraId="1AFBED8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50" w:hRule="atLeast"/>
        </w:trPr>
        <w:tc>
          <w:tcPr>
            <w:tcW w:w="2235" w:type="dxa"/>
            <w:gridSpan w:val="2"/>
            <w:noWrap w:val="0"/>
            <w:vAlign w:val="center"/>
          </w:tcPr>
          <w:p w14:paraId="2372DA46">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价格</w:t>
            </w:r>
          </w:p>
          <w:p w14:paraId="0F6605B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分）</w:t>
            </w:r>
          </w:p>
        </w:tc>
        <w:tc>
          <w:tcPr>
            <w:tcW w:w="8315" w:type="dxa"/>
            <w:noWrap w:val="0"/>
            <w:vAlign w:val="center"/>
          </w:tcPr>
          <w:p w14:paraId="05CB8792">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采用低价优先法计算，即满足招标文件要求且投标人评审价格最低的投标报价为评标基准价，其价格得分为满分；</w:t>
            </w:r>
          </w:p>
          <w:p w14:paraId="51260E1E">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各投标人价格得分=评标基准价（投标人的最低评审价格）÷各投标人评审价格×</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w:t>
            </w:r>
          </w:p>
          <w:p w14:paraId="1DEFBB3F">
            <w:pPr>
              <w:spacing w:line="0" w:lineRule="atLeast"/>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得分四舍五入保留小数点后2位。</w:t>
            </w:r>
          </w:p>
        </w:tc>
      </w:tr>
      <w:tr w14:paraId="7332DFB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50" w:hRule="atLeast"/>
        </w:trPr>
        <w:tc>
          <w:tcPr>
            <w:tcW w:w="888" w:type="dxa"/>
            <w:noWrap w:val="0"/>
            <w:vAlign w:val="center"/>
          </w:tcPr>
          <w:p w14:paraId="4A6B1CC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商务部分（</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w:t>
            </w:r>
          </w:p>
        </w:tc>
        <w:tc>
          <w:tcPr>
            <w:tcW w:w="1347" w:type="dxa"/>
            <w:noWrap w:val="0"/>
            <w:vAlign w:val="center"/>
          </w:tcPr>
          <w:p w14:paraId="69D81CD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投标人</w:t>
            </w:r>
            <w:r>
              <w:rPr>
                <w:rFonts w:hint="eastAsia" w:ascii="仿宋" w:hAnsi="仿宋" w:eastAsia="仿宋" w:cs="仿宋"/>
                <w:color w:val="000000"/>
                <w:sz w:val="24"/>
                <w:szCs w:val="24"/>
                <w:highlight w:val="none"/>
              </w:rPr>
              <w:t>业绩</w:t>
            </w:r>
          </w:p>
          <w:p w14:paraId="14FD7442">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w:t>
            </w:r>
          </w:p>
        </w:tc>
        <w:tc>
          <w:tcPr>
            <w:tcW w:w="8315" w:type="dxa"/>
            <w:noWrap w:val="0"/>
            <w:vAlign w:val="center"/>
          </w:tcPr>
          <w:p w14:paraId="1165D123">
            <w:pPr>
              <w:spacing w:line="0" w:lineRule="atLeas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投标文件中提供投标人</w:t>
            </w:r>
            <w:r>
              <w:rPr>
                <w:rFonts w:hint="eastAsia" w:ascii="仿宋" w:hAnsi="仿宋" w:eastAsia="仿宋" w:cs="仿宋"/>
                <w:color w:val="000000"/>
                <w:sz w:val="24"/>
                <w:szCs w:val="24"/>
                <w:highlight w:val="none"/>
                <w:lang w:val="en-US" w:eastAsia="zh-CN"/>
              </w:rPr>
              <w:t>为卖方(乙方)，合同签订日期在2023年4月1日（含）之后，合同内容为本项目相同或类似业绩，每提供一个有效业绩的，得1分，本项最高得2分，未提供不得分。</w:t>
            </w:r>
          </w:p>
          <w:p w14:paraId="6807575D">
            <w:pPr>
              <w:spacing w:line="0" w:lineRule="atLeas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注：提供合同、具有甲方盖章的验收合格证明（竣工验收或项目完工证明），以上提供原件扫描件，业绩时间以合同签订时间为准，未提供或不符合不得分。</w:t>
            </w:r>
          </w:p>
        </w:tc>
      </w:tr>
      <w:tr w14:paraId="55154B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restart"/>
            <w:noWrap w:val="0"/>
            <w:vAlign w:val="center"/>
          </w:tcPr>
          <w:p w14:paraId="53083581">
            <w:pPr>
              <w:widowControl/>
              <w:spacing w:line="400" w:lineRule="exact"/>
              <w:jc w:val="center"/>
              <w:rPr>
                <w:rFonts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技术部分（68</w:t>
            </w:r>
          </w:p>
          <w:p w14:paraId="3CD8C6F1">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c>
          <w:tcPr>
            <w:tcW w:w="1347" w:type="dxa"/>
            <w:noWrap w:val="0"/>
            <w:vAlign w:val="center"/>
          </w:tcPr>
          <w:p w14:paraId="1977982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所投产品的技术参数（</w:t>
            </w: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分）</w:t>
            </w:r>
          </w:p>
        </w:tc>
        <w:tc>
          <w:tcPr>
            <w:tcW w:w="8315" w:type="dxa"/>
            <w:noWrap w:val="0"/>
            <w:vAlign w:val="center"/>
          </w:tcPr>
          <w:p w14:paraId="02F39264">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对投标文件中《所投产品的技术规格（技术性能）》进行评价。</w:t>
            </w:r>
          </w:p>
          <w:p w14:paraId="55656188">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完全符合招标文件第六章《采购需求》中“三、主要技术要求”响应指标满足要求的得基础分20分。</w:t>
            </w:r>
          </w:p>
          <w:p w14:paraId="6C2ADE66">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带“▲”号指标为重要响应指标，低于招标文件要求或负偏离的在基础分基础上每一项扣1分，其他一般响应指标低于招标文件要求或负偏离的在基础分基础上每一项扣0.5分，扣完为止。</w:t>
            </w:r>
          </w:p>
          <w:p w14:paraId="416E32B7">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经评审委员会认定高于招标文件要求或正偏离的在基础分基础上每一项加1分。</w:t>
            </w:r>
          </w:p>
          <w:p w14:paraId="62321A12">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本项最高得31分，最低得0分。</w:t>
            </w:r>
          </w:p>
          <w:p w14:paraId="6D8AA862">
            <w:pPr>
              <w:spacing w:line="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注：招标文件中要求提供佐证材料的，投标人须在投标文件中提供相应的佐证材料，否则不予认可。</w:t>
            </w:r>
          </w:p>
        </w:tc>
      </w:tr>
      <w:tr w14:paraId="1AD532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10CD958B">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1DBF7555">
            <w:pPr>
              <w:spacing w:line="0" w:lineRule="atLeast"/>
              <w:rPr>
                <w:rFonts w:hint="eastAsia" w:ascii="仿宋" w:hAnsi="仿宋" w:eastAsia="仿宋" w:cs="仿宋"/>
                <w:b/>
                <w:bCs/>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auto"/>
              </w:rPr>
              <w:t>系统集成方案</w:t>
            </w:r>
            <w:r>
              <w:rPr>
                <w:rFonts w:hint="eastAsia" w:ascii="仿宋" w:hAnsi="仿宋" w:eastAsia="仿宋" w:cs="仿宋"/>
                <w:i w:val="0"/>
                <w:iCs w:val="0"/>
                <w:caps w:val="0"/>
                <w:color w:val="000000"/>
                <w:spacing w:val="0"/>
                <w:sz w:val="24"/>
                <w:szCs w:val="24"/>
                <w:highlight w:val="none"/>
                <w:shd w:val="clear" w:color="auto" w:fill="auto"/>
                <w:lang w:eastAsia="zh-CN"/>
              </w:rPr>
              <w:t>（</w:t>
            </w:r>
            <w:r>
              <w:rPr>
                <w:rFonts w:hint="eastAsia" w:ascii="仿宋" w:hAnsi="仿宋" w:eastAsia="仿宋" w:cs="仿宋"/>
                <w:i w:val="0"/>
                <w:iCs w:val="0"/>
                <w:caps w:val="0"/>
                <w:color w:val="000000"/>
                <w:spacing w:val="0"/>
                <w:sz w:val="24"/>
                <w:szCs w:val="24"/>
                <w:highlight w:val="none"/>
                <w:shd w:val="clear" w:color="auto" w:fill="auto"/>
                <w:lang w:val="en-US" w:eastAsia="zh-CN"/>
              </w:rPr>
              <w:t>6</w:t>
            </w:r>
            <w:r>
              <w:rPr>
                <w:rFonts w:hint="eastAsia" w:ascii="仿宋" w:hAnsi="仿宋" w:eastAsia="仿宋" w:cs="仿宋"/>
                <w:i w:val="0"/>
                <w:iCs w:val="0"/>
                <w:caps w:val="0"/>
                <w:color w:val="000000"/>
                <w:spacing w:val="0"/>
                <w:sz w:val="24"/>
                <w:szCs w:val="24"/>
                <w:highlight w:val="none"/>
                <w:shd w:val="clear" w:color="auto" w:fill="auto"/>
              </w:rPr>
              <w:t>分</w:t>
            </w:r>
            <w:r>
              <w:rPr>
                <w:rFonts w:hint="eastAsia" w:ascii="仿宋" w:hAnsi="仿宋" w:eastAsia="仿宋" w:cs="仿宋"/>
                <w:i w:val="0"/>
                <w:iCs w:val="0"/>
                <w:caps w:val="0"/>
                <w:color w:val="000000"/>
                <w:spacing w:val="0"/>
                <w:sz w:val="24"/>
                <w:szCs w:val="24"/>
                <w:highlight w:val="none"/>
                <w:shd w:val="clear" w:color="auto" w:fill="auto"/>
                <w:lang w:eastAsia="zh-CN"/>
              </w:rPr>
              <w:t>）</w:t>
            </w:r>
          </w:p>
          <w:p w14:paraId="7D798E60">
            <w:pPr>
              <w:widowControl/>
              <w:spacing w:line="400" w:lineRule="exact"/>
              <w:jc w:val="center"/>
              <w:rPr>
                <w:rFonts w:hint="eastAsia" w:ascii="仿宋" w:hAnsi="仿宋" w:eastAsia="仿宋" w:cs="仿宋"/>
                <w:color w:val="000000"/>
                <w:sz w:val="24"/>
                <w:szCs w:val="24"/>
                <w:highlight w:val="none"/>
              </w:rPr>
            </w:pPr>
          </w:p>
        </w:tc>
        <w:tc>
          <w:tcPr>
            <w:tcW w:w="8315" w:type="dxa"/>
            <w:noWrap w:val="0"/>
            <w:vAlign w:val="center"/>
          </w:tcPr>
          <w:p w14:paraId="1D610A80">
            <w:pPr>
              <w:spacing w:line="0" w:lineRule="atLeast"/>
              <w:rPr>
                <w:rFonts w:hint="eastAsia" w:ascii="仿宋" w:hAnsi="仿宋" w:eastAsia="仿宋" w:cs="仿宋"/>
                <w:i w:val="0"/>
                <w:iCs w:val="0"/>
                <w:caps w:val="0"/>
                <w:color w:val="000000"/>
                <w:spacing w:val="0"/>
                <w:sz w:val="24"/>
                <w:szCs w:val="24"/>
                <w:highlight w:val="none"/>
                <w:shd w:val="clear" w:color="auto" w:fill="auto"/>
              </w:rPr>
            </w:pPr>
            <w:r>
              <w:rPr>
                <w:rFonts w:hint="eastAsia" w:ascii="仿宋" w:hAnsi="仿宋" w:eastAsia="仿宋" w:cs="仿宋"/>
                <w:i w:val="0"/>
                <w:iCs w:val="0"/>
                <w:caps w:val="0"/>
                <w:color w:val="000000"/>
                <w:spacing w:val="0"/>
                <w:sz w:val="24"/>
                <w:szCs w:val="24"/>
                <w:highlight w:val="none"/>
                <w:shd w:val="clear" w:color="auto" w:fill="auto"/>
              </w:rPr>
              <w:tab/>
            </w:r>
          </w:p>
          <w:p w14:paraId="6B76EB58">
            <w:pPr>
              <w:spacing w:line="0" w:lineRule="atLeast"/>
              <w:rPr>
                <w:rFonts w:hint="eastAsia" w:ascii="仿宋" w:hAnsi="仿宋" w:eastAsia="仿宋" w:cs="仿宋"/>
                <w:b/>
                <w:bCs/>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auto"/>
              </w:rPr>
              <w:t>方案要求对招标文件第六章《采购需求》“三、主要技术要求”下“★（二）系统集成及声学性能要求”第1款中的内容（共3项：系统连接拓扑图、信号流程图、兼容性说明）进行完善，详细描述且列出具体方案措施。上述内容齐全，符合实际切实可行且无缺陷（缺陷是指：部分内容与项目无关、逻辑错误、科学原理错误、表述错误、不符合本项目涉及的相关规范或标准要求的任意一种情形）得6分，每缺少一项内容扣2分（最多扣6分）；单项内容存在缺陷的，单项内容分得0分。未提供的得0分，本项最高得6分，最低得0分。</w:t>
            </w:r>
          </w:p>
        </w:tc>
      </w:tr>
      <w:tr w14:paraId="1CF562A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7E5EC6F1">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11012CDF">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供货保障方案</w:t>
            </w:r>
            <w:r>
              <w:rPr>
                <w:rFonts w:hint="eastAsia" w:ascii="仿宋" w:hAnsi="仿宋" w:eastAsia="仿宋" w:cs="仿宋"/>
                <w:i w:val="0"/>
                <w:iCs w:val="0"/>
                <w:caps w:val="0"/>
                <w:color w:val="000000"/>
                <w:spacing w:val="0"/>
                <w:sz w:val="24"/>
                <w:szCs w:val="24"/>
                <w:highlight w:val="none"/>
                <w:shd w:val="clear" w:color="auto" w:fill="auto"/>
                <w:lang w:eastAsia="zh-CN"/>
              </w:rPr>
              <w:t>（</w:t>
            </w:r>
            <w:r>
              <w:rPr>
                <w:rFonts w:hint="eastAsia" w:ascii="仿宋" w:hAnsi="仿宋" w:eastAsia="仿宋" w:cs="仿宋"/>
                <w:i w:val="0"/>
                <w:iCs w:val="0"/>
                <w:caps w:val="0"/>
                <w:color w:val="000000"/>
                <w:spacing w:val="0"/>
                <w:sz w:val="24"/>
                <w:szCs w:val="24"/>
                <w:highlight w:val="none"/>
                <w:shd w:val="clear" w:color="auto" w:fill="auto"/>
                <w:lang w:val="en-US" w:eastAsia="zh-CN"/>
              </w:rPr>
              <w:t>4</w:t>
            </w:r>
            <w:r>
              <w:rPr>
                <w:rFonts w:hint="eastAsia" w:ascii="仿宋" w:hAnsi="仿宋" w:eastAsia="仿宋" w:cs="仿宋"/>
                <w:i w:val="0"/>
                <w:iCs w:val="0"/>
                <w:caps w:val="0"/>
                <w:color w:val="000000"/>
                <w:spacing w:val="0"/>
                <w:sz w:val="24"/>
                <w:szCs w:val="24"/>
                <w:highlight w:val="none"/>
                <w:shd w:val="clear" w:color="auto" w:fill="auto"/>
              </w:rPr>
              <w:t>分</w:t>
            </w:r>
            <w:r>
              <w:rPr>
                <w:rFonts w:hint="eastAsia" w:ascii="仿宋" w:hAnsi="仿宋" w:eastAsia="仿宋" w:cs="仿宋"/>
                <w:i w:val="0"/>
                <w:iCs w:val="0"/>
                <w:caps w:val="0"/>
                <w:color w:val="000000"/>
                <w:spacing w:val="0"/>
                <w:sz w:val="24"/>
                <w:szCs w:val="24"/>
                <w:highlight w:val="none"/>
                <w:shd w:val="clear" w:color="auto" w:fill="auto"/>
                <w:lang w:eastAsia="zh-CN"/>
              </w:rPr>
              <w:t>）</w:t>
            </w:r>
          </w:p>
          <w:p w14:paraId="65A645EE">
            <w:pPr>
              <w:widowControl/>
              <w:spacing w:line="0" w:lineRule="atLeast"/>
              <w:jc w:val="left"/>
              <w:rPr>
                <w:rFonts w:hint="eastAsia" w:ascii="仿宋" w:hAnsi="仿宋" w:eastAsia="仿宋" w:cs="仿宋"/>
                <w:color w:val="000000"/>
                <w:sz w:val="24"/>
                <w:szCs w:val="24"/>
                <w:highlight w:val="none"/>
              </w:rPr>
            </w:pPr>
          </w:p>
        </w:tc>
        <w:tc>
          <w:tcPr>
            <w:tcW w:w="8315" w:type="dxa"/>
            <w:noWrap w:val="0"/>
            <w:vAlign w:val="center"/>
          </w:tcPr>
          <w:p w14:paraId="2452848D">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ab/>
            </w:r>
            <w:r>
              <w:rPr>
                <w:rFonts w:hint="eastAsia" w:ascii="仿宋" w:hAnsi="仿宋" w:eastAsia="仿宋" w:cs="仿宋"/>
                <w:b w:val="0"/>
                <w:bCs w:val="0"/>
                <w:color w:val="000000"/>
                <w:sz w:val="24"/>
                <w:szCs w:val="24"/>
                <w:highlight w:val="none"/>
              </w:rPr>
              <w:t>方案要求对招标文件第六章《采购需求》“五、商务（服务）要求”中“★（一）工期要求”的供货时间要求（共4项：设备清单明细、分批到货计划、运输方式及路线、运输过程防护措施）进行完善，详细描述且列出具体方案措施。上述内容齐全，符合实际切实可行且无缺陷（</w:t>
            </w:r>
            <w:r>
              <w:rPr>
                <w:rFonts w:hint="eastAsia" w:ascii="仿宋" w:hAnsi="仿宋" w:eastAsia="仿宋" w:cs="仿宋"/>
                <w:b w:val="0"/>
                <w:bCs w:val="0"/>
                <w:color w:val="000000"/>
                <w:sz w:val="24"/>
                <w:szCs w:val="24"/>
                <w:highlight w:val="none"/>
                <w:lang w:eastAsia="zh-CN"/>
              </w:rPr>
              <w:t>缺陷是指：部分内容与项目无关、逻辑错误、科学原理错误、表述错误、不符合本项目涉及的相关规范或标准要求的任意一种情形</w:t>
            </w:r>
            <w:r>
              <w:rPr>
                <w:rFonts w:hint="eastAsia" w:ascii="仿宋" w:hAnsi="仿宋" w:eastAsia="仿宋" w:cs="仿宋"/>
                <w:b w:val="0"/>
                <w:bCs w:val="0"/>
                <w:color w:val="000000"/>
                <w:sz w:val="24"/>
                <w:szCs w:val="24"/>
                <w:highlight w:val="none"/>
              </w:rPr>
              <w:t>）得4分，每缺少一项内容扣1分，扣完为止；单项内容存在缺陷的，单项内容分得0分。未提供的得0分，本项最高得4分，最低得0分。</w:t>
            </w:r>
          </w:p>
        </w:tc>
      </w:tr>
      <w:tr w14:paraId="426C71D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0DB3A1F0">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78CE707D">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安装调试方案</w:t>
            </w:r>
            <w:r>
              <w:rPr>
                <w:rFonts w:hint="eastAsia" w:ascii="仿宋" w:hAnsi="仿宋" w:eastAsia="仿宋" w:cs="仿宋"/>
                <w:b w:val="0"/>
                <w:bCs w:val="0"/>
                <w:color w:val="000000"/>
                <w:sz w:val="24"/>
                <w:szCs w:val="24"/>
                <w:highlight w:val="none"/>
              </w:rPr>
              <w:tab/>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6分</w:t>
            </w:r>
            <w:r>
              <w:rPr>
                <w:rFonts w:hint="eastAsia" w:ascii="仿宋" w:hAnsi="仿宋" w:eastAsia="仿宋" w:cs="仿宋"/>
                <w:b w:val="0"/>
                <w:bCs w:val="0"/>
                <w:color w:val="000000"/>
                <w:sz w:val="24"/>
                <w:szCs w:val="24"/>
                <w:highlight w:val="none"/>
                <w:lang w:eastAsia="zh-CN"/>
              </w:rPr>
              <w:t>）</w:t>
            </w:r>
          </w:p>
          <w:p w14:paraId="6F834EC0">
            <w:pPr>
              <w:widowControl/>
              <w:spacing w:line="0" w:lineRule="atLeast"/>
              <w:jc w:val="left"/>
              <w:rPr>
                <w:rFonts w:hint="eastAsia" w:ascii="仿宋" w:hAnsi="仿宋" w:eastAsia="仿宋" w:cs="仿宋"/>
                <w:color w:val="000000"/>
                <w:sz w:val="24"/>
                <w:szCs w:val="24"/>
                <w:highlight w:val="none"/>
              </w:rPr>
            </w:pPr>
          </w:p>
        </w:tc>
        <w:tc>
          <w:tcPr>
            <w:tcW w:w="8315" w:type="dxa"/>
            <w:noWrap w:val="0"/>
            <w:vAlign w:val="center"/>
          </w:tcPr>
          <w:p w14:paraId="4E532357">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方案要求对招标文件第六章《采购需求》的安装调试及验收时间要求以及“七、项目实施要求”（共4项：施工组织计划、人员安排、安全措施、阶段性验收节点）进行完善，详细描述且列出具体方案措施。上述内容齐全，符合实际切实可行且无缺陷（</w:t>
            </w:r>
            <w:r>
              <w:rPr>
                <w:rFonts w:hint="eastAsia" w:ascii="仿宋" w:hAnsi="仿宋" w:eastAsia="仿宋" w:cs="仿宋"/>
                <w:b w:val="0"/>
                <w:bCs w:val="0"/>
                <w:color w:val="000000"/>
                <w:sz w:val="24"/>
                <w:szCs w:val="24"/>
                <w:highlight w:val="none"/>
                <w:lang w:eastAsia="zh-CN"/>
              </w:rPr>
              <w:t>缺陷是指：部分内容与项目无关、逻辑错误、科学原理错误、表述错误、不符合本项目涉及的相关规范或标准要求的任意一种情形</w:t>
            </w:r>
            <w:r>
              <w:rPr>
                <w:rFonts w:hint="eastAsia" w:ascii="仿宋" w:hAnsi="仿宋" w:eastAsia="仿宋" w:cs="仿宋"/>
                <w:b w:val="0"/>
                <w:bCs w:val="0"/>
                <w:color w:val="000000"/>
                <w:sz w:val="24"/>
                <w:szCs w:val="24"/>
                <w:highlight w:val="none"/>
              </w:rPr>
              <w:t>）得6分，每缺少一项内容扣1.5分（最多扣6分）；单项内容存在缺陷的，单项内容分得0分。未提供的得0分，本项最高得6分，最低得0分。</w:t>
            </w:r>
          </w:p>
        </w:tc>
      </w:tr>
      <w:tr w14:paraId="002CD6B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11A04349">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0088BF82">
            <w:pPr>
              <w:spacing w:line="0" w:lineRule="atLeast"/>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培训方案</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5分</w:t>
            </w:r>
            <w:r>
              <w:rPr>
                <w:rFonts w:hint="eastAsia" w:ascii="仿宋" w:hAnsi="仿宋" w:eastAsia="仿宋" w:cs="仿宋"/>
                <w:b w:val="0"/>
                <w:bCs w:val="0"/>
                <w:color w:val="000000"/>
                <w:sz w:val="24"/>
                <w:szCs w:val="24"/>
                <w:highlight w:val="none"/>
                <w:lang w:eastAsia="zh-CN"/>
              </w:rPr>
              <w:t>）</w:t>
            </w:r>
          </w:p>
          <w:p w14:paraId="04CE3A7C">
            <w:pPr>
              <w:widowControl/>
              <w:spacing w:line="0" w:lineRule="atLeast"/>
              <w:jc w:val="left"/>
              <w:rPr>
                <w:rFonts w:hint="eastAsia" w:ascii="仿宋" w:hAnsi="仿宋" w:eastAsia="仿宋" w:cs="仿宋"/>
                <w:color w:val="000000"/>
                <w:sz w:val="24"/>
                <w:szCs w:val="24"/>
                <w:highlight w:val="none"/>
              </w:rPr>
            </w:pPr>
          </w:p>
        </w:tc>
        <w:tc>
          <w:tcPr>
            <w:tcW w:w="8315" w:type="dxa"/>
            <w:noWrap w:val="0"/>
            <w:vAlign w:val="center"/>
          </w:tcPr>
          <w:p w14:paraId="7C7A044A">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方案要求对招标文件第六章《采购需求》“五、商务（服务）要求”中“（二）质保期及服务要求”的“3.培训要求”（共4项：培训内容、培训计划安排、培训人员资质、培训教材）进行完善，详细描述且列出具体方案措施。上述内容齐全，符合实际切实可行且无缺陷（</w:t>
            </w:r>
            <w:r>
              <w:rPr>
                <w:rFonts w:hint="eastAsia" w:ascii="仿宋" w:hAnsi="仿宋" w:eastAsia="仿宋" w:cs="仿宋"/>
                <w:b w:val="0"/>
                <w:bCs w:val="0"/>
                <w:color w:val="000000"/>
                <w:sz w:val="24"/>
                <w:szCs w:val="24"/>
                <w:highlight w:val="none"/>
                <w:lang w:eastAsia="zh-CN"/>
              </w:rPr>
              <w:t>缺陷是指：部分内容与项目无关、逻辑错误、科学原理错误、表述错误、不符合本项目涉及的相关规范或标准要求的任意一种情形</w:t>
            </w:r>
            <w:r>
              <w:rPr>
                <w:rFonts w:hint="eastAsia" w:ascii="仿宋" w:hAnsi="仿宋" w:eastAsia="仿宋" w:cs="仿宋"/>
                <w:b w:val="0"/>
                <w:bCs w:val="0"/>
                <w:color w:val="000000"/>
                <w:sz w:val="24"/>
                <w:szCs w:val="24"/>
                <w:highlight w:val="none"/>
              </w:rPr>
              <w:t>）得5分，每缺少一项内容扣1.5分（最多扣5分）；单项内容存在缺陷的，单项内容分得0分。未提供的得0分，本项最高得5分，最低得0分。</w:t>
            </w:r>
          </w:p>
        </w:tc>
      </w:tr>
      <w:tr w14:paraId="63C9228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4F640DBB">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2B6C72D8">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售后服务方案</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分</w:t>
            </w:r>
            <w:r>
              <w:rPr>
                <w:rFonts w:hint="eastAsia" w:ascii="仿宋" w:hAnsi="仿宋" w:eastAsia="仿宋" w:cs="仿宋"/>
                <w:b w:val="0"/>
                <w:bCs w:val="0"/>
                <w:color w:val="000000"/>
                <w:sz w:val="24"/>
                <w:szCs w:val="24"/>
                <w:highlight w:val="none"/>
              </w:rPr>
              <w:tab/>
            </w:r>
          </w:p>
          <w:p w14:paraId="6EA33FCF">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w:t>
            </w:r>
          </w:p>
          <w:p w14:paraId="56AE8931">
            <w:pPr>
              <w:widowControl/>
              <w:spacing w:line="0" w:lineRule="atLeast"/>
              <w:jc w:val="left"/>
              <w:rPr>
                <w:rFonts w:hint="eastAsia" w:ascii="仿宋" w:hAnsi="仿宋" w:eastAsia="仿宋" w:cs="仿宋"/>
                <w:color w:val="000000"/>
                <w:sz w:val="24"/>
                <w:szCs w:val="24"/>
                <w:highlight w:val="none"/>
              </w:rPr>
            </w:pPr>
          </w:p>
        </w:tc>
        <w:tc>
          <w:tcPr>
            <w:tcW w:w="8315" w:type="dxa"/>
            <w:noWrap w:val="0"/>
            <w:vAlign w:val="center"/>
          </w:tcPr>
          <w:p w14:paraId="1281BE7C">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方案要求对招标文件第六章《采购需求》“五、商务（服务）要求”中“（二）质保期及服务要求”的“1.质保要求”（共</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项：4小时响应、24小时到场、12小时/24小时修复承诺、每年5次大型活动保障）进行完善，详细描述且列出具体方案措施。上述内容齐全，符合实际切实可行且无缺陷（</w:t>
            </w:r>
            <w:r>
              <w:rPr>
                <w:rFonts w:hint="eastAsia" w:ascii="仿宋" w:hAnsi="仿宋" w:eastAsia="仿宋" w:cs="仿宋"/>
                <w:b w:val="0"/>
                <w:bCs w:val="0"/>
                <w:color w:val="000000"/>
                <w:sz w:val="24"/>
                <w:szCs w:val="24"/>
                <w:highlight w:val="none"/>
                <w:lang w:eastAsia="zh-CN"/>
              </w:rPr>
              <w:t>缺陷是指：部分内容与项目无关、逻辑错误、科学原理错误、表述错误、不符合本项目涉及的相关规范或标准要求的任意一种情形</w:t>
            </w:r>
            <w:r>
              <w:rPr>
                <w:rFonts w:hint="eastAsia" w:ascii="仿宋" w:hAnsi="仿宋" w:eastAsia="仿宋" w:cs="仿宋"/>
                <w:b w:val="0"/>
                <w:bCs w:val="0"/>
                <w:color w:val="000000"/>
                <w:sz w:val="24"/>
                <w:szCs w:val="24"/>
                <w:highlight w:val="none"/>
              </w:rPr>
              <w:t>）得</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分，每缺少一项内容扣1分，扣完为止；单项内容存在缺陷的，单项内容分得0分。未提供的得0分，本项最高得</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分，最低得0分。</w:t>
            </w:r>
          </w:p>
        </w:tc>
      </w:tr>
      <w:tr w14:paraId="4D64231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275B9E3B">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111C845E">
            <w:pPr>
              <w:spacing w:line="0" w:lineRule="atLeast"/>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设计深化能力</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4分</w:t>
            </w:r>
            <w:r>
              <w:rPr>
                <w:rFonts w:hint="eastAsia" w:ascii="仿宋" w:hAnsi="仿宋" w:eastAsia="仿宋" w:cs="仿宋"/>
                <w:b w:val="0"/>
                <w:bCs w:val="0"/>
                <w:color w:val="000000"/>
                <w:sz w:val="24"/>
                <w:szCs w:val="24"/>
                <w:highlight w:val="none"/>
                <w:lang w:eastAsia="zh-CN"/>
              </w:rPr>
              <w:t>）</w:t>
            </w:r>
          </w:p>
          <w:p w14:paraId="574C2432">
            <w:pPr>
              <w:widowControl/>
              <w:spacing w:line="0" w:lineRule="atLeast"/>
              <w:jc w:val="left"/>
              <w:rPr>
                <w:rFonts w:hint="eastAsia" w:ascii="仿宋" w:hAnsi="仿宋" w:eastAsia="仿宋" w:cs="仿宋"/>
                <w:color w:val="000000"/>
                <w:sz w:val="24"/>
                <w:szCs w:val="24"/>
                <w:highlight w:val="none"/>
              </w:rPr>
            </w:pPr>
          </w:p>
        </w:tc>
        <w:tc>
          <w:tcPr>
            <w:tcW w:w="8315" w:type="dxa"/>
            <w:noWrap w:val="0"/>
            <w:vAlign w:val="center"/>
          </w:tcPr>
          <w:p w14:paraId="0EB1FBC5">
            <w:pPr>
              <w:spacing w:line="0" w:lineRule="atLeas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方案要求对招标文件第六章《采购需求》“五、商务（服务）要求”中“（二）质保期及服务要求”的“1.2”款（共1项：深化后图纸经总设计单位认可的承诺与计划）进行完善，详细描述且列出具体方案措施。上述内容齐全，符合实际切实可行且无缺陷（</w:t>
            </w:r>
            <w:r>
              <w:rPr>
                <w:rFonts w:hint="eastAsia" w:ascii="仿宋" w:hAnsi="仿宋" w:eastAsia="仿宋" w:cs="仿宋"/>
                <w:b w:val="0"/>
                <w:bCs w:val="0"/>
                <w:color w:val="000000"/>
                <w:sz w:val="24"/>
                <w:szCs w:val="24"/>
                <w:highlight w:val="none"/>
                <w:lang w:eastAsia="zh-CN"/>
              </w:rPr>
              <w:t>缺陷是指：部分内容与项目无关、逻辑错误、科学原理错误、表述错误、不符合本项目涉及的相关规范或标准要求的任意一种情形</w:t>
            </w:r>
            <w:r>
              <w:rPr>
                <w:rFonts w:hint="eastAsia" w:ascii="仿宋" w:hAnsi="仿宋" w:eastAsia="仿宋" w:cs="仿宋"/>
                <w:b w:val="0"/>
                <w:bCs w:val="0"/>
                <w:color w:val="000000"/>
                <w:sz w:val="24"/>
                <w:szCs w:val="24"/>
                <w:highlight w:val="none"/>
              </w:rPr>
              <w:t>）得</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分；未提供或存在缺陷的得0分。本项最高得</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分，最低得0分。</w:t>
            </w:r>
          </w:p>
        </w:tc>
      </w:tr>
      <w:tr w14:paraId="1F51606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3277312A">
            <w:pPr>
              <w:widowControl/>
              <w:spacing w:line="400" w:lineRule="exact"/>
              <w:jc w:val="center"/>
              <w:rPr>
                <w:rFonts w:ascii="仿宋" w:hAnsi="仿宋" w:eastAsia="仿宋" w:cs="仿宋"/>
                <w:color w:val="000000"/>
                <w:sz w:val="24"/>
                <w:szCs w:val="24"/>
                <w:highlight w:val="none"/>
                <w:lang w:val="en-US" w:eastAsia="zh-CN"/>
              </w:rPr>
            </w:pPr>
          </w:p>
        </w:tc>
        <w:tc>
          <w:tcPr>
            <w:tcW w:w="1347" w:type="dxa"/>
            <w:noWrap w:val="0"/>
            <w:vAlign w:val="center"/>
          </w:tcPr>
          <w:p w14:paraId="273579A3">
            <w:pPr>
              <w:keepNext w:val="0"/>
              <w:keepLines w:val="0"/>
              <w:widowControl/>
              <w:suppressLineNumbers w:val="0"/>
              <w:spacing w:line="0" w:lineRule="atLeast"/>
              <w:jc w:val="left"/>
              <w:rPr>
                <w:rFonts w:hint="eastAsia" w:ascii="仿宋" w:hAnsi="仿宋" w:eastAsia="仿宋" w:cs="仿宋"/>
                <w:color w:val="000000"/>
                <w:sz w:val="24"/>
                <w:szCs w:val="24"/>
                <w:highlight w:val="none"/>
              </w:rPr>
            </w:pPr>
            <w:r>
              <w:rPr>
                <w:rFonts w:hint="eastAsia" w:ascii="仿宋" w:hAnsi="仿宋" w:eastAsia="仿宋" w:cs="仿宋"/>
                <w:b w:val="0"/>
                <w:bCs w:val="0"/>
                <w:i w:val="0"/>
                <w:iCs w:val="0"/>
                <w:caps w:val="0"/>
                <w:color w:val="000000"/>
                <w:spacing w:val="0"/>
                <w:sz w:val="24"/>
                <w:szCs w:val="24"/>
                <w:highlight w:val="none"/>
                <w:lang w:val="en-US" w:eastAsia="zh-CN" w:bidi="ar"/>
              </w:rPr>
              <w:t>项目实施方案（4分）</w:t>
            </w:r>
          </w:p>
        </w:tc>
        <w:tc>
          <w:tcPr>
            <w:tcW w:w="8315" w:type="dxa"/>
            <w:noWrap w:val="0"/>
            <w:vAlign w:val="center"/>
          </w:tcPr>
          <w:p w14:paraId="0BCE2CC4">
            <w:pPr>
              <w:keepNext w:val="0"/>
              <w:keepLines w:val="0"/>
              <w:widowControl/>
              <w:suppressLineNumbers w:val="0"/>
              <w:spacing w:line="0" w:lineRule="atLeast"/>
              <w:jc w:val="left"/>
              <w:rPr>
                <w:rFonts w:hint="eastAsia" w:ascii="仿宋" w:hAnsi="仿宋" w:eastAsia="仿宋" w:cs="仿宋"/>
                <w:b w:val="0"/>
                <w:bCs w:val="0"/>
                <w:color w:val="000000"/>
                <w:sz w:val="24"/>
                <w:szCs w:val="24"/>
                <w:highlight w:val="none"/>
              </w:rPr>
            </w:pPr>
            <w:r>
              <w:rPr>
                <w:rFonts w:hint="eastAsia" w:ascii="仿宋" w:hAnsi="仿宋" w:eastAsia="仿宋" w:cs="仿宋"/>
                <w:i w:val="0"/>
                <w:iCs w:val="0"/>
                <w:caps w:val="0"/>
                <w:color w:val="000000"/>
                <w:spacing w:val="0"/>
                <w:sz w:val="24"/>
                <w:szCs w:val="24"/>
                <w:highlight w:val="none"/>
                <w:lang w:val="en-US" w:eastAsia="zh-CN" w:bidi="ar"/>
              </w:rPr>
              <w:t>方案要求对招标文件第六章《采购需求》“七、项目实施要求”中（共1项：项目实施前报送详细的实施方案并经采购人审批）进行完善，详细描述且列出具体方案措施。上述内容齐全，符合实际切实可行且无缺陷（缺陷是指：部分内容与项目无关、逻辑错误、科学原理错误、表述错误、不符合本项目涉及的相关规范或标准要求的任意一种情形）得4分；未提供或存在缺陷的得0分。本项最高得4分，最低得0分。</w:t>
            </w:r>
          </w:p>
        </w:tc>
      </w:tr>
      <w:tr w14:paraId="7BA9FCA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continue"/>
            <w:noWrap w:val="0"/>
            <w:vAlign w:val="center"/>
          </w:tcPr>
          <w:p w14:paraId="249766B1">
            <w:pPr>
              <w:widowControl/>
              <w:spacing w:line="400" w:lineRule="exact"/>
              <w:jc w:val="center"/>
              <w:rPr>
                <w:rFonts w:hint="eastAsia" w:ascii="仿宋" w:hAnsi="仿宋" w:eastAsia="仿宋" w:cs="仿宋"/>
                <w:color w:val="000000"/>
                <w:sz w:val="24"/>
                <w:szCs w:val="24"/>
                <w:highlight w:val="none"/>
                <w:lang w:val="en-US" w:eastAsia="zh-CN"/>
              </w:rPr>
            </w:pPr>
          </w:p>
        </w:tc>
        <w:tc>
          <w:tcPr>
            <w:tcW w:w="1347" w:type="dxa"/>
            <w:noWrap w:val="0"/>
            <w:vAlign w:val="center"/>
          </w:tcPr>
          <w:p w14:paraId="6CDD666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both"/>
              <w:rPr>
                <w:rFonts w:hint="eastAsia" w:ascii="仿宋" w:hAnsi="仿宋" w:eastAsia="仿宋" w:cs="仿宋"/>
                <w:b w:val="0"/>
                <w:bCs w:val="0"/>
                <w:i w:val="0"/>
                <w:iCs w:val="0"/>
                <w:caps w:val="0"/>
                <w:color w:val="000000"/>
                <w:spacing w:val="0"/>
                <w:sz w:val="24"/>
                <w:szCs w:val="24"/>
                <w:highlight w:val="none"/>
                <w:lang w:val="en-US" w:eastAsia="zh-CN" w:bidi="ar-SA"/>
              </w:rPr>
            </w:pPr>
            <w:r>
              <w:rPr>
                <w:rFonts w:hint="eastAsia" w:ascii="仿宋" w:hAnsi="仿宋" w:eastAsia="仿宋" w:cs="仿宋"/>
                <w:color w:val="000000"/>
                <w:sz w:val="24"/>
                <w:szCs w:val="24"/>
                <w:highlight w:val="none"/>
                <w:lang w:bidi="ar-SA"/>
              </w:rPr>
              <w:t>质保期（</w:t>
            </w:r>
            <w:r>
              <w:rPr>
                <w:rFonts w:hint="eastAsia" w:ascii="仿宋" w:hAnsi="仿宋" w:eastAsia="仿宋" w:cs="仿宋"/>
                <w:color w:val="000000"/>
                <w:sz w:val="24"/>
                <w:szCs w:val="24"/>
                <w:highlight w:val="none"/>
                <w:lang w:val="en-US" w:eastAsia="zh-CN" w:bidi="ar-SA"/>
              </w:rPr>
              <w:t>4</w:t>
            </w:r>
            <w:r>
              <w:rPr>
                <w:rFonts w:hint="eastAsia" w:ascii="仿宋" w:hAnsi="仿宋" w:eastAsia="仿宋" w:cs="仿宋"/>
                <w:color w:val="000000"/>
                <w:sz w:val="24"/>
                <w:szCs w:val="24"/>
                <w:highlight w:val="none"/>
                <w:lang w:bidi="ar-SA"/>
              </w:rPr>
              <w:t>分）</w:t>
            </w:r>
          </w:p>
        </w:tc>
        <w:tc>
          <w:tcPr>
            <w:tcW w:w="8315" w:type="dxa"/>
            <w:noWrap w:val="0"/>
            <w:vAlign w:val="center"/>
          </w:tcPr>
          <w:p w14:paraId="3D8E27CE">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rFonts w:hint="eastAsia" w:ascii="仿宋" w:hAnsi="仿宋" w:eastAsia="仿宋" w:cs="仿宋"/>
                <w:i w:val="0"/>
                <w:iCs w:val="0"/>
                <w:caps w:val="0"/>
                <w:color w:val="000000"/>
                <w:spacing w:val="0"/>
                <w:sz w:val="24"/>
                <w:szCs w:val="24"/>
                <w:highlight w:val="none"/>
                <w:shd w:val="clear" w:color="auto" w:fill="auto"/>
                <w:lang w:bidi="ar-SA"/>
              </w:rPr>
            </w:pPr>
            <w:r>
              <w:rPr>
                <w:rFonts w:hint="eastAsia" w:ascii="仿宋" w:hAnsi="仿宋" w:eastAsia="仿宋" w:cs="仿宋"/>
                <w:i w:val="0"/>
                <w:iCs w:val="0"/>
                <w:caps w:val="0"/>
                <w:color w:val="000000"/>
                <w:spacing w:val="0"/>
                <w:sz w:val="24"/>
                <w:szCs w:val="24"/>
                <w:highlight w:val="none"/>
                <w:shd w:val="clear" w:color="auto" w:fill="auto"/>
                <w:lang w:val="en-US" w:eastAsia="zh-CN" w:bidi="ar-SA"/>
              </w:rPr>
              <w:t>提供</w:t>
            </w:r>
            <w:r>
              <w:rPr>
                <w:rFonts w:hint="eastAsia" w:ascii="仿宋" w:hAnsi="仿宋" w:eastAsia="仿宋" w:cs="仿宋"/>
                <w:i w:val="0"/>
                <w:iCs w:val="0"/>
                <w:caps w:val="0"/>
                <w:color w:val="000000"/>
                <w:spacing w:val="0"/>
                <w:sz w:val="24"/>
                <w:szCs w:val="24"/>
                <w:highlight w:val="none"/>
                <w:shd w:val="clear" w:color="auto" w:fill="auto"/>
                <w:lang w:bidi="ar-SA"/>
              </w:rPr>
              <w:t>不低于5年</w:t>
            </w:r>
            <w:r>
              <w:rPr>
                <w:rFonts w:hint="eastAsia" w:ascii="仿宋" w:hAnsi="仿宋" w:eastAsia="仿宋" w:cs="仿宋"/>
                <w:i w:val="0"/>
                <w:iCs w:val="0"/>
                <w:caps w:val="0"/>
                <w:color w:val="000000"/>
                <w:spacing w:val="0"/>
                <w:sz w:val="24"/>
                <w:szCs w:val="24"/>
                <w:highlight w:val="none"/>
                <w:shd w:val="clear" w:color="auto" w:fill="auto"/>
                <w:lang w:val="en-US" w:eastAsia="zh-CN" w:bidi="ar-SA"/>
              </w:rPr>
              <w:t>整体</w:t>
            </w:r>
            <w:r>
              <w:rPr>
                <w:rFonts w:hint="eastAsia" w:ascii="仿宋" w:hAnsi="仿宋" w:eastAsia="仿宋" w:cs="仿宋"/>
                <w:i w:val="0"/>
                <w:iCs w:val="0"/>
                <w:caps w:val="0"/>
                <w:color w:val="000000"/>
                <w:spacing w:val="0"/>
                <w:sz w:val="24"/>
                <w:szCs w:val="24"/>
                <w:highlight w:val="none"/>
                <w:shd w:val="clear" w:color="auto" w:fill="auto"/>
                <w:lang w:bidi="ar-SA"/>
              </w:rPr>
              <w:t>免费质保</w:t>
            </w:r>
            <w:r>
              <w:rPr>
                <w:rFonts w:hint="eastAsia" w:ascii="仿宋" w:hAnsi="仿宋" w:eastAsia="仿宋" w:cs="仿宋"/>
                <w:i w:val="0"/>
                <w:iCs w:val="0"/>
                <w:caps w:val="0"/>
                <w:color w:val="000000"/>
                <w:spacing w:val="0"/>
                <w:sz w:val="24"/>
                <w:szCs w:val="24"/>
                <w:highlight w:val="none"/>
                <w:shd w:val="clear" w:color="auto" w:fill="auto"/>
                <w:lang w:val="en-US" w:eastAsia="zh-CN" w:bidi="ar-SA"/>
              </w:rPr>
              <w:t>的</w:t>
            </w:r>
            <w:r>
              <w:rPr>
                <w:rFonts w:hint="eastAsia" w:ascii="仿宋" w:hAnsi="仿宋" w:eastAsia="仿宋" w:cs="仿宋"/>
                <w:i w:val="0"/>
                <w:iCs w:val="0"/>
                <w:caps w:val="0"/>
                <w:color w:val="000000"/>
                <w:spacing w:val="0"/>
                <w:sz w:val="24"/>
                <w:szCs w:val="24"/>
                <w:highlight w:val="none"/>
                <w:shd w:val="clear" w:color="auto" w:fill="auto"/>
                <w:lang w:bidi="ar-SA"/>
              </w:rPr>
              <w:t>得3分；</w:t>
            </w:r>
            <w:r>
              <w:rPr>
                <w:rFonts w:hint="eastAsia" w:ascii="仿宋" w:hAnsi="仿宋" w:eastAsia="仿宋" w:cs="仿宋"/>
                <w:i w:val="0"/>
                <w:iCs w:val="0"/>
                <w:caps w:val="0"/>
                <w:color w:val="000000"/>
                <w:spacing w:val="0"/>
                <w:sz w:val="24"/>
                <w:szCs w:val="24"/>
                <w:highlight w:val="none"/>
                <w:shd w:val="clear" w:color="auto" w:fill="auto"/>
                <w:lang w:val="en-US" w:eastAsia="zh-CN" w:bidi="ar-SA"/>
              </w:rPr>
              <w:t>在5年整体</w:t>
            </w:r>
            <w:r>
              <w:rPr>
                <w:rFonts w:hint="eastAsia" w:ascii="仿宋" w:hAnsi="仿宋" w:eastAsia="仿宋" w:cs="仿宋"/>
                <w:i w:val="0"/>
                <w:iCs w:val="0"/>
                <w:caps w:val="0"/>
                <w:color w:val="000000"/>
                <w:spacing w:val="0"/>
                <w:sz w:val="24"/>
                <w:szCs w:val="24"/>
                <w:highlight w:val="none"/>
                <w:shd w:val="clear" w:color="auto" w:fill="auto"/>
                <w:lang w:bidi="ar-SA"/>
              </w:rPr>
              <w:t>免费质保</w:t>
            </w:r>
            <w:r>
              <w:rPr>
                <w:rFonts w:hint="eastAsia" w:ascii="仿宋" w:hAnsi="仿宋" w:eastAsia="仿宋" w:cs="仿宋"/>
                <w:i w:val="0"/>
                <w:iCs w:val="0"/>
                <w:caps w:val="0"/>
                <w:color w:val="000000"/>
                <w:spacing w:val="0"/>
                <w:sz w:val="24"/>
                <w:szCs w:val="24"/>
                <w:highlight w:val="none"/>
                <w:shd w:val="clear" w:color="auto" w:fill="auto"/>
                <w:lang w:val="en-US" w:eastAsia="zh-CN" w:bidi="ar-SA"/>
              </w:rPr>
              <w:t>的基础上</w:t>
            </w:r>
            <w:r>
              <w:rPr>
                <w:rFonts w:hint="eastAsia" w:ascii="仿宋" w:hAnsi="仿宋" w:eastAsia="仿宋" w:cs="仿宋"/>
                <w:i w:val="0"/>
                <w:iCs w:val="0"/>
                <w:caps w:val="0"/>
                <w:color w:val="000000"/>
                <w:spacing w:val="0"/>
                <w:sz w:val="24"/>
                <w:szCs w:val="24"/>
                <w:highlight w:val="none"/>
                <w:shd w:val="clear" w:color="auto" w:fill="auto"/>
                <w:lang w:bidi="ar-SA"/>
              </w:rPr>
              <w:t>每增加1年加1分</w:t>
            </w:r>
            <w:r>
              <w:rPr>
                <w:rFonts w:hint="eastAsia" w:ascii="仿宋" w:hAnsi="仿宋" w:eastAsia="仿宋" w:cs="仿宋"/>
                <w:color w:val="000000"/>
                <w:sz w:val="24"/>
                <w:szCs w:val="24"/>
                <w:highlight w:val="none"/>
                <w:lang w:bidi="ar-SA"/>
              </w:rPr>
              <w:t>（不足一年不得分）</w:t>
            </w:r>
            <w:r>
              <w:rPr>
                <w:rFonts w:hint="eastAsia" w:ascii="仿宋" w:hAnsi="仿宋" w:eastAsia="仿宋" w:cs="仿宋"/>
                <w:i w:val="0"/>
                <w:iCs w:val="0"/>
                <w:caps w:val="0"/>
                <w:color w:val="000000"/>
                <w:spacing w:val="0"/>
                <w:sz w:val="24"/>
                <w:szCs w:val="24"/>
                <w:highlight w:val="none"/>
                <w:shd w:val="clear" w:color="auto" w:fill="auto"/>
                <w:lang w:bidi="ar-SA"/>
              </w:rPr>
              <w:t>，最高加</w:t>
            </w:r>
            <w:r>
              <w:rPr>
                <w:rFonts w:hint="eastAsia" w:ascii="仿宋" w:hAnsi="仿宋" w:eastAsia="仿宋" w:cs="仿宋"/>
                <w:i w:val="0"/>
                <w:iCs w:val="0"/>
                <w:caps w:val="0"/>
                <w:color w:val="000000"/>
                <w:spacing w:val="0"/>
                <w:sz w:val="24"/>
                <w:szCs w:val="24"/>
                <w:highlight w:val="none"/>
                <w:shd w:val="clear" w:color="auto" w:fill="auto"/>
                <w:lang w:val="en-US" w:eastAsia="zh-CN" w:bidi="ar-SA"/>
              </w:rPr>
              <w:t>1</w:t>
            </w:r>
            <w:r>
              <w:rPr>
                <w:rFonts w:hint="eastAsia" w:ascii="仿宋" w:hAnsi="仿宋" w:eastAsia="仿宋" w:cs="仿宋"/>
                <w:i w:val="0"/>
                <w:iCs w:val="0"/>
                <w:caps w:val="0"/>
                <w:color w:val="000000"/>
                <w:spacing w:val="0"/>
                <w:sz w:val="24"/>
                <w:szCs w:val="24"/>
                <w:highlight w:val="none"/>
                <w:shd w:val="clear" w:color="auto" w:fill="auto"/>
                <w:lang w:bidi="ar-SA"/>
              </w:rPr>
              <w:t>分。</w:t>
            </w:r>
          </w:p>
          <w:p w14:paraId="755F6DB6">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both"/>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shd w:val="clear" w:color="auto" w:fill="auto"/>
                <w:lang w:bidi="ar-SA"/>
              </w:rPr>
              <w:t>本项最高得</w:t>
            </w:r>
            <w:r>
              <w:rPr>
                <w:rFonts w:hint="eastAsia" w:ascii="仿宋" w:hAnsi="仿宋" w:eastAsia="仿宋" w:cs="仿宋"/>
                <w:i w:val="0"/>
                <w:iCs w:val="0"/>
                <w:caps w:val="0"/>
                <w:color w:val="000000"/>
                <w:spacing w:val="0"/>
                <w:sz w:val="24"/>
                <w:szCs w:val="24"/>
                <w:highlight w:val="none"/>
                <w:shd w:val="clear" w:color="auto" w:fill="auto"/>
                <w:lang w:val="en-US" w:eastAsia="zh-CN" w:bidi="ar-SA"/>
              </w:rPr>
              <w:t>4</w:t>
            </w:r>
            <w:r>
              <w:rPr>
                <w:rFonts w:hint="eastAsia" w:ascii="仿宋" w:hAnsi="仿宋" w:eastAsia="仿宋" w:cs="仿宋"/>
                <w:i w:val="0"/>
                <w:iCs w:val="0"/>
                <w:caps w:val="0"/>
                <w:color w:val="000000"/>
                <w:spacing w:val="0"/>
                <w:sz w:val="24"/>
                <w:szCs w:val="24"/>
                <w:highlight w:val="none"/>
                <w:shd w:val="clear" w:color="auto" w:fill="auto"/>
                <w:lang w:bidi="ar-SA"/>
              </w:rPr>
              <w:t>分，最低得0分。</w:t>
            </w:r>
          </w:p>
        </w:tc>
      </w:tr>
    </w:tbl>
    <w:p w14:paraId="0EC08935">
      <w:pPr>
        <w:widowControl/>
        <w:numPr>
          <w:ilvl w:val="0"/>
          <w:numId w:val="0"/>
        </w:numPr>
        <w:spacing w:line="520" w:lineRule="exact"/>
        <w:jc w:val="center"/>
        <w:rPr>
          <w:rStyle w:val="37"/>
          <w:rFonts w:hint="eastAsia" w:ascii="仿宋" w:hAnsi="仿宋" w:eastAsia="仿宋" w:cs="仿宋"/>
          <w:color w:val="000000"/>
        </w:rPr>
      </w:pPr>
    </w:p>
    <w:p w14:paraId="29DD07E5">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本章说明：本项目采用综合评分法。</w:t>
      </w:r>
    </w:p>
    <w:p w14:paraId="46A22A29">
      <w:pPr>
        <w:pStyle w:val="38"/>
        <w:rPr>
          <w:rFonts w:hint="eastAsia" w:ascii="仿宋" w:hAnsi="仿宋" w:eastAsia="仿宋" w:cs="仿宋"/>
          <w:color w:val="000000"/>
        </w:rPr>
      </w:pPr>
      <w:bookmarkStart w:id="8" w:name="_Toc522790134"/>
      <w:r>
        <w:rPr>
          <w:rFonts w:hint="eastAsia" w:ascii="仿宋" w:hAnsi="仿宋" w:eastAsia="仿宋" w:cs="仿宋"/>
          <w:color w:val="000000"/>
        </w:rPr>
        <w:br w:type="page" w:clear="all"/>
      </w:r>
      <w:bookmarkStart w:id="9" w:name="_Toc14780"/>
      <w:r>
        <w:rPr>
          <w:rFonts w:hint="eastAsia" w:ascii="仿宋" w:hAnsi="仿宋" w:eastAsia="仿宋" w:cs="仿宋"/>
          <w:color w:val="000000"/>
        </w:rPr>
        <w:t>第五章  拟签订的合同文本</w:t>
      </w:r>
      <w:bookmarkEnd w:id="8"/>
      <w:bookmarkEnd w:id="9"/>
    </w:p>
    <w:p w14:paraId="1FEAEA2D">
      <w:pPr>
        <w:pStyle w:val="62"/>
        <w:rPr>
          <w:rFonts w:hint="eastAsia" w:ascii="仿宋" w:hAnsi="仿宋" w:eastAsia="仿宋" w:cs="仿宋"/>
          <w:color w:val="000000"/>
          <w:sz w:val="28"/>
          <w:szCs w:val="28"/>
          <w:highlight w:val="none"/>
          <w:lang w:val="en-US" w:eastAsia="zh-CN"/>
        </w:rPr>
      </w:pPr>
      <w:bookmarkStart w:id="10" w:name="_Toc522790135"/>
      <w:bookmarkStart w:id="11" w:name="_Toc12097"/>
      <w:r>
        <w:rPr>
          <w:rFonts w:hint="eastAsia" w:ascii="仿宋" w:hAnsi="仿宋" w:eastAsia="仿宋" w:cs="仿宋"/>
          <w:color w:val="000000"/>
          <w:sz w:val="28"/>
          <w:szCs w:val="28"/>
          <w:highlight w:val="none"/>
        </w:rPr>
        <w:t>项目名称：</w:t>
      </w:r>
      <w:r>
        <w:rPr>
          <w:rFonts w:hint="eastAsia" w:ascii="仿宋" w:hAnsi="仿宋" w:eastAsia="仿宋" w:cs="仿宋"/>
          <w:i w:val="0"/>
          <w:iCs w:val="0"/>
          <w:caps w:val="0"/>
          <w:color w:val="000000"/>
          <w:spacing w:val="0"/>
          <w:sz w:val="28"/>
          <w:szCs w:val="28"/>
          <w:highlight w:val="none"/>
          <w:shd w:val="clear" w:color="auto" w:fill="auto"/>
          <w:lang w:eastAsia="zh-CN"/>
        </w:rPr>
        <w:t>徐州生物工程职业技术学院大学生活动中心舞美设备采购与安装</w:t>
      </w:r>
    </w:p>
    <w:p w14:paraId="7ACAFB99">
      <w:pPr>
        <w:pStyle w:val="6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w:t>
      </w:r>
    </w:p>
    <w:p w14:paraId="10E0530C">
      <w:pPr>
        <w:pStyle w:val="62"/>
        <w:jc w:val="center"/>
        <w:rPr>
          <w:rFonts w:hint="eastAsia" w:ascii="仿宋" w:hAnsi="仿宋" w:eastAsia="仿宋" w:cs="仿宋"/>
          <w:color w:val="000000"/>
          <w:sz w:val="72"/>
          <w:szCs w:val="72"/>
          <w:highlight w:val="none"/>
        </w:rPr>
      </w:pPr>
      <w:r>
        <w:rPr>
          <w:rFonts w:hint="eastAsia" w:ascii="仿宋" w:hAnsi="仿宋" w:eastAsia="仿宋" w:cs="仿宋"/>
          <w:color w:val="000000"/>
          <w:sz w:val="72"/>
          <w:szCs w:val="72"/>
          <w:highlight w:val="none"/>
        </w:rPr>
        <w:t>合</w:t>
      </w:r>
    </w:p>
    <w:p w14:paraId="58CEEC1B">
      <w:pPr>
        <w:pStyle w:val="62"/>
        <w:jc w:val="center"/>
        <w:rPr>
          <w:rFonts w:hint="eastAsia" w:ascii="仿宋" w:hAnsi="仿宋" w:eastAsia="仿宋" w:cs="仿宋"/>
          <w:color w:val="000000"/>
          <w:sz w:val="72"/>
          <w:szCs w:val="72"/>
          <w:highlight w:val="none"/>
        </w:rPr>
      </w:pPr>
    </w:p>
    <w:p w14:paraId="14B0D6BF">
      <w:pPr>
        <w:pStyle w:val="62"/>
        <w:jc w:val="center"/>
        <w:rPr>
          <w:rFonts w:hint="eastAsia" w:ascii="仿宋" w:hAnsi="仿宋" w:eastAsia="仿宋" w:cs="仿宋"/>
          <w:color w:val="000000"/>
          <w:sz w:val="72"/>
          <w:szCs w:val="72"/>
          <w:highlight w:val="none"/>
        </w:rPr>
      </w:pPr>
    </w:p>
    <w:p w14:paraId="60F91CB1">
      <w:pPr>
        <w:pStyle w:val="62"/>
        <w:jc w:val="center"/>
        <w:rPr>
          <w:rFonts w:hint="eastAsia" w:ascii="仿宋" w:hAnsi="仿宋" w:eastAsia="仿宋" w:cs="仿宋"/>
          <w:color w:val="000000"/>
          <w:sz w:val="72"/>
          <w:szCs w:val="72"/>
          <w:highlight w:val="none"/>
        </w:rPr>
      </w:pPr>
    </w:p>
    <w:p w14:paraId="3BC3BE0C">
      <w:pPr>
        <w:pStyle w:val="62"/>
        <w:jc w:val="center"/>
        <w:rPr>
          <w:rFonts w:hint="eastAsia" w:ascii="仿宋" w:hAnsi="仿宋" w:eastAsia="仿宋" w:cs="仿宋"/>
          <w:color w:val="000000"/>
          <w:sz w:val="72"/>
          <w:szCs w:val="72"/>
          <w:highlight w:val="none"/>
        </w:rPr>
      </w:pPr>
      <w:r>
        <w:rPr>
          <w:rFonts w:hint="eastAsia" w:ascii="仿宋" w:hAnsi="仿宋" w:eastAsia="仿宋" w:cs="仿宋"/>
          <w:color w:val="000000"/>
          <w:sz w:val="72"/>
          <w:szCs w:val="72"/>
          <w:highlight w:val="none"/>
        </w:rPr>
        <w:t>同</w:t>
      </w:r>
    </w:p>
    <w:p w14:paraId="1EB43C07">
      <w:pPr>
        <w:pStyle w:val="62"/>
        <w:rPr>
          <w:rFonts w:hint="eastAsia" w:ascii="仿宋" w:hAnsi="仿宋" w:eastAsia="仿宋" w:cs="仿宋"/>
          <w:color w:val="000000"/>
          <w:highlight w:val="none"/>
        </w:rPr>
      </w:pPr>
    </w:p>
    <w:p w14:paraId="6ECEA671">
      <w:pPr>
        <w:pStyle w:val="62"/>
        <w:rPr>
          <w:rFonts w:hint="eastAsia" w:ascii="仿宋" w:hAnsi="仿宋" w:eastAsia="仿宋" w:cs="仿宋"/>
          <w:color w:val="000000"/>
          <w:highlight w:val="none"/>
        </w:rPr>
      </w:pPr>
    </w:p>
    <w:p w14:paraId="5ECACFDF">
      <w:pPr>
        <w:pStyle w:val="62"/>
        <w:rPr>
          <w:rFonts w:hint="eastAsia" w:ascii="仿宋" w:hAnsi="仿宋" w:eastAsia="仿宋" w:cs="仿宋"/>
          <w:color w:val="000000"/>
          <w:highlight w:val="none"/>
        </w:rPr>
      </w:pPr>
    </w:p>
    <w:p w14:paraId="7121D46C">
      <w:pPr>
        <w:pStyle w:val="62"/>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  购  人：</w:t>
      </w:r>
    </w:p>
    <w:p w14:paraId="6463FC0C">
      <w:pPr>
        <w:pStyle w:val="62"/>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中标人</w:t>
      </w:r>
      <w:r>
        <w:rPr>
          <w:rFonts w:hint="eastAsia" w:ascii="仿宋" w:hAnsi="仿宋" w:eastAsia="仿宋" w:cs="仿宋"/>
          <w:color w:val="000000"/>
          <w:sz w:val="28"/>
          <w:szCs w:val="28"/>
          <w:highlight w:val="none"/>
        </w:rPr>
        <w:t>：</w:t>
      </w:r>
    </w:p>
    <w:p w14:paraId="38462F33">
      <w:pPr>
        <w:pStyle w:val="62"/>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合同签订日期： 年 月 日</w:t>
      </w:r>
    </w:p>
    <w:p w14:paraId="4118D353">
      <w:pPr>
        <w:spacing w:line="36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友情提醒：采购人与中标、</w:t>
      </w:r>
      <w:r>
        <w:rPr>
          <w:rFonts w:hint="eastAsia" w:ascii="仿宋" w:hAnsi="仿宋" w:eastAsia="仿宋" w:cs="仿宋"/>
          <w:color w:val="000000"/>
          <w:sz w:val="28"/>
          <w:szCs w:val="28"/>
          <w:highlight w:val="none"/>
          <w:lang w:eastAsia="zh-CN"/>
        </w:rPr>
        <w:t>中标人</w:t>
      </w:r>
      <w:r>
        <w:rPr>
          <w:rFonts w:hint="eastAsia" w:ascii="仿宋" w:hAnsi="仿宋" w:eastAsia="仿宋" w:cs="仿宋"/>
          <w:color w:val="000000"/>
          <w:sz w:val="28"/>
          <w:szCs w:val="28"/>
          <w:highlight w:val="none"/>
        </w:rPr>
        <w:t>应当在中标、成交通知书发出之日起三十日内，按照采购文件确定的事项签订政府采购合同。</w:t>
      </w:r>
    </w:p>
    <w:p w14:paraId="508804E5">
      <w:pPr>
        <w:spacing w:line="36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采购人应当自政府采购合同签订之日起2个工作日内，将政府采购合同在省级以上人民政府财政部门指定的媒体上公告，但政府采购合同中涉及国家秘密、商业秘密的内容除外。</w:t>
      </w:r>
    </w:p>
    <w:p w14:paraId="756D51AA">
      <w:pPr>
        <w:widowControl/>
        <w:spacing w:line="360" w:lineRule="exact"/>
        <w:ind w:firstLine="480"/>
        <w:rPr>
          <w:rFonts w:hint="eastAsia" w:ascii="仿宋" w:hAnsi="仿宋" w:eastAsia="仿宋" w:cs="仿宋"/>
          <w:color w:val="000000"/>
          <w:sz w:val="24"/>
          <w:highlight w:val="none"/>
        </w:rPr>
      </w:pPr>
    </w:p>
    <w:p w14:paraId="7FD3D7E1">
      <w:pPr>
        <w:spacing w:line="360" w:lineRule="exact"/>
        <w:jc w:val="left"/>
        <w:rPr>
          <w:rFonts w:hint="eastAsia" w:ascii="仿宋" w:hAnsi="仿宋" w:eastAsia="仿宋" w:cs="仿宋"/>
          <w:color w:val="000000"/>
          <w:sz w:val="30"/>
          <w:szCs w:val="30"/>
          <w:highlight w:val="none"/>
        </w:rPr>
      </w:pPr>
    </w:p>
    <w:p w14:paraId="26A7123D">
      <w:pPr>
        <w:pStyle w:val="257"/>
        <w:tabs>
          <w:tab w:val="left" w:pos="1440"/>
          <w:tab w:val="right" w:leader="dot" w:pos="8296"/>
        </w:tabs>
        <w:ind w:firstLine="600"/>
        <w:jc w:val="center"/>
        <w:rPr>
          <w:rFonts w:hint="eastAsia" w:ascii="仿宋" w:hAnsi="仿宋" w:eastAsia="仿宋" w:cs="仿宋"/>
          <w:color w:val="000000"/>
          <w:sz w:val="24"/>
          <w:szCs w:val="24"/>
          <w:highlight w:val="none"/>
        </w:rPr>
      </w:pPr>
      <w:r>
        <w:rPr>
          <w:rFonts w:hint="eastAsia" w:ascii="仿宋" w:hAnsi="仿宋" w:eastAsia="仿宋" w:cs="仿宋"/>
          <w:color w:val="000000"/>
          <w:highlight w:val="none"/>
        </w:rPr>
        <w:br w:type="page" w:clear="all"/>
      </w:r>
      <w:r>
        <w:rPr>
          <w:rFonts w:hint="eastAsia" w:ascii="仿宋" w:hAnsi="仿宋" w:eastAsia="仿宋" w:cs="仿宋"/>
          <w:b/>
          <w:bCs/>
          <w:color w:val="000000"/>
          <w:sz w:val="28"/>
          <w:szCs w:val="28"/>
          <w:highlight w:val="none"/>
        </w:rPr>
        <w:t>第一节 政府采购合同协议书</w:t>
      </w:r>
    </w:p>
    <w:p w14:paraId="48719F16">
      <w:pPr>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甲方（全称）：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徐州生物工程职业技术学院 </w:t>
      </w:r>
    </w:p>
    <w:p w14:paraId="6EDF4855">
      <w:pPr>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乙方（全称）：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w:t>
      </w:r>
    </w:p>
    <w:p w14:paraId="363E5B9F">
      <w:pPr>
        <w:pStyle w:val="291"/>
        <w:spacing w:after="0" w:line="520" w:lineRule="exact"/>
        <w:ind w:left="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832A9CA">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项目信息</w:t>
      </w:r>
    </w:p>
    <w:p w14:paraId="6BF33C7D">
      <w:pPr>
        <w:pStyle w:val="291"/>
        <w:numPr>
          <w:ilvl w:val="0"/>
          <w:numId w:val="3"/>
        </w:numPr>
        <w:spacing w:after="0" w:line="520" w:lineRule="exact"/>
        <w:ind w:left="0"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采购项目名称：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7D704D95">
      <w:pPr>
        <w:pStyle w:val="291"/>
        <w:tabs>
          <w:tab w:val="left" w:pos="999"/>
        </w:tabs>
        <w:spacing w:after="0" w:line="520" w:lineRule="exact"/>
        <w:ind w:left="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采购项目编号：</w:t>
      </w:r>
      <w:r>
        <w:rPr>
          <w:rFonts w:hint="eastAsia" w:ascii="仿宋" w:hAnsi="仿宋" w:eastAsia="仿宋" w:cs="仿宋"/>
          <w:color w:val="000000"/>
          <w:sz w:val="24"/>
          <w:szCs w:val="24"/>
          <w:highlight w:val="none"/>
          <w:u w:val="single"/>
        </w:rPr>
        <w:t xml:space="preserve">                                          </w:t>
      </w:r>
    </w:p>
    <w:p w14:paraId="2D8DB791">
      <w:pPr>
        <w:pStyle w:val="291"/>
        <w:spacing w:after="0" w:line="520" w:lineRule="exact"/>
        <w:ind w:left="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（2）采购计划编号：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1B9F8596">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（3）项目内容：</w:t>
      </w:r>
    </w:p>
    <w:p w14:paraId="6C5CBEB8">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采购标的及数量（台/套</w:t>
      </w:r>
      <w:r>
        <w:rPr>
          <w:rFonts w:hint="eastAsia" w:ascii="仿宋" w:hAnsi="仿宋" w:eastAsia="仿宋" w:cs="仿宋"/>
          <w:color w:val="000000"/>
          <w:sz w:val="24"/>
          <w:szCs w:val="24"/>
          <w:highlight w:val="none"/>
          <w:lang w:val="en"/>
        </w:rPr>
        <w:t>/个/架/组等</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1F73A0DA">
      <w:pPr>
        <w:spacing w:line="520" w:lineRule="exact"/>
        <w:ind w:firstLine="560"/>
        <w:rPr>
          <w:rFonts w:hint="eastAsia" w:ascii="仿宋" w:hAnsi="仿宋" w:eastAsia="仿宋" w:cs="仿宋"/>
          <w:color w:val="000000"/>
          <w:sz w:val="24"/>
          <w:szCs w:val="24"/>
          <w:highlight w:val="none"/>
          <w:lang w:val="en"/>
        </w:rPr>
      </w:pPr>
      <w:r>
        <w:rPr>
          <w:rFonts w:hint="eastAsia" w:ascii="仿宋" w:hAnsi="仿宋" w:eastAsia="仿宋" w:cs="仿宋"/>
          <w:color w:val="000000"/>
          <w:sz w:val="24"/>
          <w:szCs w:val="24"/>
          <w:highlight w:val="none"/>
        </w:rPr>
        <w:t xml:space="preserve">     品牌：</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
        </w:rPr>
        <w:t xml:space="preserve">     </w:t>
      </w:r>
      <w:r>
        <w:rPr>
          <w:rFonts w:hint="eastAsia" w:ascii="仿宋" w:hAnsi="仿宋" w:eastAsia="仿宋" w:cs="仿宋"/>
          <w:color w:val="000000"/>
          <w:sz w:val="24"/>
          <w:szCs w:val="24"/>
          <w:highlight w:val="none"/>
        </w:rPr>
        <w:t>规格型号：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2E79E8AD">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采购标的的技术要求、商务要求具体见附件。</w:t>
      </w:r>
    </w:p>
    <w:p w14:paraId="26EE9B7D">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4</w:t>
      </w:r>
      <w:r>
        <w:rPr>
          <w:rFonts w:hint="eastAsia" w:ascii="仿宋" w:hAnsi="仿宋" w:eastAsia="仿宋" w:cs="仿宋"/>
          <w:color w:val="000000"/>
          <w:sz w:val="24"/>
          <w:szCs w:val="24"/>
          <w:highlight w:val="none"/>
        </w:rPr>
        <w:t xml:space="preserve">）政府采购组织形式：□政府集中采购  □部门集中采购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分散采购</w:t>
      </w:r>
    </w:p>
    <w:p w14:paraId="3D4D17C8">
      <w:pPr>
        <w:pStyle w:val="292"/>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5</w:t>
      </w:r>
      <w:r>
        <w:rPr>
          <w:rFonts w:hint="eastAsia" w:ascii="仿宋" w:hAnsi="仿宋" w:eastAsia="仿宋" w:cs="仿宋"/>
          <w:color w:val="000000"/>
          <w:sz w:val="24"/>
          <w:szCs w:val="24"/>
          <w:highlight w:val="none"/>
        </w:rPr>
        <w:t>）政府采购方式：</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公开招标 □邀请招标 □竞争性谈判 □竞争性磋商□询价 □单一来源 □框架协议 □其他：</w:t>
      </w:r>
      <w:r>
        <w:rPr>
          <w:rFonts w:hint="eastAsia" w:ascii="仿宋" w:hAnsi="仿宋" w:eastAsia="仿宋" w:cs="仿宋"/>
          <w:color w:val="000000"/>
          <w:sz w:val="24"/>
          <w:szCs w:val="24"/>
          <w:highlight w:val="none"/>
          <w:u w:val="single"/>
        </w:rPr>
        <w:t xml:space="preserve">          </w:t>
      </w:r>
    </w:p>
    <w:p w14:paraId="716D442A">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（注：在框架协议采购的第二阶段，可选择使用该合同文本）</w:t>
      </w:r>
    </w:p>
    <w:p w14:paraId="794FA8A8">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6</w:t>
      </w:r>
      <w:r>
        <w:rPr>
          <w:rFonts w:hint="eastAsia" w:ascii="仿宋" w:hAnsi="仿宋" w:eastAsia="仿宋" w:cs="仿宋"/>
          <w:color w:val="000000"/>
          <w:sz w:val="24"/>
          <w:szCs w:val="24"/>
          <w:highlight w:val="none"/>
        </w:rPr>
        <w:t>）中标（成交）采购标的制造商是否为中小企业：□是      □否</w:t>
      </w:r>
    </w:p>
    <w:p w14:paraId="6FE73F89">
      <w:pPr>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color w:val="000000"/>
          <w:sz w:val="24"/>
          <w:szCs w:val="24"/>
          <w:highlight w:val="none"/>
        </w:rPr>
        <w:t>本合同是否为专门面向中小企业的采购合同（中小企业预留合同）：</w:t>
      </w:r>
      <w:r>
        <w:rPr>
          <w:rFonts w:hint="eastAsia" w:ascii="仿宋" w:hAnsi="仿宋" w:eastAsia="仿宋" w:cs="仿宋"/>
          <w:iCs/>
          <w:color w:val="000000"/>
          <w:sz w:val="24"/>
          <w:szCs w:val="24"/>
          <w:highlight w:val="none"/>
        </w:rPr>
        <w:t xml:space="preserve">□是    </w:t>
      </w:r>
      <w:r>
        <w:rPr>
          <w:rFonts w:hint="eastAsia" w:ascii="仿宋" w:hAnsi="仿宋" w:eastAsia="仿宋" w:cs="仿宋"/>
          <w:iCs/>
          <w:color w:val="000000"/>
          <w:sz w:val="24"/>
          <w:szCs w:val="24"/>
          <w:highlight w:val="none"/>
          <w:lang w:eastAsia="zh-CN"/>
        </w:rPr>
        <w:t>☑</w:t>
      </w:r>
      <w:r>
        <w:rPr>
          <w:rFonts w:hint="eastAsia" w:ascii="仿宋" w:hAnsi="仿宋" w:eastAsia="仿宋" w:cs="仿宋"/>
          <w:iCs/>
          <w:color w:val="000000"/>
          <w:sz w:val="24"/>
          <w:szCs w:val="24"/>
          <w:highlight w:val="none"/>
        </w:rPr>
        <w:t>否</w:t>
      </w:r>
    </w:p>
    <w:p w14:paraId="5446175D">
      <w:pPr>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color w:val="000000"/>
          <w:sz w:val="24"/>
          <w:szCs w:val="24"/>
          <w:highlight w:val="none"/>
        </w:rPr>
        <w:t>若本项目不专门面向中小企业采购，是否给予小微企业评审优惠：</w:t>
      </w:r>
      <w:r>
        <w:rPr>
          <w:rFonts w:hint="eastAsia" w:ascii="仿宋" w:hAnsi="仿宋" w:eastAsia="仿宋" w:cs="仿宋"/>
          <w:iCs/>
          <w:color w:val="000000"/>
          <w:sz w:val="24"/>
          <w:szCs w:val="24"/>
          <w:highlight w:val="none"/>
        </w:rPr>
        <w:t>□是   □否</w:t>
      </w:r>
    </w:p>
    <w:p w14:paraId="604AED8F">
      <w:pPr>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color w:val="000000"/>
          <w:sz w:val="24"/>
          <w:szCs w:val="24"/>
          <w:highlight w:val="none"/>
        </w:rPr>
        <w:t>中标（成交）采购标的制造商是否为残疾人福利性单位：</w:t>
      </w:r>
      <w:r>
        <w:rPr>
          <w:rFonts w:hint="eastAsia" w:ascii="仿宋" w:hAnsi="仿宋" w:eastAsia="仿宋" w:cs="仿宋"/>
          <w:iCs/>
          <w:color w:val="000000"/>
          <w:sz w:val="24"/>
          <w:szCs w:val="24"/>
          <w:highlight w:val="none"/>
        </w:rPr>
        <w:t>□是   □否</w:t>
      </w:r>
    </w:p>
    <w:p w14:paraId="444ACF33">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中标（成交）采购标的制造商是否为监狱企业：</w:t>
      </w:r>
      <w:r>
        <w:rPr>
          <w:rFonts w:hint="eastAsia" w:ascii="仿宋" w:hAnsi="仿宋" w:eastAsia="仿宋" w:cs="仿宋"/>
          <w:iCs/>
          <w:color w:val="000000"/>
          <w:sz w:val="24"/>
          <w:szCs w:val="24"/>
          <w:highlight w:val="none"/>
        </w:rPr>
        <w:t>□是       □否</w:t>
      </w:r>
    </w:p>
    <w:p w14:paraId="26FA2E94">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7</w:t>
      </w:r>
      <w:r>
        <w:rPr>
          <w:rFonts w:hint="eastAsia" w:ascii="仿宋" w:hAnsi="仿宋" w:eastAsia="仿宋" w:cs="仿宋"/>
          <w:color w:val="000000"/>
          <w:sz w:val="24"/>
          <w:szCs w:val="24"/>
          <w:highlight w:val="none"/>
        </w:rPr>
        <w:t>）合同是否分包：</w:t>
      </w:r>
      <w:r>
        <w:rPr>
          <w:rFonts w:hint="eastAsia" w:ascii="仿宋" w:hAnsi="仿宋" w:eastAsia="仿宋" w:cs="仿宋"/>
          <w:iCs/>
          <w:color w:val="000000"/>
          <w:sz w:val="24"/>
          <w:szCs w:val="24"/>
          <w:highlight w:val="none"/>
        </w:rPr>
        <w:t xml:space="preserve">□是       </w:t>
      </w:r>
      <w:r>
        <w:rPr>
          <w:rFonts w:hint="eastAsia" w:ascii="仿宋" w:hAnsi="仿宋" w:eastAsia="仿宋" w:cs="仿宋"/>
          <w:iCs/>
          <w:color w:val="000000"/>
          <w:sz w:val="24"/>
          <w:szCs w:val="24"/>
          <w:highlight w:val="none"/>
          <w:lang w:eastAsia="zh-CN"/>
        </w:rPr>
        <w:t>☑</w:t>
      </w:r>
      <w:r>
        <w:rPr>
          <w:rFonts w:hint="eastAsia" w:ascii="仿宋" w:hAnsi="仿宋" w:eastAsia="仿宋" w:cs="仿宋"/>
          <w:iCs/>
          <w:color w:val="000000"/>
          <w:sz w:val="24"/>
          <w:szCs w:val="24"/>
          <w:highlight w:val="none"/>
        </w:rPr>
        <w:t>否</w:t>
      </w:r>
    </w:p>
    <w:p w14:paraId="556A71BE">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分包主要内容：</w:t>
      </w:r>
      <w:r>
        <w:rPr>
          <w:rFonts w:hint="eastAsia" w:ascii="仿宋" w:hAnsi="仿宋" w:eastAsia="仿宋" w:cs="仿宋"/>
          <w:color w:val="000000"/>
          <w:sz w:val="24"/>
          <w:szCs w:val="24"/>
          <w:highlight w:val="none"/>
          <w:u w:val="single"/>
        </w:rPr>
        <w:t xml:space="preserve">                                            </w:t>
      </w:r>
    </w:p>
    <w:p w14:paraId="5C1AA254">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分包供应商/制造商名称（如供应商和制造商不同，请分别填写）：</w:t>
      </w:r>
      <w:r>
        <w:rPr>
          <w:rFonts w:hint="eastAsia" w:ascii="仿宋" w:hAnsi="仿宋" w:eastAsia="仿宋" w:cs="仿宋"/>
          <w:color w:val="000000"/>
          <w:sz w:val="24"/>
          <w:szCs w:val="24"/>
          <w:highlight w:val="none"/>
          <w:u w:val="single"/>
        </w:rPr>
        <w:t xml:space="preserve">                                                          </w:t>
      </w:r>
    </w:p>
    <w:p w14:paraId="479A60B8">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分包供应商/制造商类型（如果供应商和制造商不同，只填写制造商类型）：</w:t>
      </w:r>
      <w:r>
        <w:rPr>
          <w:rFonts w:hint="eastAsia" w:ascii="仿宋" w:hAnsi="仿宋" w:eastAsia="仿宋" w:cs="仿宋"/>
          <w:iCs/>
          <w:color w:val="000000"/>
          <w:sz w:val="24"/>
          <w:szCs w:val="24"/>
          <w:highlight w:val="none"/>
        </w:rPr>
        <w:t>□大型企业  □中型企业  □小微型企业  □残疾人福利性单位 □监狱企业 □其他</w:t>
      </w:r>
    </w:p>
    <w:p w14:paraId="017F2666">
      <w:pPr>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8</w:t>
      </w:r>
      <w:r>
        <w:rPr>
          <w:rFonts w:hint="eastAsia" w:ascii="仿宋" w:hAnsi="仿宋" w:eastAsia="仿宋" w:cs="仿宋"/>
          <w:color w:val="000000"/>
          <w:sz w:val="24"/>
          <w:szCs w:val="24"/>
          <w:highlight w:val="none"/>
        </w:rPr>
        <w:t>）中标（成交）供应商是否为外商投资企业：</w:t>
      </w:r>
      <w:r>
        <w:rPr>
          <w:rFonts w:hint="eastAsia" w:ascii="仿宋" w:hAnsi="仿宋" w:eastAsia="仿宋" w:cs="仿宋"/>
          <w:iCs/>
          <w:color w:val="000000"/>
          <w:sz w:val="24"/>
          <w:szCs w:val="24"/>
          <w:highlight w:val="none"/>
        </w:rPr>
        <w:t xml:space="preserve">□是       </w:t>
      </w:r>
      <w:r>
        <w:rPr>
          <w:rFonts w:hint="eastAsia" w:ascii="仿宋" w:hAnsi="仿宋" w:eastAsia="仿宋" w:cs="仿宋"/>
          <w:iCs/>
          <w:color w:val="000000"/>
          <w:sz w:val="24"/>
          <w:szCs w:val="24"/>
          <w:highlight w:val="none"/>
          <w:lang w:eastAsia="zh-CN"/>
        </w:rPr>
        <w:t>□</w:t>
      </w:r>
      <w:r>
        <w:rPr>
          <w:rFonts w:hint="eastAsia" w:ascii="仿宋" w:hAnsi="仿宋" w:eastAsia="仿宋" w:cs="仿宋"/>
          <w:iCs/>
          <w:color w:val="000000"/>
          <w:sz w:val="24"/>
          <w:szCs w:val="24"/>
          <w:highlight w:val="none"/>
        </w:rPr>
        <w:t>否</w:t>
      </w:r>
    </w:p>
    <w:p w14:paraId="6EA012CC">
      <w:pPr>
        <w:pStyle w:val="292"/>
        <w:tabs>
          <w:tab w:val="left" w:pos="1340"/>
        </w:tabs>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外商投资企业类型：</w:t>
      </w:r>
      <w:r>
        <w:rPr>
          <w:rFonts w:hint="eastAsia" w:ascii="仿宋" w:hAnsi="仿宋" w:eastAsia="仿宋" w:cs="仿宋"/>
          <w:iCs/>
          <w:color w:val="000000"/>
          <w:sz w:val="24"/>
          <w:szCs w:val="24"/>
          <w:highlight w:val="none"/>
        </w:rPr>
        <w:t>□</w:t>
      </w:r>
      <w:r>
        <w:rPr>
          <w:rFonts w:hint="eastAsia" w:ascii="仿宋" w:hAnsi="仿宋" w:eastAsia="仿宋" w:cs="仿宋"/>
          <w:color w:val="000000"/>
          <w:sz w:val="24"/>
          <w:szCs w:val="24"/>
          <w:highlight w:val="none"/>
        </w:rPr>
        <w:t xml:space="preserve">全部由外国投资者投资  </w:t>
      </w:r>
      <w:r>
        <w:rPr>
          <w:rFonts w:hint="eastAsia" w:ascii="仿宋" w:hAnsi="仿宋" w:eastAsia="仿宋" w:cs="仿宋"/>
          <w:iCs/>
          <w:color w:val="000000"/>
          <w:sz w:val="24"/>
          <w:szCs w:val="24"/>
          <w:highlight w:val="none"/>
        </w:rPr>
        <w:t>□部分由外国投资者投资</w:t>
      </w:r>
    </w:p>
    <w:p w14:paraId="48F4FF39">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
        </w:rPr>
        <w:t>9</w:t>
      </w:r>
      <w:r>
        <w:rPr>
          <w:rFonts w:hint="eastAsia" w:ascii="仿宋" w:hAnsi="仿宋" w:eastAsia="仿宋" w:cs="仿宋"/>
          <w:color w:val="000000"/>
          <w:sz w:val="24"/>
          <w:szCs w:val="24"/>
          <w:highlight w:val="none"/>
        </w:rPr>
        <w:t>）是否涉及进口产品：</w:t>
      </w:r>
    </w:p>
    <w:p w14:paraId="1EAB0191">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□是，《政府采购品目分类目录》底级品目名称：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金额：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国别：</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品牌：</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规格型号：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BFF65A7">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□否</w:t>
      </w:r>
    </w:p>
    <w:p w14:paraId="0BF890F4">
      <w:pPr>
        <w:tabs>
          <w:tab w:val="left" w:pos="740"/>
        </w:tabs>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
        </w:rPr>
        <w:t>0</w:t>
      </w:r>
      <w:r>
        <w:rPr>
          <w:rFonts w:hint="eastAsia" w:ascii="仿宋" w:hAnsi="仿宋" w:eastAsia="仿宋" w:cs="仿宋"/>
          <w:color w:val="000000"/>
          <w:sz w:val="24"/>
          <w:szCs w:val="24"/>
          <w:highlight w:val="none"/>
        </w:rPr>
        <w:t>）是否涉及节能产品：</w:t>
      </w:r>
    </w:p>
    <w:p w14:paraId="07613A08">
      <w:pPr>
        <w:tabs>
          <w:tab w:val="left" w:pos="740"/>
        </w:tabs>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color w:val="000000"/>
          <w:sz w:val="24"/>
          <w:szCs w:val="24"/>
          <w:highlight w:val="none"/>
        </w:rPr>
        <w:t>□是，《节能产品政府采购品目清单》的底级品目名称：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iCs/>
          <w:color w:val="000000"/>
          <w:sz w:val="24"/>
          <w:szCs w:val="24"/>
          <w:highlight w:val="none"/>
        </w:rPr>
        <w:t xml:space="preserve">     </w:t>
      </w:r>
    </w:p>
    <w:p w14:paraId="356A5298">
      <w:pPr>
        <w:tabs>
          <w:tab w:val="left" w:pos="740"/>
        </w:tabs>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 xml:space="preserve">     □强制采购       □优先采购    </w:t>
      </w:r>
    </w:p>
    <w:p w14:paraId="3F71BA19">
      <w:pPr>
        <w:tabs>
          <w:tab w:val="left" w:pos="740"/>
        </w:tabs>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□否</w:t>
      </w:r>
    </w:p>
    <w:p w14:paraId="66D88A4B">
      <w:pPr>
        <w:tabs>
          <w:tab w:val="left" w:pos="740"/>
        </w:tabs>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是否涉及环境标志产品：</w:t>
      </w:r>
    </w:p>
    <w:p w14:paraId="268D725E">
      <w:pPr>
        <w:tabs>
          <w:tab w:val="left" w:pos="740"/>
        </w:tabs>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□是，《环境标志产品政府采购品目清单》的底级品目名称：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iCs/>
          <w:color w:val="000000"/>
          <w:sz w:val="24"/>
          <w:szCs w:val="24"/>
          <w:highlight w:val="none"/>
        </w:rPr>
        <w:t xml:space="preserve"> </w:t>
      </w:r>
    </w:p>
    <w:p w14:paraId="3CD321DF">
      <w:pPr>
        <w:tabs>
          <w:tab w:val="left" w:pos="740"/>
        </w:tabs>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 xml:space="preserve">        □强制采购       □优先采购    </w:t>
      </w:r>
    </w:p>
    <w:p w14:paraId="7D81AE98">
      <w:pPr>
        <w:tabs>
          <w:tab w:val="left" w:pos="740"/>
        </w:tabs>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□否</w:t>
      </w:r>
    </w:p>
    <w:p w14:paraId="3FB83F3B">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是否涉及绿色产品： </w:t>
      </w:r>
    </w:p>
    <w:p w14:paraId="2D108F09">
      <w:pPr>
        <w:pStyle w:val="292"/>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□是，绿色产品政府采购相关政策确定的底级品目名称：</w:t>
      </w:r>
      <w:r>
        <w:rPr>
          <w:rFonts w:hint="eastAsia" w:ascii="仿宋" w:hAnsi="仿宋" w:eastAsia="仿宋" w:cs="仿宋"/>
          <w:color w:val="000000"/>
          <w:sz w:val="24"/>
          <w:szCs w:val="24"/>
          <w:highlight w:val="none"/>
          <w:u w:val="single"/>
        </w:rPr>
        <w:t xml:space="preserve">         </w:t>
      </w:r>
    </w:p>
    <w:p w14:paraId="2C42CFCD">
      <w:pPr>
        <w:tabs>
          <w:tab w:val="left" w:pos="740"/>
        </w:tabs>
        <w:spacing w:line="520" w:lineRule="exact"/>
        <w:ind w:firstLine="560"/>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 xml:space="preserve">      □强制采购       □优先采购    </w:t>
      </w:r>
    </w:p>
    <w:p w14:paraId="4EB33FFF">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□否</w:t>
      </w:r>
    </w:p>
    <w:p w14:paraId="06C038F0">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
        </w:rPr>
        <w:t>1</w:t>
      </w:r>
      <w:r>
        <w:rPr>
          <w:rFonts w:hint="eastAsia" w:ascii="仿宋" w:hAnsi="仿宋" w:eastAsia="仿宋" w:cs="仿宋"/>
          <w:color w:val="000000"/>
          <w:sz w:val="24"/>
          <w:szCs w:val="24"/>
          <w:highlight w:val="none"/>
        </w:rPr>
        <w:t>）涉及商品包装和快递包装的，是否参考《商品包装政府采购需求标准（试行）》、《快递包装政府采购需求标准（试行）》明确产品及相关快递服务的具体包装要求：</w:t>
      </w:r>
    </w:p>
    <w:p w14:paraId="53C4524C">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       □否      □不涉及</w:t>
      </w:r>
    </w:p>
    <w:p w14:paraId="44C34B5D">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合同金额</w:t>
      </w:r>
    </w:p>
    <w:p w14:paraId="05F30AE5">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（1）合同金额小写：</w:t>
      </w:r>
      <w:r>
        <w:rPr>
          <w:rFonts w:hint="eastAsia" w:ascii="仿宋" w:hAnsi="仿宋" w:eastAsia="仿宋" w:cs="仿宋"/>
          <w:color w:val="000000"/>
          <w:sz w:val="24"/>
          <w:szCs w:val="24"/>
          <w:highlight w:val="none"/>
          <w:u w:val="single"/>
        </w:rPr>
        <w:t xml:space="preserve">                           </w:t>
      </w:r>
    </w:p>
    <w:p w14:paraId="553328F7">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大写：</w:t>
      </w:r>
      <w:r>
        <w:rPr>
          <w:rFonts w:hint="eastAsia" w:ascii="仿宋" w:hAnsi="仿宋" w:eastAsia="仿宋" w:cs="仿宋"/>
          <w:color w:val="000000"/>
          <w:sz w:val="24"/>
          <w:szCs w:val="24"/>
          <w:highlight w:val="none"/>
          <w:u w:val="single"/>
        </w:rPr>
        <w:t xml:space="preserve">                           </w:t>
      </w:r>
    </w:p>
    <w:p w14:paraId="61151BD6">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（注：固定单价合同应填写单价和最高限价）</w:t>
      </w:r>
    </w:p>
    <w:p w14:paraId="0CFD249F">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（2）合同定价方式（采用组合定价方式的，可以勾选多项）：</w:t>
      </w:r>
    </w:p>
    <w:p w14:paraId="25CFC046">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iCs/>
          <w:color w:val="000000"/>
          <w:sz w:val="24"/>
          <w:szCs w:val="24"/>
          <w:highlight w:val="none"/>
          <w:lang w:eastAsia="zh-CN"/>
        </w:rPr>
        <w:t>☑</w:t>
      </w:r>
      <w:r>
        <w:rPr>
          <w:rFonts w:hint="eastAsia" w:ascii="仿宋" w:hAnsi="仿宋" w:eastAsia="仿宋" w:cs="仿宋"/>
          <w:iCs/>
          <w:color w:val="000000"/>
          <w:sz w:val="24"/>
          <w:szCs w:val="24"/>
          <w:highlight w:val="none"/>
        </w:rPr>
        <w:t>固定总价 □固定单价 □固定费率 □成本补偿 □绩效激励 □其他</w:t>
      </w:r>
      <w:r>
        <w:rPr>
          <w:rFonts w:hint="eastAsia" w:ascii="仿宋" w:hAnsi="仿宋" w:eastAsia="仿宋" w:cs="仿宋"/>
          <w:color w:val="000000"/>
          <w:sz w:val="24"/>
          <w:szCs w:val="24"/>
          <w:highlight w:val="none"/>
          <w:u w:val="single"/>
        </w:rPr>
        <w:t xml:space="preserve">       </w:t>
      </w:r>
    </w:p>
    <w:p w14:paraId="24296AEF">
      <w:pPr>
        <w:pStyle w:val="293"/>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（3）付款方式（按项目实际勾选填写）：</w:t>
      </w:r>
    </w:p>
    <w:p w14:paraId="48E1D448">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□全额付款：</w:t>
      </w:r>
      <w:r>
        <w:rPr>
          <w:rFonts w:hint="eastAsia" w:ascii="仿宋" w:hAnsi="仿宋" w:eastAsia="仿宋" w:cs="仿宋"/>
          <w:color w:val="000000"/>
          <w:sz w:val="24"/>
          <w:szCs w:val="24"/>
          <w:highlight w:val="none"/>
          <w:u w:val="single"/>
        </w:rPr>
        <w:t xml:space="preserve">（应明确一次性支付合同款项的条件） </w:t>
      </w:r>
    </w:p>
    <w:p w14:paraId="7BC4D7D5">
      <w:pPr>
        <w:ind w:firstLine="6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分期付款：本合同总金额为人民币大写金额</w:t>
      </w:r>
      <w:r>
        <w:rPr>
          <w:rFonts w:hint="eastAsia" w:ascii="仿宋" w:hAnsi="仿宋" w:eastAsia="仿宋" w:cs="仿宋"/>
          <w:color w:val="000000"/>
          <w:sz w:val="24"/>
          <w:szCs w:val="24"/>
          <w:highlight w:val="none"/>
          <w:u w:val="single"/>
        </w:rPr>
        <w:t>        元（小写金额：         元）</w:t>
      </w:r>
      <w:r>
        <w:rPr>
          <w:rFonts w:hint="eastAsia" w:ascii="仿宋" w:hAnsi="仿宋" w:eastAsia="仿宋" w:cs="仿宋"/>
          <w:color w:val="000000"/>
          <w:sz w:val="24"/>
          <w:szCs w:val="24"/>
          <w:highlight w:val="none"/>
        </w:rPr>
        <w:t>，经双方协商一致，选择以下第</w:t>
      </w:r>
      <w:r>
        <w:rPr>
          <w:rFonts w:hint="eastAsia" w:ascii="仿宋" w:hAnsi="仿宋" w:eastAsia="仿宋" w:cs="仿宋"/>
          <w:color w:val="000000"/>
          <w:sz w:val="24"/>
          <w:szCs w:val="24"/>
          <w:highlight w:val="none"/>
          <w:u w:val="single"/>
          <w:lang w:val="en-US" w:eastAsia="zh-CN"/>
        </w:rPr>
        <w:t xml:space="preserve">一 </w:t>
      </w:r>
      <w:r>
        <w:rPr>
          <w:rFonts w:hint="eastAsia" w:ascii="仿宋" w:hAnsi="仿宋" w:eastAsia="仿宋" w:cs="仿宋"/>
          <w:color w:val="000000"/>
          <w:sz w:val="24"/>
          <w:szCs w:val="24"/>
          <w:highlight w:val="none"/>
        </w:rPr>
        <w:t>种付款方式：</w:t>
      </w:r>
    </w:p>
    <w:p w14:paraId="73159636">
      <w:pPr>
        <w:pStyle w:val="261"/>
        <w:ind w:firstLine="608"/>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（一）付款方式一：提交预付款保函的</w:t>
      </w:r>
    </w:p>
    <w:p w14:paraId="34B7ACDE">
      <w:pPr>
        <w:pStyle w:val="261"/>
        <w:pBdr>
          <w:top w:val="none" w:color="000000" w:sz="0" w:space="0"/>
          <w:left w:val="none" w:color="000000" w:sz="0" w:space="0"/>
          <w:bottom w:val="none" w:color="000000" w:sz="0" w:space="0"/>
          <w:right w:val="none" w:color="000000" w:sz="0" w:space="0"/>
        </w:pBdr>
        <w:spacing w:line="480" w:lineRule="exact"/>
        <w:ind w:firstLine="60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合同总价的百分之四十(40%)即￥</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大写：人民币</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作为预付款，在合同签订生效且卖方向买方出具合同总价的百分之四十（40%)即￥</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大写：人民币</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的预付款保函，买方自收到收据（收据金额为合同总价的40%）后10个工作日内，将资金支付到合同约定的卖方账户。</w:t>
      </w:r>
    </w:p>
    <w:p w14:paraId="33E49D86">
      <w:pPr>
        <w:pStyle w:val="261"/>
        <w:spacing w:line="480" w:lineRule="exact"/>
        <w:ind w:firstLine="606"/>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结算款:经甲方最终验收合格，乙方提交结算资料，经甲方审核确认后，甲方收到发票(发票金额为扣除预付款、考核扣款后的最终结算价款数额)后</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lang w:val="en-US" w:eastAsia="zh-CN"/>
        </w:rPr>
        <w:t>提交财政资金申请程序后20个工作日内</w:t>
      </w:r>
      <w:r>
        <w:rPr>
          <w:rFonts w:hint="eastAsia" w:ascii="仿宋" w:hAnsi="仿宋" w:eastAsia="仿宋" w:cs="仿宋"/>
          <w:bCs/>
          <w:color w:val="000000"/>
          <w:sz w:val="24"/>
          <w:szCs w:val="24"/>
          <w:highlight w:val="none"/>
        </w:rPr>
        <w:t>将资金支付到合同约定的乙方账户。</w:t>
      </w:r>
    </w:p>
    <w:p w14:paraId="4CC71FC5">
      <w:pPr>
        <w:spacing w:line="480" w:lineRule="exact"/>
        <w:ind w:firstLine="605"/>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（二）</w:t>
      </w:r>
      <w:r>
        <w:rPr>
          <w:rFonts w:hint="eastAsia" w:ascii="仿宋" w:hAnsi="仿宋" w:eastAsia="仿宋" w:cs="仿宋"/>
          <w:b/>
          <w:color w:val="000000"/>
          <w:sz w:val="24"/>
          <w:szCs w:val="24"/>
          <w:highlight w:val="none"/>
        </w:rPr>
        <w:t>付款方式二：不提交预付款保函的</w:t>
      </w:r>
    </w:p>
    <w:p w14:paraId="283C5C9F">
      <w:pPr>
        <w:pStyle w:val="261"/>
        <w:spacing w:line="480" w:lineRule="exact"/>
        <w:ind w:firstLine="606"/>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合同总价的百分之三十(30%)即￥</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大写:人民币</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作为预付款，在合同签订生效</w:t>
      </w:r>
      <w:r>
        <w:rPr>
          <w:rFonts w:hint="eastAsia" w:ascii="仿宋" w:hAnsi="仿宋" w:eastAsia="仿宋" w:cs="仿宋"/>
          <w:bCs/>
          <w:color w:val="000000"/>
          <w:sz w:val="24"/>
          <w:szCs w:val="24"/>
          <w:highlight w:val="none"/>
          <w:lang w:val="en-US" w:eastAsia="zh-CN"/>
        </w:rPr>
        <w:t>后10个工作日内</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甲方办理财政资金结算手续，将资金支付到合同约定的乙方账户。</w:t>
      </w:r>
    </w:p>
    <w:p w14:paraId="73734443">
      <w:pPr>
        <w:pStyle w:val="261"/>
        <w:spacing w:line="480" w:lineRule="exact"/>
        <w:ind w:firstLine="606"/>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乙方需提交的支付文件包括：</w:t>
      </w:r>
    </w:p>
    <w:p w14:paraId="57488B64">
      <w:pPr>
        <w:pStyle w:val="261"/>
        <w:spacing w:line="480" w:lineRule="exact"/>
        <w:ind w:firstLine="606"/>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乙方出具的合同价款的百分之三十（30%）增值税专用发票。</w:t>
      </w:r>
    </w:p>
    <w:p w14:paraId="4F05E38F">
      <w:pPr>
        <w:pStyle w:val="261"/>
        <w:spacing w:line="480" w:lineRule="exact"/>
        <w:ind w:firstLine="606"/>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lang w:val="en-US" w:eastAsia="zh-CN"/>
        </w:rPr>
        <w:t>合同总价的百分之三十（30%）</w:t>
      </w:r>
      <w:r>
        <w:rPr>
          <w:rFonts w:hint="eastAsia" w:ascii="仿宋" w:hAnsi="仿宋" w:eastAsia="仿宋" w:cs="仿宋"/>
          <w:bCs/>
          <w:color w:val="000000"/>
          <w:sz w:val="24"/>
          <w:szCs w:val="24"/>
          <w:highlight w:val="none"/>
        </w:rPr>
        <w:t>即￥</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大写:人民币</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none"/>
          <w:lang w:val="en-US" w:eastAsia="zh-CN"/>
        </w:rPr>
        <w:t>经甲方预验收合格，乙方设备及系统已调试完成，相关技术人员以及备用物料已准备妥当，满足设备进场条件，经甲方审核确认后10个工作日内，甲方办理财政资金结算手续，将资金支付到合同约定的乙方账户。</w:t>
      </w:r>
    </w:p>
    <w:p w14:paraId="2B73680C">
      <w:pPr>
        <w:pStyle w:val="261"/>
        <w:spacing w:line="480" w:lineRule="exact"/>
        <w:ind w:firstLine="606"/>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u w:val="none"/>
          <w:lang w:val="en-US" w:eastAsia="zh-CN"/>
        </w:rPr>
        <w:t>乙方需提交的支付文件包括：</w:t>
      </w:r>
    </w:p>
    <w:p w14:paraId="5CC0A1E2">
      <w:pPr>
        <w:pStyle w:val="261"/>
        <w:numPr>
          <w:ilvl w:val="0"/>
          <w:numId w:val="4"/>
        </w:numPr>
        <w:spacing w:line="480" w:lineRule="exact"/>
        <w:ind w:firstLine="606"/>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u w:val="none"/>
          <w:lang w:val="en-US" w:eastAsia="zh-CN"/>
        </w:rPr>
        <w:t>项目预验收意见书；</w:t>
      </w:r>
    </w:p>
    <w:p w14:paraId="6BEFBF7C">
      <w:pPr>
        <w:pStyle w:val="261"/>
        <w:numPr>
          <w:ilvl w:val="0"/>
          <w:numId w:val="4"/>
        </w:numPr>
        <w:spacing w:line="480" w:lineRule="exact"/>
        <w:ind w:firstLine="606"/>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u w:val="none"/>
          <w:lang w:val="en-US" w:eastAsia="zh-CN"/>
        </w:rPr>
        <w:t>乙方出具的合同价款的百分之三十（30%）增值税专用发票。</w:t>
      </w:r>
    </w:p>
    <w:p w14:paraId="5E535A00">
      <w:pPr>
        <w:pStyle w:val="261"/>
        <w:spacing w:line="480" w:lineRule="exact"/>
        <w:ind w:firstLine="606"/>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合同总价的百分之</w:t>
      </w:r>
      <w:r>
        <w:rPr>
          <w:rFonts w:hint="eastAsia" w:ascii="仿宋" w:hAnsi="仿宋" w:eastAsia="仿宋" w:cs="仿宋"/>
          <w:bCs/>
          <w:color w:val="000000"/>
          <w:sz w:val="24"/>
          <w:szCs w:val="24"/>
          <w:highlight w:val="none"/>
          <w:lang w:val="en-US" w:eastAsia="zh-CN"/>
        </w:rPr>
        <w:t>四十</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40</w:t>
      </w:r>
      <w:r>
        <w:rPr>
          <w:rFonts w:hint="eastAsia" w:ascii="仿宋" w:hAnsi="仿宋" w:eastAsia="仿宋" w:cs="仿宋"/>
          <w:bCs/>
          <w:color w:val="000000"/>
          <w:sz w:val="24"/>
          <w:szCs w:val="24"/>
          <w:highlight w:val="none"/>
        </w:rPr>
        <w:t>%)即￥</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大写:人民币</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none"/>
          <w:lang w:eastAsia="zh-CN"/>
        </w:rPr>
        <w:t>，</w:t>
      </w:r>
      <w:r>
        <w:rPr>
          <w:rFonts w:hint="eastAsia" w:ascii="仿宋" w:hAnsi="仿宋" w:eastAsia="仿宋" w:cs="仿宋"/>
          <w:bCs/>
          <w:color w:val="000000"/>
          <w:sz w:val="24"/>
          <w:szCs w:val="24"/>
          <w:highlight w:val="none"/>
          <w:u w:val="none"/>
          <w:lang w:val="en-US" w:eastAsia="zh-CN"/>
        </w:rPr>
        <w:t>合同标的全部交付并安装完毕</w:t>
      </w:r>
      <w:r>
        <w:rPr>
          <w:rFonts w:hint="eastAsia" w:ascii="仿宋" w:hAnsi="仿宋" w:eastAsia="仿宋" w:cs="仿宋"/>
          <w:bCs/>
          <w:color w:val="000000"/>
          <w:sz w:val="24"/>
          <w:szCs w:val="24"/>
          <w:highlight w:val="none"/>
        </w:rPr>
        <w:t>经甲方最终验收合格</w:t>
      </w:r>
      <w:r>
        <w:rPr>
          <w:rFonts w:hint="eastAsia" w:ascii="仿宋" w:hAnsi="仿宋" w:eastAsia="仿宋" w:cs="仿宋"/>
          <w:bCs/>
          <w:color w:val="000000"/>
          <w:sz w:val="24"/>
          <w:szCs w:val="24"/>
          <w:highlight w:val="none"/>
          <w:lang w:val="en-US" w:eastAsia="zh-CN"/>
        </w:rPr>
        <w:t>后10个工作日内</w:t>
      </w:r>
      <w:r>
        <w:rPr>
          <w:rFonts w:hint="eastAsia" w:ascii="仿宋" w:hAnsi="仿宋" w:eastAsia="仿宋" w:cs="仿宋"/>
          <w:bCs/>
          <w:color w:val="000000"/>
          <w:sz w:val="24"/>
          <w:szCs w:val="24"/>
          <w:highlight w:val="none"/>
        </w:rPr>
        <w:t>，甲方办理财政资金结算手续，将资金支付到合同约定的乙方账户。</w:t>
      </w:r>
    </w:p>
    <w:p w14:paraId="171684D0">
      <w:pPr>
        <w:pStyle w:val="261"/>
        <w:spacing w:line="480" w:lineRule="exact"/>
        <w:ind w:firstLine="606"/>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已</w:t>
      </w:r>
      <w:r>
        <w:rPr>
          <w:rFonts w:hint="eastAsia" w:ascii="仿宋" w:hAnsi="仿宋" w:eastAsia="仿宋" w:cs="仿宋"/>
          <w:bCs/>
          <w:color w:val="000000"/>
          <w:sz w:val="24"/>
          <w:szCs w:val="24"/>
          <w:highlight w:val="none"/>
        </w:rPr>
        <w:t>方需提交的支付文件包括：</w:t>
      </w:r>
    </w:p>
    <w:p w14:paraId="4C81B164">
      <w:pPr>
        <w:pStyle w:val="261"/>
        <w:numPr>
          <w:ilvl w:val="0"/>
          <w:numId w:val="5"/>
        </w:numPr>
        <w:spacing w:line="480" w:lineRule="exact"/>
        <w:ind w:firstLine="60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项目移交确认单</w:t>
      </w:r>
    </w:p>
    <w:p w14:paraId="7499FF02">
      <w:pPr>
        <w:pStyle w:val="261"/>
        <w:numPr>
          <w:ilvl w:val="0"/>
          <w:numId w:val="5"/>
        </w:numPr>
        <w:spacing w:line="480" w:lineRule="exact"/>
        <w:ind w:firstLine="60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项目终验收报告</w:t>
      </w:r>
    </w:p>
    <w:p w14:paraId="566E78C1">
      <w:pPr>
        <w:pStyle w:val="261"/>
        <w:numPr>
          <w:ilvl w:val="0"/>
          <w:numId w:val="5"/>
        </w:numPr>
        <w:spacing w:line="480" w:lineRule="exact"/>
        <w:ind w:firstLine="606"/>
        <w:rPr>
          <w:rFonts w:hint="eastAsia" w:ascii="仿宋" w:hAnsi="仿宋" w:eastAsia="仿宋" w:cs="仿宋"/>
          <w:color w:val="000000"/>
          <w:sz w:val="24"/>
          <w:szCs w:val="24"/>
          <w:highlight w:val="none"/>
        </w:rPr>
      </w:pPr>
      <w:r>
        <w:rPr>
          <w:rFonts w:hint="eastAsia" w:ascii="仿宋" w:hAnsi="仿宋" w:eastAsia="仿宋" w:cs="仿宋"/>
          <w:bCs w:val="0"/>
          <w:color w:val="000000"/>
          <w:sz w:val="24"/>
          <w:szCs w:val="24"/>
          <w:highlight w:val="none"/>
          <w:u w:val="none"/>
          <w:lang w:val="en-US" w:eastAsia="zh-CN"/>
        </w:rPr>
        <w:t>乙方出具的合同价款的百分之四十（40%）增值税专用发票。</w:t>
      </w:r>
    </w:p>
    <w:p w14:paraId="5063DCEE">
      <w:pPr>
        <w:numPr>
          <w:ilvl w:val="0"/>
          <w:numId w:val="2"/>
        </w:numPr>
        <w:spacing w:line="520" w:lineRule="exact"/>
        <w:ind w:firstLine="562"/>
        <w:rPr>
          <w:rFonts w:hint="eastAsia" w:ascii="仿宋" w:hAnsi="仿宋" w:eastAsia="仿宋" w:cs="仿宋"/>
          <w:b/>
          <w:color w:val="000000"/>
          <w:sz w:val="24"/>
          <w:szCs w:val="24"/>
          <w:highlight w:val="none"/>
          <w:u w:val="single"/>
        </w:rPr>
      </w:pPr>
      <w:r>
        <w:rPr>
          <w:rFonts w:hint="eastAsia" w:ascii="仿宋" w:hAnsi="仿宋" w:eastAsia="仿宋" w:cs="仿宋"/>
          <w:b/>
          <w:color w:val="000000"/>
          <w:sz w:val="24"/>
          <w:szCs w:val="24"/>
          <w:highlight w:val="none"/>
        </w:rPr>
        <w:t>合同履行</w:t>
      </w:r>
    </w:p>
    <w:p w14:paraId="60548C17">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（1）合同生效日后，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30日内</w:t>
      </w:r>
      <w:r>
        <w:rPr>
          <w:rFonts w:hint="eastAsia" w:ascii="仿宋" w:hAnsi="仿宋" w:eastAsia="仿宋" w:cs="仿宋"/>
          <w:color w:val="000000"/>
          <w:sz w:val="24"/>
          <w:szCs w:val="24"/>
          <w:highlight w:val="none"/>
        </w:rPr>
        <w:t>将合同标的全部交付完毕。</w:t>
      </w:r>
    </w:p>
    <w:p w14:paraId="20DB6CB2">
      <w:pPr>
        <w:spacing w:line="520" w:lineRule="exact"/>
        <w:ind w:firstLine="56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 xml:space="preserve">）合同生效日后， </w:t>
      </w:r>
      <w:r>
        <w:rPr>
          <w:rFonts w:hint="eastAsia" w:ascii="仿宋" w:hAnsi="仿宋" w:eastAsia="仿宋" w:cs="仿宋"/>
          <w:color w:val="000000"/>
          <w:sz w:val="24"/>
          <w:szCs w:val="24"/>
          <w:highlight w:val="none"/>
          <w:u w:val="single"/>
          <w:lang w:val="en-US" w:eastAsia="zh-CN"/>
        </w:rPr>
        <w:t>50日内</w:t>
      </w:r>
      <w:r>
        <w:rPr>
          <w:rFonts w:hint="eastAsia" w:ascii="仿宋" w:hAnsi="仿宋" w:eastAsia="仿宋" w:cs="仿宋"/>
          <w:color w:val="000000"/>
          <w:sz w:val="24"/>
          <w:szCs w:val="24"/>
          <w:highlight w:val="none"/>
          <w:lang w:eastAsia="zh-CN"/>
        </w:rPr>
        <w:t>将合同标的全部</w:t>
      </w:r>
      <w:r>
        <w:rPr>
          <w:rFonts w:hint="eastAsia" w:ascii="仿宋" w:hAnsi="仿宋" w:eastAsia="仿宋" w:cs="仿宋"/>
          <w:color w:val="000000"/>
          <w:sz w:val="24"/>
          <w:szCs w:val="24"/>
          <w:highlight w:val="none"/>
          <w:lang w:val="en-US" w:eastAsia="zh-CN"/>
        </w:rPr>
        <w:t>安装</w:t>
      </w:r>
      <w:r>
        <w:rPr>
          <w:rFonts w:hint="eastAsia" w:ascii="仿宋" w:hAnsi="仿宋" w:eastAsia="仿宋" w:cs="仿宋"/>
          <w:color w:val="000000"/>
          <w:sz w:val="24"/>
          <w:szCs w:val="24"/>
          <w:highlight w:val="none"/>
          <w:lang w:eastAsia="zh-CN"/>
        </w:rPr>
        <w:t>完毕</w:t>
      </w:r>
    </w:p>
    <w:p w14:paraId="360D9D2A">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）履约地点</w:t>
      </w:r>
      <w:r>
        <w:rPr>
          <w:rFonts w:hint="eastAsia" w:ascii="仿宋" w:hAnsi="仿宋" w:eastAsia="仿宋" w:cs="仿宋"/>
          <w:bCs/>
          <w:color w:val="000000"/>
          <w:sz w:val="24"/>
          <w:szCs w:val="24"/>
          <w:highlight w:val="none"/>
        </w:rPr>
        <w:t>：</w:t>
      </w:r>
      <w:r>
        <w:rPr>
          <w:rFonts w:hint="eastAsia" w:ascii="仿宋" w:hAnsi="仿宋" w:eastAsia="仿宋" w:cs="仿宋"/>
          <w:color w:val="000000"/>
          <w:sz w:val="24"/>
          <w:szCs w:val="24"/>
          <w:highlight w:val="none"/>
          <w:u w:val="single"/>
        </w:rPr>
        <w:t xml:space="preserve">                             </w:t>
      </w:r>
    </w:p>
    <w:p w14:paraId="100FDE1B">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）履约担保：</w:t>
      </w:r>
      <w:r>
        <w:rPr>
          <w:rFonts w:hint="eastAsia" w:ascii="仿宋" w:hAnsi="仿宋" w:eastAsia="仿宋" w:cs="仿宋"/>
          <w:color w:val="000000"/>
          <w:sz w:val="24"/>
          <w:szCs w:val="24"/>
          <w:highlight w:val="none"/>
        </w:rPr>
        <w:t>是否收取履约保证金：</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是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否</w:t>
      </w:r>
    </w:p>
    <w:p w14:paraId="78E76187">
      <w:pPr>
        <w:pStyle w:val="261"/>
        <w:spacing w:line="480" w:lineRule="exact"/>
        <w:ind w:firstLine="606"/>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 xml:space="preserve"> </w:t>
      </w:r>
      <w:r>
        <w:rPr>
          <w:rFonts w:hint="eastAsia" w:ascii="仿宋" w:hAnsi="仿宋" w:eastAsia="仿宋" w:cs="仿宋"/>
          <w:b/>
          <w:bCs w:val="0"/>
          <w:color w:val="000000"/>
          <w:sz w:val="24"/>
          <w:szCs w:val="24"/>
          <w:highlight w:val="none"/>
          <w:lang w:val="en-US" w:eastAsia="zh-CN"/>
        </w:rPr>
        <w:t xml:space="preserve">   </w:t>
      </w:r>
      <w:r>
        <w:rPr>
          <w:rFonts w:hint="eastAsia" w:ascii="仿宋" w:hAnsi="仿宋" w:eastAsia="仿宋" w:cs="仿宋"/>
          <w:color w:val="000000"/>
          <w:sz w:val="24"/>
          <w:szCs w:val="24"/>
          <w:highlight w:val="none"/>
        </w:rPr>
        <w:t>收取履约保证金形式：</w:t>
      </w:r>
      <w:r>
        <w:rPr>
          <w:rFonts w:hint="eastAsia" w:ascii="仿宋" w:hAnsi="仿宋" w:eastAsia="仿宋" w:cs="仿宋"/>
          <w:bCs/>
          <w:color w:val="000000"/>
          <w:sz w:val="24"/>
          <w:szCs w:val="24"/>
          <w:highlight w:val="none"/>
          <w:u w:val="single"/>
        </w:rPr>
        <w:t xml:space="preserve">                            </w:t>
      </w:r>
    </w:p>
    <w:p w14:paraId="4A252C6F">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收取履约保证金金额：</w:t>
      </w:r>
      <w:r>
        <w:rPr>
          <w:rFonts w:hint="eastAsia" w:ascii="仿宋" w:hAnsi="仿宋" w:eastAsia="仿宋" w:cs="仿宋"/>
          <w:bCs/>
          <w:color w:val="000000"/>
          <w:sz w:val="24"/>
          <w:szCs w:val="24"/>
          <w:highlight w:val="none"/>
          <w:u w:val="single"/>
        </w:rPr>
        <w:t xml:space="preserve">                            </w:t>
      </w:r>
    </w:p>
    <w:p w14:paraId="664A6A6F">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 xml:space="preserve">    履约担保期限：</w:t>
      </w:r>
      <w:r>
        <w:rPr>
          <w:rFonts w:hint="eastAsia" w:ascii="仿宋" w:hAnsi="仿宋" w:eastAsia="仿宋" w:cs="仿宋"/>
          <w:bCs/>
          <w:color w:val="000000"/>
          <w:sz w:val="24"/>
          <w:szCs w:val="24"/>
          <w:highlight w:val="none"/>
          <w:u w:val="single"/>
        </w:rPr>
        <w:t xml:space="preserve">                                  </w:t>
      </w:r>
    </w:p>
    <w:p w14:paraId="3B0E54F2">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（4）分期履行要求：</w:t>
      </w:r>
      <w:r>
        <w:rPr>
          <w:rFonts w:hint="eastAsia" w:ascii="仿宋" w:hAnsi="仿宋" w:eastAsia="仿宋" w:cs="仿宋"/>
          <w:bCs/>
          <w:color w:val="000000"/>
          <w:sz w:val="24"/>
          <w:szCs w:val="24"/>
          <w:highlight w:val="none"/>
          <w:u w:val="single"/>
        </w:rPr>
        <w:t xml:space="preserve">                                                        </w:t>
      </w:r>
    </w:p>
    <w:p w14:paraId="6C158AE6">
      <w:pPr>
        <w:spacing w:line="520" w:lineRule="exact"/>
        <w:ind w:firstLine="560"/>
        <w:rPr>
          <w:rFonts w:hint="eastAsia" w:ascii="仿宋" w:hAnsi="仿宋" w:eastAsia="仿宋" w:cs="仿宋"/>
          <w:color w:val="000000"/>
          <w:sz w:val="24"/>
          <w:szCs w:val="24"/>
          <w:highlight w:val="none"/>
          <w:u w:val="single"/>
        </w:rPr>
      </w:pPr>
      <w:r>
        <w:rPr>
          <w:rFonts w:hint="eastAsia" w:ascii="仿宋" w:hAnsi="仿宋" w:eastAsia="仿宋" w:cs="仿宋"/>
          <w:bCs/>
          <w:color w:val="000000"/>
          <w:sz w:val="24"/>
          <w:szCs w:val="24"/>
          <w:highlight w:val="none"/>
        </w:rPr>
        <w:t>（5）风险处置措施和替代方案：</w:t>
      </w:r>
      <w:r>
        <w:rPr>
          <w:rFonts w:hint="eastAsia" w:ascii="仿宋" w:hAnsi="仿宋" w:eastAsia="仿宋" w:cs="仿宋"/>
          <w:color w:val="000000"/>
          <w:sz w:val="24"/>
          <w:szCs w:val="24"/>
          <w:highlight w:val="none"/>
          <w:u w:val="single"/>
        </w:rPr>
        <w:t xml:space="preserve">                                                               </w:t>
      </w:r>
    </w:p>
    <w:p w14:paraId="113F6E38">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合同验收</w:t>
      </w:r>
    </w:p>
    <w:p w14:paraId="1BB800DD">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（1）验收组织方式：</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 xml:space="preserve">自行组织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委托第三方组织</w:t>
      </w:r>
    </w:p>
    <w:p w14:paraId="60E51AC4">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验收主体：</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val="en-US" w:eastAsia="zh-CN"/>
        </w:rPr>
        <w:t>徐州生物工程职业技术学院</w:t>
      </w:r>
      <w:r>
        <w:rPr>
          <w:rFonts w:hint="eastAsia" w:ascii="仿宋" w:hAnsi="仿宋" w:eastAsia="仿宋" w:cs="仿宋"/>
          <w:bCs/>
          <w:color w:val="000000"/>
          <w:sz w:val="24"/>
          <w:szCs w:val="24"/>
          <w:highlight w:val="none"/>
          <w:u w:val="single"/>
        </w:rPr>
        <w:t xml:space="preserve">     </w:t>
      </w:r>
    </w:p>
    <w:p w14:paraId="66C75419">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是否邀请本项目的其他供应商参加验收：</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 xml:space="preserve">是  </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否</w:t>
      </w:r>
    </w:p>
    <w:p w14:paraId="2DA9B421">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是否邀请专家参加验收：</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 xml:space="preserve">是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5C55284D">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是否邀请服务对象参加验收：</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 xml:space="preserve">是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3527040C">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是否邀请第三方检测机构参加验收：</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 xml:space="preserve">是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78501CA2">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是否进行抽查检测：</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是，抽查比例：</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2AAB9FBC">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是否存在破坏性检测：</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是，</w:t>
      </w:r>
      <w:r>
        <w:rPr>
          <w:rFonts w:hint="eastAsia" w:ascii="仿宋" w:hAnsi="仿宋" w:eastAsia="仿宋" w:cs="仿宋"/>
          <w:bCs/>
          <w:color w:val="000000"/>
          <w:sz w:val="24"/>
          <w:szCs w:val="24"/>
          <w:highlight w:val="none"/>
          <w:u w:val="single"/>
        </w:rPr>
        <w:t>（应明确对被破坏的检测产品的处理方式）</w:t>
      </w: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546A857A">
      <w:pPr>
        <w:spacing w:line="520" w:lineRule="exact"/>
        <w:ind w:firstLine="560"/>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验收组织的其他事项：</w:t>
      </w:r>
      <w:r>
        <w:rPr>
          <w:rFonts w:hint="eastAsia" w:ascii="仿宋" w:hAnsi="仿宋" w:eastAsia="仿宋" w:cs="仿宋"/>
          <w:bCs/>
          <w:color w:val="000000"/>
          <w:sz w:val="24"/>
          <w:szCs w:val="24"/>
          <w:highlight w:val="none"/>
          <w:u w:val="single"/>
        </w:rPr>
        <w:t xml:space="preserve">                </w:t>
      </w:r>
    </w:p>
    <w:p w14:paraId="11E6A499">
      <w:pPr>
        <w:spacing w:line="520" w:lineRule="exact"/>
        <w:ind w:firstLine="560"/>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（2）履约验收时间：</w:t>
      </w:r>
      <w:r>
        <w:rPr>
          <w:rFonts w:hint="eastAsia" w:ascii="仿宋" w:hAnsi="仿宋" w:eastAsia="仿宋" w:cs="仿宋"/>
          <w:bCs/>
          <w:color w:val="000000"/>
          <w:sz w:val="24"/>
          <w:szCs w:val="24"/>
          <w:highlight w:val="none"/>
          <w:u w:val="single"/>
        </w:rPr>
        <w:t>（供应商提出验收申请之日起</w:t>
      </w:r>
      <w:r>
        <w:rPr>
          <w:rFonts w:hint="eastAsia" w:ascii="仿宋" w:hAnsi="仿宋" w:eastAsia="仿宋" w:cs="仿宋"/>
          <w:bCs/>
          <w:color w:val="000000"/>
          <w:sz w:val="24"/>
          <w:szCs w:val="24"/>
          <w:highlight w:val="none"/>
          <w:u w:val="single"/>
          <w:lang w:val="en-US" w:eastAsia="zh-CN"/>
        </w:rPr>
        <w:t>7</w:t>
      </w:r>
      <w:r>
        <w:rPr>
          <w:rFonts w:hint="eastAsia" w:ascii="仿宋" w:hAnsi="仿宋" w:eastAsia="仿宋" w:cs="仿宋"/>
          <w:bCs/>
          <w:color w:val="000000"/>
          <w:sz w:val="24"/>
          <w:szCs w:val="24"/>
          <w:highlight w:val="none"/>
          <w:u w:val="single"/>
        </w:rPr>
        <w:t xml:space="preserve">日内组织验收） </w:t>
      </w:r>
    </w:p>
    <w:p w14:paraId="2202527B">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（3）履约验收方式：</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sz w:val="24"/>
          <w:szCs w:val="24"/>
          <w:highlight w:val="none"/>
        </w:rPr>
        <w:t xml:space="preserve">一次性验收         </w:t>
      </w:r>
    </w:p>
    <w:p w14:paraId="39762D36">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分期/分项验收：</w:t>
      </w:r>
      <w:r>
        <w:rPr>
          <w:rFonts w:hint="eastAsia" w:ascii="仿宋" w:hAnsi="仿宋" w:eastAsia="仿宋" w:cs="仿宋"/>
          <w:bCs/>
          <w:color w:val="000000"/>
          <w:sz w:val="24"/>
          <w:szCs w:val="24"/>
          <w:highlight w:val="none"/>
          <w:u w:val="single"/>
        </w:rPr>
        <w:t>（应明确分期</w:t>
      </w:r>
      <w:r>
        <w:rPr>
          <w:rFonts w:hint="eastAsia" w:ascii="仿宋" w:hAnsi="仿宋" w:eastAsia="仿宋" w:cs="仿宋"/>
          <w:bCs/>
          <w:color w:val="000000"/>
          <w:sz w:val="24"/>
          <w:szCs w:val="24"/>
          <w:highlight w:val="none"/>
          <w:u w:val="single"/>
          <w:lang w:val="en"/>
        </w:rPr>
        <w:t>/分项验收的工作安排</w:t>
      </w:r>
      <w:r>
        <w:rPr>
          <w:rFonts w:hint="eastAsia" w:ascii="仿宋" w:hAnsi="仿宋" w:eastAsia="仿宋" w:cs="仿宋"/>
          <w:bCs/>
          <w:color w:val="000000"/>
          <w:sz w:val="24"/>
          <w:szCs w:val="24"/>
          <w:highlight w:val="none"/>
          <w:u w:val="single"/>
        </w:rPr>
        <w:t>）</w:t>
      </w:r>
    </w:p>
    <w:p w14:paraId="3230ECBA">
      <w:pPr>
        <w:spacing w:line="520" w:lineRule="exact"/>
        <w:ind w:firstLine="56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（4）履约验收程序：</w:t>
      </w:r>
      <w:r>
        <w:rPr>
          <w:rFonts w:hint="eastAsia" w:ascii="仿宋" w:hAnsi="仿宋" w:eastAsia="仿宋" w:cs="仿宋"/>
          <w:bCs/>
          <w:color w:val="000000"/>
          <w:sz w:val="24"/>
          <w:szCs w:val="24"/>
          <w:highlight w:val="none"/>
          <w:u w:val="single"/>
        </w:rPr>
        <w:t xml:space="preserve">                                         </w:t>
      </w:r>
    </w:p>
    <w:p w14:paraId="2356ED91">
      <w:pPr>
        <w:spacing w:line="520" w:lineRule="exact"/>
        <w:ind w:firstLine="560"/>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（5）履约验收的内容：</w:t>
      </w:r>
      <w:r>
        <w:rPr>
          <w:rFonts w:hint="eastAsia" w:ascii="仿宋" w:hAnsi="仿宋" w:eastAsia="仿宋" w:cs="仿宋"/>
          <w:bCs/>
          <w:color w:val="000000"/>
          <w:sz w:val="24"/>
          <w:szCs w:val="24"/>
          <w:highlight w:val="none"/>
          <w:u w:val="single"/>
        </w:rPr>
        <w:t xml:space="preserve"> （应当包括每一项技术和商务要求的履约情况，特别是落实政府采购扶持中小企业，支持绿色发展和乡村振兴等政策情况）                                      </w:t>
      </w:r>
    </w:p>
    <w:p w14:paraId="741EE71F">
      <w:pPr>
        <w:spacing w:line="520" w:lineRule="exact"/>
        <w:ind w:firstLine="560"/>
        <w:rPr>
          <w:rFonts w:hint="eastAsia" w:ascii="仿宋" w:hAnsi="仿宋" w:eastAsia="仿宋" w:cs="仿宋"/>
          <w:bCs/>
          <w:color w:val="000000"/>
          <w:sz w:val="24"/>
          <w:szCs w:val="24"/>
          <w:highlight w:val="none"/>
          <w:u w:val="single"/>
          <w:lang w:eastAsia="zh-CN"/>
        </w:rPr>
      </w:pPr>
      <w:r>
        <w:rPr>
          <w:rFonts w:hint="eastAsia" w:ascii="仿宋" w:hAnsi="仿宋" w:eastAsia="仿宋" w:cs="仿宋"/>
          <w:bCs/>
          <w:color w:val="000000"/>
          <w:sz w:val="24"/>
          <w:szCs w:val="24"/>
          <w:highlight w:val="none"/>
        </w:rPr>
        <w:t>（6）履约验收标准：</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val="en-US" w:eastAsia="zh-CN"/>
        </w:rPr>
        <w:t>1.场馆的声场、灯光效果要达到音乐2级及以上。2.舞台机械符合国家标准</w:t>
      </w:r>
      <w:r>
        <w:rPr>
          <w:rFonts w:hint="eastAsia" w:ascii="仿宋" w:hAnsi="仿宋" w:eastAsia="仿宋" w:cs="仿宋"/>
          <w:bCs/>
          <w:color w:val="000000"/>
          <w:sz w:val="24"/>
          <w:szCs w:val="24"/>
          <w:highlight w:val="none"/>
          <w:u w:val="single"/>
          <w:lang w:eastAsia="zh-CN"/>
        </w:rPr>
        <w:t>。</w:t>
      </w:r>
    </w:p>
    <w:p w14:paraId="1FCC130E">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（7）是否以采购活动中供应商提供的样品作为参考：</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 xml:space="preserve">是  </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否</w:t>
      </w:r>
    </w:p>
    <w:p w14:paraId="18A59141">
      <w:pPr>
        <w:spacing w:line="520" w:lineRule="exact"/>
        <w:ind w:firstLine="560"/>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（8）履约验收其他事项：</w:t>
      </w:r>
      <w:r>
        <w:rPr>
          <w:rFonts w:hint="eastAsia" w:ascii="仿宋" w:hAnsi="仿宋" w:eastAsia="仿宋" w:cs="仿宋"/>
          <w:bCs/>
          <w:color w:val="000000"/>
          <w:sz w:val="24"/>
          <w:szCs w:val="24"/>
          <w:highlight w:val="none"/>
          <w:u w:val="single"/>
        </w:rPr>
        <w:t xml:space="preserve">      （产权过户登记等）          </w:t>
      </w:r>
    </w:p>
    <w:p w14:paraId="50CAC201">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组成合同的文件</w:t>
      </w:r>
    </w:p>
    <w:p w14:paraId="359377B5">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本协议书与下列文件一起构成合同文件，如下述文件之间有任何抵触、矛盾或歧义，应按以下顺序解释：</w:t>
      </w:r>
    </w:p>
    <w:p w14:paraId="4B900075">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（1）政府采购合同协议书及其变更、补充协议</w:t>
      </w:r>
    </w:p>
    <w:p w14:paraId="11F5F3C1">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（2）政府采购合同专用条款</w:t>
      </w:r>
    </w:p>
    <w:p w14:paraId="515BAC42">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（3）政府采购合同通用条款</w:t>
      </w:r>
    </w:p>
    <w:p w14:paraId="04DDB420">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（4）中标（成交）通知书</w:t>
      </w:r>
    </w:p>
    <w:p w14:paraId="64DC05AA">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（5）投标（响应）文件</w:t>
      </w:r>
    </w:p>
    <w:p w14:paraId="2E2FE73B">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（6）采购文件</w:t>
      </w:r>
    </w:p>
    <w:p w14:paraId="57F55394">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（7）有关技术文件，图纸</w:t>
      </w:r>
    </w:p>
    <w:p w14:paraId="7199DF33">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（8）国家法律、行政法规和规章制度规定或合同约定的作为合同组成部分的其他文件</w:t>
      </w:r>
    </w:p>
    <w:p w14:paraId="7E3A5E3F">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合同生效</w:t>
      </w:r>
    </w:p>
    <w:p w14:paraId="4EA8DA16">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本合同自</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生效。</w:t>
      </w:r>
    </w:p>
    <w:p w14:paraId="71458885">
      <w:pPr>
        <w:numPr>
          <w:ilvl w:val="0"/>
          <w:numId w:val="2"/>
        </w:numPr>
        <w:spacing w:line="520" w:lineRule="exact"/>
        <w:ind w:firstLine="562"/>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合同份数</w:t>
      </w:r>
    </w:p>
    <w:p w14:paraId="69FF1DA8">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本合同一式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6</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份，甲方执</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3</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份，乙方执</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3</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份，均具有同等法律效力。</w:t>
      </w:r>
    </w:p>
    <w:p w14:paraId="54CC1669">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合同订立时间：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00245238">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合同订立地点：</w:t>
      </w:r>
      <w:r>
        <w:rPr>
          <w:rFonts w:hint="eastAsia" w:ascii="仿宋" w:hAnsi="仿宋" w:eastAsia="仿宋" w:cs="仿宋"/>
          <w:color w:val="000000"/>
          <w:sz w:val="24"/>
          <w:szCs w:val="24"/>
          <w:highlight w:val="none"/>
          <w:u w:val="single"/>
        </w:rPr>
        <w:t xml:space="preserve">                           </w:t>
      </w:r>
    </w:p>
    <w:p w14:paraId="3392FB20">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附件：具体标的及其技术要求和商务要求、联合协议、分包意向协议等。</w:t>
      </w:r>
    </w:p>
    <w:tbl>
      <w:tblPr>
        <w:tblStyle w:val="28"/>
        <w:tblpPr w:leftFromText="180" w:rightFromText="180" w:vertAnchor="text" w:horzAnchor="page" w:tblpXSpec="center" w:tblpY="565"/>
        <w:tblW w:w="0" w:type="auto"/>
        <w:jc w:val="center"/>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fixed"/>
        <w:tblCellMar>
          <w:top w:w="0" w:type="dxa"/>
          <w:left w:w="108" w:type="dxa"/>
          <w:bottom w:w="0" w:type="dxa"/>
          <w:right w:w="108" w:type="dxa"/>
        </w:tblCellMar>
      </w:tblPr>
      <w:tblGrid>
        <w:gridCol w:w="1891"/>
        <w:gridCol w:w="2412"/>
        <w:gridCol w:w="1979"/>
        <w:gridCol w:w="2116"/>
      </w:tblGrid>
      <w:tr w14:paraId="5A2024FE">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1229" w:hRule="atLeast"/>
          <w:jc w:val="center"/>
        </w:trPr>
        <w:tc>
          <w:tcPr>
            <w:tcW w:w="4303" w:type="dxa"/>
            <w:gridSpan w:val="2"/>
            <w:noWrap w:val="0"/>
            <w:vAlign w:val="center"/>
          </w:tcPr>
          <w:p w14:paraId="5FDB321A">
            <w:pPr>
              <w:spacing w:line="3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甲方（采购人、受采购人委托签订合同的单位或采购文件约定的合同甲方）</w:t>
            </w:r>
          </w:p>
        </w:tc>
        <w:tc>
          <w:tcPr>
            <w:tcW w:w="4095" w:type="dxa"/>
            <w:gridSpan w:val="2"/>
            <w:noWrap w:val="0"/>
            <w:vAlign w:val="center"/>
          </w:tcPr>
          <w:p w14:paraId="709FA9D3">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乙方（供应商）</w:t>
            </w:r>
          </w:p>
        </w:tc>
      </w:tr>
      <w:tr w14:paraId="466B7A7F">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917" w:hRule="atLeast"/>
          <w:jc w:val="center"/>
        </w:trPr>
        <w:tc>
          <w:tcPr>
            <w:tcW w:w="1891" w:type="dxa"/>
            <w:noWrap w:val="0"/>
            <w:vAlign w:val="center"/>
          </w:tcPr>
          <w:p w14:paraId="78C1C1A0">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单位名称（公章或合同章）</w:t>
            </w:r>
          </w:p>
        </w:tc>
        <w:tc>
          <w:tcPr>
            <w:tcW w:w="2412" w:type="dxa"/>
            <w:noWrap w:val="0"/>
            <w:vAlign w:val="center"/>
          </w:tcPr>
          <w:p w14:paraId="0FBB7349">
            <w:pPr>
              <w:spacing w:line="3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徐州生物工程职业技术学院</w:t>
            </w:r>
          </w:p>
        </w:tc>
        <w:tc>
          <w:tcPr>
            <w:tcW w:w="1979" w:type="dxa"/>
            <w:noWrap w:val="0"/>
            <w:vAlign w:val="center"/>
          </w:tcPr>
          <w:p w14:paraId="2DC7AB84">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单位名称（公章或合同章）</w:t>
            </w:r>
          </w:p>
        </w:tc>
        <w:tc>
          <w:tcPr>
            <w:tcW w:w="2116" w:type="dxa"/>
            <w:noWrap w:val="0"/>
            <w:vAlign w:val="center"/>
          </w:tcPr>
          <w:p w14:paraId="4FD49F72">
            <w:pPr>
              <w:spacing w:line="300" w:lineRule="exact"/>
              <w:jc w:val="center"/>
              <w:rPr>
                <w:rFonts w:hint="eastAsia" w:ascii="仿宋" w:hAnsi="仿宋" w:eastAsia="仿宋" w:cs="仿宋"/>
                <w:color w:val="000000"/>
                <w:spacing w:val="20"/>
                <w:sz w:val="24"/>
                <w:szCs w:val="24"/>
                <w:highlight w:val="none"/>
              </w:rPr>
            </w:pPr>
          </w:p>
        </w:tc>
      </w:tr>
      <w:tr w14:paraId="0918BFF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1171" w:hRule="atLeast"/>
          <w:jc w:val="center"/>
        </w:trPr>
        <w:tc>
          <w:tcPr>
            <w:tcW w:w="1891" w:type="dxa"/>
            <w:vMerge w:val="restart"/>
            <w:noWrap w:val="0"/>
            <w:vAlign w:val="center"/>
          </w:tcPr>
          <w:p w14:paraId="177BA7E7">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p w14:paraId="14BAB3F4">
            <w:pPr>
              <w:spacing w:line="300" w:lineRule="exact"/>
              <w:ind w:firstLine="134"/>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或其委托代理人（签章）</w:t>
            </w:r>
          </w:p>
        </w:tc>
        <w:tc>
          <w:tcPr>
            <w:tcW w:w="2412" w:type="dxa"/>
            <w:vMerge w:val="restart"/>
            <w:noWrap w:val="0"/>
            <w:vAlign w:val="center"/>
          </w:tcPr>
          <w:p w14:paraId="239F7C39">
            <w:pPr>
              <w:spacing w:line="300" w:lineRule="exact"/>
              <w:jc w:val="center"/>
              <w:rPr>
                <w:rFonts w:hint="eastAsia" w:ascii="仿宋" w:hAnsi="仿宋" w:eastAsia="仿宋" w:cs="仿宋"/>
                <w:color w:val="000000"/>
                <w:sz w:val="24"/>
                <w:szCs w:val="24"/>
                <w:highlight w:val="none"/>
                <w:lang w:val="en-US" w:eastAsia="zh-CN"/>
              </w:rPr>
            </w:pPr>
          </w:p>
        </w:tc>
        <w:tc>
          <w:tcPr>
            <w:tcW w:w="1979" w:type="dxa"/>
            <w:noWrap w:val="0"/>
            <w:vAlign w:val="center"/>
          </w:tcPr>
          <w:p w14:paraId="7D2A0888">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p w14:paraId="45CC1771">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或其委托代理人（签章）</w:t>
            </w:r>
          </w:p>
        </w:tc>
        <w:tc>
          <w:tcPr>
            <w:tcW w:w="2116" w:type="dxa"/>
            <w:noWrap w:val="0"/>
            <w:vAlign w:val="center"/>
          </w:tcPr>
          <w:p w14:paraId="2D5D6EC4">
            <w:pPr>
              <w:spacing w:line="300" w:lineRule="exact"/>
              <w:jc w:val="center"/>
              <w:rPr>
                <w:rFonts w:hint="eastAsia" w:ascii="仿宋" w:hAnsi="仿宋" w:eastAsia="仿宋" w:cs="仿宋"/>
                <w:color w:val="000000"/>
                <w:sz w:val="24"/>
                <w:szCs w:val="24"/>
                <w:highlight w:val="none"/>
              </w:rPr>
            </w:pPr>
          </w:p>
        </w:tc>
      </w:tr>
      <w:tr w14:paraId="7F8CA512">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vMerge w:val="continue"/>
            <w:noWrap w:val="0"/>
            <w:vAlign w:val="center"/>
          </w:tcPr>
          <w:p w14:paraId="2F604F47">
            <w:pPr>
              <w:spacing w:line="300" w:lineRule="exact"/>
              <w:jc w:val="center"/>
              <w:rPr>
                <w:rFonts w:hint="eastAsia" w:ascii="仿宋" w:hAnsi="仿宋" w:eastAsia="仿宋" w:cs="仿宋"/>
                <w:color w:val="000000"/>
                <w:sz w:val="24"/>
                <w:szCs w:val="24"/>
                <w:highlight w:val="none"/>
              </w:rPr>
            </w:pPr>
          </w:p>
        </w:tc>
        <w:tc>
          <w:tcPr>
            <w:tcW w:w="2412" w:type="dxa"/>
            <w:vMerge w:val="continue"/>
            <w:noWrap w:val="0"/>
            <w:vAlign w:val="center"/>
          </w:tcPr>
          <w:p w14:paraId="2B553A57">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63316A09">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拥有者性别</w:t>
            </w:r>
          </w:p>
        </w:tc>
        <w:tc>
          <w:tcPr>
            <w:tcW w:w="2116" w:type="dxa"/>
            <w:noWrap w:val="0"/>
            <w:vAlign w:val="center"/>
          </w:tcPr>
          <w:p w14:paraId="6C18F10B">
            <w:pPr>
              <w:spacing w:line="300" w:lineRule="exact"/>
              <w:jc w:val="center"/>
              <w:rPr>
                <w:rFonts w:hint="eastAsia" w:ascii="仿宋" w:hAnsi="仿宋" w:eastAsia="仿宋" w:cs="仿宋"/>
                <w:color w:val="000000"/>
                <w:spacing w:val="20"/>
                <w:sz w:val="24"/>
                <w:szCs w:val="24"/>
                <w:highlight w:val="none"/>
              </w:rPr>
            </w:pPr>
          </w:p>
        </w:tc>
      </w:tr>
      <w:tr w14:paraId="73A9D00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320305D0">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住  所</w:t>
            </w:r>
          </w:p>
        </w:tc>
        <w:tc>
          <w:tcPr>
            <w:tcW w:w="2412" w:type="dxa"/>
            <w:noWrap w:val="0"/>
            <w:vAlign w:val="center"/>
          </w:tcPr>
          <w:p w14:paraId="02B4491B">
            <w:pPr>
              <w:spacing w:line="300" w:lineRule="exact"/>
              <w:jc w:val="center"/>
              <w:rPr>
                <w:rFonts w:hint="eastAsia" w:ascii="仿宋" w:hAnsi="仿宋" w:eastAsia="仿宋" w:cs="仿宋"/>
                <w:color w:val="000000"/>
                <w:sz w:val="24"/>
                <w:szCs w:val="24"/>
                <w:highlight w:val="none"/>
                <w:lang w:val="en-US" w:eastAsia="zh-CN"/>
              </w:rPr>
            </w:pPr>
          </w:p>
        </w:tc>
        <w:tc>
          <w:tcPr>
            <w:tcW w:w="1979" w:type="dxa"/>
            <w:noWrap w:val="0"/>
            <w:vAlign w:val="center"/>
          </w:tcPr>
          <w:p w14:paraId="58C3AB7C">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住  所</w:t>
            </w:r>
          </w:p>
        </w:tc>
        <w:tc>
          <w:tcPr>
            <w:tcW w:w="2116" w:type="dxa"/>
            <w:noWrap w:val="0"/>
            <w:vAlign w:val="center"/>
          </w:tcPr>
          <w:p w14:paraId="06AF66C2">
            <w:pPr>
              <w:spacing w:line="300" w:lineRule="exact"/>
              <w:jc w:val="center"/>
              <w:rPr>
                <w:rFonts w:hint="eastAsia" w:ascii="仿宋" w:hAnsi="仿宋" w:eastAsia="仿宋" w:cs="仿宋"/>
                <w:color w:val="000000"/>
                <w:spacing w:val="20"/>
                <w:sz w:val="24"/>
                <w:szCs w:val="24"/>
                <w:highlight w:val="none"/>
              </w:rPr>
            </w:pPr>
          </w:p>
        </w:tc>
      </w:tr>
      <w:tr w14:paraId="6DADC06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540" w:hRule="atLeast"/>
          <w:jc w:val="center"/>
        </w:trPr>
        <w:tc>
          <w:tcPr>
            <w:tcW w:w="1891" w:type="dxa"/>
            <w:noWrap w:val="0"/>
            <w:vAlign w:val="center"/>
          </w:tcPr>
          <w:p w14:paraId="473CEBFD">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 系 人</w:t>
            </w:r>
          </w:p>
        </w:tc>
        <w:tc>
          <w:tcPr>
            <w:tcW w:w="2412" w:type="dxa"/>
            <w:noWrap w:val="0"/>
            <w:vAlign w:val="center"/>
          </w:tcPr>
          <w:p w14:paraId="03B8B2CC">
            <w:pPr>
              <w:spacing w:line="300" w:lineRule="exact"/>
              <w:jc w:val="center"/>
              <w:rPr>
                <w:rFonts w:hint="eastAsia" w:ascii="仿宋" w:hAnsi="仿宋" w:eastAsia="仿宋" w:cs="仿宋"/>
                <w:color w:val="000000"/>
                <w:sz w:val="24"/>
                <w:szCs w:val="24"/>
                <w:highlight w:val="none"/>
                <w:lang w:val="en-US" w:eastAsia="zh-CN"/>
              </w:rPr>
            </w:pPr>
          </w:p>
        </w:tc>
        <w:tc>
          <w:tcPr>
            <w:tcW w:w="1979" w:type="dxa"/>
            <w:noWrap w:val="0"/>
            <w:vAlign w:val="center"/>
          </w:tcPr>
          <w:p w14:paraId="11B1830C">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 系 人</w:t>
            </w:r>
          </w:p>
        </w:tc>
        <w:tc>
          <w:tcPr>
            <w:tcW w:w="2116" w:type="dxa"/>
            <w:noWrap w:val="0"/>
            <w:vAlign w:val="center"/>
          </w:tcPr>
          <w:p w14:paraId="2DEC5C38">
            <w:pPr>
              <w:spacing w:line="300" w:lineRule="exact"/>
              <w:jc w:val="center"/>
              <w:rPr>
                <w:rFonts w:hint="eastAsia" w:ascii="仿宋" w:hAnsi="仿宋" w:eastAsia="仿宋" w:cs="仿宋"/>
                <w:color w:val="000000"/>
                <w:spacing w:val="20"/>
                <w:sz w:val="24"/>
                <w:szCs w:val="24"/>
                <w:highlight w:val="none"/>
              </w:rPr>
            </w:pPr>
          </w:p>
        </w:tc>
      </w:tr>
      <w:tr w14:paraId="0B6D9819">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197AA230">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tc>
        <w:tc>
          <w:tcPr>
            <w:tcW w:w="2412" w:type="dxa"/>
            <w:noWrap w:val="0"/>
            <w:vAlign w:val="center"/>
          </w:tcPr>
          <w:p w14:paraId="4B44D50C">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2B3F98D3">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tc>
        <w:tc>
          <w:tcPr>
            <w:tcW w:w="2116" w:type="dxa"/>
            <w:noWrap w:val="0"/>
            <w:vAlign w:val="center"/>
          </w:tcPr>
          <w:p w14:paraId="10CACBAC">
            <w:pPr>
              <w:spacing w:line="300" w:lineRule="exact"/>
              <w:jc w:val="center"/>
              <w:rPr>
                <w:rFonts w:hint="eastAsia" w:ascii="仿宋" w:hAnsi="仿宋" w:eastAsia="仿宋" w:cs="仿宋"/>
                <w:color w:val="000000"/>
                <w:spacing w:val="20"/>
                <w:sz w:val="24"/>
                <w:szCs w:val="24"/>
                <w:highlight w:val="none"/>
              </w:rPr>
            </w:pPr>
          </w:p>
        </w:tc>
      </w:tr>
      <w:tr w14:paraId="7CB2D2A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1AD4C98F">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p>
        </w:tc>
        <w:tc>
          <w:tcPr>
            <w:tcW w:w="2412" w:type="dxa"/>
            <w:noWrap w:val="0"/>
            <w:vAlign w:val="center"/>
          </w:tcPr>
          <w:p w14:paraId="714CEEA8">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3BC828EC">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p>
        </w:tc>
        <w:tc>
          <w:tcPr>
            <w:tcW w:w="2116" w:type="dxa"/>
            <w:noWrap w:val="0"/>
            <w:vAlign w:val="center"/>
          </w:tcPr>
          <w:p w14:paraId="0E85967A">
            <w:pPr>
              <w:spacing w:line="300" w:lineRule="exact"/>
              <w:jc w:val="center"/>
              <w:rPr>
                <w:rFonts w:hint="eastAsia" w:ascii="仿宋" w:hAnsi="仿宋" w:eastAsia="仿宋" w:cs="仿宋"/>
                <w:color w:val="000000"/>
                <w:spacing w:val="20"/>
                <w:sz w:val="24"/>
                <w:szCs w:val="24"/>
                <w:highlight w:val="none"/>
              </w:rPr>
            </w:pPr>
          </w:p>
        </w:tc>
      </w:tr>
      <w:tr w14:paraId="233E91B5">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039B66C7">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2412" w:type="dxa"/>
            <w:noWrap w:val="0"/>
            <w:vAlign w:val="center"/>
          </w:tcPr>
          <w:p w14:paraId="4799A281">
            <w:pPr>
              <w:spacing w:line="300" w:lineRule="exact"/>
              <w:jc w:val="center"/>
              <w:rPr>
                <w:rFonts w:hint="eastAsia" w:ascii="仿宋" w:hAnsi="仿宋" w:eastAsia="仿宋" w:cs="仿宋"/>
                <w:color w:val="000000"/>
                <w:sz w:val="24"/>
                <w:szCs w:val="24"/>
                <w:highlight w:val="none"/>
                <w:lang w:val="en-US" w:eastAsia="zh-CN"/>
              </w:rPr>
            </w:pPr>
          </w:p>
        </w:tc>
        <w:tc>
          <w:tcPr>
            <w:tcW w:w="1979" w:type="dxa"/>
            <w:noWrap w:val="0"/>
            <w:vAlign w:val="center"/>
          </w:tcPr>
          <w:p w14:paraId="6A47DF83">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2116" w:type="dxa"/>
            <w:noWrap w:val="0"/>
            <w:vAlign w:val="center"/>
          </w:tcPr>
          <w:p w14:paraId="25AE8292">
            <w:pPr>
              <w:spacing w:line="300" w:lineRule="exact"/>
              <w:jc w:val="center"/>
              <w:rPr>
                <w:rFonts w:hint="eastAsia" w:ascii="仿宋" w:hAnsi="仿宋" w:eastAsia="仿宋" w:cs="仿宋"/>
                <w:color w:val="000000"/>
                <w:spacing w:val="20"/>
                <w:sz w:val="24"/>
                <w:szCs w:val="24"/>
                <w:highlight w:val="none"/>
              </w:rPr>
            </w:pPr>
          </w:p>
        </w:tc>
      </w:tr>
      <w:tr w14:paraId="7131A97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115749A2">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w:t>
            </w:r>
          </w:p>
        </w:tc>
        <w:tc>
          <w:tcPr>
            <w:tcW w:w="2412" w:type="dxa"/>
            <w:noWrap w:val="0"/>
            <w:vAlign w:val="center"/>
          </w:tcPr>
          <w:p w14:paraId="5F356625">
            <w:pPr>
              <w:spacing w:line="300" w:lineRule="exact"/>
              <w:jc w:val="both"/>
              <w:rPr>
                <w:rFonts w:hint="eastAsia" w:ascii="仿宋" w:hAnsi="仿宋" w:eastAsia="仿宋" w:cs="仿宋"/>
                <w:color w:val="000000"/>
                <w:sz w:val="24"/>
                <w:szCs w:val="24"/>
                <w:highlight w:val="none"/>
                <w:lang w:val="en-US" w:eastAsia="zh-CN"/>
              </w:rPr>
            </w:pPr>
          </w:p>
        </w:tc>
        <w:tc>
          <w:tcPr>
            <w:tcW w:w="1979" w:type="dxa"/>
            <w:noWrap w:val="0"/>
            <w:vAlign w:val="center"/>
          </w:tcPr>
          <w:p w14:paraId="42DF86DF">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w:t>
            </w:r>
          </w:p>
        </w:tc>
        <w:tc>
          <w:tcPr>
            <w:tcW w:w="2116" w:type="dxa"/>
            <w:noWrap w:val="0"/>
            <w:vAlign w:val="center"/>
          </w:tcPr>
          <w:p w14:paraId="390879DD">
            <w:pPr>
              <w:spacing w:line="300" w:lineRule="exact"/>
              <w:jc w:val="center"/>
              <w:rPr>
                <w:rFonts w:hint="eastAsia" w:ascii="仿宋" w:hAnsi="仿宋" w:eastAsia="仿宋" w:cs="仿宋"/>
                <w:color w:val="000000"/>
                <w:spacing w:val="20"/>
                <w:sz w:val="24"/>
                <w:szCs w:val="24"/>
                <w:highlight w:val="none"/>
              </w:rPr>
            </w:pPr>
          </w:p>
        </w:tc>
      </w:tr>
      <w:tr w14:paraId="2C6B89D5">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878" w:hRule="atLeast"/>
          <w:jc w:val="center"/>
        </w:trPr>
        <w:tc>
          <w:tcPr>
            <w:tcW w:w="1891" w:type="dxa"/>
            <w:noWrap w:val="0"/>
            <w:vAlign w:val="center"/>
          </w:tcPr>
          <w:p w14:paraId="1FD9F86F">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统一社会信用代码</w:t>
            </w:r>
          </w:p>
        </w:tc>
        <w:tc>
          <w:tcPr>
            <w:tcW w:w="2412" w:type="dxa"/>
            <w:noWrap w:val="0"/>
            <w:vAlign w:val="center"/>
          </w:tcPr>
          <w:p w14:paraId="3B868F34">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77A3771F">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统一社会信用代码</w:t>
            </w:r>
          </w:p>
        </w:tc>
        <w:tc>
          <w:tcPr>
            <w:tcW w:w="2116" w:type="dxa"/>
            <w:noWrap w:val="0"/>
            <w:vAlign w:val="center"/>
          </w:tcPr>
          <w:p w14:paraId="7D42411F">
            <w:pPr>
              <w:spacing w:line="300" w:lineRule="exact"/>
              <w:jc w:val="center"/>
              <w:rPr>
                <w:rFonts w:hint="eastAsia" w:ascii="仿宋" w:hAnsi="仿宋" w:eastAsia="仿宋" w:cs="仿宋"/>
                <w:color w:val="000000"/>
                <w:spacing w:val="20"/>
                <w:sz w:val="24"/>
                <w:szCs w:val="24"/>
                <w:highlight w:val="none"/>
              </w:rPr>
            </w:pPr>
          </w:p>
        </w:tc>
      </w:tr>
      <w:tr w14:paraId="2FF15F69">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49F7C242">
            <w:pPr>
              <w:spacing w:line="300" w:lineRule="exact"/>
              <w:jc w:val="center"/>
              <w:rPr>
                <w:rFonts w:hint="eastAsia" w:ascii="仿宋" w:hAnsi="仿宋" w:eastAsia="仿宋" w:cs="仿宋"/>
                <w:color w:val="000000"/>
                <w:sz w:val="24"/>
                <w:szCs w:val="24"/>
                <w:highlight w:val="none"/>
              </w:rPr>
            </w:pPr>
          </w:p>
        </w:tc>
        <w:tc>
          <w:tcPr>
            <w:tcW w:w="2412" w:type="dxa"/>
            <w:noWrap w:val="0"/>
            <w:vAlign w:val="center"/>
          </w:tcPr>
          <w:p w14:paraId="41FE82F9">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3D25AB7B">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开户名称</w:t>
            </w:r>
          </w:p>
        </w:tc>
        <w:tc>
          <w:tcPr>
            <w:tcW w:w="2116" w:type="dxa"/>
            <w:noWrap w:val="0"/>
            <w:vAlign w:val="center"/>
          </w:tcPr>
          <w:p w14:paraId="0ED0B2D2">
            <w:pPr>
              <w:spacing w:line="300" w:lineRule="exact"/>
              <w:jc w:val="center"/>
              <w:rPr>
                <w:rFonts w:hint="eastAsia" w:ascii="仿宋" w:hAnsi="仿宋" w:eastAsia="仿宋" w:cs="仿宋"/>
                <w:color w:val="000000"/>
                <w:spacing w:val="20"/>
                <w:sz w:val="24"/>
                <w:szCs w:val="24"/>
                <w:highlight w:val="none"/>
              </w:rPr>
            </w:pPr>
          </w:p>
        </w:tc>
      </w:tr>
      <w:tr w14:paraId="0109F42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6FCA919F">
            <w:pPr>
              <w:spacing w:line="300" w:lineRule="exact"/>
              <w:jc w:val="center"/>
              <w:rPr>
                <w:rFonts w:hint="eastAsia" w:ascii="仿宋" w:hAnsi="仿宋" w:eastAsia="仿宋" w:cs="仿宋"/>
                <w:color w:val="000000"/>
                <w:sz w:val="24"/>
                <w:szCs w:val="24"/>
                <w:highlight w:val="none"/>
              </w:rPr>
            </w:pPr>
          </w:p>
        </w:tc>
        <w:tc>
          <w:tcPr>
            <w:tcW w:w="2412" w:type="dxa"/>
            <w:noWrap w:val="0"/>
            <w:vAlign w:val="center"/>
          </w:tcPr>
          <w:p w14:paraId="0AB435F4">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3283C30A">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2116" w:type="dxa"/>
            <w:noWrap w:val="0"/>
            <w:vAlign w:val="center"/>
          </w:tcPr>
          <w:p w14:paraId="513B8EE1">
            <w:pPr>
              <w:spacing w:line="300" w:lineRule="exact"/>
              <w:jc w:val="center"/>
              <w:rPr>
                <w:rFonts w:hint="eastAsia" w:ascii="仿宋" w:hAnsi="仿宋" w:eastAsia="仿宋" w:cs="仿宋"/>
                <w:color w:val="000000"/>
                <w:spacing w:val="20"/>
                <w:sz w:val="24"/>
                <w:szCs w:val="24"/>
                <w:highlight w:val="none"/>
              </w:rPr>
            </w:pPr>
          </w:p>
        </w:tc>
      </w:tr>
      <w:tr w14:paraId="7AE8B090">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891" w:type="dxa"/>
            <w:noWrap w:val="0"/>
            <w:vAlign w:val="center"/>
          </w:tcPr>
          <w:p w14:paraId="22B98C09">
            <w:pPr>
              <w:spacing w:line="300" w:lineRule="exact"/>
              <w:jc w:val="center"/>
              <w:rPr>
                <w:rFonts w:hint="eastAsia" w:ascii="仿宋" w:hAnsi="仿宋" w:eastAsia="仿宋" w:cs="仿宋"/>
                <w:color w:val="000000"/>
                <w:sz w:val="24"/>
                <w:szCs w:val="24"/>
                <w:highlight w:val="none"/>
              </w:rPr>
            </w:pPr>
          </w:p>
        </w:tc>
        <w:tc>
          <w:tcPr>
            <w:tcW w:w="2412" w:type="dxa"/>
            <w:noWrap w:val="0"/>
            <w:vAlign w:val="center"/>
          </w:tcPr>
          <w:p w14:paraId="2D194396">
            <w:pPr>
              <w:spacing w:line="300" w:lineRule="exact"/>
              <w:jc w:val="center"/>
              <w:rPr>
                <w:rFonts w:hint="eastAsia" w:ascii="仿宋" w:hAnsi="仿宋" w:eastAsia="仿宋" w:cs="仿宋"/>
                <w:color w:val="000000"/>
                <w:sz w:val="24"/>
                <w:szCs w:val="24"/>
                <w:highlight w:val="none"/>
              </w:rPr>
            </w:pPr>
          </w:p>
        </w:tc>
        <w:tc>
          <w:tcPr>
            <w:tcW w:w="1979" w:type="dxa"/>
            <w:noWrap w:val="0"/>
            <w:vAlign w:val="center"/>
          </w:tcPr>
          <w:p w14:paraId="1C134517">
            <w:pPr>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w:t>
            </w:r>
          </w:p>
        </w:tc>
        <w:tc>
          <w:tcPr>
            <w:tcW w:w="2116" w:type="dxa"/>
            <w:noWrap w:val="0"/>
            <w:vAlign w:val="center"/>
          </w:tcPr>
          <w:p w14:paraId="2CDC1D24">
            <w:pPr>
              <w:spacing w:line="300" w:lineRule="exact"/>
              <w:jc w:val="center"/>
              <w:rPr>
                <w:rFonts w:hint="eastAsia" w:ascii="仿宋" w:hAnsi="仿宋" w:eastAsia="仿宋" w:cs="仿宋"/>
                <w:color w:val="000000"/>
                <w:spacing w:val="20"/>
                <w:sz w:val="24"/>
                <w:szCs w:val="24"/>
                <w:highlight w:val="none"/>
              </w:rPr>
            </w:pPr>
          </w:p>
        </w:tc>
      </w:tr>
      <w:tr w14:paraId="3D3C1EF0">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586" w:hRule="atLeast"/>
          <w:jc w:val="center"/>
        </w:trPr>
        <w:tc>
          <w:tcPr>
            <w:tcW w:w="8398" w:type="dxa"/>
            <w:gridSpan w:val="4"/>
            <w:noWrap w:val="0"/>
            <w:vAlign w:val="center"/>
          </w:tcPr>
          <w:p w14:paraId="6291E4DF">
            <w:pPr>
              <w:pStyle w:val="291"/>
              <w:spacing w:before="156" w:after="0" w:line="360" w:lineRule="auto"/>
              <w:ind w:left="0"/>
              <w:jc w:val="left"/>
              <w:rPr>
                <w:rFonts w:hint="eastAsia" w:ascii="仿宋" w:hAnsi="仿宋" w:eastAsia="仿宋" w:cs="仿宋"/>
                <w:color w:val="000000"/>
                <w:spacing w:val="20"/>
                <w:sz w:val="24"/>
                <w:szCs w:val="24"/>
                <w:highlight w:val="none"/>
              </w:rPr>
            </w:pPr>
            <w:r>
              <w:rPr>
                <w:rFonts w:hint="eastAsia" w:ascii="仿宋" w:hAnsi="仿宋" w:eastAsia="仿宋" w:cs="仿宋"/>
                <w:color w:val="000000"/>
                <w:sz w:val="24"/>
                <w:szCs w:val="24"/>
                <w:highlight w:val="none"/>
              </w:rPr>
              <w:t>注：涉及联合体或其他合同主体的信息应按上表格式加列。</w:t>
            </w:r>
          </w:p>
        </w:tc>
      </w:tr>
    </w:tbl>
    <w:p w14:paraId="7F36FBB3">
      <w:pPr>
        <w:pStyle w:val="116"/>
        <w:spacing w:before="156" w:line="52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br w:type="page" w:clear="all"/>
      </w:r>
      <w:bookmarkStart w:id="12" w:name="_Toc27624"/>
      <w:r>
        <w:rPr>
          <w:rFonts w:hint="eastAsia" w:ascii="仿宋" w:hAnsi="仿宋" w:eastAsia="仿宋" w:cs="仿宋"/>
          <w:color w:val="000000"/>
          <w:sz w:val="28"/>
          <w:szCs w:val="28"/>
          <w:highlight w:val="none"/>
        </w:rPr>
        <w:t>第二节 政府采购合同通用条款</w:t>
      </w:r>
      <w:bookmarkEnd w:id="12"/>
    </w:p>
    <w:p w14:paraId="68397791">
      <w:pPr>
        <w:tabs>
          <w:tab w:val="left" w:pos="8820"/>
          <w:tab w:val="left" w:pos="9345"/>
          <w:tab w:val="left" w:pos="9765"/>
        </w:tabs>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 xml:space="preserve">1. </w:t>
      </w:r>
      <w:r>
        <w:rPr>
          <w:rFonts w:hint="eastAsia" w:ascii="仿宋" w:hAnsi="仿宋" w:eastAsia="仿宋" w:cs="仿宋"/>
          <w:b/>
          <w:bCs/>
          <w:color w:val="000000"/>
          <w:sz w:val="24"/>
          <w:szCs w:val="24"/>
          <w:highlight w:val="none"/>
        </w:rPr>
        <w:t>定义</w:t>
      </w:r>
    </w:p>
    <w:p w14:paraId="48C147C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1.1合同当事人</w:t>
      </w:r>
    </w:p>
    <w:p w14:paraId="78F87E8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（1）采购人（以下称甲方）是指使用财政性资金，通过政府采购方式向供应商购买货物及其相关服务的国家机关、事业单位、团体组织。</w:t>
      </w:r>
    </w:p>
    <w:p w14:paraId="43E45C1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（2）供应商（以下称乙方）是指参加政府采购活动并且中标（成交），向采购人提供合同约定的货物及其相关服务的法人、非法人组织或者自然人。</w:t>
      </w:r>
    </w:p>
    <w:p w14:paraId="77D236E1">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（3）其他合同主体是指除采购人和供应商以外，</w:t>
      </w:r>
      <w:r>
        <w:rPr>
          <w:rFonts w:hint="eastAsia" w:ascii="仿宋" w:hAnsi="仿宋" w:eastAsia="仿宋" w:cs="仿宋"/>
          <w:bCs/>
          <w:color w:val="000000"/>
          <w:sz w:val="24"/>
          <w:szCs w:val="24"/>
          <w:highlight w:val="none"/>
        </w:rPr>
        <w:t>依法参与合同缔结或履行，享有权利、承担义务的合同当事人</w:t>
      </w:r>
      <w:r>
        <w:rPr>
          <w:rFonts w:hint="eastAsia" w:ascii="仿宋" w:hAnsi="仿宋" w:eastAsia="仿宋" w:cs="仿宋"/>
          <w:color w:val="000000"/>
          <w:sz w:val="24"/>
          <w:szCs w:val="24"/>
          <w:highlight w:val="none"/>
        </w:rPr>
        <w:t>。</w:t>
      </w:r>
    </w:p>
    <w:p w14:paraId="1A5CED34">
      <w:pPr>
        <w:tabs>
          <w:tab w:val="left" w:pos="570"/>
          <w:tab w:val="left" w:pos="9240"/>
          <w:tab w:val="left" w:pos="9555"/>
        </w:tabs>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1.2本合同下列术语应解释为：</w:t>
      </w:r>
    </w:p>
    <w:p w14:paraId="62616C0C">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（1）“合同”系指</w:t>
      </w:r>
      <w:r>
        <w:rPr>
          <w:rFonts w:hint="eastAsia" w:ascii="仿宋" w:hAnsi="仿宋" w:eastAsia="仿宋" w:cs="仿宋"/>
          <w:bCs/>
          <w:color w:val="000000"/>
          <w:sz w:val="24"/>
          <w:szCs w:val="24"/>
          <w:highlight w:val="none"/>
        </w:rPr>
        <w:t>合同当事人意思表示达成一致的任何协议，包括签署的</w:t>
      </w:r>
      <w:r>
        <w:rPr>
          <w:rFonts w:hint="eastAsia" w:ascii="仿宋" w:hAnsi="仿宋" w:eastAsia="仿宋" w:cs="仿宋"/>
          <w:color w:val="000000"/>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EF21FDD">
      <w:pPr>
        <w:tabs>
          <w:tab w:val="left" w:pos="570"/>
          <w:tab w:val="left" w:pos="9240"/>
          <w:tab w:val="left" w:pos="9555"/>
        </w:tabs>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（2）“合同价款”系指根据本合同规定乙方在全面履行合同义务后甲方应支付给乙方的价款。</w:t>
      </w:r>
    </w:p>
    <w:p w14:paraId="4C186B12">
      <w:pPr>
        <w:tabs>
          <w:tab w:val="left" w:pos="570"/>
          <w:tab w:val="left" w:pos="9240"/>
          <w:tab w:val="left" w:pos="9555"/>
        </w:tabs>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技术资料和材料等。</w:t>
      </w:r>
    </w:p>
    <w:p w14:paraId="43856E0C">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（4）“相关服务”系指根据合同规定，乙方应提供的与货物有关的技术、管理和</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义务。</w:t>
      </w:r>
    </w:p>
    <w:p w14:paraId="504F58A5">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190DC719">
      <w:pPr>
        <w:tabs>
          <w:tab w:val="left" w:pos="570"/>
          <w:tab w:val="left" w:pos="9240"/>
          <w:tab w:val="left" w:pos="9555"/>
        </w:tabs>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332FB8EC">
      <w:pPr>
        <w:tabs>
          <w:tab w:val="left" w:pos="570"/>
          <w:tab w:val="left" w:pos="9240"/>
          <w:tab w:val="left" w:pos="9555"/>
        </w:tabs>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（7）其他术语解释，见【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2EABE5F7">
      <w:pPr>
        <w:numPr>
          <w:ilvl w:val="0"/>
          <w:numId w:val="0"/>
        </w:num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lang w:val="en-US" w:eastAsia="zh-CN" w:bidi="ar-SA"/>
        </w:rPr>
        <w:t>2.</w:t>
      </w:r>
      <w:r>
        <w:rPr>
          <w:rFonts w:hint="eastAsia" w:ascii="仿宋" w:hAnsi="仿宋" w:eastAsia="仿宋" w:cs="仿宋"/>
          <w:b/>
          <w:color w:val="000000"/>
          <w:sz w:val="24"/>
          <w:szCs w:val="24"/>
          <w:highlight w:val="none"/>
        </w:rPr>
        <w:t>合同标的及金额</w:t>
      </w:r>
    </w:p>
    <w:p w14:paraId="6B3D56FE">
      <w:pPr>
        <w:spacing w:line="520" w:lineRule="exact"/>
        <w:ind w:firstLine="560"/>
        <w:jc w:val="left"/>
        <w:rPr>
          <w:rFonts w:hint="eastAsia" w:ascii="仿宋" w:hAnsi="仿宋" w:eastAsia="仿宋" w:cs="仿宋"/>
          <w:b/>
          <w:bCs/>
          <w:i/>
          <w:iCs/>
          <w:color w:val="000000"/>
          <w:sz w:val="24"/>
          <w:szCs w:val="24"/>
          <w:highlight w:val="none"/>
        </w:rPr>
      </w:pPr>
      <w:r>
        <w:rPr>
          <w:rFonts w:hint="eastAsia" w:ascii="仿宋" w:hAnsi="仿宋" w:eastAsia="仿宋" w:cs="仿宋"/>
          <w:color w:val="000000"/>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任何费用。</w:t>
      </w:r>
    </w:p>
    <w:p w14:paraId="75A712E0">
      <w:p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 履行合同的时间、地点和方式</w:t>
      </w:r>
    </w:p>
    <w:p w14:paraId="16FABD5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 乙方应当在约定的时间、地点，按照约定方式履行合同。</w:t>
      </w:r>
    </w:p>
    <w:p w14:paraId="127290D2">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 甲方的权利和义务</w:t>
      </w:r>
    </w:p>
    <w:p w14:paraId="7DE14EA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1DAD18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C60615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甲方有权要求乙方对缺陷部分予以修复，并按合同约定享有货物保修及其他合同约定的权利。</w:t>
      </w:r>
    </w:p>
    <w:p w14:paraId="279B3511">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 甲方应当按照合同约定及时对交付的货物进行验收，未在</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约定的期限内对乙方履约提出任何异议或者向乙方作出任何说明的，视为验收通过。</w:t>
      </w:r>
    </w:p>
    <w:p w14:paraId="1D79E03D">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 甲方应当根据合同约定及时向乙方支付合同价款，不得以内部人员变更、履行内部付款流程等为由，拒绝或迟延支付。</w:t>
      </w:r>
    </w:p>
    <w:p w14:paraId="5A4D89A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 国家法律法规规定及</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约定应由甲方承担的其他义务和责任。</w:t>
      </w:r>
    </w:p>
    <w:p w14:paraId="7FAA64D9">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 乙方的权利和义务</w:t>
      </w:r>
    </w:p>
    <w:p w14:paraId="7BF24EEA">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签署合同后，乙方应确定项目负责人（或项目联系人），负责与本合同有关的事务。</w:t>
      </w:r>
    </w:p>
    <w:p w14:paraId="7DE43DA6">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7176648">
      <w:pPr>
        <w:pStyle w:val="97"/>
        <w:spacing w:after="0"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5.3乙方有权根据合同约定向甲方收取合同价款。</w:t>
      </w:r>
    </w:p>
    <w:p w14:paraId="566A87B1">
      <w:pPr>
        <w:pStyle w:val="97"/>
        <w:spacing w:after="0"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5.4国家法律法规规定及</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约定应由乙方承担的其他义务和责任。</w:t>
      </w:r>
    </w:p>
    <w:p w14:paraId="5F34888E">
      <w:pPr>
        <w:numPr>
          <w:ilvl w:val="0"/>
          <w:numId w:val="6"/>
        </w:num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合同履行</w:t>
      </w:r>
    </w:p>
    <w:p w14:paraId="5F80BC6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甲乙双方应当按照</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约定顺序履行合同义务；如果没有先后顺序的，应当同时履行。</w:t>
      </w:r>
    </w:p>
    <w:p w14:paraId="16D896DF">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5416941">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 货物包装、运输、保险和交付要求</w:t>
      </w:r>
    </w:p>
    <w:p w14:paraId="4B317471">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本合同</w:t>
      </w:r>
      <w:r>
        <w:rPr>
          <w:rFonts w:hint="eastAsia" w:ascii="仿宋" w:hAnsi="仿宋" w:eastAsia="仿宋" w:cs="仿宋"/>
          <w:bCs/>
          <w:color w:val="000000"/>
          <w:sz w:val="24"/>
          <w:szCs w:val="24"/>
          <w:highlight w:val="none"/>
        </w:rPr>
        <w:t>涉及商品包装、快递包装的，</w:t>
      </w:r>
      <w:r>
        <w:rPr>
          <w:rFonts w:hint="eastAsia" w:ascii="仿宋" w:hAnsi="仿宋" w:eastAsia="仿宋" w:cs="仿宋"/>
          <w:color w:val="000000"/>
          <w:sz w:val="24"/>
          <w:szCs w:val="24"/>
          <w:highlight w:val="none"/>
        </w:rPr>
        <w:t>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包装应适应远距离运输、防潮、防震、防锈和防野蛮装卸等要求，确保货物安全无损地运抵</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约定的</w:t>
      </w:r>
      <w:r>
        <w:rPr>
          <w:rFonts w:hint="eastAsia" w:ascii="仿宋" w:hAnsi="仿宋" w:eastAsia="仿宋" w:cs="仿宋"/>
          <w:color w:val="000000"/>
          <w:sz w:val="24"/>
          <w:szCs w:val="24"/>
          <w:highlight w:val="none"/>
        </w:rPr>
        <w:t>指定现场。</w:t>
      </w:r>
    </w:p>
    <w:p w14:paraId="5F4D9596">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乙方负责办理将货物运抵本合同规定的交货地点，并装卸、交付至甲方的一切运输事项，相关费用应包含在合同价款中。</w:t>
      </w:r>
    </w:p>
    <w:p w14:paraId="4527B35D">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货物保险要求按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规定执行</w:t>
      </w:r>
      <w:r>
        <w:rPr>
          <w:rFonts w:hint="eastAsia" w:ascii="仿宋" w:hAnsi="仿宋" w:eastAsia="仿宋" w:cs="仿宋"/>
          <w:color w:val="000000"/>
          <w:sz w:val="24"/>
          <w:szCs w:val="24"/>
          <w:highlight w:val="none"/>
        </w:rPr>
        <w:t>。</w:t>
      </w:r>
    </w:p>
    <w:p w14:paraId="0C8AEF9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2E1AD8F">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乙方在运输到达之前应提前通知甲方，并提示货物运输装卸的注意事项，甲方配合乙方做好货物的接收工作。</w:t>
      </w:r>
    </w:p>
    <w:p w14:paraId="1CA995E5">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7.6 如因包装、运输问题导致货物损毁、丢失或者品质下降，甲方有权要求降价、换货、拒收部分或整批货物，由此产生的费用和损失，均由乙方承担。</w:t>
      </w:r>
    </w:p>
    <w:p w14:paraId="418D70D3">
      <w:p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 质量标准和保证</w:t>
      </w:r>
    </w:p>
    <w:p w14:paraId="2264E55F">
      <w:pPr>
        <w:pStyle w:val="294"/>
        <w:spacing w:line="520" w:lineRule="exact"/>
        <w:ind w:firstLine="560"/>
        <w:jc w:val="left"/>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8.1 质量标准</w:t>
      </w:r>
    </w:p>
    <w:p w14:paraId="44B6C32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312B81">
      <w:pPr>
        <w:pStyle w:val="294"/>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（2）采用中华人民共和国法定计量单位。</w:t>
      </w:r>
    </w:p>
    <w:p w14:paraId="37A973EC">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（3）乙方所提供的货物应符合国家有关安全、环保、卫生的规定。</w:t>
      </w:r>
    </w:p>
    <w:p w14:paraId="5DEB74DB">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5D434F3">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 保证</w:t>
      </w:r>
    </w:p>
    <w:p w14:paraId="621D51FD">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规定或乙方书面承诺（两者以较长的为准）的质量保证期内，本保证保持有效。</w:t>
      </w:r>
    </w:p>
    <w:p w14:paraId="2FCA0C44">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（2）在质量保证期内所发现的缺陷，甲方应尽快以书面形式通知乙方。</w:t>
      </w:r>
    </w:p>
    <w:p w14:paraId="2BCB9DC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（3）乙方收到通知后，应在</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规定的响应时间内以合理的速度免费维修或更换有缺陷的货物或部件。</w:t>
      </w:r>
    </w:p>
    <w:p w14:paraId="45F166D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7410683">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（5）乙方在约定的时间内未能弥补缺陷，甲方可采取必要的补救措施，但其风险和费用将由乙方承担，甲方根据合同约定对乙方行使的其他权利不受影响。</w:t>
      </w:r>
    </w:p>
    <w:p w14:paraId="150F2286">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9. 权利瑕疵担保</w:t>
      </w:r>
    </w:p>
    <w:p w14:paraId="043667C4">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乙方保证对其出售的货物享有合法的权利。</w:t>
      </w:r>
    </w:p>
    <w:p w14:paraId="278BC2A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 乙方保证在交付的货物上不存在抵押权等担保物权。</w:t>
      </w:r>
    </w:p>
    <w:p w14:paraId="34BEB06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如甲方使用上述货物构成对第三人侵权的，则由乙方承担全部责任。</w:t>
      </w:r>
    </w:p>
    <w:p w14:paraId="3B587D75">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10. 知识产权保护</w:t>
      </w:r>
    </w:p>
    <w:p w14:paraId="64250ABA">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 乙方对其所销售的货物应当享有知识产权或经权利人合法授权，保证没有侵犯任何第三人的知识产权等权利。</w:t>
      </w:r>
      <w:bookmarkStart w:id="13" w:name="_Hlk163047038"/>
      <w:r>
        <w:rPr>
          <w:rFonts w:hint="eastAsia" w:ascii="仿宋" w:hAnsi="仿宋" w:eastAsia="仿宋" w:cs="仿宋"/>
          <w:color w:val="000000"/>
          <w:sz w:val="24"/>
          <w:szCs w:val="24"/>
          <w:highlight w:val="none"/>
        </w:rPr>
        <w:t>因违反前述约定对第三人构成侵权的，应当由乙方向第三人承担法律责任；甲方依法向第三人赔偿后，有权向乙方追偿。甲方有其他损失的，乙方应当赔偿</w:t>
      </w:r>
      <w:bookmarkEnd w:id="13"/>
      <w:r>
        <w:rPr>
          <w:rFonts w:hint="eastAsia" w:ascii="仿宋" w:hAnsi="仿宋" w:eastAsia="仿宋" w:cs="仿宋"/>
          <w:color w:val="000000"/>
          <w:sz w:val="24"/>
          <w:szCs w:val="24"/>
          <w:highlight w:val="none"/>
        </w:rPr>
        <w:t>。</w:t>
      </w:r>
    </w:p>
    <w:p w14:paraId="02A1D1FA">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11. 保密义务</w:t>
      </w:r>
    </w:p>
    <w:p w14:paraId="60828F8F">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中约定。</w:t>
      </w:r>
    </w:p>
    <w:p w14:paraId="61977B4F">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12. 合同价款支付</w:t>
      </w:r>
    </w:p>
    <w:p w14:paraId="0707F071">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 合同价款支付按照国库集中支付制度及财政管理相关规定执行。</w:t>
      </w:r>
    </w:p>
    <w:p w14:paraId="62BFBD69">
      <w:pPr>
        <w:pStyle w:val="116"/>
        <w:spacing w:line="520" w:lineRule="exact"/>
        <w:ind w:firstLine="56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1C71BB86">
      <w:pPr>
        <w:pStyle w:val="97"/>
        <w:spacing w:after="0" w:line="520" w:lineRule="exact"/>
        <w:ind w:firstLine="562"/>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13. 履约保证金</w:t>
      </w:r>
    </w:p>
    <w:p w14:paraId="61342D5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 乙方应当以支票、汇票、本票或者金融机构、担保机构出具的保函等非现金形式提交。</w:t>
      </w:r>
    </w:p>
    <w:p w14:paraId="07E865E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13.2 如果乙方出现</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3F01B62">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13.3 甲方在项目通过验收后按照</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规定的时间内将履约保证金退还乙方；逾期退还的，乙方可要求甲方支付违约金，违约金按照</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规定支付。</w:t>
      </w:r>
    </w:p>
    <w:p w14:paraId="42C55D1C">
      <w:p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 xml:space="preserve">14. </w:t>
      </w:r>
      <w:r>
        <w:rPr>
          <w:rFonts w:hint="eastAsia" w:ascii="仿宋" w:hAnsi="仿宋" w:eastAsia="仿宋" w:cs="仿宋"/>
          <w:b/>
          <w:color w:val="000000"/>
          <w:sz w:val="24"/>
          <w:szCs w:val="24"/>
          <w:highlight w:val="none"/>
        </w:rPr>
        <w:t>售后服务</w:t>
      </w:r>
    </w:p>
    <w:p w14:paraId="1E5DF3E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 除项目不涉及或采购活动中明确约定无须承担外，乙方还应提供下列服务：</w:t>
      </w:r>
    </w:p>
    <w:p w14:paraId="69F8AB7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（1）货物的现场移动、安装、调试、启动监督及技术支持；</w:t>
      </w:r>
    </w:p>
    <w:p w14:paraId="7118C33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（2）提供货物组装和维修所需的专用工具和辅助材料；</w:t>
      </w:r>
    </w:p>
    <w:p w14:paraId="64E094B6">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约定的期限内对所有的货物实施运行监督、维修，但前提条件是该服务并不能免除乙方在质量保证期内所承担的义务；</w:t>
      </w:r>
    </w:p>
    <w:p w14:paraId="180291D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（4）在制造商所在地或指定现场就货物的安装、启动、运营、维护、废弃处置等对甲方操作人员进行培训；</w:t>
      </w:r>
    </w:p>
    <w:p w14:paraId="72CBD73E">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（5）依照法律、行政法规的规定或者按照</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约定，货物在有效使用年限届满后应予回收的，乙方负有自行或者委托第三人对货物予以回收的义务；</w:t>
      </w:r>
    </w:p>
    <w:p w14:paraId="4B8CC4C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规定由乙方提供的其他服务。</w:t>
      </w:r>
    </w:p>
    <w:p w14:paraId="5B463D5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 乙方提供的售后服务的费用已包含在合同价款中，甲方不再另行支付。</w:t>
      </w:r>
    </w:p>
    <w:p w14:paraId="655E9B2E">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15.违约责任</w:t>
      </w:r>
    </w:p>
    <w:p w14:paraId="5D9AB98F">
      <w:pPr>
        <w:spacing w:line="520" w:lineRule="exact"/>
        <w:ind w:firstLine="56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15.1质量瑕疵的违约责任</w:t>
      </w:r>
    </w:p>
    <w:p w14:paraId="15181D60">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乙方提供的产品不符合合同约定的质量标准或存在产品质量缺陷，甲方有权要求乙方根据</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要求</w:t>
      </w:r>
      <w:r>
        <w:rPr>
          <w:rFonts w:hint="eastAsia" w:ascii="仿宋" w:hAnsi="仿宋" w:eastAsia="仿宋" w:cs="仿宋"/>
          <w:color w:val="000000"/>
          <w:sz w:val="24"/>
          <w:szCs w:val="24"/>
          <w:highlight w:val="none"/>
        </w:rPr>
        <w:t>及时修理、重作、更换，并承担由此给甲方造成的损失。</w:t>
      </w:r>
    </w:p>
    <w:p w14:paraId="51EF6014">
      <w:pPr>
        <w:spacing w:line="520" w:lineRule="exact"/>
        <w:ind w:firstLine="56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15.2 迟延交货的违约责任</w:t>
      </w:r>
    </w:p>
    <w:p w14:paraId="1A734C79">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FDA958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color w:val="000000"/>
          <w:sz w:val="24"/>
          <w:szCs w:val="24"/>
          <w:highlight w:val="none"/>
        </w:rPr>
        <w:t>规定执行。如果涉及公共利益，且赔偿金额无法弥补公共利益损失，甲方可要求继续履行或者采取其他补救措施。</w:t>
      </w:r>
    </w:p>
    <w:p w14:paraId="115D716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15.3 迟延支付的违约责任</w:t>
      </w:r>
    </w:p>
    <w:p w14:paraId="0AAD4FA7">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甲方存在迟延支付乙方合同款项的，应当承担</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规定的逾期付款利息。</w:t>
      </w:r>
    </w:p>
    <w:p w14:paraId="1C723230">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15.4其他违约责任根据项目实际需要按</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规定执行。</w:t>
      </w:r>
    </w:p>
    <w:p w14:paraId="17ACD371">
      <w:pPr>
        <w:numPr>
          <w:ilvl w:val="0"/>
          <w:numId w:val="7"/>
        </w:num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合同变更、中止与终止</w:t>
      </w:r>
    </w:p>
    <w:p w14:paraId="1385E5C5">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16.1合同的变更</w:t>
      </w:r>
    </w:p>
    <w:p w14:paraId="612FC601">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政府采购合同履行中，在不改变合同其他条款的前提下，甲方可以在合同价款10%的范围内追加与合同标的相同的货物，并就此与乙方协商一致后签订补充协议。</w:t>
      </w:r>
    </w:p>
    <w:p w14:paraId="166162D6">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16.2合同的中止</w:t>
      </w:r>
    </w:p>
    <w:p w14:paraId="0FC24083">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（1）合同履行过程中因供应商就采购文件、采购过程或结果提起投诉的，甲方认为有必要的，可以中止合同的履行。</w:t>
      </w:r>
    </w:p>
    <w:p w14:paraId="79CD9D7F">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E30F8B5">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EE0C81B">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（4）甲方不得以行政区划调整、政府换届、机构或者职能调整以及相关责任人更替为由中止合同。</w:t>
      </w:r>
    </w:p>
    <w:p w14:paraId="3DB1569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16.3合同的终止</w:t>
      </w:r>
    </w:p>
    <w:p w14:paraId="0651A9A8">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（1）合同因有效期限届满而终止；</w:t>
      </w:r>
    </w:p>
    <w:p w14:paraId="10A14A94">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（2）乙方未按合同约定履行，构成根本性违约的，甲方有权终止合同，并追究乙方的违约责任。</w:t>
      </w:r>
    </w:p>
    <w:p w14:paraId="28F3364B">
      <w:pPr>
        <w:pStyle w:val="292"/>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16.4 涉及国家利益、社会公共利益的情形</w:t>
      </w:r>
    </w:p>
    <w:p w14:paraId="04DC6D02">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26B46743">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17. 合同分包</w:t>
      </w:r>
    </w:p>
    <w:p w14:paraId="7848FDB0">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 乙方不得将合同转包给其他供应商。涉及合同分包的，乙方应根据采购文件和投标（响应）文件规定进行合同分包。</w:t>
      </w:r>
    </w:p>
    <w:p w14:paraId="555A280E">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 乙方执行政府采购政策向中小企业依法分包的，乙方应当按采购文件和投标（响应）文件签订分包意向协议，分包意向协议属于本合同组成部分。</w:t>
      </w:r>
    </w:p>
    <w:p w14:paraId="7B2D2684">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18. 不可抗力</w:t>
      </w:r>
    </w:p>
    <w:p w14:paraId="495E683A">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18.1 不可抗力是指合同双方不能预见、不能避免且不能克服的客观情况。</w:t>
      </w:r>
    </w:p>
    <w:p w14:paraId="12703D8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18.2 任何一方对由于不可抗力造成的部分或全部不能履行合同不承担违约责任。但迟延履行后发生不可抗力的，不能免除责任。</w:t>
      </w:r>
    </w:p>
    <w:p w14:paraId="2DF4E581">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9D0FAF5">
      <w:p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19. 解决争议的方法</w:t>
      </w:r>
    </w:p>
    <w:p w14:paraId="49D85D28">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19.1因本合同及合同有关事项发生的争议，由甲乙双方友好协商解决。协商不成时，可以向有关组织申请调解。合同一方或双方不愿调解或调解不成的，可以通过仲裁或诉讼的方式解决争议。</w:t>
      </w:r>
    </w:p>
    <w:p w14:paraId="1EC7485C">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19.2选择仲裁的，应在</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中明确仲裁机构及仲裁地；通过诉讼方式解决的，可以在</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中进一步约定选择与争议有实际联系的地点的人民法院管辖，但管辖法院的约定不得违反级别管辖和专属管辖的规定。</w:t>
      </w:r>
    </w:p>
    <w:p w14:paraId="6A26DF21">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19.3如甲乙双方有争议的事项不影响合同其他部分的履行，在争议解决期间，合同其他部分应当继续履行。</w:t>
      </w:r>
    </w:p>
    <w:p w14:paraId="7D5EE2D9">
      <w:pPr>
        <w:spacing w:line="520" w:lineRule="exact"/>
        <w:ind w:firstLine="562"/>
        <w:jc w:val="left"/>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20. 政府采购政策</w:t>
      </w:r>
    </w:p>
    <w:p w14:paraId="3AD1CE70">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20.1 </w:t>
      </w:r>
      <w:r>
        <w:rPr>
          <w:rFonts w:hint="eastAsia" w:ascii="仿宋" w:hAnsi="仿宋" w:eastAsia="仿宋" w:cs="仿宋"/>
          <w:color w:val="000000"/>
          <w:sz w:val="24"/>
          <w:szCs w:val="24"/>
          <w:highlight w:val="none"/>
          <w:lang w:val="en-GB"/>
        </w:rPr>
        <w:t>本合同应当按照规定执行政府采购政策。</w:t>
      </w:r>
    </w:p>
    <w:p w14:paraId="16F009B4">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 本合同依法执行政府采购政策的方式和内容，属于合同履约验收的范围。甲乙双方</w:t>
      </w:r>
      <w:r>
        <w:rPr>
          <w:rFonts w:hint="eastAsia" w:ascii="仿宋" w:hAnsi="仿宋" w:eastAsia="仿宋" w:cs="仿宋"/>
          <w:color w:val="000000"/>
          <w:sz w:val="24"/>
          <w:szCs w:val="24"/>
          <w:highlight w:val="none"/>
          <w:lang w:val="en-GB"/>
        </w:rPr>
        <w:t>未按规定要求执行政府采购政策造成损失的</w:t>
      </w:r>
      <w:r>
        <w:rPr>
          <w:rFonts w:hint="eastAsia" w:ascii="仿宋" w:hAnsi="仿宋" w:eastAsia="仿宋" w:cs="仿宋"/>
          <w:color w:val="000000"/>
          <w:sz w:val="24"/>
          <w:szCs w:val="24"/>
          <w:highlight w:val="none"/>
        </w:rPr>
        <w:t>，有过错的一方应当承担赔偿责任，双方都有过错的，各自承担相应的责任。</w:t>
      </w:r>
    </w:p>
    <w:p w14:paraId="456D14C6">
      <w:pPr>
        <w:pStyle w:val="97"/>
        <w:spacing w:after="0"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3CDA86">
      <w:p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21. 法律适用</w:t>
      </w:r>
    </w:p>
    <w:p w14:paraId="6D353CC0">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21.1本合同的订立、生效、解释、履行及与本合同有关的争议解决，均适用法律、行政法规。</w:t>
      </w:r>
    </w:p>
    <w:p w14:paraId="5A9FA040">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21.2本合同条款与法律、行政法规的强制性规定不一致的，双方当事人应按照法律、行政法规的强制性规定修改本合同的相关条款。</w:t>
      </w:r>
    </w:p>
    <w:p w14:paraId="6F421156">
      <w:pPr>
        <w:spacing w:line="520" w:lineRule="exact"/>
        <w:ind w:firstLine="56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22. 通知</w:t>
      </w:r>
    </w:p>
    <w:p w14:paraId="0EFDC8CD">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22.1本合同任何一方向对方发出的通知、信件、数据电文等，应当发送至本合同第一部分《政府采购合同协议书》所约定的通讯地址、联系人、联系电话或电子邮箱。</w:t>
      </w:r>
    </w:p>
    <w:p w14:paraId="24546F23">
      <w:pPr>
        <w:pStyle w:val="292"/>
        <w:spacing w:line="520" w:lineRule="exact"/>
        <w:ind w:firstLine="56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22.2一方当事人变更名称、住所、联系人、联系电话或电子邮箱等信息的，应当在变更后3日内及时书面通知对方，对方实际收到变更通知前的送达仍为有效送达。</w:t>
      </w:r>
    </w:p>
    <w:p w14:paraId="5B5B8E12">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22.3本合同一方给另一方的通知均应采用书面形式，传真或快递送到本合同中规定的对方的地址和办理签收手续。</w:t>
      </w:r>
    </w:p>
    <w:p w14:paraId="4088B06D">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22.4通知以送达之日或通知书中规定的生效之日起生效，两者中以较迟之日为准。</w:t>
      </w:r>
    </w:p>
    <w:p w14:paraId="2DBF7878">
      <w:pPr>
        <w:numPr>
          <w:ilvl w:val="0"/>
          <w:numId w:val="8"/>
        </w:numPr>
        <w:spacing w:line="520" w:lineRule="exact"/>
        <w:ind w:firstLine="56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合同未尽事项</w:t>
      </w:r>
    </w:p>
    <w:p w14:paraId="1365DEE1">
      <w:pPr>
        <w:spacing w:line="520" w:lineRule="exact"/>
        <w:ind w:firstLine="56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23.1合同未尽事项见</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w:t>
      </w:r>
    </w:p>
    <w:p w14:paraId="24943C3D">
      <w:pPr>
        <w:spacing w:line="520" w:lineRule="exact"/>
        <w:ind w:firstLine="560"/>
        <w:jc w:val="left"/>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23.2合同附件与合同正文具有同等的法律效力。</w:t>
      </w:r>
      <w:bookmarkStart w:id="14" w:name="_Toc20313"/>
    </w:p>
    <w:p w14:paraId="645901CF">
      <w:pPr>
        <w:jc w:val="center"/>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br w:type="page" w:clear="all"/>
      </w:r>
      <w:r>
        <w:rPr>
          <w:rFonts w:hint="eastAsia" w:ascii="仿宋" w:hAnsi="仿宋" w:eastAsia="仿宋" w:cs="仿宋"/>
          <w:b/>
          <w:bCs/>
          <w:color w:val="000000"/>
          <w:sz w:val="24"/>
          <w:szCs w:val="24"/>
          <w:highlight w:val="none"/>
        </w:rPr>
        <w:t>第三节 政府采购合同专用条款</w:t>
      </w:r>
      <w:bookmarkEnd w:id="14"/>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172"/>
        <w:gridCol w:w="2182"/>
        <w:gridCol w:w="5259"/>
      </w:tblGrid>
      <w:tr w14:paraId="54B7056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7E5118B">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34E84C68">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第1.2（6）项</w:t>
            </w:r>
          </w:p>
        </w:tc>
        <w:tc>
          <w:tcPr>
            <w:tcW w:w="2182" w:type="dxa"/>
            <w:noWrap w:val="0"/>
            <w:vAlign w:val="center"/>
          </w:tcPr>
          <w:p w14:paraId="634C2FBD">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联合体具体要求</w:t>
            </w:r>
          </w:p>
        </w:tc>
        <w:tc>
          <w:tcPr>
            <w:tcW w:w="5259" w:type="dxa"/>
            <w:noWrap w:val="0"/>
            <w:vAlign w:val="center"/>
          </w:tcPr>
          <w:p w14:paraId="66468ED5">
            <w:pPr>
              <w:jc w:val="left"/>
              <w:rPr>
                <w:rFonts w:hint="eastAsia" w:ascii="仿宋" w:hAnsi="仿宋" w:eastAsia="仿宋" w:cs="仿宋"/>
                <w:color w:val="000000"/>
                <w:sz w:val="24"/>
                <w:szCs w:val="24"/>
                <w:highlight w:val="none"/>
              </w:rPr>
            </w:pPr>
          </w:p>
        </w:tc>
      </w:tr>
      <w:tr w14:paraId="7C00A50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2172" w:type="dxa"/>
            <w:noWrap w:val="0"/>
            <w:vAlign w:val="center"/>
          </w:tcPr>
          <w:p w14:paraId="2A69F10C">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D95A49A">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第1.2（7）项</w:t>
            </w:r>
          </w:p>
        </w:tc>
        <w:tc>
          <w:tcPr>
            <w:tcW w:w="2182" w:type="dxa"/>
            <w:noWrap w:val="0"/>
            <w:vAlign w:val="center"/>
          </w:tcPr>
          <w:p w14:paraId="4B8346D5">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其他术语解释</w:t>
            </w:r>
          </w:p>
        </w:tc>
        <w:tc>
          <w:tcPr>
            <w:tcW w:w="5259" w:type="dxa"/>
            <w:noWrap w:val="0"/>
            <w:vAlign w:val="center"/>
          </w:tcPr>
          <w:p w14:paraId="2354D7B2">
            <w:pPr>
              <w:jc w:val="left"/>
              <w:rPr>
                <w:rFonts w:hint="eastAsia" w:ascii="仿宋" w:hAnsi="仿宋" w:eastAsia="仿宋" w:cs="仿宋"/>
                <w:color w:val="000000"/>
                <w:sz w:val="24"/>
                <w:szCs w:val="24"/>
                <w:highlight w:val="none"/>
              </w:rPr>
            </w:pPr>
          </w:p>
        </w:tc>
      </w:tr>
      <w:tr w14:paraId="1977464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ABCC043">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346B4E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第4.4款</w:t>
            </w:r>
          </w:p>
        </w:tc>
        <w:tc>
          <w:tcPr>
            <w:tcW w:w="2182" w:type="dxa"/>
            <w:noWrap w:val="0"/>
            <w:vAlign w:val="center"/>
          </w:tcPr>
          <w:p w14:paraId="5DD76B7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履约验收中甲方提出异议或作出说明的期限</w:t>
            </w:r>
          </w:p>
        </w:tc>
        <w:tc>
          <w:tcPr>
            <w:tcW w:w="5259" w:type="dxa"/>
            <w:noWrap w:val="0"/>
            <w:vAlign w:val="center"/>
          </w:tcPr>
          <w:p w14:paraId="027D26FE">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合同标的全部交付后，乙方可向甲方书面提出验收要求，甲方在接到书面要求后7日内进行验收。</w:t>
            </w:r>
          </w:p>
        </w:tc>
      </w:tr>
      <w:tr w14:paraId="09A930C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19F2D24">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527BAFFB">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第4.6款</w:t>
            </w:r>
          </w:p>
        </w:tc>
        <w:tc>
          <w:tcPr>
            <w:tcW w:w="2182" w:type="dxa"/>
            <w:noWrap w:val="0"/>
            <w:vAlign w:val="center"/>
          </w:tcPr>
          <w:p w14:paraId="1AA1BE9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约定甲方承担的其他义务和责任</w:t>
            </w:r>
          </w:p>
        </w:tc>
        <w:tc>
          <w:tcPr>
            <w:tcW w:w="5259" w:type="dxa"/>
            <w:noWrap w:val="0"/>
            <w:vAlign w:val="center"/>
          </w:tcPr>
          <w:p w14:paraId="5DBB2748">
            <w:pPr>
              <w:jc w:val="left"/>
              <w:rPr>
                <w:rFonts w:hint="eastAsia" w:ascii="仿宋" w:hAnsi="仿宋" w:eastAsia="仿宋" w:cs="仿宋"/>
                <w:color w:val="000000"/>
                <w:sz w:val="24"/>
                <w:szCs w:val="24"/>
                <w:highlight w:val="none"/>
              </w:rPr>
            </w:pPr>
          </w:p>
        </w:tc>
      </w:tr>
      <w:tr w14:paraId="61E4860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0F1859C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7079C49">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第5.4款</w:t>
            </w:r>
          </w:p>
        </w:tc>
        <w:tc>
          <w:tcPr>
            <w:tcW w:w="2182" w:type="dxa"/>
            <w:noWrap w:val="0"/>
            <w:vAlign w:val="center"/>
          </w:tcPr>
          <w:p w14:paraId="2AD0D5F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约定乙方承担的其他义务和责任</w:t>
            </w:r>
          </w:p>
        </w:tc>
        <w:tc>
          <w:tcPr>
            <w:tcW w:w="5259" w:type="dxa"/>
            <w:noWrap w:val="0"/>
            <w:vAlign w:val="center"/>
          </w:tcPr>
          <w:p w14:paraId="4D072F9E">
            <w:pPr>
              <w:jc w:val="left"/>
              <w:rPr>
                <w:rFonts w:hint="eastAsia" w:ascii="仿宋" w:hAnsi="仿宋" w:eastAsia="仿宋" w:cs="仿宋"/>
                <w:color w:val="000000"/>
                <w:sz w:val="24"/>
                <w:szCs w:val="24"/>
                <w:highlight w:val="none"/>
              </w:rPr>
            </w:pPr>
          </w:p>
        </w:tc>
      </w:tr>
      <w:tr w14:paraId="5092CC7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15F2605">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5480D6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第6.1款</w:t>
            </w:r>
          </w:p>
        </w:tc>
        <w:tc>
          <w:tcPr>
            <w:tcW w:w="2182" w:type="dxa"/>
            <w:noWrap w:val="0"/>
            <w:vAlign w:val="center"/>
          </w:tcPr>
          <w:p w14:paraId="2454EA4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履行合同义务的顺序</w:t>
            </w:r>
          </w:p>
        </w:tc>
        <w:tc>
          <w:tcPr>
            <w:tcW w:w="5259" w:type="dxa"/>
            <w:noWrap w:val="0"/>
            <w:vAlign w:val="center"/>
          </w:tcPr>
          <w:p w14:paraId="00644DDD">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见第一节“2.合同金额”中“（3）付款方式”双方合同义务履行顺序</w:t>
            </w:r>
          </w:p>
        </w:tc>
      </w:tr>
      <w:tr w14:paraId="54C368D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2172" w:type="dxa"/>
            <w:vMerge w:val="restart"/>
            <w:noWrap w:val="0"/>
            <w:vAlign w:val="center"/>
          </w:tcPr>
          <w:p w14:paraId="00ECFE51">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7D6FAD75">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第7.1款</w:t>
            </w:r>
          </w:p>
        </w:tc>
        <w:tc>
          <w:tcPr>
            <w:tcW w:w="2182" w:type="dxa"/>
            <w:noWrap w:val="0"/>
            <w:vAlign w:val="center"/>
          </w:tcPr>
          <w:p w14:paraId="3407896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包装特殊要求</w:t>
            </w:r>
          </w:p>
        </w:tc>
        <w:tc>
          <w:tcPr>
            <w:tcW w:w="5259" w:type="dxa"/>
            <w:noWrap w:val="0"/>
            <w:vAlign w:val="center"/>
          </w:tcPr>
          <w:p w14:paraId="3AD2BA54">
            <w:pPr>
              <w:rPr>
                <w:rFonts w:hint="eastAsia" w:ascii="仿宋" w:hAnsi="仿宋" w:eastAsia="仿宋" w:cs="仿宋"/>
                <w:color w:val="000000"/>
                <w:sz w:val="24"/>
                <w:szCs w:val="24"/>
                <w:highlight w:val="none"/>
              </w:rPr>
            </w:pPr>
          </w:p>
        </w:tc>
      </w:tr>
      <w:tr w14:paraId="6E36C95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2172" w:type="dxa"/>
            <w:vMerge w:val="continue"/>
            <w:noWrap w:val="0"/>
            <w:vAlign w:val="center"/>
          </w:tcPr>
          <w:p w14:paraId="0B261D3D">
            <w:pPr>
              <w:jc w:val="center"/>
              <w:rPr>
                <w:rFonts w:hint="eastAsia" w:ascii="仿宋" w:hAnsi="仿宋" w:eastAsia="仿宋" w:cs="仿宋"/>
                <w:color w:val="000000"/>
                <w:sz w:val="24"/>
                <w:szCs w:val="24"/>
                <w:highlight w:val="none"/>
              </w:rPr>
            </w:pPr>
          </w:p>
        </w:tc>
        <w:tc>
          <w:tcPr>
            <w:tcW w:w="2182" w:type="dxa"/>
            <w:noWrap w:val="0"/>
            <w:vAlign w:val="center"/>
          </w:tcPr>
          <w:p w14:paraId="1086505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指定现场</w:t>
            </w:r>
          </w:p>
        </w:tc>
        <w:tc>
          <w:tcPr>
            <w:tcW w:w="5259" w:type="dxa"/>
            <w:noWrap w:val="0"/>
            <w:vAlign w:val="center"/>
          </w:tcPr>
          <w:p w14:paraId="44B67027">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甲方指定收货地点</w:t>
            </w:r>
            <w:r>
              <w:rPr>
                <w:rFonts w:hint="eastAsia" w:ascii="仿宋" w:hAnsi="仿宋" w:eastAsia="仿宋" w:cs="仿宋"/>
                <w:color w:val="000000"/>
                <w:sz w:val="24"/>
                <w:szCs w:val="24"/>
                <w:highlight w:val="none"/>
                <w:u w:val="single"/>
              </w:rPr>
              <w:t xml:space="preserve">              </w:t>
            </w:r>
          </w:p>
        </w:tc>
      </w:tr>
      <w:tr w14:paraId="7102EAC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2172" w:type="dxa"/>
            <w:noWrap w:val="0"/>
            <w:vAlign w:val="center"/>
          </w:tcPr>
          <w:p w14:paraId="78DBD29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200FEC60">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第7.2款</w:t>
            </w:r>
          </w:p>
        </w:tc>
        <w:tc>
          <w:tcPr>
            <w:tcW w:w="2182" w:type="dxa"/>
            <w:noWrap w:val="0"/>
            <w:vAlign w:val="center"/>
          </w:tcPr>
          <w:p w14:paraId="5A2711C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运输特殊要求</w:t>
            </w:r>
          </w:p>
        </w:tc>
        <w:tc>
          <w:tcPr>
            <w:tcW w:w="5259" w:type="dxa"/>
            <w:noWrap w:val="0"/>
            <w:vAlign w:val="center"/>
          </w:tcPr>
          <w:p w14:paraId="7724B7ED">
            <w:pPr>
              <w:rPr>
                <w:rFonts w:hint="eastAsia" w:ascii="仿宋" w:hAnsi="仿宋" w:eastAsia="仿宋" w:cs="仿宋"/>
                <w:color w:val="000000"/>
                <w:sz w:val="24"/>
                <w:szCs w:val="24"/>
                <w:highlight w:val="none"/>
              </w:rPr>
            </w:pPr>
          </w:p>
        </w:tc>
      </w:tr>
      <w:tr w14:paraId="695FE48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2172" w:type="dxa"/>
            <w:noWrap w:val="0"/>
            <w:vAlign w:val="center"/>
          </w:tcPr>
          <w:p w14:paraId="7321863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132C62D5">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第7.3款</w:t>
            </w:r>
          </w:p>
        </w:tc>
        <w:tc>
          <w:tcPr>
            <w:tcW w:w="2182" w:type="dxa"/>
            <w:noWrap w:val="0"/>
            <w:vAlign w:val="center"/>
          </w:tcPr>
          <w:p w14:paraId="56F9ABE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保险要求</w:t>
            </w:r>
          </w:p>
        </w:tc>
        <w:tc>
          <w:tcPr>
            <w:tcW w:w="5259" w:type="dxa"/>
            <w:noWrap w:val="0"/>
            <w:vAlign w:val="center"/>
          </w:tcPr>
          <w:p w14:paraId="764A81AB">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货物在通过甲方验收前的保险责任及费用由乙方承担。</w:t>
            </w:r>
          </w:p>
        </w:tc>
      </w:tr>
      <w:tr w14:paraId="5D85C90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731BC1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047C21C8">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第8.2（1）项</w:t>
            </w:r>
          </w:p>
        </w:tc>
        <w:tc>
          <w:tcPr>
            <w:tcW w:w="2182" w:type="dxa"/>
            <w:noWrap w:val="0"/>
            <w:vAlign w:val="center"/>
          </w:tcPr>
          <w:p w14:paraId="797A6F29">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质量保证期</w:t>
            </w:r>
          </w:p>
        </w:tc>
        <w:tc>
          <w:tcPr>
            <w:tcW w:w="5259" w:type="dxa"/>
            <w:noWrap w:val="0"/>
            <w:vAlign w:val="center"/>
          </w:tcPr>
          <w:p w14:paraId="1242493F">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从甲方验收合格之日起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tc>
      </w:tr>
      <w:tr w14:paraId="55A29CD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1B3E2EAD">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473B27CA">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第8.2（3）项</w:t>
            </w:r>
          </w:p>
        </w:tc>
        <w:tc>
          <w:tcPr>
            <w:tcW w:w="2182" w:type="dxa"/>
            <w:noWrap w:val="0"/>
            <w:vAlign w:val="center"/>
          </w:tcPr>
          <w:p w14:paraId="3F20BCA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货物质量缺陷响应时间</w:t>
            </w:r>
          </w:p>
        </w:tc>
        <w:tc>
          <w:tcPr>
            <w:tcW w:w="5259" w:type="dxa"/>
            <w:noWrap w:val="0"/>
            <w:vAlign w:val="center"/>
          </w:tcPr>
          <w:p w14:paraId="6F150C7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见乙方投标文件中售后服务内容</w:t>
            </w:r>
          </w:p>
        </w:tc>
      </w:tr>
      <w:tr w14:paraId="56190A8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2FA6FE3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437F7D94">
            <w:pPr>
              <w:pStyle w:val="292"/>
              <w:ind w:firstLine="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第11.1款</w:t>
            </w:r>
          </w:p>
        </w:tc>
        <w:tc>
          <w:tcPr>
            <w:tcW w:w="2182" w:type="dxa"/>
            <w:noWrap w:val="0"/>
            <w:vAlign w:val="center"/>
          </w:tcPr>
          <w:p w14:paraId="1BA96BC2">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其他应当保密的信息</w:t>
            </w:r>
          </w:p>
        </w:tc>
        <w:tc>
          <w:tcPr>
            <w:tcW w:w="5259" w:type="dxa"/>
            <w:noWrap w:val="0"/>
            <w:vAlign w:val="center"/>
          </w:tcPr>
          <w:p w14:paraId="5A744371">
            <w:pPr>
              <w:jc w:val="left"/>
              <w:rPr>
                <w:rFonts w:hint="eastAsia" w:ascii="仿宋" w:hAnsi="仿宋" w:eastAsia="仿宋" w:cs="仿宋"/>
                <w:color w:val="000000"/>
                <w:sz w:val="24"/>
                <w:szCs w:val="24"/>
                <w:highlight w:val="none"/>
              </w:rPr>
            </w:pPr>
          </w:p>
        </w:tc>
      </w:tr>
      <w:tr w14:paraId="280B903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2172" w:type="dxa"/>
            <w:noWrap w:val="0"/>
            <w:vAlign w:val="center"/>
          </w:tcPr>
          <w:p w14:paraId="53D8333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09A448E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第12.2款</w:t>
            </w:r>
          </w:p>
        </w:tc>
        <w:tc>
          <w:tcPr>
            <w:tcW w:w="2182" w:type="dxa"/>
            <w:noWrap w:val="0"/>
            <w:vAlign w:val="center"/>
          </w:tcPr>
          <w:p w14:paraId="78479BE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合同价款支付时间</w:t>
            </w:r>
          </w:p>
        </w:tc>
        <w:tc>
          <w:tcPr>
            <w:tcW w:w="5259" w:type="dxa"/>
            <w:noWrap w:val="0"/>
            <w:vAlign w:val="center"/>
          </w:tcPr>
          <w:p w14:paraId="53F6961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见第一节“2.合同金额”中“（3）付款方式”</w:t>
            </w:r>
          </w:p>
        </w:tc>
      </w:tr>
      <w:tr w14:paraId="4222809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2172" w:type="dxa"/>
            <w:noWrap w:val="0"/>
            <w:vAlign w:val="center"/>
          </w:tcPr>
          <w:p w14:paraId="142A4543">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72684FA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第13.2款</w:t>
            </w:r>
          </w:p>
        </w:tc>
        <w:tc>
          <w:tcPr>
            <w:tcW w:w="2182" w:type="dxa"/>
            <w:noWrap w:val="0"/>
            <w:vAlign w:val="center"/>
          </w:tcPr>
          <w:p w14:paraId="52D4600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履约保证金不予退还的情形</w:t>
            </w:r>
          </w:p>
        </w:tc>
        <w:tc>
          <w:tcPr>
            <w:tcW w:w="5259" w:type="dxa"/>
            <w:noWrap w:val="0"/>
            <w:vAlign w:val="center"/>
          </w:tcPr>
          <w:p w14:paraId="18DEEA3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w:t>
            </w:r>
          </w:p>
        </w:tc>
      </w:tr>
      <w:tr w14:paraId="15C36D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58CCEBFD">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1E14CA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第13.3款</w:t>
            </w:r>
          </w:p>
        </w:tc>
        <w:tc>
          <w:tcPr>
            <w:tcW w:w="2182" w:type="dxa"/>
            <w:noWrap w:val="0"/>
            <w:vAlign w:val="center"/>
          </w:tcPr>
          <w:p w14:paraId="20F1517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履约保证金退还时间及逾期退还的违约金</w:t>
            </w:r>
          </w:p>
        </w:tc>
        <w:tc>
          <w:tcPr>
            <w:tcW w:w="5259" w:type="dxa"/>
            <w:noWrap w:val="0"/>
            <w:vAlign w:val="center"/>
          </w:tcPr>
          <w:p w14:paraId="75A9911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w:t>
            </w:r>
          </w:p>
        </w:tc>
      </w:tr>
      <w:tr w14:paraId="6A66C6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2172" w:type="dxa"/>
            <w:noWrap w:val="0"/>
            <w:vAlign w:val="center"/>
          </w:tcPr>
          <w:p w14:paraId="3378E6C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55B20135">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第14.1（3）项</w:t>
            </w:r>
          </w:p>
        </w:tc>
        <w:tc>
          <w:tcPr>
            <w:tcW w:w="2182" w:type="dxa"/>
            <w:noWrap w:val="0"/>
            <w:vAlign w:val="center"/>
          </w:tcPr>
          <w:p w14:paraId="0BF036A5">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运行监督、维修期限</w:t>
            </w:r>
          </w:p>
        </w:tc>
        <w:tc>
          <w:tcPr>
            <w:tcW w:w="5259" w:type="dxa"/>
            <w:noWrap w:val="0"/>
            <w:vAlign w:val="center"/>
          </w:tcPr>
          <w:p w14:paraId="263A90D2">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同采购标的的使用寿命期限</w:t>
            </w:r>
          </w:p>
        </w:tc>
      </w:tr>
      <w:tr w14:paraId="023BB01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2172" w:type="dxa"/>
            <w:noWrap w:val="0"/>
            <w:vAlign w:val="center"/>
          </w:tcPr>
          <w:p w14:paraId="1653070C">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3E3A17B4">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第14.1（5）项</w:t>
            </w:r>
          </w:p>
        </w:tc>
        <w:tc>
          <w:tcPr>
            <w:tcW w:w="2182" w:type="dxa"/>
            <w:noWrap w:val="0"/>
            <w:vAlign w:val="center"/>
          </w:tcPr>
          <w:p w14:paraId="62432A7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货物回收的约定</w:t>
            </w:r>
          </w:p>
        </w:tc>
        <w:tc>
          <w:tcPr>
            <w:tcW w:w="5259" w:type="dxa"/>
            <w:noWrap w:val="0"/>
            <w:vAlign w:val="center"/>
          </w:tcPr>
          <w:p w14:paraId="6D6377DB">
            <w:pPr>
              <w:jc w:val="left"/>
              <w:rPr>
                <w:rFonts w:hint="eastAsia" w:ascii="仿宋" w:hAnsi="仿宋" w:eastAsia="仿宋" w:cs="仿宋"/>
                <w:color w:val="000000"/>
                <w:sz w:val="24"/>
                <w:szCs w:val="24"/>
                <w:highlight w:val="none"/>
              </w:rPr>
            </w:pPr>
          </w:p>
        </w:tc>
      </w:tr>
      <w:tr w14:paraId="427663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6C106F01">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3074FFD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第14.1（6）项</w:t>
            </w:r>
          </w:p>
        </w:tc>
        <w:tc>
          <w:tcPr>
            <w:tcW w:w="2182" w:type="dxa"/>
            <w:noWrap w:val="0"/>
            <w:vAlign w:val="center"/>
          </w:tcPr>
          <w:p w14:paraId="24A8735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乙方提供的其他服务</w:t>
            </w:r>
          </w:p>
        </w:tc>
        <w:tc>
          <w:tcPr>
            <w:tcW w:w="5259" w:type="dxa"/>
            <w:noWrap w:val="0"/>
            <w:vAlign w:val="center"/>
          </w:tcPr>
          <w:p w14:paraId="1480786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见乙方投标文件中售后服务内容</w:t>
            </w:r>
          </w:p>
        </w:tc>
      </w:tr>
      <w:tr w14:paraId="3B6D5DD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50643E2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38F8E1CD">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第15.1款</w:t>
            </w:r>
          </w:p>
        </w:tc>
        <w:tc>
          <w:tcPr>
            <w:tcW w:w="2182" w:type="dxa"/>
            <w:noWrap w:val="0"/>
            <w:vAlign w:val="center"/>
          </w:tcPr>
          <w:p w14:paraId="76A4453F">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修理、重作、更换相关具体规定</w:t>
            </w:r>
          </w:p>
        </w:tc>
        <w:tc>
          <w:tcPr>
            <w:tcW w:w="5259" w:type="dxa"/>
            <w:noWrap w:val="0"/>
            <w:vAlign w:val="center"/>
          </w:tcPr>
          <w:p w14:paraId="1C9686C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见乙方投标文件中售后服务内容</w:t>
            </w:r>
          </w:p>
        </w:tc>
      </w:tr>
      <w:tr w14:paraId="5C5A983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3ABFBC7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206CA867">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第15.2（2）项</w:t>
            </w:r>
          </w:p>
        </w:tc>
        <w:tc>
          <w:tcPr>
            <w:tcW w:w="2182" w:type="dxa"/>
            <w:noWrap w:val="0"/>
            <w:vAlign w:val="center"/>
          </w:tcPr>
          <w:p w14:paraId="6DB1E9C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迟延交货赔偿费</w:t>
            </w:r>
          </w:p>
        </w:tc>
        <w:tc>
          <w:tcPr>
            <w:tcW w:w="5259" w:type="dxa"/>
            <w:noWrap w:val="0"/>
            <w:vAlign w:val="center"/>
          </w:tcPr>
          <w:p w14:paraId="3D77AEB6">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如果乙方未能按照合同规定的交货期限交货，乙方应按每天迟交合同标的金额的百分之一 (1%)的比率支付违约金。违约金的总金额不超过合同总价的百分之十(10%) ，违约金的支付不能免除乙方继续交付相关合同标的的义务。</w:t>
            </w:r>
          </w:p>
          <w:p w14:paraId="18AC06AB">
            <w:pPr>
              <w:jc w:val="lef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如果乙方在合同规定的交货期限后十日内仍未能交付全部或部分标的，在不妨碍甲方采取其他救济手段的情况下，甲方可以向乙方发出书面违约通知从而全部或部分地终止合同。</w:t>
            </w:r>
          </w:p>
        </w:tc>
      </w:tr>
      <w:tr w14:paraId="1AB5459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2172" w:type="dxa"/>
            <w:noWrap w:val="0"/>
            <w:vAlign w:val="center"/>
          </w:tcPr>
          <w:p w14:paraId="2D96D44C">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062824F1">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第15.3款</w:t>
            </w:r>
          </w:p>
        </w:tc>
        <w:tc>
          <w:tcPr>
            <w:tcW w:w="2182" w:type="dxa"/>
            <w:noWrap w:val="0"/>
            <w:vAlign w:val="center"/>
          </w:tcPr>
          <w:p w14:paraId="5038E93A">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逾期付款利息</w:t>
            </w:r>
          </w:p>
        </w:tc>
        <w:tc>
          <w:tcPr>
            <w:tcW w:w="5259" w:type="dxa"/>
            <w:noWrap w:val="0"/>
            <w:vAlign w:val="center"/>
          </w:tcPr>
          <w:p w14:paraId="40980C70">
            <w:pPr>
              <w:jc w:val="left"/>
              <w:rPr>
                <w:rFonts w:hint="eastAsia" w:ascii="仿宋" w:hAnsi="仿宋" w:eastAsia="仿宋" w:cs="仿宋"/>
                <w:color w:val="000000"/>
                <w:sz w:val="24"/>
                <w:szCs w:val="24"/>
                <w:highlight w:val="none"/>
                <w:u w:val="single"/>
              </w:rPr>
            </w:pPr>
          </w:p>
        </w:tc>
      </w:tr>
      <w:tr w14:paraId="7E1D5B0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2172" w:type="dxa"/>
            <w:noWrap w:val="0"/>
            <w:vAlign w:val="center"/>
          </w:tcPr>
          <w:p w14:paraId="0E61CDF3">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1222D6BB">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第15.4款</w:t>
            </w:r>
          </w:p>
        </w:tc>
        <w:tc>
          <w:tcPr>
            <w:tcW w:w="2182" w:type="dxa"/>
            <w:noWrap w:val="0"/>
            <w:vAlign w:val="center"/>
          </w:tcPr>
          <w:p w14:paraId="3FAC486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其他违约责任</w:t>
            </w:r>
          </w:p>
        </w:tc>
        <w:tc>
          <w:tcPr>
            <w:tcW w:w="5259" w:type="dxa"/>
            <w:noWrap w:val="0"/>
            <w:vAlign w:val="center"/>
          </w:tcPr>
          <w:p w14:paraId="3C8DA116">
            <w:pPr>
              <w:jc w:val="left"/>
              <w:rPr>
                <w:rFonts w:hint="eastAsia" w:ascii="仿宋" w:hAnsi="仿宋" w:eastAsia="仿宋" w:cs="仿宋"/>
                <w:color w:val="000000"/>
                <w:sz w:val="24"/>
                <w:szCs w:val="24"/>
                <w:highlight w:val="none"/>
                <w:u w:val="single"/>
              </w:rPr>
            </w:pPr>
          </w:p>
        </w:tc>
      </w:tr>
      <w:tr w14:paraId="309ACD9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2172" w:type="dxa"/>
            <w:noWrap w:val="0"/>
            <w:vAlign w:val="center"/>
          </w:tcPr>
          <w:p w14:paraId="4CEA79C5">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6B50034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第19.2款</w:t>
            </w:r>
          </w:p>
        </w:tc>
        <w:tc>
          <w:tcPr>
            <w:tcW w:w="2182" w:type="dxa"/>
            <w:noWrap w:val="0"/>
            <w:vAlign w:val="center"/>
          </w:tcPr>
          <w:p w14:paraId="3E5E031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解决争议的方法</w:t>
            </w:r>
          </w:p>
        </w:tc>
        <w:tc>
          <w:tcPr>
            <w:tcW w:w="5259" w:type="dxa"/>
            <w:noWrap w:val="0"/>
            <w:vAlign w:val="center"/>
          </w:tcPr>
          <w:p w14:paraId="03B1767D">
            <w:pPr>
              <w:spacing w:line="400" w:lineRule="exact"/>
              <w:jc w:val="left"/>
              <w:rPr>
                <w:rFonts w:hint="eastAsia" w:ascii="仿宋" w:hAnsi="仿宋" w:eastAsia="仿宋" w:cs="仿宋"/>
                <w:iCs/>
                <w:color w:val="000000"/>
                <w:sz w:val="24"/>
                <w:szCs w:val="24"/>
                <w:highlight w:val="none"/>
              </w:rPr>
            </w:pPr>
            <w:r>
              <w:rPr>
                <w:rFonts w:hint="eastAsia" w:ascii="仿宋" w:hAnsi="仿宋" w:eastAsia="仿宋" w:cs="仿宋"/>
                <w:iCs/>
                <w:color w:val="000000"/>
                <w:sz w:val="24"/>
                <w:szCs w:val="24"/>
                <w:highlight w:val="none"/>
              </w:rPr>
              <w:t>因本合同及合同有关事项发生的争议，按下列第</w:t>
            </w:r>
            <w:r>
              <w:rPr>
                <w:rFonts w:hint="eastAsia" w:ascii="仿宋" w:hAnsi="仿宋" w:eastAsia="仿宋" w:cs="仿宋"/>
                <w:iCs/>
                <w:color w:val="000000"/>
                <w:sz w:val="24"/>
                <w:szCs w:val="24"/>
                <w:highlight w:val="none"/>
                <w:u w:val="single"/>
              </w:rPr>
              <w:t xml:space="preserve">   </w:t>
            </w:r>
            <w:r>
              <w:rPr>
                <w:rFonts w:hint="eastAsia" w:ascii="仿宋" w:hAnsi="仿宋" w:eastAsia="仿宋" w:cs="仿宋"/>
                <w:iCs/>
                <w:color w:val="000000"/>
                <w:sz w:val="24"/>
                <w:szCs w:val="24"/>
                <w:highlight w:val="none"/>
              </w:rPr>
              <w:t>种方式解决：</w:t>
            </w:r>
          </w:p>
          <w:p w14:paraId="56951AA0">
            <w:pPr>
              <w:jc w:val="lef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rPr>
              <w:t>（1）向甲方所在地仲裁委员会申请仲裁，仲裁地点为甲方所在地；</w:t>
            </w:r>
          </w:p>
          <w:p w14:paraId="572A733B">
            <w:pPr>
              <w:jc w:val="lef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rPr>
              <w:t>（2）向甲方所在地人民法院起诉。</w:t>
            </w:r>
          </w:p>
        </w:tc>
      </w:tr>
      <w:tr w14:paraId="385DE1F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2172" w:type="dxa"/>
            <w:noWrap w:val="0"/>
            <w:vAlign w:val="center"/>
          </w:tcPr>
          <w:p w14:paraId="7A3DF590">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第二节</w:t>
            </w:r>
          </w:p>
          <w:p w14:paraId="55A3974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第23.1款</w:t>
            </w:r>
          </w:p>
        </w:tc>
        <w:tc>
          <w:tcPr>
            <w:tcW w:w="2182" w:type="dxa"/>
            <w:noWrap w:val="0"/>
            <w:vAlign w:val="center"/>
          </w:tcPr>
          <w:p w14:paraId="5D0D0766">
            <w:pPr>
              <w:jc w:val="left"/>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其他专用条款</w:t>
            </w:r>
          </w:p>
        </w:tc>
        <w:tc>
          <w:tcPr>
            <w:tcW w:w="5259" w:type="dxa"/>
            <w:noWrap w:val="0"/>
            <w:vAlign w:val="center"/>
          </w:tcPr>
          <w:p w14:paraId="0C1B4215">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
                <w:bCs/>
                <w:color w:val="000000"/>
                <w:sz w:val="24"/>
                <w:szCs w:val="24"/>
                <w:highlight w:val="none"/>
              </w:rPr>
              <w:t>乙方应当以支票、汇票、本票或者金融机构、担保机构出具的保函等非现金形式提交履约保证金，也可自愿使用履约保函（保险）代替缴纳履约保证金，具体详见《关于在全省政府采购领域推行电子履约保函（保险）的通知》（苏财购〔2023〕150号）规定。</w:t>
            </w:r>
          </w:p>
          <w:p w14:paraId="0D2E7F95">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（2）合同其他未尽事宜及与招标文件有矛盾之处，以招标文件[项目编号：</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]为准。</w:t>
            </w:r>
          </w:p>
        </w:tc>
      </w:tr>
    </w:tbl>
    <w:p w14:paraId="0AF2D18A">
      <w:pPr>
        <w:rPr>
          <w:rFonts w:hint="eastAsia" w:ascii="仿宋" w:hAnsi="仿宋" w:eastAsia="仿宋" w:cs="仿宋"/>
          <w:color w:val="000000"/>
          <w:sz w:val="24"/>
          <w:szCs w:val="24"/>
          <w:highlight w:val="none"/>
        </w:rPr>
      </w:pPr>
    </w:p>
    <w:p w14:paraId="2E21C491">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clear="all"/>
      </w:r>
      <w:r>
        <w:rPr>
          <w:rFonts w:hint="eastAsia" w:ascii="仿宋" w:hAnsi="仿宋" w:eastAsia="仿宋" w:cs="仿宋"/>
          <w:b/>
          <w:bCs/>
          <w:color w:val="000000"/>
          <w:sz w:val="24"/>
          <w:szCs w:val="24"/>
          <w:highlight w:val="none"/>
        </w:rPr>
        <w:t>第四节 合同附件</w:t>
      </w:r>
    </w:p>
    <w:p w14:paraId="76CC4A94">
      <w:pPr>
        <w:widowControl/>
        <w:ind w:firstLine="240"/>
        <w:jc w:val="center"/>
        <w:rPr>
          <w:rFonts w:hint="eastAsia" w:ascii="仿宋" w:hAnsi="仿宋" w:eastAsia="仿宋" w:cs="仿宋"/>
          <w:color w:val="000000"/>
          <w:sz w:val="24"/>
          <w:szCs w:val="24"/>
          <w:highlight w:val="none"/>
        </w:rPr>
      </w:pPr>
    </w:p>
    <w:p w14:paraId="60535BF0">
      <w:pPr>
        <w:pStyle w:val="295"/>
        <w:rPr>
          <w:rFonts w:hint="eastAsia" w:ascii="仿宋" w:hAnsi="仿宋" w:eastAsia="仿宋" w:cs="仿宋"/>
          <w:color w:val="000000"/>
          <w:sz w:val="24"/>
          <w:szCs w:val="24"/>
          <w:highlight w:val="none"/>
        </w:rPr>
      </w:pPr>
    </w:p>
    <w:p w14:paraId="6A07AFA7">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合同附件1：技术规格和技术性能</w:t>
      </w:r>
    </w:p>
    <w:p w14:paraId="6B6E29F3">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(见乙方投标文件中《所投产品的技术规格》。)</w:t>
      </w:r>
    </w:p>
    <w:p w14:paraId="0220EBD4">
      <w:pPr>
        <w:spacing w:line="520" w:lineRule="exact"/>
        <w:ind w:firstLine="560"/>
        <w:rPr>
          <w:rFonts w:hint="eastAsia" w:ascii="仿宋" w:hAnsi="仿宋" w:eastAsia="仿宋" w:cs="仿宋"/>
          <w:color w:val="000000"/>
          <w:sz w:val="24"/>
          <w:szCs w:val="24"/>
          <w:highlight w:val="none"/>
        </w:rPr>
      </w:pPr>
    </w:p>
    <w:p w14:paraId="74D305D9">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合同附件2：售后服务</w:t>
      </w:r>
    </w:p>
    <w:p w14:paraId="15928B4C">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(见乙方投标文件中《售后服务方案》。)</w:t>
      </w:r>
    </w:p>
    <w:p w14:paraId="7438E958">
      <w:pPr>
        <w:spacing w:line="520" w:lineRule="exact"/>
        <w:ind w:firstLine="560"/>
        <w:rPr>
          <w:rFonts w:hint="eastAsia" w:ascii="仿宋" w:hAnsi="仿宋" w:eastAsia="仿宋" w:cs="仿宋"/>
          <w:color w:val="000000"/>
          <w:sz w:val="24"/>
          <w:szCs w:val="24"/>
          <w:highlight w:val="none"/>
        </w:rPr>
      </w:pPr>
    </w:p>
    <w:p w14:paraId="5CE06F65">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合同附件3：供货范围和价格清单</w:t>
      </w:r>
    </w:p>
    <w:p w14:paraId="7A238DDA">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(见乙方投标文件中《开标一览表》和《分项价格表》。)</w:t>
      </w:r>
    </w:p>
    <w:p w14:paraId="665495B0">
      <w:pPr>
        <w:spacing w:line="520" w:lineRule="exact"/>
        <w:ind w:firstLine="560"/>
        <w:rPr>
          <w:rFonts w:hint="eastAsia" w:ascii="仿宋" w:hAnsi="仿宋" w:eastAsia="仿宋" w:cs="仿宋"/>
          <w:color w:val="000000"/>
          <w:sz w:val="24"/>
          <w:szCs w:val="24"/>
          <w:highlight w:val="none"/>
        </w:rPr>
      </w:pPr>
    </w:p>
    <w:p w14:paraId="02A2664A">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合同附件4：验收标准（验收要求、验收标准和程序）</w:t>
      </w:r>
    </w:p>
    <w:p w14:paraId="5EB36E14">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(见招标文件第六章《采购需求》。)</w:t>
      </w:r>
    </w:p>
    <w:p w14:paraId="06C77971">
      <w:pPr>
        <w:spacing w:line="520" w:lineRule="exact"/>
        <w:ind w:firstLine="560"/>
        <w:rPr>
          <w:rFonts w:hint="eastAsia" w:ascii="仿宋" w:hAnsi="仿宋" w:eastAsia="仿宋" w:cs="仿宋"/>
          <w:color w:val="000000"/>
          <w:sz w:val="24"/>
          <w:szCs w:val="24"/>
          <w:highlight w:val="none"/>
        </w:rPr>
      </w:pPr>
    </w:p>
    <w:p w14:paraId="6C47DDD8">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合同附件5：采购需求</w:t>
      </w:r>
    </w:p>
    <w:p w14:paraId="2E3F1984">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(见招标文件第六章《采购需求》。)</w:t>
      </w:r>
    </w:p>
    <w:p w14:paraId="5B87AE80">
      <w:pPr>
        <w:spacing w:line="520" w:lineRule="exact"/>
        <w:ind w:firstLine="560"/>
        <w:rPr>
          <w:rFonts w:hint="eastAsia" w:ascii="仿宋" w:hAnsi="仿宋" w:eastAsia="仿宋" w:cs="仿宋"/>
          <w:color w:val="000000"/>
          <w:sz w:val="24"/>
          <w:szCs w:val="24"/>
          <w:highlight w:val="none"/>
        </w:rPr>
      </w:pPr>
    </w:p>
    <w:p w14:paraId="5CBACC83">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合同附件6：项目实施</w:t>
      </w:r>
    </w:p>
    <w:p w14:paraId="113B6E9D">
      <w:pPr>
        <w:spacing w:line="520" w:lineRule="exac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(见乙方投标文件中《项目实施方案》。)</w:t>
      </w:r>
    </w:p>
    <w:p w14:paraId="3E3A4BEF">
      <w:pPr>
        <w:keepNext w:val="0"/>
        <w:keepLines w:val="0"/>
        <w:pageBreakBefore w:val="0"/>
        <w:widowControl/>
        <w:spacing w:line="240" w:lineRule="atLeast"/>
        <w:ind w:firstLine="560"/>
        <w:rPr>
          <w:rFonts w:hint="eastAsia" w:ascii="仿宋" w:hAnsi="仿宋" w:eastAsia="仿宋" w:cs="仿宋"/>
          <w:color w:val="000000"/>
          <w:sz w:val="28"/>
          <w:szCs w:val="28"/>
          <w:highlight w:val="none"/>
        </w:rPr>
      </w:pPr>
    </w:p>
    <w:p w14:paraId="4C77D64A">
      <w:pPr>
        <w:ind w:firstLine="480"/>
        <w:rPr>
          <w:rFonts w:hint="eastAsia" w:ascii="仿宋" w:hAnsi="仿宋" w:eastAsia="仿宋" w:cs="仿宋"/>
          <w:bCs/>
          <w:color w:val="000000"/>
          <w:sz w:val="24"/>
          <w:highlight w:val="none"/>
        </w:rPr>
      </w:pPr>
    </w:p>
    <w:p w14:paraId="5BBB2F99">
      <w:pPr>
        <w:pStyle w:val="38"/>
        <w:rPr>
          <w:rFonts w:hint="eastAsia" w:ascii="仿宋" w:hAnsi="仿宋" w:eastAsia="仿宋" w:cs="仿宋"/>
          <w:color w:val="000000"/>
        </w:rPr>
        <w:sectPr>
          <w:headerReference r:id="rId3" w:type="default"/>
          <w:footerReference r:id="rId4" w:type="default"/>
          <w:footerReference r:id="rId5" w:type="even"/>
          <w:pgSz w:w="11906" w:h="16838"/>
          <w:pgMar w:top="851" w:right="1702" w:bottom="851" w:left="1804" w:header="851" w:footer="992" w:gutter="0"/>
          <w:cols w:space="1701" w:num="1"/>
          <w:docGrid w:linePitch="360" w:charSpace="0"/>
        </w:sectPr>
      </w:pPr>
    </w:p>
    <w:p w14:paraId="2722C0A7">
      <w:pPr>
        <w:pStyle w:val="38"/>
        <w:rPr>
          <w:rFonts w:hint="eastAsia" w:ascii="仿宋" w:hAnsi="仿宋" w:eastAsia="仿宋" w:cs="仿宋"/>
          <w:color w:val="000000"/>
        </w:rPr>
      </w:pPr>
      <w:r>
        <w:rPr>
          <w:rFonts w:hint="eastAsia" w:ascii="仿宋" w:hAnsi="仿宋" w:eastAsia="仿宋" w:cs="仿宋"/>
          <w:color w:val="000000"/>
        </w:rPr>
        <w:t>第六章  采购需求</w:t>
      </w:r>
      <w:bookmarkEnd w:id="10"/>
      <w:bookmarkEnd w:id="11"/>
    </w:p>
    <w:p w14:paraId="1273F126">
      <w:pPr>
        <w:pStyle w:val="112"/>
        <w:keepNext w:val="0"/>
        <w:keepLines w:val="0"/>
        <w:pageBreakBefore w:val="0"/>
        <w:spacing w:line="400" w:lineRule="exact"/>
        <w:ind w:firstLine="602"/>
        <w:rPr>
          <w:rFonts w:hint="eastAsia" w:ascii="仿宋" w:hAnsi="仿宋" w:eastAsia="仿宋" w:cs="仿宋"/>
          <w:b/>
          <w:bCs/>
          <w:color w:val="000000"/>
          <w:sz w:val="30"/>
          <w:szCs w:val="30"/>
          <w:lang w:val="en-US" w:eastAsia="zh-CN" w:bidi="ar-SA"/>
        </w:rPr>
      </w:pPr>
      <w:r>
        <w:rPr>
          <w:rFonts w:hint="eastAsia" w:ascii="仿宋" w:hAnsi="仿宋" w:eastAsia="仿宋" w:cs="仿宋"/>
          <w:b/>
          <w:bCs/>
          <w:color w:val="000000"/>
          <w:sz w:val="30"/>
          <w:szCs w:val="30"/>
          <w:lang w:val="en-US" w:eastAsia="zh-CN" w:bidi="ar-SA"/>
        </w:rPr>
        <w:t>一、采购标的</w:t>
      </w:r>
    </w:p>
    <w:p w14:paraId="25171DCA">
      <w:pPr>
        <w:keepNext w:val="0"/>
        <w:keepLines w:val="0"/>
        <w:pageBreakBefore w:val="0"/>
        <w:widowControl/>
        <w:spacing w:line="400" w:lineRule="exact"/>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1、采购人：徐州生物工程职业技术学院</w:t>
      </w:r>
    </w:p>
    <w:p w14:paraId="6165BBDA">
      <w:pPr>
        <w:keepNext w:val="0"/>
        <w:keepLines w:val="0"/>
        <w:pageBreakBefore w:val="0"/>
        <w:widowControl/>
        <w:spacing w:line="400" w:lineRule="exact"/>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2、项目名称：徐州生物工程职业技术学院大学生活动中心舞美设备采购与安装项目。</w:t>
      </w:r>
    </w:p>
    <w:p w14:paraId="3DB34A89">
      <w:pPr>
        <w:keepNext w:val="0"/>
        <w:keepLines w:val="0"/>
        <w:pageBreakBefore w:val="0"/>
        <w:widowControl/>
        <w:spacing w:line="400" w:lineRule="exact"/>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3、采购标的：具体详见本招标文件第六章《采购需求》中“主要技术参数”。</w:t>
      </w:r>
    </w:p>
    <w:p w14:paraId="055E0E6B">
      <w:pPr>
        <w:keepNext w:val="0"/>
        <w:keepLines w:val="0"/>
        <w:pageBreakBefore w:val="0"/>
        <w:widowControl/>
        <w:spacing w:line="400" w:lineRule="exact"/>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4、本次采购的为非进口产品。</w:t>
      </w:r>
    </w:p>
    <w:p w14:paraId="55248777">
      <w:pPr>
        <w:keepNext w:val="0"/>
        <w:keepLines w:val="0"/>
        <w:pageBreakBefore w:val="0"/>
        <w:widowControl/>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、项目采购需求说明：</w:t>
      </w:r>
      <w:r>
        <w:rPr>
          <w:rFonts w:hint="eastAsia" w:ascii="仿宋" w:hAnsi="仿宋" w:eastAsia="仿宋" w:cs="仿宋"/>
          <w:color w:val="000000"/>
          <w:sz w:val="28"/>
          <w:szCs w:val="28"/>
          <w:highlight w:val="none"/>
          <w:lang w:val="en-US" w:eastAsia="zh-CN"/>
        </w:rPr>
        <w:t>徐州生物工程职业技术学院大学生活动中心舞美设备采购与安装，1批</w:t>
      </w:r>
      <w:r>
        <w:rPr>
          <w:rFonts w:hint="eastAsia" w:ascii="仿宋" w:hAnsi="仿宋" w:eastAsia="仿宋" w:cs="仿宋"/>
          <w:color w:val="000000"/>
          <w:sz w:val="28"/>
          <w:szCs w:val="28"/>
          <w:highlight w:val="none"/>
        </w:rPr>
        <w:t>。</w:t>
      </w:r>
    </w:p>
    <w:p w14:paraId="16EBC270">
      <w:pPr>
        <w:pStyle w:val="284"/>
        <w:spacing w:line="500" w:lineRule="exact"/>
        <w:ind w:firstLine="560"/>
        <w:rPr>
          <w:rFonts w:hint="eastAsia" w:ascii="仿宋" w:hAnsi="仿宋" w:eastAsia="仿宋" w:cs="仿宋"/>
          <w:b/>
          <w:bCs/>
          <w:color w:val="000000"/>
          <w:sz w:val="28"/>
          <w:szCs w:val="28"/>
          <w:highlight w:val="none"/>
          <w:u w:val="single"/>
          <w:lang w:eastAsia="zh-CN" w:bidi="ar"/>
        </w:rPr>
      </w:pPr>
      <w:r>
        <w:rPr>
          <w:rFonts w:hint="eastAsia" w:ascii="仿宋" w:hAnsi="仿宋" w:eastAsia="仿宋" w:cs="仿宋"/>
          <w:b/>
          <w:bCs/>
          <w:color w:val="000000"/>
          <w:sz w:val="28"/>
          <w:szCs w:val="28"/>
          <w:highlight w:val="none"/>
          <w:lang w:val="en-US" w:eastAsia="zh-CN"/>
        </w:rPr>
        <w:t>6、</w:t>
      </w:r>
      <w:r>
        <w:rPr>
          <w:rFonts w:hint="eastAsia" w:ascii="仿宋" w:hAnsi="仿宋" w:eastAsia="仿宋" w:cs="仿宋"/>
          <w:b/>
          <w:bCs/>
          <w:color w:val="000000"/>
          <w:sz w:val="28"/>
          <w:szCs w:val="28"/>
          <w:highlight w:val="none"/>
        </w:rPr>
        <w:t>本项目</w:t>
      </w:r>
      <w:r>
        <w:rPr>
          <w:rFonts w:hint="eastAsia" w:ascii="仿宋" w:hAnsi="仿宋" w:eastAsia="仿宋" w:cs="仿宋"/>
          <w:b/>
          <w:bCs/>
          <w:color w:val="000000"/>
          <w:sz w:val="28"/>
          <w:szCs w:val="28"/>
          <w:highlight w:val="none"/>
          <w:u w:val="none"/>
        </w:rPr>
        <w:t>核心产品</w:t>
      </w:r>
      <w:r>
        <w:rPr>
          <w:rFonts w:hint="eastAsia" w:ascii="仿宋" w:hAnsi="仿宋" w:eastAsia="仿宋" w:cs="仿宋"/>
          <w:b/>
          <w:bCs/>
          <w:color w:val="000000"/>
          <w:sz w:val="28"/>
          <w:szCs w:val="28"/>
          <w:highlight w:val="none"/>
          <w:u w:val="single"/>
        </w:rPr>
        <w:t>为</w:t>
      </w:r>
      <w:r>
        <w:rPr>
          <w:rFonts w:hint="eastAsia" w:ascii="仿宋" w:hAnsi="仿宋" w:eastAsia="仿宋" w:cs="仿宋"/>
          <w:b/>
          <w:bCs/>
          <w:color w:val="000000"/>
          <w:sz w:val="28"/>
          <w:szCs w:val="28"/>
          <w:highlight w:val="none"/>
          <w:u w:val="single"/>
          <w:lang w:eastAsia="zh-CN"/>
        </w:rPr>
        <w:t>：</w:t>
      </w:r>
      <w:r>
        <w:rPr>
          <w:rFonts w:hint="eastAsia" w:ascii="仿宋" w:hAnsi="仿宋" w:eastAsia="仿宋" w:cs="仿宋"/>
          <w:b/>
          <w:bCs/>
          <w:i w:val="0"/>
          <w:iCs w:val="0"/>
          <w:color w:val="000000"/>
          <w:sz w:val="28"/>
          <w:szCs w:val="28"/>
          <w:highlight w:val="none"/>
          <w:u w:val="single"/>
          <w:lang w:val="en-US" w:eastAsia="zh-CN" w:bidi="ar"/>
        </w:rPr>
        <w:t>一、大报告厅系统</w:t>
      </w:r>
      <w:r>
        <w:rPr>
          <w:rFonts w:hint="eastAsia" w:ascii="仿宋" w:hAnsi="仿宋" w:eastAsia="仿宋" w:cs="仿宋"/>
          <w:b/>
          <w:bCs/>
          <w:color w:val="000000"/>
          <w:sz w:val="28"/>
          <w:szCs w:val="28"/>
          <w:highlight w:val="none"/>
          <w:u w:val="single"/>
          <w:lang w:eastAsia="zh-CN" w:bidi="ar"/>
        </w:rPr>
        <w:t>中的“</w:t>
      </w:r>
      <w:r>
        <w:rPr>
          <w:rFonts w:hint="eastAsia" w:ascii="仿宋" w:hAnsi="仿宋" w:eastAsia="仿宋" w:cs="仿宋"/>
          <w:b/>
          <w:bCs/>
          <w:color w:val="000000"/>
          <w:sz w:val="28"/>
          <w:szCs w:val="28"/>
          <w:highlight w:val="none"/>
          <w:u w:val="single"/>
          <w:lang w:bidi="ar"/>
        </w:rPr>
        <w:t>左右主扩声线阵列扬声器</w:t>
      </w:r>
      <w:r>
        <w:rPr>
          <w:rFonts w:hint="eastAsia" w:ascii="仿宋" w:hAnsi="仿宋" w:eastAsia="仿宋" w:cs="仿宋"/>
          <w:b/>
          <w:bCs/>
          <w:color w:val="000000"/>
          <w:sz w:val="28"/>
          <w:szCs w:val="28"/>
          <w:highlight w:val="none"/>
          <w:u w:val="single"/>
          <w:lang w:eastAsia="zh-CN" w:bidi="ar"/>
        </w:rPr>
        <w:t>”</w:t>
      </w:r>
    </w:p>
    <w:p w14:paraId="01C75A4D">
      <w:pPr>
        <w:keepNext w:val="0"/>
        <w:keepLines w:val="0"/>
        <w:pageBreakBefore w:val="0"/>
        <w:widowControl/>
        <w:spacing w:line="400" w:lineRule="exact"/>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7、本项目不属于专门面向中小微企业采购的项目。</w:t>
      </w:r>
    </w:p>
    <w:p w14:paraId="57DA646F">
      <w:pPr>
        <w:keepNext w:val="0"/>
        <w:keepLines w:val="0"/>
        <w:pageBreakBefore w:val="0"/>
        <w:widowControl/>
        <w:spacing w:line="400" w:lineRule="exact"/>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8、徐州生物工程职业技术学院大学生活动中心舞美设备采购与安装</w:t>
      </w:r>
      <w:r>
        <w:rPr>
          <w:rFonts w:hint="eastAsia" w:ascii="仿宋" w:hAnsi="仿宋" w:eastAsia="仿宋" w:cs="仿宋"/>
          <w:color w:val="000000"/>
          <w:sz w:val="28"/>
          <w:szCs w:val="28"/>
          <w:highlight w:val="none"/>
          <w:lang w:eastAsia="zh-CN"/>
        </w:rPr>
        <w:t>项目</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对应的中小企业划分标准所属行业为</w:t>
      </w:r>
      <w:r>
        <w:rPr>
          <w:rFonts w:hint="eastAsia" w:ascii="仿宋" w:hAnsi="仿宋" w:eastAsia="仿宋" w:cs="仿宋"/>
          <w:color w:val="000000"/>
          <w:sz w:val="28"/>
          <w:szCs w:val="28"/>
          <w:highlight w:val="none"/>
          <w:u w:val="single"/>
        </w:rPr>
        <w:t>工业。</w:t>
      </w:r>
    </w:p>
    <w:p w14:paraId="5A206F75">
      <w:pPr>
        <w:keepNext w:val="0"/>
        <w:keepLines w:val="0"/>
        <w:pageBreakBefore w:val="0"/>
        <w:widowControl/>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注：中小企业划分标准所属行业以《工业和信息化部、国家统计局、国家发展和改革委员会、财政部关于印发中小企业划型标准规定的通知》（工信部联企业[2011]300号）的规定为准：</w:t>
      </w:r>
    </w:p>
    <w:p w14:paraId="36B9EDA0">
      <w:pPr>
        <w:keepNext w:val="0"/>
        <w:keepLines w:val="0"/>
        <w:pageBreakBefore w:val="0"/>
        <w:widowControl/>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C41015">
      <w:pPr>
        <w:pStyle w:val="284"/>
        <w:spacing w:line="500" w:lineRule="exact"/>
        <w:ind w:firstLine="562"/>
        <w:rPr>
          <w:rFonts w:hint="eastAsia" w:ascii="仿宋" w:hAnsi="仿宋" w:eastAsia="仿宋" w:cs="仿宋"/>
          <w:color w:val="000000"/>
          <w:sz w:val="30"/>
          <w:szCs w:val="30"/>
          <w:lang w:val="en-US" w:eastAsia="zh-CN" w:bidi="ar-SA"/>
        </w:rPr>
      </w:pPr>
      <w:r>
        <w:rPr>
          <w:rFonts w:hint="eastAsia" w:ascii="仿宋" w:hAnsi="仿宋" w:eastAsia="仿宋" w:cs="仿宋"/>
          <w:sz w:val="28"/>
          <w:szCs w:val="28"/>
          <w:lang w:val="en-US" w:eastAsia="zh-CN" w:bidi="ar-SA"/>
        </w:rPr>
        <w:t>★</w:t>
      </w:r>
      <w:r>
        <w:rPr>
          <w:rFonts w:hint="eastAsia" w:ascii="仿宋" w:hAnsi="仿宋" w:eastAsia="仿宋" w:cs="仿宋"/>
          <w:b/>
          <w:bCs/>
          <w:color w:val="000000"/>
          <w:sz w:val="30"/>
          <w:szCs w:val="30"/>
          <w:lang w:val="en-US" w:eastAsia="zh-CN" w:bidi="ar-SA"/>
        </w:rPr>
        <w:t>二、采购项目预算金额</w:t>
      </w:r>
    </w:p>
    <w:p w14:paraId="5BC75BFE">
      <w:pPr>
        <w:keepNext w:val="0"/>
        <w:keepLines w:val="0"/>
        <w:pageBreakBefore w:val="0"/>
        <w:widowControl/>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本项目不接受超过</w:t>
      </w:r>
      <w:r>
        <w:rPr>
          <w:rFonts w:hint="eastAsia" w:ascii="仿宋" w:hAnsi="仿宋" w:eastAsia="仿宋" w:cs="仿宋"/>
          <w:color w:val="000000"/>
          <w:sz w:val="28"/>
          <w:szCs w:val="28"/>
          <w:highlight w:val="none"/>
          <w:u w:val="single"/>
          <w:lang w:val="en-US" w:eastAsia="zh-CN"/>
        </w:rPr>
        <w:t>440万元</w:t>
      </w:r>
      <w:r>
        <w:rPr>
          <w:rFonts w:hint="eastAsia" w:ascii="仿宋" w:hAnsi="仿宋" w:eastAsia="仿宋" w:cs="仿宋"/>
          <w:color w:val="000000"/>
          <w:sz w:val="28"/>
          <w:szCs w:val="28"/>
          <w:highlight w:val="none"/>
        </w:rPr>
        <w:t>人民币（采购项目预算金额）的投标报价。</w:t>
      </w:r>
    </w:p>
    <w:p w14:paraId="5E93F87E">
      <w:pPr>
        <w:keepNext w:val="0"/>
        <w:keepLines w:val="0"/>
        <w:pageBreakBefore w:val="0"/>
        <w:widowControl/>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报价应包括全部货物及伴随工程和服务的相应价格及相关税费、运输到指定地点的装运费用、安装调试、培训、售后服务等其他有关的所有费用，包括但不限于人工、材料、机械、管理、维护、保险、利润、税金、</w:t>
      </w:r>
      <w:r>
        <w:rPr>
          <w:rFonts w:hint="eastAsia" w:ascii="仿宋" w:hAnsi="仿宋" w:eastAsia="仿宋" w:cs="仿宋"/>
          <w:color w:val="000000"/>
          <w:sz w:val="28"/>
          <w:szCs w:val="28"/>
          <w:highlight w:val="none"/>
          <w:lang w:val="en-US" w:eastAsia="zh-CN"/>
        </w:rPr>
        <w:t>招标代理服务费、</w:t>
      </w:r>
      <w:r>
        <w:rPr>
          <w:rFonts w:hint="eastAsia" w:ascii="仿宋" w:hAnsi="仿宋" w:eastAsia="仿宋" w:cs="仿宋"/>
          <w:color w:val="000000"/>
          <w:sz w:val="28"/>
          <w:szCs w:val="28"/>
          <w:highlight w:val="none"/>
        </w:rPr>
        <w:t>政策性文件规定及合同包含的所有风险、责任等各项应有费用</w:t>
      </w:r>
      <w:r>
        <w:rPr>
          <w:rFonts w:hint="eastAsia" w:ascii="仿宋" w:hAnsi="仿宋" w:eastAsia="仿宋" w:cs="仿宋"/>
          <w:color w:val="000000"/>
          <w:sz w:val="28"/>
          <w:szCs w:val="28"/>
          <w:highlight w:val="none"/>
          <w:lang w:val="en-US" w:eastAsia="zh-CN"/>
        </w:rPr>
        <w:t>,且合同履行期间项目实施相关费用不因市场变化因素而变动。</w:t>
      </w:r>
      <w:r>
        <w:rPr>
          <w:rFonts w:hint="eastAsia" w:ascii="仿宋" w:hAnsi="仿宋" w:eastAsia="仿宋" w:cs="仿宋"/>
          <w:color w:val="000000"/>
          <w:sz w:val="28"/>
          <w:szCs w:val="28"/>
          <w:highlight w:val="none"/>
        </w:rPr>
        <w:t>用户不再支付报价以外的任何费用。</w:t>
      </w:r>
    </w:p>
    <w:p w14:paraId="54C363CE">
      <w:pPr>
        <w:pStyle w:val="284"/>
        <w:spacing w:line="500" w:lineRule="exact"/>
        <w:ind w:firstLine="562"/>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30"/>
          <w:szCs w:val="30"/>
          <w:lang w:val="en-US" w:eastAsia="zh-CN" w:bidi="ar-SA"/>
        </w:rPr>
        <w:t>三、主要技术要求</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以下“</w:t>
      </w:r>
      <w:r>
        <w:rPr>
          <w:rFonts w:hint="eastAsia" w:ascii="仿宋" w:hAnsi="仿宋" w:eastAsia="仿宋" w:cs="仿宋"/>
          <w:sz w:val="28"/>
          <w:szCs w:val="28"/>
          <w:lang w:val="en-US" w:eastAsia="zh-CN" w:bidi="ar-SA"/>
        </w:rPr>
        <w:t>★</w:t>
      </w:r>
      <w:r>
        <w:rPr>
          <w:rFonts w:hint="eastAsia" w:ascii="仿宋" w:hAnsi="仿宋" w:eastAsia="仿宋" w:cs="仿宋"/>
          <w:b/>
          <w:bCs/>
          <w:color w:val="000000"/>
          <w:sz w:val="28"/>
          <w:szCs w:val="28"/>
          <w:highlight w:val="none"/>
          <w:lang w:val="en-US" w:eastAsia="zh-CN"/>
        </w:rPr>
        <w:t>”标为实质性响应指标，有一项不满足做无效投标处理。“</w:t>
      </w:r>
      <w:r>
        <w:rPr>
          <w:rFonts w:hint="eastAsia" w:ascii="仿宋" w:hAnsi="仿宋" w:eastAsia="仿宋" w:cs="仿宋"/>
          <w:sz w:val="28"/>
          <w:szCs w:val="28"/>
          <w:lang w:val="en-US" w:eastAsia="zh-CN" w:bidi="ar-SA"/>
        </w:rPr>
        <w:t>▲</w:t>
      </w:r>
      <w:r>
        <w:rPr>
          <w:rFonts w:hint="eastAsia" w:ascii="仿宋" w:hAnsi="仿宋" w:eastAsia="仿宋" w:cs="仿宋"/>
          <w:b/>
          <w:bCs/>
          <w:color w:val="000000"/>
          <w:sz w:val="28"/>
          <w:szCs w:val="28"/>
          <w:highlight w:val="none"/>
          <w:lang w:val="en-US" w:eastAsia="zh-CN"/>
        </w:rPr>
        <w:t>”标为重要响应指标，其他为一般响应指标。</w:t>
      </w:r>
      <w:r>
        <w:rPr>
          <w:rFonts w:hint="eastAsia" w:ascii="仿宋" w:hAnsi="仿宋" w:eastAsia="仿宋" w:cs="仿宋"/>
          <w:b/>
          <w:bCs/>
          <w:color w:val="000000"/>
          <w:sz w:val="28"/>
          <w:szCs w:val="28"/>
          <w:highlight w:val="none"/>
          <w:lang w:eastAsia="zh-CN"/>
        </w:rPr>
        <w:t>）</w:t>
      </w:r>
    </w:p>
    <w:tbl>
      <w:tblPr>
        <w:tblStyle w:val="28"/>
        <w:tblW w:w="972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56"/>
        <w:gridCol w:w="7056"/>
        <w:gridCol w:w="696"/>
        <w:gridCol w:w="457"/>
      </w:tblGrid>
      <w:tr w14:paraId="2E51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22" w:type="dxa"/>
            <w:gridSpan w:val="5"/>
            <w:noWrap w:val="0"/>
            <w:vAlign w:val="center"/>
          </w:tcPr>
          <w:p w14:paraId="69FF94C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一、大报告厅系统（场地尺寸：44米*31米*10米，舞台尺寸：18米*13米，舞台高度1米）</w:t>
            </w:r>
          </w:p>
        </w:tc>
      </w:tr>
      <w:tr w14:paraId="7222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45D3E3F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675D9B14">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59BEB760">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1FD282CA">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6514241A">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4788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4B2D37ED">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583F25A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1、音频系统</w:t>
            </w:r>
          </w:p>
        </w:tc>
        <w:tc>
          <w:tcPr>
            <w:tcW w:w="7056" w:type="dxa"/>
            <w:noWrap w:val="0"/>
            <w:vAlign w:val="center"/>
          </w:tcPr>
          <w:p w14:paraId="54556813">
            <w:pPr>
              <w:jc w:val="left"/>
              <w:rPr>
                <w:rFonts w:hint="eastAsia" w:ascii="仿宋" w:hAnsi="仿宋" w:eastAsia="仿宋" w:cs="仿宋"/>
                <w:b/>
                <w:bCs/>
                <w:i w:val="0"/>
                <w:iCs w:val="0"/>
                <w:color w:val="000000"/>
                <w:sz w:val="24"/>
                <w:szCs w:val="24"/>
                <w:u w:val="none"/>
              </w:rPr>
            </w:pPr>
          </w:p>
        </w:tc>
        <w:tc>
          <w:tcPr>
            <w:tcW w:w="696" w:type="dxa"/>
            <w:noWrap w:val="0"/>
            <w:vAlign w:val="center"/>
          </w:tcPr>
          <w:p w14:paraId="0C02B5C7">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684BD9E5">
            <w:pPr>
              <w:jc w:val="center"/>
              <w:rPr>
                <w:rFonts w:hint="eastAsia" w:ascii="仿宋" w:hAnsi="仿宋" w:eastAsia="仿宋" w:cs="仿宋"/>
                <w:b/>
                <w:bCs/>
                <w:i w:val="0"/>
                <w:iCs w:val="0"/>
                <w:color w:val="000000"/>
                <w:sz w:val="24"/>
                <w:szCs w:val="24"/>
                <w:u w:val="none"/>
              </w:rPr>
            </w:pPr>
          </w:p>
        </w:tc>
      </w:tr>
      <w:tr w14:paraId="2C0F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57" w:type="dxa"/>
            <w:noWrap w:val="0"/>
            <w:vAlign w:val="center"/>
          </w:tcPr>
          <w:p w14:paraId="1846E15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3CBFC9D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左右主扩声线阵列扬声器</w:t>
            </w:r>
          </w:p>
        </w:tc>
        <w:tc>
          <w:tcPr>
            <w:tcW w:w="7056" w:type="dxa"/>
            <w:noWrap w:val="0"/>
            <w:vAlign w:val="center"/>
          </w:tcPr>
          <w:p w14:paraId="7AA380A7">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lang w:val="en-US" w:eastAsia="zh-CN" w:bidi="ar"/>
              </w:rPr>
              <w:t>1、</w:t>
            </w:r>
            <w:r>
              <w:rPr>
                <w:rFonts w:hint="eastAsia" w:ascii="仿宋" w:hAnsi="仿宋" w:eastAsia="仿宋" w:cs="仿宋"/>
                <w:i w:val="0"/>
                <w:iCs w:val="0"/>
                <w:color w:val="000000"/>
                <w:sz w:val="24"/>
                <w:szCs w:val="24"/>
                <w:u w:val="none"/>
                <w:lang w:val="en-US" w:eastAsia="zh-CN" w:bidi="ar"/>
              </w:rPr>
              <w:t xml:space="preserve">单元结构：三分频同轴，≥2*8寸(低音单元)+ ≥1*3寸(中音单元)+≥ 1*2寸(高音单元)；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2、系统带宽（频率响应）：不劣于70 Hz-18 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3、标称覆盖角（指向性）水平H x 垂直V：≥90°×≥10°；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4、高音号角垂直指向≥10°，并根据现场需求选配不同覆盖角度型号；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5、灵敏度：≥102dB；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6、系统峰值声压级（1m, 自由声场）：≥130dB；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7、功率容量：连续功率 MHF：≥150W/LF：≥700W； </w:t>
            </w:r>
          </w:p>
          <w:p w14:paraId="29C90521">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8.▲提供宣传彩页（或官网截图）及能够分辨产品单元数量正面实拍图。</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2-7项，中标后签订合同前需提供带有“CMA”或“CNAS”标志的检测报告原件（提供承诺，格式自拟）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2B18940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w:t>
            </w:r>
          </w:p>
        </w:tc>
        <w:tc>
          <w:tcPr>
            <w:tcW w:w="457" w:type="dxa"/>
            <w:noWrap w:val="0"/>
            <w:vAlign w:val="center"/>
          </w:tcPr>
          <w:p w14:paraId="2B9AEC8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88F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457" w:type="dxa"/>
            <w:noWrap w:val="0"/>
            <w:vAlign w:val="center"/>
          </w:tcPr>
          <w:p w14:paraId="15E568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221AD3A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中置线阵列扬声器</w:t>
            </w:r>
          </w:p>
        </w:tc>
        <w:tc>
          <w:tcPr>
            <w:tcW w:w="7056" w:type="dxa"/>
            <w:noWrap w:val="0"/>
            <w:vAlign w:val="center"/>
          </w:tcPr>
          <w:p w14:paraId="474305F6">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lang w:val="en-US" w:eastAsia="zh-CN" w:bidi="ar"/>
              </w:rPr>
              <w:t>1、</w:t>
            </w:r>
            <w:r>
              <w:rPr>
                <w:rFonts w:hint="eastAsia" w:ascii="仿宋" w:hAnsi="仿宋" w:eastAsia="仿宋" w:cs="仿宋"/>
                <w:i w:val="0"/>
                <w:iCs w:val="0"/>
                <w:color w:val="000000"/>
                <w:sz w:val="24"/>
                <w:szCs w:val="24"/>
                <w:u w:val="none"/>
                <w:lang w:val="en-US" w:eastAsia="zh-CN" w:bidi="ar"/>
              </w:rPr>
              <w:t xml:space="preserve">单元结构：三分频同轴，≥2*8寸(低音单元)+ ≥1*3寸(中音单元)+≥ 1*2寸(高音单元)；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2、系统带宽（频率响应） ：不劣于70 Hz-18 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3、标称覆盖角（指向性）水平H x 垂直V：≥90°×≥10°；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4、高音号角垂直指向≥10°，并根据现场需求选配不同覆盖角度型号；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5、灵敏度：≥102dB；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6、系统峰值声压级（1m, 自由声场）：≥130dB；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7、功率容量：连续功率 MHF：≥150W/LF：≥700W；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8、▲提供宣传彩页（或官网截图）及能够分辨产品单元数量正面实拍图。</w:t>
            </w:r>
          </w:p>
          <w:p w14:paraId="65FB28C0">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2-7项，中标后签订合同前需提供带有“CMA”或“CNAS”标志的检测报告原件（提供承诺，格式自拟）；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6BCA96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603ACB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3AFC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457" w:type="dxa"/>
            <w:noWrap w:val="0"/>
            <w:vAlign w:val="center"/>
          </w:tcPr>
          <w:p w14:paraId="26601E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60F2DE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线阵低频扬声器</w:t>
            </w:r>
          </w:p>
        </w:tc>
        <w:tc>
          <w:tcPr>
            <w:tcW w:w="7056" w:type="dxa"/>
            <w:noWrap w:val="0"/>
            <w:vAlign w:val="center"/>
          </w:tcPr>
          <w:p w14:paraId="3633FEA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1、单元结构：≥1*18"低音音箱；铝质盆架、防水纸盆；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2、系统带宽（频率响应）：（±3dB标准时）≤36-≥98 Hz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3、灵敏度：≥102dB；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4、最大声压级（1m, 自由声场）：≥133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5、功率容量：持续功率≥1200W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2-5，中标后签订合同前需提供带有“CMA”或“CNAS”标志的检测报告原件（提供承诺，格式自拟）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77881D9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2D9DF94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63FA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328CFCE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4FB510B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拉声像扬声器</w:t>
            </w:r>
          </w:p>
        </w:tc>
        <w:tc>
          <w:tcPr>
            <w:tcW w:w="7056" w:type="dxa"/>
            <w:noWrap w:val="0"/>
            <w:vAlign w:val="top"/>
          </w:tcPr>
          <w:p w14:paraId="5C09AB4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1、系统带宽（频率响应） ：≤45Hz -≥20kHz；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2、灵敏度 ：≥99dB；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3、系统最大声压级：≥127dB；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4、标称覆盖角（指向性）水平H x 垂直V：≥90°×60°；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5、功率容量：持续功率≥700W；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6、单元结构：≥1*15 寸（低音单元）+≥1*3寸（高音单元）；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1-5，中标后签订合同前需提供带有“CMA”或“CNAS”标志的检测报告原件（提供承诺，格式自拟）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4E6EF1B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70E6A78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555F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457" w:type="dxa"/>
            <w:noWrap w:val="0"/>
            <w:vAlign w:val="center"/>
          </w:tcPr>
          <w:p w14:paraId="4E1139D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1C7F924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同轴流动返听扬声器</w:t>
            </w:r>
          </w:p>
        </w:tc>
        <w:tc>
          <w:tcPr>
            <w:tcW w:w="7056" w:type="dxa"/>
            <w:noWrap w:val="0"/>
            <w:vAlign w:val="top"/>
          </w:tcPr>
          <w:p w14:paraId="427D4B71">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lang w:val="en-US" w:eastAsia="zh-CN" w:bidi="ar"/>
              </w:rPr>
              <w:t>1、</w:t>
            </w:r>
            <w:r>
              <w:rPr>
                <w:rFonts w:hint="eastAsia" w:ascii="仿宋" w:hAnsi="仿宋" w:eastAsia="仿宋" w:cs="仿宋"/>
                <w:i w:val="0"/>
                <w:iCs w:val="0"/>
                <w:color w:val="000000"/>
                <w:sz w:val="24"/>
                <w:szCs w:val="24"/>
                <w:u w:val="none"/>
                <w:lang w:val="en-US" w:eastAsia="zh-CN" w:bidi="ar"/>
              </w:rPr>
              <w:t>单元结构：≥1*15寸（低音单元）+≥1*2.87寸（约73mm）（高音单元）；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2、系统带宽（频率范围）：≤25Hz</w:t>
            </w:r>
            <w:r>
              <w:rPr>
                <w:rStyle w:val="299"/>
                <w:rFonts w:hint="eastAsia" w:ascii="仿宋" w:hAnsi="仿宋" w:eastAsia="仿宋" w:cs="仿宋"/>
                <w:lang w:val="en-US" w:eastAsia="zh-CN" w:bidi="ar"/>
              </w:rPr>
              <w:t>‒</w:t>
            </w:r>
            <w:r>
              <w:rPr>
                <w:rFonts w:hint="eastAsia" w:ascii="仿宋" w:hAnsi="仿宋" w:eastAsia="仿宋" w:cs="仿宋"/>
                <w:i w:val="0"/>
                <w:iCs w:val="0"/>
                <w:color w:val="000000"/>
                <w:sz w:val="24"/>
                <w:szCs w:val="24"/>
                <w:u w:val="none"/>
                <w:lang w:val="en-US" w:eastAsia="zh-CN" w:bidi="ar"/>
              </w:rPr>
              <w:t>≥25kHz；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3、灵敏度：≥99dB：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4、最大声压级（1m, 自由声场）：≥126dB；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5、标称覆盖角：水平≥60° × 垂直≥60；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6、功率容量 ：持续功率≥500W；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7、分频点设计应满足整体声学性能要求，不限定具体数值</w:t>
            </w:r>
          </w:p>
          <w:p w14:paraId="68215EF0">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lang w:val="en-US" w:eastAsia="zh-CN" w:bidi="ar-SA"/>
              </w:rPr>
              <w:t>8、</w:t>
            </w:r>
            <w:r>
              <w:rPr>
                <w:rFonts w:hint="eastAsia" w:ascii="仿宋" w:hAnsi="仿宋" w:eastAsia="仿宋" w:cs="仿宋"/>
                <w:i w:val="0"/>
                <w:iCs w:val="0"/>
                <w:color w:val="000000"/>
                <w:sz w:val="24"/>
                <w:szCs w:val="24"/>
                <w:u w:val="none"/>
                <w:lang w:val="en-US" w:eastAsia="zh-CN" w:bidi="ar"/>
              </w:rPr>
              <w:t>▲提供宣传彩页（或官网截图）及能够分辨产品单元数量正面实拍图。</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2-6，中标后签订合同前需提供带有“CMA”或“CNAS”标志的检测报告原件（提供承诺，格式自拟）；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3D93F39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26BFE07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3F17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6EDAD73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0E27735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固定返听扬声器</w:t>
            </w:r>
          </w:p>
        </w:tc>
        <w:tc>
          <w:tcPr>
            <w:tcW w:w="7056" w:type="dxa"/>
            <w:noWrap w:val="0"/>
            <w:vAlign w:val="center"/>
          </w:tcPr>
          <w:p w14:paraId="7F6E845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1、系统带宽（频率响应）：（±3dB标准时）≤65Hz-≥18kHz；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2、灵敏度：≥97dB；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3、系统最大声压级（1m, 自由声场）：≥129dB；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4、单元结构：1*12寸（低音单元）+1*2寸（高音单元）；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5、功率容量：持续功率：≥390w；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6、分频点设计应满足整体声学性能要求，不限定具体数值。</w:t>
            </w:r>
          </w:p>
        </w:tc>
        <w:tc>
          <w:tcPr>
            <w:tcW w:w="696" w:type="dxa"/>
            <w:noWrap w:val="0"/>
            <w:vAlign w:val="center"/>
          </w:tcPr>
          <w:p w14:paraId="1126D1C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079620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36B4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67BC60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701B70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同轴台唇扬声器</w:t>
            </w:r>
          </w:p>
        </w:tc>
        <w:tc>
          <w:tcPr>
            <w:tcW w:w="7056" w:type="dxa"/>
            <w:noWrap w:val="0"/>
            <w:vAlign w:val="top"/>
          </w:tcPr>
          <w:p w14:paraId="293F8850">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1、单元结构：≥1*15寸（低音单元）+≥1*2.87寸（高音单元）；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2、系统带宽（频率范围）(-10dB标准时)：≤25Hz</w:t>
            </w:r>
            <w:r>
              <w:rPr>
                <w:rStyle w:val="299"/>
                <w:rFonts w:hint="eastAsia" w:ascii="仿宋" w:hAnsi="仿宋" w:eastAsia="仿宋" w:cs="仿宋"/>
                <w:lang w:val="en-US" w:eastAsia="zh-CN" w:bidi="ar"/>
              </w:rPr>
              <w:t>‒</w:t>
            </w:r>
            <w:r>
              <w:rPr>
                <w:rFonts w:hint="eastAsia" w:ascii="仿宋" w:hAnsi="仿宋" w:eastAsia="仿宋" w:cs="仿宋"/>
                <w:i w:val="0"/>
                <w:iCs w:val="0"/>
                <w:color w:val="000000"/>
                <w:sz w:val="24"/>
                <w:szCs w:val="24"/>
                <w:u w:val="none"/>
                <w:lang w:val="en-US" w:eastAsia="zh-CN" w:bidi="ar"/>
              </w:rPr>
              <w:t>≥25kHz；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3、灵敏度：≥99dB：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4、最大声压级（1m, 自由声场）：≥126dB；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5、标称覆盖角：水平≥60° × 垂直≥60；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6、功率容量 ：持续功率≥500W；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7、分频点设计应满足整体声学性能要求，不限定具体数值</w:t>
            </w:r>
          </w:p>
          <w:p w14:paraId="7DA57F7C">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8、▲提供宣传彩页（或官网截图）及能够分辨产品单元数量正面实拍图。</w:t>
            </w:r>
          </w:p>
          <w:p w14:paraId="618ABF8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2-6，中标后签订合同前需提供带有“CMA”或“CNAS”标志的检测报告原件（提供承诺，格式自拟）；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6DBA4A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76AFE6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6EAE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57" w:type="dxa"/>
            <w:noWrap w:val="0"/>
            <w:vAlign w:val="center"/>
          </w:tcPr>
          <w:p w14:paraId="74712DD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2A36DE8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超重低音扬声器</w:t>
            </w:r>
          </w:p>
        </w:tc>
        <w:tc>
          <w:tcPr>
            <w:tcW w:w="7056" w:type="dxa"/>
            <w:noWrap w:val="0"/>
            <w:vAlign w:val="top"/>
          </w:tcPr>
          <w:p w14:paraId="3F19FFAE">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1、系统带宽（频率响应）：（-10dB标准）≤35Hz-≥190Hz；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2、灵敏度：≥102dB；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3、系统最大声压级（1m, 自由声场）：≥138dB；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4、功率容量：连续功率≥1900W；</w:t>
            </w:r>
          </w:p>
          <w:p w14:paraId="57A870C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5、单元结构：≥2*18寸（低音单元）；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w:t>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1-4，中标后签订合同前需提供带有“CMA”或“CNAS”标志的检测报告原件（提供承诺，格式自拟）。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5309C7C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28C601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D62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4C3F450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0776275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左右、中置主扩声同轴线阵列扬声器高频四通道数字功率放大器</w:t>
            </w:r>
          </w:p>
        </w:tc>
        <w:tc>
          <w:tcPr>
            <w:tcW w:w="7056" w:type="dxa"/>
            <w:noWrap w:val="0"/>
            <w:vAlign w:val="center"/>
          </w:tcPr>
          <w:p w14:paraId="1124801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1、输出功率：8Ω立体声 ≥4×340W，4Ω立体声 ≥4×580W，2Ω立体声 ≥4×1000W；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 ≥4×4 通道 Dante 字音频信号传输；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3、支持 FIR 滤波功能，高性能音频 DSP；</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4、具备 ≥3.3 英寸液晶显示屏，可显示状态及参数；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5、输入接口：同时支持接收模拟音频和AES3数字音频信号；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6、控制接口：支持 RS-485 远程监控；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7、信噪比（A加权，8Ω）≥105dB；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8、保护：电源欠压、输出直流、过热、温度功率控制、过载功率控制。</w:t>
            </w:r>
          </w:p>
        </w:tc>
        <w:tc>
          <w:tcPr>
            <w:tcW w:w="696" w:type="dxa"/>
            <w:noWrap w:val="0"/>
            <w:vAlign w:val="center"/>
          </w:tcPr>
          <w:p w14:paraId="1407825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3</w:t>
            </w:r>
          </w:p>
        </w:tc>
        <w:tc>
          <w:tcPr>
            <w:tcW w:w="457" w:type="dxa"/>
            <w:noWrap w:val="0"/>
            <w:vAlign w:val="center"/>
          </w:tcPr>
          <w:p w14:paraId="598C2F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8D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57" w:type="dxa"/>
            <w:noWrap w:val="0"/>
            <w:vAlign w:val="center"/>
          </w:tcPr>
          <w:p w14:paraId="67F3905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10B046E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左右、中置主扩声同轴线阵列扬声器低频两通道数字功率放大器</w:t>
            </w:r>
          </w:p>
        </w:tc>
        <w:tc>
          <w:tcPr>
            <w:tcW w:w="7056" w:type="dxa"/>
            <w:noWrap w:val="0"/>
            <w:vAlign w:val="top"/>
          </w:tcPr>
          <w:p w14:paraId="67737BE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1、8Ω/立体声：≥2×2000 W；4Ω/立体声：≥2×3400 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2、定压输出：≥2× 2400 W /70 V；定压输出：≥2 × 3400 W /100 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3、RMS输出电压（THD = 1%,1 kHz）：≥120 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 ≥2×2通道 Dante 字音频信号传输；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 FIR 滤波功能，高性能音频 DSP；</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6、具备 ≥3.3 英寸液晶显示屏，可显示状态及参数；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7、输入接口：同时支持接收模拟音频和AES3数字音频信号；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8、控制接口：支持 RS-485 远程监控；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9、信噪比（A加权，8Ω）≥105dB；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10、保护：电源欠压、输出直流、过热、温度功率控制、过载功率控制。</w:t>
            </w:r>
          </w:p>
        </w:tc>
        <w:tc>
          <w:tcPr>
            <w:tcW w:w="696" w:type="dxa"/>
            <w:noWrap w:val="0"/>
            <w:vAlign w:val="center"/>
          </w:tcPr>
          <w:p w14:paraId="5D627F4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w:t>
            </w:r>
          </w:p>
        </w:tc>
        <w:tc>
          <w:tcPr>
            <w:tcW w:w="457" w:type="dxa"/>
            <w:noWrap w:val="0"/>
            <w:vAlign w:val="center"/>
          </w:tcPr>
          <w:p w14:paraId="260C75A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535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75382D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704D2AB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线阵低频两通道数字功率放大器</w:t>
            </w:r>
          </w:p>
        </w:tc>
        <w:tc>
          <w:tcPr>
            <w:tcW w:w="7056" w:type="dxa"/>
            <w:noWrap w:val="0"/>
            <w:vAlign w:val="top"/>
          </w:tcPr>
          <w:p w14:paraId="4E025CF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1、8Ω/立体声：≥2×2000 W；4Ω/立体声：≥2×3400 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2、定压输出：≥2× 2400 W /70 V；定压输出：≥2 × 3400 W /100 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3、RMS输出电压（THD = 1%,1 kHz）：≥120 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 ≥2×2通道 Dante 字音频信号传输；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 FIR 滤波功能，高性能音频 DSP；</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6、具备 ≥3.3 英寸液晶显示屏，可显示状态及参数；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7、输入接口：同时支持接收模拟音频和AES3数字音频信号；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8、控制接口：支持 RS-485 远程监控；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9、信噪比（A加权，8Ω）≥105dB；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10、保护：电源欠压、输出直流、过热、温度功率控制、过载功率控制。</w:t>
            </w:r>
          </w:p>
        </w:tc>
        <w:tc>
          <w:tcPr>
            <w:tcW w:w="696" w:type="dxa"/>
            <w:noWrap w:val="0"/>
            <w:vAlign w:val="center"/>
          </w:tcPr>
          <w:p w14:paraId="124C878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2B0ACD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E85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57" w:type="dxa"/>
            <w:noWrap w:val="0"/>
            <w:vAlign w:val="center"/>
          </w:tcPr>
          <w:p w14:paraId="560D68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5A84D8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拉声像扬声器功率放大器</w:t>
            </w:r>
          </w:p>
        </w:tc>
        <w:tc>
          <w:tcPr>
            <w:tcW w:w="7056" w:type="dxa"/>
            <w:noWrap w:val="0"/>
            <w:vAlign w:val="top"/>
          </w:tcPr>
          <w:p w14:paraId="326FAA0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1、立体声功率8Ω：≥1400W，立体声功率4Ω：≥2250W，桥接模式8Ω：≥3300W；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5、阻尼系数(8Ω)，10Hz-400Hz：≥200；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6427CE6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656958B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803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36BA6CA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79EA7B7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流动、固定、台唇返听扬声器功率放大器</w:t>
            </w:r>
          </w:p>
        </w:tc>
        <w:tc>
          <w:tcPr>
            <w:tcW w:w="7056" w:type="dxa"/>
            <w:noWrap w:val="0"/>
            <w:vAlign w:val="center"/>
          </w:tcPr>
          <w:p w14:paraId="263EFD4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1、立体声功率8Ω：≥950W，立体声功率4Ω：≥1500W，桥接模式8Ω：≥2400W；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 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 ≤ 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 (8Ω)，10Hz-400Hz： ≥ 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348A9D8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w:t>
            </w:r>
          </w:p>
        </w:tc>
        <w:tc>
          <w:tcPr>
            <w:tcW w:w="457" w:type="dxa"/>
            <w:noWrap w:val="0"/>
            <w:vAlign w:val="center"/>
          </w:tcPr>
          <w:p w14:paraId="118BD5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230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256A8E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12B636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超重低音扬声器功率放大器</w:t>
            </w:r>
          </w:p>
        </w:tc>
        <w:tc>
          <w:tcPr>
            <w:tcW w:w="7056" w:type="dxa"/>
            <w:noWrap w:val="0"/>
            <w:vAlign w:val="top"/>
          </w:tcPr>
          <w:p w14:paraId="7844C0B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1、立体声功率8Ω：≥1400W，立体声功率4Ω：≥2250W，桥接模式8Ω：≥3300W；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5、阻尼系数(8Ω)，10Hz-400Hz：≥200；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44B0F2A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155C371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BD3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457" w:type="dxa"/>
            <w:noWrap w:val="0"/>
            <w:vAlign w:val="center"/>
          </w:tcPr>
          <w:p w14:paraId="4AB29B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71E3BF4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16路数字音频处理器</w:t>
            </w:r>
          </w:p>
        </w:tc>
        <w:tc>
          <w:tcPr>
            <w:tcW w:w="7056" w:type="dxa"/>
            <w:noWrap w:val="0"/>
            <w:vAlign w:val="top"/>
          </w:tcPr>
          <w:p w14:paraId="2CFB1D7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1、DSP芯片：Ti 450MHz FLOPS双核；USB2.0 录制/播放：支持；中控指令集生成器：支持；核心算法：反馈消除（AFC），回声消除 (AEC)；输入处理：前级放大、信号发生器、扩展器、压缩器、≥5段参量均衡、反相、自动增益、自动混音；输出处理：≥31段图示均衡器、延时器、分频器、高低通滤波器、限幅器、反相；</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2、矩阵混音：输入和输出信号矩阵式混音，混音分量控制；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3、自动摄像跟踪功能：支持；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4、场景预设：≥100组自定义设置；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5、模拟输入通道：≥16，模拟输出通道：≥16；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6、Ethernet控制端口：≥1；RS232：≥1；RS485：≥1；GPIO：≥8；</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7、支持WIFI联机；输入增益放大：-24～27dB，3dB一级共17级；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8、其他：平衡/非平衡,输入/输出支持；MIC\LINE,输入/输出支持；每路独立48V幻象供电开关；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9、软件及操作系统：控制处理软件及APP/Windows32位/Windows64位/IOS/android/机器内置客户端，支持联机下载；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10、采样：48k@24bit；幻象供电：DC48V；频率响应：≤20Hz ～ ≥20kHz，±1dB；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11、THD+N：≤0.004% @1k，4dBu；数模动态范围（（A加权））：≥120dB；模数动态范围（（A加权））：≥120dB；输入阻抗（平衡式）：≥20kΩ；输出阻抗（平衡式）：≤100Ω；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12、EIN（（A加权））：≤-131 dBu；通道隔离度：≥107dB @1k Hz，4dBu；共模抑制：≥70dB @80 Hz；最大输入电平：≥18dBu；最大输出电平：≥18dBu；本底噪声：≤-90dBu；系统延时：≤3ms。</w:t>
            </w:r>
          </w:p>
        </w:tc>
        <w:tc>
          <w:tcPr>
            <w:tcW w:w="696" w:type="dxa"/>
            <w:noWrap w:val="0"/>
            <w:vAlign w:val="center"/>
          </w:tcPr>
          <w:p w14:paraId="01BECB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34724CA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C4D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457" w:type="dxa"/>
            <w:noWrap w:val="0"/>
            <w:vAlign w:val="center"/>
          </w:tcPr>
          <w:p w14:paraId="77A8984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7921169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32路数字调音台</w:t>
            </w:r>
          </w:p>
        </w:tc>
        <w:tc>
          <w:tcPr>
            <w:tcW w:w="7056" w:type="dxa"/>
            <w:noWrap w:val="0"/>
            <w:vAlign w:val="center"/>
          </w:tcPr>
          <w:p w14:paraId="0DD9C40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1、≥32路话筒输入通道，≥8个辅助输入通道，≥8个效果；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2、≥16个AUX通道，≥6个矩阵，LCR母线；</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3、内部效果器（立体声/单声道）：≥8/16；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4、场景文件(场景快照/场景快照列表)：≥100/50；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5、储存点（包括处理参数和推子）：≥100；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6、信号处理能力：≥40位的浮点处理；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7、≥7英寸彩色显示屏。</w:t>
            </w:r>
          </w:p>
        </w:tc>
        <w:tc>
          <w:tcPr>
            <w:tcW w:w="696" w:type="dxa"/>
            <w:noWrap w:val="0"/>
            <w:vAlign w:val="center"/>
          </w:tcPr>
          <w:p w14:paraId="7901A7D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130B913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EC5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791871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3A629F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32路舞台接口箱</w:t>
            </w:r>
          </w:p>
        </w:tc>
        <w:tc>
          <w:tcPr>
            <w:tcW w:w="7056" w:type="dxa"/>
            <w:noWrap w:val="0"/>
            <w:vAlign w:val="center"/>
          </w:tcPr>
          <w:p w14:paraId="41FD82A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1、≥32个话放输入通道；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2、≥16个模拟平行XLR输出通道。</w:t>
            </w:r>
          </w:p>
        </w:tc>
        <w:tc>
          <w:tcPr>
            <w:tcW w:w="696" w:type="dxa"/>
            <w:noWrap w:val="0"/>
            <w:vAlign w:val="center"/>
          </w:tcPr>
          <w:p w14:paraId="1276973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4772B90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563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457" w:type="dxa"/>
            <w:noWrap w:val="0"/>
            <w:vAlign w:val="center"/>
          </w:tcPr>
          <w:p w14:paraId="6D2D18E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 </w:t>
            </w:r>
          </w:p>
        </w:tc>
        <w:tc>
          <w:tcPr>
            <w:tcW w:w="1056" w:type="dxa"/>
            <w:noWrap w:val="0"/>
            <w:vAlign w:val="center"/>
          </w:tcPr>
          <w:p w14:paraId="0621818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有源同轴监听音箱</w:t>
            </w:r>
          </w:p>
        </w:tc>
        <w:tc>
          <w:tcPr>
            <w:tcW w:w="7056" w:type="dxa"/>
            <w:noWrap w:val="0"/>
            <w:vAlign w:val="center"/>
          </w:tcPr>
          <w:p w14:paraId="186E1FC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1、系统带宽（频率响应）：≤65Hz – ≥20kHz ± 3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2、最大声压级：≥110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3、分频器类型：≥2 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4、交越频率：≥1.5kHz；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5、传感器：≥1 *6.5 英寸+低频驱动器≥ 1 x 1 英寸高频驱动器；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6、最大输出功率：≥300 瓦。</w:t>
            </w:r>
          </w:p>
        </w:tc>
        <w:tc>
          <w:tcPr>
            <w:tcW w:w="696" w:type="dxa"/>
            <w:noWrap w:val="0"/>
            <w:vAlign w:val="center"/>
          </w:tcPr>
          <w:p w14:paraId="2F4D30F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4739A74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C6A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57" w:type="dxa"/>
            <w:noWrap w:val="0"/>
            <w:vAlign w:val="center"/>
          </w:tcPr>
          <w:p w14:paraId="3AED228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19 </w:t>
            </w:r>
          </w:p>
        </w:tc>
        <w:tc>
          <w:tcPr>
            <w:tcW w:w="1056" w:type="dxa"/>
            <w:noWrap w:val="0"/>
            <w:vAlign w:val="center"/>
          </w:tcPr>
          <w:p w14:paraId="66C737D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1778007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音频系统该系统范围内所有设备所需要的串线及配件，本项目为交钥匙工程，不允许额外增加任何费用）；包含但不限于：≥200芯音箱线、≥300芯音箱线、六类屏蔽网线、话筒线、电源线≥RVV3*2.5㎡、电源线≥RVV3*1.5㎡等。</w:t>
            </w:r>
          </w:p>
        </w:tc>
        <w:tc>
          <w:tcPr>
            <w:tcW w:w="696" w:type="dxa"/>
            <w:noWrap w:val="0"/>
            <w:vAlign w:val="center"/>
          </w:tcPr>
          <w:p w14:paraId="4ECA40E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7CAFA3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3BD3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6AD2CA5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6BE5898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469832A7">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20160415">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43B7C02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495D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75FE1E85">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6B0E88CB">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2、音源及拾音器</w:t>
            </w:r>
          </w:p>
        </w:tc>
        <w:tc>
          <w:tcPr>
            <w:tcW w:w="7056" w:type="dxa"/>
            <w:noWrap w:val="0"/>
            <w:vAlign w:val="center"/>
          </w:tcPr>
          <w:p w14:paraId="3191C95B">
            <w:pPr>
              <w:jc w:val="left"/>
              <w:rPr>
                <w:rFonts w:hint="eastAsia" w:ascii="仿宋" w:hAnsi="仿宋" w:eastAsia="仿宋" w:cs="仿宋"/>
                <w:b/>
                <w:bCs/>
                <w:i w:val="0"/>
                <w:iCs w:val="0"/>
                <w:color w:val="000000"/>
                <w:sz w:val="24"/>
                <w:szCs w:val="24"/>
                <w:u w:val="none"/>
              </w:rPr>
            </w:pPr>
          </w:p>
        </w:tc>
        <w:tc>
          <w:tcPr>
            <w:tcW w:w="696" w:type="dxa"/>
            <w:noWrap w:val="0"/>
            <w:vAlign w:val="center"/>
          </w:tcPr>
          <w:p w14:paraId="1DE80482">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39EA8B1C">
            <w:pPr>
              <w:jc w:val="center"/>
              <w:rPr>
                <w:rFonts w:hint="eastAsia" w:ascii="仿宋" w:hAnsi="仿宋" w:eastAsia="仿宋" w:cs="仿宋"/>
                <w:b/>
                <w:bCs/>
                <w:i w:val="0"/>
                <w:iCs w:val="0"/>
                <w:color w:val="000000"/>
                <w:sz w:val="24"/>
                <w:szCs w:val="24"/>
                <w:u w:val="none"/>
              </w:rPr>
            </w:pPr>
          </w:p>
        </w:tc>
      </w:tr>
      <w:tr w14:paraId="5F12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4F0CDD8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6A1DB3E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一拖一无线手持话筒套装</w:t>
            </w:r>
          </w:p>
        </w:tc>
        <w:tc>
          <w:tcPr>
            <w:tcW w:w="7056" w:type="dxa"/>
            <w:noWrap w:val="0"/>
            <w:vAlign w:val="center"/>
          </w:tcPr>
          <w:p w14:paraId="6398BE2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1、音频范围：≤50 Hz - ≥15 kHz ± 2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2、红色：过高音频电平（过载/衰减）；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3、微处理器控制的内部天线分集；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4、双色音频状态LED指示灯；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5、绿色：正常音频电平；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6、集成话筒振膜设计；</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7、可调节的输出电平；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8、XLR和¼英寸输出接口；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9、可拆卸的天线令天线分布更快速；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10、每个频带≥12个兼容系统；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11、显示详细射频和音频计量；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12、一键式频率选择可快速查找最佳开放频率；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13、≤-10 dB增益衰减。</w:t>
            </w:r>
          </w:p>
        </w:tc>
        <w:tc>
          <w:tcPr>
            <w:tcW w:w="696" w:type="dxa"/>
            <w:noWrap w:val="0"/>
            <w:vAlign w:val="center"/>
          </w:tcPr>
          <w:p w14:paraId="541B934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4E5126A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10F2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457" w:type="dxa"/>
            <w:noWrap w:val="0"/>
            <w:vAlign w:val="center"/>
          </w:tcPr>
          <w:p w14:paraId="4C5D9D4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25B044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一拖一无线头戴话筒套装</w:t>
            </w:r>
          </w:p>
        </w:tc>
        <w:tc>
          <w:tcPr>
            <w:tcW w:w="7056" w:type="dxa"/>
            <w:noWrap w:val="0"/>
            <w:vAlign w:val="center"/>
          </w:tcPr>
          <w:p w14:paraId="11DA833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1、音频范围：≤50 Hz -≥ 15 kHz ± 2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2、输出阻抗 / 卡侬接口及阻抗：≤200Ω；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3、红色：过高音频电平（过载/衰减）；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4、可调节的输出电平，6.35 mm 接口：≥50Ω；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5、动态范围：≥100 db （A加权）；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6、可拆卸的天线令天线分布更快速；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7、≥2节AA电池（内置），≥14小时持续使用；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8、长达≥300英尺（90米）的传输半径；</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9、双色音频状态LED指示灯；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10、快速轻松的接收机频率匹配，每个频带≥12个兼容系统；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11、XLR和¼英寸输出接口；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12、绿色：正常音频电平；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13、一键式频率选择可快速查找最佳开放频率；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14、≥26dB可调增益范围；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15、微处理器控制的内部天线分集。</w:t>
            </w:r>
          </w:p>
        </w:tc>
        <w:tc>
          <w:tcPr>
            <w:tcW w:w="696" w:type="dxa"/>
            <w:noWrap w:val="0"/>
            <w:vAlign w:val="center"/>
          </w:tcPr>
          <w:p w14:paraId="137A1A4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10</w:t>
            </w:r>
          </w:p>
        </w:tc>
        <w:tc>
          <w:tcPr>
            <w:tcW w:w="457" w:type="dxa"/>
            <w:noWrap w:val="0"/>
            <w:vAlign w:val="center"/>
          </w:tcPr>
          <w:p w14:paraId="1F8B99F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234E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51E510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178B70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天线分配器</w:t>
            </w:r>
          </w:p>
        </w:tc>
        <w:tc>
          <w:tcPr>
            <w:tcW w:w="7056" w:type="dxa"/>
            <w:noWrap w:val="0"/>
            <w:vAlign w:val="center"/>
          </w:tcPr>
          <w:p w14:paraId="4423D72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1、天线连接器类型：BNC，阻抗 ≤50Ω；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2、直流输出：≥15 V DC ，4接头；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3、绝缘输出接头：≥25 dB，典型；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4、3OIP：≥21 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5、载波频率范围：≤470 - ≥952 MHz。</w:t>
            </w:r>
          </w:p>
        </w:tc>
        <w:tc>
          <w:tcPr>
            <w:tcW w:w="696" w:type="dxa"/>
            <w:noWrap w:val="0"/>
            <w:vAlign w:val="center"/>
          </w:tcPr>
          <w:p w14:paraId="7C740A4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w:t>
            </w:r>
          </w:p>
        </w:tc>
        <w:tc>
          <w:tcPr>
            <w:tcW w:w="457" w:type="dxa"/>
            <w:noWrap w:val="0"/>
            <w:vAlign w:val="center"/>
          </w:tcPr>
          <w:p w14:paraId="25588A4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6C7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4A04C2B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39F2D1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有源指向性天线</w:t>
            </w:r>
          </w:p>
        </w:tc>
        <w:tc>
          <w:tcPr>
            <w:tcW w:w="7056" w:type="dxa"/>
            <w:noWrap w:val="0"/>
            <w:vAlign w:val="center"/>
          </w:tcPr>
          <w:p w14:paraId="20B5E96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1、接头类型：BNC, 插孔，阻抗：≤50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2、电源要求：来自同轴连接的 10 至 15 伏直流偏移, 75 mA；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3、射频频率范围：≤470–≥900 MHz；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4、接收模式：3 dB 波束宽度,≤70 角度；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5、三阶过载交截点 (OIP3)：≥30 dBm。</w:t>
            </w:r>
          </w:p>
        </w:tc>
        <w:tc>
          <w:tcPr>
            <w:tcW w:w="696" w:type="dxa"/>
            <w:noWrap w:val="0"/>
            <w:vAlign w:val="center"/>
          </w:tcPr>
          <w:p w14:paraId="15220C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3B4EF85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3A92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48548E0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0F09338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无源天线分配器</w:t>
            </w:r>
          </w:p>
        </w:tc>
        <w:tc>
          <w:tcPr>
            <w:tcW w:w="7056" w:type="dxa"/>
            <w:noWrap w:val="0"/>
            <w:vAlign w:val="center"/>
          </w:tcPr>
          <w:p w14:paraId="0FE7FEF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1、无源天线分配器/组合器套件。</w:t>
            </w:r>
          </w:p>
        </w:tc>
        <w:tc>
          <w:tcPr>
            <w:tcW w:w="696" w:type="dxa"/>
            <w:noWrap w:val="0"/>
            <w:vAlign w:val="center"/>
          </w:tcPr>
          <w:p w14:paraId="5956E1C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04AF111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798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22342B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6E5CD5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大振膜话筒</w:t>
            </w:r>
          </w:p>
        </w:tc>
        <w:tc>
          <w:tcPr>
            <w:tcW w:w="7056" w:type="dxa"/>
            <w:noWrap w:val="0"/>
            <w:vAlign w:val="center"/>
          </w:tcPr>
          <w:p w14:paraId="00E391E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1、最大声压：≥150dB；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2、信噪比：≥80dB；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3、指向性：心型；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4、声道：单声道；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5、频响范围：≥20Hz-≤20kHz；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6、灵敏度：≥25mV/Pa；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7、阻抗：≤200Ω；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8、等效噪音：≤14dB/A，25dB（CCIR 468-3）。</w:t>
            </w:r>
          </w:p>
        </w:tc>
        <w:tc>
          <w:tcPr>
            <w:tcW w:w="696" w:type="dxa"/>
            <w:noWrap w:val="0"/>
            <w:vAlign w:val="center"/>
          </w:tcPr>
          <w:p w14:paraId="51B499E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w:t>
            </w:r>
          </w:p>
        </w:tc>
        <w:tc>
          <w:tcPr>
            <w:tcW w:w="457" w:type="dxa"/>
            <w:noWrap w:val="0"/>
            <w:vAlign w:val="center"/>
          </w:tcPr>
          <w:p w14:paraId="1DD550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38B2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24C63E7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5E33761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鼓用话筒套装</w:t>
            </w:r>
          </w:p>
        </w:tc>
        <w:tc>
          <w:tcPr>
            <w:tcW w:w="7056" w:type="dxa"/>
            <w:noWrap w:val="0"/>
            <w:vAlign w:val="center"/>
          </w:tcPr>
          <w:p w14:paraId="3F0AC28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套装包括：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1、≥7条线和1个便携袋；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2、≥1只底鼓话筒；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3、≥3只鼓用话筒、≥3只鼓用话筒支架；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4、≥1只乐器话筒；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5、≥2只乐器话筒。</w:t>
            </w:r>
          </w:p>
        </w:tc>
        <w:tc>
          <w:tcPr>
            <w:tcW w:w="696" w:type="dxa"/>
            <w:noWrap w:val="0"/>
            <w:vAlign w:val="center"/>
          </w:tcPr>
          <w:p w14:paraId="0167B67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3260137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09B9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37B1E9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220916D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隔离变压器</w:t>
            </w:r>
          </w:p>
        </w:tc>
        <w:tc>
          <w:tcPr>
            <w:tcW w:w="7056" w:type="dxa"/>
            <w:noWrap w:val="0"/>
            <w:vAlign w:val="center"/>
          </w:tcPr>
          <w:p w14:paraId="183D796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1、频率响应：≤20Hz--≥20kHz（±1db)；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2、最大输入：≤26dbu@1kHz,1%THD+N；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3、总谐波失真：≤0.001%@1kHz,+4d Bu output；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4、相位极性：≤0.5°@100Hz，≤3°@20Hz；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5、输入阻抗：6000，平衡输出阻抗：6000，平衡。</w:t>
            </w:r>
          </w:p>
        </w:tc>
        <w:tc>
          <w:tcPr>
            <w:tcW w:w="696" w:type="dxa"/>
            <w:noWrap w:val="0"/>
            <w:vAlign w:val="center"/>
          </w:tcPr>
          <w:p w14:paraId="05EFCD8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6905B6D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B07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769FA85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10E5933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无线内通系统</w:t>
            </w:r>
          </w:p>
        </w:tc>
        <w:tc>
          <w:tcPr>
            <w:tcW w:w="7056" w:type="dxa"/>
            <w:noWrap w:val="0"/>
            <w:vAlign w:val="center"/>
          </w:tcPr>
          <w:p w14:paraId="601F4A1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1、电源：锂电池；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2、频率范围：≤403 -≥ 470 MHz；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3、频道数量：≥16；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4、电池容量：≥2400mAh。</w:t>
            </w:r>
          </w:p>
        </w:tc>
        <w:tc>
          <w:tcPr>
            <w:tcW w:w="696" w:type="dxa"/>
            <w:noWrap w:val="0"/>
            <w:vAlign w:val="center"/>
          </w:tcPr>
          <w:p w14:paraId="17D451D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10</w:t>
            </w:r>
          </w:p>
        </w:tc>
        <w:tc>
          <w:tcPr>
            <w:tcW w:w="457" w:type="dxa"/>
            <w:noWrap w:val="0"/>
            <w:vAlign w:val="center"/>
          </w:tcPr>
          <w:p w14:paraId="2131EBA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C56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5EBDA68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5AE55E0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0DE067B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音源及拾音器系统该系统范围内所有设备所需要的串线及配件，本项目为交钥匙工程，不允许额外增加任何费用）；包含但不限于：话筒有源指向天线≥SYV50-5-1、六类屏蔽网线、电源线≥RVV3*1.5㎡等。</w:t>
            </w:r>
          </w:p>
        </w:tc>
        <w:tc>
          <w:tcPr>
            <w:tcW w:w="696" w:type="dxa"/>
            <w:noWrap w:val="0"/>
            <w:vAlign w:val="center"/>
          </w:tcPr>
          <w:p w14:paraId="0E0151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7A1CF79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4E77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1C63431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30798BE5">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1A567CC8">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5067031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18519EC4">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1FB6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755587B">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1A29220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3、摄像跟踪会议系统</w:t>
            </w:r>
          </w:p>
        </w:tc>
        <w:tc>
          <w:tcPr>
            <w:tcW w:w="7056" w:type="dxa"/>
            <w:noWrap w:val="0"/>
            <w:vAlign w:val="center"/>
          </w:tcPr>
          <w:p w14:paraId="617FC7CD">
            <w:pPr>
              <w:jc w:val="left"/>
              <w:rPr>
                <w:rFonts w:hint="eastAsia" w:ascii="仿宋" w:hAnsi="仿宋" w:eastAsia="仿宋" w:cs="仿宋"/>
                <w:b/>
                <w:bCs/>
                <w:i w:val="0"/>
                <w:iCs w:val="0"/>
                <w:color w:val="000000"/>
                <w:sz w:val="24"/>
                <w:szCs w:val="24"/>
                <w:u w:val="none"/>
              </w:rPr>
            </w:pPr>
          </w:p>
        </w:tc>
        <w:tc>
          <w:tcPr>
            <w:tcW w:w="696" w:type="dxa"/>
            <w:noWrap w:val="0"/>
            <w:vAlign w:val="center"/>
          </w:tcPr>
          <w:p w14:paraId="524F9AEA">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107BF022">
            <w:pPr>
              <w:jc w:val="center"/>
              <w:rPr>
                <w:rFonts w:hint="eastAsia" w:ascii="仿宋" w:hAnsi="仿宋" w:eastAsia="仿宋" w:cs="仿宋"/>
                <w:b/>
                <w:bCs/>
                <w:i w:val="0"/>
                <w:iCs w:val="0"/>
                <w:color w:val="000000"/>
                <w:sz w:val="24"/>
                <w:szCs w:val="24"/>
                <w:u w:val="none"/>
              </w:rPr>
            </w:pPr>
          </w:p>
        </w:tc>
      </w:tr>
      <w:tr w14:paraId="29DD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57" w:type="dxa"/>
            <w:noWrap w:val="0"/>
            <w:vAlign w:val="center"/>
          </w:tcPr>
          <w:p w14:paraId="4CF8C6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0DC86B0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有线方杆电容会议话筒</w:t>
            </w:r>
          </w:p>
        </w:tc>
        <w:tc>
          <w:tcPr>
            <w:tcW w:w="7056" w:type="dxa"/>
            <w:noWrap w:val="0"/>
            <w:vAlign w:val="top"/>
          </w:tcPr>
          <w:p w14:paraId="6BAACBC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1、音头：≥20mm镀金电容音头；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2、指向性：超心型；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3、响应：≤20-≥20,000Hz；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4、灵敏度：≥-30dB，31.6mV/Pa(0dB=1V/Pa@1kHz)；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5、输出阻抗：200Ω；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6、最大声压级：≥130dB(1%THD@1kHz)；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7、等效噪声级：≤18dB  （A计权或A加权）；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8、信噪比：≥76dB  （A计权或A加权）；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9、幻象供电：48V DC；</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2-8，中标后签订合同前需提供带有“CMA”或“CNAS”标志的检测报告原件（提供承诺，格式自拟）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72B26D2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2146EFD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27B4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6ED5B11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4896494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智能混音器</w:t>
            </w:r>
          </w:p>
        </w:tc>
        <w:tc>
          <w:tcPr>
            <w:tcW w:w="7056" w:type="dxa"/>
            <w:noWrap w:val="0"/>
            <w:vAlign w:val="center"/>
          </w:tcPr>
          <w:p w14:paraId="66E048F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1、输入通道数：（平衡）≥10；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2、输出通道数：（平衡）≥2；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3、电源供应：AC17V+AC17V 500MA/50Hz；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4、幻象电源：DC48V；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5、频率响应：≤20Hz-≥20kHz；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6、动态范围：（20Hz-20kHz ）≥ 117dB；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7、总谐波失真：@1kHz -20BFS输出0dB &lt;0.1%；</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8、输出削波电平：Line(线路) +20dBv辅助 0dBv麦克风-26dBV；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9、输出阻抗：（平衡）150kΩ；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10、输入阻抗：MIC(平衡) 4.3KΩ AUX 50KΩ。</w:t>
            </w:r>
          </w:p>
        </w:tc>
        <w:tc>
          <w:tcPr>
            <w:tcW w:w="696" w:type="dxa"/>
            <w:noWrap w:val="0"/>
            <w:vAlign w:val="center"/>
          </w:tcPr>
          <w:p w14:paraId="3EC5BB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2379130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420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2B47FD1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2A8474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演讲台有线鹅颈会议话筒</w:t>
            </w:r>
          </w:p>
        </w:tc>
        <w:tc>
          <w:tcPr>
            <w:tcW w:w="7056" w:type="dxa"/>
            <w:noWrap w:val="0"/>
            <w:vAlign w:val="center"/>
          </w:tcPr>
          <w:p w14:paraId="2CB8B96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1、频率响应：≥100-≤16,000 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2、低截：80 Hz, 18 dB/octave；</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3、阻抗：250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4、开路灵敏度：≥ -43 dB（7.0 mV）re 1 V @ 1 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5、元件：固定式充电背板，永久极性电容收音头；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6、输入声压级上限：≤140 dB SPL，1 kHz @ c THD；</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7、指向性：单指向性；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8、动态范围 (典型值)：≥111 dB，1 kHz @ Max SPL；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9、信噪比：≥65 dB, 1 kHz @ 1 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10、输出阻抗：360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11、插入损耗：1 dB (150 欧姆输入阻抗)；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12、静音衰减：≥55 dB @ 1000Hz，≥35 dB @ 100Hz， ≥30 dB @ 50Hz (150 欧姆输入阻抗)；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13、话筒座配置：XLRF 卡农母座, XLRM 卡农公座, 开关带LED指示灯。</w:t>
            </w:r>
          </w:p>
        </w:tc>
        <w:tc>
          <w:tcPr>
            <w:tcW w:w="696" w:type="dxa"/>
            <w:noWrap w:val="0"/>
            <w:vAlign w:val="center"/>
          </w:tcPr>
          <w:p w14:paraId="57233BB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12FE1FF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F89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1E33329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6237A2B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矮推车式提词系统</w:t>
            </w:r>
          </w:p>
        </w:tc>
        <w:tc>
          <w:tcPr>
            <w:tcW w:w="7056" w:type="dxa"/>
            <w:noWrap w:val="0"/>
            <w:vAlign w:val="center"/>
          </w:tcPr>
          <w:p w14:paraId="530E449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1、提词器：尺寸：≥1233mm*718mm,接口≥2*HDMI；</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2、矮推车：冷轧钢板材料；倾斜角度0-90度；内置束线，一体式底座。</w:t>
            </w:r>
          </w:p>
        </w:tc>
        <w:tc>
          <w:tcPr>
            <w:tcW w:w="696" w:type="dxa"/>
            <w:noWrap w:val="0"/>
            <w:vAlign w:val="center"/>
          </w:tcPr>
          <w:p w14:paraId="794BC59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0D59EF5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269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6058D9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4EB4237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39C708A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1、满足要求（此项包含摄像跟踪会议系统该系统范围内所有设备所需要的串线及配件，本项目为交钥匙工程，不允许额外增加任何费用）；包含但不限于：六类屏蔽网线、电源线≥RVV3*2.5㎡等。</w:t>
            </w:r>
          </w:p>
        </w:tc>
        <w:tc>
          <w:tcPr>
            <w:tcW w:w="696" w:type="dxa"/>
            <w:noWrap w:val="0"/>
            <w:vAlign w:val="center"/>
          </w:tcPr>
          <w:p w14:paraId="54ED96A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0EF7B52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466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6EB80464">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78F66FF7">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17AC086E">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5C861D4C">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19E0E69F">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655A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49B86834">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079F623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4、灯光设备</w:t>
            </w:r>
          </w:p>
        </w:tc>
        <w:tc>
          <w:tcPr>
            <w:tcW w:w="7056" w:type="dxa"/>
            <w:noWrap w:val="0"/>
            <w:vAlign w:val="center"/>
          </w:tcPr>
          <w:p w14:paraId="6C3793AB">
            <w:pPr>
              <w:jc w:val="left"/>
              <w:rPr>
                <w:rFonts w:hint="eastAsia" w:ascii="仿宋" w:hAnsi="仿宋" w:eastAsia="仿宋" w:cs="仿宋"/>
                <w:b/>
                <w:bCs/>
                <w:i w:val="0"/>
                <w:iCs w:val="0"/>
                <w:color w:val="000000"/>
                <w:sz w:val="24"/>
                <w:szCs w:val="24"/>
                <w:u w:val="none"/>
              </w:rPr>
            </w:pPr>
          </w:p>
        </w:tc>
        <w:tc>
          <w:tcPr>
            <w:tcW w:w="696" w:type="dxa"/>
            <w:noWrap w:val="0"/>
            <w:vAlign w:val="center"/>
          </w:tcPr>
          <w:p w14:paraId="6635BB39">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47EDC103">
            <w:pPr>
              <w:jc w:val="center"/>
              <w:rPr>
                <w:rFonts w:hint="eastAsia" w:ascii="仿宋" w:hAnsi="仿宋" w:eastAsia="仿宋" w:cs="仿宋"/>
                <w:b/>
                <w:bCs/>
                <w:i w:val="0"/>
                <w:iCs w:val="0"/>
                <w:color w:val="000000"/>
                <w:sz w:val="24"/>
                <w:szCs w:val="24"/>
                <w:u w:val="none"/>
              </w:rPr>
            </w:pPr>
          </w:p>
        </w:tc>
      </w:tr>
      <w:tr w14:paraId="39E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57" w:type="dxa"/>
            <w:noWrap w:val="0"/>
            <w:vAlign w:val="center"/>
          </w:tcPr>
          <w:p w14:paraId="0C6FD80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6B23481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一道面光( LED变焦成像灯）</w:t>
            </w:r>
          </w:p>
        </w:tc>
        <w:tc>
          <w:tcPr>
            <w:tcW w:w="7056" w:type="dxa"/>
            <w:noWrap w:val="0"/>
            <w:vAlign w:val="center"/>
          </w:tcPr>
          <w:p w14:paraId="615FCAB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2、额定功率：≥400W；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3、光   源：≥350W 优质芯片COB；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4、色   温：3200K/5600K/2in1/RGBW；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5、显   指：≥90；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6、灯珠寿命：≥50000h；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7、调   光：0-255，0%-100%线性调光；光学材料：≥K9；光学透镜；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8、光学角度：19°、26°、36°可选；功能效果：截光、聚光、柔光；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10、控制模式：标准DMX512信号、自走、主从；通道数量：2/4/9个DMX通道。</w:t>
            </w:r>
          </w:p>
        </w:tc>
        <w:tc>
          <w:tcPr>
            <w:tcW w:w="696" w:type="dxa"/>
            <w:noWrap w:val="0"/>
            <w:vAlign w:val="center"/>
          </w:tcPr>
          <w:p w14:paraId="7DF8ACD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20</w:t>
            </w:r>
          </w:p>
        </w:tc>
        <w:tc>
          <w:tcPr>
            <w:tcW w:w="457" w:type="dxa"/>
            <w:noWrap w:val="0"/>
            <w:vAlign w:val="center"/>
          </w:tcPr>
          <w:p w14:paraId="1016DBF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1F4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457" w:type="dxa"/>
            <w:noWrap w:val="0"/>
            <w:vAlign w:val="center"/>
          </w:tcPr>
          <w:p w14:paraId="0CCDCA8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5F4531A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一道面光( 切割灯）</w:t>
            </w:r>
          </w:p>
        </w:tc>
        <w:tc>
          <w:tcPr>
            <w:tcW w:w="7056" w:type="dxa"/>
            <w:noWrap w:val="0"/>
            <w:vAlign w:val="center"/>
          </w:tcPr>
          <w:p w14:paraId="5DB5909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2、光源：LED ≥800W模组；</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3、额定功率：≥1000W；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4、LED寿命：≥20000h；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5、色温：7200K；显色指数：标准模式Ra≥75,高显模式Ra≥90；光通量：五米流明55000；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6、信号接口：三芯卡侬座；控制方式：DMX512、RDM；通道模式：≥35个国际标准DMX512通道；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7、显示系统：LCD显示屏，可中英文切换；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8、固定颜色：≥5种颜色+ 白光；混色系统：独立的CMY混色系统；色温调节：独立的CTO2800-6000K线性调节；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棱镜盘：≥独立8棱镜可正反旋转；效果盘：超炫模拟动感窜动的火焰，潺潺流水等动态效果；固定图案：≥6个固定图案片+白圆；旋转玻璃图案：≥7个图案片（可插拔）+白圆；切割系统：≥4个独立切割片，每片可单独闭光，可旋转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10、雾化系统：独立0~100%线性雾化系统；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11、四合一光学镜头设计：(BEAM光束模式) ： 2°～6°；(SPOT 图案模式)：10°～48°； (WASH染色模式)：0°～52°。四种模式可任意切换，实现光束、染色、图案、切割四合一功能；调光系统：0-100%线性调节；调光频率：1200Hz到2400Hz可调，4K相机拍摄不闪烁；水平扫描：≥540° (16 bit精度扫描)；垂直扫描≥：270° (16 bit精度扫描)；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12、防护等级：≥IP20。</w:t>
            </w:r>
          </w:p>
        </w:tc>
        <w:tc>
          <w:tcPr>
            <w:tcW w:w="696" w:type="dxa"/>
            <w:noWrap w:val="0"/>
            <w:vAlign w:val="center"/>
          </w:tcPr>
          <w:p w14:paraId="3290806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5CBB9D0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34E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7" w:type="dxa"/>
            <w:noWrap w:val="0"/>
            <w:vAlign w:val="center"/>
          </w:tcPr>
          <w:p w14:paraId="677EF19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60ECC04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左右耳光(LED变焦成像灯）</w:t>
            </w:r>
          </w:p>
        </w:tc>
        <w:tc>
          <w:tcPr>
            <w:tcW w:w="7056" w:type="dxa"/>
            <w:noWrap w:val="0"/>
            <w:vAlign w:val="center"/>
          </w:tcPr>
          <w:p w14:paraId="458C4C8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1、全静音：输入电压：AC100-240V，50/60Hz；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2、额定功率：≥400W；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3、光   源：≥350W 优质芯片COB；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4、色   温：3200K/5600K/2in1/RGBW；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5、显   指：≥90；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6、灯珠寿命：≥50000h；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7、调   光：0-255，0%-100%线性调光；光学材料：≥K9；光学透镜；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8、光学角度：19°、26°、36°可选；功能效果：截光、聚光、柔光；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10、控制模式：标准DMX512信号、自走、主从；通道数量：2/4/9个DMX通道。</w:t>
            </w:r>
          </w:p>
        </w:tc>
        <w:tc>
          <w:tcPr>
            <w:tcW w:w="696" w:type="dxa"/>
            <w:noWrap w:val="0"/>
            <w:vAlign w:val="center"/>
          </w:tcPr>
          <w:p w14:paraId="2DDF850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12</w:t>
            </w:r>
          </w:p>
        </w:tc>
        <w:tc>
          <w:tcPr>
            <w:tcW w:w="457" w:type="dxa"/>
            <w:noWrap w:val="0"/>
            <w:vAlign w:val="center"/>
          </w:tcPr>
          <w:p w14:paraId="5D44D77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5D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57" w:type="dxa"/>
            <w:noWrap w:val="0"/>
            <w:vAlign w:val="center"/>
          </w:tcPr>
          <w:p w14:paraId="0A334B5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116D126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一道顶光（ LED染色灯）</w:t>
            </w:r>
          </w:p>
        </w:tc>
        <w:tc>
          <w:tcPr>
            <w:tcW w:w="7056" w:type="dxa"/>
            <w:noWrap w:val="0"/>
            <w:vAlign w:val="center"/>
          </w:tcPr>
          <w:p w14:paraId="4B280E6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39F16D1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w:t>
            </w:r>
          </w:p>
        </w:tc>
        <w:tc>
          <w:tcPr>
            <w:tcW w:w="457" w:type="dxa"/>
            <w:noWrap w:val="0"/>
            <w:vAlign w:val="center"/>
          </w:tcPr>
          <w:p w14:paraId="5951261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432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457" w:type="dxa"/>
            <w:noWrap w:val="0"/>
            <w:vAlign w:val="center"/>
          </w:tcPr>
          <w:p w14:paraId="15A7F92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4D4E453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一道顶光（LED版平板灯）</w:t>
            </w:r>
          </w:p>
        </w:tc>
        <w:tc>
          <w:tcPr>
            <w:tcW w:w="7056" w:type="dxa"/>
            <w:noWrap w:val="0"/>
            <w:vAlign w:val="center"/>
          </w:tcPr>
          <w:p w14:paraId="088EC71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1、电源类型：AC100-240V，50/60Hz及DC60V直流供电模式选择；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2、光源：≥600颗0.5W全光谱、高显指LED贴片灯珠；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3、功率：灯珠功率≥300W，整灯功率≥350W；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5、显色指数、色饱和指数： Ra≥90，R9≥90；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6、光束角度：0-120°；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7、色温：3200K、5600K，单、双色温选择；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控制通道模式：单色温1、3CH选择、双色温2、5、6CH选择；控制信号：DMX512/RDM协议；调光精度及方式：30000级及55000级选择，0-100%平滑线性调光，3条调光曲线选择；调光刷新频率：16K以上，可以16K/24K/32K选择；高频控制技术系统确保灯具出光无闪烁、无抖动；驱动方式：恒流驱动；控制面板显示方式：液晶显示屏；频闪：1-30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9、分光光学：1）采用优质乳白色PC料导光板，不透灯珠分光均匀，光效高，防眩光；2）出光二次校正蜂窝聚光格，消除面光光照刺眼问题；散热方式：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10、采用无风扇一体化铝合金散热系统，通过空气对流自然散热；噪声：无噪音；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11、防护等级：≥IP20；工作环境温度监控：-20℃—35℃，内置温度保护传感器过温保护。</w:t>
            </w:r>
          </w:p>
        </w:tc>
        <w:tc>
          <w:tcPr>
            <w:tcW w:w="696" w:type="dxa"/>
            <w:noWrap w:val="0"/>
            <w:vAlign w:val="center"/>
          </w:tcPr>
          <w:p w14:paraId="7CC188F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10</w:t>
            </w:r>
          </w:p>
        </w:tc>
        <w:tc>
          <w:tcPr>
            <w:tcW w:w="457" w:type="dxa"/>
            <w:noWrap w:val="0"/>
            <w:vAlign w:val="center"/>
          </w:tcPr>
          <w:p w14:paraId="1AFF82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65B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5DC30F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3455E4A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二道顶光（LED染色灯)</w:t>
            </w:r>
          </w:p>
        </w:tc>
        <w:tc>
          <w:tcPr>
            <w:tcW w:w="7056" w:type="dxa"/>
            <w:noWrap w:val="0"/>
            <w:vAlign w:val="center"/>
          </w:tcPr>
          <w:p w14:paraId="35F3728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3494CCC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w:t>
            </w:r>
          </w:p>
        </w:tc>
        <w:tc>
          <w:tcPr>
            <w:tcW w:w="457" w:type="dxa"/>
            <w:noWrap w:val="0"/>
            <w:vAlign w:val="center"/>
          </w:tcPr>
          <w:p w14:paraId="59A65D6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FD5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57" w:type="dxa"/>
            <w:noWrap w:val="0"/>
            <w:vAlign w:val="center"/>
          </w:tcPr>
          <w:p w14:paraId="658C8A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5DAD311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二道顶光（LED版平板灯）</w:t>
            </w:r>
          </w:p>
        </w:tc>
        <w:tc>
          <w:tcPr>
            <w:tcW w:w="7056" w:type="dxa"/>
            <w:noWrap w:val="0"/>
            <w:vAlign w:val="center"/>
          </w:tcPr>
          <w:p w14:paraId="6FAA3C3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1、电源类型：AC100-240V，50/60Hz及DC60V直流供电模式选择；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2、光源：≥600颗0.5W全光谱、高显指LED贴片灯珠；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3、功率：灯珠功率≥300W，整灯功率≥350W；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5、显色指数、色饱和指数： Ra≥90，R9≥90；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6、光束角度：0-120°；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7、色温：3200K、5600K，单、双色温选择；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控制通道模式：单色温1、3CH选择、双色温2、5、6CH选择；控制信号：DMX512/RDM协议；调光精度及方式：30000级及55000级选择，0-100%平滑线性调光，3条调光曲线选择；调光刷新频率：16K以上，可以16K/24K/32K选择；高频控制技术系统确保灯具出光无闪烁、无抖动；驱动方式：恒流驱动；控制面板显示方式：液晶显示屏；频闪：1-30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分光光学：1）采用优质乳白色PC料导光板，不透灯珠分光均匀，光效高，防眩光；2）出光二次校正蜂窝聚光格，消除面光光照刺眼问题；散热方式：采用无风扇一体化铝合金散热系统，通过空气对流自然散热；噪声：无噪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10、防护等级：≥IP20；工作环境温度监控：-20℃—35℃，内置温度保护传感器过温保护。</w:t>
            </w:r>
          </w:p>
        </w:tc>
        <w:tc>
          <w:tcPr>
            <w:tcW w:w="696" w:type="dxa"/>
            <w:noWrap w:val="0"/>
            <w:vAlign w:val="center"/>
          </w:tcPr>
          <w:p w14:paraId="6B3B93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9</w:t>
            </w:r>
          </w:p>
        </w:tc>
        <w:tc>
          <w:tcPr>
            <w:tcW w:w="457" w:type="dxa"/>
            <w:noWrap w:val="0"/>
            <w:vAlign w:val="center"/>
          </w:tcPr>
          <w:p w14:paraId="273A14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4C7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181BF9B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6F71DE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二道顶光（三合一电脑摇头灯）</w:t>
            </w:r>
          </w:p>
        </w:tc>
        <w:tc>
          <w:tcPr>
            <w:tcW w:w="7056" w:type="dxa"/>
            <w:noWrap w:val="0"/>
            <w:vAlign w:val="center"/>
          </w:tcPr>
          <w:p w14:paraId="6666CEC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052A21F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4C1BFC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96C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46A3E00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4EF0D89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三道顶光（LED染色灯）</w:t>
            </w:r>
          </w:p>
        </w:tc>
        <w:tc>
          <w:tcPr>
            <w:tcW w:w="7056" w:type="dxa"/>
            <w:noWrap w:val="0"/>
            <w:vAlign w:val="center"/>
          </w:tcPr>
          <w:p w14:paraId="7C0D00F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155074F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w:t>
            </w:r>
          </w:p>
        </w:tc>
        <w:tc>
          <w:tcPr>
            <w:tcW w:w="457" w:type="dxa"/>
            <w:noWrap w:val="0"/>
            <w:vAlign w:val="center"/>
          </w:tcPr>
          <w:p w14:paraId="01A34EE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BB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7" w:type="dxa"/>
            <w:noWrap w:val="0"/>
            <w:vAlign w:val="center"/>
          </w:tcPr>
          <w:p w14:paraId="374342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1DCE872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三道顶光（LED版平板灯）</w:t>
            </w:r>
          </w:p>
        </w:tc>
        <w:tc>
          <w:tcPr>
            <w:tcW w:w="7056" w:type="dxa"/>
            <w:noWrap w:val="0"/>
            <w:vAlign w:val="center"/>
          </w:tcPr>
          <w:p w14:paraId="2E35091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1、电源类型：AC100-240V，50/60Hz及DC60V直流供电模式选择；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2、光源：≥600颗0.5W全光谱、高显指LED贴片灯珠；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3、功率：灯珠功率≥300W，整灯功率≥350W；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5、显色指数、色饱和指数： Ra≥90，R9≥90；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6、光束角度：0-120°；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7、色温：3200K、5600K，单、双色温选择；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控制通道模式：单色温1、3CH选择、双色温2、5、6CH选择；控制信号：DMX512/RDM协议；调光精度及方式：30000级及55000级选择，0-100%平滑线性调光，3条调光曲线选择；调光刷新频率：16K以上，可以16K/24K/32K选择；高频控制技术系统确保灯具出光无闪烁、无抖动；驱动方式：恒流驱动；控制面板显示方式：液晶显示屏；频闪：1-30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分光光学：1）采用优质乳白色PC料导光板，不透灯珠分光均匀，光效高，防眩光；2）出光二次校正蜂窝聚光格，消除面光光照刺眼问题；散热方式：采用无风扇一体化铝合金散热系统，通过空气对流自然散热；噪声：无噪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10、防护等级：≥IP20；工作环境温度监控：-20℃—35℃，内置温度保护传感器过温保护。</w:t>
            </w:r>
          </w:p>
        </w:tc>
        <w:tc>
          <w:tcPr>
            <w:tcW w:w="696" w:type="dxa"/>
            <w:noWrap w:val="0"/>
            <w:vAlign w:val="center"/>
          </w:tcPr>
          <w:p w14:paraId="750ED6D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10</w:t>
            </w:r>
          </w:p>
        </w:tc>
        <w:tc>
          <w:tcPr>
            <w:tcW w:w="457" w:type="dxa"/>
            <w:noWrap w:val="0"/>
            <w:vAlign w:val="center"/>
          </w:tcPr>
          <w:p w14:paraId="5A6348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98A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16F53ED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1F299A1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三道顶光（三合一电脑摇头灯 ）</w:t>
            </w:r>
          </w:p>
        </w:tc>
        <w:tc>
          <w:tcPr>
            <w:tcW w:w="7056" w:type="dxa"/>
            <w:noWrap w:val="0"/>
            <w:vAlign w:val="center"/>
          </w:tcPr>
          <w:p w14:paraId="6A30AD8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79481D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7</w:t>
            </w:r>
          </w:p>
        </w:tc>
        <w:tc>
          <w:tcPr>
            <w:tcW w:w="457" w:type="dxa"/>
            <w:noWrap w:val="0"/>
            <w:vAlign w:val="center"/>
          </w:tcPr>
          <w:p w14:paraId="7F6A578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620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0C14D3E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12CD108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四道顶光（ LED染色灯）</w:t>
            </w:r>
          </w:p>
        </w:tc>
        <w:tc>
          <w:tcPr>
            <w:tcW w:w="7056" w:type="dxa"/>
            <w:noWrap w:val="0"/>
            <w:vAlign w:val="center"/>
          </w:tcPr>
          <w:p w14:paraId="67874FA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2B068FB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12</w:t>
            </w:r>
          </w:p>
        </w:tc>
        <w:tc>
          <w:tcPr>
            <w:tcW w:w="457" w:type="dxa"/>
            <w:noWrap w:val="0"/>
            <w:vAlign w:val="center"/>
          </w:tcPr>
          <w:p w14:paraId="373D74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790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719575D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0DCCE11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四道顶光（三合一电脑摇头灯 ）</w:t>
            </w:r>
          </w:p>
        </w:tc>
        <w:tc>
          <w:tcPr>
            <w:tcW w:w="7056" w:type="dxa"/>
            <w:noWrap w:val="0"/>
            <w:vAlign w:val="center"/>
          </w:tcPr>
          <w:p w14:paraId="2460595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10E6EE0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6</w:t>
            </w:r>
          </w:p>
        </w:tc>
        <w:tc>
          <w:tcPr>
            <w:tcW w:w="457" w:type="dxa"/>
            <w:noWrap w:val="0"/>
            <w:vAlign w:val="center"/>
          </w:tcPr>
          <w:p w14:paraId="041CA9D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54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45EFF6D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7B67FF9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一道逆光（LED染色灯）</w:t>
            </w:r>
          </w:p>
        </w:tc>
        <w:tc>
          <w:tcPr>
            <w:tcW w:w="7056" w:type="dxa"/>
            <w:noWrap w:val="0"/>
            <w:vAlign w:val="center"/>
          </w:tcPr>
          <w:p w14:paraId="654FFBF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72CB854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w:t>
            </w:r>
          </w:p>
        </w:tc>
        <w:tc>
          <w:tcPr>
            <w:tcW w:w="457" w:type="dxa"/>
            <w:noWrap w:val="0"/>
            <w:vAlign w:val="center"/>
          </w:tcPr>
          <w:p w14:paraId="74D9DAA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A1D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36AEA16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35B8C0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一道逆光（三合一电脑摇头灯 ）</w:t>
            </w:r>
          </w:p>
        </w:tc>
        <w:tc>
          <w:tcPr>
            <w:tcW w:w="7056" w:type="dxa"/>
            <w:noWrap w:val="0"/>
            <w:vAlign w:val="center"/>
          </w:tcPr>
          <w:p w14:paraId="491B85B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65D10AF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5</w:t>
            </w:r>
          </w:p>
        </w:tc>
        <w:tc>
          <w:tcPr>
            <w:tcW w:w="457" w:type="dxa"/>
            <w:noWrap w:val="0"/>
            <w:vAlign w:val="center"/>
          </w:tcPr>
          <w:p w14:paraId="3CF86C9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FEB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3725691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69916F3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二道逆光（LED染色灯）</w:t>
            </w:r>
          </w:p>
        </w:tc>
        <w:tc>
          <w:tcPr>
            <w:tcW w:w="7056" w:type="dxa"/>
            <w:noWrap w:val="0"/>
            <w:vAlign w:val="center"/>
          </w:tcPr>
          <w:p w14:paraId="5200992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1895907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18</w:t>
            </w:r>
          </w:p>
        </w:tc>
        <w:tc>
          <w:tcPr>
            <w:tcW w:w="457" w:type="dxa"/>
            <w:noWrap w:val="0"/>
            <w:vAlign w:val="center"/>
          </w:tcPr>
          <w:p w14:paraId="05900BF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B0C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0798273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0038595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二道逆光（三合一电脑摇头灯 ）</w:t>
            </w:r>
          </w:p>
        </w:tc>
        <w:tc>
          <w:tcPr>
            <w:tcW w:w="7056" w:type="dxa"/>
            <w:noWrap w:val="0"/>
            <w:vAlign w:val="center"/>
          </w:tcPr>
          <w:p w14:paraId="77E0215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68D098E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215BD4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62C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2563AB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 </w:t>
            </w:r>
          </w:p>
        </w:tc>
        <w:tc>
          <w:tcPr>
            <w:tcW w:w="1056" w:type="dxa"/>
            <w:noWrap w:val="0"/>
            <w:vAlign w:val="center"/>
          </w:tcPr>
          <w:p w14:paraId="628151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两道侧光（LED染色灯）</w:t>
            </w:r>
          </w:p>
        </w:tc>
        <w:tc>
          <w:tcPr>
            <w:tcW w:w="7056" w:type="dxa"/>
            <w:noWrap w:val="0"/>
            <w:vAlign w:val="center"/>
          </w:tcPr>
          <w:p w14:paraId="24FB723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27B5807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24</w:t>
            </w:r>
          </w:p>
        </w:tc>
        <w:tc>
          <w:tcPr>
            <w:tcW w:w="457" w:type="dxa"/>
            <w:noWrap w:val="0"/>
            <w:vAlign w:val="center"/>
          </w:tcPr>
          <w:p w14:paraId="4D9A57A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96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4A77E03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19 </w:t>
            </w:r>
          </w:p>
        </w:tc>
        <w:tc>
          <w:tcPr>
            <w:tcW w:w="1056" w:type="dxa"/>
            <w:noWrap w:val="0"/>
            <w:vAlign w:val="center"/>
          </w:tcPr>
          <w:p w14:paraId="6799E1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两道侧光（三合一电脑摇头灯 ）</w:t>
            </w:r>
          </w:p>
        </w:tc>
        <w:tc>
          <w:tcPr>
            <w:tcW w:w="7056" w:type="dxa"/>
            <w:noWrap w:val="0"/>
            <w:vAlign w:val="center"/>
          </w:tcPr>
          <w:p w14:paraId="62F5598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7B53EDA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6</w:t>
            </w:r>
          </w:p>
        </w:tc>
        <w:tc>
          <w:tcPr>
            <w:tcW w:w="457" w:type="dxa"/>
            <w:noWrap w:val="0"/>
            <w:vAlign w:val="center"/>
          </w:tcPr>
          <w:p w14:paraId="1E175EE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685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526B6CE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20 </w:t>
            </w:r>
          </w:p>
        </w:tc>
        <w:tc>
          <w:tcPr>
            <w:tcW w:w="1056" w:type="dxa"/>
            <w:noWrap w:val="0"/>
            <w:vAlign w:val="center"/>
          </w:tcPr>
          <w:p w14:paraId="42E8D89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地面摇头灯（三合一电脑摇头灯 ）</w:t>
            </w:r>
          </w:p>
        </w:tc>
        <w:tc>
          <w:tcPr>
            <w:tcW w:w="7056" w:type="dxa"/>
            <w:noWrap w:val="0"/>
            <w:vAlign w:val="center"/>
          </w:tcPr>
          <w:p w14:paraId="3EEFBCB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2、灯泡：≥371W；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4、控制通道：≥16个DMX通道；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5、光源寿命：≥2000h；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7、颜色盘：≥14个颜色+白光、固定图案：≥13个图案+白光；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棱镜：≥两个独立棱镜盘，≥8棱镜+蜂窝棱镜(8+16+24)双棱；可叠加；调焦：双电机高清聚焦雾化：雾化和六彩一体架；频闪：单频闪；调光：0-100%线性调光；水平/垂直：≥540°水平扫描，≥270°垂直扫描；显示界面：彩屏≥1.77寸按键，≥180°反转显示中英文可切换。</w:t>
            </w:r>
          </w:p>
        </w:tc>
        <w:tc>
          <w:tcPr>
            <w:tcW w:w="696" w:type="dxa"/>
            <w:noWrap w:val="0"/>
            <w:vAlign w:val="center"/>
          </w:tcPr>
          <w:p w14:paraId="4CB4475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3AA5BE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56E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0C2A37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21 </w:t>
            </w:r>
          </w:p>
        </w:tc>
        <w:tc>
          <w:tcPr>
            <w:tcW w:w="1056" w:type="dxa"/>
            <w:noWrap w:val="0"/>
            <w:vAlign w:val="center"/>
          </w:tcPr>
          <w:p w14:paraId="175554C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LED 追光灯</w:t>
            </w:r>
          </w:p>
        </w:tc>
        <w:tc>
          <w:tcPr>
            <w:tcW w:w="7056" w:type="dxa"/>
            <w:noWrap w:val="0"/>
            <w:vAlign w:val="center"/>
          </w:tcPr>
          <w:p w14:paraId="2CC2590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1、≥600瓦LED光源；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2、灯珠采用优质芯片寿命≥50000h；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3、色温3200K/5600K/8500K可调；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4、显色性指数CRL≥90；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5、采用≥12根8mm粗的铜管导热再通过大面积的铝片散热；</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6、有红、橙、黄、绿、蓝、白光五色；</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7、0—100%线性调光；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8、5—10度线性放大调焦功能。</w:t>
            </w:r>
          </w:p>
        </w:tc>
        <w:tc>
          <w:tcPr>
            <w:tcW w:w="696" w:type="dxa"/>
            <w:noWrap w:val="0"/>
            <w:vAlign w:val="center"/>
          </w:tcPr>
          <w:p w14:paraId="1C8B277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380977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211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457" w:type="dxa"/>
            <w:noWrap w:val="0"/>
            <w:vAlign w:val="center"/>
          </w:tcPr>
          <w:p w14:paraId="128317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22 </w:t>
            </w:r>
          </w:p>
        </w:tc>
        <w:tc>
          <w:tcPr>
            <w:tcW w:w="1056" w:type="dxa"/>
            <w:noWrap w:val="0"/>
            <w:vAlign w:val="center"/>
          </w:tcPr>
          <w:p w14:paraId="7D70AB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电脑灯光控制台</w:t>
            </w:r>
          </w:p>
        </w:tc>
        <w:tc>
          <w:tcPr>
            <w:tcW w:w="7056" w:type="dxa"/>
            <w:noWrap w:val="0"/>
            <w:vAlign w:val="center"/>
          </w:tcPr>
          <w:p w14:paraId="14D8A76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1、Linux 操作系统；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2、≥5 个 DMX 输出输入口, 最高扩展可支持≥ 65536 个通道参数；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3、内置 1 个≥ 12.1 英寸触摸屏+1 个≥ 9 英寸触摸屏；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4、可外接 ≥1 个触摸显示屏(DVI)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5、≥10 个高精度电动推杆（60mm）；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6、≥2 个 AB 场电动推杆(100mm)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7、≥1 个主控电动推杆；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8、≥5 个耐磨编码器（带 Push 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9、≥1 个高灵敏轨迹球；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10、≥1 个千兆以太网口；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11、≥4 个 USB2.0 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12、独立橙色背光按键；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13、MIDI 输入输出接口；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14、LTC/SMPTE 时间码；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15、支持扩展推杆侧翼；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16、≥1 个 LED 鹅颈灯插口；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17、AC 电源：90-240V, 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18、支持中英文两种语言。</w:t>
            </w:r>
          </w:p>
        </w:tc>
        <w:tc>
          <w:tcPr>
            <w:tcW w:w="696" w:type="dxa"/>
            <w:noWrap w:val="0"/>
            <w:vAlign w:val="center"/>
          </w:tcPr>
          <w:p w14:paraId="41A5B09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6718FDB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4B7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48B2B28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23 </w:t>
            </w:r>
          </w:p>
        </w:tc>
        <w:tc>
          <w:tcPr>
            <w:tcW w:w="1056" w:type="dxa"/>
            <w:noWrap w:val="0"/>
            <w:vAlign w:val="center"/>
          </w:tcPr>
          <w:p w14:paraId="36D1005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DMX网络扩展器</w:t>
            </w:r>
          </w:p>
        </w:tc>
        <w:tc>
          <w:tcPr>
            <w:tcW w:w="7056" w:type="dxa"/>
            <w:noWrap w:val="0"/>
            <w:vAlign w:val="top"/>
          </w:tcPr>
          <w:p w14:paraId="0C6054F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1、实时计算，自带≥ 8 个 DMX512 输出口，可同时输出 ≥4,096 控制参数；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 个内置触摸式指令屏幕(7"SVGA)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3、≥1 个千兆以太网接口；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4、≥2 个 USB 2.0 连接接口；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5、Linux 操作系统；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6、中英文双语种操作界面。</w:t>
            </w:r>
          </w:p>
        </w:tc>
        <w:tc>
          <w:tcPr>
            <w:tcW w:w="696" w:type="dxa"/>
            <w:noWrap w:val="0"/>
            <w:vAlign w:val="center"/>
          </w:tcPr>
          <w:p w14:paraId="12AD0F2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79601EA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347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0AD354E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24 </w:t>
            </w:r>
          </w:p>
        </w:tc>
        <w:tc>
          <w:tcPr>
            <w:tcW w:w="1056" w:type="dxa"/>
            <w:noWrap w:val="0"/>
            <w:vAlign w:val="center"/>
          </w:tcPr>
          <w:p w14:paraId="4405740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DMX信号放大器</w:t>
            </w:r>
          </w:p>
        </w:tc>
        <w:tc>
          <w:tcPr>
            <w:tcW w:w="7056" w:type="dxa"/>
            <w:noWrap w:val="0"/>
            <w:vAlign w:val="top"/>
          </w:tcPr>
          <w:p w14:paraId="346C245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1、≥1 路输入，≥8 路输出或≥ 2 路输入，各 ≥4 路输出 每路输入输出光电隔离；</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2、输出信号 LED 指示灯 卡侬式电源输入，独立电源开关；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3、≥2 个电源接口，方便进行级联 三芯(DMX-EXP3XDS8)或五芯(DMX-EXP5XDS8)可选 标准机架式安装；</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4、输入电压：AC 100V-240V ,50Hz/60Hz 保险丝：1A/250V 。</w:t>
            </w:r>
          </w:p>
        </w:tc>
        <w:tc>
          <w:tcPr>
            <w:tcW w:w="696" w:type="dxa"/>
            <w:noWrap w:val="0"/>
            <w:vAlign w:val="center"/>
          </w:tcPr>
          <w:p w14:paraId="3011208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w:t>
            </w:r>
          </w:p>
        </w:tc>
        <w:tc>
          <w:tcPr>
            <w:tcW w:w="457" w:type="dxa"/>
            <w:noWrap w:val="0"/>
            <w:vAlign w:val="center"/>
          </w:tcPr>
          <w:p w14:paraId="5C3F89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130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457" w:type="dxa"/>
            <w:noWrap w:val="0"/>
            <w:vAlign w:val="center"/>
          </w:tcPr>
          <w:p w14:paraId="3545E4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25 </w:t>
            </w:r>
          </w:p>
        </w:tc>
        <w:tc>
          <w:tcPr>
            <w:tcW w:w="1056" w:type="dxa"/>
            <w:noWrap w:val="0"/>
            <w:vAlign w:val="center"/>
          </w:tcPr>
          <w:p w14:paraId="66982C1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智能控制系统</w:t>
            </w:r>
          </w:p>
        </w:tc>
        <w:tc>
          <w:tcPr>
            <w:tcW w:w="7056" w:type="dxa"/>
            <w:noWrap w:val="0"/>
            <w:vAlign w:val="top"/>
          </w:tcPr>
          <w:p w14:paraId="3D5C678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1、智能音乐解析：内置智能分析技术，实现对匹配音乐的音色音调的零延迟智能同步；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2、声光电影联动：基于OSC/UDP高级控制协议，实现灯光、音乐、视频播放器的三维一体深度同步；系统可根据PRS分析数据，实时驱动视频的播放速度与节奏变换；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3、智能编程平台：提供中/英双语可视化编程界面，支持用户自定义设置展示页面；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4、计算核心：≥Intel i5处理器、≥4GB DDR4内存及≥120GB工业级固态硬盘；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5、系统：采用Linux操作系统；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6、触摸控制：配备≥10.4英寸高清多点电容触控屏；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7、音频输出：提供≥4路音频输入与≥2路音频输出，可同时接入并智能 切换点歌机、打碟机、调音台、移动设备等多路音源，内置音乐播放功能，实现音频集中处理；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8、兼容性：多协议兼容，支持DMX512、Art-Net、sACN、UDP/TCP、RS232/485及多种智能定制协议，可无缝对接市面上绝大多数灯光、音视频及中控设备；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9、多端口连接：内置≥4路独立DMX512输出端口，≥4路独立DMX512输入端口；≥2路千兆以太网口、≥2路RS232、≥1路485接口及多路USB接口；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10：电力管理：支持通过DMX512或Art-Net信号直接控制智能配电柜，实现灯光设备的分区域、分时序电力管理；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11、照射控制：配备专用追光与面光控制推杆，可对亮度、位置等进行物理推杆式控制，并设有黑场、静音等专业快捷键；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12、内容管理：可选配视频模块，可内置高清视频素材库，支持用户通过U盘等方式自由上传、分类管理自制素材，可对节目进行分类管理与管控，节目数量与单节目时长无限制，满足海量编排需求；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13、场景搭建：支持多轨道灯光效果自由叠加、混合与实时渲染，可轻松构建富有层次感和戏剧性的复杂灯光场景；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14、快捷操作：可完全自定义的场景快捷键与节目列表；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15、场景预设：支持对音量、播放、模式切换等功能进行一键场景化预设；</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16、全平台控制与灵活模式：支持主机模式与控台模式一键切换，适应不同操控习惯；也可通过墙控面板、平板电脑、智能手机等多种第三方设备进行无线扩展控制，实现移动化、分布式管理；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w:t>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2、4、8、9</w:t>
            </w:r>
            <w:r>
              <w:rPr>
                <w:rFonts w:hint="eastAsia" w:ascii="仿宋" w:hAnsi="仿宋" w:eastAsia="仿宋" w:cs="仿宋"/>
                <w:color w:val="000000"/>
                <w:sz w:val="24"/>
                <w:lang w:bidi="ar"/>
              </w:rPr>
              <w:t>，中标后签订合同前需提供带有“CMA”或“CNAS”标志的检测报告原件（提供承诺，格式自拟）</w:t>
            </w:r>
            <w:r>
              <w:rPr>
                <w:rFonts w:hint="eastAsia" w:ascii="仿宋" w:hAnsi="仿宋" w:eastAsia="仿宋" w:cs="仿宋"/>
                <w:b/>
                <w:bCs/>
                <w:color w:val="000000"/>
                <w:sz w:val="24"/>
                <w:szCs w:val="24"/>
                <w:lang w:val="en-US" w:eastAsia="zh-CN"/>
              </w:rPr>
              <w:t>此</w:t>
            </w:r>
            <w:r>
              <w:rPr>
                <w:rFonts w:ascii="仿宋" w:hAnsi="仿宋" w:eastAsia="仿宋" w:cs="仿宋"/>
                <w:b/>
                <w:bCs/>
                <w:color w:val="000000"/>
                <w:sz w:val="24"/>
                <w:szCs w:val="24"/>
              </w:rPr>
              <w:t>要求为不允许偏离的实质性要求和条件，如有偏离，在符合性审查时按照投标无效处理。</w:t>
            </w:r>
          </w:p>
        </w:tc>
        <w:tc>
          <w:tcPr>
            <w:tcW w:w="696" w:type="dxa"/>
            <w:noWrap w:val="0"/>
            <w:vAlign w:val="center"/>
          </w:tcPr>
          <w:p w14:paraId="413308C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2954F12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83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17BE1D9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26 </w:t>
            </w:r>
          </w:p>
        </w:tc>
        <w:tc>
          <w:tcPr>
            <w:tcW w:w="1056" w:type="dxa"/>
            <w:noWrap w:val="0"/>
            <w:vAlign w:val="center"/>
          </w:tcPr>
          <w:p w14:paraId="653E59C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PDU机柜电源</w:t>
            </w:r>
          </w:p>
        </w:tc>
        <w:tc>
          <w:tcPr>
            <w:tcW w:w="7056" w:type="dxa"/>
            <w:noWrap w:val="0"/>
            <w:vAlign w:val="center"/>
          </w:tcPr>
          <w:p w14:paraId="7A78183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1、≥8位总控开关；≥3米 防过载。</w:t>
            </w:r>
          </w:p>
        </w:tc>
        <w:tc>
          <w:tcPr>
            <w:tcW w:w="696" w:type="dxa"/>
            <w:noWrap w:val="0"/>
            <w:vAlign w:val="center"/>
          </w:tcPr>
          <w:p w14:paraId="17CE957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164669D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02F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7" w:type="dxa"/>
            <w:noWrap w:val="0"/>
            <w:vAlign w:val="center"/>
          </w:tcPr>
          <w:p w14:paraId="3BBA949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27 </w:t>
            </w:r>
          </w:p>
        </w:tc>
        <w:tc>
          <w:tcPr>
            <w:tcW w:w="1056" w:type="dxa"/>
            <w:noWrap w:val="0"/>
            <w:vAlign w:val="center"/>
          </w:tcPr>
          <w:p w14:paraId="05164A5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电源直通柜</w:t>
            </w:r>
          </w:p>
        </w:tc>
        <w:tc>
          <w:tcPr>
            <w:tcW w:w="7056" w:type="dxa"/>
            <w:noWrap w:val="0"/>
            <w:vAlign w:val="center"/>
          </w:tcPr>
          <w:p w14:paraId="6CBCC1B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1、供电：三相五线制AC380V±10％，频率50Hz±5％；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2、输入额定电流：≥400A ,最大≥48路×4KW 可用于任何负载；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3、设有总开关，过载与短路双重保护高分断空气开关；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4、三相独立电压，电流，监测，三相A.B.C指示灯指；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5、输出：≥48路X4KW；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6、外形尺寸：≥国际标准16U；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7、输入方式：≥400A犀牛插。</w:t>
            </w:r>
          </w:p>
        </w:tc>
        <w:tc>
          <w:tcPr>
            <w:tcW w:w="696" w:type="dxa"/>
            <w:noWrap w:val="0"/>
            <w:vAlign w:val="center"/>
          </w:tcPr>
          <w:p w14:paraId="44694F4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4FB31BD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BF8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1338E1E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28 </w:t>
            </w:r>
          </w:p>
        </w:tc>
        <w:tc>
          <w:tcPr>
            <w:tcW w:w="1056" w:type="dxa"/>
            <w:noWrap w:val="0"/>
            <w:vAlign w:val="center"/>
          </w:tcPr>
          <w:p w14:paraId="0F915B3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薄雾烟机</w:t>
            </w:r>
          </w:p>
        </w:tc>
        <w:tc>
          <w:tcPr>
            <w:tcW w:w="7056" w:type="dxa"/>
            <w:noWrap w:val="0"/>
            <w:vAlign w:val="center"/>
          </w:tcPr>
          <w:p w14:paraId="4B8A444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1、功率：≥1500W；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2、加热时间：≤10秒；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3、电压：AC220V～250V 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4、控制方式：液晶控制面板、内置DMX512（2通道）；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5、连续喷烟、定时定量、油瓶密封技术；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6、5档喷烟角度：0～52°；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7、油瓶容量：≥5L；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8、烟量输出：≥50000cu/ft/min；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9、覆盖面积：≥300m³。</w:t>
            </w:r>
          </w:p>
        </w:tc>
        <w:tc>
          <w:tcPr>
            <w:tcW w:w="696" w:type="dxa"/>
            <w:noWrap w:val="0"/>
            <w:vAlign w:val="center"/>
          </w:tcPr>
          <w:p w14:paraId="0A233D1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035A087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39C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7F2CDC9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29 </w:t>
            </w:r>
          </w:p>
        </w:tc>
        <w:tc>
          <w:tcPr>
            <w:tcW w:w="1056" w:type="dxa"/>
            <w:noWrap w:val="0"/>
            <w:vAlign w:val="center"/>
          </w:tcPr>
          <w:p w14:paraId="0607B62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薄雾烟油</w:t>
            </w:r>
          </w:p>
        </w:tc>
        <w:tc>
          <w:tcPr>
            <w:tcW w:w="7056" w:type="dxa"/>
            <w:noWrap w:val="0"/>
            <w:vAlign w:val="center"/>
          </w:tcPr>
          <w:p w14:paraId="650B910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1、≥5L。</w:t>
            </w:r>
          </w:p>
        </w:tc>
        <w:tc>
          <w:tcPr>
            <w:tcW w:w="696" w:type="dxa"/>
            <w:noWrap w:val="0"/>
            <w:vAlign w:val="center"/>
          </w:tcPr>
          <w:p w14:paraId="007D7FD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46B0055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箱</w:t>
            </w:r>
          </w:p>
        </w:tc>
      </w:tr>
      <w:tr w14:paraId="0C70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1FC491A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30 </w:t>
            </w:r>
          </w:p>
        </w:tc>
        <w:tc>
          <w:tcPr>
            <w:tcW w:w="1056" w:type="dxa"/>
            <w:noWrap w:val="0"/>
            <w:vAlign w:val="center"/>
          </w:tcPr>
          <w:p w14:paraId="166D40C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泡泡机</w:t>
            </w:r>
          </w:p>
        </w:tc>
        <w:tc>
          <w:tcPr>
            <w:tcW w:w="7056" w:type="dxa"/>
            <w:noWrap w:val="0"/>
            <w:vAlign w:val="top"/>
          </w:tcPr>
          <w:p w14:paraId="03D0E76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1、功  率 ≥300W；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2、使用电压：AC220V～250V；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3、无线遥控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4、DMX512 √  吹泡高度 7～10米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5、泡泡覆盖面积 ≥600 m³；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6、泡泡油容量： ≥2.5 L。</w:t>
            </w:r>
          </w:p>
        </w:tc>
        <w:tc>
          <w:tcPr>
            <w:tcW w:w="696" w:type="dxa"/>
            <w:noWrap w:val="0"/>
            <w:vAlign w:val="center"/>
          </w:tcPr>
          <w:p w14:paraId="43F84EA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7A5252D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DEB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393A31A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31 </w:t>
            </w:r>
          </w:p>
        </w:tc>
        <w:tc>
          <w:tcPr>
            <w:tcW w:w="1056" w:type="dxa"/>
            <w:noWrap w:val="0"/>
            <w:vAlign w:val="center"/>
          </w:tcPr>
          <w:p w14:paraId="3B45B83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泡泡油</w:t>
            </w:r>
          </w:p>
        </w:tc>
        <w:tc>
          <w:tcPr>
            <w:tcW w:w="7056" w:type="dxa"/>
            <w:noWrap w:val="0"/>
            <w:vAlign w:val="center"/>
          </w:tcPr>
          <w:p w14:paraId="2562F90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1、配套。</w:t>
            </w:r>
          </w:p>
        </w:tc>
        <w:tc>
          <w:tcPr>
            <w:tcW w:w="696" w:type="dxa"/>
            <w:noWrap w:val="0"/>
            <w:vAlign w:val="center"/>
          </w:tcPr>
          <w:p w14:paraId="192FD2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7711035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桶</w:t>
            </w:r>
          </w:p>
        </w:tc>
      </w:tr>
      <w:tr w14:paraId="3ED8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6CCC531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32 </w:t>
            </w:r>
          </w:p>
        </w:tc>
        <w:tc>
          <w:tcPr>
            <w:tcW w:w="1056" w:type="dxa"/>
            <w:noWrap w:val="0"/>
            <w:vAlign w:val="center"/>
          </w:tcPr>
          <w:p w14:paraId="065EDCD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雪花机</w:t>
            </w:r>
          </w:p>
        </w:tc>
        <w:tc>
          <w:tcPr>
            <w:tcW w:w="7056" w:type="dxa"/>
            <w:noWrap w:val="0"/>
            <w:vAlign w:val="top"/>
          </w:tcPr>
          <w:p w14:paraId="2805975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1、功率 ≥1200W；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2、使用电压 AC220V～250V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3、油瓶容量≥ 5 L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4、雪花覆盖机积≥ 60m³；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5、线控控制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6、雪花大小调节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7、无线遥控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8、内置DMX512 √ 。</w:t>
            </w:r>
          </w:p>
        </w:tc>
        <w:tc>
          <w:tcPr>
            <w:tcW w:w="696" w:type="dxa"/>
            <w:noWrap w:val="0"/>
            <w:vAlign w:val="center"/>
          </w:tcPr>
          <w:p w14:paraId="1E82070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w:t>
            </w:r>
          </w:p>
        </w:tc>
        <w:tc>
          <w:tcPr>
            <w:tcW w:w="457" w:type="dxa"/>
            <w:noWrap w:val="0"/>
            <w:vAlign w:val="center"/>
          </w:tcPr>
          <w:p w14:paraId="080ACA9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F85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6E932D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33 </w:t>
            </w:r>
          </w:p>
        </w:tc>
        <w:tc>
          <w:tcPr>
            <w:tcW w:w="1056" w:type="dxa"/>
            <w:noWrap w:val="0"/>
            <w:vAlign w:val="center"/>
          </w:tcPr>
          <w:p w14:paraId="592FD6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雪花油</w:t>
            </w:r>
          </w:p>
        </w:tc>
        <w:tc>
          <w:tcPr>
            <w:tcW w:w="7056" w:type="dxa"/>
            <w:noWrap w:val="0"/>
            <w:vAlign w:val="center"/>
          </w:tcPr>
          <w:p w14:paraId="7AB90DB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1、配套。</w:t>
            </w:r>
          </w:p>
        </w:tc>
        <w:tc>
          <w:tcPr>
            <w:tcW w:w="696" w:type="dxa"/>
            <w:noWrap w:val="0"/>
            <w:vAlign w:val="center"/>
          </w:tcPr>
          <w:p w14:paraId="4B8874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1DD6DE8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桶</w:t>
            </w:r>
          </w:p>
        </w:tc>
      </w:tr>
      <w:tr w14:paraId="4A62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781193C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34 </w:t>
            </w:r>
          </w:p>
        </w:tc>
        <w:tc>
          <w:tcPr>
            <w:tcW w:w="1056" w:type="dxa"/>
            <w:noWrap w:val="0"/>
            <w:vAlign w:val="center"/>
          </w:tcPr>
          <w:p w14:paraId="6424995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标准机柜</w:t>
            </w:r>
          </w:p>
        </w:tc>
        <w:tc>
          <w:tcPr>
            <w:tcW w:w="7056" w:type="dxa"/>
            <w:noWrap w:val="0"/>
            <w:vAlign w:val="top"/>
          </w:tcPr>
          <w:p w14:paraId="4E082B3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1、机柜容量 ≥42U；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2、机柜标准 ≥19英寸标准；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3、材料及工艺 前门玻璃,后门钣金,材料采用SPCC优质冷轧钢；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4、规格 ≥600×600×2055mm。</w:t>
            </w:r>
          </w:p>
        </w:tc>
        <w:tc>
          <w:tcPr>
            <w:tcW w:w="696" w:type="dxa"/>
            <w:noWrap w:val="0"/>
            <w:vAlign w:val="center"/>
          </w:tcPr>
          <w:p w14:paraId="52CC84F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4C3039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35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4BE94BE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35 </w:t>
            </w:r>
          </w:p>
        </w:tc>
        <w:tc>
          <w:tcPr>
            <w:tcW w:w="1056" w:type="dxa"/>
            <w:noWrap w:val="0"/>
            <w:vAlign w:val="center"/>
          </w:tcPr>
          <w:p w14:paraId="0169D6B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大灯钩</w:t>
            </w:r>
          </w:p>
        </w:tc>
        <w:tc>
          <w:tcPr>
            <w:tcW w:w="7056" w:type="dxa"/>
            <w:noWrap w:val="0"/>
            <w:vAlign w:val="center"/>
          </w:tcPr>
          <w:p w14:paraId="3FFF775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1、材质：铝材；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2、厚度：≥3mm；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3、宽度：≥20mm；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4、可安全承重量：≥50kg。</w:t>
            </w:r>
          </w:p>
        </w:tc>
        <w:tc>
          <w:tcPr>
            <w:tcW w:w="696" w:type="dxa"/>
            <w:noWrap w:val="0"/>
            <w:vAlign w:val="center"/>
          </w:tcPr>
          <w:p w14:paraId="71581D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251</w:t>
            </w:r>
          </w:p>
        </w:tc>
        <w:tc>
          <w:tcPr>
            <w:tcW w:w="457" w:type="dxa"/>
            <w:noWrap w:val="0"/>
            <w:vAlign w:val="center"/>
          </w:tcPr>
          <w:p w14:paraId="7E9E791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0A01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3B252BE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36 </w:t>
            </w:r>
          </w:p>
        </w:tc>
        <w:tc>
          <w:tcPr>
            <w:tcW w:w="1056" w:type="dxa"/>
            <w:noWrap w:val="0"/>
            <w:vAlign w:val="center"/>
          </w:tcPr>
          <w:p w14:paraId="24C1C59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保险绳</w:t>
            </w:r>
          </w:p>
        </w:tc>
        <w:tc>
          <w:tcPr>
            <w:tcW w:w="7056" w:type="dxa"/>
            <w:noWrap w:val="0"/>
            <w:vAlign w:val="center"/>
          </w:tcPr>
          <w:p w14:paraId="3A487B1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1、材料：不锈钢；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2、直径：≥0.3-35.0（mm）；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3、结构：双捻(多股)；</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4、排列方式:西鲁式；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5、捻向:右交互(RHRL)；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6、抗拉强度:≥2500 MPa。</w:t>
            </w:r>
          </w:p>
        </w:tc>
        <w:tc>
          <w:tcPr>
            <w:tcW w:w="696" w:type="dxa"/>
            <w:noWrap w:val="0"/>
            <w:vAlign w:val="center"/>
          </w:tcPr>
          <w:p w14:paraId="4B2AD15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225</w:t>
            </w:r>
          </w:p>
        </w:tc>
        <w:tc>
          <w:tcPr>
            <w:tcW w:w="457" w:type="dxa"/>
            <w:noWrap w:val="0"/>
            <w:vAlign w:val="center"/>
          </w:tcPr>
          <w:p w14:paraId="6A417DE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条</w:t>
            </w:r>
          </w:p>
        </w:tc>
      </w:tr>
      <w:tr w14:paraId="332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073872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37 </w:t>
            </w:r>
          </w:p>
        </w:tc>
        <w:tc>
          <w:tcPr>
            <w:tcW w:w="1056" w:type="dxa"/>
            <w:noWrap w:val="0"/>
            <w:vAlign w:val="center"/>
          </w:tcPr>
          <w:p w14:paraId="42421EA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地面防滑剧院信息盒</w:t>
            </w:r>
          </w:p>
        </w:tc>
        <w:tc>
          <w:tcPr>
            <w:tcW w:w="7056" w:type="dxa"/>
            <w:noWrap w:val="0"/>
            <w:vAlign w:val="center"/>
          </w:tcPr>
          <w:p w14:paraId="6633196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1、盖板材质：铜合金  底盒：铝材质底盒  底盒尺寸：≥175*175*65mm。</w:t>
            </w:r>
          </w:p>
        </w:tc>
        <w:tc>
          <w:tcPr>
            <w:tcW w:w="696" w:type="dxa"/>
            <w:noWrap w:val="0"/>
            <w:vAlign w:val="center"/>
          </w:tcPr>
          <w:p w14:paraId="71C6ADB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w:t>
            </w:r>
          </w:p>
        </w:tc>
        <w:tc>
          <w:tcPr>
            <w:tcW w:w="457" w:type="dxa"/>
            <w:noWrap w:val="0"/>
            <w:vAlign w:val="center"/>
          </w:tcPr>
          <w:p w14:paraId="3D98002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4F00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6DD532A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38 </w:t>
            </w:r>
          </w:p>
        </w:tc>
        <w:tc>
          <w:tcPr>
            <w:tcW w:w="1056" w:type="dxa"/>
            <w:noWrap w:val="0"/>
            <w:vAlign w:val="center"/>
          </w:tcPr>
          <w:p w14:paraId="6AA9F7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其他</w:t>
            </w:r>
          </w:p>
        </w:tc>
        <w:tc>
          <w:tcPr>
            <w:tcW w:w="7056" w:type="dxa"/>
            <w:noWrap w:val="0"/>
            <w:vAlign w:val="center"/>
          </w:tcPr>
          <w:p w14:paraId="60BE43E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灯光设备系统该系统范围内所有设备所需要的串线及配件，本项目为交钥匙工程，不允许额外增加任何费用）；包含但不限于：国标主电缆（≥ZR-YJV4*95㎡+1及≥ZR-YJV4*25㎡+1）、VV3*2.5㎡电源线、RVV3*6㎡电源线、扁平电缆≥13*2.5㎡+2*（3*0.5P）、512信号线、六类网线、网罩等。</w:t>
            </w:r>
          </w:p>
        </w:tc>
        <w:tc>
          <w:tcPr>
            <w:tcW w:w="696" w:type="dxa"/>
            <w:noWrap w:val="0"/>
            <w:vAlign w:val="center"/>
          </w:tcPr>
          <w:p w14:paraId="7DEAF3F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5C115AA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26B7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0EF080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032A70B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03F0BA96">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7D60715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041CBC5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0CBE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7C2F07BD">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18191A30">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5、舞台机械及舞台幕布系统</w:t>
            </w:r>
          </w:p>
        </w:tc>
        <w:tc>
          <w:tcPr>
            <w:tcW w:w="7056" w:type="dxa"/>
            <w:noWrap w:val="0"/>
            <w:vAlign w:val="center"/>
          </w:tcPr>
          <w:p w14:paraId="6146ABBC">
            <w:pPr>
              <w:jc w:val="left"/>
              <w:rPr>
                <w:rFonts w:hint="eastAsia" w:ascii="仿宋" w:hAnsi="仿宋" w:eastAsia="仿宋" w:cs="仿宋"/>
                <w:b/>
                <w:bCs/>
                <w:i w:val="0"/>
                <w:iCs w:val="0"/>
                <w:color w:val="000000"/>
                <w:sz w:val="24"/>
                <w:szCs w:val="24"/>
                <w:u w:val="none"/>
              </w:rPr>
            </w:pPr>
          </w:p>
        </w:tc>
        <w:tc>
          <w:tcPr>
            <w:tcW w:w="696" w:type="dxa"/>
            <w:noWrap w:val="0"/>
            <w:vAlign w:val="center"/>
          </w:tcPr>
          <w:p w14:paraId="027D8D88">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283C30BD">
            <w:pPr>
              <w:jc w:val="center"/>
              <w:rPr>
                <w:rFonts w:hint="eastAsia" w:ascii="仿宋" w:hAnsi="仿宋" w:eastAsia="仿宋" w:cs="仿宋"/>
                <w:b/>
                <w:bCs/>
                <w:i w:val="0"/>
                <w:iCs w:val="0"/>
                <w:color w:val="000000"/>
                <w:sz w:val="24"/>
                <w:szCs w:val="24"/>
                <w:u w:val="none"/>
              </w:rPr>
            </w:pPr>
          </w:p>
        </w:tc>
      </w:tr>
      <w:tr w14:paraId="3D93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457" w:type="dxa"/>
            <w:noWrap w:val="0"/>
            <w:vAlign w:val="center"/>
          </w:tcPr>
          <w:p w14:paraId="52EE14F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61B6A8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电子会标屏吊杆</w:t>
            </w:r>
          </w:p>
        </w:tc>
        <w:tc>
          <w:tcPr>
            <w:tcW w:w="7056" w:type="dxa"/>
            <w:noWrap w:val="0"/>
            <w:vAlign w:val="center"/>
          </w:tcPr>
          <w:p w14:paraId="49E2A59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设置于主舞台上空的电动景物吊杆，主要用于悬挂电子会标屏使用；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1、钢丝绳盘式滚筒吊杆机；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2、杆体：梯子型杆体；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3、尺寸：≥20.0m；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4、吊点数：≥6；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5、行程：≥10.5m；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6、速度：≥0.15m/s；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7、有效载荷：≥6.0kN；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9、定位精度：≤±3mm；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10、电机运行噪音：≤48dB；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11、电机：制动电机；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12、安全措施：行(超)程限位装置、防冲顶保护装置、自动定位装置、相序保护装置、急停装置等。</w:t>
            </w:r>
          </w:p>
        </w:tc>
        <w:tc>
          <w:tcPr>
            <w:tcW w:w="696" w:type="dxa"/>
            <w:noWrap w:val="0"/>
            <w:vAlign w:val="center"/>
          </w:tcPr>
          <w:p w14:paraId="61BACE2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334FDA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0151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457" w:type="dxa"/>
            <w:noWrap w:val="0"/>
            <w:vAlign w:val="center"/>
          </w:tcPr>
          <w:p w14:paraId="4B3BF1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717800F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电动会标横幅吊杆</w:t>
            </w:r>
          </w:p>
        </w:tc>
        <w:tc>
          <w:tcPr>
            <w:tcW w:w="7056" w:type="dxa"/>
            <w:noWrap w:val="0"/>
            <w:vAlign w:val="center"/>
          </w:tcPr>
          <w:p w14:paraId="7C8053C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设置于主舞台上空的电动景物吊杆，主要用于悬挂会标横幅使用；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1、钢丝绳盘式滚筒吊杆机；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2、杆体：梯子型杆体；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3、尺寸：≥20.0m；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4、吊点数：≥6；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5、行程：≥10.5m；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6、速度：≥0.3m/s；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7、有效载荷：≥4.0kN；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9、定位精度：≤±3mm；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10、电机运行噪音：≤48dB；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11、电机：制动电机；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12、安全措施：行(超)程限位装置、防冲顶保护装置、自动定位装置、相序保护装置、急停装置等。</w:t>
            </w:r>
          </w:p>
        </w:tc>
        <w:tc>
          <w:tcPr>
            <w:tcW w:w="696" w:type="dxa"/>
            <w:noWrap w:val="0"/>
            <w:vAlign w:val="center"/>
          </w:tcPr>
          <w:p w14:paraId="1EBE59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48E36F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6D12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7" w:type="dxa"/>
            <w:noWrap w:val="0"/>
            <w:vAlign w:val="center"/>
          </w:tcPr>
          <w:p w14:paraId="4A0B2D2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6EEFE9F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对开大幕机</w:t>
            </w:r>
          </w:p>
        </w:tc>
        <w:tc>
          <w:tcPr>
            <w:tcW w:w="7056" w:type="dxa"/>
            <w:noWrap w:val="0"/>
            <w:vAlign w:val="center"/>
          </w:tcPr>
          <w:p w14:paraId="784852D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具有电动开启的功能,可作为舞台幕等形式使用；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1、铝制专业轨道；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2、保证布幕启闭均匀，低噪音、对开幕导轨机构含跑车及尼龙带轴承挂钩、￠3.2航空钢丝绳、防跳槽滑轮∅100m；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3、尺寸：总长≥24.0m；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4、有效载荷：≥4.0kN；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5、行程：对开单边≥12.0m；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6、对开速度：对开≥0.4m/s；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8、电机运行噪音：≤50dB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9、保护装置：行程限位装置、相序保护装置、急停装置等。</w:t>
            </w:r>
          </w:p>
        </w:tc>
        <w:tc>
          <w:tcPr>
            <w:tcW w:w="696" w:type="dxa"/>
            <w:noWrap w:val="0"/>
            <w:vAlign w:val="center"/>
          </w:tcPr>
          <w:p w14:paraId="5BCE438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57647C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71E4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457" w:type="dxa"/>
            <w:noWrap w:val="0"/>
            <w:vAlign w:val="center"/>
          </w:tcPr>
          <w:p w14:paraId="0AA57CD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149E64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电动灯光吊杆</w:t>
            </w:r>
          </w:p>
        </w:tc>
        <w:tc>
          <w:tcPr>
            <w:tcW w:w="7056" w:type="dxa"/>
            <w:noWrap w:val="0"/>
            <w:vAlign w:val="center"/>
          </w:tcPr>
          <w:p w14:paraId="01C9081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主舞台上配置电动升降灯光吊杆，完整立体的满足了会议及演出模式中灯光布置的需求；设有电缆收线筐，便于垂直电缆的收纳；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1、钢丝绳盘式滚筒吊杆机；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2、杆体：防撞桁架式灯杆；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3、尺寸：≥20.0m；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4、吊点数：≥6；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5、行程：≥10.0m；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6、速度：≥0.15m/s；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7、有效载荷：≥8.0kN；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9、定位精度：≤±3mm；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10、电机运行噪音：≤48dB；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11、电机：制动电机；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12、安全措施：行(超)程限位装置、防冲顶保护装置、自动定位装置、相序保护装置、急停装置等。</w:t>
            </w:r>
          </w:p>
        </w:tc>
        <w:tc>
          <w:tcPr>
            <w:tcW w:w="696" w:type="dxa"/>
            <w:noWrap w:val="0"/>
            <w:vAlign w:val="center"/>
          </w:tcPr>
          <w:p w14:paraId="6D1633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5010DAA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3E0F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457" w:type="dxa"/>
            <w:noWrap w:val="0"/>
            <w:vAlign w:val="center"/>
          </w:tcPr>
          <w:p w14:paraId="46813D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05E0153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电动景物吊杆</w:t>
            </w:r>
          </w:p>
        </w:tc>
        <w:tc>
          <w:tcPr>
            <w:tcW w:w="7056" w:type="dxa"/>
            <w:noWrap w:val="0"/>
            <w:vAlign w:val="center"/>
          </w:tcPr>
          <w:p w14:paraId="24F6A2F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设置于主舞台上空的电动景物吊杆，主要用于悬挂会议装饰物品使用，满足演出、会议及放映模式中对装饰物品悬挂的需求；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1、钢丝绳盘式滚筒吊杆机；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2、杆体：梯子型杆体；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3、尺寸：≥22.0m；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4、吊点数：≥6；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5、行程：≥10.5m；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6、速度：≥0.3m/s；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7、有效载荷：≥6.0kN；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9、定位精度：≤±3mm；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10、电机运行噪音：≤48dB；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11、电机：制动电机；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12、安全措施：行(超)程限位装置、防冲顶保护装置、自动定位装置、相序保护装置、急停装置等。</w:t>
            </w:r>
          </w:p>
        </w:tc>
        <w:tc>
          <w:tcPr>
            <w:tcW w:w="696" w:type="dxa"/>
            <w:noWrap w:val="0"/>
            <w:vAlign w:val="center"/>
          </w:tcPr>
          <w:p w14:paraId="3395E02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FA8B92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49E5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779B271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54C66EB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边沿幕吊杆</w:t>
            </w:r>
          </w:p>
        </w:tc>
        <w:tc>
          <w:tcPr>
            <w:tcW w:w="7056" w:type="dxa"/>
            <w:noWrap w:val="0"/>
            <w:vAlign w:val="center"/>
          </w:tcPr>
          <w:p w14:paraId="5388FD4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1、固定安装于主舞台上空的景物吊杆，主要用于悬挂边沿幕使用。</w:t>
            </w:r>
          </w:p>
        </w:tc>
        <w:tc>
          <w:tcPr>
            <w:tcW w:w="696" w:type="dxa"/>
            <w:noWrap w:val="0"/>
            <w:vAlign w:val="center"/>
          </w:tcPr>
          <w:p w14:paraId="3E31CF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5C2B5A8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0365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7" w:type="dxa"/>
            <w:noWrap w:val="0"/>
            <w:vAlign w:val="center"/>
          </w:tcPr>
          <w:p w14:paraId="7670A63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63B19A0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对开二幕</w:t>
            </w:r>
          </w:p>
        </w:tc>
        <w:tc>
          <w:tcPr>
            <w:tcW w:w="7056" w:type="dxa"/>
            <w:noWrap w:val="0"/>
            <w:vAlign w:val="center"/>
          </w:tcPr>
          <w:p w14:paraId="2B775ED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具有电动开启的功能，可作为舞台幕等形式使用；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1、铝制专业轨道；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2、保证布幕启闭均匀，低噪音、对开幕导轨机构含跑车及尼龙带轴承挂钩、￠3.2航空钢丝绳、防跳槽滑轮∅100m；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3、尺寸：总长≥24.0m；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4、有效载荷：≥4.0kN；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5、行程：对开单边≥12.0m；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6、对开速度：对开≥0.4m/s；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8、电机运行噪音：≤50dB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9、保护装置：行程限位装置、相序保护装置、急停装置等。</w:t>
            </w:r>
          </w:p>
        </w:tc>
        <w:tc>
          <w:tcPr>
            <w:tcW w:w="696" w:type="dxa"/>
            <w:noWrap w:val="0"/>
            <w:vAlign w:val="center"/>
          </w:tcPr>
          <w:p w14:paraId="2A2B61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7A62D9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69EC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7" w:type="dxa"/>
            <w:noWrap w:val="0"/>
            <w:vAlign w:val="center"/>
          </w:tcPr>
          <w:p w14:paraId="39674CB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4CE7063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电动侧光吊杆</w:t>
            </w:r>
          </w:p>
        </w:tc>
        <w:tc>
          <w:tcPr>
            <w:tcW w:w="7056" w:type="dxa"/>
            <w:noWrap w:val="0"/>
            <w:vAlign w:val="center"/>
          </w:tcPr>
          <w:p w14:paraId="476C78F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设置于主舞台两侧，完整立体的满足了会议及演出模式中灯光布置的需求；设有电缆收线筐，便于垂直电缆的收纳；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技术参数：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1、钢丝绳盘式滚筒吊杆；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2、杆体：三角桁架式杆体；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3、杆体长度： ≥12.0m；（带3组目字型结构架）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4、结构架规格： ≥2.0m*1.2m；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5、尺寸：≥9.0m；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6、吊点数：≥4；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7、行程：≥9.0m；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8、速度：≥0.15m/s；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9、有效载荷：≥4.0kN；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10、驱动方式：电动钢丝绳卷扬；</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11、定位精度：≤±3mm；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12、电机运行噪音：≤48dB；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13、电机：制动电机；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14、安全措施：行(超)程限位装置、防冲顶保护装置、自动定位装置、相序保护装置、急停装置等。</w:t>
            </w:r>
          </w:p>
        </w:tc>
        <w:tc>
          <w:tcPr>
            <w:tcW w:w="696" w:type="dxa"/>
            <w:noWrap w:val="0"/>
            <w:vAlign w:val="center"/>
          </w:tcPr>
          <w:p w14:paraId="3EF534D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7B00F5B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3139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457" w:type="dxa"/>
            <w:noWrap w:val="0"/>
            <w:vAlign w:val="center"/>
          </w:tcPr>
          <w:p w14:paraId="5603AC4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723E533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耳光支架</w:t>
            </w:r>
          </w:p>
        </w:tc>
        <w:tc>
          <w:tcPr>
            <w:tcW w:w="7056" w:type="dxa"/>
            <w:noWrap w:val="0"/>
            <w:vAlign w:val="center"/>
          </w:tcPr>
          <w:p w14:paraId="3217707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1、固定安装在耳光室内部；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2、杆体尺寸：≥1.2m*1.8m，上下可安装2排灯具；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3、载荷：≥1.0kN/m。</w:t>
            </w:r>
          </w:p>
        </w:tc>
        <w:tc>
          <w:tcPr>
            <w:tcW w:w="696" w:type="dxa"/>
            <w:noWrap w:val="0"/>
            <w:vAlign w:val="center"/>
          </w:tcPr>
          <w:p w14:paraId="4A332C7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55E6967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2101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noWrap w:val="0"/>
            <w:vAlign w:val="center"/>
          </w:tcPr>
          <w:p w14:paraId="3135848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0C0B623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PLC控制系统</w:t>
            </w:r>
          </w:p>
        </w:tc>
        <w:tc>
          <w:tcPr>
            <w:tcW w:w="7056" w:type="dxa"/>
            <w:noWrap w:val="0"/>
            <w:vAlign w:val="center"/>
          </w:tcPr>
          <w:p w14:paraId="6C2A6E5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1、PLC控制方式，可编程控制，可进行人工干预；</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2、并备有完善的安全保护及应急措施；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3、控制台可单独控制一道吊杆，也可编组同时控制4道吊杆升降；</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4、定位精度:≤士3mm,带相位检测电路；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5、控制设备采用模块化设计，维修方便。(含可编辑控制器，控制软件，弱电电气设备及组件、弱电电气柜、编码器、操作台)</w:t>
            </w:r>
          </w:p>
        </w:tc>
        <w:tc>
          <w:tcPr>
            <w:tcW w:w="696" w:type="dxa"/>
            <w:noWrap w:val="0"/>
            <w:vAlign w:val="center"/>
          </w:tcPr>
          <w:p w14:paraId="111C7A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19AAA9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0B0D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457" w:type="dxa"/>
            <w:noWrap w:val="0"/>
            <w:vAlign w:val="center"/>
          </w:tcPr>
          <w:p w14:paraId="6E287DC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4338243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舞台机械栅顶及全沉浸式控制系统模块造型支架</w:t>
            </w:r>
          </w:p>
        </w:tc>
        <w:tc>
          <w:tcPr>
            <w:tcW w:w="7056" w:type="dxa"/>
            <w:noWrap w:val="0"/>
            <w:vAlign w:val="center"/>
          </w:tcPr>
          <w:p w14:paraId="2867419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1、舞台上空安装舞台机械吊杆，需制作基础栅顶层；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栅顶层设计承重主梁共5道，承重主梁由16#工字钢制作，通过吊筋（10#槽钢）与舞台上空结构梁连接，端部与两侧墙体固定连接；若现场无法满足承重梁悬吊，可采用在立柱及圈梁上制作牛腿支撑或悬吊承重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3、滑轮梁共6道，吊架安装梁左右各2道，滑轮梁及吊架安装梁由16#工字钢制作，安装在承重梁上；</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4、80*40方管次梁，安装在承重梁上，次梁间安装5#角钢，上铺钢板网；以便工作人员安装、调试及后期检修维护；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5、沉浸式模块造型根据现场的实际情况，净尺寸分别≥13.44米*7.2米；≥3.52*2.24米*2块；≥8米*3.68米；左右可移动模块吊装结构，可以实现完整模块的横向移动，角度旋转；净尺寸：≥7.2米*2.56米*4块。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含按用户图纸设计要求（强/弱电桥架、马道式钢结构、面光桥现场定制，设置在屋盖下弦合理的位置，它是舞台机械安装的必备的基础钢结构；定制承重梁，为保证栅顶钢构在水平方向作用力下的稳定性，承重梁应与建筑主体结构可靠连接）实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7、含提供大小报告厅的操作控制室（包含但不限于光控室、音控室）静电地板、安装及配套辅材，约30平方。</w:t>
            </w:r>
          </w:p>
        </w:tc>
        <w:tc>
          <w:tcPr>
            <w:tcW w:w="696" w:type="dxa"/>
            <w:noWrap w:val="0"/>
            <w:vAlign w:val="center"/>
          </w:tcPr>
          <w:p w14:paraId="6A52890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380 </w:t>
            </w:r>
          </w:p>
        </w:tc>
        <w:tc>
          <w:tcPr>
            <w:tcW w:w="457" w:type="dxa"/>
            <w:noWrap w:val="0"/>
            <w:vAlign w:val="center"/>
          </w:tcPr>
          <w:p w14:paraId="1B47752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平米</w:t>
            </w:r>
          </w:p>
        </w:tc>
      </w:tr>
      <w:tr w14:paraId="7AA4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457" w:type="dxa"/>
            <w:noWrap w:val="0"/>
            <w:vAlign w:val="center"/>
          </w:tcPr>
          <w:p w14:paraId="4CC416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23FB81E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全沉浸式系统模块</w:t>
            </w:r>
          </w:p>
        </w:tc>
        <w:tc>
          <w:tcPr>
            <w:tcW w:w="7056" w:type="dxa"/>
            <w:noWrap w:val="0"/>
            <w:vAlign w:val="center"/>
          </w:tcPr>
          <w:p w14:paraId="50E8D4D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1、像素点间距：≤2.0mm；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2、刷新率：≥3840Hz；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3、防护性能：具有防静电、防电磁干扰、防腐蚀、防潮等功能；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4、水平视角≥170°，垂直视角≥160°；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5、模组平整度：≤0.08mm，拼接缝：≤0.08mm；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6、单元板分辨率：≥12800 Dots；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7、色温：≤1000K—≤20000K可调;色温为6500K时，100%75%50%25%档电平白场调节色温误差≤100K；</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8、平均使用寿命≥100000h, MTBF≥100000h；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在器具输入插座端与屏正面之间施加试验电压3kv/50Hz，保持1min，不应出现飞弧和击穿现象，产品能正常工作；在高海拔环境下，产品可正常工作；输入电压：支持宽压输入在96-264VAC，支持窄压输入在200-240VAC，在该范围内能正常工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10、为了所投产品的安全性和适应性，屏体内部所用排线需符合耐高温实验、耐压测试、折弯参数测试要求，耐燃等级符合VW-1/UL94V-0；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12、防电击等级依据GB4943.1标准，使用基本绝缘作为基本安全防护，同时使用保护连接和保护接地作为附加安全防护，达到防电击保护I类设备；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13、支持软件自定义修改分辨率，自定义分辨率，更加适合产品的使用；支持分屏操作；支持任意比例拼接素材和多图层叠加；支持无线遥控、手机遥控，一键切换视频；支持与智能播控软件一键IP连接；</w:t>
            </w:r>
          </w:p>
        </w:tc>
        <w:tc>
          <w:tcPr>
            <w:tcW w:w="696" w:type="dxa"/>
            <w:noWrap w:val="0"/>
            <w:vAlign w:val="center"/>
          </w:tcPr>
          <w:p w14:paraId="53E1301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4238 </w:t>
            </w:r>
          </w:p>
        </w:tc>
        <w:tc>
          <w:tcPr>
            <w:tcW w:w="457" w:type="dxa"/>
            <w:noWrap w:val="0"/>
            <w:vAlign w:val="center"/>
          </w:tcPr>
          <w:p w14:paraId="368D648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块</w:t>
            </w:r>
          </w:p>
        </w:tc>
      </w:tr>
      <w:tr w14:paraId="1D5C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4D878F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721875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大幕前檐幕</w:t>
            </w:r>
          </w:p>
        </w:tc>
        <w:tc>
          <w:tcPr>
            <w:tcW w:w="7056" w:type="dxa"/>
            <w:noWrap w:val="0"/>
            <w:vAlign w:val="center"/>
          </w:tcPr>
          <w:p w14:paraId="4A833D2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1、尺寸：≥20m*1.5m*3*1；（颜色暂定枣红，最终由业主确认）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2、材质：针织天鹅绒；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3、重量：≥350g/㎡；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4、达到B1级阻燃标准。</w:t>
            </w:r>
          </w:p>
        </w:tc>
        <w:tc>
          <w:tcPr>
            <w:tcW w:w="696" w:type="dxa"/>
            <w:noWrap w:val="0"/>
            <w:vAlign w:val="center"/>
          </w:tcPr>
          <w:p w14:paraId="3D7BBD8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90 </w:t>
            </w:r>
          </w:p>
        </w:tc>
        <w:tc>
          <w:tcPr>
            <w:tcW w:w="457" w:type="dxa"/>
            <w:noWrap w:val="0"/>
            <w:vAlign w:val="center"/>
          </w:tcPr>
          <w:p w14:paraId="4014C48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40B4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7601E1A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03975E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大幕前沿幕衬里</w:t>
            </w:r>
          </w:p>
        </w:tc>
        <w:tc>
          <w:tcPr>
            <w:tcW w:w="7056" w:type="dxa"/>
            <w:noWrap w:val="0"/>
            <w:vAlign w:val="center"/>
          </w:tcPr>
          <w:p w14:paraId="73EB48C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1、尺寸：≥20m*2m*1*1；</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2、材质：富春纺；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3、克重：≥120g/m²。</w:t>
            </w:r>
          </w:p>
        </w:tc>
        <w:tc>
          <w:tcPr>
            <w:tcW w:w="696" w:type="dxa"/>
            <w:noWrap w:val="0"/>
            <w:vAlign w:val="center"/>
          </w:tcPr>
          <w:p w14:paraId="38DD73D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30 </w:t>
            </w:r>
          </w:p>
        </w:tc>
        <w:tc>
          <w:tcPr>
            <w:tcW w:w="457" w:type="dxa"/>
            <w:noWrap w:val="0"/>
            <w:vAlign w:val="center"/>
          </w:tcPr>
          <w:p w14:paraId="02B582B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60E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05E118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260339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对开大幕</w:t>
            </w:r>
          </w:p>
        </w:tc>
        <w:tc>
          <w:tcPr>
            <w:tcW w:w="7056" w:type="dxa"/>
            <w:noWrap w:val="0"/>
            <w:vAlign w:val="center"/>
          </w:tcPr>
          <w:p w14:paraId="4CBB30D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1、尺寸：≥12m*9.5m*3*2；（颜色暂定枣红，最终由业主确认）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2、材质：针织天鹅绒；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3、重量：≥350g/㎡；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4、达到B1级阻燃标准。</w:t>
            </w:r>
          </w:p>
        </w:tc>
        <w:tc>
          <w:tcPr>
            <w:tcW w:w="696" w:type="dxa"/>
            <w:noWrap w:val="0"/>
            <w:vAlign w:val="center"/>
          </w:tcPr>
          <w:p w14:paraId="5B7336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684 </w:t>
            </w:r>
          </w:p>
        </w:tc>
        <w:tc>
          <w:tcPr>
            <w:tcW w:w="457" w:type="dxa"/>
            <w:noWrap w:val="0"/>
            <w:vAlign w:val="center"/>
          </w:tcPr>
          <w:p w14:paraId="5336B12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2D34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5B25AA9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05F2DE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对开大幕衬里</w:t>
            </w:r>
          </w:p>
        </w:tc>
        <w:tc>
          <w:tcPr>
            <w:tcW w:w="7056" w:type="dxa"/>
            <w:noWrap w:val="0"/>
            <w:vAlign w:val="center"/>
          </w:tcPr>
          <w:p w14:paraId="2DC63F8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1、尺寸：≥12m*9.5m*1*2；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2、材质：富春纺；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3、克重：≥120g/m²。</w:t>
            </w:r>
          </w:p>
        </w:tc>
        <w:tc>
          <w:tcPr>
            <w:tcW w:w="696" w:type="dxa"/>
            <w:noWrap w:val="0"/>
            <w:vAlign w:val="center"/>
          </w:tcPr>
          <w:p w14:paraId="6FD77E2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228 </w:t>
            </w:r>
          </w:p>
        </w:tc>
        <w:tc>
          <w:tcPr>
            <w:tcW w:w="457" w:type="dxa"/>
            <w:noWrap w:val="0"/>
            <w:vAlign w:val="center"/>
          </w:tcPr>
          <w:p w14:paraId="698DA6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57D6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7DE416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4D67512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横条幕</w:t>
            </w:r>
          </w:p>
        </w:tc>
        <w:tc>
          <w:tcPr>
            <w:tcW w:w="7056" w:type="dxa"/>
            <w:noWrap w:val="0"/>
            <w:vAlign w:val="center"/>
          </w:tcPr>
          <w:p w14:paraId="1C198BB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1、尺寸：≥22m*2.5m*3*3；（颜色暂定墨绿，最终由业主确认）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2、材质：针织天鹅绒；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3、重量：≥350g/㎡；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4、达到B1级阻燃标准。</w:t>
            </w:r>
          </w:p>
        </w:tc>
        <w:tc>
          <w:tcPr>
            <w:tcW w:w="696" w:type="dxa"/>
            <w:noWrap w:val="0"/>
            <w:vAlign w:val="center"/>
          </w:tcPr>
          <w:p w14:paraId="29FF681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495 </w:t>
            </w:r>
          </w:p>
        </w:tc>
        <w:tc>
          <w:tcPr>
            <w:tcW w:w="457" w:type="dxa"/>
            <w:noWrap w:val="0"/>
            <w:vAlign w:val="center"/>
          </w:tcPr>
          <w:p w14:paraId="4A4C82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5733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047FCE1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 </w:t>
            </w:r>
          </w:p>
        </w:tc>
        <w:tc>
          <w:tcPr>
            <w:tcW w:w="1056" w:type="dxa"/>
            <w:noWrap w:val="0"/>
            <w:vAlign w:val="center"/>
          </w:tcPr>
          <w:p w14:paraId="3518F9E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横条幕衬里</w:t>
            </w:r>
          </w:p>
        </w:tc>
        <w:tc>
          <w:tcPr>
            <w:tcW w:w="7056" w:type="dxa"/>
            <w:noWrap w:val="0"/>
            <w:vAlign w:val="center"/>
          </w:tcPr>
          <w:p w14:paraId="1E21814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1、尺寸：≥22m*2.5m*1*3；</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2、材质：富春纺；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3、克重：≥120g/m²。</w:t>
            </w:r>
          </w:p>
        </w:tc>
        <w:tc>
          <w:tcPr>
            <w:tcW w:w="696" w:type="dxa"/>
            <w:noWrap w:val="0"/>
            <w:vAlign w:val="center"/>
          </w:tcPr>
          <w:p w14:paraId="3F341BF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165 </w:t>
            </w:r>
          </w:p>
        </w:tc>
        <w:tc>
          <w:tcPr>
            <w:tcW w:w="457" w:type="dxa"/>
            <w:noWrap w:val="0"/>
            <w:vAlign w:val="center"/>
          </w:tcPr>
          <w:p w14:paraId="4CA9854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609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6C1434E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19 </w:t>
            </w:r>
          </w:p>
        </w:tc>
        <w:tc>
          <w:tcPr>
            <w:tcW w:w="1056" w:type="dxa"/>
            <w:noWrap w:val="0"/>
            <w:vAlign w:val="center"/>
          </w:tcPr>
          <w:p w14:paraId="32DEFF2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侧条幕</w:t>
            </w:r>
          </w:p>
        </w:tc>
        <w:tc>
          <w:tcPr>
            <w:tcW w:w="7056" w:type="dxa"/>
            <w:noWrap w:val="0"/>
            <w:vAlign w:val="center"/>
          </w:tcPr>
          <w:p w14:paraId="530969A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1、尺寸：≥3.0m*10.5m*3*6；（颜色暂定墨绿，最终由业主确认）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2、材质：针织天鹅绒；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3、重量：≥350g/㎡；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4、达到B1级阻燃标准。</w:t>
            </w:r>
          </w:p>
        </w:tc>
        <w:tc>
          <w:tcPr>
            <w:tcW w:w="696" w:type="dxa"/>
            <w:noWrap w:val="0"/>
            <w:vAlign w:val="center"/>
          </w:tcPr>
          <w:p w14:paraId="1CD1B5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567 </w:t>
            </w:r>
          </w:p>
        </w:tc>
        <w:tc>
          <w:tcPr>
            <w:tcW w:w="457" w:type="dxa"/>
            <w:noWrap w:val="0"/>
            <w:vAlign w:val="center"/>
          </w:tcPr>
          <w:p w14:paraId="099416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2D2B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7751F03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20 </w:t>
            </w:r>
          </w:p>
        </w:tc>
        <w:tc>
          <w:tcPr>
            <w:tcW w:w="1056" w:type="dxa"/>
            <w:noWrap w:val="0"/>
            <w:vAlign w:val="center"/>
          </w:tcPr>
          <w:p w14:paraId="0D19B01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侧条幕衬里</w:t>
            </w:r>
          </w:p>
        </w:tc>
        <w:tc>
          <w:tcPr>
            <w:tcW w:w="7056" w:type="dxa"/>
            <w:noWrap w:val="0"/>
            <w:vAlign w:val="center"/>
          </w:tcPr>
          <w:p w14:paraId="17730C5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1、尺寸：≥3.0m*10.5m*1*6；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2、材质：富春纺；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3、克重：≥120g/m²。</w:t>
            </w:r>
          </w:p>
        </w:tc>
        <w:tc>
          <w:tcPr>
            <w:tcW w:w="696" w:type="dxa"/>
            <w:noWrap w:val="0"/>
            <w:vAlign w:val="center"/>
          </w:tcPr>
          <w:p w14:paraId="4E3DE4A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189 </w:t>
            </w:r>
          </w:p>
        </w:tc>
        <w:tc>
          <w:tcPr>
            <w:tcW w:w="457" w:type="dxa"/>
            <w:noWrap w:val="0"/>
            <w:vAlign w:val="center"/>
          </w:tcPr>
          <w:p w14:paraId="2057AF3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0961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5A16365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21 </w:t>
            </w:r>
          </w:p>
        </w:tc>
        <w:tc>
          <w:tcPr>
            <w:tcW w:w="1056" w:type="dxa"/>
            <w:noWrap w:val="0"/>
            <w:vAlign w:val="center"/>
          </w:tcPr>
          <w:p w14:paraId="41E29DE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对开二幕</w:t>
            </w:r>
          </w:p>
        </w:tc>
        <w:tc>
          <w:tcPr>
            <w:tcW w:w="7056" w:type="dxa"/>
            <w:noWrap w:val="0"/>
            <w:vAlign w:val="center"/>
          </w:tcPr>
          <w:p w14:paraId="5F31B9F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1、尺寸：≥12m*9.5m*3*2；（颜色暂定胡兰\会议黄，最终由业主确认）</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2、材质：针织天鹅绒；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3、重量：≥350g/㎡；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4、达到B1级阻燃标准。</w:t>
            </w:r>
          </w:p>
        </w:tc>
        <w:tc>
          <w:tcPr>
            <w:tcW w:w="696" w:type="dxa"/>
            <w:noWrap w:val="0"/>
            <w:vAlign w:val="center"/>
          </w:tcPr>
          <w:p w14:paraId="5E5A5B1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684 </w:t>
            </w:r>
          </w:p>
        </w:tc>
        <w:tc>
          <w:tcPr>
            <w:tcW w:w="457" w:type="dxa"/>
            <w:noWrap w:val="0"/>
            <w:vAlign w:val="center"/>
          </w:tcPr>
          <w:p w14:paraId="6F9085D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平方</w:t>
            </w:r>
          </w:p>
        </w:tc>
      </w:tr>
      <w:tr w14:paraId="665F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65D1E6D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22 </w:t>
            </w:r>
          </w:p>
        </w:tc>
        <w:tc>
          <w:tcPr>
            <w:tcW w:w="1056" w:type="dxa"/>
            <w:noWrap w:val="0"/>
            <w:vAlign w:val="center"/>
          </w:tcPr>
          <w:p w14:paraId="5D29CC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拾音话筒吊装器</w:t>
            </w:r>
          </w:p>
        </w:tc>
        <w:tc>
          <w:tcPr>
            <w:tcW w:w="7056" w:type="dxa"/>
            <w:noWrap w:val="0"/>
            <w:vAlign w:val="center"/>
          </w:tcPr>
          <w:p w14:paraId="7C258E4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1、输入电压：220V 50/60Hz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2、信号输出接口：XRL（1-地，2-正，3-负）；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3、信号输出通道数 ：≥1路；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4、静止输入功率： ≤0.8watts；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5、最大输入功率 ：≤20watts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6、最大提升重量 ：≥1kg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7、最大噪音：≤40dB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8、提升速度：≤5m/min；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9、拾音行程：1-8m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10、定位精度：≤5mm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11、采用专业优质四芯星绞音频线，高保真、高降噪、抗拉抗折；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12、具有上升极限保护，让操作无失误；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13、具有重力感应，下降遇阻保护装置；具有无线遥控、手柄线控、RS232、RS485等多种控制方式；</w:t>
            </w:r>
          </w:p>
        </w:tc>
        <w:tc>
          <w:tcPr>
            <w:tcW w:w="696" w:type="dxa"/>
            <w:noWrap w:val="0"/>
            <w:vAlign w:val="center"/>
          </w:tcPr>
          <w:p w14:paraId="539EC18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457" w:type="dxa"/>
            <w:noWrap w:val="0"/>
            <w:vAlign w:val="center"/>
          </w:tcPr>
          <w:p w14:paraId="0D17759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144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57" w:type="dxa"/>
            <w:noWrap w:val="0"/>
            <w:vAlign w:val="center"/>
          </w:tcPr>
          <w:p w14:paraId="3829795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23 </w:t>
            </w:r>
          </w:p>
        </w:tc>
        <w:tc>
          <w:tcPr>
            <w:tcW w:w="1056" w:type="dxa"/>
            <w:noWrap w:val="0"/>
            <w:vAlign w:val="center"/>
          </w:tcPr>
          <w:p w14:paraId="15A899E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手自一体PLC电源控制箱200KW</w:t>
            </w:r>
          </w:p>
        </w:tc>
        <w:tc>
          <w:tcPr>
            <w:tcW w:w="7056" w:type="dxa"/>
            <w:noWrap w:val="0"/>
            <w:vAlign w:val="center"/>
          </w:tcPr>
          <w:p w14:paraId="62422BC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1、通过浪涌（冲击)抗扰度试验；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2、通过电快速瞬变脉冲群抗扰度试验；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3、通过辐射骚扰抗扰度试验；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4、通过静电放电抗扰度试验；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5、手机控制：手机人机界面控制；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6、故障记录：异常报警(高温、烟雾、漏电、过载等）；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7、通讯接口：串口+网口（MODBUS-RTU+TCP）；</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9、手动控制：一键启动、停止；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10、自动控制：电脑远程控制；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11、中控控制：中控协议通讯；</w:t>
            </w:r>
          </w:p>
        </w:tc>
        <w:tc>
          <w:tcPr>
            <w:tcW w:w="696" w:type="dxa"/>
            <w:noWrap w:val="0"/>
            <w:vAlign w:val="center"/>
          </w:tcPr>
          <w:p w14:paraId="0EF3C64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7D85D3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BC4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57" w:type="dxa"/>
            <w:noWrap w:val="0"/>
            <w:vAlign w:val="center"/>
          </w:tcPr>
          <w:p w14:paraId="5F7E34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24 </w:t>
            </w:r>
          </w:p>
        </w:tc>
        <w:tc>
          <w:tcPr>
            <w:tcW w:w="1056" w:type="dxa"/>
            <w:noWrap w:val="0"/>
            <w:vAlign w:val="center"/>
          </w:tcPr>
          <w:p w14:paraId="7E0FC9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伸缩合唱台</w:t>
            </w:r>
          </w:p>
        </w:tc>
        <w:tc>
          <w:tcPr>
            <w:tcW w:w="7056" w:type="dxa"/>
            <w:noWrap w:val="0"/>
            <w:vAlign w:val="center"/>
          </w:tcPr>
          <w:p w14:paraId="3F9B6CC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实木伸缩移动合唱台三层，≥120-130-75cm(长宽高)，层宽≥40cm，层高25cm；材质采用优质橡胶木齿接板≥18mm厚，硬度高不开裂特性，内部使用同等厚度板做龙骨支撑具有良好的静音和支撑能力，每层平面整体可承重≥500公斤以上，三层整体承重≥1500公斤，台阶整体式不可拆装，稳定性强，台阶边为圆边防磕碰，表面采用环保无味清漆喷涂原木色，整体台阶可伸缩，一二层可收纳第三层内部，收纳后尺寸≤120-50-75cm，台阶低部每层有≥4个静音万象轮，方便轻松移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2、护栏：后护栏采用≥40mm圆管，≥1.2mm厚为主管，尺寸长≥1150mm，≥高800mm 中间护栏管采用≥20mm圆管，≥1.2mm厚；多节组合后两侧安装侧护栏。</w:t>
            </w:r>
          </w:p>
        </w:tc>
        <w:tc>
          <w:tcPr>
            <w:tcW w:w="696" w:type="dxa"/>
            <w:noWrap w:val="0"/>
            <w:vAlign w:val="center"/>
          </w:tcPr>
          <w:p w14:paraId="6CD52BF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2B2DB9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36EE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0D8F40A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25 </w:t>
            </w:r>
          </w:p>
        </w:tc>
        <w:tc>
          <w:tcPr>
            <w:tcW w:w="1056" w:type="dxa"/>
            <w:noWrap w:val="0"/>
            <w:vAlign w:val="center"/>
          </w:tcPr>
          <w:p w14:paraId="1CDC718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568BB8F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舞台机械及舞台幕布系统该系统范围内所有设备所需要的串线及配件，本项目为交钥匙工程，不允许额外增加任何费用）；包含但不限于：桥架、H型桥架≥100×50×0.8、国标主电缆≥ZR-YJV4*16㎡+1、≥RVV4*2.5电源线、≥RVV6*0.75限位控制线、≥RVVP4*0.75编码屏蔽线、≥RVV2*1.0抱闸线、≥RVV4*1.0操作台电源、≥RVV4*1.5电源线、六类屏蔽网线、接线端子、配电箱、导轨、地排、航空插座蓝色、航空插座、全沉浸式系统模块需要的排线、磁珠、电源线、包边等。</w:t>
            </w:r>
          </w:p>
        </w:tc>
        <w:tc>
          <w:tcPr>
            <w:tcW w:w="696" w:type="dxa"/>
            <w:noWrap w:val="0"/>
            <w:vAlign w:val="center"/>
          </w:tcPr>
          <w:p w14:paraId="557B829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18D7892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3507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63D7322C">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1BF7B7BC">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11CEC0EE">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1AB042C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7C87D03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663D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20BB8EA">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333E91A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6、中控系统</w:t>
            </w:r>
          </w:p>
        </w:tc>
        <w:tc>
          <w:tcPr>
            <w:tcW w:w="7056" w:type="dxa"/>
            <w:noWrap w:val="0"/>
            <w:vAlign w:val="center"/>
          </w:tcPr>
          <w:p w14:paraId="1A8B6C24">
            <w:pPr>
              <w:jc w:val="left"/>
              <w:rPr>
                <w:rFonts w:hint="eastAsia" w:ascii="仿宋" w:hAnsi="仿宋" w:eastAsia="仿宋" w:cs="仿宋"/>
                <w:b/>
                <w:bCs/>
                <w:i w:val="0"/>
                <w:iCs w:val="0"/>
                <w:color w:val="000000"/>
                <w:sz w:val="24"/>
                <w:szCs w:val="24"/>
                <w:u w:val="none"/>
              </w:rPr>
            </w:pPr>
          </w:p>
        </w:tc>
        <w:tc>
          <w:tcPr>
            <w:tcW w:w="696" w:type="dxa"/>
            <w:noWrap w:val="0"/>
            <w:vAlign w:val="center"/>
          </w:tcPr>
          <w:p w14:paraId="777611A5">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037FBB36">
            <w:pPr>
              <w:jc w:val="center"/>
              <w:rPr>
                <w:rFonts w:hint="eastAsia" w:ascii="仿宋" w:hAnsi="仿宋" w:eastAsia="仿宋" w:cs="仿宋"/>
                <w:b/>
                <w:bCs/>
                <w:i w:val="0"/>
                <w:iCs w:val="0"/>
                <w:color w:val="000000"/>
                <w:sz w:val="24"/>
                <w:szCs w:val="24"/>
                <w:u w:val="none"/>
              </w:rPr>
            </w:pPr>
          </w:p>
        </w:tc>
      </w:tr>
      <w:tr w14:paraId="144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6D825F3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14DADE9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可编程中央控制主机（加触控终端）</w:t>
            </w:r>
          </w:p>
        </w:tc>
        <w:tc>
          <w:tcPr>
            <w:tcW w:w="7056" w:type="dxa"/>
            <w:noWrap w:val="0"/>
            <w:vAlign w:val="center"/>
          </w:tcPr>
          <w:p w14:paraId="37188FFD">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1、主频≥2GHz的32位内嵌式CPU处理器，内存≥16G；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2、主机≥10路串口，≥8路IR，≥8路I0，≥8路弱继电器，≥4个模拟量输入接口，≥2路NET口，具备可视化调试功能，可通过HDMI接口输出设备状态及管理界面；</w:t>
            </w:r>
          </w:p>
          <w:p w14:paraId="3E87EA5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3、≥8路红外可编程控制接口，内置红外学习器，可以支持对周边所有红外设备的控制，且单个红外接口可以同时连接控制多个不同设备；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4、具有自定义宏功能模块，可以创建自定义宏，支持编辑宏、导入宏或导出宏操作。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5、支持远程控制，控制接口可扩展，支持一键式联动控制功能，控制软件中文界面，提供开放式可编程控制平台，支持第三方设备控制；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网页版KVM，在突发事件发生时，非本地专业业务人员可通过网络远程对指挥中心相关业务电脑进行控制，实现应急处突，保障指挥调度任务顺利进行；支持通过终端web远程访问，系统数据完全本地部署，恶意扫描、账号爆破手段无法触达本地服务器，保障安全可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7、支持多种控制模式如：PC控制、IPAD、Android触摸屏、墙上面板控制等，并支持IE浏览器（无需web服务器）；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8、中控系统支持冗余热备份，支持双向反馈，可显示温度、湿度、pm2.5及周边环境状态；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多种编程语言，如图形化编程（拖拽方块）、Lua、Python脚本、类C语言化编程；支持对平台内接入的所有设备进行可视化管控，可按需记录设备的多条实时运行参数，具备数据采集能力，本地历史数据存储时间不少于90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10、支持大型组网集中管理；开放式类C语言编程，程序可上传云端；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11、≥8路独立可编程控制串口接口，≥8路弱电继电器接口和≥8路数字输入/输出IO 接口，可联动相关人体红外感应器状态，进行智能化场景切换，实现人来灯亮，人走灯灭的功能；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w:t>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2、7、8、9，中标后签订合同前需提供带有“CMA”或“CNAS”标志的检测报告原件（提供承诺，格式自拟）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6E37D0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16290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F8A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1F8B4DE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6CDE1C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无线接收器</w:t>
            </w:r>
          </w:p>
        </w:tc>
        <w:tc>
          <w:tcPr>
            <w:tcW w:w="7056" w:type="dxa"/>
            <w:noWrap w:val="0"/>
            <w:vAlign w:val="center"/>
          </w:tcPr>
          <w:p w14:paraId="1F72B5D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1、无线速率：≥3000M；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2、无线协议：Wi-Fi6。</w:t>
            </w:r>
          </w:p>
        </w:tc>
        <w:tc>
          <w:tcPr>
            <w:tcW w:w="696" w:type="dxa"/>
            <w:noWrap w:val="0"/>
            <w:vAlign w:val="center"/>
          </w:tcPr>
          <w:p w14:paraId="2176C1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594A50C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231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45FE9FA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1519C75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红外发射棒</w:t>
            </w:r>
          </w:p>
        </w:tc>
        <w:tc>
          <w:tcPr>
            <w:tcW w:w="7056" w:type="dxa"/>
            <w:noWrap w:val="0"/>
            <w:vAlign w:val="center"/>
          </w:tcPr>
          <w:p w14:paraId="73A5B35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1、用于控制红外遥控设备，可延长至≥100米。</w:t>
            </w:r>
          </w:p>
        </w:tc>
        <w:tc>
          <w:tcPr>
            <w:tcW w:w="696" w:type="dxa"/>
            <w:noWrap w:val="0"/>
            <w:vAlign w:val="center"/>
          </w:tcPr>
          <w:p w14:paraId="0F74FEE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457" w:type="dxa"/>
            <w:noWrap w:val="0"/>
            <w:vAlign w:val="center"/>
          </w:tcPr>
          <w:p w14:paraId="43A0BC4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747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2FE4388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3D9781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系统软件单元</w:t>
            </w:r>
          </w:p>
        </w:tc>
        <w:tc>
          <w:tcPr>
            <w:tcW w:w="7056" w:type="dxa"/>
            <w:noWrap w:val="0"/>
            <w:vAlign w:val="center"/>
          </w:tcPr>
          <w:p w14:paraId="718D99E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1、平板终端可感知单元控制的设备的状态和数据；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2、平板终端可实时反馈光感检测、PM2.5检测、门磁检测、温度检测湿度检测等各种感应检测器的检测结果；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3、平板终端之间控制状态同步；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4、平板终端接入自动与系统同步；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5、软件自动与系统和平板终端同步；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6、支持iOS、Windows平台下对系统进行交互式控制；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7、集成音频系统、数字会议系统、视频显示系统、录播系统等系统，集成可视化管理和一体化控制为一体；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8、后期系统编程、界面编辑、脚本语言编程，多平台解析软件，可根据用户要求定制化管理界面，设置多级管理权限，软件运稳定界面友好、简学易用；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9、支持对第三方设备控制。</w:t>
            </w:r>
          </w:p>
        </w:tc>
        <w:tc>
          <w:tcPr>
            <w:tcW w:w="696" w:type="dxa"/>
            <w:noWrap w:val="0"/>
            <w:vAlign w:val="center"/>
          </w:tcPr>
          <w:p w14:paraId="6FDF370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81BAD5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406C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1B4584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20CF865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协同中控控制接收系统</w:t>
            </w:r>
          </w:p>
        </w:tc>
        <w:tc>
          <w:tcPr>
            <w:tcW w:w="7056" w:type="dxa"/>
            <w:noWrap w:val="0"/>
            <w:vAlign w:val="center"/>
          </w:tcPr>
          <w:p w14:paraId="3615017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单个≥16 个标准接口；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通过对Gamma表算法的优化，确保显示屏在降低亮度运行时，依然能够保持灰阶的完整性与连续性，呈现优异的低亮度高灰阶显示效果；支持亮度、色度逐点校正，提供校正低灰补偿；支持RGB三基色Gamma独立调节，通过精准的算法修正颜色跳变、偏色及白平衡漂移等问题，有效消除低灰不均匀现象，确保显示屏在全亮度、全灰阶范围内均能实现真实、准确的色彩还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2、智能串线功能：无需了解接收卡串线顺序，用户可根据屏幕闪烁提示，在软件上完成映射设置，便于设备调试；</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3、异形处理：支持抽点显示与数据偏移，可完成异形屏带载，搭配专用异形发送设备时还可实现高保真图像变形显示，在异形屏幕上播放普通素材时有效避免内容缺失；</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4、一键回读：可一键回读所有配置文件信息从而快速恢复参数设置；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5、主从备份功能：为保障播出正常，支持主从备份功能，备份状态下，网络数据为双向传输；主从串联线路中，当其中一条线路出现故障时，另一条线路会及时工作，保证显示屏正常工作；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6、升级保护：为保证产品后续升级的安全性，程序升级支持断电保护功能，产品固件升级过程中发生意外断电时，产品仍可正常使用；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7、模组任意旋转：支持模组任意角度旋转，呈现不同形状，展现更多变的画面；</w:t>
            </w:r>
          </w:p>
        </w:tc>
        <w:tc>
          <w:tcPr>
            <w:tcW w:w="696" w:type="dxa"/>
            <w:noWrap w:val="0"/>
            <w:vAlign w:val="center"/>
          </w:tcPr>
          <w:p w14:paraId="404C185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246 </w:t>
            </w:r>
          </w:p>
        </w:tc>
        <w:tc>
          <w:tcPr>
            <w:tcW w:w="457" w:type="dxa"/>
            <w:noWrap w:val="0"/>
            <w:vAlign w:val="center"/>
          </w:tcPr>
          <w:p w14:paraId="4AF6F1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0A28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7" w:type="dxa"/>
            <w:noWrap w:val="0"/>
            <w:vAlign w:val="center"/>
          </w:tcPr>
          <w:p w14:paraId="52772A6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3238732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电源控制器</w:t>
            </w:r>
          </w:p>
        </w:tc>
        <w:tc>
          <w:tcPr>
            <w:tcW w:w="7056" w:type="dxa"/>
            <w:noWrap w:val="0"/>
            <w:vAlign w:val="center"/>
          </w:tcPr>
          <w:p w14:paraId="6E3A827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1、配备≥3.5寸彩色TFT-LCD显示屏，可实时显示当前电压，日期时间，信道开关状态；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2、≥8路开关通道输出，每路延时开启和关闭时间可自由设置（范围0~999秒）；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3、每通道可以独立设置开启/关闭，方便设备灵活使用；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4、每通道独立滤波器，提供稳定，无干忧电流；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5、内置时钟芯片，可根据日期时间定时设置自动开启/关闭每一通道；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6、欠压、过压保护，可自定义设置保护值；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7、配置RS232和RS485接口，支持级联、中央设备控制；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8、额定输出总电流：≥40A，单路输出电流：≥20A；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9、每一路功率：可承载≥2000W；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10、每一路带滤波；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11、带级联功能。</w:t>
            </w:r>
          </w:p>
        </w:tc>
        <w:tc>
          <w:tcPr>
            <w:tcW w:w="696" w:type="dxa"/>
            <w:noWrap w:val="0"/>
            <w:vAlign w:val="center"/>
          </w:tcPr>
          <w:p w14:paraId="36B7AE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457" w:type="dxa"/>
            <w:noWrap w:val="0"/>
            <w:vAlign w:val="center"/>
          </w:tcPr>
          <w:p w14:paraId="71D96A6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6E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013CC9D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1AD5C58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3265276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1、满足要求（此项包含中控系统该系统范围内所有设备所需要的串线及配件，本项目为交钥匙工程，不允许额外增加任何费用）包含但不限于：≥RVV3*2.5㎡电源线、六类网线等。</w:t>
            </w:r>
          </w:p>
        </w:tc>
        <w:tc>
          <w:tcPr>
            <w:tcW w:w="696" w:type="dxa"/>
            <w:noWrap w:val="0"/>
            <w:vAlign w:val="center"/>
          </w:tcPr>
          <w:p w14:paraId="180EB24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526C4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1CB3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7EF9E97">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14BDDE6A">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43541D77">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1B11A057">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4A463C7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4628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3FC9C895">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42C33D7B">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7、视频信号处理及录播系统</w:t>
            </w:r>
          </w:p>
        </w:tc>
        <w:tc>
          <w:tcPr>
            <w:tcW w:w="7056" w:type="dxa"/>
            <w:noWrap w:val="0"/>
            <w:vAlign w:val="center"/>
          </w:tcPr>
          <w:p w14:paraId="294C0816">
            <w:pPr>
              <w:jc w:val="left"/>
              <w:rPr>
                <w:rFonts w:hint="eastAsia" w:ascii="仿宋" w:hAnsi="仿宋" w:eastAsia="仿宋" w:cs="仿宋"/>
                <w:b/>
                <w:bCs/>
                <w:i w:val="0"/>
                <w:iCs w:val="0"/>
                <w:color w:val="000000"/>
                <w:sz w:val="24"/>
                <w:szCs w:val="24"/>
                <w:u w:val="none"/>
              </w:rPr>
            </w:pPr>
          </w:p>
        </w:tc>
        <w:tc>
          <w:tcPr>
            <w:tcW w:w="696" w:type="dxa"/>
            <w:noWrap w:val="0"/>
            <w:vAlign w:val="center"/>
          </w:tcPr>
          <w:p w14:paraId="352557DF">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3C47EDDF">
            <w:pPr>
              <w:jc w:val="center"/>
              <w:rPr>
                <w:rFonts w:hint="eastAsia" w:ascii="仿宋" w:hAnsi="仿宋" w:eastAsia="仿宋" w:cs="仿宋"/>
                <w:b/>
                <w:bCs/>
                <w:i w:val="0"/>
                <w:iCs w:val="0"/>
                <w:color w:val="000000"/>
                <w:sz w:val="24"/>
                <w:szCs w:val="24"/>
                <w:u w:val="none"/>
              </w:rPr>
            </w:pPr>
          </w:p>
        </w:tc>
      </w:tr>
      <w:tr w14:paraId="0E1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457" w:type="dxa"/>
            <w:noWrap w:val="0"/>
            <w:vAlign w:val="center"/>
          </w:tcPr>
          <w:p w14:paraId="4C47D0B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018CEB8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4K会议录播一体机（带显示终端）</w:t>
            </w:r>
          </w:p>
        </w:tc>
        <w:tc>
          <w:tcPr>
            <w:tcW w:w="7056" w:type="dxa"/>
            <w:noWrap w:val="0"/>
            <w:vAlign w:val="center"/>
          </w:tcPr>
          <w:p w14:paraId="7768888A">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1、通过电快速瞬变脉冲群抗扰度、浪涌（冲击）抗扰度、射频电磁场辐射抗扰度、射频场感应的传导骚扰抗扰度测试；</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2、音频接口：支持≥3路LINE IN接口；≥1路3.5mm音频输入；≥2路MIC接口；具有≥1路HDMI；支持≥2路LINE OUT接口；≥1路3.5mm音频输出；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3、其他接口：要求支持≥3路RS232控制接口；具备≥3路USB3.0接口，具备≥1路USB2.0接口，支持连接鼠标、键盘进行导播控制以及主机连接U盘进行课程视频的录制、下载；要求具有≥1路TYPE-C接口；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4、要求支持≥4路RJ45网口，其中≥3路为POE网口，集供电、控制、视频传输于一体；支持摄像机智能组网，摄像机即插即用；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5、要求录播主机采用一体化嵌入式硬件设计架构；内置四核及以上处理器、Linux系统、≥8GB内存，≥1T硬盘；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6、视频编码：要求支持H.265和H.264两种视频编码协议，支持4K分辨率（3840*2160）视频的编码和录制；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7、要求支持IPV4、IPV6链路地址、IPV6外网地址三个网络地址配置，支持启用DHCP自动获取IP地址；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8、系统具有推送公网直播功能，支持通过微信扫码登录创建直播，也可以不登录直接创建直播，并可在设备上自动生成直播二维码，扫描即可观看直播，支持直播列表的查看；</w:t>
            </w:r>
          </w:p>
          <w:p w14:paraId="2E096E7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9、要求录播主机满足录制、直播、点播、互动、导播管理、存储、切换、视音频编码、语音转写、虚拟抠像、行为分析等功能，支持远程互动教学，实现远程互动网络课堂；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2-7，中标后签订合同前需提供带有“CMA”或“CNAS”标志的检测报告原件（提供承诺，格式自拟）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6363CD7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70247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62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dxa"/>
            <w:noWrap w:val="0"/>
            <w:vAlign w:val="center"/>
          </w:tcPr>
          <w:p w14:paraId="1255EBA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5929108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录播系统</w:t>
            </w:r>
          </w:p>
        </w:tc>
        <w:tc>
          <w:tcPr>
            <w:tcW w:w="7056" w:type="dxa"/>
            <w:noWrap w:val="0"/>
            <w:vAlign w:val="center"/>
          </w:tcPr>
          <w:p w14:paraId="0968DBDA">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1、系统支持账号密码登录，录制模式支持电影模式、资源模式两种，能同时支持≥1路电影模式加≥6路资源录制，同步录制合成画面、教师全景、教师特写、学生全景、学生特写、电脑画面等；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2、录制格式至少支持MP4/FLV/TS，录制分辨率支持3840*2160、1920*1080等，支持录制帧率设定，可选择25fps/30fps，码流支持1000-20000kbps可选；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3、支持实时显示录播主机CPU的使用率，硬盘使用情况，≥6路预监画面；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4、导播模式支持视频预览、直播输出监视、视频切换、音频调整等功能；</w:t>
            </w:r>
          </w:p>
          <w:p w14:paraId="7C1BBAB2">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5、支持添加字幕，支持包括系统时间在内的九种预设字幕的设置，其中系统时间支持自动校准；可直接通过拖拽实现自定义字幕显示位置；支持设置多种字体、多种颜色。系统界面自带虚拟软键盘，无需外接USB键盘，支持多种格式的字幕，可输入中文、英文、数字、特殊符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6、支持导播模式设置：支持手动、半自动、全自动模式，支持查看软件版本，设备型号，硬件版本，设备编号；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7、提供多种画面布局模式，支持视频画面叠加与组合，包括单画面、双分屏画面、三分屏画面、四分屏画面显示；</w:t>
            </w:r>
          </w:p>
          <w:p w14:paraId="4A07DC4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8、支持≥4种片头和≥4种片尾的添加，可以设置插入片头片尾的时间，支持jpg、png格式；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9、台标支持≥4个固定位置，分别为左上、右上、左下、右下，支持手动拖拽移动台标，实现界面任意位置的台标设置，支持设定图片台标，支持jpg、png格式；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10、支持上滑、下滑、左滑、右滑等多种切换特效，支持自定义选择≥4种特效切换速度；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11、系统支持摄像机云台控制，可以对摄像机进行变焦、上下左右位置调整以及≥8个预置位的设置；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12、系统支持录制倒计时和循环记录功能，支持录制到U盘；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13、所录制的视频文件既可本地存储，也可网络平台存储。支持用户随时通过录播主机点播回放视频，并可下载；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14、系统支持录制单个文件和限时自动分割录制功能，可选择多种自动分割时长；</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15、系统具有推送公网直播功能，并可在设备上自动生成直播二维码，扫描即可观看直播，支持直播列表的查看；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16、要求内置微课制作功能，支持前景、人像、背景3层场景叠加，叠加的场景支持PPT、视频、图片，虚拟抠像后的人像等类型；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17、要求支持虚拟抠像后合成的画面实现和远端进行音视频互动；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18、可实现行为分析、实时字幕的语音转写和热词提取；</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19、系统内置行为分析系统，支持对教室人数、举手人数、站立人数、背身人数、趴下人数、低头人数、扭头人数的实时统计，并实时汇总学生的参与度、活跃度和抬头率；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20、内置互动系统，支持标准SIP和H.323互动协议，支持互动列表，列表中可以显示所有与会者的信息；支持互动画面布局的显示，布局支持单分屏，双分屏，四分屏显示；互动界面支持双流、一键静音、全屏、导播设置等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21、支持对录播机进行网络检测，可实时检测服务器连通性、网络稳定性、上行下行速度、网络追踪性、网卡信息、信道状态；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22、进入互动系统时可支持查看永久课历史记录，可输入房间号快速加入远程互动，并显示对应的课程信息，包括时长、主讲人、房间名称、房间号、丢包率、网络延时等；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23、创建房间时支持对主题、主讲人、开课日期、开课时间和结束时间、验证方式的设置，其中验证方式支持公开和加密的选择；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24、支持对每个互动房间自动分配短号，可以通过短号直接实现多个设备间的互动；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25、系统支持中英文版本切换；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sz w:val="28"/>
                <w:szCs w:val="28"/>
                <w:lang w:val="en-US" w:eastAsia="zh-CN" w:bidi="ar-SA"/>
              </w:rPr>
              <w:t>★</w:t>
            </w:r>
            <w:r>
              <w:rPr>
                <w:rFonts w:hint="eastAsia" w:ascii="仿宋" w:hAnsi="仿宋" w:eastAsia="仿宋" w:cs="仿宋"/>
                <w:i w:val="0"/>
                <w:iCs w:val="0"/>
                <w:color w:val="000000"/>
                <w:sz w:val="24"/>
                <w:szCs w:val="24"/>
                <w:u w:val="none"/>
                <w:lang w:val="en-US" w:eastAsia="zh-CN" w:bidi="ar"/>
              </w:rPr>
              <w:t>1、2、3、8、9、10、20，中标后签订合同前需提供带有“CMA”或“CNAS”标志的检测报告原件（提供承诺，格式自拟）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4983659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80B2AF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6A2C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75E597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0E7E9C7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导播控制系统</w:t>
            </w:r>
          </w:p>
        </w:tc>
        <w:tc>
          <w:tcPr>
            <w:tcW w:w="7056" w:type="dxa"/>
            <w:noWrap w:val="0"/>
            <w:vAlign w:val="center"/>
          </w:tcPr>
          <w:p w14:paraId="36FB516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1、要求配合录播系统使用，支持基于网络的远程导播；</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2、要求支持局域网搜索功能，自动适配录播一体机，同时还支持手动添加，支持将指定的录播一体机通过IP搜索加入管理列表；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3、要求导播界面可以实时预览视频画面，包括主画面和每个通道画面；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4、要求支持远程管理录播系统，可进入后台管理界面，远程管理录播一体机的网络、视频、音频、互动、基础配置、直播、录制、文件管理等功能；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5、要求支持查看录播主机状态，支持管理多个录播主机。</w:t>
            </w:r>
          </w:p>
        </w:tc>
        <w:tc>
          <w:tcPr>
            <w:tcW w:w="696" w:type="dxa"/>
            <w:noWrap w:val="0"/>
            <w:vAlign w:val="center"/>
          </w:tcPr>
          <w:p w14:paraId="264A95C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C0BF48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6A32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70962F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4ECE305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键鼠套装</w:t>
            </w:r>
          </w:p>
        </w:tc>
        <w:tc>
          <w:tcPr>
            <w:tcW w:w="7056" w:type="dxa"/>
            <w:noWrap w:val="0"/>
            <w:vAlign w:val="center"/>
          </w:tcPr>
          <w:p w14:paraId="522B62F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1、键盘接口 USB；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2、键盘按键数 ≥104键；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3、具有多媒体功能键、音频接口、符合人体工学。</w:t>
            </w:r>
          </w:p>
        </w:tc>
        <w:tc>
          <w:tcPr>
            <w:tcW w:w="696" w:type="dxa"/>
            <w:noWrap w:val="0"/>
            <w:vAlign w:val="center"/>
          </w:tcPr>
          <w:p w14:paraId="036E097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C6ECA9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4551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57" w:type="dxa"/>
            <w:noWrap w:val="0"/>
            <w:vAlign w:val="center"/>
          </w:tcPr>
          <w:p w14:paraId="7552AE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6BE1157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无线投屏器</w:t>
            </w:r>
          </w:p>
        </w:tc>
        <w:tc>
          <w:tcPr>
            <w:tcW w:w="7056" w:type="dxa"/>
            <w:noWrap w:val="0"/>
            <w:vAlign w:val="center"/>
          </w:tcPr>
          <w:p w14:paraId="15BAFC9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1、为确保投屏稳定性，投屏需采用接收端与发送端双硬件设备;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2、兼容Windows 7/8/10、Windows平板、I0S平板/手机、Android平板/手机以及Mac 0SX;</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3、传屏不占用电脑wifi，电脑仍可以上网;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4、内置路由功能，网口连接互联网，手机连接盒子热点传屏时仍可上网，最大可同时连接≥8个发送端;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5、投屏分辨率≥3840*2160，帧率≥30帧每秒，且支持4:3分辨率;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6、支持传屏锁定功能，锁定模式下，新电脑无法投屏;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7、支持批注同步功能，可以对传屏画面进行实时批注;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8、批注后的画面，支持广域网/局域网二维码分享;</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9、主持人模式，主持人可以通过触摸或者鼠标选择指定电脑进行传屏或结束。</w:t>
            </w:r>
          </w:p>
        </w:tc>
        <w:tc>
          <w:tcPr>
            <w:tcW w:w="696" w:type="dxa"/>
            <w:noWrap w:val="0"/>
            <w:vAlign w:val="center"/>
          </w:tcPr>
          <w:p w14:paraId="2CE2CC4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C01F42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620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7B53013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0724D3E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视频程序设计实训处理平台</w:t>
            </w:r>
          </w:p>
        </w:tc>
        <w:tc>
          <w:tcPr>
            <w:tcW w:w="7056" w:type="dxa"/>
            <w:noWrap w:val="0"/>
            <w:vAlign w:val="center"/>
          </w:tcPr>
          <w:p w14:paraId="3754A1A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1、高清HDMI矩阵，标准机架设计，高度为2U；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2、支持≥16路HDMI输入，≥16路HDMI输出，输入输出均支持HDMI1.4a协议，分辨率可达4K@30Hz、1080@120Hz；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3、每路输入接口均支持HDCP解析、支持EDID透传和学习；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4、采用水晶可视化按键，同时首创两键式操作，让信号切换更加简单有效，操作人员零基础就可以轻松掌握所有操作；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5、支持可视化按键、RS-232、TCP/IP以及遥控多种控制方式；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6.、前面板LCD显示屏能够实时显示矩阵信号切换状态及系统配置；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7、采用ESD静电防护设计，能承受人体放电模式：± 8kV (气隙放电)，± 4kV (接触放电)，有效地避免了静电对设备的干扰及损害；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8、采用航空式螺旋电源接口，为电源的稳定性保驾护航。</w:t>
            </w:r>
          </w:p>
        </w:tc>
        <w:tc>
          <w:tcPr>
            <w:tcW w:w="696" w:type="dxa"/>
            <w:noWrap w:val="0"/>
            <w:vAlign w:val="center"/>
          </w:tcPr>
          <w:p w14:paraId="38D3DCE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AD588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1F1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457" w:type="dxa"/>
            <w:noWrap w:val="0"/>
            <w:vAlign w:val="center"/>
          </w:tcPr>
          <w:p w14:paraId="71787C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06BD5B7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视频程序设计实训并发处理单元</w:t>
            </w:r>
          </w:p>
        </w:tc>
        <w:tc>
          <w:tcPr>
            <w:tcW w:w="7056" w:type="dxa"/>
            <w:noWrap w:val="0"/>
            <w:vAlign w:val="center"/>
          </w:tcPr>
          <w:p w14:paraId="7153BE6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1、采用金属结构机箱，插卡式设计，具有灵活多变的扩展性能；外壳防护等级符合GB/T4208-2017中IP20的要求；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2、支持≥8张输入板卡，≥12张输出板卡，支持≥48个2K图层，最大带载≥7360万像素点；</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3、支持输入板卡类型：≥ DP1.4、HDMI2.0、DP1.2、12G-SDI、HDMI1.4、HDMI1.3、DVI、3G-SDI、IP、HDBaseT、VGA；支持输出板卡类型：≥HDMI2.0、DP1.2、HDMI1.3、SDI、DVI、网口、光纤接口；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4、单板卡支持≥8路2K@60Hz输入，单张板卡与≥4路2K板卡物理尺寸相同,仅占用一个物理槽位,真正实现了物理扩容；板卡尺寸：≥192.2mm*168mm，档条尺寸：≥193mm*19.8mm；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5、支持DP1.4输入，最大分辨率8K*4K@30Hz；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6、HDMI2.0、DP1.2、HDMI1.4、HDMI1.3输入板卡支持内嵌音频；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7、4K输入（HDMI2.0、DP1.2）支持≥4096*2160@60Hz或7680*1200@60Hz、支持≥RGB444、YCbCr444、YCbCr422、YCbCr420视频格式；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8、HDMI1.3/DVI输出板卡支持自定义输出分辨率，单一输出接口宽度或高度最大支持≥4096像素；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9、网口输出板卡可直接连接LED显示屏，单板卡最大带载≥650万像素点；支持自定义带载区域，最宽≥40960像素点，最高≥40960像素点；</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10、HDMI2.0、DP1.2、HDMI1.3输出板卡同时支持随路音频输出和3.5mm音频接口输出；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11、支持分组屏管理，可同时管理≥8组屏幕，每组屏幕相应的输出口分辨率可分别设定，以应对异形屏或复杂场景下多种显示终端的混合控制；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支持测试画面图像，无需接入有效视频源，即可快速检验物理输出接口是否正常；支持对输入源画面进行任意截取，截取后可作为一个新的输入源，不影响原输入源的使用；支持多次截取输入源，可快速调用不同截取参数的输入源；内嵌B/S拼接器配置软件，无需安装应用程序，支持在Windows、Mac、麒麟（Kylin）、 iOS、 Android、 Linux等操作系统环境下进行使用，轻松实现跨平台、跨系统的交互与访问控制；可通过移动终端进行无线控制，实现图层编辑、信号切换、场景保存\调用等操作；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13、可将不同预设参数保存为场景，一键调用，最大支持≥2000个场；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14、无需外加监视卡即可回显所有输入，用户可通过PC端或移动端APP，实时查看当前设备所有输入信号画面内容；</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15、支持输入板卡、控制板卡的热插拔功能，设备无需关机重启和设置，更换板卡后快速恢复之前图层数据，保证画面正常播放；</w:t>
            </w:r>
          </w:p>
        </w:tc>
        <w:tc>
          <w:tcPr>
            <w:tcW w:w="696" w:type="dxa"/>
            <w:noWrap w:val="0"/>
            <w:vAlign w:val="center"/>
          </w:tcPr>
          <w:p w14:paraId="63AE42F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405D85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67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1" w:hRule="atLeast"/>
        </w:trPr>
        <w:tc>
          <w:tcPr>
            <w:tcW w:w="457" w:type="dxa"/>
            <w:noWrap w:val="0"/>
            <w:vAlign w:val="center"/>
          </w:tcPr>
          <w:p w14:paraId="1276C5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33CD835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视频程序设计实训推理分析单元</w:t>
            </w:r>
          </w:p>
        </w:tc>
        <w:tc>
          <w:tcPr>
            <w:tcW w:w="7056" w:type="dxa"/>
            <w:noWrap w:val="0"/>
            <w:vAlign w:val="center"/>
          </w:tcPr>
          <w:p w14:paraId="4193C5D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1、支持 ffmpeg 软件解码和 DXVA 8K 硬件解码技术，支持 DX9、DX11、OpenGL 渲染引擎，有效降低CPU占用率，充分利用专业图形显卡性能，实现对4K屏幕的点对点显示和4K素材的流畅无损播控，支持16K 超长字幕点对点流畅播放，支持内容打折和首尾相接功能；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视频/图片/字幕/PDF/PPT/电子相册/网页程序/舞台提词等媒体播控，支持对网页、网络流媒体的播放与控制，对打开的网页可以进行后续的访问操作比如搜索、键入、跳转等，可以控制网页的显示尺寸；播放网页流媒体时可以对显示部分进行裁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3、支持包括序列帧在内的 200+种媒体格式播放，10+种小工具灵活叠加使用；可以流畅播放视频、音频、图片，对大分辨率图片支持图片自动优化，支持添加字幕，可以改变字幕的大小、颜色、位置、静止或者滚动、滚动方向以及滚动速率；支持增加模拟/数字时钟，可以改变模拟时钟的指针颜色以及位置大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4、支持异形屏幕拆分重组，可点对点带载30720X540像素分辨率的超长条屏，支持屏幕多边切片，不需要切割视频素材即可整屏播放一个完整视频画面。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5、支持数据存储和检索技术，可把节目或者素材的播放次数、时间和时长一键导出为 Excel 表格，单次做多存储一亿条数据；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多屏统一管理、画面可分可合，取代多台电脑独立控制，一人即可播控全场，支持自定义画面的位置大小以及尺寸，支持对画面进行旋转，支持对画面的透明度、边框大小颜色进行自定义；可以自定义分屏布局、播放模式、播放顺序，可以实时的查看播放进度，并且可以拉动进度条来控制视频的播放。</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7、支持对视频进行倍速播放，最慢0.1倍速，最快4倍速，为方便现场效果精确调整，必须支持集体 Seek 和逐帧调节视频进度。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8、支持画面透析处理技术，可将全景视频、常规视频处理之后显示到房间屏、墙角屏、U 幕、球形屏，呈现沉浸式裸 3D 效果，满足 VR、全景、U 幕、3D、墙角屏等沉浸式场景输出。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9、支持将互动程序作为素材添加到媒体库内，通过拖拽的方式快速便捷的将互动画面播放上屏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10、服务器支持根据预案中素材的播放进度，对周边设备发送控制指令，实现视频内容与外围设备的联动控制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11、EDID锁：支持通过硬件锁定 EDID 通道序列，解决电脑显卡多通道拼接时容易显示错乱的问题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12、可视化云控：服务器支持可视化平板云控，移动平板可以实时显示服务器的媒体素材、屏幕画面和场景预案，以及拼接器的信号输入、回显画面和场景模式，支持 I0S、Andr iod 和鸿蒙系统；平板端支持拖拽替换屏幕画面，一键切换场景预案和模式，控制媒体素材的播放、暂停、静音和 PPT 翻页</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支持多台设备联机播控，总控端服务器控制播放端服务器更新发布编辑素材内容，实现内容分发、节目管理和设备中控，总控端服务器支持热备份，当总端服务器故障，控备端服务器会自动接管多联机控制，可自动回读原有工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14、KPF加密技术：为避免重要素材泄露，服务器支持 KPF 技术对素材格式进行私有化转码；服务器转码时可设置私有格式的素材只允许在该类服务器上播放或只允许在指定设备上播控，转码支持对视频设置密码加密，播放视频和二次转码时必须输入对应密码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15、定时计划：服务器支持界面自定义编辑定时计划任务，可指定日期、指定星期执行场景预案或关机命令，形成任务列表自动执行，实现无人值守</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智能中控：服务器可与智能电机、智能配电箱、发送卡和多功能卡连接，通过移动平板分发提前配置好的协议指令，完成对本地服务器、外部信号音/视频、窗帘、屏幕电源和亮度的集中管理和控制；可与监控摄像头连接，实时回显摄像头画面控制摄像头左右上下移动，聚焦画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17、设备通过CCC认证；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18、播控系统、视频处理器系统、控制系统能够兼容使用；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★1、2、3、7、13、17，中标后签订合同前需提供带有“CMA”或“CNAS”标志的检测报告原件（提供承诺，格式自拟）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12F4F52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A48E0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905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57" w:type="dxa"/>
            <w:noWrap w:val="0"/>
            <w:vAlign w:val="center"/>
          </w:tcPr>
          <w:p w14:paraId="56AD475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28F1A23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HDMI发送器</w:t>
            </w:r>
          </w:p>
        </w:tc>
        <w:tc>
          <w:tcPr>
            <w:tcW w:w="7056" w:type="dxa"/>
            <w:noWrap w:val="0"/>
            <w:vAlign w:val="center"/>
          </w:tcPr>
          <w:p w14:paraId="5E25004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1、发送端：输入接口：≥1路HDMI输入，输出接口：≥1路RJ45出；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2、HDMI信号：HDMI1.3，完全兼容HDCP1.4；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3、分辨率：480i, 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4、网线：非屏蔽或屏蔽五类/六类网线（UTP/STP Cat5/5e/6）；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5、传输距离：1080p60Hz情况下Cat6：≥120米；CAT5E：≥100米；CAT5：≥80米；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6、传输速率：≥18Mbps；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7、工作温度：-15℃~ 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8、电源供电：DC5V/1A（2个）；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9、防护：防静电、防雷击、防浪涌。</w:t>
            </w:r>
          </w:p>
        </w:tc>
        <w:tc>
          <w:tcPr>
            <w:tcW w:w="696" w:type="dxa"/>
            <w:noWrap w:val="0"/>
            <w:vAlign w:val="center"/>
          </w:tcPr>
          <w:p w14:paraId="654FDB8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60748A7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23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19FEF4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0BC4410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HDMI接收器</w:t>
            </w:r>
          </w:p>
        </w:tc>
        <w:tc>
          <w:tcPr>
            <w:tcW w:w="7056" w:type="dxa"/>
            <w:noWrap w:val="0"/>
            <w:vAlign w:val="center"/>
          </w:tcPr>
          <w:p w14:paraId="4621FCD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1、接收端：输入接口：≥1路RJ45，输出接口：≥1路HDMI输出；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2、HDMI信号：HDMI1.3，完全兼容HDCP1.4；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3、分辨率：480i，480p，576i，576p，720p@50/60Hz，1080i@50/60Hz，1080p@50/60Hz；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4、网线：非屏蔽或屏蔽五类/六类网线（UTP/STP Cat5/5e/6）；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5、传输距离：1080p60Hz情况下Cat6：≥120米；CAT5E：≥100米；CAT5：≥80米；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6、传输速率：≥18Mbps；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7、工作温度：-15℃~ 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8、电源供电：DC5V/1A（2个）；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9、防护：防静电、防雷击、防浪涌。</w:t>
            </w:r>
          </w:p>
        </w:tc>
        <w:tc>
          <w:tcPr>
            <w:tcW w:w="696" w:type="dxa"/>
            <w:noWrap w:val="0"/>
            <w:vAlign w:val="center"/>
          </w:tcPr>
          <w:p w14:paraId="268ECFB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62E9003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E9B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457" w:type="dxa"/>
            <w:noWrap w:val="0"/>
            <w:vAlign w:val="center"/>
          </w:tcPr>
          <w:p w14:paraId="6C721D7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78AC9D5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两厅互通传输系统发送端</w:t>
            </w:r>
          </w:p>
        </w:tc>
        <w:tc>
          <w:tcPr>
            <w:tcW w:w="7056" w:type="dxa"/>
            <w:noWrap w:val="0"/>
            <w:vAlign w:val="center"/>
          </w:tcPr>
          <w:p w14:paraId="080A018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1、发送端：输入：≥1路HDMI；输出：环出≥1路HDMI，≥1路光纤模块口，≥1路红外接口；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2、电源规格：DC5V/2A；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2、整机功耗：TX≤3 W，RX≤3 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4、HDMI版本：HDMI1.3，兼容HDCP1.4；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5、支持分辨率：480i、480p、576i、576p、720p@50/60Hz、1080i@50/60Hz、1080p@50/60Hz；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6、DDC信号电压：≥5Vp-p(TTL)；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6、中心波长：1310/1550nm；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8、光纤接口类型：LC；</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9、传输速率：≥1.25Gbps；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10、光纤类型：单模光纤（SMF）；</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10、传输距离：≤40km；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12、发射光功率：±3dB；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13、接收光功率：±3dB；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14、接收灵敏度：≤-23dBm；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15、回波损耗：≥12dBm；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16、误码率：10へ(-12)；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17、红外回传：支持20~60kHz宽频红外遥控器。</w:t>
            </w:r>
          </w:p>
        </w:tc>
        <w:tc>
          <w:tcPr>
            <w:tcW w:w="696" w:type="dxa"/>
            <w:noWrap w:val="0"/>
            <w:vAlign w:val="center"/>
          </w:tcPr>
          <w:p w14:paraId="7B10358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489A37B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769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57" w:type="dxa"/>
            <w:noWrap w:val="0"/>
            <w:vAlign w:val="center"/>
          </w:tcPr>
          <w:p w14:paraId="2BF5CE1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136A7E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两厅互通传输系统接收端</w:t>
            </w:r>
          </w:p>
        </w:tc>
        <w:tc>
          <w:tcPr>
            <w:tcW w:w="7056" w:type="dxa"/>
            <w:noWrap w:val="0"/>
            <w:vAlign w:val="center"/>
          </w:tcPr>
          <w:p w14:paraId="105ADFA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1、接收端：输入：≥1路光纤模块口，≥1路红外接口；输出：≥1路HDMI；</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2、电源规格：DC5V/2A；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3、整机功耗：TX≤3 W，RX≤3 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4、HDMI版本：HDMI1.3，兼容HDCP1.4；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5、支持分辨率：480i、480p、576i、576p、720p@50/60Hz、1080i@50/60Hz、1080p@50/60Hz；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6、DDC信号电压：≥5Vp-p(TTL)；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7、中心波长：1310/1550nm；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8、光纤接口类型：LC；</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9、传输速率：≥1.25Gbps；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10、光纤类型：单模光纤（SMF）；</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11、传输距离：≤40km；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12、发射光功率：±3dB；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13、接收光功率：±3dB；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14、接收灵敏度：≤-23dBm；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15、回波损耗：≥12dBm；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16、误码率：10へ(-12)；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17、红外回传：支持20~60kHz宽频红外遥控器。</w:t>
            </w:r>
          </w:p>
        </w:tc>
        <w:tc>
          <w:tcPr>
            <w:tcW w:w="696" w:type="dxa"/>
            <w:noWrap w:val="0"/>
            <w:vAlign w:val="center"/>
          </w:tcPr>
          <w:p w14:paraId="1CD29B4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F60993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ABC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57" w:type="dxa"/>
            <w:noWrap w:val="0"/>
            <w:vAlign w:val="center"/>
          </w:tcPr>
          <w:p w14:paraId="0813DE4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0365270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4K高清室内摄像机</w:t>
            </w:r>
          </w:p>
        </w:tc>
        <w:tc>
          <w:tcPr>
            <w:tcW w:w="7056" w:type="dxa"/>
            <w:noWrap w:val="0"/>
            <w:vAlign w:val="center"/>
          </w:tcPr>
          <w:p w14:paraId="37B8263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1、采用≥1/1.8英寸高品质图像传感器，最大分辨率可达4K@60fps；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2、≥31X光学变焦，59°广角镜头； 焦距范围≥ f=6.91mm～214.21mm ±5%；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3、接口：HDMI、SDI、LAN(支持POE)、USB2.0、A-IN、RS232-IN；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4、音频输入接口：双声道3.5mm线性输入；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5、音频输出接口：HDMI、LAN、SDI、USB2.0；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6、控制接口支持RS485，RS422,RS232-IN，RS232-OUT；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7、控制协议支持VISCA、PELCO-D、PELCO-P协议，支持波特率115200/38400/9600/4800/2400；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8、支持≥255个预置位(遥控器设置调用≥10个)；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9、为了保证摄像机图像输出效果，水平分辨率≥3840像素；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10、旋转角度范围：水平≥±110°；垂直≥±30°；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11、★9-10，中标后签订合同前需提供带有“CMA”或“CNAS”标志的检测报告原件（提供承诺，格式自拟）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0B208A7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13FDE4F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5CD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57" w:type="dxa"/>
            <w:noWrap w:val="0"/>
            <w:vAlign w:val="center"/>
          </w:tcPr>
          <w:p w14:paraId="0BF15DA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07ECF7B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4K高清室内摄像机</w:t>
            </w:r>
          </w:p>
        </w:tc>
        <w:tc>
          <w:tcPr>
            <w:tcW w:w="7056" w:type="dxa"/>
            <w:noWrap w:val="0"/>
            <w:vAlign w:val="center"/>
          </w:tcPr>
          <w:p w14:paraId="21D09359">
            <w:pPr>
              <w:keepNext w:val="0"/>
              <w:keepLines w:val="0"/>
              <w:widowControl/>
              <w:suppressLineNumbers w:val="0"/>
              <w:jc w:val="left"/>
            </w:pPr>
            <w:r>
              <w:rPr>
                <w:rFonts w:hint="eastAsia" w:ascii="仿宋" w:hAnsi="仿宋" w:eastAsia="仿宋" w:cs="仿宋"/>
                <w:i w:val="0"/>
                <w:iCs w:val="0"/>
                <w:color w:val="000000"/>
                <w:sz w:val="24"/>
                <w:szCs w:val="24"/>
                <w:u w:val="none"/>
                <w:lang w:val="en-US" w:eastAsia="zh-CN" w:bidi="ar"/>
              </w:rPr>
              <w:t>1、采用≥1/2.5英寸高品质图像传感器，最大分辨率可达4K@60fps；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2、≥12X光学变焦,80.4°广角镜头； 焦距范围≥ f=3.85mm～46.2mm ±5%；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3、接口：HDMI、SDI、LAN(支持POE)、USB2.0、A-IN、RS232-IN；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4、音频输入接口：双声道3.5mm线性输入；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5、音频输出接口：HDMI、LAN、SDI、USB2.0；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6、控制接口支持RS485，RS422,RS232-IN，RS232-OUT；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7、控制协议支持VISCA、PELCO-D、PELCO-P协议，支持波特率115200/38400/9600/4800/2400；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8、支持≥255个预置位(遥控器设置调用≥10个)；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9、为了保证摄像机图像输出效果，水平分辨率≥3840像素；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10、旋转角度范围：水平≥±110°；垂直≥±30°</w:t>
            </w:r>
          </w:p>
          <w:p w14:paraId="5AB34E8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★9-10，中标后签订合同前需提供带有“CMA”或“CNAS”标志的检测报告原件（提供承诺，格式自拟）。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28B2911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713BEE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D02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9C6C67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5C61AE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摄像头固定支架</w:t>
            </w:r>
          </w:p>
        </w:tc>
        <w:tc>
          <w:tcPr>
            <w:tcW w:w="7056" w:type="dxa"/>
            <w:noWrap w:val="0"/>
            <w:vAlign w:val="center"/>
          </w:tcPr>
          <w:p w14:paraId="70E32E1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1、配套吸顶或者壁挂。</w:t>
            </w:r>
          </w:p>
        </w:tc>
        <w:tc>
          <w:tcPr>
            <w:tcW w:w="696" w:type="dxa"/>
            <w:noWrap w:val="0"/>
            <w:vAlign w:val="center"/>
          </w:tcPr>
          <w:p w14:paraId="46BD65B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6A50D7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3360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71B6527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4F664AE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摄像机移动支架</w:t>
            </w:r>
          </w:p>
        </w:tc>
        <w:tc>
          <w:tcPr>
            <w:tcW w:w="7056" w:type="dxa"/>
            <w:noWrap w:val="0"/>
            <w:vAlign w:val="center"/>
          </w:tcPr>
          <w:p w14:paraId="204D3B5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1、云台类型：液压云台；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2、材质：碳纤维；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3、脚架节数：≥3节；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4、展开高度：≥1.6-1.7M。</w:t>
            </w:r>
          </w:p>
        </w:tc>
        <w:tc>
          <w:tcPr>
            <w:tcW w:w="696" w:type="dxa"/>
            <w:noWrap w:val="0"/>
            <w:vAlign w:val="center"/>
          </w:tcPr>
          <w:p w14:paraId="3D2F5AD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3E507D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BBE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1F31314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10F9A5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7FC1282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视频信号处理及录播系统该系统范围内所有设备所需要的串线及配件，本项目为交钥匙工程，不允许额外增加任何费用）；包含但不限于：六类屏蔽网线、国标主电缆≥ZR-YJV4*70㎡+1、国标主电缆≥RVV3*2.5㎡、电源线≥RVV3*2.5㎡、电源线≥RVV3*1.5㎡、电源线≥RVV3*1.5㎡、HDMI高清线、光纤等。</w:t>
            </w:r>
          </w:p>
        </w:tc>
        <w:tc>
          <w:tcPr>
            <w:tcW w:w="696" w:type="dxa"/>
            <w:noWrap w:val="0"/>
            <w:vAlign w:val="center"/>
          </w:tcPr>
          <w:p w14:paraId="260BEE3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FF476E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68A0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7B04ECB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2215563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0B826079">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4050B87D">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3B2C0C8C">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3375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023A09EF">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2430590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8、辅料</w:t>
            </w:r>
          </w:p>
        </w:tc>
        <w:tc>
          <w:tcPr>
            <w:tcW w:w="7056" w:type="dxa"/>
            <w:noWrap w:val="0"/>
            <w:vAlign w:val="center"/>
          </w:tcPr>
          <w:p w14:paraId="5C494A60">
            <w:pPr>
              <w:jc w:val="left"/>
              <w:rPr>
                <w:rFonts w:hint="eastAsia" w:ascii="仿宋" w:hAnsi="仿宋" w:eastAsia="仿宋" w:cs="仿宋"/>
                <w:b/>
                <w:bCs/>
                <w:i w:val="0"/>
                <w:iCs w:val="0"/>
                <w:color w:val="000000"/>
                <w:sz w:val="24"/>
                <w:szCs w:val="24"/>
                <w:u w:val="none"/>
              </w:rPr>
            </w:pPr>
          </w:p>
        </w:tc>
        <w:tc>
          <w:tcPr>
            <w:tcW w:w="696" w:type="dxa"/>
            <w:noWrap w:val="0"/>
            <w:vAlign w:val="center"/>
          </w:tcPr>
          <w:p w14:paraId="5D8B5F4D">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3C0B9AE3">
            <w:pPr>
              <w:jc w:val="center"/>
              <w:rPr>
                <w:rFonts w:hint="eastAsia" w:ascii="仿宋" w:hAnsi="仿宋" w:eastAsia="仿宋" w:cs="仿宋"/>
                <w:b/>
                <w:bCs/>
                <w:i w:val="0"/>
                <w:iCs w:val="0"/>
                <w:color w:val="000000"/>
                <w:sz w:val="24"/>
                <w:szCs w:val="24"/>
                <w:u w:val="none"/>
              </w:rPr>
            </w:pPr>
          </w:p>
        </w:tc>
      </w:tr>
      <w:tr w14:paraId="32CD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67E64E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37E3C6B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定制操作台</w:t>
            </w:r>
          </w:p>
        </w:tc>
        <w:tc>
          <w:tcPr>
            <w:tcW w:w="7056" w:type="dxa"/>
            <w:noWrap w:val="0"/>
            <w:vAlign w:val="center"/>
          </w:tcPr>
          <w:p w14:paraId="0D6E308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1、尺寸：≥180cm*90cm*75cm。</w:t>
            </w:r>
          </w:p>
        </w:tc>
        <w:tc>
          <w:tcPr>
            <w:tcW w:w="696" w:type="dxa"/>
            <w:noWrap w:val="0"/>
            <w:vAlign w:val="center"/>
          </w:tcPr>
          <w:p w14:paraId="22861CF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541236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EC6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5C4711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310B52D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控制室播控</w:t>
            </w:r>
          </w:p>
        </w:tc>
        <w:tc>
          <w:tcPr>
            <w:tcW w:w="7056" w:type="dxa"/>
            <w:noWrap w:val="0"/>
            <w:vAlign w:val="center"/>
          </w:tcPr>
          <w:p w14:paraId="3E78434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1、产品尺寸：≥964mm*609mm及配套的可旋转伸缩支架。</w:t>
            </w:r>
          </w:p>
        </w:tc>
        <w:tc>
          <w:tcPr>
            <w:tcW w:w="696" w:type="dxa"/>
            <w:noWrap w:val="0"/>
            <w:vAlign w:val="center"/>
          </w:tcPr>
          <w:p w14:paraId="7BAA934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5C3BBBF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3E5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71F7C19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7AA2DD6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立式话筒支架</w:t>
            </w:r>
          </w:p>
        </w:tc>
        <w:tc>
          <w:tcPr>
            <w:tcW w:w="7056" w:type="dxa"/>
            <w:noWrap w:val="0"/>
            <w:vAlign w:val="center"/>
          </w:tcPr>
          <w:p w14:paraId="01A5E49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1、高度 ≥1000-1760 mm；横杆长度≥ 530-910 mm。</w:t>
            </w:r>
          </w:p>
        </w:tc>
        <w:tc>
          <w:tcPr>
            <w:tcW w:w="696" w:type="dxa"/>
            <w:noWrap w:val="0"/>
            <w:vAlign w:val="center"/>
          </w:tcPr>
          <w:p w14:paraId="7569A4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6AC3FF6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0D61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1814FA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12C5EB2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返听防滑剧院接口盒</w:t>
            </w:r>
          </w:p>
        </w:tc>
        <w:tc>
          <w:tcPr>
            <w:tcW w:w="7056" w:type="dxa"/>
            <w:noWrap w:val="0"/>
            <w:vAlign w:val="center"/>
          </w:tcPr>
          <w:p w14:paraId="6A7B551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1、盖板材质：铜合金  底 盒：铝材质底盒 底盒尺寸：≥175*175*65mm。</w:t>
            </w:r>
          </w:p>
        </w:tc>
        <w:tc>
          <w:tcPr>
            <w:tcW w:w="696" w:type="dxa"/>
            <w:noWrap w:val="0"/>
            <w:vAlign w:val="center"/>
          </w:tcPr>
          <w:p w14:paraId="02A9E51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2BE62A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84B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480164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1FE5A3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地面防滑剧院信息盒</w:t>
            </w:r>
          </w:p>
        </w:tc>
        <w:tc>
          <w:tcPr>
            <w:tcW w:w="7056" w:type="dxa"/>
            <w:noWrap w:val="0"/>
            <w:vAlign w:val="center"/>
          </w:tcPr>
          <w:p w14:paraId="002C7C7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1、盖板材质：铜合金  底 盒：铝材质底盒 底盒尺寸：≥175*175*65mm。</w:t>
            </w:r>
          </w:p>
        </w:tc>
        <w:tc>
          <w:tcPr>
            <w:tcW w:w="696" w:type="dxa"/>
            <w:noWrap w:val="0"/>
            <w:vAlign w:val="center"/>
          </w:tcPr>
          <w:p w14:paraId="457FFB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457" w:type="dxa"/>
            <w:noWrap w:val="0"/>
            <w:vAlign w:val="center"/>
          </w:tcPr>
          <w:p w14:paraId="52708CD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373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04AB32F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3E4C8D5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线阵列扬声器吊挂支架</w:t>
            </w:r>
          </w:p>
        </w:tc>
        <w:tc>
          <w:tcPr>
            <w:tcW w:w="7056" w:type="dxa"/>
            <w:noWrap w:val="0"/>
            <w:vAlign w:val="center"/>
          </w:tcPr>
          <w:p w14:paraId="35DA23A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1、线阵音箱田字架。</w:t>
            </w:r>
          </w:p>
        </w:tc>
        <w:tc>
          <w:tcPr>
            <w:tcW w:w="696" w:type="dxa"/>
            <w:noWrap w:val="0"/>
            <w:vAlign w:val="center"/>
          </w:tcPr>
          <w:p w14:paraId="073D6AE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13C0767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4C8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78B6D58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3449BCD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PDU机柜电源</w:t>
            </w:r>
          </w:p>
        </w:tc>
        <w:tc>
          <w:tcPr>
            <w:tcW w:w="7056" w:type="dxa"/>
            <w:noWrap w:val="0"/>
            <w:vAlign w:val="center"/>
          </w:tcPr>
          <w:p w14:paraId="4C806BF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1、≥8位总控开关 ；≥3米 防过载。</w:t>
            </w:r>
          </w:p>
        </w:tc>
        <w:tc>
          <w:tcPr>
            <w:tcW w:w="696" w:type="dxa"/>
            <w:noWrap w:val="0"/>
            <w:vAlign w:val="center"/>
          </w:tcPr>
          <w:p w14:paraId="0A41C50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4E5545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C91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5C1402D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30E538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跳线盘</w:t>
            </w:r>
          </w:p>
        </w:tc>
        <w:tc>
          <w:tcPr>
            <w:tcW w:w="7056" w:type="dxa"/>
            <w:noWrap w:val="0"/>
            <w:vAlign w:val="center"/>
          </w:tcPr>
          <w:p w14:paraId="4D07928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1、多功能设计，经济适用的1/4"模块化跳线板，带两行插口；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2、≥48个平衡通道带PCB全布线插口（≥24个垂直安装PCB板），≥24对前端通道和后部≥24对通讯通道；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3、插口PC卡包含≥4个带不变色触点的平衡1/4"插口，安全保持，无须使用螺帽。</w:t>
            </w:r>
          </w:p>
        </w:tc>
        <w:tc>
          <w:tcPr>
            <w:tcW w:w="696" w:type="dxa"/>
            <w:noWrap w:val="0"/>
            <w:vAlign w:val="center"/>
          </w:tcPr>
          <w:p w14:paraId="617440D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174438E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26E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1A0D556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0D7404F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电动葫芦</w:t>
            </w:r>
          </w:p>
        </w:tc>
        <w:tc>
          <w:tcPr>
            <w:tcW w:w="7056" w:type="dxa"/>
            <w:noWrap w:val="0"/>
            <w:vAlign w:val="center"/>
          </w:tcPr>
          <w:p w14:paraId="4EF9880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1、纯铜电机：220V纯紫铜电机；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2、电机外壳：合金外壳坚固高散热；</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3、电机风罩风扇：合金风罩加≥8叶加大风扇；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4、电机钢丝绳：≥137股镀锌防旋转钢丝绳；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5、电机转速：每分钟≥3000转。</w:t>
            </w:r>
          </w:p>
        </w:tc>
        <w:tc>
          <w:tcPr>
            <w:tcW w:w="696" w:type="dxa"/>
            <w:noWrap w:val="0"/>
            <w:vAlign w:val="center"/>
          </w:tcPr>
          <w:p w14:paraId="2FA9728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0E2FDE4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E9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2BF8568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0739A2B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标准机柜</w:t>
            </w:r>
          </w:p>
        </w:tc>
        <w:tc>
          <w:tcPr>
            <w:tcW w:w="7056" w:type="dxa"/>
            <w:noWrap w:val="0"/>
            <w:vAlign w:val="top"/>
          </w:tcPr>
          <w:p w14:paraId="19B3C77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1、机柜容量 ≥42U；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2、机柜标准 ≥19英寸标准；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3、材料及工艺 前门玻璃,后门钣金,材料采用SPCC优质冷轧钢；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4、规格 ≥600×600×2055mm。</w:t>
            </w:r>
          </w:p>
        </w:tc>
        <w:tc>
          <w:tcPr>
            <w:tcW w:w="696" w:type="dxa"/>
            <w:noWrap w:val="0"/>
            <w:vAlign w:val="center"/>
          </w:tcPr>
          <w:p w14:paraId="23DDD65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5911127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836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57" w:type="dxa"/>
            <w:noWrap w:val="0"/>
            <w:vAlign w:val="center"/>
          </w:tcPr>
          <w:p w14:paraId="0B47C19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570ED6E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对讲主机</w:t>
            </w:r>
          </w:p>
        </w:tc>
        <w:tc>
          <w:tcPr>
            <w:tcW w:w="7056" w:type="dxa"/>
            <w:noWrap w:val="0"/>
            <w:vAlign w:val="center"/>
          </w:tcPr>
          <w:p w14:paraId="29E8EE8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1、频率响应：≤80Hz-≥12kHz（±3dB）；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2、100V定压输出，有电源、信号、削峰指示,话筒有自动默音功能；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3、可通过红外线遥控器控制；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4、内置MP3播放器，≥1路话筒输入，≥1路线路输入，≥1路线路输出；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5、高音、低音音调控制；话筒、线路单独音量调节；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6、额定输出功率：≥60W；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7、输入灵敏度：MIC1，2：≤3.5mV；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8、AUX1，2：≤280mV；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9、信噪比：MIC1，2：≥60dB；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 10、AUX1，2：≥71dB；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12、总谐波失真：≤1%（1kHz，1/3输出电压）；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13、辅助输出电压：1000mV±≤100mV；</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14、音调：低音：≥±10dB（100Hz）；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15、高音：≥±10dB（10kHz）；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16、默音功能：话筒≥1输入覆盖其它输入；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17、消耗功率：≥80W。</w:t>
            </w:r>
          </w:p>
        </w:tc>
        <w:tc>
          <w:tcPr>
            <w:tcW w:w="696" w:type="dxa"/>
            <w:noWrap w:val="0"/>
            <w:vAlign w:val="center"/>
          </w:tcPr>
          <w:p w14:paraId="43F889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52D458D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D0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622C0B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2BD3433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对讲话筒</w:t>
            </w:r>
          </w:p>
        </w:tc>
        <w:tc>
          <w:tcPr>
            <w:tcW w:w="7056" w:type="dxa"/>
            <w:noWrap w:val="0"/>
            <w:vAlign w:val="center"/>
          </w:tcPr>
          <w:p w14:paraId="0E1C2B4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1、类别：≥9.7背极电容式；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2、指向类型：超心型；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3、灵敏度：≥-35dB±3dB；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4、频率响应：≤100-≥12000Hz；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5、输出阻抗：200Ω平衡式；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6、电平输出量：15mV(1kHz/94dB)。</w:t>
            </w:r>
          </w:p>
        </w:tc>
        <w:tc>
          <w:tcPr>
            <w:tcW w:w="696" w:type="dxa"/>
            <w:noWrap w:val="0"/>
            <w:vAlign w:val="center"/>
          </w:tcPr>
          <w:p w14:paraId="5EAFE6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5769072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6E29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7D92964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54F750F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壁挂音箱</w:t>
            </w:r>
          </w:p>
        </w:tc>
        <w:tc>
          <w:tcPr>
            <w:tcW w:w="7056" w:type="dxa"/>
            <w:noWrap w:val="0"/>
            <w:vAlign w:val="center"/>
          </w:tcPr>
          <w:p w14:paraId="7D97C39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1、工作电压70/100V，功率1.5-10W（多个配接端子）；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2、最大声压级达≥100±2dB；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3、有效频率范围宽≤160Hz-≥18kHz；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4、优质工程塑料注塑成型；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5、扬声器悬边阻尼处理，寿命长，灵敏度高（≥92±2dB），声音清晰。</w:t>
            </w:r>
          </w:p>
        </w:tc>
        <w:tc>
          <w:tcPr>
            <w:tcW w:w="696" w:type="dxa"/>
            <w:noWrap w:val="0"/>
            <w:vAlign w:val="center"/>
          </w:tcPr>
          <w:p w14:paraId="442DB0D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457" w:type="dxa"/>
            <w:noWrap w:val="0"/>
            <w:vAlign w:val="center"/>
          </w:tcPr>
          <w:p w14:paraId="085E36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687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5E30628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4095187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音量控制开关</w:t>
            </w:r>
          </w:p>
        </w:tc>
        <w:tc>
          <w:tcPr>
            <w:tcW w:w="7056" w:type="dxa"/>
            <w:noWrap w:val="0"/>
            <w:vAlign w:val="center"/>
          </w:tcPr>
          <w:p w14:paraId="5ADB702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1、产品类型：五档位音量控制、带强插，消防联动；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2、额定功率：≥60W；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3、强插信号：24V DC 10mA；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4、档位频响（正常工作条件(-3dB)）：STEP：0V（关）。</w:t>
            </w:r>
          </w:p>
        </w:tc>
        <w:tc>
          <w:tcPr>
            <w:tcW w:w="696" w:type="dxa"/>
            <w:noWrap w:val="0"/>
            <w:vAlign w:val="center"/>
          </w:tcPr>
          <w:p w14:paraId="23D2ACB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7DE1A27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3BC4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3BFF225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2A368FF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协同控制终端系统</w:t>
            </w:r>
          </w:p>
        </w:tc>
        <w:tc>
          <w:tcPr>
            <w:tcW w:w="7056" w:type="dxa"/>
            <w:noWrap w:val="0"/>
            <w:vAlign w:val="center"/>
          </w:tcPr>
          <w:p w14:paraId="33068B6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1、单块尺寸：≥0.304米*0.152米，数量≥465块；净尺寸分别≥17.632米*0.912米及≥8.512米*0.608米；点间距：≥0.00475米。</w:t>
            </w:r>
          </w:p>
        </w:tc>
        <w:tc>
          <w:tcPr>
            <w:tcW w:w="696" w:type="dxa"/>
            <w:noWrap w:val="0"/>
            <w:vAlign w:val="center"/>
          </w:tcPr>
          <w:p w14:paraId="467A93F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AE609E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73AE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16B5FE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6ED7050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协同控制核心系统</w:t>
            </w:r>
          </w:p>
        </w:tc>
        <w:tc>
          <w:tcPr>
            <w:tcW w:w="7056" w:type="dxa"/>
            <w:noWrap w:val="0"/>
            <w:vAlign w:val="center"/>
          </w:tcPr>
          <w:p w14:paraId="4ADFAC4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1、≥4.5V-200W。</w:t>
            </w:r>
          </w:p>
        </w:tc>
        <w:tc>
          <w:tcPr>
            <w:tcW w:w="696" w:type="dxa"/>
            <w:noWrap w:val="0"/>
            <w:vAlign w:val="center"/>
          </w:tcPr>
          <w:p w14:paraId="3A77D8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761 </w:t>
            </w:r>
          </w:p>
        </w:tc>
        <w:tc>
          <w:tcPr>
            <w:tcW w:w="457" w:type="dxa"/>
            <w:noWrap w:val="0"/>
            <w:vAlign w:val="center"/>
          </w:tcPr>
          <w:p w14:paraId="530216C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块</w:t>
            </w:r>
          </w:p>
        </w:tc>
      </w:tr>
      <w:tr w14:paraId="01F9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7" w:type="dxa"/>
            <w:noWrap w:val="0"/>
            <w:vAlign w:val="center"/>
          </w:tcPr>
          <w:p w14:paraId="36474EB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5D3B92D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协同控制孪生模块系统</w:t>
            </w:r>
          </w:p>
        </w:tc>
        <w:tc>
          <w:tcPr>
            <w:tcW w:w="7056" w:type="dxa"/>
            <w:noWrap w:val="0"/>
            <w:vAlign w:val="center"/>
          </w:tcPr>
          <w:p w14:paraId="1D87E47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1、驱动芯片模组具有WIFI+U盘+带天线功能；数量为≥2块；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2、单色带载：≤64*512 ；≤48*672 ；≤32*1024</w:t>
            </w:r>
            <w:r>
              <w:rPr>
                <w:rStyle w:val="299"/>
                <w:rFonts w:hint="eastAsia" w:ascii="仿宋" w:hAnsi="仿宋" w:eastAsia="仿宋" w:cs="仿宋"/>
                <w:lang w:val="en-US" w:eastAsia="zh-CN" w:bidi="ar"/>
              </w:rPr>
              <w:t>​</w:t>
            </w:r>
            <w:r>
              <w:rPr>
                <w:rFonts w:hint="eastAsia" w:ascii="仿宋" w:hAnsi="仿宋" w:eastAsia="仿宋" w:cs="仿宋"/>
                <w:i w:val="0"/>
                <w:iCs w:val="0"/>
                <w:color w:val="000000"/>
                <w:sz w:val="24"/>
                <w:szCs w:val="24"/>
                <w:u w:val="none"/>
                <w:lang w:val="en-US" w:eastAsia="zh-CN" w:bidi="ar"/>
              </w:rPr>
              <w:t>。</w:t>
            </w:r>
          </w:p>
        </w:tc>
        <w:tc>
          <w:tcPr>
            <w:tcW w:w="696" w:type="dxa"/>
            <w:noWrap w:val="0"/>
            <w:vAlign w:val="center"/>
          </w:tcPr>
          <w:p w14:paraId="07D580B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6F2290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04A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7" w:type="dxa"/>
            <w:noWrap w:val="0"/>
            <w:vAlign w:val="center"/>
          </w:tcPr>
          <w:p w14:paraId="0AC9048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 </w:t>
            </w:r>
          </w:p>
        </w:tc>
        <w:tc>
          <w:tcPr>
            <w:tcW w:w="1056" w:type="dxa"/>
            <w:noWrap w:val="0"/>
            <w:vAlign w:val="center"/>
          </w:tcPr>
          <w:p w14:paraId="4933FF9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网络交换机</w:t>
            </w:r>
          </w:p>
        </w:tc>
        <w:tc>
          <w:tcPr>
            <w:tcW w:w="7056" w:type="dxa"/>
            <w:noWrap w:val="0"/>
            <w:vAlign w:val="center"/>
          </w:tcPr>
          <w:p w14:paraId="6CE48E1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1、交换容量≥36Gbps，包转发≥26.8Mpps；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2、千兆电口≥16个，支持POE+，输出功率≥240W，千兆光口≥2个；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3、支持基于端口的 VLAN，支持 DHCP Snooping；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4、支持广播风暴抑制、未知单播抑制、多播风暴抑制；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5、支持web 管理，手机APP管理；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6、支持端口防雷≥6KV，风扇散热；</w:t>
            </w:r>
          </w:p>
        </w:tc>
        <w:tc>
          <w:tcPr>
            <w:tcW w:w="696" w:type="dxa"/>
            <w:noWrap w:val="0"/>
            <w:vAlign w:val="center"/>
          </w:tcPr>
          <w:p w14:paraId="4B07255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D4AB0B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D16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57" w:type="dxa"/>
            <w:noWrap w:val="0"/>
            <w:vAlign w:val="center"/>
          </w:tcPr>
          <w:p w14:paraId="2796DD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19 </w:t>
            </w:r>
          </w:p>
        </w:tc>
        <w:tc>
          <w:tcPr>
            <w:tcW w:w="1056" w:type="dxa"/>
            <w:noWrap w:val="0"/>
            <w:vAlign w:val="center"/>
          </w:tcPr>
          <w:p w14:paraId="37FE221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高清200万网络红外半球</w:t>
            </w:r>
          </w:p>
        </w:tc>
        <w:tc>
          <w:tcPr>
            <w:tcW w:w="7056" w:type="dxa"/>
            <w:noWrap w:val="0"/>
            <w:vAlign w:val="center"/>
          </w:tcPr>
          <w:p w14:paraId="14880AB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1、产品类型：网络摄像机；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2、产品外形：半球；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3、成像色彩：日间彩色，夜间黑白；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4、成像器件≥ 1/3英寸CMOS；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5、镜头焦距：2.8mm，3.6mm，6mm，8mm；镜头接口：≥M12；镜头光圈：F2.5；F2.1；F2.0；F2.0；聚焦距离：2.8mm，0.4mm，3.6mm，0.7mm，6mm，1.3mm；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6、最低照度：0.01Lux(彩色模式)；0.001Lux(黑白模式)；0Lux(红外灯开启)；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7、电子快门：1/3s-1/100000s；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8、音频/视频；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9、压缩格式：H.265；H.264；H.264H；H.264B；MJPEG；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10、视频帧率：50Hz：主码流(1280x720/960@25fps)，辅码(704×576@25fps)；60Hz：主码流(1280x720/960@30fps)，辅码(704×480@30fps)。</w:t>
            </w:r>
          </w:p>
        </w:tc>
        <w:tc>
          <w:tcPr>
            <w:tcW w:w="696" w:type="dxa"/>
            <w:noWrap w:val="0"/>
            <w:vAlign w:val="center"/>
          </w:tcPr>
          <w:p w14:paraId="117EC74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3BC17EB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3609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457" w:type="dxa"/>
            <w:noWrap w:val="0"/>
            <w:vAlign w:val="center"/>
          </w:tcPr>
          <w:p w14:paraId="578614B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20 </w:t>
            </w:r>
          </w:p>
        </w:tc>
        <w:tc>
          <w:tcPr>
            <w:tcW w:w="1056" w:type="dxa"/>
            <w:noWrap w:val="0"/>
            <w:vAlign w:val="center"/>
          </w:tcPr>
          <w:p w14:paraId="2E9EBC5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网络硬盘录像机（带显示终端）</w:t>
            </w:r>
          </w:p>
        </w:tc>
        <w:tc>
          <w:tcPr>
            <w:tcW w:w="7056" w:type="dxa"/>
            <w:noWrap w:val="0"/>
            <w:vAlign w:val="center"/>
          </w:tcPr>
          <w:p w14:paraId="328A882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1、支持嵌入式Linux系统，工业级嵌入式微控制器；支持WEB、本地GUI界面操作；可接驳支持ONVIF、PSIA、RTSP协议的第三方摄像机和主流品牌摄像机；支持IPv4、IPv6、s、UPnP、NTP、SNMP、PPPoE、DNS、FTP、ONVIF（不支持ONVIF Server）网络协议；支持≥32路网络视频接入，网络性能接入200Mbps，储存128Mbps，转发32Mbps；支持6M/5M/4M/3M/1080P/1.3M/720P IPC分辨率接入；支持≥1×6M/1×5M/3×4M/6×1080P/12×720P/32×D1解码，支持≥16路视频回放；支持≥1路VGA，≥1路HDMI，支持VGA/HDMI视频同源输出；支持≥4个内置SATA接口，单盘容量支持6T，≥1个外置eSATA接口；支持≥IPC音频1路输入，支持语音对讲≥1路输出，支持PC通过NVR与网络摄像机进行语音对讲；支持≥16路报警输入、≥4路报警输出，支持开关量输入输出模式；支持≥2个USB接口（≥1个前置USB2.0接口、≥1个后置USB3.0接口）；支持≥1个千兆以太网口；支持按时间、按事件等多种方式进行录像的检索、回放、备份，支持图片本地回放与查询；支持标签自定义功能，设备支持对指定时间的录像进行标签并归档，便于后续査看；支持本机硬盘、eSATA扩展柜、网络等存储方式，支持硬盘、外接USB存储设备、eSATA扩展柜备份方式；支持设备操作日志、报警日志、系统日志的记录与查询功能；支持断网续传功能，能对前端摄像机断网这段时间内SD卡中的录像回传到NVR；支持即时回放功能，在预览画面下回放指定通道的录像；支持预览图像与回放图像的电子放大；可以通过鼠标控制云台转动、放大、定位等操作；支持远程管理IPC功能，支持对前端IPC远程升级，支持远程对IPC的编码配置修改等操作；支持一键添加摄像机显示监控画面；支持远程零通道预览功能，可将接入的多路视频图像多画面显示在一路视频图像上；支持走廊模式功能，支持IPC画面旋转90°或270°，成9：16走廊模式。</w:t>
            </w:r>
          </w:p>
        </w:tc>
        <w:tc>
          <w:tcPr>
            <w:tcW w:w="696" w:type="dxa"/>
            <w:noWrap w:val="0"/>
            <w:vAlign w:val="center"/>
          </w:tcPr>
          <w:p w14:paraId="0DEE14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57D1E0C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1F9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1CB2F1B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21 </w:t>
            </w:r>
          </w:p>
        </w:tc>
        <w:tc>
          <w:tcPr>
            <w:tcW w:w="1056" w:type="dxa"/>
            <w:noWrap w:val="0"/>
            <w:vAlign w:val="center"/>
          </w:tcPr>
          <w:p w14:paraId="18A810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6232973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辅材系统该系统范围内所有设备所需要的串线及配件，本项目为交钥匙工程，不允许额外增加任何费用）；包含但不限于：电源线≥RVV3*1.5㎡、六类屏蔽网线、话筒线、音箱线≥150芯金银线、HDMI高清线、强电主桥架≥300*100、强电支桥架≥100*50、弱电桥架≥100*50、KBG管≥φ25等。</w:t>
            </w:r>
          </w:p>
        </w:tc>
        <w:tc>
          <w:tcPr>
            <w:tcW w:w="696" w:type="dxa"/>
            <w:noWrap w:val="0"/>
            <w:vAlign w:val="center"/>
          </w:tcPr>
          <w:p w14:paraId="175B70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AE1A70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6805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7" w:type="dxa"/>
            <w:noWrap w:val="0"/>
            <w:vAlign w:val="center"/>
          </w:tcPr>
          <w:p w14:paraId="756FCC48">
            <w:pPr>
              <w:jc w:val="center"/>
              <w:rPr>
                <w:rFonts w:hint="eastAsia" w:ascii="仿宋" w:hAnsi="仿宋" w:eastAsia="仿宋" w:cs="仿宋"/>
                <w:i w:val="0"/>
                <w:iCs w:val="0"/>
                <w:color w:val="000000"/>
                <w:sz w:val="24"/>
                <w:szCs w:val="24"/>
                <w:u w:val="none"/>
              </w:rPr>
            </w:pPr>
          </w:p>
        </w:tc>
        <w:tc>
          <w:tcPr>
            <w:tcW w:w="1056" w:type="dxa"/>
            <w:noWrap w:val="0"/>
            <w:vAlign w:val="center"/>
          </w:tcPr>
          <w:p w14:paraId="705F72E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二、小报告厅系统（场地尺寸：24米*17米*5.5米；舞台尺寸：11米*7米）</w:t>
            </w:r>
          </w:p>
        </w:tc>
        <w:tc>
          <w:tcPr>
            <w:tcW w:w="7056" w:type="dxa"/>
            <w:noWrap w:val="0"/>
            <w:vAlign w:val="center"/>
          </w:tcPr>
          <w:p w14:paraId="2A17BC47">
            <w:pPr>
              <w:jc w:val="left"/>
              <w:rPr>
                <w:rFonts w:hint="eastAsia" w:ascii="仿宋" w:hAnsi="仿宋" w:eastAsia="仿宋" w:cs="仿宋"/>
                <w:i w:val="0"/>
                <w:iCs w:val="0"/>
                <w:color w:val="000000"/>
                <w:sz w:val="24"/>
                <w:szCs w:val="24"/>
                <w:u w:val="none"/>
              </w:rPr>
            </w:pPr>
          </w:p>
        </w:tc>
        <w:tc>
          <w:tcPr>
            <w:tcW w:w="696" w:type="dxa"/>
            <w:noWrap w:val="0"/>
            <w:vAlign w:val="center"/>
          </w:tcPr>
          <w:p w14:paraId="505AD9F6">
            <w:pPr>
              <w:jc w:val="center"/>
              <w:rPr>
                <w:rFonts w:hint="eastAsia" w:ascii="仿宋" w:hAnsi="仿宋" w:eastAsia="仿宋" w:cs="仿宋"/>
                <w:i w:val="0"/>
                <w:iCs w:val="0"/>
                <w:color w:val="000000"/>
                <w:sz w:val="24"/>
                <w:szCs w:val="24"/>
                <w:u w:val="none"/>
              </w:rPr>
            </w:pPr>
          </w:p>
        </w:tc>
        <w:tc>
          <w:tcPr>
            <w:tcW w:w="457" w:type="dxa"/>
            <w:noWrap w:val="0"/>
            <w:vAlign w:val="center"/>
          </w:tcPr>
          <w:p w14:paraId="28CAB570">
            <w:pPr>
              <w:jc w:val="center"/>
              <w:rPr>
                <w:rFonts w:hint="eastAsia" w:ascii="仿宋" w:hAnsi="仿宋" w:eastAsia="仿宋" w:cs="仿宋"/>
                <w:i w:val="0"/>
                <w:iCs w:val="0"/>
                <w:color w:val="000000"/>
                <w:sz w:val="24"/>
                <w:szCs w:val="24"/>
                <w:u w:val="none"/>
              </w:rPr>
            </w:pPr>
          </w:p>
        </w:tc>
      </w:tr>
      <w:tr w14:paraId="594C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57C926C">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66438AA4">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5FB67D77">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2B7CBBC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6E60F066">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3D0D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413C1AE">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1BE5B97D">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1、音频系统</w:t>
            </w:r>
          </w:p>
        </w:tc>
        <w:tc>
          <w:tcPr>
            <w:tcW w:w="7056" w:type="dxa"/>
            <w:noWrap w:val="0"/>
            <w:vAlign w:val="center"/>
          </w:tcPr>
          <w:p w14:paraId="36565290">
            <w:pPr>
              <w:jc w:val="left"/>
              <w:rPr>
                <w:rFonts w:hint="eastAsia" w:ascii="仿宋" w:hAnsi="仿宋" w:eastAsia="仿宋" w:cs="仿宋"/>
                <w:b/>
                <w:bCs/>
                <w:i w:val="0"/>
                <w:iCs w:val="0"/>
                <w:color w:val="000000"/>
                <w:sz w:val="24"/>
                <w:szCs w:val="24"/>
                <w:u w:val="none"/>
              </w:rPr>
            </w:pPr>
          </w:p>
        </w:tc>
        <w:tc>
          <w:tcPr>
            <w:tcW w:w="696" w:type="dxa"/>
            <w:noWrap w:val="0"/>
            <w:vAlign w:val="center"/>
          </w:tcPr>
          <w:p w14:paraId="699914ED">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0E0BCDDE">
            <w:pPr>
              <w:jc w:val="center"/>
              <w:rPr>
                <w:rFonts w:hint="eastAsia" w:ascii="仿宋" w:hAnsi="仿宋" w:eastAsia="仿宋" w:cs="仿宋"/>
                <w:b/>
                <w:bCs/>
                <w:i w:val="0"/>
                <w:iCs w:val="0"/>
                <w:color w:val="000000"/>
                <w:sz w:val="24"/>
                <w:szCs w:val="24"/>
                <w:u w:val="none"/>
              </w:rPr>
            </w:pPr>
          </w:p>
        </w:tc>
      </w:tr>
      <w:tr w14:paraId="694C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57" w:type="dxa"/>
            <w:noWrap w:val="0"/>
            <w:vAlign w:val="center"/>
          </w:tcPr>
          <w:p w14:paraId="3F3318C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4C4958A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左右主扩声线阵列扬声器</w:t>
            </w:r>
          </w:p>
        </w:tc>
        <w:tc>
          <w:tcPr>
            <w:tcW w:w="7056" w:type="dxa"/>
            <w:noWrap w:val="0"/>
            <w:vAlign w:val="center"/>
          </w:tcPr>
          <w:p w14:paraId="68E7B65B">
            <w:pPr>
              <w:keepNext w:val="0"/>
              <w:keepLines w:val="0"/>
              <w:widowControl/>
              <w:numPr>
                <w:ilvl w:val="0"/>
                <w:numId w:val="9"/>
              </w:numPr>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单元结构：二分频同轴，≥1*12寸（低音单元）+≥1*2.87寸（高音单元）；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2、系统带宽（频率响应）：（-10dB标准）≤35 Hz–≥25 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4、系统峰值声压级（1m, 自由声场）：≥126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5、标称覆盖角：水平≥90° × 垂直≥20；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6、功率容量：持续功率≥450W；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7、垂直可调角度：≥0°、≥- 5°、≥ - 10°、≥ - 15°；</w:t>
            </w:r>
            <w:r>
              <w:rPr>
                <w:rFonts w:hint="eastAsia" w:ascii="仿宋" w:hAnsi="仿宋" w:eastAsia="仿宋" w:cs="仿宋"/>
                <w:i w:val="0"/>
                <w:iCs w:val="0"/>
                <w:color w:val="000000"/>
                <w:sz w:val="24"/>
                <w:szCs w:val="24"/>
                <w:u w:val="none"/>
                <w:lang w:val="en-US" w:eastAsia="zh-CN" w:bidi="ar"/>
              </w:rPr>
              <w:br w:type="textWrapping" w:clear="all"/>
            </w:r>
            <w:r>
              <w:rPr>
                <w:rFonts w:hint="eastAsia" w:eastAsia="仿宋"/>
                <w:lang w:val="en-US" w:eastAsia="zh-CN"/>
              </w:rPr>
              <w:t>8</w:t>
            </w:r>
            <w:r>
              <w:rPr>
                <w:rFonts w:hint="eastAsia" w:ascii="仿宋" w:hAnsi="仿宋" w:eastAsia="仿宋" w:cs="仿宋"/>
                <w:i w:val="0"/>
                <w:iCs w:val="0"/>
                <w:color w:val="000000"/>
                <w:sz w:val="24"/>
                <w:szCs w:val="24"/>
                <w:u w:val="none"/>
                <w:lang w:val="en-US" w:eastAsia="zh-CN" w:bidi="ar"/>
              </w:rPr>
              <w:t>、▲提供宣传彩页（或官网截图）及能够分辨产品单元数量正面实拍图。</w:t>
            </w:r>
          </w:p>
          <w:p w14:paraId="6B0D7E8A">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★2-7，中标后签订合同前需提供带有“CMA”或“CNAS”标志的检测报告原件（提供承诺，格式自拟）；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6A1C1E3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4C6B665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5901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36D3C9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10AEC81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低频扬声器</w:t>
            </w:r>
          </w:p>
        </w:tc>
        <w:tc>
          <w:tcPr>
            <w:tcW w:w="7056" w:type="dxa"/>
            <w:noWrap w:val="0"/>
            <w:vAlign w:val="center"/>
          </w:tcPr>
          <w:p w14:paraId="0C980A8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1、系统带宽（频率范围）（±3dB标准时）:≤27 Hz-≥100 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2、灵敏度：≥100dB；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3、系统峰值声压级：≥132dB；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4、功率容量：持续功率≥1600W；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5、单元结构：≥1*21寸(低音单元）；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6、分频点设计应满足整体声学性能要求，不限定具体数值；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★2-5，中标后签订合同前需提供带有“CMA”或“CNAS”标志的检测报告原件（提供承诺，格式自拟）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46D589E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FDE42A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01D0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3BE1185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22A8EA2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流动返听扬声器</w:t>
            </w:r>
          </w:p>
        </w:tc>
        <w:tc>
          <w:tcPr>
            <w:tcW w:w="7056" w:type="dxa"/>
            <w:noWrap w:val="0"/>
            <w:vAlign w:val="center"/>
          </w:tcPr>
          <w:p w14:paraId="2691649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1、系统带宽（频率响应）：（±3dB标准时）≤65Hz-≥18kHz；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2、灵敏度：≥97dB；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3、系统最大声压级（1m, 自由声场）：≥123dB；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4、单元结构：≥1*12寸（低音单元）+≥1*2寸（高音单元）；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5、功率容量：持续功率：≥390w；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6、分频点设计应满足整体声学性能要求，不限定具体数值；</w:t>
            </w:r>
          </w:p>
        </w:tc>
        <w:tc>
          <w:tcPr>
            <w:tcW w:w="696" w:type="dxa"/>
            <w:noWrap w:val="0"/>
            <w:vAlign w:val="center"/>
          </w:tcPr>
          <w:p w14:paraId="5BA86C1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1E82408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7C9D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457" w:type="dxa"/>
            <w:noWrap w:val="0"/>
            <w:vAlign w:val="center"/>
          </w:tcPr>
          <w:p w14:paraId="2BF2A0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4986B84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同轴台唇扬声器</w:t>
            </w:r>
          </w:p>
        </w:tc>
        <w:tc>
          <w:tcPr>
            <w:tcW w:w="7056" w:type="dxa"/>
            <w:noWrap w:val="0"/>
            <w:vAlign w:val="top"/>
          </w:tcPr>
          <w:p w14:paraId="59E6B3D7">
            <w:pPr>
              <w:keepNext w:val="0"/>
              <w:keepLines w:val="0"/>
              <w:widowControl/>
              <w:numPr>
                <w:ilvl w:val="0"/>
                <w:numId w:val="10"/>
              </w:numPr>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单元结构：≥1*15寸（低音单元）+≥1*2.87寸（高音单元）；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2、系统带宽（频率范围）(-10dB标准时)：≤25Hz</w:t>
            </w:r>
            <w:r>
              <w:rPr>
                <w:rStyle w:val="299"/>
                <w:rFonts w:hint="eastAsia" w:ascii="仿宋" w:hAnsi="仿宋" w:eastAsia="仿宋" w:cs="仿宋"/>
                <w:lang w:val="en-US" w:eastAsia="zh-CN" w:bidi="ar"/>
              </w:rPr>
              <w:t>‒</w:t>
            </w:r>
            <w:r>
              <w:rPr>
                <w:rFonts w:hint="eastAsia" w:ascii="仿宋" w:hAnsi="仿宋" w:eastAsia="仿宋" w:cs="仿宋"/>
                <w:i w:val="0"/>
                <w:iCs w:val="0"/>
                <w:color w:val="000000"/>
                <w:sz w:val="24"/>
                <w:szCs w:val="24"/>
                <w:u w:val="none"/>
                <w:lang w:val="en-US" w:eastAsia="zh-CN" w:bidi="ar"/>
              </w:rPr>
              <w:t>≥25kHz；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3、灵敏度：≥97dB：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4、最大声压级（1m, 自由声场）：≥124dB；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5、标称覆盖角：水平≥60° × 垂直≥60；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6、功率容量 ：持续功率≥500W；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7、分频点设计应满足整体声学性能要求，不限定具体数值；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8、▲提供宣传彩页（或官网截图）及能够分辨产品单元数量正面实拍图。</w:t>
            </w:r>
          </w:p>
          <w:p w14:paraId="68EF156E">
            <w:pPr>
              <w:keepNext w:val="0"/>
              <w:keepLines w:val="0"/>
              <w:widowControl/>
              <w:numPr>
                <w:ilvl w:val="0"/>
                <w:numId w:val="0"/>
              </w:numPr>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★2-7，中标后签订合同前需提供带有“CMA”或“CNAS”标志的检测报告原件（提供承诺，格式自拟）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150A17D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56590F2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0C99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368BF51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0856DE1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左右主扩声线阵列扬声器功率放大器</w:t>
            </w:r>
          </w:p>
        </w:tc>
        <w:tc>
          <w:tcPr>
            <w:tcW w:w="7056" w:type="dxa"/>
            <w:noWrap w:val="0"/>
            <w:vAlign w:val="center"/>
          </w:tcPr>
          <w:p w14:paraId="0437490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1、立体声功率8Ω：≥950W，立体声功率4Ω：≥1500W，桥接模式8Ω：≥2400W；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 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 ≤ 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 (8Ω)，10Hz-400Hz： ≥ 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1F2BC2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63B8066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5D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13F1B0A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0652713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低频扬声器功率放大器</w:t>
            </w:r>
          </w:p>
        </w:tc>
        <w:tc>
          <w:tcPr>
            <w:tcW w:w="7056" w:type="dxa"/>
            <w:noWrap w:val="0"/>
            <w:vAlign w:val="top"/>
          </w:tcPr>
          <w:p w14:paraId="2751A2B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1、立体声功率8Ω：≥1400W，立体声功率4Ω：≥2250W，桥接模式8Ω：≥3300W；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5、阻尼系数(8Ω)，10Hz-400Hz：≥200；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5477E92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1205068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F2B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57" w:type="dxa"/>
            <w:noWrap w:val="0"/>
            <w:vAlign w:val="center"/>
          </w:tcPr>
          <w:p w14:paraId="52EEED6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3539AB4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流动返听扬声器功率放大器</w:t>
            </w:r>
          </w:p>
        </w:tc>
        <w:tc>
          <w:tcPr>
            <w:tcW w:w="7056" w:type="dxa"/>
            <w:noWrap w:val="0"/>
            <w:vAlign w:val="center"/>
          </w:tcPr>
          <w:p w14:paraId="3C6AC39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1、立体声功率8Ω：≥700W，立体声功率4Ω：≥1100W，桥接模式8Ω：≥1800W；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3、总谐波失真(THD)：≤ 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 ≤ 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 (8Ω), 10Hz - 400Hz：≥ 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38FDB2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866AB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6FA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483AEE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5C1579D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同轴台唇扬声器功率放大器</w:t>
            </w:r>
          </w:p>
        </w:tc>
        <w:tc>
          <w:tcPr>
            <w:tcW w:w="7056" w:type="dxa"/>
            <w:noWrap w:val="0"/>
            <w:vAlign w:val="center"/>
          </w:tcPr>
          <w:p w14:paraId="2B6B44A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1、立体声功率8Ω：≥950W，立体声功率4Ω：≥1500W，桥接模式8Ω：≥2400W；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2、频率响应(1W)：≤20Hz-≥20kHz, +0/-1dB；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 (THD)：≤ 0.5%, 20Hz-20kHz；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4、互调失真(IMD)： ≤ 0.35%；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5、阻尼系数 (8Ω)，10Hz-400Hz： ≥ 200；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6、信噪比：≥100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7、串扰：≤-75 dB（1kHz），≤-59 dB（20kHz）；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8、保护：防止短路、空载、开/关机噪音、无线电干扰保护电路等保护功能；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9、通风：由前往后的空气对流机制；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10、冷却：内部空气强排散热，风扇冷却，快速调节，温度保护。</w:t>
            </w:r>
          </w:p>
        </w:tc>
        <w:tc>
          <w:tcPr>
            <w:tcW w:w="696" w:type="dxa"/>
            <w:noWrap w:val="0"/>
            <w:vAlign w:val="center"/>
          </w:tcPr>
          <w:p w14:paraId="426083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20A901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89A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57" w:type="dxa"/>
            <w:noWrap w:val="0"/>
            <w:vAlign w:val="center"/>
          </w:tcPr>
          <w:p w14:paraId="02DA807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4ADE73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16路数字音频处理器</w:t>
            </w:r>
          </w:p>
        </w:tc>
        <w:tc>
          <w:tcPr>
            <w:tcW w:w="7056" w:type="dxa"/>
            <w:noWrap w:val="0"/>
            <w:vAlign w:val="top"/>
          </w:tcPr>
          <w:p w14:paraId="774F43C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1、DSP芯片：Ti 450MHz FLOPS双核；USB2.0 录制/播放：支持；中控指令集生成器：支持；核心算法：反馈消除（AFC），回声消除 (AEC)；输入处理：前级放大、信号发生器、扩展器、压缩器、≥5段参量均衡、反相、自动增益、自动混音；输出处理：≥31段图示均衡器、延时器、分频器、高低通滤波器、限幅器、反相；</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2、矩阵混音：输入和输出信号矩阵式混音，混音分量控制；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3、自动摄像跟踪功能：支持；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4、场景预设：≥100组自定义设置；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5、模拟输入通道：≥16，模拟输出通道：≥16；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6、Ethernet控制端口：≥1；RS232：≥1；RS485：≥1；GPIO：≥8；</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7、WIFI联机：√；输入增益放大：-24～27dB，3dB一级共17级；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8、其他：平衡/非平衡,输入/输出支持；MIC\LINE,输入/输出支持；每路独立48V幻象供电开关；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9、软件及操作系统：控制处理软件及APP/Windows32位/Windows64位/IOS/android/机器内置客户端，支持联机下载；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10、采样：48k@24bit；幻象供电：DC48V；频率响应：≤20Hz ～ ≥20KHz，±1dB；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11、THD+N：≤0.004% @1k，4dBu；数模动态范围（（A加权））：≥120dB；模数动态范围（（A加权））：≥120dB；输入阻抗（平衡式）：≥20kΩ；输出阻抗（平衡式）：≤100Ω；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12、EIN（（A加权））：≤-131 dBu；通道隔离度：≥107dB @1k Hz，4dBu；共模抑制：≥70dB @80 Hz；最大输入电平：≥18dBu；最大输出电平：≥18dBu；本底噪声：≤-90dBu；系统延时：≤3ms。</w:t>
            </w:r>
          </w:p>
        </w:tc>
        <w:tc>
          <w:tcPr>
            <w:tcW w:w="696" w:type="dxa"/>
            <w:noWrap w:val="0"/>
            <w:vAlign w:val="center"/>
          </w:tcPr>
          <w:p w14:paraId="1981B1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F5041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91E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57" w:type="dxa"/>
            <w:noWrap w:val="0"/>
            <w:vAlign w:val="center"/>
          </w:tcPr>
          <w:p w14:paraId="1D55167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4967FC2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16路数字调音台</w:t>
            </w:r>
          </w:p>
        </w:tc>
        <w:tc>
          <w:tcPr>
            <w:tcW w:w="7056" w:type="dxa"/>
            <w:noWrap w:val="0"/>
            <w:vAlign w:val="center"/>
          </w:tcPr>
          <w:p w14:paraId="48B3AD0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1、≥16个话放，≥25条混音母线，≥40位浮点数字信号处理；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2、≥8个编组和6个静音编组；</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3、≥8个立体声效果器；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4、≥17个100mm电动推子；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5、≥5寸日光全彩TFT显示屏；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6、通过USB 2.0可支持≥32 x 32通道的数字音频传输。</w:t>
            </w:r>
          </w:p>
        </w:tc>
        <w:tc>
          <w:tcPr>
            <w:tcW w:w="696" w:type="dxa"/>
            <w:noWrap w:val="0"/>
            <w:vAlign w:val="center"/>
          </w:tcPr>
          <w:p w14:paraId="49831B0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E9BD29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17A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2251EE8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6D1A01F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同轴有源监听音箱</w:t>
            </w:r>
          </w:p>
        </w:tc>
        <w:tc>
          <w:tcPr>
            <w:tcW w:w="7056" w:type="dxa"/>
            <w:noWrap w:val="0"/>
            <w:vAlign w:val="center"/>
          </w:tcPr>
          <w:p w14:paraId="42BD450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1、系统带宽（频率响应）：≤70Hz – ≥20kHz ± 3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2、最大声压级：≥110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3、分频器类型：≥2 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4、交越频率：≥1.5kHz；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5、传感器：≥1 *6.5 英寸+低频驱动器≥ 1 x 1 英寸高频驱动器；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6、最大输出功率：≥300 瓦。</w:t>
            </w:r>
          </w:p>
        </w:tc>
        <w:tc>
          <w:tcPr>
            <w:tcW w:w="696" w:type="dxa"/>
            <w:noWrap w:val="0"/>
            <w:vAlign w:val="center"/>
          </w:tcPr>
          <w:p w14:paraId="73BCE70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371D189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5150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73F6EE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30C942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51B56D8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音频系统该系统范围内所有设备所需要的串线及配件，本项目为交钥匙工程，不允许额外增加任何费用）；包含但不限于：≥200芯音箱线、≥300芯音箱线、六类屏蔽网线、话筒线、电源线≥RVV3*2.5㎡、电源线≥RVV3*1.5㎡等。</w:t>
            </w:r>
          </w:p>
        </w:tc>
        <w:tc>
          <w:tcPr>
            <w:tcW w:w="696" w:type="dxa"/>
            <w:noWrap w:val="0"/>
            <w:vAlign w:val="center"/>
          </w:tcPr>
          <w:p w14:paraId="0E9E30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139AE9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1740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1D28CF06">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70D40F1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0BE384BA">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238F797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49CA2E45">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461F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62950C14">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4EDD57C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2、音源及拾音器</w:t>
            </w:r>
          </w:p>
        </w:tc>
        <w:tc>
          <w:tcPr>
            <w:tcW w:w="7056" w:type="dxa"/>
            <w:noWrap w:val="0"/>
            <w:vAlign w:val="center"/>
          </w:tcPr>
          <w:p w14:paraId="0E715A1A">
            <w:pPr>
              <w:jc w:val="left"/>
              <w:rPr>
                <w:rFonts w:hint="eastAsia" w:ascii="仿宋" w:hAnsi="仿宋" w:eastAsia="仿宋" w:cs="仿宋"/>
                <w:b/>
                <w:bCs/>
                <w:i w:val="0"/>
                <w:iCs w:val="0"/>
                <w:color w:val="000000"/>
                <w:sz w:val="24"/>
                <w:szCs w:val="24"/>
                <w:u w:val="none"/>
              </w:rPr>
            </w:pPr>
          </w:p>
        </w:tc>
        <w:tc>
          <w:tcPr>
            <w:tcW w:w="696" w:type="dxa"/>
            <w:noWrap w:val="0"/>
            <w:vAlign w:val="center"/>
          </w:tcPr>
          <w:p w14:paraId="44A7404D">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6E145112">
            <w:pPr>
              <w:jc w:val="center"/>
              <w:rPr>
                <w:rFonts w:hint="eastAsia" w:ascii="仿宋" w:hAnsi="仿宋" w:eastAsia="仿宋" w:cs="仿宋"/>
                <w:b/>
                <w:bCs/>
                <w:i w:val="0"/>
                <w:iCs w:val="0"/>
                <w:color w:val="000000"/>
                <w:sz w:val="24"/>
                <w:szCs w:val="24"/>
                <w:u w:val="none"/>
              </w:rPr>
            </w:pPr>
          </w:p>
        </w:tc>
      </w:tr>
      <w:tr w14:paraId="1D68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57CFB10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72E49B7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四通道真分集接收机(Dante)</w:t>
            </w:r>
          </w:p>
        </w:tc>
        <w:tc>
          <w:tcPr>
            <w:tcW w:w="7056" w:type="dxa"/>
            <w:noWrap w:val="0"/>
            <w:vAlign w:val="center"/>
          </w:tcPr>
          <w:p w14:paraId="3901336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1、具有Dante网络音频输出，连接Dante音频设备可自动识别出产品的Dante通道；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 频率稳定度： ±0.005%；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3、外置天线接口： 双BNC 支持 +12V/150mA 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4、支持BNC天线级联；</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5、外置音频接口： MIXER混合平衡音频输出、BALANCED单通道平衡音频输出；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6、接收频段：≤522MHz-≥936MHz；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7、振荡方式： PLL频率合成技术；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8、频带宽度： 单通道≥130MHz；最大偏移度： ±45kHz；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9、音频采样率：≥ 96kHz 24-bit；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供电方式：交流输入，ICE接头，100-240伏交流；          </w:t>
            </w:r>
          </w:p>
        </w:tc>
        <w:tc>
          <w:tcPr>
            <w:tcW w:w="696" w:type="dxa"/>
            <w:noWrap w:val="0"/>
            <w:vAlign w:val="center"/>
          </w:tcPr>
          <w:p w14:paraId="26AD782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5001241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39AA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57" w:type="dxa"/>
            <w:noWrap w:val="0"/>
            <w:vAlign w:val="center"/>
          </w:tcPr>
          <w:p w14:paraId="75DBBF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7AF6DF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无线会议话筒（方管）</w:t>
            </w:r>
          </w:p>
        </w:tc>
        <w:tc>
          <w:tcPr>
            <w:tcW w:w="7056" w:type="dxa"/>
            <w:noWrap w:val="0"/>
            <w:vAlign w:val="center"/>
          </w:tcPr>
          <w:p w14:paraId="04AE309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1、载波频段：≤521.25MHz-≥936.85MHz；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2、振蕩方式：  PLL频率合成技术；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3、谐波辐射： 低于主波50dBm以上；</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4、频带宽度：≥134MHz（视地区而定）；</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5、最大偏移度：±45kHz；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6、RF功率输出：≥10mW；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7、低切开关：≤200Hz；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8、电池：AAx4；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9、电流消耗：≤180mA(典型)；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10、传声器类型：电容式超心型指向；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11、频率响应：≤100Hz-≥15kHz；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12、灵敏度：≥-38/kHz @ 1 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13、最大输入声压：≥120dB SPL/1kHz @ 1% THD；</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14、输出阻抗：600Ω ± 20％ @ 1kHz；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15、谐波失真：≤0.9％1kHz；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16、接口：带锁三针式平衡卡侬母。</w:t>
            </w:r>
          </w:p>
        </w:tc>
        <w:tc>
          <w:tcPr>
            <w:tcW w:w="696" w:type="dxa"/>
            <w:noWrap w:val="0"/>
            <w:vAlign w:val="center"/>
          </w:tcPr>
          <w:p w14:paraId="6B8ECA8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078BE9E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56C0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2F092B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74E3C08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无线手持话筒套装</w:t>
            </w:r>
          </w:p>
        </w:tc>
        <w:tc>
          <w:tcPr>
            <w:tcW w:w="7056" w:type="dxa"/>
            <w:noWrap w:val="0"/>
            <w:vAlign w:val="center"/>
          </w:tcPr>
          <w:p w14:paraId="7F36A1E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1、音频范围：≤50 Hz - ≥15 kHz ± 2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2、红色：过高音频电平（过载/衰减）；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3、微处理器控制的内部天线分集；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4、双色音频状态LED指示灯；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5、绿色：正常音频电平；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6、集成话筒振膜设计；</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7、可调节的输出电平；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8、XLR和¼英寸输出接口；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9、可拆卸的天线令天线分布更快速；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10、每个频带≥12个兼容系统；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11、显示详细射频和音频计量；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12、一键式频率选择可快速查找最佳开放频率；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13、≤-10 dB增益衰减。</w:t>
            </w:r>
          </w:p>
        </w:tc>
        <w:tc>
          <w:tcPr>
            <w:tcW w:w="696" w:type="dxa"/>
            <w:noWrap w:val="0"/>
            <w:vAlign w:val="center"/>
          </w:tcPr>
          <w:p w14:paraId="112ED12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551B40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6872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457" w:type="dxa"/>
            <w:noWrap w:val="0"/>
            <w:vAlign w:val="center"/>
          </w:tcPr>
          <w:p w14:paraId="4E29BE0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4FA50A0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无线头戴话筒套装</w:t>
            </w:r>
          </w:p>
        </w:tc>
        <w:tc>
          <w:tcPr>
            <w:tcW w:w="7056" w:type="dxa"/>
            <w:noWrap w:val="0"/>
            <w:vAlign w:val="center"/>
          </w:tcPr>
          <w:p w14:paraId="3397DF4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1、音频范围：≤50 Hz -≥ 15 kHz ± 2 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2、输出阻抗 / 卡侬接口及阻抗：≤200Ω；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3、红色：过高音频电平（过载/衰减）；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4、可调节的输出电平，6.35 mm 接口：≥50Ω；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5、动态范围：≥100 db （A加权）；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6、可拆卸的天线令天线分布更快速；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7、≥2节AA电池（内置），≥14小时持续使用；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8、长达≥300英尺（90米）的传输半径；</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9、双色音频状态LED指示灯；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10、快速轻松的接收机频率匹配，每个频带≥12个兼容系统；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11、触式开关，XLR和¼英寸输出接口；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12、绿色：正常音频电平；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13、一键式频率选择可快速查找最佳开放频率；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14、≥26dB可调增益范围；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15、微处理器控制的内部天线分集。</w:t>
            </w:r>
          </w:p>
        </w:tc>
        <w:tc>
          <w:tcPr>
            <w:tcW w:w="696" w:type="dxa"/>
            <w:noWrap w:val="0"/>
            <w:vAlign w:val="center"/>
          </w:tcPr>
          <w:p w14:paraId="4A6B697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4054A41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576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65D4D8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1938951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天线分配器</w:t>
            </w:r>
          </w:p>
        </w:tc>
        <w:tc>
          <w:tcPr>
            <w:tcW w:w="7056" w:type="dxa"/>
            <w:noWrap w:val="0"/>
            <w:vAlign w:val="center"/>
          </w:tcPr>
          <w:p w14:paraId="10479BC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1、天线连接器类型：BNC，阻抗 ≤50Ω；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2、直流输出：≥15 V DC ，4接头；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3、绝缘输出接头：≥25 dB，典型；</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4、3OIP：≥21 dBm；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5、载波频率范围：≤470 - ≥952 MHz。</w:t>
            </w:r>
          </w:p>
        </w:tc>
        <w:tc>
          <w:tcPr>
            <w:tcW w:w="696" w:type="dxa"/>
            <w:noWrap w:val="0"/>
            <w:vAlign w:val="center"/>
          </w:tcPr>
          <w:p w14:paraId="545E0D4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E651D1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849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5E2F083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75A5191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有源指向性天线</w:t>
            </w:r>
          </w:p>
        </w:tc>
        <w:tc>
          <w:tcPr>
            <w:tcW w:w="7056" w:type="dxa"/>
            <w:noWrap w:val="0"/>
            <w:vAlign w:val="center"/>
          </w:tcPr>
          <w:p w14:paraId="2754F58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1、接头类型：BNC, 插孔，阻抗：≤50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2、电源要求：来自同轴连接的 10 至 15 伏直流偏移, 75 mA；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3、射频频率范围：≤470–≥900 MHz；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4、接收模式：3 dB 波束宽度,≤70 角度；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5、三阶过载交截点 (OIP3)：≥30 dBm。</w:t>
            </w:r>
          </w:p>
        </w:tc>
        <w:tc>
          <w:tcPr>
            <w:tcW w:w="696" w:type="dxa"/>
            <w:noWrap w:val="0"/>
            <w:vAlign w:val="center"/>
          </w:tcPr>
          <w:p w14:paraId="050FD0B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33815C8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3054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27212F1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4B9F9D5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演讲台有线鹅颈会议话筒</w:t>
            </w:r>
          </w:p>
        </w:tc>
        <w:tc>
          <w:tcPr>
            <w:tcW w:w="7056" w:type="dxa"/>
            <w:noWrap w:val="0"/>
            <w:vAlign w:val="center"/>
          </w:tcPr>
          <w:p w14:paraId="36B0C40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1、频率响应：≥100-≤16,000 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2、低截：80 Hz, 18 dB/octave；</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3、阻抗：250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4、开路灵敏度：≥ -43 dB（7.0 mV）re 1 V @ 1 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5、元件：固定式充电背板，永久极性电容收音头；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6、输入声压级上限：≤140 dB SPL，1 kHz @ c THD；</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7、指向性：单指向性；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8、动态范围 (典型值)：≥111 dB，1 kHz @ Max SPL；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9、信噪比：≥65 dB, 1 kHz @ 1 Pa；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10、输出阻抗：360 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11、插入损耗：1 dB (150 欧姆输入阻抗)；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12、静音衰减：≥55 dB @ 1000Hz，≥35 dB @ 100Hz， ≥30 dB @ 50Hz (150 欧姆输入阻抗)；</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13、话筒座配置：XLRF 卡农母座, XLRM 卡农公座, 开关带LED指示灯。</w:t>
            </w:r>
          </w:p>
        </w:tc>
        <w:tc>
          <w:tcPr>
            <w:tcW w:w="696" w:type="dxa"/>
            <w:noWrap w:val="0"/>
            <w:vAlign w:val="center"/>
          </w:tcPr>
          <w:p w14:paraId="445586E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46C96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7E8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6C0A143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30B3757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矮推车式提词系统</w:t>
            </w:r>
          </w:p>
        </w:tc>
        <w:tc>
          <w:tcPr>
            <w:tcW w:w="7056" w:type="dxa"/>
            <w:noWrap w:val="0"/>
            <w:vAlign w:val="center"/>
          </w:tcPr>
          <w:p w14:paraId="52EC8D9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1、提词器：尺寸：≥1233mm*718mm,接口≥2*HDMI；</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2、矮推车：冷轧钢板材料；倾斜角度0-90度；内置束线，一体式底座。</w:t>
            </w:r>
          </w:p>
        </w:tc>
        <w:tc>
          <w:tcPr>
            <w:tcW w:w="696" w:type="dxa"/>
            <w:noWrap w:val="0"/>
            <w:vAlign w:val="center"/>
          </w:tcPr>
          <w:p w14:paraId="16645BB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B265A3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10C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6383BE3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788595C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隔离变压器</w:t>
            </w:r>
          </w:p>
        </w:tc>
        <w:tc>
          <w:tcPr>
            <w:tcW w:w="7056" w:type="dxa"/>
            <w:noWrap w:val="0"/>
            <w:vAlign w:val="center"/>
          </w:tcPr>
          <w:p w14:paraId="6C41C07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1、频率响应：≤20Hz--≥20kHz（±1db)；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2、最大输入：≤26dbu@1kHz,1%THD+N；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3、总谐波失真：≤0.001%@1kHz,+4d Bu output；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4、相位极性：≤0.5°@100Hz，≤3°@20Hz；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5、输入阻抗：6000，平衡 输出阻抗：6000，平衡。</w:t>
            </w:r>
          </w:p>
        </w:tc>
        <w:tc>
          <w:tcPr>
            <w:tcW w:w="696" w:type="dxa"/>
            <w:noWrap w:val="0"/>
            <w:vAlign w:val="center"/>
          </w:tcPr>
          <w:p w14:paraId="69E3F04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2D6176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DC5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2936E2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09E4F61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12F2A0D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1、满足要求（此项包含音源及拾音器系统该系统范围内所有设备所需要的串线及配件，本项目为交钥匙工程，不允许额外增加任何费用）；包含但不限于：话筒线、六类屏蔽网线、电源线≥RVV3*1.5㎡等。</w:t>
            </w:r>
          </w:p>
        </w:tc>
        <w:tc>
          <w:tcPr>
            <w:tcW w:w="696" w:type="dxa"/>
            <w:noWrap w:val="0"/>
            <w:vAlign w:val="center"/>
          </w:tcPr>
          <w:p w14:paraId="57A69C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F0290C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1B72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127402D0">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4834771B">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59DE2E1D">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741FF6A5">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282E6DF6">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6E1D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05A10339">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445B0D8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3、灯光及舞台机械设备</w:t>
            </w:r>
          </w:p>
        </w:tc>
        <w:tc>
          <w:tcPr>
            <w:tcW w:w="7056" w:type="dxa"/>
            <w:noWrap w:val="0"/>
            <w:vAlign w:val="center"/>
          </w:tcPr>
          <w:p w14:paraId="731D0C05">
            <w:pPr>
              <w:jc w:val="left"/>
              <w:rPr>
                <w:rFonts w:hint="eastAsia" w:ascii="仿宋" w:hAnsi="仿宋" w:eastAsia="仿宋" w:cs="仿宋"/>
                <w:b/>
                <w:bCs/>
                <w:i w:val="0"/>
                <w:iCs w:val="0"/>
                <w:color w:val="000000"/>
                <w:sz w:val="24"/>
                <w:szCs w:val="24"/>
                <w:u w:val="none"/>
              </w:rPr>
            </w:pPr>
          </w:p>
        </w:tc>
        <w:tc>
          <w:tcPr>
            <w:tcW w:w="696" w:type="dxa"/>
            <w:noWrap w:val="0"/>
            <w:vAlign w:val="center"/>
          </w:tcPr>
          <w:p w14:paraId="2C78E2C0">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632958ED">
            <w:pPr>
              <w:jc w:val="center"/>
              <w:rPr>
                <w:rFonts w:hint="eastAsia" w:ascii="仿宋" w:hAnsi="仿宋" w:eastAsia="仿宋" w:cs="仿宋"/>
                <w:b/>
                <w:bCs/>
                <w:i w:val="0"/>
                <w:iCs w:val="0"/>
                <w:color w:val="000000"/>
                <w:sz w:val="24"/>
                <w:szCs w:val="24"/>
                <w:u w:val="none"/>
              </w:rPr>
            </w:pPr>
          </w:p>
        </w:tc>
      </w:tr>
      <w:tr w14:paraId="3A1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457" w:type="dxa"/>
            <w:noWrap w:val="0"/>
            <w:vAlign w:val="center"/>
          </w:tcPr>
          <w:p w14:paraId="733D58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7B529C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一道面光( LED远程聚光灯）</w:t>
            </w:r>
          </w:p>
        </w:tc>
        <w:tc>
          <w:tcPr>
            <w:tcW w:w="7056" w:type="dxa"/>
            <w:noWrap w:val="0"/>
            <w:vAlign w:val="center"/>
          </w:tcPr>
          <w:p w14:paraId="37DE462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1、输入电压：AC100-240V，50/60HZ；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3、LED光源：≥4颗50W 高亮度；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4、色温：3200K-5600k；</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5、光源寿命:60000h；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6、调光：0-100%线性调节；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7、频闪： 独立电子频闪，1-20次/秒；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8、透镜角度：25o（常用）、35o、45o（可选）；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9、控制方式：标准DMX512信号，3芯接口，主从控制、自走、声控模式；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10、DMX通道： ≥8 通道（数码显示）；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11、冷却系统：自然风冷；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12、灯体部分及颜色：压铸铝，黑色 /白色；</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13、防护等级：≥IP35。</w:t>
            </w:r>
          </w:p>
        </w:tc>
        <w:tc>
          <w:tcPr>
            <w:tcW w:w="696" w:type="dxa"/>
            <w:noWrap w:val="0"/>
            <w:vAlign w:val="center"/>
          </w:tcPr>
          <w:p w14:paraId="5FEF062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457" w:type="dxa"/>
            <w:noWrap w:val="0"/>
            <w:vAlign w:val="center"/>
          </w:tcPr>
          <w:p w14:paraId="05DF7D1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300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5481D28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53F5020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一道顶光（LED染色灯）</w:t>
            </w:r>
          </w:p>
        </w:tc>
        <w:tc>
          <w:tcPr>
            <w:tcW w:w="7056" w:type="dxa"/>
            <w:noWrap w:val="0"/>
            <w:vAlign w:val="center"/>
          </w:tcPr>
          <w:p w14:paraId="560F39B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4BFF1F9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259BAF1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E60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42A1509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38A3356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一道顶光（LED平板会议灯）</w:t>
            </w:r>
          </w:p>
        </w:tc>
        <w:tc>
          <w:tcPr>
            <w:tcW w:w="7056" w:type="dxa"/>
            <w:noWrap w:val="0"/>
            <w:vAlign w:val="center"/>
          </w:tcPr>
          <w:p w14:paraId="55228B2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1、工作电压：AC100-240V，50/60Hz；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3、额定功率：≥200W保险丝：1.5A；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4、光源：≥432颗X0.5W高显色MD/LED 5050：暖白光≥216颗，正白光≥216颗，双色；</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5、色温：3200K/5600K （± 200K）可选；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6、显色指数：≥Ram90；调光：0-100%线性调光平滑无闪烁；通道：6CH通信协议：USITTDMX-512 光学角度：120°；频闪：0~25秒；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7、环境温度：-25℃-40℃自然风冷无风机无噪音；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8、防护等级：≥IP20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9、采用无风扇一体化铝合金散热系统，通过空气对流自然散热；噪声：无噪音。</w:t>
            </w:r>
          </w:p>
        </w:tc>
        <w:tc>
          <w:tcPr>
            <w:tcW w:w="696" w:type="dxa"/>
            <w:noWrap w:val="0"/>
            <w:vAlign w:val="center"/>
          </w:tcPr>
          <w:p w14:paraId="38130E8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0F4748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FF8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57" w:type="dxa"/>
            <w:noWrap w:val="0"/>
            <w:vAlign w:val="center"/>
          </w:tcPr>
          <w:p w14:paraId="3E36DB6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5FD13A8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二道顶光（LED染色灯）</w:t>
            </w:r>
          </w:p>
        </w:tc>
        <w:tc>
          <w:tcPr>
            <w:tcW w:w="7056" w:type="dxa"/>
            <w:noWrap w:val="0"/>
            <w:vAlign w:val="center"/>
          </w:tcPr>
          <w:p w14:paraId="1AAA725C">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0217E6C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567E999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212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4830DF1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76BB017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二道顶光（LED平板会议灯）</w:t>
            </w:r>
          </w:p>
        </w:tc>
        <w:tc>
          <w:tcPr>
            <w:tcW w:w="7056" w:type="dxa"/>
            <w:noWrap w:val="0"/>
            <w:vAlign w:val="center"/>
          </w:tcPr>
          <w:p w14:paraId="109B9D5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1、工作电压：AC100-240V，50/60Hz；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2、寿命：≥50000h；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3、额定功率：≥200W保险丝：1.5A；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4、光源：≥432颗X0.5W高显色MD/LED 5050：暖白光≥216颗，正白光≥216颗，双色；</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5、色温：3200K/5600K （± 200K）可选；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6、显色指数：≥Ram90；调光：0-100%线性调光平滑无闪烁；通道：6CH通信协议：USITTDMX-512 光学角度：120°；频闪：0~25秒；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7、环境温度：-25℃-40℃自然风冷无风机无噪音；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8、防护等级：≥IP20 ；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9、采用无风扇一体化铝合金散热系统，通过空气对流自然散热；噪声：无噪音。</w:t>
            </w:r>
          </w:p>
        </w:tc>
        <w:tc>
          <w:tcPr>
            <w:tcW w:w="696" w:type="dxa"/>
            <w:noWrap w:val="0"/>
            <w:vAlign w:val="center"/>
          </w:tcPr>
          <w:p w14:paraId="7D4F34F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466B563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8BF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57" w:type="dxa"/>
            <w:noWrap w:val="0"/>
            <w:vAlign w:val="center"/>
          </w:tcPr>
          <w:p w14:paraId="51334CB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5B6B674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二道顶光（光束摇头灯 ）</w:t>
            </w:r>
          </w:p>
        </w:tc>
        <w:tc>
          <w:tcPr>
            <w:tcW w:w="7056" w:type="dxa"/>
            <w:noWrap w:val="0"/>
            <w:vAlign w:val="center"/>
          </w:tcPr>
          <w:p w14:paraId="6951237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2、额定功率：≥450W；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3、控制通道：≥16个DMX通道；运行模式：声控，自走，主从，DMX512；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4、颜色盘：≥14个颜色+白光；七彩颜色：≥六色效果；固定图案：≥13个图案+白光；棱  镜：≥两个独立棱镜盘，≥8棱镜+蜂窝棱镜（8+16+24）双棱可叠加；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  焦：双电机高清聚焦；雾  化：雾化和六彩一体架；频  闪：单频闪；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6、调  光：0—100%线性调光；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7、水平/垂直：≥540°水平扫描，≥270°垂直扫描；显示界面：彩屏≥1.8寸按键，≥180°反转显示中英文可切换；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8、灯具外壳：耐高温塑料和合金材料；</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439F8FE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2E8F092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61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5AD532D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643D24A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一道逆光（LED染色灯）</w:t>
            </w:r>
          </w:p>
        </w:tc>
        <w:tc>
          <w:tcPr>
            <w:tcW w:w="7056" w:type="dxa"/>
            <w:noWrap w:val="0"/>
            <w:vAlign w:val="center"/>
          </w:tcPr>
          <w:p w14:paraId="7C38695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556692A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0A4AC13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C84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4E799C1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4CBF11E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一道逆光（光束摇头灯 ）</w:t>
            </w:r>
          </w:p>
        </w:tc>
        <w:tc>
          <w:tcPr>
            <w:tcW w:w="7056" w:type="dxa"/>
            <w:noWrap w:val="0"/>
            <w:vAlign w:val="center"/>
          </w:tcPr>
          <w:p w14:paraId="1C97437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2、额定功率：≥450W；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3、控制通道：≥16个DMX通道；运行模式：声控，自走，主从，DMX512；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4、颜色盘：≥14个颜色+白光；七彩颜色：≥六色效果；固定图案：≥13个图案+白光；棱  镜：≥两个独立棱镜盘，≥8棱镜+蜂窝棱镜（8+16+24）双棱可叠加；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  焦：双电机高清聚焦；雾  化：雾化和六彩一体架；频  闪：单频闪；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6、调  光：0—100%线性调光；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7、水平/垂直：≥540°水平扫描，≥270°垂直扫描；显示界面：彩屏≥1.8寸按键，≥180°反转显示中英文可切换；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8、灯具外壳：耐高温塑料和合金材料；</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6E7DAE6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1434323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21D2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249970F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7041C76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两道侧光（LED染色灯）</w:t>
            </w:r>
          </w:p>
        </w:tc>
        <w:tc>
          <w:tcPr>
            <w:tcW w:w="7056" w:type="dxa"/>
            <w:noWrap w:val="0"/>
            <w:vAlign w:val="center"/>
          </w:tcPr>
          <w:p w14:paraId="451504D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2、功率：≥200W；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3、LED光源：≥18颗10W 高亮度优质芯片RGBW四合一；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4、光源寿命：≥60000h；</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5、调光：0-100%线性调节；频闪：独立电子频闪，1-20次/秒；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6、透镜角度：15°、25°（常用）、35°、45°（可选）；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7、控制方式：标准DMX512信号，3芯接口，主从控制、自走、声控模式；DMX通道：≥ 8 通道（数码显示）；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8、冷却系统：自然风冷；</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p>
        </w:tc>
        <w:tc>
          <w:tcPr>
            <w:tcW w:w="696" w:type="dxa"/>
            <w:noWrap w:val="0"/>
            <w:vAlign w:val="center"/>
          </w:tcPr>
          <w:p w14:paraId="19793E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457" w:type="dxa"/>
            <w:noWrap w:val="0"/>
            <w:vAlign w:val="center"/>
          </w:tcPr>
          <w:p w14:paraId="64195A4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93E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7" w:type="dxa"/>
            <w:noWrap w:val="0"/>
            <w:vAlign w:val="center"/>
          </w:tcPr>
          <w:p w14:paraId="3E6F295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006534E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两道侧光（光束摇头灯 ）</w:t>
            </w:r>
          </w:p>
        </w:tc>
        <w:tc>
          <w:tcPr>
            <w:tcW w:w="7056" w:type="dxa"/>
            <w:noWrap w:val="0"/>
            <w:vAlign w:val="center"/>
          </w:tcPr>
          <w:p w14:paraId="1B79DF0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1、输入电压：AC100-240V，50/60Hz；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2、额定功率：≥450W；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3、控制通道：≥16个DMX通道；运行模式：声控，自走，主从，DMX512；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4、颜色盘：≥14个颜色+白光；七彩颜色：≥六色效果；固定图案：≥13个图案+白光；棱  镜：≥两个独立棱镜盘，≥8棱镜+蜂窝棱镜（8+16+24）双棱可叠加；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5、调  焦：双电机高清聚焦；雾  化：雾化和六彩一体架；频  闪：单频闪；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6、调  光：0—100%线性调光；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7、水平/垂直：≥540°水平扫描，≥270°垂直扫描；显示界面：彩屏≥1.8寸按键，≥180°反转显示中英文可切换；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8、灯具外壳：耐高温塑料和合金材料；</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9、防护等级：≥IP20；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10、使用寿命：≥2000h。</w:t>
            </w:r>
          </w:p>
        </w:tc>
        <w:tc>
          <w:tcPr>
            <w:tcW w:w="696" w:type="dxa"/>
            <w:noWrap w:val="0"/>
            <w:vAlign w:val="center"/>
          </w:tcPr>
          <w:p w14:paraId="00FEBDE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36325B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A98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57" w:type="dxa"/>
            <w:noWrap w:val="0"/>
            <w:vAlign w:val="center"/>
          </w:tcPr>
          <w:p w14:paraId="1288A95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2C65871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追光灯</w:t>
            </w:r>
          </w:p>
        </w:tc>
        <w:tc>
          <w:tcPr>
            <w:tcW w:w="7056" w:type="dxa"/>
            <w:noWrap w:val="0"/>
            <w:vAlign w:val="center"/>
          </w:tcPr>
          <w:p w14:paraId="08AF333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1、≥600W的LED光源；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2、灯珠采用优质芯片寿命≥50000小时；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3、色温3200K/5600K/8500K可调；</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4、显色性指数CRL≥90；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5、采用≥12根8mm粗的铜管导热再通过大面积的铝片散热，确保LED灯珠散热达到最佳效果；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6、有红、橙、黄、绿、蓝、白光五色；</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7、0—100%线性调光；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8、5—10度线性放大调焦功能。</w:t>
            </w:r>
          </w:p>
        </w:tc>
        <w:tc>
          <w:tcPr>
            <w:tcW w:w="696" w:type="dxa"/>
            <w:noWrap w:val="0"/>
            <w:vAlign w:val="center"/>
          </w:tcPr>
          <w:p w14:paraId="6C27745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609B1DB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D1D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47584C4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12 </w:t>
            </w:r>
          </w:p>
        </w:tc>
        <w:tc>
          <w:tcPr>
            <w:tcW w:w="1056" w:type="dxa"/>
            <w:noWrap w:val="0"/>
            <w:vAlign w:val="center"/>
          </w:tcPr>
          <w:p w14:paraId="35BF269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信号放大器</w:t>
            </w:r>
          </w:p>
        </w:tc>
        <w:tc>
          <w:tcPr>
            <w:tcW w:w="7056" w:type="dxa"/>
            <w:noWrap w:val="0"/>
            <w:vAlign w:val="center"/>
          </w:tcPr>
          <w:p w14:paraId="3156CE0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1、输入/输出：≥1路DMX512数码输入，≥1路DMX512直接输出，≥8路独立放大驱动输出；功能：输入输出光电隔离，信号放大整形功能，延长信号传输距离；显示：独立的LED信号指示。</w:t>
            </w:r>
          </w:p>
        </w:tc>
        <w:tc>
          <w:tcPr>
            <w:tcW w:w="696" w:type="dxa"/>
            <w:noWrap w:val="0"/>
            <w:vAlign w:val="center"/>
          </w:tcPr>
          <w:p w14:paraId="6FFA1EC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5FB378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4B4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7" w:type="dxa"/>
            <w:noWrap w:val="0"/>
            <w:vAlign w:val="center"/>
          </w:tcPr>
          <w:p w14:paraId="0C75872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13 </w:t>
            </w:r>
          </w:p>
        </w:tc>
        <w:tc>
          <w:tcPr>
            <w:tcW w:w="1056" w:type="dxa"/>
            <w:noWrap w:val="0"/>
            <w:vAlign w:val="center"/>
          </w:tcPr>
          <w:p w14:paraId="5660541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智能配电柜</w:t>
            </w:r>
          </w:p>
        </w:tc>
        <w:tc>
          <w:tcPr>
            <w:tcW w:w="7056" w:type="dxa"/>
            <w:noWrap w:val="0"/>
            <w:vAlign w:val="center"/>
          </w:tcPr>
          <w:p w14:paraId="60B86A7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1、供电：三相AC380V±10％，频率50Hz±5％；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2、额定功率：≥12路×4KW；  可适用于任何负载；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3、过载与短路双重保护高分断空气开关；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4、≥12路40A胶木插输出；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5、内置≥12个继电器带远程控制，继电器采用高品质铜镀镍材质瞬间触发；带国际DMX512信号协议、Art-net灯光网络协议、智能控制定制协议三种控制模式；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6、可通过配套的智能控制系统，单独电控界面实时控制；主机也可通过电柜主机物理按键手动开启每一路通断或灯光控台实时操作工作指令；可独立设置每一路通电时初始的通断状态模式；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7、模式选择：A开机执行、B延时执行、C立即执行三种模式；开机执行模式下：当电柜通电后每一路电力会间隔0.6秒给设备上电，通电后电流会有一个缓冲，更好保护设备，此模式可以替代时驱器功能；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8、机身设有可操作主机界面的液晶屏。</w:t>
            </w:r>
          </w:p>
        </w:tc>
        <w:tc>
          <w:tcPr>
            <w:tcW w:w="696" w:type="dxa"/>
            <w:noWrap w:val="0"/>
            <w:vAlign w:val="center"/>
          </w:tcPr>
          <w:p w14:paraId="3169F2D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234702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7391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7" w:type="dxa"/>
            <w:noWrap w:val="0"/>
            <w:vAlign w:val="center"/>
          </w:tcPr>
          <w:p w14:paraId="5055900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14 </w:t>
            </w:r>
          </w:p>
        </w:tc>
        <w:tc>
          <w:tcPr>
            <w:tcW w:w="1056" w:type="dxa"/>
            <w:noWrap w:val="0"/>
            <w:vAlign w:val="center"/>
          </w:tcPr>
          <w:p w14:paraId="67F6284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电脑灯控台</w:t>
            </w:r>
          </w:p>
        </w:tc>
        <w:tc>
          <w:tcPr>
            <w:tcW w:w="7056" w:type="dxa"/>
            <w:noWrap w:val="0"/>
            <w:vAlign w:val="center"/>
          </w:tcPr>
          <w:p w14:paraId="28B5E2C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1、独立主板，独立CPU，≥120GB固态硬盘，≥4GB内存；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2、支持中文菜单显示且内置多国语言；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3、内置一个≥15.6寸EDP高清显示液晶屏，一个≥15.6寸触摸屏并可扩展外接触摸屏；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4、内置UPS电源避免交流220V突然断电方便保存数据；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5、支持Artnet并可扩展更多通道；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6、≥10个宏按键可编辑任何程序；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7、≥20个重放推杆支持10000个虚拟重放；</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8、强大的CMY调色板功能；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9、支持涂鸦式手写命名功能；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10、支持CITP协议可预览服务器或数字灯的内置素材；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11、预留外部的WI-FI接入点，可使用Ipod Touch和iphone 进行遥控；</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12、内置超过≥1000个世界主流灯具灯库并内置Personality Builder 灯库编辑写入软件；内置Visualiser可视化舞台模拟软件，支持视频；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13、提供MIDI时间码控制，由MIDI遥控重放按钮和推子；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14、内置像素映射及内置图形发生器。</w:t>
            </w:r>
          </w:p>
        </w:tc>
        <w:tc>
          <w:tcPr>
            <w:tcW w:w="696" w:type="dxa"/>
            <w:noWrap w:val="0"/>
            <w:vAlign w:val="center"/>
          </w:tcPr>
          <w:p w14:paraId="6B7038E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48907B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0DA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2EF98D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15 </w:t>
            </w:r>
          </w:p>
        </w:tc>
        <w:tc>
          <w:tcPr>
            <w:tcW w:w="1056" w:type="dxa"/>
            <w:noWrap w:val="0"/>
            <w:vAlign w:val="center"/>
          </w:tcPr>
          <w:p w14:paraId="50F1284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智能控制系统</w:t>
            </w:r>
          </w:p>
        </w:tc>
        <w:tc>
          <w:tcPr>
            <w:tcW w:w="7056" w:type="dxa"/>
            <w:noWrap w:val="0"/>
            <w:vAlign w:val="top"/>
          </w:tcPr>
          <w:p w14:paraId="74FFB67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1、智能音乐解析：内置智能分析技术，实现对匹配音乐的音色音调的零延迟智能同步；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2、声光电影联动：基于OSC/UDP高级控制协议，基于OSC/UDP高级控制协议，实现灯光、音乐、视频播放器的三维一体深度同步；系统可根据PRS分析数据，实时驱动视频的播放速度与节奏变换；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3、智能编程平台：提供中/英双语可视化编程界面，支持用户自定义设置展示页面；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4、计算核心：≥Intel i5处理器、≥4GB DDR4内存及≥120GB工业级固态硬盘；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5、系统：采用Linux操作系统；</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6、触摸控制：配备≥10.4英寸高清多点电容触控屏，操作流畅直观，符合专业场景高强度使用；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7、音频输出：提供≥4路音频输入与≥2路音频输出，可同时接入并智能 切换点歌机、打碟机、调音台、移动设备等多路音源，内置音乐播放功能，实现音频集中处理；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8、兼容性：多协议兼容，支持DMX512、Art-Net、sACN、UDP/TCP、RS232/485及多种智能定制协议，可无缝对接市面上绝大多数灯光、音视频及中控设备；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9、多端口连接：内置≥4路独立DMX512输出端口，≥4路独立DMX512输入端口；≥2路千兆以太网口(用于Art-Net传输及智能电箱或者智控墙板的连接)、≥2路RS232、≥1路485接口及多路USB接口；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10：电力管理：支持通过DMX512或Art-Net信号直接控制智能配电柜，实现灯光设备的分区域、分时序电力管理；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11、照射控制：配备专用追光与面光控制推杆，可对亮度、位置等进行物理推杆式控制，并设有黑场、静音等专业快捷键；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12、内容管理：可选配视频模块，可内置高清视频素材库，支持用户通 过U盘等方式自由上传、分类管理自制素材，可对节目进行分类管理与管控，节目数量与单节目时长无限制，满足海量编排需求；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13、场景搭建：支持多轨道灯光效果自由叠加、混合与实时渲染，可轻松构建富有层次感和戏剧性的复杂灯光场景；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14、快捷操作：可完全自定义的场景快捷键与节目列表；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15、场景预设：支持对音量、播放、模式切换等功能进行一键场景化预设，极大提升现场操作效率与应急响应速度；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16、全平台控制与灵活模式：支持主机模式与控台模式一键切换，适应不同操控习惯；也可通过墙控面板、平板电脑、智能手机等多种第三方设备进行无线扩展控制，实现移动化、分布式管理；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w:t>
            </w:r>
            <w:r>
              <w:rPr>
                <w:rFonts w:hint="eastAsia" w:ascii="仿宋" w:hAnsi="仿宋" w:eastAsia="仿宋" w:cs="仿宋"/>
                <w:color w:val="000000"/>
                <w:sz w:val="24"/>
                <w:lang w:val="en-US" w:eastAsia="zh-CN" w:bidi="ar"/>
              </w:rPr>
              <w:t>2、4、8、9</w:t>
            </w:r>
            <w:r>
              <w:rPr>
                <w:rFonts w:hint="eastAsia" w:ascii="仿宋" w:hAnsi="仿宋" w:eastAsia="仿宋" w:cs="仿宋"/>
                <w:color w:val="000000"/>
                <w:sz w:val="24"/>
                <w:lang w:bidi="ar"/>
              </w:rPr>
              <w:t>，中标后签订合同前需提供带有“CMA”或“CNAS”标志的检测报告原件（提供承诺，格式自拟）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360C9AD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w:t>
            </w:r>
          </w:p>
        </w:tc>
        <w:tc>
          <w:tcPr>
            <w:tcW w:w="457" w:type="dxa"/>
            <w:noWrap w:val="0"/>
            <w:vAlign w:val="center"/>
          </w:tcPr>
          <w:p w14:paraId="0856EBF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CB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6ADAA7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16 </w:t>
            </w:r>
          </w:p>
        </w:tc>
        <w:tc>
          <w:tcPr>
            <w:tcW w:w="1056" w:type="dxa"/>
            <w:noWrap w:val="0"/>
            <w:vAlign w:val="center"/>
          </w:tcPr>
          <w:p w14:paraId="4EC8560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薄雾烟机</w:t>
            </w:r>
          </w:p>
        </w:tc>
        <w:tc>
          <w:tcPr>
            <w:tcW w:w="7056" w:type="dxa"/>
            <w:noWrap w:val="0"/>
            <w:vAlign w:val="center"/>
          </w:tcPr>
          <w:p w14:paraId="3C3CF835">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1、功率：≥1500W；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2、加热时间：≤10秒；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3、电压：AC220-250V，50/60Hz；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4、控制方式：液晶控制面板、内置DMX512（2通道）；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5、具有连续喷烟、定时定量、油瓶密封技术；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6、5档喷烟角度：0～52度；</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7、油瓶容量：≥5L；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8、烟量输出：≥50000cu/ft/min；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9、覆盖面积：≥300m³；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10、耗油量：≤0.25L/小时。</w:t>
            </w:r>
          </w:p>
        </w:tc>
        <w:tc>
          <w:tcPr>
            <w:tcW w:w="696" w:type="dxa"/>
            <w:noWrap w:val="0"/>
            <w:vAlign w:val="center"/>
          </w:tcPr>
          <w:p w14:paraId="4E2DBDA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71C768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833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E85632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17 </w:t>
            </w:r>
          </w:p>
        </w:tc>
        <w:tc>
          <w:tcPr>
            <w:tcW w:w="1056" w:type="dxa"/>
            <w:noWrap w:val="0"/>
            <w:vAlign w:val="center"/>
          </w:tcPr>
          <w:p w14:paraId="5756D40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薄雾烟油</w:t>
            </w:r>
          </w:p>
        </w:tc>
        <w:tc>
          <w:tcPr>
            <w:tcW w:w="7056" w:type="dxa"/>
            <w:noWrap w:val="0"/>
            <w:vAlign w:val="center"/>
          </w:tcPr>
          <w:p w14:paraId="48BA045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1、≥5L。</w:t>
            </w:r>
          </w:p>
        </w:tc>
        <w:tc>
          <w:tcPr>
            <w:tcW w:w="696" w:type="dxa"/>
            <w:noWrap w:val="0"/>
            <w:vAlign w:val="center"/>
          </w:tcPr>
          <w:p w14:paraId="6EE5E10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347CFE1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箱</w:t>
            </w:r>
          </w:p>
        </w:tc>
      </w:tr>
      <w:tr w14:paraId="14DA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6001D3A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18 </w:t>
            </w:r>
          </w:p>
        </w:tc>
        <w:tc>
          <w:tcPr>
            <w:tcW w:w="1056" w:type="dxa"/>
            <w:noWrap w:val="0"/>
            <w:vAlign w:val="center"/>
          </w:tcPr>
          <w:p w14:paraId="5511D50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标准机柜</w:t>
            </w:r>
          </w:p>
        </w:tc>
        <w:tc>
          <w:tcPr>
            <w:tcW w:w="7056" w:type="dxa"/>
            <w:noWrap w:val="0"/>
            <w:vAlign w:val="top"/>
          </w:tcPr>
          <w:p w14:paraId="56FF891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1、机柜容量 ≥42U；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2、机柜标准 ≥19英寸标准；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3、材料及工艺 前门玻璃,后门钣金,材料采用SPCC优质冷轧钢；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4、规格 ≥600×600×2055mm。</w:t>
            </w:r>
          </w:p>
        </w:tc>
        <w:tc>
          <w:tcPr>
            <w:tcW w:w="696" w:type="dxa"/>
            <w:noWrap w:val="0"/>
            <w:vAlign w:val="center"/>
          </w:tcPr>
          <w:p w14:paraId="58674A5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9EADD1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AA6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75165E0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19 </w:t>
            </w:r>
          </w:p>
        </w:tc>
        <w:tc>
          <w:tcPr>
            <w:tcW w:w="1056" w:type="dxa"/>
            <w:noWrap w:val="0"/>
            <w:vAlign w:val="center"/>
          </w:tcPr>
          <w:p w14:paraId="4007C28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舞台机械控制终端吊杆</w:t>
            </w:r>
          </w:p>
        </w:tc>
        <w:tc>
          <w:tcPr>
            <w:tcW w:w="7056" w:type="dxa"/>
            <w:noWrap w:val="0"/>
            <w:vAlign w:val="center"/>
          </w:tcPr>
          <w:p w14:paraId="2D5294D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1、根据图纸现场定制。</w:t>
            </w:r>
          </w:p>
        </w:tc>
        <w:tc>
          <w:tcPr>
            <w:tcW w:w="696" w:type="dxa"/>
            <w:noWrap w:val="0"/>
            <w:vAlign w:val="center"/>
          </w:tcPr>
          <w:p w14:paraId="16B09C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457" w:type="dxa"/>
            <w:noWrap w:val="0"/>
            <w:vAlign w:val="center"/>
          </w:tcPr>
          <w:p w14:paraId="60DA6E8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道</w:t>
            </w:r>
          </w:p>
        </w:tc>
      </w:tr>
      <w:tr w14:paraId="0DEC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57" w:type="dxa"/>
            <w:noWrap w:val="0"/>
            <w:vAlign w:val="center"/>
          </w:tcPr>
          <w:p w14:paraId="0185E2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20 </w:t>
            </w:r>
          </w:p>
        </w:tc>
        <w:tc>
          <w:tcPr>
            <w:tcW w:w="1056" w:type="dxa"/>
            <w:noWrap w:val="0"/>
            <w:vAlign w:val="center"/>
          </w:tcPr>
          <w:p w14:paraId="17D8901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舞台机械全沉浸式控制系统模块</w:t>
            </w:r>
          </w:p>
        </w:tc>
        <w:tc>
          <w:tcPr>
            <w:tcW w:w="7056" w:type="dxa"/>
            <w:noWrap w:val="0"/>
            <w:vAlign w:val="center"/>
          </w:tcPr>
          <w:p w14:paraId="2DDC3D7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单块≥16 路千兆网口；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1、设备配备有真彩色 LCD 面板，可生动地显示设备状态信息；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2、支持≥4 路 HDMI1.3，≥1 路 HDMI2.0，≥1 路 DP1.2；</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3、单台设备总像素带载能力≥650万像素，输出接口至少包括2路10G光口和2路千兆网口；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4、支持≥ 8 个 2k 画面显示，画面大小位置任意，可以随意叠加；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5、支持添加≥ 1 路 OSD 文字显示，不需要输入源即可在输出显示标语等文字信息，内容可通过软件编辑；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 xml:space="preserve">6、支持网口任意串线，留空部分不计入网口带载点数，提高网口利用率；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7、LED发送卡与视频处理器二合一，连线少，稳定性兼容性提升；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8、支持 USB、网口及串口控制，并支持中控控制；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 EDID 的读取，修改，自定义；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10、搭配3D发射器和3D眼睛，可以实现3D显示效果；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11、可对设备的亮度和对比度进行调节，调节范围 0-255；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12、搭配多功能卡实现亮度随环境自动控制；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13、支持多台设备拼接使用；设备间保持完全同步；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14、支持网口间互相备份；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★1-9项，中标后签订合同前需提供带有“CMA”或“CNAS”标志的检测报告原件（提供承诺，格式自拟）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34C8B3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1F79A93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7DF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51BBC26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21 </w:t>
            </w:r>
          </w:p>
        </w:tc>
        <w:tc>
          <w:tcPr>
            <w:tcW w:w="1056" w:type="dxa"/>
            <w:noWrap w:val="0"/>
            <w:vAlign w:val="center"/>
          </w:tcPr>
          <w:p w14:paraId="6CE8802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大灯钩</w:t>
            </w:r>
          </w:p>
        </w:tc>
        <w:tc>
          <w:tcPr>
            <w:tcW w:w="7056" w:type="dxa"/>
            <w:noWrap w:val="0"/>
            <w:vAlign w:val="center"/>
          </w:tcPr>
          <w:p w14:paraId="3CC8648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1、材质：铝材；</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2、厚度：≥3mm；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3、宽度：≥20mm；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4、可安全承重量：≥50kg。</w:t>
            </w:r>
          </w:p>
        </w:tc>
        <w:tc>
          <w:tcPr>
            <w:tcW w:w="696" w:type="dxa"/>
            <w:noWrap w:val="0"/>
            <w:vAlign w:val="center"/>
          </w:tcPr>
          <w:p w14:paraId="277B883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78 </w:t>
            </w:r>
          </w:p>
        </w:tc>
        <w:tc>
          <w:tcPr>
            <w:tcW w:w="457" w:type="dxa"/>
            <w:noWrap w:val="0"/>
            <w:vAlign w:val="center"/>
          </w:tcPr>
          <w:p w14:paraId="43138E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690B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7" w:type="dxa"/>
            <w:noWrap w:val="0"/>
            <w:vAlign w:val="center"/>
          </w:tcPr>
          <w:p w14:paraId="7582877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22 </w:t>
            </w:r>
          </w:p>
        </w:tc>
        <w:tc>
          <w:tcPr>
            <w:tcW w:w="1056" w:type="dxa"/>
            <w:noWrap w:val="0"/>
            <w:vAlign w:val="center"/>
          </w:tcPr>
          <w:p w14:paraId="0CBA46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保险绳</w:t>
            </w:r>
          </w:p>
        </w:tc>
        <w:tc>
          <w:tcPr>
            <w:tcW w:w="7056" w:type="dxa"/>
            <w:noWrap w:val="0"/>
            <w:vAlign w:val="center"/>
          </w:tcPr>
          <w:p w14:paraId="6DE4B80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1、材料：不锈钢；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2、直径：≥0.3-35.0 mm；</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3、结构：双捻(多股)；</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4、排列方式:西鲁式；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5、捻向:右交互(RHRL)；</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6、抗拉强度:≥2500 MPa。</w:t>
            </w:r>
          </w:p>
        </w:tc>
        <w:tc>
          <w:tcPr>
            <w:tcW w:w="696" w:type="dxa"/>
            <w:noWrap w:val="0"/>
            <w:vAlign w:val="center"/>
          </w:tcPr>
          <w:p w14:paraId="438C5D4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64 </w:t>
            </w:r>
          </w:p>
        </w:tc>
        <w:tc>
          <w:tcPr>
            <w:tcW w:w="457" w:type="dxa"/>
            <w:noWrap w:val="0"/>
            <w:vAlign w:val="center"/>
          </w:tcPr>
          <w:p w14:paraId="1EB7D9D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条</w:t>
            </w:r>
          </w:p>
        </w:tc>
      </w:tr>
      <w:tr w14:paraId="7E0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34A1EA7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23 </w:t>
            </w:r>
          </w:p>
        </w:tc>
        <w:tc>
          <w:tcPr>
            <w:tcW w:w="1056" w:type="dxa"/>
            <w:noWrap w:val="0"/>
            <w:vAlign w:val="center"/>
          </w:tcPr>
          <w:p w14:paraId="6C8BA90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11CB86C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灯光及舞台机械设备系统该系统范围内所有设备所需要的串线及配件，本项目为交钥匙工程，不允许额外增加任何费用）；包含但不限于：国标主电缆≥ZR-YJV4*16㎡+1、电源线≥RVV3*2.5㎡、512信号线≥2*0.35mm²+1p、六类网线、16A胶木插头、沉浸式等。</w:t>
            </w:r>
          </w:p>
        </w:tc>
        <w:tc>
          <w:tcPr>
            <w:tcW w:w="696" w:type="dxa"/>
            <w:noWrap w:val="0"/>
            <w:vAlign w:val="center"/>
          </w:tcPr>
          <w:p w14:paraId="654D2E8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299C46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4F22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6BA12025">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3EBA3C24">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65FBF870">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3E1097B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5B1AD21A">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094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522ECA70">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01B5CDE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4、中控系统</w:t>
            </w:r>
          </w:p>
        </w:tc>
        <w:tc>
          <w:tcPr>
            <w:tcW w:w="7056" w:type="dxa"/>
            <w:noWrap w:val="0"/>
            <w:vAlign w:val="center"/>
          </w:tcPr>
          <w:p w14:paraId="4AA7CF6A">
            <w:pPr>
              <w:jc w:val="left"/>
              <w:rPr>
                <w:rFonts w:hint="eastAsia" w:ascii="仿宋" w:hAnsi="仿宋" w:eastAsia="仿宋" w:cs="仿宋"/>
                <w:b/>
                <w:bCs/>
                <w:i w:val="0"/>
                <w:iCs w:val="0"/>
                <w:color w:val="000000"/>
                <w:sz w:val="24"/>
                <w:szCs w:val="24"/>
                <w:u w:val="none"/>
              </w:rPr>
            </w:pPr>
          </w:p>
        </w:tc>
        <w:tc>
          <w:tcPr>
            <w:tcW w:w="696" w:type="dxa"/>
            <w:noWrap w:val="0"/>
            <w:vAlign w:val="center"/>
          </w:tcPr>
          <w:p w14:paraId="4530A4BC">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1AB08844">
            <w:pPr>
              <w:jc w:val="center"/>
              <w:rPr>
                <w:rFonts w:hint="eastAsia" w:ascii="仿宋" w:hAnsi="仿宋" w:eastAsia="仿宋" w:cs="仿宋"/>
                <w:b/>
                <w:bCs/>
                <w:i w:val="0"/>
                <w:iCs w:val="0"/>
                <w:color w:val="000000"/>
                <w:sz w:val="24"/>
                <w:szCs w:val="24"/>
                <w:u w:val="none"/>
              </w:rPr>
            </w:pPr>
          </w:p>
        </w:tc>
      </w:tr>
      <w:tr w14:paraId="125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457" w:type="dxa"/>
            <w:noWrap w:val="0"/>
            <w:vAlign w:val="center"/>
          </w:tcPr>
          <w:p w14:paraId="34B0C7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0287D4B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可编程中央控制主机（加触控终端）</w:t>
            </w:r>
          </w:p>
        </w:tc>
        <w:tc>
          <w:tcPr>
            <w:tcW w:w="7056" w:type="dxa"/>
            <w:noWrap w:val="0"/>
            <w:vAlign w:val="center"/>
          </w:tcPr>
          <w:p w14:paraId="2AFC938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1、主频≥2GHz的32位内嵌式CPU处理器，内存≥16G；</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2、主机≥10路串口，≥8路IR，≥8路I0，≥8路弱继电器，≥4个模拟量输入接口，≥2路NET口，具备可视化调试功能，可通过HDMI接口输出设备状态及管理界面；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3、≥8路红外可编程控制接口，内置红外学习器，可以支持对周边所有红外设备（如：DVD/TV）的控制，且单个红外接口可以同时连接控制多个不同设备；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4、具有自定义宏功能模块，可以创建自定义宏。具有存储调用组功能模块，可以创建存储调用组，对变量数据进行保存，实现按钮状态，拖动条状态，文本状态数据掉电重启的恢复功能；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5、支持远程控制，控制接口可扩展，支持一键式联动控制功能，控制软件中文界面，提供开放式可编程控制平台，支持第三方设备控制；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网页版KVM，在突发事件发生时，非本地专业业务人员可通过网络远程对指挥中心相关业务电脑进行控制，实现应急处突，保障指挥调度任务顺利进行；支持通过终端web远程访问，系统数据完全本地部署，恶意扫描、账号爆破手段无法触达本地服务器，保障安全可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7、支持多种控制模式如：PC控制、IPAD、Android触摸屏、墙上面板控制等，并支持IE浏览器（无需web服务器）；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8、中控系统支持冗余热备份，支持双向反馈，可显示温度、湿度、pm2.5及周边环境状态；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多种编程语言，如图形化编程（拖拽方块）、Lua、Python脚本、类C语言化编程；支持对平台内接入的所有设备进行可视化管控，可按需记录设备的多条实时运行参数，具备数据采集能力，本地历史数据存储时间不少于90天；</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10、支持大型组网集中管理；开放式类C语言编程，程序可上传云端；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11、≥8路独立可编程控制串口接口，≥8路弱电继电器接口和≥8路数字输入/输出IO 接口，可联动相关人体红外感应器状态，进行智能化场景切换，实现人来灯亮，人走灯灭的功能；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★2、7、8、9，中标后签订合同前需提供带有“CMA”或“CNAS”标志的检测报告原件（提供承诺，格式自拟）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2897702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C5F417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5467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28E86AA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29C2039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无线接收器</w:t>
            </w:r>
          </w:p>
        </w:tc>
        <w:tc>
          <w:tcPr>
            <w:tcW w:w="7056" w:type="dxa"/>
            <w:noWrap w:val="0"/>
            <w:vAlign w:val="center"/>
          </w:tcPr>
          <w:p w14:paraId="2EF10A4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1、无线速率：≥3000m；                                         </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2、无线协议：Wi-Fi6。</w:t>
            </w:r>
          </w:p>
        </w:tc>
        <w:tc>
          <w:tcPr>
            <w:tcW w:w="696" w:type="dxa"/>
            <w:noWrap w:val="0"/>
            <w:vAlign w:val="center"/>
          </w:tcPr>
          <w:p w14:paraId="0F6B75B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4CBE0D9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1BE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E7D887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701DB6C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红外发射棒</w:t>
            </w:r>
          </w:p>
        </w:tc>
        <w:tc>
          <w:tcPr>
            <w:tcW w:w="7056" w:type="dxa"/>
            <w:noWrap w:val="0"/>
            <w:vAlign w:val="center"/>
          </w:tcPr>
          <w:p w14:paraId="688611C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1、用于控制红外遥控设备，可延长至≥100米。</w:t>
            </w:r>
          </w:p>
        </w:tc>
        <w:tc>
          <w:tcPr>
            <w:tcW w:w="696" w:type="dxa"/>
            <w:noWrap w:val="0"/>
            <w:vAlign w:val="center"/>
          </w:tcPr>
          <w:p w14:paraId="7AE036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457" w:type="dxa"/>
            <w:noWrap w:val="0"/>
            <w:vAlign w:val="center"/>
          </w:tcPr>
          <w:p w14:paraId="091BA87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根</w:t>
            </w:r>
          </w:p>
        </w:tc>
      </w:tr>
      <w:tr w14:paraId="655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57" w:type="dxa"/>
            <w:noWrap w:val="0"/>
            <w:vAlign w:val="center"/>
          </w:tcPr>
          <w:p w14:paraId="27FD07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270B726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协同中控控制子系统</w:t>
            </w:r>
          </w:p>
        </w:tc>
        <w:tc>
          <w:tcPr>
            <w:tcW w:w="7056" w:type="dxa"/>
            <w:noWrap w:val="0"/>
            <w:vAlign w:val="center"/>
          </w:tcPr>
          <w:p w14:paraId="18F2106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单块 ≥12 个标准接口；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1、通过对Gamma表算法的优化，使得显示屏在降低亮度时能保持灰阶的完整无损失、完美显示， 呈现低亮度高灰阶的显示效果；亮色度校正：为保障屏幕色彩一致性，支持亮度、色度逐点校正，提供校正低灰补偿，保障低灰显示效果；Gamma 独立调节：支持 RGB Gamma 独立调节功能，红、绿、蓝 gamma 值可独立调节，修正颜色跳变及偏色，有效控制设备低灰不均匀、白平衡漂移等问题，使画面更加真实；</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2、智能串线功能：无需了解接收卡串线顺序，用户可根据屏幕闪烁提示，在软件上完成映射设置，便于屏幕调试；</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3、异形处理：支持抽点显示与数据偏移，可完成异形屏带载，搭配专用异形发送设备时还可实现高保真图像变形显示，在异形屏幕上播放普通素材时有效避免内容缺失；</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4、一键回读：可一键回读所有配置文件信息从而快速恢复参数设置；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5、主从备份功能：为保障设备播出正常，支持接收卡主从备份功能，备份状态下，接收卡网络数据为双向传输；主从串联线路中，当其中一条线路出现故障时，另一条线路会及时工作，保证显示屏正常工作；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6、升级保护：为保证产品后续升级的安全性，程序升级支持断电保护功能，产品固件升级过程中发生意外断电时，产品仍可正常使用；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7、模组任意旋转：支持模组任意角度旋转，呈现不同形状，展现更多变的画面；</w:t>
            </w:r>
          </w:p>
        </w:tc>
        <w:tc>
          <w:tcPr>
            <w:tcW w:w="696" w:type="dxa"/>
            <w:noWrap w:val="0"/>
            <w:vAlign w:val="center"/>
          </w:tcPr>
          <w:p w14:paraId="4BDEE4D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51 </w:t>
            </w:r>
          </w:p>
        </w:tc>
        <w:tc>
          <w:tcPr>
            <w:tcW w:w="457" w:type="dxa"/>
            <w:noWrap w:val="0"/>
            <w:vAlign w:val="center"/>
          </w:tcPr>
          <w:p w14:paraId="67563A2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张</w:t>
            </w:r>
          </w:p>
        </w:tc>
      </w:tr>
      <w:tr w14:paraId="012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57" w:type="dxa"/>
            <w:noWrap w:val="0"/>
            <w:vAlign w:val="center"/>
          </w:tcPr>
          <w:p w14:paraId="341E43E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482614D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系统软件单元</w:t>
            </w:r>
          </w:p>
        </w:tc>
        <w:tc>
          <w:tcPr>
            <w:tcW w:w="7056" w:type="dxa"/>
            <w:noWrap w:val="0"/>
            <w:vAlign w:val="center"/>
          </w:tcPr>
          <w:p w14:paraId="2A105AD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1、平板终端可感知单元控制的设备的状态和数据；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2、平板终端可实时反馈光感检测、PM2.5检测、门磁检测、温度检测湿度检测等各种感应检测器的检测结果；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3、平板终端之间控制状态同步；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4、平板终端接入自动与系统同步；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5、软件自动与系统和平板终端同步；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6、支持iOS、Windows平台下对系统进行交互式控制；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7、集成音频系统、数字会议系统、视频显示系统、录播系统等系统，集成可视化管理和一体化控制为一体；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8、后期系统编程、界面编辑、脚本语言编程，多平台解析软件，可根据用户要求定制化管理界面，设置多级管理权限，软件运稳定界面友好、简学易用；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9、支持对第三方设备控制。</w:t>
            </w:r>
          </w:p>
        </w:tc>
        <w:tc>
          <w:tcPr>
            <w:tcW w:w="696" w:type="dxa"/>
            <w:noWrap w:val="0"/>
            <w:vAlign w:val="center"/>
          </w:tcPr>
          <w:p w14:paraId="0E9BE91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D48E9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0B47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57" w:type="dxa"/>
            <w:noWrap w:val="0"/>
            <w:vAlign w:val="center"/>
          </w:tcPr>
          <w:p w14:paraId="02066B9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11FAB98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电源控制器</w:t>
            </w:r>
          </w:p>
        </w:tc>
        <w:tc>
          <w:tcPr>
            <w:tcW w:w="7056" w:type="dxa"/>
            <w:noWrap w:val="0"/>
            <w:vAlign w:val="center"/>
          </w:tcPr>
          <w:p w14:paraId="79E136E6">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1、配备≥3.5寸彩色TFT-LCD显示屏，可实时显示当前电压，日期时间，信道开关状态；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2、≥8路开关通道输出，每路延时开启和关闭时间可自由设置（范围0~999秒）；</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3、每通道可以独立设置开启/关闭，方便设备灵活使用；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4、每通道独立滤波器，提供稳定，无干忧电流；</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5、内置时钟芯片，可根据日期时间定时设置自动开启/关闭每一通道；</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6、欠压、过压保护，可自定义设置保护值；</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7、配置RS232和RS485接口，支持级联、中央设备控制；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8、额定输出总电流：≥40A，单路输出电流：≥20A；</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9、每一路功率：可承载≥2000W；</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10、每一路带滤波；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11、带级联功能。</w:t>
            </w:r>
          </w:p>
        </w:tc>
        <w:tc>
          <w:tcPr>
            <w:tcW w:w="696" w:type="dxa"/>
            <w:noWrap w:val="0"/>
            <w:vAlign w:val="center"/>
          </w:tcPr>
          <w:p w14:paraId="0F9174D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457" w:type="dxa"/>
            <w:noWrap w:val="0"/>
            <w:vAlign w:val="center"/>
          </w:tcPr>
          <w:p w14:paraId="6BB400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E04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57" w:type="dxa"/>
            <w:noWrap w:val="0"/>
            <w:vAlign w:val="center"/>
          </w:tcPr>
          <w:p w14:paraId="0DD341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495EF4B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手自一体PLC电源控制箱40KW</w:t>
            </w:r>
          </w:p>
        </w:tc>
        <w:tc>
          <w:tcPr>
            <w:tcW w:w="7056" w:type="dxa"/>
            <w:noWrap w:val="0"/>
            <w:vAlign w:val="center"/>
          </w:tcPr>
          <w:p w14:paraId="5B1C13B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1、通过浪涌（冲击)抗扰度试验；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2、通过电快速瞬变脉冲群抗扰度试验；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3、通过辐射骚扰抗扰度试验；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4、通过静电放电抗扰度试验；</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5、手机控制：手机人机界面控制；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6、故障记录：异常报警(高温、烟雾、漏电、过载等）；</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7、通讯接口：串口+网口（MODBUS-RTU+TCP）；</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9、手动控制：一键启动、停止；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10、自动控制：电脑远程控制；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11、中控控制：中控协议通讯；</w:t>
            </w:r>
          </w:p>
        </w:tc>
        <w:tc>
          <w:tcPr>
            <w:tcW w:w="696" w:type="dxa"/>
            <w:noWrap w:val="0"/>
            <w:vAlign w:val="center"/>
          </w:tcPr>
          <w:p w14:paraId="32B20DA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B636E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28F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714B2B4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241FC8B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04D5656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1、满足要求（此项包含中控系统该系统范围内所有设备所需要的串线及配件，本项目为交钥匙工程，不允许额外增加任何费用）；包含但不限于：六类网线、电源线≥RVV3*2.5㎡等。</w:t>
            </w:r>
          </w:p>
        </w:tc>
        <w:tc>
          <w:tcPr>
            <w:tcW w:w="696" w:type="dxa"/>
            <w:noWrap w:val="0"/>
            <w:vAlign w:val="center"/>
          </w:tcPr>
          <w:p w14:paraId="4A43F95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FA0EE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0DF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3E46132E">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00F9D738">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55E03718">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33080C0B">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35DDD209">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158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0B207F18">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37F41D80">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5、视频信号处理系统</w:t>
            </w:r>
          </w:p>
        </w:tc>
        <w:tc>
          <w:tcPr>
            <w:tcW w:w="7056" w:type="dxa"/>
            <w:noWrap w:val="0"/>
            <w:vAlign w:val="center"/>
          </w:tcPr>
          <w:p w14:paraId="2B4B5FB7">
            <w:pPr>
              <w:jc w:val="left"/>
              <w:rPr>
                <w:rFonts w:hint="eastAsia" w:ascii="仿宋" w:hAnsi="仿宋" w:eastAsia="仿宋" w:cs="仿宋"/>
                <w:b/>
                <w:bCs/>
                <w:i w:val="0"/>
                <w:iCs w:val="0"/>
                <w:color w:val="000000"/>
                <w:sz w:val="24"/>
                <w:szCs w:val="24"/>
                <w:u w:val="none"/>
              </w:rPr>
            </w:pPr>
          </w:p>
        </w:tc>
        <w:tc>
          <w:tcPr>
            <w:tcW w:w="696" w:type="dxa"/>
            <w:noWrap w:val="0"/>
            <w:vAlign w:val="center"/>
          </w:tcPr>
          <w:p w14:paraId="4063A15D">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70FB3832">
            <w:pPr>
              <w:jc w:val="center"/>
              <w:rPr>
                <w:rFonts w:hint="eastAsia" w:ascii="仿宋" w:hAnsi="仿宋" w:eastAsia="仿宋" w:cs="仿宋"/>
                <w:b/>
                <w:bCs/>
                <w:i w:val="0"/>
                <w:iCs w:val="0"/>
                <w:color w:val="000000"/>
                <w:sz w:val="24"/>
                <w:szCs w:val="24"/>
                <w:u w:val="none"/>
              </w:rPr>
            </w:pPr>
          </w:p>
        </w:tc>
      </w:tr>
      <w:tr w14:paraId="6CB7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457" w:type="dxa"/>
            <w:noWrap w:val="0"/>
            <w:vAlign w:val="center"/>
          </w:tcPr>
          <w:p w14:paraId="019BB7E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1EF04C5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4K会议录播一体机（带显示终端）</w:t>
            </w:r>
          </w:p>
        </w:tc>
        <w:tc>
          <w:tcPr>
            <w:tcW w:w="7056" w:type="dxa"/>
            <w:noWrap w:val="0"/>
            <w:vAlign w:val="center"/>
          </w:tcPr>
          <w:p w14:paraId="3E676D2F">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1、通过电快速瞬变脉冲群抗扰度、浪涌（冲击）抗扰度、射频电磁场辐射抗扰度、射频场感应的传导骚扰抗扰度测试；</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2、音频接口：支持≥3路LINE IN接口；≥1路3.5mm音频输入；≥2路MIC接口；具有≥1路HDMI；支持≥2路LINE OUT接口；≥1路3.5mm音频输出；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3、其他接口：要求支持≥3路RS232控制接口；具备≥3路USB3.0接口，具备≥1路USB2.0接口，支持连接鼠标、键盘进行导播控制以及主机连接U盘进行课程视频的录制、下载；要求具有≥1路TYPE-C接口；</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4、要求支持≥4路RJ45网口，其中≥3路为POE网口，集供电、控制、视频传输于一体；支持摄像机智能组网，摄像机即插即用；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5、要求录播主机采用一体化嵌入式硬件设计架构；内置四核及以上处理器、Linux系统、≥8GB内存，≥1T硬盘；</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6、视频编码：要求支持H.265和H.264两种视频编码协议，支持4K分辨率（3840*2160）视频的编码和录制；</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7、要求支持IPV4、IPV6链路地址、IPV6外网地址三个网络地址配置，支持启用DHCP自动获取IP地址；</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8、系统具有推送公网直播功能，支持通过微信扫码登录创建直播，也可以不登录直接创建直播，并可在设备上自动生成直播二维码，扫描即可观看直播，支持直播列表的查看；</w:t>
            </w:r>
          </w:p>
          <w:p w14:paraId="45746F8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9、要求录播主机满足录制、直播、点播、互动、导播管理、存储、切换、视音频编码、语音转写、虚拟抠像、行为分析等功能，支持远程互动教学，实现远程互动网络课堂；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★2-7，中标后签订合同前需提供带有“CMA”或“CNAS”标志的检测报告原件（提供承诺，格式自拟）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1DF7C31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5880F0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80D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trPr>
        <w:tc>
          <w:tcPr>
            <w:tcW w:w="457" w:type="dxa"/>
            <w:noWrap w:val="0"/>
            <w:vAlign w:val="center"/>
          </w:tcPr>
          <w:p w14:paraId="11D81FB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28F8198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录播系统</w:t>
            </w:r>
          </w:p>
        </w:tc>
        <w:tc>
          <w:tcPr>
            <w:tcW w:w="7056" w:type="dxa"/>
            <w:noWrap w:val="0"/>
            <w:vAlign w:val="center"/>
          </w:tcPr>
          <w:p w14:paraId="67FFA2C9">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1、系统支持账号密码登录，录制模式支持电影模式、资源模式两种，能同时支持≥1路电影模式加≥6路资源录制，同时录制合成画面、教师全景、教师特写、学生全景、学生特写、电脑画面等；</w:t>
            </w:r>
          </w:p>
          <w:p w14:paraId="28F981D9">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2、录制格式至少支持MP4/FLV/TS，录制分辨率支持3840*2160、1920*1080等，支持录制帧率设定，可选择25fps/30fps，码流支持1000-20000kbps可选；</w:t>
            </w:r>
          </w:p>
          <w:p w14:paraId="251F8D88">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3、支持实时显示录播主机CPU的使用率，硬盘使用情况，≥6路预监画面；</w:t>
            </w:r>
          </w:p>
          <w:p w14:paraId="25844255">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4、导播模式支持视频预览、直播输出监视、视频切换、音频调整等功能；</w:t>
            </w:r>
          </w:p>
          <w:p w14:paraId="241E52EE">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5、支持添加字幕，支持包括系统时间在内的九种预设字幕的设置，其中系统时间支持自动校准；可直接通过拖拽实现自定义字幕显示位置；支持设置多种字体、多种颜色。系统界面自带虚拟软键盘，无需外接USB键盘，支持多种格式的字幕，可输入中文、英文、数字、特殊符号；</w:t>
            </w:r>
          </w:p>
          <w:p w14:paraId="4B3EF246">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6、支持导播模式设置：支持手动、半自动、全自动模式，支持查看软件版本，设备型号，硬件版本，设备编号；</w:t>
            </w:r>
          </w:p>
          <w:p w14:paraId="5C49AE0F">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7、提供多种画面布局模式，支持视频画面叠加与组合，包括单画面、双分屏画面、三分屏画面、四分屏画面显示；</w:t>
            </w:r>
          </w:p>
          <w:p w14:paraId="3E2CD30C">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8、支持≥4种片头和≥4种片尾的添加，可以设置插入片头片尾的时间，支持jpg、png格式；</w:t>
            </w:r>
          </w:p>
          <w:p w14:paraId="45F23874">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9、台标支持≥4个固定位置，分别为左上、右上、左下、右下，支持手动拖拽移动台标，实现界面任意位置的台标设置，支持设定图片台标，支持jpg、png格式；</w:t>
            </w:r>
          </w:p>
          <w:p w14:paraId="2D18EB98">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10、支持上滑、下滑、左滑、右滑等多种切换特效，支持自定义选择≥4种特效切换速度；</w:t>
            </w:r>
          </w:p>
          <w:p w14:paraId="36418715">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11、系统支持摄像机云台控制，可以对摄像机进行变焦、上下左右位置调整以及≥8个预置位的设置；</w:t>
            </w:r>
          </w:p>
          <w:p w14:paraId="7103C503">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12、系统支持录制倒计时和循环记录功能，支持录制到U盘；</w:t>
            </w:r>
          </w:p>
          <w:p w14:paraId="6BA21645">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13、所录制的视频文件既可本地存储，也可网络平台存储。支持用户随时通过录播主机点播回放视频，并可下载；</w:t>
            </w:r>
          </w:p>
          <w:p w14:paraId="19666DD8">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14、系统支持录制单个文件和限时自动分割录制功能，可选择多种自动分割时长；</w:t>
            </w:r>
          </w:p>
          <w:p w14:paraId="286AF691">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15、系统具有推送公网直播功能，并可在设备上自动生成直播二维码，扫描即可观看直播，支持直播列表的查看；</w:t>
            </w:r>
          </w:p>
          <w:p w14:paraId="2C64BD5F">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16、要求内置微课制作功能，支持前景、人像、背景3层场景叠加，叠加的场景支持PPT、视频、图片，虚拟抠像后的人像等类型；</w:t>
            </w:r>
          </w:p>
          <w:p w14:paraId="72A0338F">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17、要求支持虚拟抠像后合成的画面实现和远端进行音视频互动；</w:t>
            </w:r>
          </w:p>
          <w:p w14:paraId="3AD6742F">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18、可实现行为分析、实时字幕的语音转写和热词提取；</w:t>
            </w:r>
          </w:p>
          <w:p w14:paraId="2E87B591">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19、系统内置行为分析系统，支持对教室人数、举手人数、站立人数、背身人数、趴下人数、低头人数、扭头人数的实时统计，并实时汇总学生的参与度、活跃度和抬头率；</w:t>
            </w:r>
          </w:p>
          <w:p w14:paraId="2432D492">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20、内置互动系统，支持标准SIP和H.323互动协议，支持互动列表，列表中可以显示所有与会者的信息；支持互动画面布局的显示，布局支持单分屏，双分屏，四分屏显示；互动界面支持双流、一键静音、全屏、导播设置等功能；</w:t>
            </w:r>
          </w:p>
          <w:p w14:paraId="12B4CD71">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21、支持对录播机进行网络检测，可实时检测服务器连通性、网络稳定性、上行下行速度、网络追踪性、网卡信息、信道状态；</w:t>
            </w:r>
          </w:p>
          <w:p w14:paraId="4A7A7E86">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22、进入互动系统时可支持查看永久课历史记录，可输入房间号快速加入远程互动，并显示对应的课程信息，包括时长、主讲人、房间名称、房间号、丢包率、网络延时等；</w:t>
            </w:r>
          </w:p>
          <w:p w14:paraId="0E494DC1">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23、创建房间时支持对主题、主讲人、开课日期、开课时间和结束时间、验证方式的设置，其中验证方式支持公开和加密的选择；</w:t>
            </w:r>
          </w:p>
          <w:p w14:paraId="6CCD7A63">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24、支持对每个互动房间自动分配短号，可以通过短号直接实现多个设备间的互动；</w:t>
            </w:r>
          </w:p>
          <w:p w14:paraId="7B8D6840">
            <w:pPr>
              <w:keepNext w:val="0"/>
              <w:keepLines w:val="0"/>
              <w:widowControl/>
              <w:suppressLineNumbers w:val="0"/>
              <w:jc w:val="left"/>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25、系统支持中英文版本切换；</w:t>
            </w:r>
          </w:p>
          <w:p w14:paraId="34F9669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w:t>
            </w:r>
            <w:r>
              <w:rPr>
                <w:rFonts w:hint="eastAsia" w:ascii="仿宋" w:hAnsi="仿宋" w:eastAsia="仿宋" w:cs="仿宋"/>
                <w:color w:val="000000"/>
                <w:sz w:val="24"/>
                <w:lang w:val="en-US" w:eastAsia="zh-CN" w:bidi="ar"/>
              </w:rPr>
              <w:t>1、2、3、8、9、10、20</w:t>
            </w:r>
            <w:r>
              <w:rPr>
                <w:rFonts w:hint="eastAsia" w:ascii="仿宋" w:hAnsi="仿宋" w:eastAsia="仿宋" w:cs="仿宋"/>
                <w:color w:val="000000"/>
                <w:sz w:val="24"/>
                <w:lang w:bidi="ar"/>
              </w:rPr>
              <w:t>，中标后签订合同前需提供带有“CMA”或“CNAS”标志的检测报告原件（提供承诺，格式自拟）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2FC0F6E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A2A2BB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0CA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14FDE66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2B67048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导播控制系统</w:t>
            </w:r>
          </w:p>
        </w:tc>
        <w:tc>
          <w:tcPr>
            <w:tcW w:w="7056" w:type="dxa"/>
            <w:noWrap w:val="0"/>
            <w:vAlign w:val="center"/>
          </w:tcPr>
          <w:p w14:paraId="1E6F2E43">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1、要求配合录播系统使用，支持基于网络的远程导播；</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2、要求支持局域网搜索功能，自动适配录播一体机；同时还支持手动添加，支持将指定的录播一体机通过IP搜索加入管理列表；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3、要求导播界面可以实时预览视频画面，包括主画面和每个通道画面；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4、要求支持远程管理录播系统；可进入后台管理界面，远程管理录播一体机的网络、视频、音频、互动、基础配置、直播、录制、文件管理等功能；</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5、要求支持查看录播主机状态，支持管理多个录播主机。</w:t>
            </w:r>
          </w:p>
        </w:tc>
        <w:tc>
          <w:tcPr>
            <w:tcW w:w="696" w:type="dxa"/>
            <w:noWrap w:val="0"/>
            <w:vAlign w:val="center"/>
          </w:tcPr>
          <w:p w14:paraId="0526FD4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73D471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721D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7" w:type="dxa"/>
            <w:noWrap w:val="0"/>
            <w:vAlign w:val="center"/>
          </w:tcPr>
          <w:p w14:paraId="6AD784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5DB1C4A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键鼠套装</w:t>
            </w:r>
          </w:p>
        </w:tc>
        <w:tc>
          <w:tcPr>
            <w:tcW w:w="7056" w:type="dxa"/>
            <w:noWrap w:val="0"/>
            <w:vAlign w:val="center"/>
          </w:tcPr>
          <w:p w14:paraId="0AD177D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1、键盘接口 USB；</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2、键盘按键数 ≥104键；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3、具有多媒体功能键、音频接口、符合人体工学。</w:t>
            </w:r>
          </w:p>
        </w:tc>
        <w:tc>
          <w:tcPr>
            <w:tcW w:w="696" w:type="dxa"/>
            <w:noWrap w:val="0"/>
            <w:vAlign w:val="center"/>
          </w:tcPr>
          <w:p w14:paraId="688D215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524AF8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7DA6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7" w:type="dxa"/>
            <w:noWrap w:val="0"/>
            <w:vAlign w:val="center"/>
          </w:tcPr>
          <w:p w14:paraId="31370FA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289E894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实际大数据处理决策中控平台</w:t>
            </w:r>
          </w:p>
        </w:tc>
        <w:tc>
          <w:tcPr>
            <w:tcW w:w="7056" w:type="dxa"/>
            <w:noWrap w:val="0"/>
            <w:vAlign w:val="center"/>
          </w:tcPr>
          <w:p w14:paraId="1537A637">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1、高清HDMI矩阵，标准机架设计，高度为1U；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2、支持≥8路HDMI输入，≥8路HDMI输出，输入输出均支持HDMI1.4a协议，分辨率可达4K@30Hz、1080@120Hz；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3、每路输入接口均支持HDCP解析、支持EDID透传和学习；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4、采用水晶可视化按键，同时首创两键式操作，让信号切换更加简单有效，操作人员零基础就可以轻松掌握所有操作；</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5、支持可视化按键、RS-232、TCP/IP以及遥控多种控制方式；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6、前面板LCD显示屏能够实时显示矩阵信号切换状态及系统配置；</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7、采用ESD静电防护设计，能承受人体放电模式：  ± 8kV (气隙放电)，± 4kV (接触放电)，有效地避免了静电对设备的干扰及损害。</w:t>
            </w:r>
          </w:p>
        </w:tc>
        <w:tc>
          <w:tcPr>
            <w:tcW w:w="696" w:type="dxa"/>
            <w:noWrap w:val="0"/>
            <w:vAlign w:val="center"/>
          </w:tcPr>
          <w:p w14:paraId="13255A5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79299DC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904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4B152DE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29D3955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HDMI发送器</w:t>
            </w:r>
          </w:p>
        </w:tc>
        <w:tc>
          <w:tcPr>
            <w:tcW w:w="7056" w:type="dxa"/>
            <w:noWrap w:val="0"/>
            <w:vAlign w:val="center"/>
          </w:tcPr>
          <w:p w14:paraId="4AD6E23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1、发送端：输入接口：≥1路HDMI输入，输出接口：≥1路RJ45出；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2、HDMI信号：HDMI1.3，完全兼容HDCP1.4；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3、分辨率：480i, 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4、网线：非屏蔽或屏蔽五类/六类网线（UTP/STP Cat5/5e/6）；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5、传输距离：1080p60Hz情况下Cat6：≥120米；CAT5E：≥100米；CAT5：≥80米；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6、传输速率：≥18Mbps；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7、工作温度：-15℃~ 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8、电源供电：DC5V/1A（2个）；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9、防护：防静电、防雷击、防浪涌。</w:t>
            </w:r>
          </w:p>
        </w:tc>
        <w:tc>
          <w:tcPr>
            <w:tcW w:w="696" w:type="dxa"/>
            <w:noWrap w:val="0"/>
            <w:vAlign w:val="center"/>
          </w:tcPr>
          <w:p w14:paraId="228B448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37231D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84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457" w:type="dxa"/>
            <w:noWrap w:val="0"/>
            <w:vAlign w:val="center"/>
          </w:tcPr>
          <w:p w14:paraId="2D2C60F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4BFA98A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HDMI接收器</w:t>
            </w:r>
          </w:p>
        </w:tc>
        <w:tc>
          <w:tcPr>
            <w:tcW w:w="7056" w:type="dxa"/>
            <w:noWrap w:val="0"/>
            <w:vAlign w:val="center"/>
          </w:tcPr>
          <w:p w14:paraId="5357E844">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1、接收端：输入接口：≥1路RJ45，输出接口：≥1路HDMI输出；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2、HDMI信号：HDMI1.3，完全兼容HDCP1.4；</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3、分辨率：480i，480p，576i，576p，720p@50/60Hz，1080i@50/60Hz，1080p@50/60Hz；</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4、网线：非屏蔽或屏蔽五类/六类网线（UTP/STP Cat5/5e/6）；</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5、传输距离：1080p60Hz情况下Cat6：≥120米；CAT5E：≥100米；CAT5：≥80米；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6、传输速率：≥18Mbps；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7、工作温度：-15℃~ 60℃；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8、电源供电：DC5V/1A（2个）；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9、防护：防静电、防雷击、防浪涌。</w:t>
            </w:r>
          </w:p>
        </w:tc>
        <w:tc>
          <w:tcPr>
            <w:tcW w:w="696" w:type="dxa"/>
            <w:noWrap w:val="0"/>
            <w:vAlign w:val="center"/>
          </w:tcPr>
          <w:p w14:paraId="39A758C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7F0EE13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22E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457" w:type="dxa"/>
            <w:noWrap w:val="0"/>
            <w:vAlign w:val="center"/>
          </w:tcPr>
          <w:p w14:paraId="30A3A1B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6C18505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4K带云台高清室内摄像机</w:t>
            </w:r>
          </w:p>
        </w:tc>
        <w:tc>
          <w:tcPr>
            <w:tcW w:w="7056" w:type="dxa"/>
            <w:noWrap w:val="0"/>
            <w:vAlign w:val="center"/>
          </w:tcPr>
          <w:p w14:paraId="04F25C42">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1、采用≥1/2.5英寸高品质图像传感器，最大分辨率可达4K@60fps；</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2、≥12X光学变焦,80.4°广角镜头； 焦距范围≥ f=3.85mm～46.2mm ±5%；</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3、接口：HDMI、SDI、LAN(支持POE)、USB2.0、A-IN、RS232-IN；</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4、音频输入接口：双声道3.5mm线性输入；</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5、音频输出接口：HDMI、LAN、SDI、USB2.0；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6、控制接口支持RS485，RS422,RS232-IN，RS232-OUT；</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7、控制协议支持VISCA、PELCO-D、PELCO-P协议，支持波特率115200/38400/9600/4800/2400；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8、支持≥255个预置位(遥控器设置调用≥10个)；</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9、为了保证摄像机图像输出效果，水平分辨率≥3840像素；</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10、旋转角度范围：水平≥±110°；垂直≥±30°</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★9-10，中标后签订合同前需提供带有“CMA”或“CNAS”标志的检测报告原件（提供承诺，格式自拟）。</w:t>
            </w:r>
            <w:r>
              <w:rPr>
                <w:rFonts w:hint="eastAsia" w:ascii="仿宋" w:hAnsi="仿宋" w:eastAsia="仿宋" w:cs="仿宋"/>
                <w:b/>
                <w:bCs/>
                <w:i w:val="0"/>
                <w:iCs w:val="0"/>
                <w:color w:val="000000"/>
                <w:sz w:val="24"/>
                <w:szCs w:val="24"/>
                <w:u w:val="none"/>
                <w:lang w:val="en-US" w:eastAsia="zh-CN" w:bidi="ar"/>
              </w:rPr>
              <w:t>此要求为不允许偏离的实质性要求和条件，如有偏离，在符合性审查时按照投标无效处理。</w:t>
            </w:r>
          </w:p>
        </w:tc>
        <w:tc>
          <w:tcPr>
            <w:tcW w:w="696" w:type="dxa"/>
            <w:noWrap w:val="0"/>
            <w:vAlign w:val="center"/>
          </w:tcPr>
          <w:p w14:paraId="1810B6A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4B01430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9FD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1ACD98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32D8F14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摄像头固定支架</w:t>
            </w:r>
          </w:p>
        </w:tc>
        <w:tc>
          <w:tcPr>
            <w:tcW w:w="7056" w:type="dxa"/>
            <w:noWrap w:val="0"/>
            <w:vAlign w:val="center"/>
          </w:tcPr>
          <w:p w14:paraId="601C9C4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1、配套吸顶或者壁挂。</w:t>
            </w:r>
          </w:p>
        </w:tc>
        <w:tc>
          <w:tcPr>
            <w:tcW w:w="696" w:type="dxa"/>
            <w:noWrap w:val="0"/>
            <w:vAlign w:val="center"/>
          </w:tcPr>
          <w:p w14:paraId="7905B43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47E24EC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个</w:t>
            </w:r>
          </w:p>
        </w:tc>
      </w:tr>
      <w:tr w14:paraId="0901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512EE37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4C70FDF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摄像头移动支架</w:t>
            </w:r>
          </w:p>
        </w:tc>
        <w:tc>
          <w:tcPr>
            <w:tcW w:w="7056" w:type="dxa"/>
            <w:noWrap w:val="0"/>
            <w:vAlign w:val="center"/>
          </w:tcPr>
          <w:p w14:paraId="26BD60C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1、云台类型：液压云台；</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2、材质：碳纤维；</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3、脚架节数：≥3节；</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4、展开高度：≥1.6-1.7m。</w:t>
            </w:r>
          </w:p>
        </w:tc>
        <w:tc>
          <w:tcPr>
            <w:tcW w:w="696" w:type="dxa"/>
            <w:noWrap w:val="0"/>
            <w:vAlign w:val="center"/>
          </w:tcPr>
          <w:p w14:paraId="74AB0E4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781AC2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4147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1D7EC2D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2C3728A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50CD6F9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1、满足要求（此项包含视频信号处理系统该系统范围内所有设备所需要的串线及配件，本项目为交钥匙工程，不允许额外增加任何费用）；包含但不限于：HDMI高清线、六类屏蔽网线、电源线≥RVV3*1.5㎡等。</w:t>
            </w:r>
          </w:p>
        </w:tc>
        <w:tc>
          <w:tcPr>
            <w:tcW w:w="696" w:type="dxa"/>
            <w:noWrap w:val="0"/>
            <w:vAlign w:val="center"/>
          </w:tcPr>
          <w:p w14:paraId="1BAE760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5D6541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r w14:paraId="57BA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062D53B6">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序号</w:t>
            </w:r>
          </w:p>
        </w:tc>
        <w:tc>
          <w:tcPr>
            <w:tcW w:w="1056" w:type="dxa"/>
            <w:noWrap w:val="0"/>
            <w:vAlign w:val="center"/>
          </w:tcPr>
          <w:p w14:paraId="1424354A">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产品名称</w:t>
            </w:r>
          </w:p>
        </w:tc>
        <w:tc>
          <w:tcPr>
            <w:tcW w:w="7056" w:type="dxa"/>
            <w:noWrap w:val="0"/>
            <w:vAlign w:val="center"/>
          </w:tcPr>
          <w:p w14:paraId="15435DAF">
            <w:pPr>
              <w:keepNext w:val="0"/>
              <w:keepLines w:val="0"/>
              <w:widowControl/>
              <w:suppressLineNumbers w:val="0"/>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技术参数</w:t>
            </w:r>
          </w:p>
        </w:tc>
        <w:tc>
          <w:tcPr>
            <w:tcW w:w="696" w:type="dxa"/>
            <w:noWrap w:val="0"/>
            <w:vAlign w:val="center"/>
          </w:tcPr>
          <w:p w14:paraId="19684AF1">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数量</w:t>
            </w:r>
          </w:p>
        </w:tc>
        <w:tc>
          <w:tcPr>
            <w:tcW w:w="457" w:type="dxa"/>
            <w:noWrap w:val="0"/>
            <w:vAlign w:val="center"/>
          </w:tcPr>
          <w:p w14:paraId="4E4F825B">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单位</w:t>
            </w:r>
          </w:p>
        </w:tc>
      </w:tr>
      <w:tr w14:paraId="7DA2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2F45A604">
            <w:pPr>
              <w:jc w:val="center"/>
              <w:rPr>
                <w:rFonts w:hint="eastAsia" w:ascii="仿宋" w:hAnsi="仿宋" w:eastAsia="仿宋" w:cs="仿宋"/>
                <w:b/>
                <w:bCs/>
                <w:i w:val="0"/>
                <w:iCs w:val="0"/>
                <w:color w:val="000000"/>
                <w:sz w:val="24"/>
                <w:szCs w:val="24"/>
                <w:u w:val="none"/>
              </w:rPr>
            </w:pPr>
          </w:p>
        </w:tc>
        <w:tc>
          <w:tcPr>
            <w:tcW w:w="1056" w:type="dxa"/>
            <w:noWrap w:val="0"/>
            <w:vAlign w:val="center"/>
          </w:tcPr>
          <w:p w14:paraId="29BDC363">
            <w:pPr>
              <w:keepNext w:val="0"/>
              <w:keepLines w:val="0"/>
              <w:widowControl/>
              <w:suppressLineNumbers w:val="0"/>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bidi="ar"/>
              </w:rPr>
              <w:t>6、辅料</w:t>
            </w:r>
          </w:p>
        </w:tc>
        <w:tc>
          <w:tcPr>
            <w:tcW w:w="7056" w:type="dxa"/>
            <w:noWrap w:val="0"/>
            <w:vAlign w:val="center"/>
          </w:tcPr>
          <w:p w14:paraId="21E330A3">
            <w:pPr>
              <w:jc w:val="left"/>
              <w:rPr>
                <w:rFonts w:hint="eastAsia" w:ascii="仿宋" w:hAnsi="仿宋" w:eastAsia="仿宋" w:cs="仿宋"/>
                <w:b/>
                <w:bCs/>
                <w:i w:val="0"/>
                <w:iCs w:val="0"/>
                <w:color w:val="000000"/>
                <w:sz w:val="24"/>
                <w:szCs w:val="24"/>
                <w:u w:val="none"/>
              </w:rPr>
            </w:pPr>
          </w:p>
        </w:tc>
        <w:tc>
          <w:tcPr>
            <w:tcW w:w="696" w:type="dxa"/>
            <w:noWrap w:val="0"/>
            <w:vAlign w:val="center"/>
          </w:tcPr>
          <w:p w14:paraId="5799703B">
            <w:pPr>
              <w:jc w:val="center"/>
              <w:rPr>
                <w:rFonts w:hint="eastAsia" w:ascii="仿宋" w:hAnsi="仿宋" w:eastAsia="仿宋" w:cs="仿宋"/>
                <w:b/>
                <w:bCs/>
                <w:i w:val="0"/>
                <w:iCs w:val="0"/>
                <w:color w:val="000000"/>
                <w:sz w:val="24"/>
                <w:szCs w:val="24"/>
                <w:u w:val="none"/>
              </w:rPr>
            </w:pPr>
          </w:p>
        </w:tc>
        <w:tc>
          <w:tcPr>
            <w:tcW w:w="457" w:type="dxa"/>
            <w:noWrap w:val="0"/>
            <w:vAlign w:val="center"/>
          </w:tcPr>
          <w:p w14:paraId="4E0BFDC0">
            <w:pPr>
              <w:jc w:val="center"/>
              <w:rPr>
                <w:rFonts w:hint="eastAsia" w:ascii="仿宋" w:hAnsi="仿宋" w:eastAsia="仿宋" w:cs="仿宋"/>
                <w:b/>
                <w:bCs/>
                <w:i w:val="0"/>
                <w:iCs w:val="0"/>
                <w:color w:val="000000"/>
                <w:sz w:val="24"/>
                <w:szCs w:val="24"/>
                <w:u w:val="none"/>
              </w:rPr>
            </w:pPr>
          </w:p>
        </w:tc>
      </w:tr>
      <w:tr w14:paraId="4F72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0F3B6F7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1056" w:type="dxa"/>
            <w:noWrap w:val="0"/>
            <w:vAlign w:val="center"/>
          </w:tcPr>
          <w:p w14:paraId="6E2DB98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定制操作台</w:t>
            </w:r>
          </w:p>
        </w:tc>
        <w:tc>
          <w:tcPr>
            <w:tcW w:w="7056" w:type="dxa"/>
            <w:noWrap w:val="0"/>
            <w:vAlign w:val="center"/>
          </w:tcPr>
          <w:p w14:paraId="13BB365D">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1、尺寸：≥120㎝*90㎝*75㎝。</w:t>
            </w:r>
          </w:p>
        </w:tc>
        <w:tc>
          <w:tcPr>
            <w:tcW w:w="696" w:type="dxa"/>
            <w:noWrap w:val="0"/>
            <w:vAlign w:val="center"/>
          </w:tcPr>
          <w:p w14:paraId="0DD5F46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6E48130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95C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7" w:type="dxa"/>
            <w:noWrap w:val="0"/>
            <w:vAlign w:val="center"/>
          </w:tcPr>
          <w:p w14:paraId="125714E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1056" w:type="dxa"/>
            <w:noWrap w:val="0"/>
            <w:vAlign w:val="center"/>
          </w:tcPr>
          <w:p w14:paraId="2C3EB64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控制室播控</w:t>
            </w:r>
          </w:p>
        </w:tc>
        <w:tc>
          <w:tcPr>
            <w:tcW w:w="7056" w:type="dxa"/>
            <w:noWrap w:val="0"/>
            <w:vAlign w:val="center"/>
          </w:tcPr>
          <w:p w14:paraId="4B7AC81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1、产品尺寸：≥964mm*609mm及配套的可旋转伸缩支架。</w:t>
            </w:r>
          </w:p>
        </w:tc>
        <w:tc>
          <w:tcPr>
            <w:tcW w:w="696" w:type="dxa"/>
            <w:noWrap w:val="0"/>
            <w:vAlign w:val="center"/>
          </w:tcPr>
          <w:p w14:paraId="3866108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64164F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0E0B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48EAE2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3 </w:t>
            </w:r>
          </w:p>
        </w:tc>
        <w:tc>
          <w:tcPr>
            <w:tcW w:w="1056" w:type="dxa"/>
            <w:noWrap w:val="0"/>
            <w:vAlign w:val="center"/>
          </w:tcPr>
          <w:p w14:paraId="6954180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立式话筒支架</w:t>
            </w:r>
          </w:p>
        </w:tc>
        <w:tc>
          <w:tcPr>
            <w:tcW w:w="7056" w:type="dxa"/>
            <w:noWrap w:val="0"/>
            <w:vAlign w:val="center"/>
          </w:tcPr>
          <w:p w14:paraId="6426765E">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1、高度 ≥1000-1760mm；横杆长度≥ 530-910mm。</w:t>
            </w:r>
          </w:p>
        </w:tc>
        <w:tc>
          <w:tcPr>
            <w:tcW w:w="696" w:type="dxa"/>
            <w:noWrap w:val="0"/>
            <w:vAlign w:val="center"/>
          </w:tcPr>
          <w:p w14:paraId="1B6C86E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457" w:type="dxa"/>
            <w:noWrap w:val="0"/>
            <w:vAlign w:val="center"/>
          </w:tcPr>
          <w:p w14:paraId="7A7DD84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49B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3EB77DD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4 </w:t>
            </w:r>
          </w:p>
        </w:tc>
        <w:tc>
          <w:tcPr>
            <w:tcW w:w="1056" w:type="dxa"/>
            <w:noWrap w:val="0"/>
            <w:vAlign w:val="center"/>
          </w:tcPr>
          <w:p w14:paraId="7580CFB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返听防滑剧院接口盒</w:t>
            </w:r>
          </w:p>
        </w:tc>
        <w:tc>
          <w:tcPr>
            <w:tcW w:w="7056" w:type="dxa"/>
            <w:noWrap w:val="0"/>
            <w:vAlign w:val="center"/>
          </w:tcPr>
          <w:p w14:paraId="0A8CFFE0">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1、盖板材质：铜合金  底 盒：铝材质底盒 底盒尺寸：≥175*175*65mm。</w:t>
            </w:r>
          </w:p>
        </w:tc>
        <w:tc>
          <w:tcPr>
            <w:tcW w:w="696" w:type="dxa"/>
            <w:noWrap w:val="0"/>
            <w:vAlign w:val="center"/>
          </w:tcPr>
          <w:p w14:paraId="5F07749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3BB71CF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2B6B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7" w:type="dxa"/>
            <w:noWrap w:val="0"/>
            <w:vAlign w:val="center"/>
          </w:tcPr>
          <w:p w14:paraId="6D2A5A7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5 </w:t>
            </w:r>
          </w:p>
        </w:tc>
        <w:tc>
          <w:tcPr>
            <w:tcW w:w="1056" w:type="dxa"/>
            <w:noWrap w:val="0"/>
            <w:vAlign w:val="center"/>
          </w:tcPr>
          <w:p w14:paraId="0EDE7D7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地面防滑剧院信息盒</w:t>
            </w:r>
          </w:p>
        </w:tc>
        <w:tc>
          <w:tcPr>
            <w:tcW w:w="7056" w:type="dxa"/>
            <w:noWrap w:val="0"/>
            <w:vAlign w:val="center"/>
          </w:tcPr>
          <w:p w14:paraId="52920C58">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1、盖板材质：铜合金  底 盒：铝材质底盒 底盒尺寸：≥175*175*65mm。</w:t>
            </w:r>
          </w:p>
        </w:tc>
        <w:tc>
          <w:tcPr>
            <w:tcW w:w="696" w:type="dxa"/>
            <w:noWrap w:val="0"/>
            <w:vAlign w:val="center"/>
          </w:tcPr>
          <w:p w14:paraId="7CEC123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457" w:type="dxa"/>
            <w:noWrap w:val="0"/>
            <w:vAlign w:val="center"/>
          </w:tcPr>
          <w:p w14:paraId="207FE5A1">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只</w:t>
            </w:r>
          </w:p>
        </w:tc>
      </w:tr>
      <w:tr w14:paraId="2F8A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57" w:type="dxa"/>
            <w:noWrap w:val="0"/>
            <w:vAlign w:val="center"/>
          </w:tcPr>
          <w:p w14:paraId="2F991549">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6 </w:t>
            </w:r>
          </w:p>
        </w:tc>
        <w:tc>
          <w:tcPr>
            <w:tcW w:w="1056" w:type="dxa"/>
            <w:noWrap w:val="0"/>
            <w:vAlign w:val="center"/>
          </w:tcPr>
          <w:p w14:paraId="10EB87B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线阵列扬声器吊挂支架</w:t>
            </w:r>
          </w:p>
        </w:tc>
        <w:tc>
          <w:tcPr>
            <w:tcW w:w="7056" w:type="dxa"/>
            <w:noWrap w:val="0"/>
            <w:vAlign w:val="center"/>
          </w:tcPr>
          <w:p w14:paraId="5E17FE6A">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1、线阵音箱田字架。</w:t>
            </w:r>
          </w:p>
        </w:tc>
        <w:tc>
          <w:tcPr>
            <w:tcW w:w="696" w:type="dxa"/>
            <w:noWrap w:val="0"/>
            <w:vAlign w:val="center"/>
          </w:tcPr>
          <w:p w14:paraId="369F13E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2900AE35">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7903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7" w:type="dxa"/>
            <w:noWrap w:val="0"/>
            <w:vAlign w:val="center"/>
          </w:tcPr>
          <w:p w14:paraId="4FEFC5A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7 </w:t>
            </w:r>
          </w:p>
        </w:tc>
        <w:tc>
          <w:tcPr>
            <w:tcW w:w="1056" w:type="dxa"/>
            <w:noWrap w:val="0"/>
            <w:vAlign w:val="center"/>
          </w:tcPr>
          <w:p w14:paraId="6AB1F867">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电动葫芦</w:t>
            </w:r>
          </w:p>
        </w:tc>
        <w:tc>
          <w:tcPr>
            <w:tcW w:w="7056" w:type="dxa"/>
            <w:noWrap w:val="0"/>
            <w:vAlign w:val="center"/>
          </w:tcPr>
          <w:p w14:paraId="120A342F">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1、纯铜电机：220V纯紫铜电机；</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2、电机外壳：合金外壳坚固高散热；</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3、电机风罩风扇：合金风罩加≥8叶加大风扇；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4、电机钢丝绳：≥137股镀锌防旋转钢丝绳；</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5、电机转速：每分钟≥3000转。</w:t>
            </w:r>
          </w:p>
        </w:tc>
        <w:tc>
          <w:tcPr>
            <w:tcW w:w="696" w:type="dxa"/>
            <w:noWrap w:val="0"/>
            <w:vAlign w:val="center"/>
          </w:tcPr>
          <w:p w14:paraId="76C3E6C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2 </w:t>
            </w:r>
          </w:p>
        </w:tc>
        <w:tc>
          <w:tcPr>
            <w:tcW w:w="457" w:type="dxa"/>
            <w:noWrap w:val="0"/>
            <w:vAlign w:val="center"/>
          </w:tcPr>
          <w:p w14:paraId="0F5875D2">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3666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7" w:type="dxa"/>
            <w:noWrap w:val="0"/>
            <w:vAlign w:val="center"/>
          </w:tcPr>
          <w:p w14:paraId="55035BD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8 </w:t>
            </w:r>
          </w:p>
        </w:tc>
        <w:tc>
          <w:tcPr>
            <w:tcW w:w="1056" w:type="dxa"/>
            <w:noWrap w:val="0"/>
            <w:vAlign w:val="center"/>
          </w:tcPr>
          <w:p w14:paraId="309E1DE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标准机柜</w:t>
            </w:r>
          </w:p>
        </w:tc>
        <w:tc>
          <w:tcPr>
            <w:tcW w:w="7056" w:type="dxa"/>
            <w:noWrap w:val="0"/>
            <w:vAlign w:val="top"/>
          </w:tcPr>
          <w:p w14:paraId="74C9D25B">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1、机柜容量 ≥42U；</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2、机柜标准 ≥19英寸标准；</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3、材料及工艺 前门玻璃,后门钣金,材料采用SPCC优质冷轧钢；</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4、规格 ≥600×600×2055mm。</w:t>
            </w:r>
          </w:p>
        </w:tc>
        <w:tc>
          <w:tcPr>
            <w:tcW w:w="696" w:type="dxa"/>
            <w:noWrap w:val="0"/>
            <w:vAlign w:val="center"/>
          </w:tcPr>
          <w:p w14:paraId="52243D18">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088E26BC">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6FA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57" w:type="dxa"/>
            <w:noWrap w:val="0"/>
            <w:vAlign w:val="center"/>
          </w:tcPr>
          <w:p w14:paraId="3C7DF55B">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9 </w:t>
            </w:r>
          </w:p>
        </w:tc>
        <w:tc>
          <w:tcPr>
            <w:tcW w:w="1056" w:type="dxa"/>
            <w:noWrap w:val="0"/>
            <w:vAlign w:val="center"/>
          </w:tcPr>
          <w:p w14:paraId="1ADF822E">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无线投屏器</w:t>
            </w:r>
          </w:p>
        </w:tc>
        <w:tc>
          <w:tcPr>
            <w:tcW w:w="7056" w:type="dxa"/>
            <w:noWrap w:val="0"/>
            <w:vAlign w:val="center"/>
          </w:tcPr>
          <w:p w14:paraId="1F30646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1、为确保投屏稳定性，投屏需采用接收端与发送端双硬件设备;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2、兼容Windows 7/8/10、Windows平板、I0S平板/手机、Android平板/手机以及Mac 0SX;</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3、传屏不占用电脑wifi，电脑仍可以上网;</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4、内置路由功能，网口连接互联网，手机连接盒子热点传屏时仍可上网，最大可同时连接≥8个发送端;</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5、投屏分辨率≥3840*2160，帧率≥30帧每秒，且支持4:3分辨率;</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6、支持传屏锁定功能，锁定模式下，新电脑无法投屏;</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7、支持批注同步功能，可以对传屏画面进行实时批注;</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8、批注后的画面，支持广域网/局域网二维码分享;</w:t>
            </w:r>
            <w:r>
              <w:rPr>
                <w:rFonts w:hint="eastAsia" w:ascii="仿宋" w:hAnsi="仿宋" w:eastAsia="仿宋" w:cs="仿宋"/>
                <w:i w:val="0"/>
                <w:iCs w:val="0"/>
                <w:color w:val="000000"/>
                <w:sz w:val="24"/>
                <w:szCs w:val="24"/>
                <w:u w:val="none"/>
                <w:lang w:val="en-US" w:eastAsia="zh-CN" w:bidi="ar"/>
              </w:rPr>
              <w:br w:type="textWrapping" w:clear="all"/>
            </w:r>
            <w:r>
              <w:rPr>
                <w:rFonts w:hint="eastAsia" w:ascii="仿宋" w:hAnsi="仿宋" w:eastAsia="仿宋" w:cs="仿宋"/>
                <w:i w:val="0"/>
                <w:iCs w:val="0"/>
                <w:color w:val="000000"/>
                <w:sz w:val="24"/>
                <w:szCs w:val="24"/>
                <w:u w:val="none"/>
                <w:lang w:val="en-US" w:eastAsia="zh-CN" w:bidi="ar"/>
              </w:rPr>
              <w:t>9、主持人模式，主持人可以通过触摸或者鼠标选择指定电脑进行传屏或结束。</w:t>
            </w:r>
          </w:p>
        </w:tc>
        <w:tc>
          <w:tcPr>
            <w:tcW w:w="696" w:type="dxa"/>
            <w:noWrap w:val="0"/>
            <w:vAlign w:val="center"/>
          </w:tcPr>
          <w:p w14:paraId="2E724C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32CD9720">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台</w:t>
            </w:r>
          </w:p>
        </w:tc>
      </w:tr>
      <w:tr w14:paraId="1A11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7" w:type="dxa"/>
            <w:noWrap w:val="0"/>
            <w:vAlign w:val="center"/>
          </w:tcPr>
          <w:p w14:paraId="611CC4F4">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10 </w:t>
            </w:r>
          </w:p>
        </w:tc>
        <w:tc>
          <w:tcPr>
            <w:tcW w:w="1056" w:type="dxa"/>
            <w:noWrap w:val="0"/>
            <w:vAlign w:val="center"/>
          </w:tcPr>
          <w:p w14:paraId="1532EC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电动会标</w:t>
            </w:r>
          </w:p>
        </w:tc>
        <w:tc>
          <w:tcPr>
            <w:tcW w:w="7056" w:type="dxa"/>
            <w:noWrap w:val="0"/>
            <w:vAlign w:val="center"/>
          </w:tcPr>
          <w:p w14:paraId="73B0FC41">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1、现场定制。</w:t>
            </w:r>
          </w:p>
        </w:tc>
        <w:tc>
          <w:tcPr>
            <w:tcW w:w="696" w:type="dxa"/>
            <w:noWrap w:val="0"/>
            <w:vAlign w:val="center"/>
          </w:tcPr>
          <w:p w14:paraId="326E876F">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224970D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套</w:t>
            </w:r>
          </w:p>
        </w:tc>
      </w:tr>
      <w:tr w14:paraId="4C1F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57" w:type="dxa"/>
            <w:noWrap w:val="0"/>
            <w:vAlign w:val="center"/>
          </w:tcPr>
          <w:p w14:paraId="6EF3086D">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11 </w:t>
            </w:r>
          </w:p>
        </w:tc>
        <w:tc>
          <w:tcPr>
            <w:tcW w:w="1056" w:type="dxa"/>
            <w:noWrap w:val="0"/>
            <w:vAlign w:val="center"/>
          </w:tcPr>
          <w:p w14:paraId="21B196E3">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线材及接插件</w:t>
            </w:r>
          </w:p>
        </w:tc>
        <w:tc>
          <w:tcPr>
            <w:tcW w:w="7056" w:type="dxa"/>
            <w:noWrap w:val="0"/>
            <w:vAlign w:val="center"/>
          </w:tcPr>
          <w:p w14:paraId="0D1A3289">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1、满足要求（此项包含辅材系统该系统范围内所有设备所需要的串线及配件，本项目为交钥匙工程，不允许额外增加任何费用）；包含但不限于：电源线≥RVV3*1.5㎡、六类屏蔽网线、话筒线、音箱线≥150芯金银线、HDMI高清线、强电主桥架≥300*100、强电支桥架≥100*50、弱电桥架≥100*50、KBG管≥φ25等。</w:t>
            </w:r>
          </w:p>
        </w:tc>
        <w:tc>
          <w:tcPr>
            <w:tcW w:w="696" w:type="dxa"/>
            <w:noWrap w:val="0"/>
            <w:vAlign w:val="center"/>
          </w:tcPr>
          <w:p w14:paraId="2EFADBFA">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 xml:space="preserve">1 </w:t>
            </w:r>
          </w:p>
        </w:tc>
        <w:tc>
          <w:tcPr>
            <w:tcW w:w="457" w:type="dxa"/>
            <w:noWrap w:val="0"/>
            <w:vAlign w:val="center"/>
          </w:tcPr>
          <w:p w14:paraId="6A495926">
            <w:pPr>
              <w:keepNext w:val="0"/>
              <w:keepLines w:val="0"/>
              <w:widowControl/>
              <w:suppressLineNumbers w:val="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bidi="ar"/>
              </w:rPr>
              <w:t>批</w:t>
            </w:r>
          </w:p>
        </w:tc>
      </w:tr>
    </w:tbl>
    <w:p w14:paraId="22379A2B">
      <w:pPr>
        <w:pStyle w:val="62"/>
        <w:spacing w:line="480" w:lineRule="exact"/>
        <w:jc w:val="left"/>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w:t>
      </w:r>
      <w:r>
        <w:rPr>
          <w:rFonts w:ascii="Segoe UI" w:hAnsi="Segoe UI" w:eastAsia="Segoe UI" w:cs="Segoe UI"/>
          <w:b/>
          <w:bCs/>
          <w:i w:val="0"/>
          <w:iCs w:val="0"/>
          <w:caps w:val="0"/>
          <w:color w:val="0F1115"/>
          <w:spacing w:val="0"/>
          <w:sz w:val="24"/>
          <w:szCs w:val="24"/>
          <w:shd w:val="clear" w:color="auto" w:fill="FFFFFF"/>
        </w:rPr>
        <w:t>（二）系统集成及声学性能要求</w:t>
      </w:r>
    </w:p>
    <w:p w14:paraId="522113C9">
      <w:pPr>
        <w:pStyle w:val="62"/>
        <w:spacing w:line="480" w:lineRule="exact"/>
        <w:ind w:firstLine="600"/>
        <w:jc w:val="left"/>
        <w:rPr>
          <w:rFonts w:hint="eastAsia" w:ascii="仿宋" w:hAnsi="仿宋" w:eastAsia="仿宋" w:cs="仿宋"/>
          <w:b w:val="0"/>
          <w:bCs w:val="0"/>
          <w:color w:val="000000"/>
          <w:sz w:val="30"/>
          <w:szCs w:val="30"/>
          <w:highlight w:val="none"/>
          <w:lang w:val="en-US" w:eastAsia="zh-CN"/>
        </w:rPr>
      </w:pPr>
      <w:r>
        <w:rPr>
          <w:rFonts w:hint="eastAsia" w:ascii="仿宋" w:hAnsi="仿宋" w:eastAsia="仿宋" w:cs="仿宋"/>
          <w:b w:val="0"/>
          <w:bCs w:val="0"/>
          <w:color w:val="000000"/>
          <w:sz w:val="30"/>
          <w:szCs w:val="30"/>
          <w:highlight w:val="none"/>
          <w:lang w:val="en-US" w:eastAsia="zh-CN"/>
        </w:rPr>
        <w:t>1.大报告厅清单“1、音频系统”中1-18项”、小报告厅清单“1、音频系统”中1-11项”各设备能满足系统兼容性要求，投标人应确保所投设备能够组成完整、稳定、性能达标的音频系统，并提供详细的系统集成方案（含系统连接拓扑图、信号流程图及兼容性说明）。</w:t>
      </w:r>
    </w:p>
    <w:p w14:paraId="67D7BD98">
      <w:pPr>
        <w:pStyle w:val="62"/>
        <w:numPr>
          <w:ilvl w:val="0"/>
          <w:numId w:val="0"/>
        </w:numPr>
        <w:spacing w:line="480" w:lineRule="exact"/>
        <w:ind w:firstLine="562"/>
        <w:jc w:val="left"/>
        <w:rPr>
          <w:rFonts w:hint="eastAsia" w:ascii="仿宋" w:hAnsi="仿宋" w:eastAsia="仿宋" w:cs="仿宋"/>
          <w:b w:val="0"/>
          <w:bCs w:val="0"/>
          <w:color w:val="000000"/>
          <w:sz w:val="30"/>
          <w:szCs w:val="30"/>
          <w:highlight w:val="none"/>
          <w:lang w:val="en-US" w:eastAsia="zh-CN"/>
        </w:rPr>
      </w:pPr>
      <w:r>
        <w:rPr>
          <w:rFonts w:hint="eastAsia" w:ascii="仿宋" w:hAnsi="仿宋" w:eastAsia="仿宋" w:cs="仿宋"/>
          <w:b w:val="0"/>
          <w:bCs w:val="0"/>
          <w:color w:val="000000"/>
          <w:sz w:val="30"/>
          <w:szCs w:val="30"/>
          <w:lang w:val="en-US" w:eastAsia="zh-CN" w:bidi="ar-SA"/>
        </w:rPr>
        <w:t>2.</w:t>
      </w:r>
      <w:r>
        <w:rPr>
          <w:rFonts w:hint="eastAsia" w:ascii="仿宋" w:hAnsi="仿宋" w:eastAsia="仿宋" w:cs="仿宋"/>
          <w:b w:val="0"/>
          <w:bCs w:val="0"/>
          <w:color w:val="000000"/>
          <w:sz w:val="30"/>
          <w:szCs w:val="30"/>
          <w:highlight w:val="none"/>
          <w:lang w:val="en-US" w:eastAsia="zh-CN"/>
        </w:rPr>
        <w:t>投标人应提供所投线阵列扬声器的声学性能参数（包括但不限于频率响应、指向性、灵敏度、最大声压级等），并提供第三方声学模拟软件数据或实测检测报告作为佐证。</w:t>
      </w:r>
    </w:p>
    <w:p w14:paraId="632FFD68">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tabs>
          <w:tab w:val="left" w:pos="0"/>
        </w:tabs>
        <w:spacing w:before="0" w:beforeAutospacing="0" w:after="0" w:afterAutospacing="0"/>
        <w:ind w:left="0" w:right="0" w:firstLine="240"/>
        <w:jc w:val="both"/>
        <w:rPr>
          <w:rFonts w:hint="eastAsia" w:ascii="仿宋" w:hAnsi="仿宋" w:eastAsia="仿宋" w:cs="仿宋"/>
          <w:color w:val="000000"/>
          <w:sz w:val="30"/>
          <w:szCs w:val="30"/>
          <w:lang w:bidi="ar-SA"/>
        </w:rPr>
      </w:pPr>
      <w:r>
        <w:rPr>
          <w:rFonts w:hint="eastAsia" w:ascii="仿宋" w:hAnsi="仿宋" w:eastAsia="仿宋" w:cs="仿宋"/>
          <w:color w:val="000000"/>
          <w:sz w:val="30"/>
          <w:szCs w:val="30"/>
          <w:lang w:bidi="ar-SA"/>
        </w:rPr>
        <w:t>（</w:t>
      </w:r>
      <w:r>
        <w:rPr>
          <w:rFonts w:hint="eastAsia" w:ascii="仿宋" w:hAnsi="仿宋" w:eastAsia="仿宋" w:cs="仿宋"/>
          <w:color w:val="000000"/>
          <w:sz w:val="30"/>
          <w:szCs w:val="30"/>
          <w:lang w:val="en-US" w:eastAsia="zh-CN" w:bidi="ar-SA"/>
        </w:rPr>
        <w:t>三</w:t>
      </w:r>
      <w:r>
        <w:rPr>
          <w:rFonts w:hint="eastAsia" w:ascii="仿宋" w:hAnsi="仿宋" w:eastAsia="仿宋" w:cs="仿宋"/>
          <w:color w:val="000000"/>
          <w:sz w:val="30"/>
          <w:szCs w:val="30"/>
          <w:lang w:bidi="ar-SA"/>
        </w:rPr>
        <w:t>）投标文件要求：</w:t>
      </w:r>
    </w:p>
    <w:p w14:paraId="3731E99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tabs>
          <w:tab w:val="left" w:pos="0"/>
        </w:tabs>
        <w:spacing w:before="0" w:beforeAutospacing="0" w:after="0" w:afterAutospacing="0"/>
        <w:ind w:left="0" w:firstLine="485"/>
        <w:jc w:val="both"/>
        <w:rPr>
          <w:rFonts w:hint="eastAsia" w:ascii="仿宋" w:hAnsi="仿宋" w:eastAsia="仿宋" w:cs="仿宋"/>
          <w:color w:val="000000"/>
          <w:sz w:val="30"/>
          <w:szCs w:val="30"/>
          <w:lang w:bidi="ar-SA"/>
        </w:rPr>
      </w:pPr>
      <w:r>
        <w:rPr>
          <w:rFonts w:hint="eastAsia" w:ascii="仿宋" w:hAnsi="仿宋" w:eastAsia="仿宋" w:cs="仿宋"/>
          <w:color w:val="000000"/>
          <w:sz w:val="30"/>
          <w:szCs w:val="30"/>
          <w:lang w:bidi="ar-SA"/>
        </w:rPr>
        <w:t>1.投标文件中提供《所投产品的技术规格(技术性能)》文件。</w:t>
      </w:r>
    </w:p>
    <w:p w14:paraId="16988C97">
      <w:pPr>
        <w:pStyle w:val="84"/>
        <w:pBdr>
          <w:top w:val="none" w:color="000000" w:sz="0" w:space="0"/>
          <w:left w:val="none" w:color="000000" w:sz="0" w:space="0"/>
          <w:bottom w:val="none" w:color="000000" w:sz="0" w:space="0"/>
          <w:right w:val="none" w:color="000000" w:sz="0" w:space="0"/>
          <w:between w:val="none" w:color="000000" w:sz="0" w:space="0"/>
        </w:pBdr>
        <w:tabs>
          <w:tab w:val="left" w:pos="0"/>
        </w:tabs>
        <w:spacing w:after="0"/>
        <w:ind w:firstLine="485"/>
        <w:jc w:val="both"/>
        <w:rPr>
          <w:rFonts w:hint="eastAsia" w:ascii="仿宋" w:hAnsi="仿宋" w:eastAsia="仿宋" w:cs="仿宋"/>
          <w:b w:val="0"/>
          <w:bCs w:val="0"/>
          <w:color w:val="000000"/>
          <w:sz w:val="30"/>
          <w:szCs w:val="30"/>
          <w:highlight w:val="none"/>
          <w:lang w:val="en-US" w:eastAsia="zh-CN" w:bidi="ar-SA"/>
        </w:rPr>
      </w:pPr>
      <w:r>
        <w:rPr>
          <w:rFonts w:hint="eastAsia" w:ascii="仿宋" w:hAnsi="仿宋" w:eastAsia="仿宋" w:cs="仿宋"/>
          <w:color w:val="000000"/>
          <w:sz w:val="30"/>
          <w:szCs w:val="30"/>
          <w:lang w:bidi="ar-SA"/>
        </w:rPr>
        <w:t>2.《所投产品的技术规格(技术性能)》文件按照“（一）技术规格（技术性能）具体要求”编制。</w:t>
      </w:r>
    </w:p>
    <w:p w14:paraId="5F285EA0">
      <w:pPr>
        <w:pStyle w:val="284"/>
        <w:spacing w:line="500" w:lineRule="exact"/>
        <w:ind w:firstLine="562"/>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四、基本要求</w:t>
      </w:r>
    </w:p>
    <w:p w14:paraId="580EE16E">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30"/>
          <w:szCs w:val="30"/>
          <w:lang w:val="en-US" w:eastAsia="zh-CN" w:bidi="ar-SA"/>
        </w:rPr>
        <w:t>1.场馆的声场效果要达到音乐2级及以上。</w:t>
      </w:r>
      <w:r>
        <w:rPr>
          <w:rFonts w:hint="eastAsia" w:ascii="仿宋" w:hAnsi="仿宋" w:eastAsia="仿宋" w:cs="仿宋"/>
          <w:color w:val="000000"/>
          <w:sz w:val="28"/>
          <w:szCs w:val="28"/>
          <w:lang w:val="en-US" w:eastAsia="zh-CN"/>
        </w:rPr>
        <w:t>确保扩声系统具备良好的清晰度、均匀性和自然感，满足大型演出、会议、讲座等多场景使用需求。</w:t>
      </w:r>
    </w:p>
    <w:p w14:paraId="0EA4C87F">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2.所投产品必须是全新、未使用过的原装合格正品，完全符合采购文件规定的质量、规格和性能要求，达到国家或行业规定的相关标准。属于国家强制认证的产品，必须通过认证。</w:t>
      </w:r>
    </w:p>
    <w:p w14:paraId="2485843D">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产品必须为生产厂家整机原包装，进场时应附有完整的装箱单、使用说明书、产品合格证书、保修单及相关附件、备件等资料，且齐全有效。对非原厂原包装进场的设备，或相关资料、配件不全的，采购人有权拒绝签收。</w:t>
      </w:r>
    </w:p>
    <w:p w14:paraId="167F65AF">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投标人须在项目实施前提交详细的实施方案，包括但不限于技术路线、施工组织计划、人员安排、安全措施等内容，并报采购人审批后方可实施。项目实施期间，中标人应无条件接受采购人的监督管理，发现问题须立即整改，整改完成后通知采购人复查验收并备案。</w:t>
      </w:r>
    </w:p>
    <w:p w14:paraId="7EE1559A">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中标人应对本项目中所有货物、技术、资料、服务及其他组成部分享有无偿使用权，采购人可自由使用而不受第三方知识产权主张影响。若因中标人提供的成果引发专利权、著作权、商标权等侵权纠纷，由中标人承担全部法律责任及费用。</w:t>
      </w:r>
    </w:p>
    <w:p w14:paraId="33FB4DF9">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6.与本次采购项目相关的质量、安全问题均由中标人全面负责，相关的人身、财产责任风险亦由中标人自行承担。</w:t>
      </w:r>
    </w:p>
    <w:p w14:paraId="530FA47E">
      <w:pPr>
        <w:pStyle w:val="284"/>
        <w:spacing w:line="500" w:lineRule="exact"/>
        <w:ind w:firstLine="562"/>
        <w:rPr>
          <w:rFonts w:hint="eastAsia" w:ascii="仿宋" w:hAnsi="仿宋" w:eastAsia="仿宋" w:cs="仿宋"/>
          <w:color w:val="000000"/>
          <w:sz w:val="28"/>
          <w:szCs w:val="28"/>
          <w:highlight w:val="cyan"/>
          <w:lang w:val="en-US" w:eastAsia="zh-CN"/>
        </w:rPr>
      </w:pPr>
      <w:r>
        <w:rPr>
          <w:rFonts w:hint="eastAsia" w:ascii="仿宋" w:hAnsi="仿宋" w:eastAsia="仿宋" w:cs="仿宋"/>
          <w:color w:val="000000"/>
          <w:sz w:val="28"/>
          <w:szCs w:val="28"/>
          <w:highlight w:val="cyan"/>
          <w:lang w:val="en-US" w:eastAsia="zh-CN"/>
        </w:rPr>
        <w:t>7.图纸获取方式</w:t>
      </w:r>
    </w:p>
    <w:p w14:paraId="0D665945">
      <w:pPr>
        <w:pStyle w:val="284"/>
        <w:spacing w:line="500" w:lineRule="exact"/>
        <w:ind w:firstLine="562"/>
        <w:rPr>
          <w:rFonts w:ascii="仿宋" w:hAnsi="仿宋" w:eastAsia="仿宋" w:cs="仿宋"/>
          <w:color w:val="000000"/>
          <w:sz w:val="28"/>
          <w:szCs w:val="28"/>
          <w:highlight w:val="cyan"/>
          <w:lang w:val="en-US" w:eastAsia="zh-CN"/>
        </w:rPr>
      </w:pPr>
      <w:r>
        <w:rPr>
          <w:rFonts w:hint="eastAsia" w:ascii="仿宋" w:hAnsi="仿宋" w:eastAsia="仿宋" w:cs="仿宋"/>
          <w:color w:val="000000"/>
          <w:sz w:val="28"/>
          <w:szCs w:val="28"/>
          <w:highlight w:val="cyan"/>
          <w:lang w:val="en-US" w:eastAsia="zh-CN"/>
        </w:rPr>
        <w:t>注：因苏采云系统原因，电子版图纸无法上传到“徐州政府采购网”。电子版图纸获取方法：发送获取申请至邮箱jszjlihaimo@163.com领取；联系人：李海沫、柴鑫；联系电话：0516-83205176。</w:t>
      </w:r>
    </w:p>
    <w:p w14:paraId="3F36ECC6">
      <w:pPr>
        <w:pStyle w:val="284"/>
        <w:spacing w:line="500" w:lineRule="exact"/>
        <w:ind w:firstLine="562"/>
        <w:rPr>
          <w:rFonts w:hint="eastAsia" w:ascii="仿宋" w:hAnsi="仿宋" w:eastAsia="仿宋" w:cs="仿宋"/>
          <w:b/>
          <w:bCs/>
          <w:color w:val="000000"/>
          <w:sz w:val="30"/>
          <w:szCs w:val="30"/>
          <w:lang w:val="en-US" w:eastAsia="zh-CN" w:bidi="ar-SA"/>
        </w:rPr>
      </w:pPr>
      <w:r>
        <w:rPr>
          <w:rFonts w:hint="eastAsia"/>
          <w:b/>
          <w:bCs/>
          <w:lang w:val="en-US" w:eastAsia="zh-CN"/>
        </w:rPr>
        <w:t>五</w:t>
      </w:r>
      <w:r>
        <w:rPr>
          <w:rFonts w:hint="eastAsia" w:ascii="仿宋" w:hAnsi="仿宋" w:eastAsia="仿宋" w:cs="仿宋"/>
          <w:b/>
          <w:bCs/>
          <w:color w:val="000000"/>
          <w:sz w:val="30"/>
          <w:szCs w:val="30"/>
          <w:lang w:val="en-US" w:eastAsia="zh-CN" w:bidi="ar-SA"/>
        </w:rPr>
        <w:t>、商务（服务）要求</w:t>
      </w:r>
    </w:p>
    <w:p w14:paraId="7BF29750">
      <w:pPr>
        <w:pStyle w:val="284"/>
        <w:spacing w:line="500" w:lineRule="exact"/>
        <w:ind w:firstLine="560"/>
        <w:rPr>
          <w:rFonts w:hint="eastAsia" w:ascii="仿宋" w:hAnsi="仿宋" w:eastAsia="仿宋" w:cs="仿宋"/>
          <w:color w:val="000000"/>
          <w:sz w:val="28"/>
          <w:szCs w:val="28"/>
        </w:rPr>
      </w:pPr>
      <w:r>
        <w:rPr>
          <w:rFonts w:hint="eastAsia" w:ascii="宋体" w:hAnsi="宋体" w:eastAsia="宋体" w:cs="宋体"/>
          <w:color w:val="000000"/>
          <w:sz w:val="28"/>
          <w:szCs w:val="28"/>
          <w:lang w:val="en-US" w:eastAsia="zh-CN"/>
        </w:rPr>
        <w:t>★</w:t>
      </w:r>
      <w:r>
        <w:rPr>
          <w:rFonts w:hint="eastAsia" w:ascii="仿宋" w:hAnsi="仿宋" w:eastAsia="仿宋" w:cs="仿宋"/>
          <w:color w:val="000000"/>
          <w:sz w:val="28"/>
          <w:szCs w:val="28"/>
        </w:rPr>
        <w:t>（一）</w:t>
      </w:r>
      <w:r>
        <w:rPr>
          <w:rFonts w:hint="eastAsia" w:ascii="仿宋" w:hAnsi="仿宋" w:eastAsia="仿宋" w:cs="仿宋"/>
          <w:color w:val="000000"/>
          <w:sz w:val="28"/>
          <w:szCs w:val="28"/>
          <w:lang w:val="en-US" w:eastAsia="zh-CN"/>
        </w:rPr>
        <w:t>工期</w:t>
      </w:r>
      <w:r>
        <w:rPr>
          <w:rFonts w:hint="eastAsia" w:ascii="仿宋" w:hAnsi="仿宋" w:eastAsia="仿宋" w:cs="仿宋"/>
          <w:color w:val="000000"/>
          <w:sz w:val="28"/>
          <w:szCs w:val="28"/>
        </w:rPr>
        <w:t>要求：</w:t>
      </w:r>
    </w:p>
    <w:p w14:paraId="00855630">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供货：签订合同后30天内所有设备进场；</w:t>
      </w:r>
    </w:p>
    <w:p w14:paraId="02F3CF78">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安装：签订合同后50天内完成设备安装、调试及验收工作。</w:t>
      </w:r>
    </w:p>
    <w:p w14:paraId="71170E57">
      <w:pPr>
        <w:pStyle w:val="284"/>
        <w:spacing w:line="500" w:lineRule="exact"/>
        <w:ind w:firstLine="560"/>
        <w:rPr>
          <w:rFonts w:hint="eastAsia" w:ascii="仿宋" w:hAnsi="仿宋" w:eastAsia="仿宋" w:cs="仿宋"/>
          <w:color w:val="000000"/>
          <w:sz w:val="30"/>
          <w:szCs w:val="30"/>
          <w:highlight w:val="none"/>
          <w:lang w:val="en-US" w:eastAsia="zh-CN"/>
        </w:rPr>
      </w:pPr>
      <w:r>
        <w:rPr>
          <w:rFonts w:hint="eastAsia" w:ascii="仿宋" w:hAnsi="仿宋" w:eastAsia="仿宋" w:cs="仿宋"/>
          <w:b w:val="0"/>
          <w:bCs w:val="0"/>
          <w:color w:val="000000"/>
          <w:sz w:val="30"/>
          <w:szCs w:val="30"/>
          <w:highlight w:val="none"/>
          <w:lang w:val="en-US" w:eastAsia="zh-CN"/>
        </w:rPr>
        <w:t>提供详细的供货保障方案</w:t>
      </w:r>
      <w:r>
        <w:rPr>
          <w:rFonts w:hint="eastAsia" w:ascii="仿宋" w:hAnsi="仿宋" w:eastAsia="仿宋" w:cs="仿宋"/>
          <w:b w:val="0"/>
          <w:bCs w:val="0"/>
          <w:color w:val="000000"/>
          <w:sz w:val="30"/>
          <w:szCs w:val="30"/>
          <w:highlight w:val="none"/>
        </w:rPr>
        <w:t>（设备清单明细、分批到货计划、运输方式及路线、运输过程防护措施）</w:t>
      </w:r>
      <w:r>
        <w:rPr>
          <w:rFonts w:hint="eastAsia" w:ascii="仿宋" w:hAnsi="仿宋" w:eastAsia="仿宋" w:cs="仿宋"/>
          <w:b w:val="0"/>
          <w:bCs w:val="0"/>
          <w:color w:val="000000"/>
          <w:sz w:val="30"/>
          <w:szCs w:val="30"/>
          <w:highlight w:val="none"/>
          <w:lang w:eastAsia="zh-CN"/>
        </w:rPr>
        <w:t>，</w:t>
      </w:r>
      <w:r>
        <w:rPr>
          <w:rFonts w:hint="eastAsia" w:ascii="仿宋" w:hAnsi="仿宋" w:eastAsia="仿宋" w:cs="仿宋"/>
          <w:b w:val="0"/>
          <w:bCs w:val="0"/>
          <w:color w:val="000000"/>
          <w:sz w:val="30"/>
          <w:szCs w:val="30"/>
          <w:highlight w:val="none"/>
          <w:lang w:val="en-US" w:eastAsia="zh-CN"/>
        </w:rPr>
        <w:t>格式自拟。</w:t>
      </w:r>
    </w:p>
    <w:p w14:paraId="4CF46716">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(二）质保期及服务要求：</w:t>
      </w:r>
    </w:p>
    <w:p w14:paraId="0D425CDB">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1.质保要求</w:t>
      </w:r>
    </w:p>
    <w:p w14:paraId="33DAC42D">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1.1保修范围包括整机及其所有附件。保证产品为全新原厂设备，保修期内，提供免费的维修、更换损坏零部件及技术咨询服务。</w:t>
      </w:r>
    </w:p>
    <w:p w14:paraId="108AB02C">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1.2中标人要根据现有图纸进行二次深化，深化后的图纸要经总设计单位认可。对由于设计、工艺或材料的缺陷等原因而发生的任何不足或故障由中标人负责。</w:t>
      </w:r>
    </w:p>
    <w:p w14:paraId="38D6C7CD">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1.3所投产品提供5年免费原厂质保，提供售后服务承诺书。所有</w:t>
      </w:r>
      <w:r>
        <w:rPr>
          <w:rFonts w:hint="eastAsia" w:ascii="仿宋" w:hAnsi="仿宋" w:eastAsia="仿宋" w:cs="仿宋"/>
          <w:color w:val="000000"/>
          <w:sz w:val="28"/>
          <w:szCs w:val="28"/>
          <w:lang w:val="zh-CN" w:eastAsia="zh-CN"/>
        </w:rPr>
        <w:t>设备</w:t>
      </w:r>
      <w:r>
        <w:rPr>
          <w:rFonts w:hint="eastAsia" w:ascii="仿宋" w:hAnsi="仿宋" w:eastAsia="仿宋" w:cs="仿宋"/>
          <w:color w:val="000000"/>
          <w:sz w:val="28"/>
          <w:szCs w:val="28"/>
          <w:lang w:val="en-US" w:eastAsia="zh-CN"/>
        </w:rPr>
        <w:t>需</w:t>
      </w:r>
      <w:r>
        <w:rPr>
          <w:rFonts w:hint="eastAsia" w:ascii="仿宋" w:hAnsi="仿宋" w:eastAsia="仿宋" w:cs="仿宋"/>
          <w:color w:val="000000"/>
          <w:sz w:val="28"/>
          <w:szCs w:val="28"/>
          <w:lang w:val="zh-CN" w:eastAsia="zh-CN"/>
        </w:rPr>
        <w:t>提供终身维修、维护，软件终身维护</w:t>
      </w:r>
      <w:r>
        <w:rPr>
          <w:rFonts w:hint="eastAsia" w:ascii="仿宋" w:hAnsi="仿宋" w:eastAsia="仿宋" w:cs="仿宋"/>
          <w:color w:val="000000"/>
          <w:sz w:val="28"/>
          <w:szCs w:val="28"/>
          <w:lang w:val="en-US" w:eastAsia="zh-CN"/>
        </w:rPr>
        <w:t>且中标人承担软件年费、信息费等相关费用</w:t>
      </w:r>
      <w:r>
        <w:rPr>
          <w:rFonts w:hint="eastAsia" w:ascii="仿宋" w:hAnsi="仿宋" w:eastAsia="仿宋" w:cs="仿宋"/>
          <w:color w:val="000000"/>
          <w:sz w:val="28"/>
          <w:szCs w:val="28"/>
          <w:lang w:val="zh-CN" w:eastAsia="zh-CN"/>
        </w:rPr>
        <w:t>。</w:t>
      </w:r>
      <w:r>
        <w:rPr>
          <w:rFonts w:hint="eastAsia" w:ascii="仿宋" w:hAnsi="仿宋" w:eastAsia="仿宋" w:cs="仿宋"/>
          <w:color w:val="000000"/>
          <w:sz w:val="28"/>
          <w:szCs w:val="28"/>
          <w:lang w:val="en-US" w:eastAsia="zh-CN"/>
        </w:rPr>
        <w:t>中标人接到保修请求，应在4小时内响应，24小时内维修人员到达现场，必要时应向采购人提供应急备用设备。中标人应提供咨询与全面技术支持，及时将其发现并掌握的有关设备的操作、故障检测、故障排除方法及一些新的技术发展通知采购人。</w:t>
      </w:r>
    </w:p>
    <w:p w14:paraId="084039D8">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 保修期内，每年提供5次大型活动保障。</w:t>
      </w:r>
    </w:p>
    <w:p w14:paraId="093D5AC3">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2.安装要求：中标人按照采购人的要求免费安装和调试。</w:t>
      </w:r>
    </w:p>
    <w:p w14:paraId="1129EF96">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3.培训要求：</w:t>
      </w:r>
    </w:p>
    <w:p w14:paraId="2831B7DD">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3.1免费为使用单位操作及工程技术人员提供培训，保证操作及工程技术人员能够正常使用设备的各种功能；</w:t>
      </w:r>
    </w:p>
    <w:p w14:paraId="6A1ABAEF">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3.2培训内容：主要培训内容为仪器的基本原理、设备的硬件组成、安装，上机操作、日常保养与维护，常见故障的排除，紧急情况的处理等。</w:t>
      </w:r>
    </w:p>
    <w:p w14:paraId="3DCDD856">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3.3培训材料：中标人免费提供全面、完整、详细的技术手册，包括介绍、现场安装、软件操作、故障处理、维护以及使用安全。</w:t>
      </w:r>
    </w:p>
    <w:p w14:paraId="04F01006">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4.定期巡检服务：每学期开学初和学期末对软硬件巡检一次。</w:t>
      </w:r>
    </w:p>
    <w:p w14:paraId="29A06417">
      <w:pPr>
        <w:pStyle w:val="284"/>
        <w:spacing w:line="500" w:lineRule="exact"/>
        <w:ind w:firstLine="560"/>
        <w:rPr>
          <w:rFonts w:hint="eastAsia" w:ascii="仿宋" w:hAnsi="仿宋" w:eastAsia="仿宋" w:cs="仿宋"/>
          <w:color w:val="000000"/>
          <w:sz w:val="28"/>
          <w:szCs w:val="28"/>
          <w:lang w:val="en-US" w:eastAsia="zh-CN"/>
        </w:rPr>
      </w:pPr>
      <w:r>
        <w:rPr>
          <w:rFonts w:hint="eastAsia" w:ascii="宋体" w:hAnsi="宋体" w:eastAsia="宋体" w:cs="宋体"/>
          <w:color w:val="000000"/>
          <w:sz w:val="28"/>
          <w:szCs w:val="28"/>
          <w:lang w:val="en-US" w:eastAsia="zh-CN"/>
        </w:rPr>
        <w:t>★</w:t>
      </w:r>
      <w:r>
        <w:rPr>
          <w:rFonts w:hint="eastAsia" w:ascii="仿宋" w:hAnsi="仿宋" w:eastAsia="仿宋" w:cs="仿宋"/>
          <w:color w:val="000000"/>
          <w:sz w:val="28"/>
          <w:szCs w:val="28"/>
          <w:lang w:val="en-US" w:eastAsia="zh-CN"/>
        </w:rPr>
        <w:t>5.验收方法及标准：</w:t>
      </w:r>
    </w:p>
    <w:p w14:paraId="46E68E8E">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5.1标的物验收包括但不限于检查项目资料的完整性、中标人对本项目中提出的采购需求的实现情况及其一致性等。</w:t>
      </w:r>
    </w:p>
    <w:p w14:paraId="1DAFA471">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5.2标的物符合我国最新颁布的与之相关的质量技术规范与标准，并同时满足招标文件要求、中标人所作承诺和采购人等部门的考核要求。在中标人完成全部采购内容并交付达到国家相关验收标准时，采购人应当自标的物交付验收之日起七个工作日内组织验收，采购人独立委托第三方对声学、舞台机械、灯光、中控和录播系统进行验收，验收结论如不符合招标要求，或设备安装调试后支行三个月内出现任何故障，中标人要无条件更换全新设备。中标人对货物或服务缺陷不予更正，采购人有权另请其他单位更正。验收所发生的费用由中标人承担。</w:t>
      </w:r>
    </w:p>
    <w:p w14:paraId="72F53F80">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6.其他需要明确的内容：</w:t>
      </w:r>
    </w:p>
    <w:p w14:paraId="0D380065">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中标人交货时需提供货物所必备的各种证书及相关证明材料、技术资料；</w:t>
      </w:r>
    </w:p>
    <w:p w14:paraId="25377575">
      <w:pPr>
        <w:pStyle w:val="284"/>
        <w:spacing w:line="500" w:lineRule="exact"/>
        <w:ind w:firstLine="562"/>
        <w:rPr>
          <w:rFonts w:hint="eastAsia" w:ascii="仿宋" w:hAnsi="仿宋" w:eastAsia="仿宋" w:cs="仿宋"/>
          <w:color w:val="000000"/>
          <w:sz w:val="30"/>
          <w:szCs w:val="30"/>
          <w:lang w:val="en-US" w:eastAsia="zh-CN" w:bidi="ar-SA"/>
        </w:rPr>
      </w:pPr>
      <w:bookmarkStart w:id="15" w:name="_Toc13543213"/>
      <w:r>
        <w:rPr>
          <w:rFonts w:hint="eastAsia" w:ascii="仿宋" w:hAnsi="仿宋" w:eastAsia="仿宋" w:cs="仿宋"/>
          <w:b/>
          <w:bCs/>
          <w:color w:val="000000"/>
          <w:sz w:val="30"/>
          <w:szCs w:val="30"/>
          <w:lang w:val="en-US" w:eastAsia="zh-CN" w:bidi="ar-SA"/>
        </w:rPr>
        <w:t>五、履约保证金收取</w:t>
      </w:r>
    </w:p>
    <w:p w14:paraId="36FF9539">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（一）拟中标人应当在中标公告起三日内向采购人交纳招标项目履约保证金，具体金额为中标价的5%。拟中标人应当按照采购人的要求及时、足额缴纳履约保证金。</w:t>
      </w:r>
    </w:p>
    <w:p w14:paraId="65065761">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二）履约保证金应当以支票、汇票、本票、电汇或者金融机构、担保机构出具的保函等非现金形式提交履约保证金，也可自愿使用履约保函（保险）代替缴纳履约保证金，具体详见《关于在全省政府采购领域推行电子履约保函（保险）的通知》（苏财购〔2023〕150号）规定。</w:t>
      </w:r>
    </w:p>
    <w:p w14:paraId="04FF7835">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单位名称：徐州生物工程职业技术学院</w:t>
      </w:r>
    </w:p>
    <w:p w14:paraId="2A7FA5F7">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开户行名称：江苏银行徐州科技支行</w:t>
      </w:r>
    </w:p>
    <w:p w14:paraId="2ADBE8AE">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银行帐号：60200188000406012</w:t>
      </w:r>
    </w:p>
    <w:p w14:paraId="58883A8D">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地址：徐州市西三环路297号</w:t>
      </w:r>
    </w:p>
    <w:p w14:paraId="2E0E9504">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电话：0516-85753082</w:t>
      </w:r>
    </w:p>
    <w:p w14:paraId="48DA06CD">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（三）中标公告后三日内交纳履约保证金。</w:t>
      </w:r>
    </w:p>
    <w:p w14:paraId="6C7EB6C2">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四）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14:paraId="12C9129E">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五）履约保证金退还：中标人缴纳的履约保证金，待合同标的履约完成、验收合格、合同期限结束（或服务期结束）后30日内一次性无息退还（凭“履约保证金退付申请书”及“收款收据原件”到学校财务处办理退款手续）。如果中标人不履行合同约定的义务，未能完全履行合同规定的义务或其履行不符合合同的约定，采购人有权扣除履约保证金取得补偿。</w:t>
      </w:r>
    </w:p>
    <w:p w14:paraId="20F295F5">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（六）因（拟）中标人提供的基本帐户信息错误而导致保证金误退等情况由（拟）中标人承担。</w:t>
      </w:r>
    </w:p>
    <w:p w14:paraId="1EEAA43F">
      <w:pPr>
        <w:pStyle w:val="284"/>
        <w:spacing w:line="500" w:lineRule="exact"/>
        <w:ind w:firstLine="562"/>
        <w:rPr>
          <w:rFonts w:hint="eastAsia" w:ascii="仿宋" w:hAnsi="仿宋" w:eastAsia="仿宋" w:cs="仿宋"/>
          <w:b/>
          <w:bCs/>
          <w:color w:val="000000"/>
          <w:sz w:val="30"/>
          <w:szCs w:val="30"/>
          <w:lang w:val="en-US" w:eastAsia="zh-CN" w:bidi="ar-SA"/>
        </w:rPr>
      </w:pPr>
      <w:bookmarkStart w:id="16" w:name="_Toc13543220"/>
      <w:r>
        <w:rPr>
          <w:rFonts w:hint="eastAsia" w:ascii="仿宋" w:hAnsi="仿宋" w:eastAsia="仿宋" w:cs="仿宋"/>
          <w:b/>
          <w:bCs/>
          <w:color w:val="000000"/>
          <w:sz w:val="30"/>
          <w:szCs w:val="30"/>
          <w:lang w:val="en-US" w:eastAsia="zh-CN" w:bidi="ar-SA"/>
        </w:rPr>
        <w:t>六、</w:t>
      </w:r>
      <w:bookmarkEnd w:id="16"/>
      <w:r>
        <w:rPr>
          <w:rFonts w:hint="eastAsia" w:ascii="仿宋" w:hAnsi="仿宋" w:eastAsia="仿宋" w:cs="仿宋"/>
          <w:b/>
          <w:bCs/>
          <w:color w:val="000000"/>
          <w:sz w:val="30"/>
          <w:szCs w:val="30"/>
          <w:lang w:val="en-US" w:eastAsia="zh-CN" w:bidi="ar-SA"/>
        </w:rPr>
        <w:t>合同签订要求</w:t>
      </w:r>
    </w:p>
    <w:p w14:paraId="3949AD0F">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（一）投标人如对合同中的具体条款有异议，需在投标文件（偏离表）中写明相应修改意见。</w:t>
      </w:r>
    </w:p>
    <w:p w14:paraId="7A4A24AC">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（二）投标人如对合同中的具体条款有异议，但是没有在投标文件（偏离表）中写明相应修改意见的，在中标后不得再以对合同具体条款有异议为由拒绝签订合同。</w:t>
      </w:r>
    </w:p>
    <w:p w14:paraId="0A34B102">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（三）投标人如对合同中的具体条款没有异议，请在中标后根据招投标文件实质性条款补充、完善合同相应条款内容。</w:t>
      </w:r>
    </w:p>
    <w:p w14:paraId="27ED2574">
      <w:pPr>
        <w:pStyle w:val="28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四）中标人应当自中标通知书发出之日起十五日内按照采购文件确定的事项签订采购合同，最迟不得超过三十日。如因中标人原因导致双方无法签订书面合同的，采购人有权取消中标人中标资格，并要求中标人依法承担法律责任。</w:t>
      </w:r>
    </w:p>
    <w:p w14:paraId="09676BAB">
      <w:pPr>
        <w:pStyle w:val="284"/>
        <w:spacing w:line="500" w:lineRule="exact"/>
        <w:ind w:firstLine="562"/>
        <w:rPr>
          <w:rFonts w:hint="eastAsia" w:ascii="仿宋" w:hAnsi="仿宋" w:eastAsia="仿宋" w:cs="仿宋"/>
          <w:b/>
          <w:bCs/>
          <w:color w:val="000000"/>
          <w:sz w:val="30"/>
          <w:szCs w:val="30"/>
          <w:lang w:val="en-US" w:eastAsia="zh-CN" w:bidi="ar-SA"/>
        </w:rPr>
      </w:pPr>
      <w:r>
        <w:rPr>
          <w:rFonts w:hint="eastAsia" w:ascii="仿宋" w:hAnsi="仿宋" w:eastAsia="仿宋" w:cs="仿宋"/>
          <w:b/>
          <w:bCs/>
          <w:color w:val="000000"/>
          <w:sz w:val="30"/>
          <w:szCs w:val="30"/>
          <w:lang w:val="en-US" w:eastAsia="zh-CN" w:bidi="ar-SA"/>
        </w:rPr>
        <w:t>七、</w:t>
      </w:r>
      <w:bookmarkEnd w:id="15"/>
      <w:r>
        <w:rPr>
          <w:rFonts w:hint="eastAsia" w:ascii="仿宋" w:hAnsi="仿宋" w:eastAsia="仿宋" w:cs="仿宋"/>
          <w:b/>
          <w:bCs/>
          <w:color w:val="000000"/>
          <w:sz w:val="30"/>
          <w:szCs w:val="30"/>
          <w:lang w:val="en-US" w:eastAsia="zh-CN" w:bidi="ar-SA"/>
        </w:rPr>
        <w:t>项目实施要求</w:t>
      </w:r>
    </w:p>
    <w:p w14:paraId="0CBB4AC3">
      <w:pPr>
        <w:pStyle w:val="284"/>
        <w:spacing w:line="48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项目实施质量必须严格按照国家规范及江苏省、徐州市相应地方规范、采购文件的技术规范的有关要求执行，如果在合同履行过程中有新的国家或行业（部）规范和标准出台的，则中标人应确保其合同标的物达到并符合新的国家或行业（部）规范和标准，因此而增加的费用及风险由中标人自行承担。</w:t>
      </w:r>
    </w:p>
    <w:p w14:paraId="0B201288">
      <w:pPr>
        <w:pStyle w:val="284"/>
        <w:spacing w:line="4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2.中标人须在项目实施前把详细的实施方案报送采购人审批，经批准同意后方可以组织实施。在项目实施期间中标人应遵守项目现场及采购人的各项规章制度。</w:t>
      </w:r>
    </w:p>
    <w:p w14:paraId="4EA47A75">
      <w:pPr>
        <w:pStyle w:val="284"/>
        <w:spacing w:line="4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3.中标人在项目实施期间应无条件的接受采购人的监督管理，提出的质量问题要及时整改，整改完毕后通知采购人检查验收，合格后书面报送采购人备案。</w:t>
      </w:r>
    </w:p>
    <w:p w14:paraId="4249CBC5">
      <w:pPr>
        <w:pStyle w:val="284"/>
        <w:spacing w:line="4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4.采购人使用中标人的货物、技术、资料、服务或其他任何一部分时，享有无偿使用权，并免受第三方提出的侵犯其专利权、著作权、商标权或其他知识产权的起诉。如果第三方提出侵权指控，中标人应承担由此而引起的一切法律责任和费用。</w:t>
      </w:r>
    </w:p>
    <w:p w14:paraId="571CBDFB">
      <w:pPr>
        <w:pStyle w:val="284"/>
        <w:spacing w:line="4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5.与本次采购项目有关的质量、安全问题均由中标人负责，相关的人员、财产责任风险均由中标人承担。</w:t>
      </w:r>
    </w:p>
    <w:p w14:paraId="3F1A2D48">
      <w:pPr>
        <w:spacing w:line="460" w:lineRule="exact"/>
        <w:ind w:firstLine="560"/>
        <w:jc w:val="left"/>
        <w:rPr>
          <w:rFonts w:hint="eastAsia" w:ascii="仿宋" w:hAnsi="仿宋" w:eastAsia="仿宋" w:cs="仿宋"/>
          <w:sz w:val="28"/>
          <w:szCs w:val="28"/>
        </w:rPr>
      </w:pPr>
      <w:r>
        <w:rPr>
          <w:rFonts w:hint="eastAsia" w:ascii="仿宋" w:hAnsi="仿宋" w:eastAsia="仿宋" w:cs="仿宋"/>
          <w:sz w:val="28"/>
          <w:szCs w:val="28"/>
        </w:rPr>
        <w:t>6.为保证本项目的顺利实施，投标人应结合各自产品特点，自行设计实施方案。</w:t>
      </w:r>
    </w:p>
    <w:p w14:paraId="5F5FFFEF">
      <w:pPr>
        <w:pStyle w:val="284"/>
        <w:spacing w:line="500" w:lineRule="exact"/>
        <w:ind w:firstLine="562"/>
        <w:rPr>
          <w:rFonts w:hint="eastAsia" w:ascii="仿宋" w:hAnsi="仿宋" w:eastAsia="仿宋" w:cs="仿宋"/>
          <w:b/>
          <w:bCs/>
          <w:color w:val="000000"/>
          <w:sz w:val="30"/>
          <w:szCs w:val="30"/>
          <w:lang w:val="en-US" w:eastAsia="zh-CN" w:bidi="ar-SA"/>
        </w:rPr>
      </w:pPr>
      <w:r>
        <w:rPr>
          <w:rFonts w:hint="eastAsia" w:ascii="仿宋" w:hAnsi="仿宋" w:eastAsia="仿宋" w:cs="仿宋"/>
          <w:b/>
          <w:bCs/>
          <w:color w:val="000000"/>
          <w:sz w:val="30"/>
          <w:szCs w:val="30"/>
          <w:lang w:val="en-US" w:eastAsia="zh-CN" w:bidi="ar-SA"/>
        </w:rPr>
        <w:t>八、其他要求</w:t>
      </w:r>
    </w:p>
    <w:p w14:paraId="50A34BD4">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商品包装要求：详见招标文件第五章《拟签订的合同文本》中“商品（合同标的）包装具体要求”。</w:t>
      </w:r>
    </w:p>
    <w:p w14:paraId="0B4BC54E">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快递包装要求：详见招标文件第五章《拟签订的合同文本》中“快递包装具体要求”。</w:t>
      </w:r>
    </w:p>
    <w:p w14:paraId="4B869085">
      <w:pPr>
        <w:pStyle w:val="284"/>
        <w:spacing w:line="50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付款方式要求：详见招标文件第五章《拟签订的合同文本》中《第一节 政府采购合同协议书》“2.合同金额”下的“（3）付款方式”，</w:t>
      </w:r>
      <w:r>
        <w:rPr>
          <w:rFonts w:hint="eastAsia" w:ascii="仿宋" w:hAnsi="仿宋" w:eastAsia="仿宋" w:cs="仿宋"/>
          <w:b/>
          <w:bCs/>
          <w:color w:val="000000"/>
          <w:sz w:val="28"/>
          <w:szCs w:val="28"/>
          <w:lang w:val="en-US" w:eastAsia="zh-CN"/>
        </w:rPr>
        <w:t>该条款为不允许偏离的实质性要求，如有偏离，在符合性审查阶段按投标无效处理。</w:t>
      </w:r>
    </w:p>
    <w:p w14:paraId="4D2B19EF">
      <w:pPr>
        <w:pStyle w:val="284"/>
        <w:spacing w:line="500" w:lineRule="exact"/>
        <w:ind w:firstLine="56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供货时间要求：见本节“五、商务（服务）要求”“</w:t>
      </w:r>
      <w:r>
        <w:rPr>
          <w:rFonts w:hint="eastAsia" w:ascii="仿宋" w:hAnsi="仿宋" w:eastAsia="仿宋" w:cs="仿宋"/>
          <w:color w:val="000000"/>
          <w:sz w:val="28"/>
          <w:szCs w:val="28"/>
        </w:rPr>
        <w:t>（一）</w:t>
      </w:r>
      <w:r>
        <w:rPr>
          <w:rFonts w:hint="eastAsia" w:ascii="仿宋" w:hAnsi="仿宋" w:eastAsia="仿宋" w:cs="仿宋"/>
          <w:color w:val="000000"/>
          <w:sz w:val="28"/>
          <w:szCs w:val="28"/>
          <w:lang w:val="en-US" w:eastAsia="zh-CN"/>
        </w:rPr>
        <w:t>工期</w:t>
      </w:r>
      <w:r>
        <w:rPr>
          <w:rFonts w:hint="eastAsia" w:ascii="仿宋" w:hAnsi="仿宋" w:eastAsia="仿宋" w:cs="仿宋"/>
          <w:color w:val="000000"/>
          <w:sz w:val="28"/>
          <w:szCs w:val="28"/>
        </w:rPr>
        <w:t>要求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w:t>
      </w:r>
      <w:r>
        <w:rPr>
          <w:rFonts w:hint="eastAsia" w:ascii="仿宋" w:hAnsi="仿宋" w:eastAsia="仿宋" w:cs="仿宋"/>
          <w:b/>
          <w:bCs/>
          <w:color w:val="000000"/>
          <w:sz w:val="28"/>
          <w:szCs w:val="28"/>
          <w:lang w:val="en-US" w:eastAsia="zh-CN"/>
        </w:rPr>
        <w:t>此条为不允许偏离的实质性要求和条件，如有偏离，在符合性审查时按投标无效处理。</w:t>
      </w:r>
    </w:p>
    <w:p w14:paraId="23CE296F">
      <w:pPr>
        <w:pStyle w:val="284"/>
        <w:spacing w:line="500" w:lineRule="exact"/>
        <w:ind w:firstLine="56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验收标准：见本节“五、商务（服务）要求”“5.验收方法及标准”，</w:t>
      </w:r>
      <w:r>
        <w:rPr>
          <w:rFonts w:hint="eastAsia" w:ascii="仿宋" w:hAnsi="仿宋" w:eastAsia="仿宋" w:cs="仿宋"/>
          <w:b/>
          <w:bCs/>
          <w:color w:val="000000"/>
          <w:sz w:val="28"/>
          <w:szCs w:val="28"/>
          <w:lang w:val="en-US" w:eastAsia="zh-CN"/>
        </w:rPr>
        <w:t>为不允许偏离的实质性要求和条件，如有偏离，在符合性审查时按投标无效处理。</w:t>
      </w:r>
    </w:p>
    <w:p w14:paraId="3F3C1C2C">
      <w:pPr>
        <w:pStyle w:val="284"/>
        <w:spacing w:line="500" w:lineRule="exact"/>
        <w:ind w:firstLine="562"/>
        <w:rPr>
          <w:rStyle w:val="37"/>
          <w:rFonts w:hint="eastAsia" w:ascii="仿宋" w:hAnsi="仿宋" w:eastAsia="仿宋" w:cs="仿宋"/>
          <w:color w:val="000000"/>
        </w:rPr>
      </w:pPr>
      <w:r>
        <w:rPr>
          <w:rFonts w:hint="eastAsia" w:ascii="仿宋" w:hAnsi="仿宋" w:eastAsia="仿宋" w:cs="仿宋"/>
          <w:color w:val="000000"/>
          <w:sz w:val="28"/>
          <w:szCs w:val="28"/>
          <w:lang w:val="en-US" w:eastAsia="zh-CN"/>
        </w:rPr>
        <w:t>其他</w:t>
      </w:r>
      <w:r>
        <w:rPr>
          <w:rFonts w:hint="eastAsia" w:ascii="仿宋" w:hAnsi="仿宋" w:eastAsia="仿宋" w:cs="仿宋"/>
          <w:color w:val="000000"/>
          <w:sz w:val="28"/>
          <w:szCs w:val="28"/>
        </w:rPr>
        <w:t>见招标文件第五章《拟签订的合同文本》。</w:t>
      </w:r>
      <w:bookmarkStart w:id="17" w:name="_Toc522790136"/>
      <w:bookmarkStart w:id="18" w:name="_Toc17335"/>
      <w:r>
        <w:rPr>
          <w:rStyle w:val="37"/>
          <w:rFonts w:hint="eastAsia" w:ascii="仿宋" w:hAnsi="仿宋" w:eastAsia="仿宋" w:cs="仿宋"/>
          <w:color w:val="000000"/>
        </w:rPr>
        <w:br w:type="page" w:clear="all"/>
      </w:r>
      <w:r>
        <w:rPr>
          <w:rStyle w:val="37"/>
          <w:rFonts w:hint="eastAsia" w:ascii="仿宋" w:hAnsi="仿宋" w:eastAsia="仿宋" w:cs="仿宋"/>
          <w:color w:val="000000"/>
        </w:rPr>
        <w:t>第七章  投标文件相关格式</w:t>
      </w:r>
      <w:bookmarkEnd w:id="17"/>
      <w:bookmarkEnd w:id="18"/>
    </w:p>
    <w:p w14:paraId="5C8F8380">
      <w:pPr>
        <w:jc w:val="center"/>
        <w:rPr>
          <w:rFonts w:hint="eastAsia" w:ascii="仿宋" w:hAnsi="仿宋" w:eastAsia="仿宋" w:cs="仿宋"/>
          <w:color w:val="000000"/>
          <w:sz w:val="24"/>
        </w:rPr>
      </w:pPr>
    </w:p>
    <w:p w14:paraId="57AD65DB">
      <w:pPr>
        <w:spacing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一、投标函格式</w:t>
      </w:r>
    </w:p>
    <w:p w14:paraId="7B3DD17A">
      <w:pPr>
        <w:spacing w:line="520" w:lineRule="exact"/>
        <w:rPr>
          <w:rFonts w:hint="eastAsia" w:ascii="仿宋" w:hAnsi="仿宋" w:eastAsia="仿宋" w:cs="仿宋"/>
          <w:color w:val="000000"/>
          <w:sz w:val="30"/>
          <w:szCs w:val="30"/>
        </w:rPr>
      </w:pPr>
    </w:p>
    <w:p w14:paraId="3CDB6931">
      <w:pPr>
        <w:keepNext w:val="0"/>
        <w:keepLines w:val="0"/>
        <w:pageBreakBefore w:val="0"/>
        <w:widowControl w:val="0"/>
        <w:spacing w:line="240" w:lineRule="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致：</w:t>
      </w:r>
      <w:r>
        <w:rPr>
          <w:rFonts w:hint="eastAsia" w:ascii="仿宋" w:hAnsi="仿宋" w:eastAsia="仿宋" w:cs="仿宋"/>
          <w:color w:val="000000"/>
          <w:sz w:val="30"/>
          <w:szCs w:val="30"/>
          <w:u w:val="single"/>
        </w:rPr>
        <w:t>江苏中际招标代理有限公司</w:t>
      </w:r>
    </w:p>
    <w:p w14:paraId="7732AD1D">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根据</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项目[项目编号：</w:t>
      </w:r>
      <w:r>
        <w:rPr>
          <w:rFonts w:hint="eastAsia" w:ascii="仿宋" w:hAnsi="仿宋" w:eastAsia="仿宋" w:cs="仿宋"/>
          <w:color w:val="000000"/>
          <w:sz w:val="30"/>
          <w:szCs w:val="30"/>
          <w:lang w:eastAsia="zh-CN"/>
        </w:rPr>
        <w:t>JSZC-320300-ZJZB-G2026-0042</w:t>
      </w:r>
      <w:r>
        <w:rPr>
          <w:rFonts w:hint="eastAsia" w:ascii="仿宋" w:hAnsi="仿宋" w:eastAsia="仿宋" w:cs="仿宋"/>
          <w:color w:val="000000"/>
          <w:sz w:val="30"/>
          <w:szCs w:val="30"/>
        </w:rPr>
        <w:t xml:space="preserve">]招标文件，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(姓名)代表我方</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（投标人的名称）全权处理本次投标的有关事宜。</w:t>
      </w:r>
    </w:p>
    <w:p w14:paraId="3CD412C1">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据此函，投标人承诺并同意如下： </w:t>
      </w:r>
    </w:p>
    <w:p w14:paraId="60AD2F7F">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1. 投标人唯一投标报价见《开标一览表》。</w:t>
      </w:r>
    </w:p>
    <w:p w14:paraId="0AA04680">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2. 投标人将按招标文件的规定履行合同责任和义务。</w:t>
      </w:r>
    </w:p>
    <w:p w14:paraId="021A8883">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3. 投标人已详细审查全部招标文件，包括第[插入编号] [补遗书][如果有的话]。投标人完全理解并同意放弃对这方面有不明及误解的权力。</w:t>
      </w:r>
    </w:p>
    <w:p w14:paraId="026BAC6D">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4. 投标有效期为开标之日后90天。</w:t>
      </w:r>
    </w:p>
    <w:p w14:paraId="73EB683C">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5. 投标人同意提供按照贵方可能要求的与其投标有关的一切数据或资料，完全理解贵方不一定接受最低价的投标或收到的任何投标。</w:t>
      </w:r>
    </w:p>
    <w:p w14:paraId="4CF9F987">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6. 投标人同意在授予合同后，按照有关规定支付公证费(如有)。</w:t>
      </w:r>
    </w:p>
    <w:p w14:paraId="1D78C64E">
      <w:pPr>
        <w:keepNext w:val="0"/>
        <w:keepLines w:val="0"/>
        <w:pageBreakBefore w:val="0"/>
        <w:widowControl w:val="0"/>
        <w:spacing w:line="240" w:lineRule="auto"/>
        <w:ind w:right="29"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7. 江苏中际招标代理有限公司有权将我单位本项目的《开标一览表》和《分项价格表》予以公示，公示的方式由江苏中际招标代理有限公司确定。</w:t>
      </w:r>
    </w:p>
    <w:p w14:paraId="3D1D02F8">
      <w:pPr>
        <w:keepNext w:val="0"/>
        <w:keepLines w:val="0"/>
        <w:pageBreakBefore w:val="0"/>
        <w:widowControl w:val="0"/>
        <w:spacing w:line="240" w:lineRule="auto"/>
        <w:ind w:right="29"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8.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7249C024">
      <w:pPr>
        <w:keepNext w:val="0"/>
        <w:keepLines w:val="0"/>
        <w:pageBreakBefore w:val="0"/>
        <w:widowControl w:val="0"/>
        <w:spacing w:line="240" w:lineRule="auto"/>
        <w:ind w:firstLine="6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9. 与本投标有关的一切正式往来信函请寄：</w:t>
      </w:r>
    </w:p>
    <w:p w14:paraId="552EAC9A">
      <w:pPr>
        <w:keepNext w:val="0"/>
        <w:keepLines w:val="0"/>
        <w:pageBreakBefore w:val="0"/>
        <w:widowControl w:val="0"/>
        <w:spacing w:line="240" w:lineRule="auto"/>
        <w:ind w:firstLine="12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地址： </w:t>
      </w:r>
    </w:p>
    <w:p w14:paraId="58BFC818">
      <w:pPr>
        <w:keepNext w:val="0"/>
        <w:keepLines w:val="0"/>
        <w:pageBreakBefore w:val="0"/>
        <w:widowControl w:val="0"/>
        <w:spacing w:line="240" w:lineRule="auto"/>
        <w:ind w:firstLine="12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电话： </w:t>
      </w:r>
    </w:p>
    <w:p w14:paraId="37E9672C">
      <w:pPr>
        <w:keepNext w:val="0"/>
        <w:keepLines w:val="0"/>
        <w:pageBreakBefore w:val="0"/>
        <w:widowControl w:val="0"/>
        <w:spacing w:line="240" w:lineRule="auto"/>
        <w:ind w:firstLine="12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传真： </w:t>
      </w:r>
    </w:p>
    <w:p w14:paraId="5B8D19EB">
      <w:pPr>
        <w:keepNext w:val="0"/>
        <w:keepLines w:val="0"/>
        <w:pageBreakBefore w:val="0"/>
        <w:widowControl w:val="0"/>
        <w:spacing w:line="240" w:lineRule="auto"/>
        <w:ind w:firstLine="2700"/>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776983E7">
      <w:pPr>
        <w:keepNext w:val="0"/>
        <w:keepLines w:val="0"/>
        <w:pageBreakBefore w:val="0"/>
        <w:widowControl w:val="0"/>
        <w:spacing w:line="240" w:lineRule="auto"/>
        <w:ind w:firstLine="2700"/>
        <w:outlineLvl w:val="9"/>
        <w:rPr>
          <w:rFonts w:hint="eastAsia" w:ascii="仿宋" w:hAnsi="仿宋" w:eastAsia="仿宋" w:cs="仿宋"/>
          <w:color w:val="000000"/>
          <w:sz w:val="32"/>
          <w:szCs w:val="32"/>
        </w:rPr>
      </w:pPr>
      <w:r>
        <w:rPr>
          <w:rFonts w:hint="eastAsia" w:ascii="仿宋" w:hAnsi="仿宋" w:eastAsia="仿宋" w:cs="仿宋"/>
          <w:color w:val="000000"/>
          <w:sz w:val="30"/>
          <w:szCs w:val="30"/>
        </w:rPr>
        <w:t>日期：   年  月  日</w:t>
      </w:r>
    </w:p>
    <w:p w14:paraId="167CEED1">
      <w:pPr>
        <w:spacing w:line="48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br w:type="page" w:clear="all"/>
      </w:r>
      <w:r>
        <w:rPr>
          <w:rFonts w:hint="eastAsia" w:ascii="仿宋" w:hAnsi="仿宋" w:eastAsia="仿宋" w:cs="仿宋"/>
          <w:color w:val="000000"/>
          <w:sz w:val="32"/>
          <w:szCs w:val="32"/>
        </w:rPr>
        <w:t>二、开标一览表格式</w:t>
      </w:r>
    </w:p>
    <w:p w14:paraId="4A5FF0EC">
      <w:pPr>
        <w:spacing w:line="480" w:lineRule="exact"/>
        <w:rPr>
          <w:rFonts w:hint="eastAsia" w:ascii="仿宋" w:hAnsi="仿宋" w:eastAsia="仿宋" w:cs="仿宋"/>
          <w:color w:val="000000"/>
          <w:sz w:val="30"/>
          <w:szCs w:val="30"/>
        </w:rPr>
      </w:pPr>
    </w:p>
    <w:p w14:paraId="332BAA4F">
      <w:pPr>
        <w:spacing w:line="520" w:lineRule="exact"/>
        <w:ind w:firstLine="600"/>
        <w:rPr>
          <w:rFonts w:hint="eastAsia" w:ascii="仿宋" w:hAnsi="仿宋" w:eastAsia="仿宋" w:cs="仿宋"/>
          <w:color w:val="000000"/>
          <w:sz w:val="30"/>
          <w:szCs w:val="30"/>
          <w:u w:val="single"/>
        </w:rPr>
      </w:pPr>
      <w:r>
        <w:rPr>
          <w:rFonts w:hint="eastAsia" w:ascii="仿宋" w:hAnsi="仿宋" w:eastAsia="仿宋" w:cs="仿宋"/>
          <w:color w:val="000000"/>
          <w:sz w:val="30"/>
          <w:szCs w:val="30"/>
        </w:rPr>
        <w:t>项目名称：</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30"/>
          <w:szCs w:val="30"/>
        </w:rPr>
        <w:t xml:space="preserve"> </w:t>
      </w:r>
    </w:p>
    <w:p w14:paraId="50950C4A">
      <w:pPr>
        <w:spacing w:line="520" w:lineRule="exact"/>
        <w:ind w:firstLine="600"/>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项目编号：</w:t>
      </w:r>
      <w:r>
        <w:rPr>
          <w:rFonts w:hint="eastAsia" w:ascii="仿宋" w:hAnsi="仿宋" w:eastAsia="仿宋" w:cs="仿宋"/>
          <w:color w:val="000000"/>
          <w:sz w:val="30"/>
          <w:szCs w:val="30"/>
          <w:lang w:eastAsia="zh-CN"/>
        </w:rPr>
        <w:t>JSZC-320300-ZJZB-G2026-0042</w:t>
      </w:r>
    </w:p>
    <w:p w14:paraId="1C774662">
      <w:pPr>
        <w:spacing w:line="52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货币单位：人民币元</w:t>
      </w:r>
    </w:p>
    <w:p w14:paraId="43C9FBB4">
      <w:pPr>
        <w:spacing w:line="520" w:lineRule="exact"/>
        <w:ind w:firstLine="6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格式见苏采云系统。</w:t>
      </w:r>
    </w:p>
    <w:p w14:paraId="3A4E2D9E">
      <w:pPr>
        <w:rPr>
          <w:rFonts w:hint="eastAsia" w:ascii="仿宋" w:hAnsi="仿宋" w:eastAsia="仿宋" w:cs="仿宋"/>
          <w:color w:val="000000"/>
          <w:sz w:val="24"/>
        </w:rPr>
      </w:pPr>
    </w:p>
    <w:p w14:paraId="230535C3">
      <w:pPr>
        <w:spacing w:line="480" w:lineRule="exact"/>
        <w:ind w:firstLine="2760"/>
        <w:rPr>
          <w:rFonts w:hint="eastAsia" w:ascii="仿宋" w:hAnsi="仿宋" w:eastAsia="仿宋" w:cs="仿宋"/>
          <w:color w:val="000000"/>
          <w:sz w:val="24"/>
        </w:rPr>
      </w:pPr>
    </w:p>
    <w:p w14:paraId="55D238FF">
      <w:pPr>
        <w:spacing w:line="480" w:lineRule="exact"/>
        <w:ind w:firstLine="2760"/>
        <w:rPr>
          <w:rFonts w:hint="eastAsia" w:ascii="仿宋" w:hAnsi="仿宋" w:eastAsia="仿宋" w:cs="仿宋"/>
          <w:color w:val="000000"/>
          <w:sz w:val="24"/>
        </w:rPr>
      </w:pPr>
    </w:p>
    <w:p w14:paraId="560D9D47">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69DE6910">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11FE996F">
      <w:pPr>
        <w:spacing w:line="480" w:lineRule="exact"/>
        <w:ind w:firstLine="2700"/>
        <w:rPr>
          <w:rFonts w:hint="eastAsia" w:ascii="仿宋" w:hAnsi="仿宋" w:eastAsia="仿宋" w:cs="仿宋"/>
          <w:color w:val="000000"/>
          <w:sz w:val="24"/>
        </w:rPr>
      </w:pPr>
      <w:r>
        <w:rPr>
          <w:rFonts w:hint="eastAsia" w:ascii="仿宋" w:hAnsi="仿宋" w:eastAsia="仿宋" w:cs="仿宋"/>
          <w:color w:val="000000"/>
          <w:sz w:val="30"/>
          <w:szCs w:val="30"/>
        </w:rPr>
        <w:t>日期：   年  月  日</w:t>
      </w:r>
    </w:p>
    <w:p w14:paraId="11A80477">
      <w:pPr>
        <w:spacing w:line="480" w:lineRule="exact"/>
        <w:rPr>
          <w:rFonts w:hint="eastAsia" w:ascii="仿宋" w:hAnsi="仿宋" w:eastAsia="仿宋" w:cs="仿宋"/>
          <w:color w:val="000000"/>
          <w:sz w:val="30"/>
          <w:szCs w:val="30"/>
        </w:rPr>
      </w:pPr>
    </w:p>
    <w:p w14:paraId="2D06B57F">
      <w:pPr>
        <w:spacing w:line="480" w:lineRule="exact"/>
        <w:rPr>
          <w:rFonts w:hint="eastAsia" w:ascii="仿宋" w:hAnsi="仿宋" w:eastAsia="仿宋" w:cs="仿宋"/>
          <w:color w:val="000000"/>
          <w:sz w:val="30"/>
          <w:szCs w:val="30"/>
        </w:rPr>
      </w:pPr>
    </w:p>
    <w:p w14:paraId="4F98D483">
      <w:pPr>
        <w:spacing w:line="480" w:lineRule="exact"/>
        <w:rPr>
          <w:rFonts w:hint="eastAsia" w:ascii="仿宋" w:hAnsi="仿宋" w:eastAsia="仿宋" w:cs="仿宋"/>
          <w:color w:val="000000"/>
          <w:sz w:val="30"/>
          <w:szCs w:val="30"/>
        </w:rPr>
      </w:pPr>
    </w:p>
    <w:p w14:paraId="6521B454">
      <w:pPr>
        <w:widowControl/>
        <w:jc w:val="left"/>
        <w:rPr>
          <w:rFonts w:hint="eastAsia" w:ascii="仿宋" w:hAnsi="仿宋" w:eastAsia="仿宋" w:cs="仿宋"/>
          <w:color w:val="000000"/>
          <w:sz w:val="30"/>
          <w:szCs w:val="30"/>
        </w:rPr>
      </w:pPr>
      <w:r>
        <w:rPr>
          <w:rFonts w:hint="eastAsia" w:ascii="仿宋" w:hAnsi="仿宋" w:eastAsia="仿宋" w:cs="仿宋"/>
          <w:color w:val="000000"/>
          <w:sz w:val="30"/>
          <w:szCs w:val="30"/>
        </w:rPr>
        <w:br w:type="page" w:clear="all"/>
      </w:r>
      <w:r>
        <w:rPr>
          <w:rFonts w:hint="eastAsia" w:ascii="仿宋" w:hAnsi="仿宋" w:eastAsia="仿宋" w:cs="仿宋"/>
          <w:color w:val="000000"/>
          <w:sz w:val="30"/>
          <w:szCs w:val="30"/>
        </w:rPr>
        <w:t>三、分项价格表格式</w:t>
      </w:r>
    </w:p>
    <w:p w14:paraId="52EF6F3A">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项目名称：</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30"/>
          <w:szCs w:val="30"/>
        </w:rPr>
        <w:t xml:space="preserve">  </w:t>
      </w:r>
    </w:p>
    <w:p w14:paraId="5EA75CFB">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项目编号：</w:t>
      </w:r>
      <w:r>
        <w:rPr>
          <w:rFonts w:hint="eastAsia" w:ascii="仿宋" w:hAnsi="仿宋" w:eastAsia="仿宋" w:cs="仿宋"/>
          <w:color w:val="000000"/>
          <w:sz w:val="30"/>
          <w:szCs w:val="30"/>
          <w:lang w:eastAsia="zh-CN"/>
        </w:rPr>
        <w:t>JSZC-320300-ZJZB-G2026-0042</w:t>
      </w:r>
      <w:r>
        <w:rPr>
          <w:rFonts w:hint="eastAsia" w:ascii="仿宋" w:hAnsi="仿宋" w:eastAsia="仿宋" w:cs="仿宋"/>
          <w:color w:val="000000"/>
          <w:sz w:val="30"/>
          <w:szCs w:val="30"/>
        </w:rPr>
        <w:t xml:space="preserve">   </w:t>
      </w:r>
    </w:p>
    <w:p w14:paraId="23D39EEE">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货币单位：人民币元</w:t>
      </w:r>
    </w:p>
    <w:p w14:paraId="44679AED">
      <w:pPr>
        <w:pStyle w:val="100"/>
        <w:ind w:firstLine="600"/>
        <w:rPr>
          <w:rFonts w:hint="eastAsia" w:ascii="仿宋" w:hAnsi="仿宋" w:eastAsia="仿宋" w:cs="仿宋"/>
          <w:color w:val="000000"/>
        </w:rPr>
      </w:pPr>
      <w:r>
        <w:rPr>
          <w:rFonts w:hint="eastAsia" w:ascii="仿宋" w:hAnsi="仿宋" w:eastAsia="仿宋" w:cs="仿宋"/>
          <w:color w:val="000000"/>
          <w:sz w:val="30"/>
          <w:szCs w:val="30"/>
          <w:lang w:eastAsia="zh-CN"/>
        </w:rPr>
        <w:t>采</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购</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包：</w:t>
      </w:r>
      <w:r>
        <w:rPr>
          <w:rFonts w:hint="eastAsia" w:ascii="仿宋" w:hAnsi="仿宋" w:eastAsia="仿宋" w:cs="仿宋"/>
          <w:color w:val="000000"/>
          <w:sz w:val="30"/>
          <w:szCs w:val="30"/>
          <w:u w:val="single"/>
          <w:lang w:val="en-US" w:eastAsia="zh-CN"/>
        </w:rPr>
        <w:t xml:space="preserve">    </w:t>
      </w:r>
    </w:p>
    <w:tbl>
      <w:tblPr>
        <w:tblStyle w:val="28"/>
        <w:tblW w:w="0" w:type="auto"/>
        <w:tblInd w:w="-284" w:type="dxa"/>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629"/>
        <w:gridCol w:w="1195"/>
        <w:gridCol w:w="1232"/>
        <w:gridCol w:w="1232"/>
        <w:gridCol w:w="2510"/>
        <w:gridCol w:w="1025"/>
        <w:gridCol w:w="837"/>
        <w:gridCol w:w="875"/>
        <w:gridCol w:w="705"/>
      </w:tblGrid>
      <w:tr w14:paraId="250C526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PrEx>
        <w:trPr>
          <w:trHeight w:val="583" w:hRule="atLeast"/>
        </w:trPr>
        <w:tc>
          <w:tcPr>
            <w:tcW w:w="629" w:type="dxa"/>
            <w:shd w:val="clear" w:color="auto" w:fill="C0C0C0"/>
            <w:noWrap w:val="0"/>
            <w:tcMar>
              <w:top w:w="15" w:type="dxa"/>
              <w:left w:w="15" w:type="dxa"/>
              <w:bottom w:w="0" w:type="dxa"/>
              <w:right w:w="15" w:type="dxa"/>
            </w:tcMar>
            <w:vAlign w:val="center"/>
          </w:tcPr>
          <w:p w14:paraId="283EDFD6">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195" w:type="dxa"/>
            <w:shd w:val="clear" w:color="auto" w:fill="C0C0C0"/>
            <w:noWrap w:val="0"/>
            <w:tcMar>
              <w:top w:w="15" w:type="dxa"/>
              <w:left w:w="15" w:type="dxa"/>
              <w:bottom w:w="0" w:type="dxa"/>
              <w:right w:w="15" w:type="dxa"/>
            </w:tcMar>
            <w:vAlign w:val="center"/>
          </w:tcPr>
          <w:p w14:paraId="4384C95E">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名称</w:t>
            </w:r>
          </w:p>
        </w:tc>
        <w:tc>
          <w:tcPr>
            <w:tcW w:w="1232" w:type="dxa"/>
            <w:shd w:val="clear" w:color="auto" w:fill="C0C0C0"/>
            <w:noWrap w:val="0"/>
            <w:tcMar>
              <w:top w:w="15" w:type="dxa"/>
              <w:left w:w="15" w:type="dxa"/>
              <w:bottom w:w="0" w:type="dxa"/>
              <w:right w:w="15" w:type="dxa"/>
            </w:tcMar>
            <w:vAlign w:val="center"/>
          </w:tcPr>
          <w:p w14:paraId="3683651F">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品牌</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如有</w:t>
            </w:r>
            <w:r>
              <w:rPr>
                <w:rFonts w:hint="eastAsia" w:ascii="仿宋" w:hAnsi="仿宋" w:eastAsia="仿宋" w:cs="仿宋"/>
                <w:color w:val="000000"/>
                <w:sz w:val="24"/>
                <w:highlight w:val="none"/>
                <w:lang w:eastAsia="zh-CN"/>
              </w:rPr>
              <w:t>）</w:t>
            </w:r>
          </w:p>
        </w:tc>
        <w:tc>
          <w:tcPr>
            <w:tcW w:w="1232" w:type="dxa"/>
            <w:shd w:val="clear" w:color="auto" w:fill="C0C0C0"/>
            <w:noWrap w:val="0"/>
            <w:tcMar>
              <w:top w:w="15" w:type="dxa"/>
              <w:left w:w="15" w:type="dxa"/>
              <w:bottom w:w="0" w:type="dxa"/>
              <w:right w:w="15" w:type="dxa"/>
            </w:tcMar>
            <w:vAlign w:val="center"/>
          </w:tcPr>
          <w:p w14:paraId="607435B7">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规格型号</w:t>
            </w:r>
          </w:p>
        </w:tc>
        <w:tc>
          <w:tcPr>
            <w:tcW w:w="2510" w:type="dxa"/>
            <w:shd w:val="clear" w:color="auto" w:fill="C0C0C0"/>
            <w:noWrap w:val="0"/>
            <w:tcMar>
              <w:top w:w="15" w:type="dxa"/>
              <w:left w:w="15" w:type="dxa"/>
              <w:bottom w:w="0" w:type="dxa"/>
              <w:right w:w="15" w:type="dxa"/>
            </w:tcMar>
            <w:vAlign w:val="center"/>
          </w:tcPr>
          <w:p w14:paraId="204B4A86">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产品制造企业名称</w:t>
            </w:r>
          </w:p>
        </w:tc>
        <w:tc>
          <w:tcPr>
            <w:tcW w:w="1025" w:type="dxa"/>
            <w:shd w:val="clear" w:color="auto" w:fill="C0C0C0"/>
            <w:noWrap w:val="0"/>
            <w:tcMar>
              <w:top w:w="15" w:type="dxa"/>
              <w:left w:w="15" w:type="dxa"/>
              <w:bottom w:w="0" w:type="dxa"/>
              <w:right w:w="15" w:type="dxa"/>
            </w:tcMar>
            <w:vAlign w:val="center"/>
          </w:tcPr>
          <w:p w14:paraId="298EDF74">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c>
          <w:tcPr>
            <w:tcW w:w="837" w:type="dxa"/>
            <w:shd w:val="clear" w:color="auto" w:fill="C0C0C0"/>
            <w:noWrap w:val="0"/>
            <w:tcMar>
              <w:top w:w="15" w:type="dxa"/>
              <w:left w:w="15" w:type="dxa"/>
              <w:bottom w:w="0" w:type="dxa"/>
              <w:right w:w="15" w:type="dxa"/>
            </w:tcMar>
            <w:vAlign w:val="center"/>
          </w:tcPr>
          <w:p w14:paraId="6DC55594">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875" w:type="dxa"/>
            <w:shd w:val="clear" w:color="auto" w:fill="C0C0C0"/>
            <w:noWrap w:val="0"/>
            <w:tcMar>
              <w:top w:w="15" w:type="dxa"/>
              <w:left w:w="15" w:type="dxa"/>
              <w:bottom w:w="0" w:type="dxa"/>
              <w:right w:w="15" w:type="dxa"/>
            </w:tcMar>
            <w:vAlign w:val="center"/>
          </w:tcPr>
          <w:p w14:paraId="6F37F62F">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w:t>
            </w:r>
          </w:p>
        </w:tc>
        <w:tc>
          <w:tcPr>
            <w:tcW w:w="705" w:type="dxa"/>
            <w:shd w:val="clear" w:color="auto" w:fill="C0C0C0"/>
            <w:noWrap w:val="0"/>
            <w:tcMar>
              <w:top w:w="15" w:type="dxa"/>
              <w:left w:w="15" w:type="dxa"/>
              <w:bottom w:w="0" w:type="dxa"/>
              <w:right w:w="15" w:type="dxa"/>
            </w:tcMar>
            <w:vAlign w:val="center"/>
          </w:tcPr>
          <w:p w14:paraId="67DA0CED">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w:t>
            </w:r>
          </w:p>
        </w:tc>
      </w:tr>
      <w:tr w14:paraId="4E421EEF">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3B1F78D8">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1195" w:type="dxa"/>
            <w:noWrap w:val="0"/>
            <w:tcMar>
              <w:top w:w="15" w:type="dxa"/>
              <w:left w:w="15" w:type="dxa"/>
              <w:bottom w:w="0" w:type="dxa"/>
              <w:right w:w="15" w:type="dxa"/>
            </w:tcMar>
            <w:vAlign w:val="bottom"/>
          </w:tcPr>
          <w:p w14:paraId="70711941">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30127C12">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7BE02772">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6BB435B8">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37A02D52">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11147A5A">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283DFE61">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32943848">
            <w:pPr>
              <w:jc w:val="center"/>
              <w:rPr>
                <w:rFonts w:hint="eastAsia" w:ascii="仿宋" w:hAnsi="仿宋" w:eastAsia="仿宋" w:cs="仿宋"/>
                <w:color w:val="000000"/>
                <w:sz w:val="24"/>
                <w:highlight w:val="none"/>
              </w:rPr>
            </w:pPr>
          </w:p>
        </w:tc>
      </w:tr>
      <w:tr w14:paraId="3F97306C">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0CE8D5CD">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022FCD1A">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3D3F7C44">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39278D84">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0C81D9D1">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3BE7EB02">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73580135">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7C78A18D">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07D6DBB6">
            <w:pPr>
              <w:jc w:val="center"/>
              <w:rPr>
                <w:rFonts w:hint="eastAsia" w:ascii="仿宋" w:hAnsi="仿宋" w:eastAsia="仿宋" w:cs="仿宋"/>
                <w:color w:val="000000"/>
                <w:sz w:val="24"/>
                <w:highlight w:val="none"/>
              </w:rPr>
            </w:pPr>
          </w:p>
        </w:tc>
      </w:tr>
      <w:tr w14:paraId="7B44C613">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5FF05687">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7C97932F">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000AF7FF">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06B81D14">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48D38A3C">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4E30AF60">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1BC9A1C9">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0176D97F">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1EE748DF">
            <w:pPr>
              <w:jc w:val="center"/>
              <w:rPr>
                <w:rFonts w:hint="eastAsia" w:ascii="仿宋" w:hAnsi="仿宋" w:eastAsia="仿宋" w:cs="仿宋"/>
                <w:color w:val="000000"/>
                <w:sz w:val="24"/>
                <w:highlight w:val="none"/>
              </w:rPr>
            </w:pPr>
          </w:p>
        </w:tc>
      </w:tr>
      <w:tr w14:paraId="04966BE6">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1DF6C52E">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38EEC48E">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50BADB7A">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24BDBB44">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3D763F0D">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74AF4ACA">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112A321C">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1949BD64">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7E5BE0A7">
            <w:pPr>
              <w:jc w:val="center"/>
              <w:rPr>
                <w:rFonts w:hint="eastAsia" w:ascii="仿宋" w:hAnsi="仿宋" w:eastAsia="仿宋" w:cs="仿宋"/>
                <w:color w:val="000000"/>
                <w:sz w:val="24"/>
                <w:highlight w:val="none"/>
              </w:rPr>
            </w:pPr>
          </w:p>
        </w:tc>
      </w:tr>
      <w:tr w14:paraId="0A6B8B9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6D2C8B08">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41FD8ADB">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1E65B9E5">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4360917D">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16FCDF74">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163C16AC">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2276E27">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0256E09C">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7CEBEB2A">
            <w:pPr>
              <w:jc w:val="center"/>
              <w:rPr>
                <w:rFonts w:hint="eastAsia" w:ascii="仿宋" w:hAnsi="仿宋" w:eastAsia="仿宋" w:cs="仿宋"/>
                <w:color w:val="000000"/>
                <w:sz w:val="24"/>
                <w:highlight w:val="none"/>
              </w:rPr>
            </w:pPr>
          </w:p>
        </w:tc>
      </w:tr>
      <w:tr w14:paraId="1B075B91">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67614DF5">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7855F0C2">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1435634E">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6024A043">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5D82EABB">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4A7BF538">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8E0FD55">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4CD37A7B">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513EBEDE">
            <w:pPr>
              <w:jc w:val="center"/>
              <w:rPr>
                <w:rFonts w:hint="eastAsia" w:ascii="仿宋" w:hAnsi="仿宋" w:eastAsia="仿宋" w:cs="仿宋"/>
                <w:color w:val="000000"/>
                <w:sz w:val="24"/>
                <w:highlight w:val="none"/>
              </w:rPr>
            </w:pPr>
          </w:p>
        </w:tc>
      </w:tr>
      <w:tr w14:paraId="34F7CA2D">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68199CB9">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494A6D42">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602AD2DD">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7654061D">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268D3329">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4A2D6033">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2261DB6E">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538ECC34">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738E75C4">
            <w:pPr>
              <w:jc w:val="center"/>
              <w:rPr>
                <w:rFonts w:hint="eastAsia" w:ascii="仿宋" w:hAnsi="仿宋" w:eastAsia="仿宋" w:cs="仿宋"/>
                <w:color w:val="000000"/>
                <w:sz w:val="24"/>
                <w:highlight w:val="none"/>
              </w:rPr>
            </w:pPr>
          </w:p>
        </w:tc>
      </w:tr>
      <w:tr w14:paraId="31EC47D5">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15A732F8">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0F0DEA43">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00A67818">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0DCC55FC">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1463EB76">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7195F861">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F3C179A">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10921868">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638B345A">
            <w:pPr>
              <w:jc w:val="center"/>
              <w:rPr>
                <w:rFonts w:hint="eastAsia" w:ascii="仿宋" w:hAnsi="仿宋" w:eastAsia="仿宋" w:cs="仿宋"/>
                <w:color w:val="000000"/>
                <w:sz w:val="24"/>
                <w:highlight w:val="none"/>
              </w:rPr>
            </w:pPr>
          </w:p>
        </w:tc>
      </w:tr>
      <w:tr w14:paraId="54DEEBFD">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31FBBD6B">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68376987">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6C0D6DDE">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174D8B46">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7C0D1E09">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790B429C">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6ECA092">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272CDABF">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5A9835B6">
            <w:pPr>
              <w:jc w:val="center"/>
              <w:rPr>
                <w:rFonts w:hint="eastAsia" w:ascii="仿宋" w:hAnsi="仿宋" w:eastAsia="仿宋" w:cs="仿宋"/>
                <w:color w:val="000000"/>
                <w:sz w:val="24"/>
                <w:highlight w:val="none"/>
              </w:rPr>
            </w:pPr>
          </w:p>
        </w:tc>
      </w:tr>
      <w:tr w14:paraId="49835424">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6746D1B4">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569C64C3">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3429AC2D">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2352E8FE">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72DAF091">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1B7247C0">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51B98622">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084F7ACE">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0D988EC4">
            <w:pPr>
              <w:jc w:val="center"/>
              <w:rPr>
                <w:rFonts w:hint="eastAsia" w:ascii="仿宋" w:hAnsi="仿宋" w:eastAsia="仿宋" w:cs="仿宋"/>
                <w:color w:val="000000"/>
                <w:sz w:val="24"/>
                <w:highlight w:val="none"/>
              </w:rPr>
            </w:pPr>
          </w:p>
        </w:tc>
      </w:tr>
      <w:tr w14:paraId="03F792A6">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173F1BD2">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3F305477">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5E36EEB7">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122B03EE">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75C93D20">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09DA958C">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70BBF29">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0B909E62">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3747D211">
            <w:pPr>
              <w:jc w:val="center"/>
              <w:rPr>
                <w:rFonts w:hint="eastAsia" w:ascii="仿宋" w:hAnsi="仿宋" w:eastAsia="仿宋" w:cs="仿宋"/>
                <w:color w:val="000000"/>
                <w:sz w:val="24"/>
                <w:highlight w:val="none"/>
              </w:rPr>
            </w:pPr>
          </w:p>
        </w:tc>
      </w:tr>
      <w:tr w14:paraId="620ACB0F">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17724E98">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715D9EC8">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3CDFB476">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7E3924B1">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08E6B723">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65646DD0">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441F5148">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2E90D823">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541D8FF3">
            <w:pPr>
              <w:jc w:val="center"/>
              <w:rPr>
                <w:rFonts w:hint="eastAsia" w:ascii="仿宋" w:hAnsi="仿宋" w:eastAsia="仿宋" w:cs="仿宋"/>
                <w:color w:val="000000"/>
                <w:sz w:val="24"/>
                <w:highlight w:val="none"/>
              </w:rPr>
            </w:pPr>
          </w:p>
        </w:tc>
      </w:tr>
      <w:tr w14:paraId="7D3E389D">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4BE2A544">
            <w:pPr>
              <w:pStyle w:val="73"/>
              <w:rPr>
                <w:rFonts w:hint="eastAsia" w:ascii="仿宋" w:hAnsi="仿宋" w:eastAsia="仿宋" w:cs="仿宋"/>
                <w:lang w:val="en-US" w:eastAsia="zh-CN"/>
              </w:rPr>
            </w:pPr>
          </w:p>
        </w:tc>
        <w:tc>
          <w:tcPr>
            <w:tcW w:w="1195" w:type="dxa"/>
            <w:noWrap w:val="0"/>
            <w:tcMar>
              <w:top w:w="15" w:type="dxa"/>
              <w:left w:w="15" w:type="dxa"/>
              <w:bottom w:w="0" w:type="dxa"/>
              <w:right w:w="15" w:type="dxa"/>
            </w:tcMar>
            <w:vAlign w:val="bottom"/>
          </w:tcPr>
          <w:p w14:paraId="1E6A43CC">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25ACDF03">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14728AED">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4934CC14">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67161190">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386F76F1">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0CA78FBC">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0A0697C1">
            <w:pPr>
              <w:jc w:val="center"/>
              <w:rPr>
                <w:rFonts w:hint="eastAsia" w:ascii="仿宋" w:hAnsi="仿宋" w:eastAsia="仿宋" w:cs="仿宋"/>
                <w:color w:val="000000"/>
                <w:sz w:val="24"/>
                <w:highlight w:val="none"/>
              </w:rPr>
            </w:pPr>
          </w:p>
        </w:tc>
      </w:tr>
      <w:tr w14:paraId="050C7360">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6DE1EED9">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6CB4A44D">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36EFA51B">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4B25A879">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6A21AA52">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40764841">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6293002B">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3E8F345D">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356F703A">
            <w:pPr>
              <w:jc w:val="center"/>
              <w:rPr>
                <w:rFonts w:hint="eastAsia" w:ascii="仿宋" w:hAnsi="仿宋" w:eastAsia="仿宋" w:cs="仿宋"/>
                <w:color w:val="000000"/>
                <w:sz w:val="24"/>
                <w:highlight w:val="none"/>
              </w:rPr>
            </w:pPr>
          </w:p>
        </w:tc>
      </w:tr>
      <w:tr w14:paraId="65A5C7C0">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19EE9404">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1298F391">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7E8F76EF">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364C1ECF">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143B3C43">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5BA276B2">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74E7F208">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436F44F7">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4C14AD77">
            <w:pPr>
              <w:jc w:val="center"/>
              <w:rPr>
                <w:rFonts w:hint="eastAsia" w:ascii="仿宋" w:hAnsi="仿宋" w:eastAsia="仿宋" w:cs="仿宋"/>
                <w:color w:val="000000"/>
                <w:sz w:val="24"/>
                <w:highlight w:val="none"/>
              </w:rPr>
            </w:pPr>
          </w:p>
        </w:tc>
      </w:tr>
      <w:tr w14:paraId="5BCAF41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0E876061">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32A4E463">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04F1AD8E">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0B6AD82B">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1E85270C">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08C275DF">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16D96F60">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6D51945F">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518EDC5C">
            <w:pPr>
              <w:jc w:val="center"/>
              <w:rPr>
                <w:rFonts w:hint="eastAsia" w:ascii="仿宋" w:hAnsi="仿宋" w:eastAsia="仿宋" w:cs="仿宋"/>
                <w:color w:val="000000"/>
                <w:sz w:val="24"/>
                <w:highlight w:val="none"/>
              </w:rPr>
            </w:pPr>
          </w:p>
        </w:tc>
      </w:tr>
      <w:tr w14:paraId="36CA013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629" w:type="dxa"/>
            <w:noWrap w:val="0"/>
            <w:tcMar>
              <w:top w:w="15" w:type="dxa"/>
              <w:left w:w="15" w:type="dxa"/>
              <w:bottom w:w="0" w:type="dxa"/>
              <w:right w:w="15" w:type="dxa"/>
            </w:tcMar>
            <w:vAlign w:val="bottom"/>
          </w:tcPr>
          <w:p w14:paraId="44D514E3">
            <w:pPr>
              <w:jc w:val="center"/>
              <w:rPr>
                <w:rFonts w:hint="eastAsia" w:ascii="仿宋" w:hAnsi="仿宋" w:eastAsia="仿宋" w:cs="仿宋"/>
                <w:color w:val="000000"/>
                <w:sz w:val="24"/>
                <w:highlight w:val="none"/>
                <w:lang w:val="en-US" w:eastAsia="zh-CN"/>
              </w:rPr>
            </w:pPr>
          </w:p>
        </w:tc>
        <w:tc>
          <w:tcPr>
            <w:tcW w:w="1195" w:type="dxa"/>
            <w:noWrap w:val="0"/>
            <w:tcMar>
              <w:top w:w="15" w:type="dxa"/>
              <w:left w:w="15" w:type="dxa"/>
              <w:bottom w:w="0" w:type="dxa"/>
              <w:right w:w="15" w:type="dxa"/>
            </w:tcMar>
            <w:vAlign w:val="bottom"/>
          </w:tcPr>
          <w:p w14:paraId="43E8B939">
            <w:pPr>
              <w:jc w:val="center"/>
              <w:rPr>
                <w:rFonts w:hint="eastAsia" w:ascii="仿宋" w:hAnsi="仿宋" w:eastAsia="仿宋" w:cs="仿宋"/>
                <w:color w:val="000000"/>
                <w:sz w:val="24"/>
                <w:highlight w:val="none"/>
                <w:lang w:eastAsia="zh-CN"/>
              </w:rPr>
            </w:pPr>
          </w:p>
        </w:tc>
        <w:tc>
          <w:tcPr>
            <w:tcW w:w="1232" w:type="dxa"/>
            <w:noWrap w:val="0"/>
            <w:tcMar>
              <w:top w:w="15" w:type="dxa"/>
              <w:left w:w="15" w:type="dxa"/>
              <w:bottom w:w="0" w:type="dxa"/>
              <w:right w:w="15" w:type="dxa"/>
            </w:tcMar>
            <w:vAlign w:val="bottom"/>
          </w:tcPr>
          <w:p w14:paraId="65B969F9">
            <w:pPr>
              <w:jc w:val="center"/>
              <w:rPr>
                <w:rFonts w:hint="eastAsia" w:ascii="仿宋" w:hAnsi="仿宋" w:eastAsia="仿宋" w:cs="仿宋"/>
                <w:color w:val="000000"/>
                <w:sz w:val="24"/>
                <w:highlight w:val="none"/>
              </w:rPr>
            </w:pPr>
          </w:p>
        </w:tc>
        <w:tc>
          <w:tcPr>
            <w:tcW w:w="1232" w:type="dxa"/>
            <w:noWrap w:val="0"/>
            <w:tcMar>
              <w:top w:w="15" w:type="dxa"/>
              <w:left w:w="15" w:type="dxa"/>
              <w:bottom w:w="0" w:type="dxa"/>
              <w:right w:w="15" w:type="dxa"/>
            </w:tcMar>
            <w:vAlign w:val="bottom"/>
          </w:tcPr>
          <w:p w14:paraId="74751FAF">
            <w:pPr>
              <w:jc w:val="center"/>
              <w:rPr>
                <w:rFonts w:hint="eastAsia" w:ascii="仿宋" w:hAnsi="仿宋" w:eastAsia="仿宋" w:cs="仿宋"/>
                <w:color w:val="000000"/>
                <w:sz w:val="24"/>
                <w:highlight w:val="none"/>
              </w:rPr>
            </w:pPr>
          </w:p>
        </w:tc>
        <w:tc>
          <w:tcPr>
            <w:tcW w:w="2510" w:type="dxa"/>
            <w:noWrap w:val="0"/>
            <w:tcMar>
              <w:top w:w="15" w:type="dxa"/>
              <w:left w:w="15" w:type="dxa"/>
              <w:bottom w:w="0" w:type="dxa"/>
              <w:right w:w="15" w:type="dxa"/>
            </w:tcMar>
            <w:vAlign w:val="top"/>
          </w:tcPr>
          <w:p w14:paraId="50737BD3">
            <w:pPr>
              <w:jc w:val="center"/>
              <w:rPr>
                <w:rFonts w:hint="eastAsia" w:ascii="仿宋" w:hAnsi="仿宋" w:eastAsia="仿宋" w:cs="仿宋"/>
                <w:color w:val="000000"/>
                <w:sz w:val="24"/>
                <w:highlight w:val="none"/>
              </w:rPr>
            </w:pPr>
          </w:p>
        </w:tc>
        <w:tc>
          <w:tcPr>
            <w:tcW w:w="1025" w:type="dxa"/>
            <w:noWrap w:val="0"/>
            <w:tcMar>
              <w:top w:w="15" w:type="dxa"/>
              <w:left w:w="15" w:type="dxa"/>
              <w:bottom w:w="0" w:type="dxa"/>
              <w:right w:w="15" w:type="dxa"/>
            </w:tcMar>
            <w:vAlign w:val="bottom"/>
          </w:tcPr>
          <w:p w14:paraId="7253C354">
            <w:pPr>
              <w:jc w:val="center"/>
              <w:rPr>
                <w:rFonts w:hint="eastAsia" w:ascii="仿宋" w:hAnsi="仿宋" w:eastAsia="仿宋" w:cs="仿宋"/>
                <w:color w:val="000000"/>
                <w:sz w:val="24"/>
                <w:highlight w:val="none"/>
                <w:lang w:val="en-US" w:eastAsia="zh-CN"/>
              </w:rPr>
            </w:pPr>
          </w:p>
        </w:tc>
        <w:tc>
          <w:tcPr>
            <w:tcW w:w="837" w:type="dxa"/>
            <w:noWrap w:val="0"/>
            <w:tcMar>
              <w:top w:w="15" w:type="dxa"/>
              <w:left w:w="15" w:type="dxa"/>
              <w:bottom w:w="0" w:type="dxa"/>
              <w:right w:w="15" w:type="dxa"/>
            </w:tcMar>
            <w:vAlign w:val="bottom"/>
          </w:tcPr>
          <w:p w14:paraId="5D8DF382">
            <w:pPr>
              <w:jc w:val="center"/>
              <w:rPr>
                <w:rFonts w:hint="eastAsia" w:ascii="仿宋" w:hAnsi="仿宋" w:eastAsia="仿宋" w:cs="仿宋"/>
                <w:color w:val="000000"/>
                <w:sz w:val="24"/>
                <w:highlight w:val="none"/>
                <w:lang w:val="en-US" w:eastAsia="zh-CN"/>
              </w:rPr>
            </w:pPr>
          </w:p>
        </w:tc>
        <w:tc>
          <w:tcPr>
            <w:tcW w:w="875" w:type="dxa"/>
            <w:noWrap w:val="0"/>
            <w:tcMar>
              <w:top w:w="15" w:type="dxa"/>
              <w:left w:w="15" w:type="dxa"/>
              <w:bottom w:w="0" w:type="dxa"/>
              <w:right w:w="15" w:type="dxa"/>
            </w:tcMar>
            <w:vAlign w:val="bottom"/>
          </w:tcPr>
          <w:p w14:paraId="6B0F0280">
            <w:pPr>
              <w:jc w:val="center"/>
              <w:rPr>
                <w:rFonts w:hint="eastAsia" w:ascii="仿宋" w:hAnsi="仿宋" w:eastAsia="仿宋" w:cs="仿宋"/>
                <w:color w:val="000000"/>
                <w:sz w:val="24"/>
                <w:highlight w:val="none"/>
              </w:rPr>
            </w:pPr>
          </w:p>
        </w:tc>
        <w:tc>
          <w:tcPr>
            <w:tcW w:w="705" w:type="dxa"/>
            <w:noWrap w:val="0"/>
            <w:tcMar>
              <w:top w:w="15" w:type="dxa"/>
              <w:left w:w="15" w:type="dxa"/>
              <w:bottom w:w="0" w:type="dxa"/>
              <w:right w:w="15" w:type="dxa"/>
            </w:tcMar>
            <w:vAlign w:val="bottom"/>
          </w:tcPr>
          <w:p w14:paraId="0632A05D">
            <w:pPr>
              <w:jc w:val="center"/>
              <w:rPr>
                <w:rFonts w:hint="eastAsia" w:ascii="仿宋" w:hAnsi="仿宋" w:eastAsia="仿宋" w:cs="仿宋"/>
                <w:color w:val="000000"/>
                <w:sz w:val="24"/>
                <w:highlight w:val="none"/>
              </w:rPr>
            </w:pPr>
          </w:p>
        </w:tc>
      </w:tr>
      <w:tr w14:paraId="79588791">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8" w:hRule="atLeast"/>
        </w:trPr>
        <w:tc>
          <w:tcPr>
            <w:tcW w:w="6798" w:type="dxa"/>
            <w:gridSpan w:val="5"/>
            <w:noWrap w:val="0"/>
            <w:tcMar>
              <w:top w:w="15" w:type="dxa"/>
              <w:left w:w="15" w:type="dxa"/>
              <w:bottom w:w="0" w:type="dxa"/>
              <w:right w:w="15" w:type="dxa"/>
            </w:tcMar>
            <w:vAlign w:val="bottom"/>
          </w:tcPr>
          <w:p w14:paraId="58B0E2A3">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总价合计（即《开标一览表》中的“总价”）</w:t>
            </w:r>
          </w:p>
        </w:tc>
        <w:tc>
          <w:tcPr>
            <w:tcW w:w="3442" w:type="dxa"/>
            <w:gridSpan w:val="4"/>
            <w:noWrap w:val="0"/>
            <w:tcMar>
              <w:top w:w="15" w:type="dxa"/>
              <w:left w:w="15" w:type="dxa"/>
              <w:bottom w:w="0" w:type="dxa"/>
              <w:right w:w="15" w:type="dxa"/>
            </w:tcMar>
            <w:vAlign w:val="bottom"/>
          </w:tcPr>
          <w:p w14:paraId="3F292A8A">
            <w:pPr>
              <w:jc w:val="center"/>
              <w:rPr>
                <w:rFonts w:hint="eastAsia" w:ascii="仿宋" w:hAnsi="仿宋" w:eastAsia="仿宋" w:cs="仿宋"/>
                <w:color w:val="000000"/>
                <w:sz w:val="24"/>
                <w:highlight w:val="none"/>
              </w:rPr>
            </w:pPr>
          </w:p>
        </w:tc>
      </w:tr>
    </w:tbl>
    <w:p w14:paraId="791ED7BE">
      <w:pPr>
        <w:spacing w:line="480" w:lineRule="exact"/>
        <w:rPr>
          <w:rFonts w:hint="eastAsia" w:ascii="仿宋" w:hAnsi="仿宋" w:eastAsia="仿宋" w:cs="仿宋"/>
          <w:color w:val="000000"/>
          <w:sz w:val="30"/>
          <w:szCs w:val="30"/>
        </w:rPr>
      </w:pPr>
    </w:p>
    <w:p w14:paraId="65D88CC4">
      <w:pPr>
        <w:spacing w:line="480" w:lineRule="exact"/>
        <w:ind w:firstLine="2850"/>
        <w:rPr>
          <w:rFonts w:hint="eastAsia" w:ascii="仿宋" w:hAnsi="仿宋" w:eastAsia="仿宋" w:cs="仿宋"/>
          <w:color w:val="000000"/>
          <w:sz w:val="30"/>
          <w:szCs w:val="30"/>
        </w:rPr>
      </w:pPr>
    </w:p>
    <w:p w14:paraId="07D4CFEB">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53523B11">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2BD902CD">
      <w:pPr>
        <w:spacing w:line="480" w:lineRule="exact"/>
        <w:ind w:firstLine="3900"/>
        <w:rPr>
          <w:rFonts w:hint="eastAsia" w:ascii="仿宋" w:hAnsi="仿宋" w:eastAsia="仿宋" w:cs="仿宋"/>
          <w:color w:val="000000"/>
          <w:sz w:val="30"/>
          <w:szCs w:val="30"/>
        </w:rPr>
      </w:pPr>
      <w:r>
        <w:rPr>
          <w:rFonts w:hint="eastAsia" w:ascii="仿宋" w:hAnsi="仿宋" w:eastAsia="仿宋" w:cs="仿宋"/>
          <w:color w:val="000000"/>
          <w:sz w:val="30"/>
          <w:szCs w:val="30"/>
        </w:rPr>
        <w:t>日期：   年  月  日</w:t>
      </w:r>
    </w:p>
    <w:p w14:paraId="3C90DEF1">
      <w:pPr>
        <w:spacing w:line="480" w:lineRule="exact"/>
        <w:ind w:firstLine="600"/>
        <w:rPr>
          <w:rFonts w:hint="eastAsia" w:ascii="仿宋" w:hAnsi="仿宋" w:eastAsia="仿宋" w:cs="仿宋"/>
          <w:color w:val="000000"/>
          <w:sz w:val="30"/>
          <w:szCs w:val="30"/>
        </w:rPr>
      </w:pPr>
    </w:p>
    <w:p w14:paraId="19204FBE">
      <w:pPr>
        <w:spacing w:line="480" w:lineRule="exact"/>
        <w:ind w:firstLine="560"/>
        <w:rPr>
          <w:rFonts w:hint="eastAsia" w:ascii="仿宋" w:hAnsi="仿宋" w:eastAsia="仿宋" w:cs="仿宋"/>
          <w:color w:val="000000"/>
          <w:sz w:val="30"/>
          <w:szCs w:val="30"/>
        </w:rPr>
      </w:pPr>
      <w:r>
        <w:rPr>
          <w:rFonts w:hint="eastAsia" w:ascii="仿宋" w:hAnsi="仿宋" w:eastAsia="仿宋" w:cs="仿宋"/>
          <w:color w:val="000000"/>
          <w:sz w:val="28"/>
          <w:szCs w:val="28"/>
        </w:rPr>
        <w:br w:type="page" w:clear="all"/>
      </w:r>
      <w:r>
        <w:rPr>
          <w:rFonts w:hint="eastAsia" w:ascii="仿宋" w:hAnsi="仿宋" w:eastAsia="仿宋" w:cs="仿宋"/>
          <w:color w:val="000000"/>
          <w:sz w:val="28"/>
          <w:szCs w:val="28"/>
        </w:rPr>
        <w:t>四、偏离表格式</w:t>
      </w:r>
    </w:p>
    <w:p w14:paraId="1BC5C342">
      <w:pPr>
        <w:spacing w:line="480" w:lineRule="exact"/>
        <w:ind w:firstLine="600"/>
        <w:rPr>
          <w:rFonts w:hint="eastAsia" w:ascii="仿宋" w:hAnsi="仿宋" w:eastAsia="仿宋" w:cs="仿宋"/>
          <w:color w:val="000000"/>
          <w:sz w:val="30"/>
          <w:szCs w:val="30"/>
          <w:u w:val="single"/>
          <w:lang w:eastAsia="zh-CN"/>
        </w:rPr>
      </w:pPr>
      <w:r>
        <w:rPr>
          <w:rFonts w:hint="eastAsia" w:ascii="仿宋" w:hAnsi="仿宋" w:eastAsia="仿宋" w:cs="仿宋"/>
          <w:color w:val="000000"/>
          <w:sz w:val="30"/>
          <w:szCs w:val="30"/>
        </w:rPr>
        <w:t>项目名称：</w:t>
      </w:r>
      <w:r>
        <w:rPr>
          <w:rFonts w:hint="eastAsia" w:ascii="仿宋" w:hAnsi="仿宋" w:eastAsia="仿宋" w:cs="仿宋"/>
          <w:color w:val="000000"/>
          <w:sz w:val="30"/>
          <w:szCs w:val="30"/>
          <w:lang w:eastAsia="zh-CN"/>
        </w:rPr>
        <w:t>徐州生物工程职业技术学院大学生活动中心舞美设备采购与安装</w:t>
      </w:r>
    </w:p>
    <w:p w14:paraId="795AB7A4">
      <w:pPr>
        <w:spacing w:line="480" w:lineRule="exact"/>
        <w:ind w:firstLine="600"/>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项目编号：</w:t>
      </w:r>
      <w:r>
        <w:rPr>
          <w:rFonts w:hint="eastAsia" w:ascii="仿宋" w:hAnsi="仿宋" w:eastAsia="仿宋" w:cs="仿宋"/>
          <w:color w:val="000000"/>
          <w:sz w:val="30"/>
          <w:szCs w:val="30"/>
          <w:lang w:eastAsia="zh-CN"/>
        </w:rPr>
        <w:t>JSZC-320300-ZJZB-G2026-0042</w:t>
      </w:r>
    </w:p>
    <w:p w14:paraId="6985F9B4">
      <w:pPr>
        <w:pStyle w:val="100"/>
        <w:ind w:firstLine="600"/>
        <w:rPr>
          <w:rFonts w:hint="eastAsia" w:ascii="仿宋" w:hAnsi="仿宋" w:eastAsia="仿宋" w:cs="仿宋"/>
          <w:color w:val="000000"/>
          <w:sz w:val="24"/>
          <w:u w:val="single"/>
          <w:lang w:val="en-US" w:eastAsia="zh-CN"/>
        </w:rPr>
      </w:pPr>
      <w:r>
        <w:rPr>
          <w:rFonts w:hint="eastAsia" w:ascii="仿宋" w:hAnsi="仿宋" w:eastAsia="仿宋" w:cs="仿宋"/>
          <w:color w:val="000000"/>
          <w:sz w:val="30"/>
          <w:szCs w:val="30"/>
          <w:lang w:eastAsia="zh-CN"/>
        </w:rPr>
        <w:t>采</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购</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包：</w:t>
      </w:r>
      <w:r>
        <w:rPr>
          <w:rFonts w:hint="eastAsia" w:ascii="仿宋" w:hAnsi="仿宋" w:eastAsia="仿宋" w:cs="仿宋"/>
          <w:color w:val="000000"/>
          <w:sz w:val="30"/>
          <w:szCs w:val="30"/>
          <w:u w:val="single"/>
          <w:lang w:val="en-US" w:eastAsia="zh-CN"/>
        </w:rPr>
        <w:t xml:space="preserve">    </w:t>
      </w:r>
    </w:p>
    <w:tbl>
      <w:tblPr>
        <w:tblStyle w:val="28"/>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4D0F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center"/>
          </w:tcPr>
          <w:p w14:paraId="42BAF81F">
            <w:pPr>
              <w:jc w:val="center"/>
              <w:rPr>
                <w:rFonts w:hint="eastAsia" w:ascii="仿宋" w:hAnsi="仿宋" w:eastAsia="仿宋" w:cs="仿宋"/>
                <w:caps/>
                <w:color w:val="000000"/>
                <w:sz w:val="24"/>
              </w:rPr>
            </w:pPr>
            <w:r>
              <w:rPr>
                <w:rFonts w:hint="eastAsia" w:ascii="仿宋" w:hAnsi="仿宋" w:eastAsia="仿宋" w:cs="仿宋"/>
                <w:caps/>
                <w:color w:val="000000"/>
                <w:sz w:val="24"/>
              </w:rPr>
              <w:t>序号</w:t>
            </w:r>
          </w:p>
        </w:tc>
        <w:tc>
          <w:tcPr>
            <w:tcW w:w="1404" w:type="dxa"/>
            <w:noWrap w:val="0"/>
            <w:vAlign w:val="center"/>
          </w:tcPr>
          <w:p w14:paraId="0261CC72">
            <w:pPr>
              <w:jc w:val="center"/>
              <w:rPr>
                <w:rFonts w:hint="eastAsia" w:ascii="仿宋" w:hAnsi="仿宋" w:eastAsia="仿宋" w:cs="仿宋"/>
                <w:caps/>
                <w:color w:val="000000"/>
                <w:sz w:val="24"/>
              </w:rPr>
            </w:pPr>
            <w:r>
              <w:rPr>
                <w:rFonts w:hint="eastAsia" w:ascii="仿宋" w:hAnsi="仿宋" w:eastAsia="仿宋" w:cs="仿宋"/>
                <w:caps/>
                <w:color w:val="000000"/>
                <w:sz w:val="24"/>
              </w:rPr>
              <w:t>偏离内容</w:t>
            </w:r>
          </w:p>
        </w:tc>
        <w:tc>
          <w:tcPr>
            <w:tcW w:w="1476" w:type="dxa"/>
            <w:noWrap w:val="0"/>
            <w:vAlign w:val="center"/>
          </w:tcPr>
          <w:p w14:paraId="0CFDB7C2">
            <w:pPr>
              <w:jc w:val="center"/>
              <w:rPr>
                <w:rFonts w:hint="eastAsia" w:ascii="仿宋" w:hAnsi="仿宋" w:eastAsia="仿宋" w:cs="仿宋"/>
                <w:caps/>
                <w:color w:val="000000"/>
                <w:sz w:val="24"/>
              </w:rPr>
            </w:pPr>
            <w:r>
              <w:rPr>
                <w:rFonts w:hint="eastAsia" w:ascii="仿宋" w:hAnsi="仿宋" w:eastAsia="仿宋" w:cs="仿宋"/>
                <w:color w:val="000000"/>
                <w:sz w:val="24"/>
              </w:rPr>
              <w:t>招标文件的要求</w:t>
            </w:r>
          </w:p>
        </w:tc>
        <w:tc>
          <w:tcPr>
            <w:tcW w:w="1620" w:type="dxa"/>
            <w:noWrap w:val="0"/>
            <w:vAlign w:val="center"/>
          </w:tcPr>
          <w:p w14:paraId="1F367B2E">
            <w:pPr>
              <w:jc w:val="center"/>
              <w:rPr>
                <w:rFonts w:hint="eastAsia" w:ascii="仿宋" w:hAnsi="仿宋" w:eastAsia="仿宋" w:cs="仿宋"/>
                <w:caps/>
                <w:color w:val="000000"/>
                <w:sz w:val="24"/>
              </w:rPr>
            </w:pPr>
            <w:r>
              <w:rPr>
                <w:rFonts w:hint="eastAsia" w:ascii="仿宋" w:hAnsi="仿宋" w:eastAsia="仿宋" w:cs="仿宋"/>
                <w:color w:val="000000"/>
                <w:sz w:val="24"/>
              </w:rPr>
              <w:t>投标文件中的内容</w:t>
            </w:r>
          </w:p>
        </w:tc>
        <w:tc>
          <w:tcPr>
            <w:tcW w:w="1260" w:type="dxa"/>
            <w:noWrap w:val="0"/>
            <w:vAlign w:val="center"/>
          </w:tcPr>
          <w:p w14:paraId="3EB67A91">
            <w:pPr>
              <w:jc w:val="center"/>
              <w:rPr>
                <w:rFonts w:hint="eastAsia" w:ascii="仿宋" w:hAnsi="仿宋" w:eastAsia="仿宋" w:cs="仿宋"/>
                <w:caps/>
                <w:color w:val="000000"/>
                <w:sz w:val="24"/>
              </w:rPr>
            </w:pPr>
            <w:r>
              <w:rPr>
                <w:rFonts w:hint="eastAsia" w:ascii="仿宋" w:hAnsi="仿宋" w:eastAsia="仿宋" w:cs="仿宋"/>
                <w:caps/>
                <w:color w:val="000000"/>
                <w:sz w:val="24"/>
              </w:rPr>
              <w:t>（正/负/无）偏离</w:t>
            </w:r>
          </w:p>
        </w:tc>
        <w:tc>
          <w:tcPr>
            <w:tcW w:w="2520" w:type="dxa"/>
            <w:noWrap w:val="0"/>
            <w:vAlign w:val="center"/>
          </w:tcPr>
          <w:p w14:paraId="6F2EB084">
            <w:pPr>
              <w:jc w:val="center"/>
              <w:rPr>
                <w:rFonts w:hint="eastAsia" w:ascii="仿宋" w:hAnsi="仿宋" w:eastAsia="仿宋" w:cs="仿宋"/>
                <w:caps/>
                <w:color w:val="000000"/>
                <w:sz w:val="24"/>
              </w:rPr>
            </w:pPr>
            <w:r>
              <w:rPr>
                <w:rFonts w:hint="eastAsia" w:ascii="仿宋" w:hAnsi="仿宋" w:eastAsia="仿宋" w:cs="仿宋"/>
                <w:caps/>
                <w:color w:val="000000"/>
                <w:sz w:val="24"/>
              </w:rPr>
              <w:t>说明</w:t>
            </w:r>
          </w:p>
        </w:tc>
      </w:tr>
      <w:tr w14:paraId="703A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0015278F">
            <w:pPr>
              <w:rPr>
                <w:rFonts w:hint="eastAsia" w:ascii="仿宋" w:hAnsi="仿宋" w:eastAsia="仿宋" w:cs="仿宋"/>
                <w:color w:val="000000"/>
                <w:sz w:val="24"/>
              </w:rPr>
            </w:pPr>
          </w:p>
        </w:tc>
        <w:tc>
          <w:tcPr>
            <w:tcW w:w="1404" w:type="dxa"/>
            <w:noWrap w:val="0"/>
            <w:vAlign w:val="top"/>
          </w:tcPr>
          <w:p w14:paraId="6E5646B3">
            <w:pPr>
              <w:rPr>
                <w:rFonts w:hint="eastAsia" w:ascii="仿宋" w:hAnsi="仿宋" w:eastAsia="仿宋" w:cs="仿宋"/>
                <w:color w:val="000000"/>
                <w:sz w:val="24"/>
              </w:rPr>
            </w:pPr>
          </w:p>
        </w:tc>
        <w:tc>
          <w:tcPr>
            <w:tcW w:w="1476" w:type="dxa"/>
            <w:noWrap w:val="0"/>
            <w:vAlign w:val="top"/>
          </w:tcPr>
          <w:p w14:paraId="63C925FA">
            <w:pPr>
              <w:rPr>
                <w:rFonts w:hint="eastAsia" w:ascii="仿宋" w:hAnsi="仿宋" w:eastAsia="仿宋" w:cs="仿宋"/>
                <w:color w:val="000000"/>
                <w:sz w:val="24"/>
              </w:rPr>
            </w:pPr>
          </w:p>
        </w:tc>
        <w:tc>
          <w:tcPr>
            <w:tcW w:w="1620" w:type="dxa"/>
            <w:noWrap w:val="0"/>
            <w:vAlign w:val="top"/>
          </w:tcPr>
          <w:p w14:paraId="2720CAAC">
            <w:pPr>
              <w:rPr>
                <w:rFonts w:hint="eastAsia" w:ascii="仿宋" w:hAnsi="仿宋" w:eastAsia="仿宋" w:cs="仿宋"/>
                <w:color w:val="000000"/>
                <w:sz w:val="24"/>
              </w:rPr>
            </w:pPr>
          </w:p>
        </w:tc>
        <w:tc>
          <w:tcPr>
            <w:tcW w:w="1260" w:type="dxa"/>
            <w:noWrap w:val="0"/>
            <w:vAlign w:val="top"/>
          </w:tcPr>
          <w:p w14:paraId="18F489D5">
            <w:pPr>
              <w:rPr>
                <w:rFonts w:hint="eastAsia" w:ascii="仿宋" w:hAnsi="仿宋" w:eastAsia="仿宋" w:cs="仿宋"/>
                <w:color w:val="000000"/>
                <w:sz w:val="24"/>
              </w:rPr>
            </w:pPr>
          </w:p>
        </w:tc>
        <w:tc>
          <w:tcPr>
            <w:tcW w:w="2520" w:type="dxa"/>
            <w:noWrap w:val="0"/>
            <w:vAlign w:val="top"/>
          </w:tcPr>
          <w:p w14:paraId="20BD5BD2">
            <w:pPr>
              <w:rPr>
                <w:rFonts w:hint="eastAsia" w:ascii="仿宋" w:hAnsi="仿宋" w:eastAsia="仿宋" w:cs="仿宋"/>
                <w:color w:val="000000"/>
                <w:sz w:val="24"/>
              </w:rPr>
            </w:pPr>
          </w:p>
        </w:tc>
      </w:tr>
      <w:tr w14:paraId="086E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77524427">
            <w:pPr>
              <w:rPr>
                <w:rFonts w:hint="eastAsia" w:ascii="仿宋" w:hAnsi="仿宋" w:eastAsia="仿宋" w:cs="仿宋"/>
                <w:color w:val="000000"/>
                <w:sz w:val="24"/>
              </w:rPr>
            </w:pPr>
          </w:p>
        </w:tc>
        <w:tc>
          <w:tcPr>
            <w:tcW w:w="1404" w:type="dxa"/>
            <w:noWrap w:val="0"/>
            <w:vAlign w:val="top"/>
          </w:tcPr>
          <w:p w14:paraId="4548049B">
            <w:pPr>
              <w:rPr>
                <w:rFonts w:hint="eastAsia" w:ascii="仿宋" w:hAnsi="仿宋" w:eastAsia="仿宋" w:cs="仿宋"/>
                <w:color w:val="000000"/>
                <w:sz w:val="24"/>
              </w:rPr>
            </w:pPr>
          </w:p>
        </w:tc>
        <w:tc>
          <w:tcPr>
            <w:tcW w:w="1476" w:type="dxa"/>
            <w:noWrap w:val="0"/>
            <w:vAlign w:val="top"/>
          </w:tcPr>
          <w:p w14:paraId="2146857E">
            <w:pPr>
              <w:rPr>
                <w:rFonts w:hint="eastAsia" w:ascii="仿宋" w:hAnsi="仿宋" w:eastAsia="仿宋" w:cs="仿宋"/>
                <w:color w:val="000000"/>
                <w:sz w:val="24"/>
              </w:rPr>
            </w:pPr>
          </w:p>
        </w:tc>
        <w:tc>
          <w:tcPr>
            <w:tcW w:w="1620" w:type="dxa"/>
            <w:noWrap w:val="0"/>
            <w:vAlign w:val="top"/>
          </w:tcPr>
          <w:p w14:paraId="0386FA36">
            <w:pPr>
              <w:rPr>
                <w:rFonts w:hint="eastAsia" w:ascii="仿宋" w:hAnsi="仿宋" w:eastAsia="仿宋" w:cs="仿宋"/>
                <w:color w:val="000000"/>
                <w:sz w:val="24"/>
              </w:rPr>
            </w:pPr>
          </w:p>
        </w:tc>
        <w:tc>
          <w:tcPr>
            <w:tcW w:w="1260" w:type="dxa"/>
            <w:noWrap w:val="0"/>
            <w:vAlign w:val="top"/>
          </w:tcPr>
          <w:p w14:paraId="1CAD6A09">
            <w:pPr>
              <w:rPr>
                <w:rFonts w:hint="eastAsia" w:ascii="仿宋" w:hAnsi="仿宋" w:eastAsia="仿宋" w:cs="仿宋"/>
                <w:color w:val="000000"/>
                <w:sz w:val="24"/>
              </w:rPr>
            </w:pPr>
          </w:p>
        </w:tc>
        <w:tc>
          <w:tcPr>
            <w:tcW w:w="2520" w:type="dxa"/>
            <w:noWrap w:val="0"/>
            <w:vAlign w:val="top"/>
          </w:tcPr>
          <w:p w14:paraId="2B953EE7">
            <w:pPr>
              <w:rPr>
                <w:rFonts w:hint="eastAsia" w:ascii="仿宋" w:hAnsi="仿宋" w:eastAsia="仿宋" w:cs="仿宋"/>
                <w:color w:val="000000"/>
                <w:sz w:val="24"/>
              </w:rPr>
            </w:pPr>
          </w:p>
        </w:tc>
      </w:tr>
      <w:tr w14:paraId="2972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64E30FDD">
            <w:pPr>
              <w:rPr>
                <w:rFonts w:hint="eastAsia" w:ascii="仿宋" w:hAnsi="仿宋" w:eastAsia="仿宋" w:cs="仿宋"/>
                <w:color w:val="000000"/>
                <w:sz w:val="24"/>
              </w:rPr>
            </w:pPr>
          </w:p>
        </w:tc>
        <w:tc>
          <w:tcPr>
            <w:tcW w:w="1404" w:type="dxa"/>
            <w:noWrap w:val="0"/>
            <w:vAlign w:val="top"/>
          </w:tcPr>
          <w:p w14:paraId="0DAF1837">
            <w:pPr>
              <w:rPr>
                <w:rFonts w:hint="eastAsia" w:ascii="仿宋" w:hAnsi="仿宋" w:eastAsia="仿宋" w:cs="仿宋"/>
                <w:color w:val="000000"/>
                <w:sz w:val="24"/>
              </w:rPr>
            </w:pPr>
          </w:p>
        </w:tc>
        <w:tc>
          <w:tcPr>
            <w:tcW w:w="1476" w:type="dxa"/>
            <w:noWrap w:val="0"/>
            <w:vAlign w:val="top"/>
          </w:tcPr>
          <w:p w14:paraId="64BCEAEB">
            <w:pPr>
              <w:rPr>
                <w:rFonts w:hint="eastAsia" w:ascii="仿宋" w:hAnsi="仿宋" w:eastAsia="仿宋" w:cs="仿宋"/>
                <w:color w:val="000000"/>
                <w:sz w:val="24"/>
              </w:rPr>
            </w:pPr>
          </w:p>
        </w:tc>
        <w:tc>
          <w:tcPr>
            <w:tcW w:w="1620" w:type="dxa"/>
            <w:noWrap w:val="0"/>
            <w:vAlign w:val="top"/>
          </w:tcPr>
          <w:p w14:paraId="782F9C9E">
            <w:pPr>
              <w:rPr>
                <w:rFonts w:hint="eastAsia" w:ascii="仿宋" w:hAnsi="仿宋" w:eastAsia="仿宋" w:cs="仿宋"/>
                <w:color w:val="000000"/>
                <w:sz w:val="24"/>
              </w:rPr>
            </w:pPr>
          </w:p>
        </w:tc>
        <w:tc>
          <w:tcPr>
            <w:tcW w:w="1260" w:type="dxa"/>
            <w:noWrap w:val="0"/>
            <w:vAlign w:val="top"/>
          </w:tcPr>
          <w:p w14:paraId="004BD608">
            <w:pPr>
              <w:rPr>
                <w:rFonts w:hint="eastAsia" w:ascii="仿宋" w:hAnsi="仿宋" w:eastAsia="仿宋" w:cs="仿宋"/>
                <w:color w:val="000000"/>
                <w:sz w:val="24"/>
              </w:rPr>
            </w:pPr>
          </w:p>
        </w:tc>
        <w:tc>
          <w:tcPr>
            <w:tcW w:w="2520" w:type="dxa"/>
            <w:noWrap w:val="0"/>
            <w:vAlign w:val="top"/>
          </w:tcPr>
          <w:p w14:paraId="3D701248">
            <w:pPr>
              <w:rPr>
                <w:rFonts w:hint="eastAsia" w:ascii="仿宋" w:hAnsi="仿宋" w:eastAsia="仿宋" w:cs="仿宋"/>
                <w:color w:val="000000"/>
                <w:sz w:val="24"/>
              </w:rPr>
            </w:pPr>
          </w:p>
        </w:tc>
      </w:tr>
      <w:tr w14:paraId="76A5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5E3E841A">
            <w:pPr>
              <w:rPr>
                <w:rFonts w:hint="eastAsia" w:ascii="仿宋" w:hAnsi="仿宋" w:eastAsia="仿宋" w:cs="仿宋"/>
                <w:color w:val="000000"/>
                <w:sz w:val="24"/>
              </w:rPr>
            </w:pPr>
          </w:p>
        </w:tc>
        <w:tc>
          <w:tcPr>
            <w:tcW w:w="1404" w:type="dxa"/>
            <w:noWrap w:val="0"/>
            <w:vAlign w:val="top"/>
          </w:tcPr>
          <w:p w14:paraId="1C17E324">
            <w:pPr>
              <w:rPr>
                <w:rFonts w:hint="eastAsia" w:ascii="仿宋" w:hAnsi="仿宋" w:eastAsia="仿宋" w:cs="仿宋"/>
                <w:color w:val="000000"/>
                <w:sz w:val="24"/>
              </w:rPr>
            </w:pPr>
          </w:p>
        </w:tc>
        <w:tc>
          <w:tcPr>
            <w:tcW w:w="1476" w:type="dxa"/>
            <w:noWrap w:val="0"/>
            <w:vAlign w:val="top"/>
          </w:tcPr>
          <w:p w14:paraId="0CAA6E58">
            <w:pPr>
              <w:rPr>
                <w:rFonts w:hint="eastAsia" w:ascii="仿宋" w:hAnsi="仿宋" w:eastAsia="仿宋" w:cs="仿宋"/>
                <w:color w:val="000000"/>
                <w:sz w:val="24"/>
              </w:rPr>
            </w:pPr>
          </w:p>
        </w:tc>
        <w:tc>
          <w:tcPr>
            <w:tcW w:w="1620" w:type="dxa"/>
            <w:noWrap w:val="0"/>
            <w:vAlign w:val="top"/>
          </w:tcPr>
          <w:p w14:paraId="51A37005">
            <w:pPr>
              <w:rPr>
                <w:rFonts w:hint="eastAsia" w:ascii="仿宋" w:hAnsi="仿宋" w:eastAsia="仿宋" w:cs="仿宋"/>
                <w:color w:val="000000"/>
                <w:sz w:val="24"/>
              </w:rPr>
            </w:pPr>
          </w:p>
        </w:tc>
        <w:tc>
          <w:tcPr>
            <w:tcW w:w="1260" w:type="dxa"/>
            <w:noWrap w:val="0"/>
            <w:vAlign w:val="top"/>
          </w:tcPr>
          <w:p w14:paraId="5BED0B0F">
            <w:pPr>
              <w:rPr>
                <w:rFonts w:hint="eastAsia" w:ascii="仿宋" w:hAnsi="仿宋" w:eastAsia="仿宋" w:cs="仿宋"/>
                <w:color w:val="000000"/>
                <w:sz w:val="24"/>
              </w:rPr>
            </w:pPr>
          </w:p>
        </w:tc>
        <w:tc>
          <w:tcPr>
            <w:tcW w:w="2520" w:type="dxa"/>
            <w:noWrap w:val="0"/>
            <w:vAlign w:val="top"/>
          </w:tcPr>
          <w:p w14:paraId="1F1158EF">
            <w:pPr>
              <w:rPr>
                <w:rFonts w:hint="eastAsia" w:ascii="仿宋" w:hAnsi="仿宋" w:eastAsia="仿宋" w:cs="仿宋"/>
                <w:color w:val="000000"/>
                <w:sz w:val="24"/>
              </w:rPr>
            </w:pPr>
          </w:p>
        </w:tc>
      </w:tr>
      <w:tr w14:paraId="7136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70CA2534">
            <w:pPr>
              <w:rPr>
                <w:rFonts w:hint="eastAsia" w:ascii="仿宋" w:hAnsi="仿宋" w:eastAsia="仿宋" w:cs="仿宋"/>
                <w:color w:val="000000"/>
                <w:sz w:val="24"/>
              </w:rPr>
            </w:pPr>
          </w:p>
        </w:tc>
        <w:tc>
          <w:tcPr>
            <w:tcW w:w="1404" w:type="dxa"/>
            <w:noWrap w:val="0"/>
            <w:vAlign w:val="top"/>
          </w:tcPr>
          <w:p w14:paraId="35154E3F">
            <w:pPr>
              <w:rPr>
                <w:rFonts w:hint="eastAsia" w:ascii="仿宋" w:hAnsi="仿宋" w:eastAsia="仿宋" w:cs="仿宋"/>
                <w:color w:val="000000"/>
                <w:sz w:val="24"/>
              </w:rPr>
            </w:pPr>
          </w:p>
        </w:tc>
        <w:tc>
          <w:tcPr>
            <w:tcW w:w="1476" w:type="dxa"/>
            <w:noWrap w:val="0"/>
            <w:vAlign w:val="top"/>
          </w:tcPr>
          <w:p w14:paraId="57B290EA">
            <w:pPr>
              <w:rPr>
                <w:rFonts w:hint="eastAsia" w:ascii="仿宋" w:hAnsi="仿宋" w:eastAsia="仿宋" w:cs="仿宋"/>
                <w:color w:val="000000"/>
                <w:sz w:val="24"/>
              </w:rPr>
            </w:pPr>
          </w:p>
        </w:tc>
        <w:tc>
          <w:tcPr>
            <w:tcW w:w="1620" w:type="dxa"/>
            <w:noWrap w:val="0"/>
            <w:vAlign w:val="top"/>
          </w:tcPr>
          <w:p w14:paraId="5157EED9">
            <w:pPr>
              <w:rPr>
                <w:rFonts w:hint="eastAsia" w:ascii="仿宋" w:hAnsi="仿宋" w:eastAsia="仿宋" w:cs="仿宋"/>
                <w:color w:val="000000"/>
                <w:sz w:val="24"/>
              </w:rPr>
            </w:pPr>
          </w:p>
        </w:tc>
        <w:tc>
          <w:tcPr>
            <w:tcW w:w="1260" w:type="dxa"/>
            <w:noWrap w:val="0"/>
            <w:vAlign w:val="top"/>
          </w:tcPr>
          <w:p w14:paraId="07BBAA85">
            <w:pPr>
              <w:rPr>
                <w:rFonts w:hint="eastAsia" w:ascii="仿宋" w:hAnsi="仿宋" w:eastAsia="仿宋" w:cs="仿宋"/>
                <w:color w:val="000000"/>
                <w:sz w:val="24"/>
              </w:rPr>
            </w:pPr>
          </w:p>
        </w:tc>
        <w:tc>
          <w:tcPr>
            <w:tcW w:w="2520" w:type="dxa"/>
            <w:noWrap w:val="0"/>
            <w:vAlign w:val="top"/>
          </w:tcPr>
          <w:p w14:paraId="4C5199DA">
            <w:pPr>
              <w:rPr>
                <w:rFonts w:hint="eastAsia" w:ascii="仿宋" w:hAnsi="仿宋" w:eastAsia="仿宋" w:cs="仿宋"/>
                <w:color w:val="000000"/>
                <w:sz w:val="24"/>
              </w:rPr>
            </w:pPr>
          </w:p>
        </w:tc>
      </w:tr>
      <w:tr w14:paraId="5191A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0" w:type="dxa"/>
            <w:noWrap w:val="0"/>
            <w:vAlign w:val="top"/>
          </w:tcPr>
          <w:p w14:paraId="040500AE">
            <w:pPr>
              <w:rPr>
                <w:rFonts w:hint="eastAsia" w:ascii="仿宋" w:hAnsi="仿宋" w:eastAsia="仿宋" w:cs="仿宋"/>
                <w:color w:val="000000"/>
                <w:sz w:val="24"/>
              </w:rPr>
            </w:pPr>
          </w:p>
        </w:tc>
        <w:tc>
          <w:tcPr>
            <w:tcW w:w="1404" w:type="dxa"/>
            <w:noWrap w:val="0"/>
            <w:vAlign w:val="top"/>
          </w:tcPr>
          <w:p w14:paraId="7AEFB59E">
            <w:pPr>
              <w:rPr>
                <w:rFonts w:hint="eastAsia" w:ascii="仿宋" w:hAnsi="仿宋" w:eastAsia="仿宋" w:cs="仿宋"/>
                <w:color w:val="000000"/>
                <w:sz w:val="24"/>
              </w:rPr>
            </w:pPr>
          </w:p>
        </w:tc>
        <w:tc>
          <w:tcPr>
            <w:tcW w:w="1476" w:type="dxa"/>
            <w:noWrap w:val="0"/>
            <w:vAlign w:val="top"/>
          </w:tcPr>
          <w:p w14:paraId="64CD4CDE">
            <w:pPr>
              <w:rPr>
                <w:rFonts w:hint="eastAsia" w:ascii="仿宋" w:hAnsi="仿宋" w:eastAsia="仿宋" w:cs="仿宋"/>
                <w:color w:val="000000"/>
                <w:sz w:val="24"/>
              </w:rPr>
            </w:pPr>
          </w:p>
        </w:tc>
        <w:tc>
          <w:tcPr>
            <w:tcW w:w="1620" w:type="dxa"/>
            <w:noWrap w:val="0"/>
            <w:vAlign w:val="top"/>
          </w:tcPr>
          <w:p w14:paraId="42AE5C29">
            <w:pPr>
              <w:rPr>
                <w:rFonts w:hint="eastAsia" w:ascii="仿宋" w:hAnsi="仿宋" w:eastAsia="仿宋" w:cs="仿宋"/>
                <w:color w:val="000000"/>
                <w:sz w:val="24"/>
              </w:rPr>
            </w:pPr>
          </w:p>
        </w:tc>
        <w:tc>
          <w:tcPr>
            <w:tcW w:w="1260" w:type="dxa"/>
            <w:noWrap w:val="0"/>
            <w:vAlign w:val="top"/>
          </w:tcPr>
          <w:p w14:paraId="15B1D850">
            <w:pPr>
              <w:rPr>
                <w:rFonts w:hint="eastAsia" w:ascii="仿宋" w:hAnsi="仿宋" w:eastAsia="仿宋" w:cs="仿宋"/>
                <w:color w:val="000000"/>
                <w:sz w:val="24"/>
              </w:rPr>
            </w:pPr>
          </w:p>
        </w:tc>
        <w:tc>
          <w:tcPr>
            <w:tcW w:w="2520" w:type="dxa"/>
            <w:noWrap w:val="0"/>
            <w:vAlign w:val="top"/>
          </w:tcPr>
          <w:p w14:paraId="1A9FCDFE">
            <w:pPr>
              <w:rPr>
                <w:rFonts w:hint="eastAsia" w:ascii="仿宋" w:hAnsi="仿宋" w:eastAsia="仿宋" w:cs="仿宋"/>
                <w:color w:val="000000"/>
                <w:sz w:val="24"/>
              </w:rPr>
            </w:pPr>
          </w:p>
        </w:tc>
      </w:tr>
    </w:tbl>
    <w:p w14:paraId="33AB7524">
      <w:pPr>
        <w:rPr>
          <w:rFonts w:hint="eastAsia" w:ascii="仿宋" w:hAnsi="仿宋" w:eastAsia="仿宋" w:cs="仿宋"/>
          <w:color w:val="000000"/>
          <w:sz w:val="24"/>
          <w:u w:val="single"/>
        </w:rPr>
      </w:pPr>
    </w:p>
    <w:p w14:paraId="7A8A44F4">
      <w:pPr>
        <w:spacing w:line="440" w:lineRule="exact"/>
        <w:ind w:firstLine="562"/>
        <w:rPr>
          <w:rFonts w:hint="eastAsia" w:ascii="仿宋" w:hAnsi="仿宋" w:eastAsia="仿宋" w:cs="仿宋"/>
          <w:color w:val="000000"/>
          <w:sz w:val="28"/>
          <w:szCs w:val="28"/>
        </w:rPr>
      </w:pPr>
      <w:r>
        <w:rPr>
          <w:rFonts w:hint="eastAsia" w:ascii="仿宋" w:hAnsi="仿宋" w:eastAsia="仿宋" w:cs="仿宋"/>
          <w:b/>
          <w:color w:val="000000"/>
          <w:sz w:val="28"/>
          <w:szCs w:val="28"/>
        </w:rPr>
        <w:t>注</w:t>
      </w:r>
      <w:r>
        <w:rPr>
          <w:rFonts w:hint="eastAsia" w:ascii="仿宋" w:hAnsi="仿宋" w:eastAsia="仿宋" w:cs="仿宋"/>
          <w:color w:val="000000"/>
          <w:sz w:val="28"/>
          <w:szCs w:val="28"/>
        </w:rPr>
        <w:t>：投标人的投标文件中的内容与招标文件（含招标文件的澄清或者修改的内容）的要求不同时，逐条列在偏离表中，否则将认为投标人接受招标文件的要求。</w:t>
      </w:r>
    </w:p>
    <w:p w14:paraId="5506AA35">
      <w:pPr>
        <w:pStyle w:val="269"/>
        <w:rPr>
          <w:rFonts w:hint="eastAsia" w:ascii="仿宋" w:hAnsi="仿宋" w:eastAsia="仿宋" w:cs="仿宋"/>
          <w:color w:val="000000"/>
          <w:sz w:val="28"/>
          <w:szCs w:val="28"/>
        </w:rPr>
      </w:pPr>
    </w:p>
    <w:p w14:paraId="1106C953">
      <w:pPr>
        <w:rPr>
          <w:rFonts w:hint="eastAsia" w:ascii="仿宋" w:hAnsi="仿宋" w:eastAsia="仿宋" w:cs="仿宋"/>
          <w:color w:val="000000"/>
        </w:rPr>
      </w:pPr>
    </w:p>
    <w:p w14:paraId="0C03A33F">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13523B5E">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48064559">
      <w:pPr>
        <w:spacing w:line="480" w:lineRule="exact"/>
        <w:ind w:firstLine="2700"/>
        <w:rPr>
          <w:rFonts w:hint="eastAsia" w:ascii="仿宋" w:hAnsi="仿宋" w:eastAsia="仿宋" w:cs="仿宋"/>
          <w:color w:val="000000"/>
          <w:sz w:val="24"/>
        </w:rPr>
      </w:pPr>
      <w:r>
        <w:rPr>
          <w:rFonts w:hint="eastAsia" w:ascii="仿宋" w:hAnsi="仿宋" w:eastAsia="仿宋" w:cs="仿宋"/>
          <w:color w:val="000000"/>
          <w:sz w:val="30"/>
          <w:szCs w:val="30"/>
        </w:rPr>
        <w:t>日期：   年  月  日</w:t>
      </w:r>
    </w:p>
    <w:p w14:paraId="5CCAA6A2">
      <w:pPr>
        <w:spacing w:line="480" w:lineRule="exact"/>
        <w:ind w:firstLine="600"/>
        <w:rPr>
          <w:rFonts w:hint="eastAsia" w:ascii="仿宋" w:hAnsi="仿宋" w:eastAsia="仿宋" w:cs="仿宋"/>
          <w:bCs/>
          <w:color w:val="000000"/>
          <w:sz w:val="30"/>
          <w:szCs w:val="30"/>
        </w:rPr>
      </w:pPr>
    </w:p>
    <w:p w14:paraId="63B90D3F">
      <w:pPr>
        <w:spacing w:line="480" w:lineRule="exact"/>
        <w:ind w:firstLine="600"/>
        <w:rPr>
          <w:rFonts w:hint="eastAsia" w:ascii="仿宋" w:hAnsi="仿宋" w:eastAsia="仿宋" w:cs="仿宋"/>
          <w:bCs/>
          <w:color w:val="000000"/>
          <w:sz w:val="30"/>
          <w:szCs w:val="30"/>
        </w:rPr>
      </w:pPr>
    </w:p>
    <w:p w14:paraId="2C3DB7A4">
      <w:pPr>
        <w:spacing w:line="480" w:lineRule="exact"/>
        <w:ind w:firstLine="600"/>
        <w:rPr>
          <w:rFonts w:hint="eastAsia" w:ascii="仿宋" w:hAnsi="仿宋" w:eastAsia="仿宋" w:cs="仿宋"/>
          <w:bCs/>
          <w:color w:val="000000"/>
          <w:sz w:val="30"/>
          <w:szCs w:val="30"/>
        </w:rPr>
      </w:pPr>
    </w:p>
    <w:p w14:paraId="30A1935F">
      <w:pPr>
        <w:widowControl/>
        <w:jc w:val="left"/>
        <w:rPr>
          <w:rFonts w:hint="eastAsia" w:ascii="仿宋" w:hAnsi="仿宋" w:eastAsia="仿宋" w:cs="仿宋"/>
          <w:color w:val="000000"/>
          <w:sz w:val="30"/>
          <w:szCs w:val="30"/>
        </w:rPr>
      </w:pPr>
      <w:r>
        <w:rPr>
          <w:rFonts w:hint="eastAsia" w:ascii="仿宋" w:hAnsi="仿宋" w:eastAsia="仿宋" w:cs="仿宋"/>
          <w:bCs/>
          <w:color w:val="000000"/>
          <w:sz w:val="30"/>
          <w:szCs w:val="30"/>
        </w:rPr>
        <w:br w:type="page" w:clear="all"/>
      </w:r>
      <w:r>
        <w:rPr>
          <w:rFonts w:hint="eastAsia" w:ascii="仿宋" w:hAnsi="仿宋" w:eastAsia="仿宋" w:cs="仿宋"/>
          <w:bCs/>
          <w:color w:val="000000"/>
          <w:sz w:val="30"/>
          <w:szCs w:val="30"/>
        </w:rPr>
        <w:t>五、法定代表人授权书格式</w:t>
      </w:r>
    </w:p>
    <w:p w14:paraId="6D4ADC40">
      <w:pPr>
        <w:spacing w:line="480" w:lineRule="exact"/>
        <w:rPr>
          <w:rFonts w:hint="eastAsia" w:ascii="仿宋" w:hAnsi="仿宋" w:eastAsia="仿宋" w:cs="仿宋"/>
          <w:color w:val="000000"/>
          <w:sz w:val="30"/>
          <w:szCs w:val="30"/>
        </w:rPr>
      </w:pPr>
    </w:p>
    <w:p w14:paraId="609E888F">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委托人：</w:t>
      </w:r>
    </w:p>
    <w:p w14:paraId="48D1050D">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地  址：</w:t>
      </w:r>
    </w:p>
    <w:p w14:paraId="6134513E">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法定代表人：               职务：</w:t>
      </w:r>
    </w:p>
    <w:p w14:paraId="165A35D9">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统一社会信用代码：</w:t>
      </w:r>
    </w:p>
    <w:p w14:paraId="385EA75D">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受托人：                   性别：男（女）  </w:t>
      </w:r>
    </w:p>
    <w:p w14:paraId="18683FA2">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年龄：  岁                 民族：   族</w:t>
      </w:r>
    </w:p>
    <w:p w14:paraId="666C4BEC">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职务：</w:t>
      </w:r>
    </w:p>
    <w:p w14:paraId="1BC9258D">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身份证号：</w:t>
      </w:r>
    </w:p>
    <w:p w14:paraId="40E7F8AF">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兹委托（       ）全权代表我企业（公司）参与（</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30"/>
          <w:szCs w:val="30"/>
        </w:rPr>
        <w:t>）项目（项目编号：</w:t>
      </w:r>
      <w:r>
        <w:rPr>
          <w:rFonts w:hint="eastAsia" w:ascii="仿宋" w:hAnsi="仿宋" w:eastAsia="仿宋" w:cs="仿宋"/>
          <w:color w:val="000000"/>
          <w:sz w:val="30"/>
          <w:szCs w:val="30"/>
          <w:lang w:eastAsia="zh-CN"/>
        </w:rPr>
        <w:t>JSZC-320300-ZJZB-G2026-0042</w:t>
      </w:r>
      <w:r>
        <w:rPr>
          <w:rFonts w:hint="eastAsia" w:ascii="仿宋" w:hAnsi="仿宋" w:eastAsia="仿宋" w:cs="仿宋"/>
          <w:color w:val="000000"/>
          <w:sz w:val="30"/>
          <w:szCs w:val="30"/>
        </w:rPr>
        <w:t>）的招、投标活动及签订合同。（         ）以我企业（公司）名义所为的法律行为及签署的文件，我企业（公司）均予以认可。有关法律责任均由我企业（公司）承担。（         ）无转委托权。委托期限自   年  月  日起至  年  月    日止。</w:t>
      </w:r>
    </w:p>
    <w:p w14:paraId="5E248632">
      <w:pPr>
        <w:spacing w:line="480" w:lineRule="exact"/>
        <w:ind w:firstLine="630"/>
        <w:rPr>
          <w:rFonts w:hint="eastAsia" w:ascii="仿宋" w:hAnsi="仿宋" w:eastAsia="仿宋" w:cs="仿宋"/>
          <w:color w:val="000000"/>
          <w:sz w:val="30"/>
          <w:szCs w:val="30"/>
        </w:rPr>
      </w:pPr>
      <w:r>
        <w:rPr>
          <w:rFonts w:hint="eastAsia" w:ascii="仿宋" w:hAnsi="仿宋" w:eastAsia="仿宋" w:cs="仿宋"/>
          <w:color w:val="000000"/>
          <w:sz w:val="30"/>
          <w:szCs w:val="30"/>
        </w:rPr>
        <w:t>特此授权委托。</w:t>
      </w:r>
    </w:p>
    <w:p w14:paraId="53A41511">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委托人（公章）：               受托人（签字或盖章）：</w:t>
      </w:r>
    </w:p>
    <w:p w14:paraId="5694EE89">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法定代表人（签字或盖章）： </w:t>
      </w:r>
    </w:p>
    <w:p w14:paraId="2ED12FFF">
      <w:pPr>
        <w:spacing w:line="480" w:lineRule="exact"/>
        <w:ind w:right="600"/>
        <w:jc w:val="righ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年   月   日 </w:t>
      </w:r>
    </w:p>
    <w:p w14:paraId="55151717">
      <w:pPr>
        <w:spacing w:line="480" w:lineRule="exact"/>
        <w:rPr>
          <w:rFonts w:hint="eastAsia" w:ascii="仿宋" w:hAnsi="仿宋" w:eastAsia="仿宋" w:cs="仿宋"/>
          <w:color w:val="000000"/>
          <w:sz w:val="30"/>
          <w:szCs w:val="30"/>
        </w:rPr>
      </w:pPr>
      <w:r>
        <w:rPr>
          <w:rFonts w:hint="eastAsia" w:ascii="仿宋" w:hAnsi="仿宋" w:eastAsia="仿宋" w:cs="仿宋"/>
          <w:color w:val="000000"/>
          <w:sz w:val="30"/>
          <w:szCs w:val="30"/>
        </w:rPr>
        <w:t>(受托人身份证复印件附后)</w:t>
      </w:r>
    </w:p>
    <w:p w14:paraId="10342993">
      <w:pPr>
        <w:ind w:firstLine="447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77D4B3C9">
      <w:pPr>
        <w:ind w:firstLine="4470"/>
        <w:rPr>
          <w:rFonts w:hint="eastAsia" w:ascii="仿宋" w:hAnsi="仿宋" w:eastAsia="仿宋" w:cs="仿宋"/>
          <w:color w:val="000000"/>
          <w:sz w:val="28"/>
          <w:szCs w:val="28"/>
        </w:rPr>
      </w:pPr>
    </w:p>
    <w:p w14:paraId="793FAC1C">
      <w:pPr>
        <w:ind w:firstLine="4470"/>
        <w:rPr>
          <w:rFonts w:hint="eastAsia" w:ascii="仿宋" w:hAnsi="仿宋" w:eastAsia="仿宋" w:cs="仿宋"/>
          <w:color w:val="000000"/>
          <w:sz w:val="28"/>
          <w:szCs w:val="28"/>
        </w:rPr>
      </w:pPr>
    </w:p>
    <w:p w14:paraId="62CDEAA9">
      <w:pPr>
        <w:ind w:firstLine="4470"/>
        <w:rPr>
          <w:rFonts w:hint="eastAsia" w:ascii="仿宋" w:hAnsi="仿宋" w:eastAsia="仿宋" w:cs="仿宋"/>
          <w:color w:val="000000"/>
          <w:sz w:val="28"/>
          <w:szCs w:val="28"/>
        </w:rPr>
      </w:pPr>
    </w:p>
    <w:p w14:paraId="1B3F5F91">
      <w:pPr>
        <w:widowControl/>
        <w:jc w:val="left"/>
        <w:rPr>
          <w:rFonts w:hint="eastAsia" w:ascii="仿宋" w:hAnsi="仿宋" w:eastAsia="仿宋" w:cs="仿宋"/>
          <w:color w:val="000000"/>
          <w:sz w:val="30"/>
          <w:szCs w:val="30"/>
        </w:rPr>
      </w:pPr>
      <w:r>
        <w:rPr>
          <w:rFonts w:hint="eastAsia" w:ascii="仿宋" w:hAnsi="仿宋" w:eastAsia="仿宋" w:cs="仿宋"/>
          <w:color w:val="000000"/>
          <w:sz w:val="30"/>
          <w:szCs w:val="30"/>
        </w:rPr>
        <w:br w:type="page" w:clear="all"/>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六、中小企业声明函格式</w:t>
      </w:r>
    </w:p>
    <w:p w14:paraId="76F96B39">
      <w:pPr>
        <w:spacing w:line="460" w:lineRule="exact"/>
        <w:rPr>
          <w:rFonts w:hint="eastAsia" w:ascii="仿宋" w:hAnsi="仿宋" w:eastAsia="仿宋" w:cs="仿宋"/>
          <w:color w:val="000000"/>
          <w:sz w:val="30"/>
          <w:szCs w:val="30"/>
          <w:u w:val="single"/>
        </w:rPr>
      </w:pPr>
      <w:r>
        <w:rPr>
          <w:rFonts w:hint="eastAsia" w:ascii="仿宋" w:hAnsi="仿宋" w:eastAsia="仿宋" w:cs="仿宋"/>
          <w:color w:val="000000"/>
          <w:sz w:val="30"/>
          <w:szCs w:val="30"/>
        </w:rPr>
        <w:t>项目名称：</w:t>
      </w:r>
    </w:p>
    <w:p w14:paraId="6D2C3732">
      <w:pPr>
        <w:spacing w:line="460" w:lineRule="exact"/>
        <w:rPr>
          <w:rFonts w:hint="eastAsia" w:ascii="仿宋" w:hAnsi="仿宋" w:eastAsia="仿宋" w:cs="仿宋"/>
          <w:color w:val="000000"/>
          <w:sz w:val="30"/>
          <w:szCs w:val="30"/>
        </w:rPr>
      </w:pPr>
      <w:r>
        <w:rPr>
          <w:rFonts w:hint="eastAsia" w:ascii="仿宋" w:hAnsi="仿宋" w:eastAsia="仿宋" w:cs="仿宋"/>
          <w:color w:val="000000"/>
          <w:sz w:val="30"/>
          <w:szCs w:val="30"/>
        </w:rPr>
        <w:t>项目编号：</w:t>
      </w:r>
    </w:p>
    <w:p w14:paraId="280F1570">
      <w:pPr>
        <w:pStyle w:val="100"/>
        <w:rPr>
          <w:rFonts w:hint="eastAsia" w:ascii="仿宋" w:hAnsi="仿宋" w:eastAsia="仿宋" w:cs="仿宋"/>
          <w:color w:val="000000"/>
          <w:sz w:val="24"/>
          <w:u w:val="single"/>
          <w:lang w:val="en-US" w:eastAsia="zh-CN"/>
        </w:rPr>
      </w:pPr>
      <w:r>
        <w:rPr>
          <w:rFonts w:hint="eastAsia" w:ascii="仿宋" w:hAnsi="仿宋" w:eastAsia="仿宋" w:cs="仿宋"/>
          <w:color w:val="000000"/>
          <w:sz w:val="30"/>
          <w:szCs w:val="30"/>
          <w:lang w:eastAsia="zh-CN"/>
        </w:rPr>
        <w:t>采</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购</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包：</w:t>
      </w:r>
      <w:r>
        <w:rPr>
          <w:rFonts w:hint="eastAsia" w:ascii="仿宋" w:hAnsi="仿宋" w:eastAsia="仿宋" w:cs="仿宋"/>
          <w:color w:val="000000"/>
          <w:sz w:val="30"/>
          <w:szCs w:val="30"/>
          <w:u w:val="single"/>
          <w:lang w:val="en-US" w:eastAsia="zh-CN"/>
        </w:rPr>
        <w:t xml:space="preserve">    </w:t>
      </w:r>
    </w:p>
    <w:p w14:paraId="06C9605F">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right="0" w:firstLine="480"/>
        <w:jc w:val="both"/>
        <w:rPr>
          <w:rFonts w:hint="eastAsia" w:ascii="仿宋" w:hAnsi="仿宋" w:eastAsia="仿宋" w:cs="仿宋"/>
          <w:color w:val="000000"/>
          <w:sz w:val="28"/>
          <w:szCs w:val="28"/>
          <w:highlight w:val="none"/>
          <w:lang w:bidi="ar-SA"/>
        </w:rPr>
      </w:pPr>
      <w:r>
        <w:rPr>
          <w:rFonts w:hint="eastAsia" w:ascii="仿宋" w:hAnsi="仿宋" w:eastAsia="仿宋" w:cs="仿宋"/>
          <w:color w:val="000000"/>
          <w:sz w:val="28"/>
          <w:szCs w:val="28"/>
          <w:highlight w:val="none"/>
          <w:lang w:bidi="ar-SA"/>
        </w:rPr>
        <w:t>本公司郑重声明，根据《政府采购促进中小企业发展管理办法》（财库[2020]46号）的规定，本公司参加（</w:t>
      </w:r>
      <w:r>
        <w:rPr>
          <w:rFonts w:hint="eastAsia" w:ascii="仿宋" w:hAnsi="仿宋" w:eastAsia="仿宋" w:cs="仿宋"/>
          <w:color w:val="000000"/>
          <w:sz w:val="30"/>
          <w:szCs w:val="30"/>
          <w:lang w:eastAsia="zh-CN"/>
        </w:rPr>
        <w:t>徐州生物工程职业技术学院</w:t>
      </w:r>
      <w:r>
        <w:rPr>
          <w:rFonts w:hint="eastAsia" w:ascii="仿宋" w:hAnsi="仿宋" w:eastAsia="仿宋" w:cs="仿宋"/>
          <w:color w:val="000000"/>
          <w:sz w:val="28"/>
          <w:szCs w:val="28"/>
          <w:highlight w:val="none"/>
          <w:lang w:bidi="ar-SA"/>
        </w:rPr>
        <w:t>）的（</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28"/>
          <w:szCs w:val="28"/>
          <w:highlight w:val="none"/>
          <w:lang w:bidi="ar-SA"/>
        </w:rPr>
        <w:t>）采购活动，提供的</w:t>
      </w:r>
      <w:r>
        <w:rPr>
          <w:rFonts w:hint="eastAsia" w:ascii="仿宋" w:hAnsi="仿宋" w:eastAsia="仿宋" w:cs="仿宋"/>
          <w:b w:val="0"/>
          <w:bCs w:val="0"/>
          <w:color w:val="000000"/>
          <w:sz w:val="28"/>
          <w:szCs w:val="28"/>
          <w:highlight w:val="none"/>
          <w:u w:val="none"/>
          <w:lang w:bidi="ar-SA"/>
        </w:rPr>
        <w:t>货物全部</w:t>
      </w:r>
      <w:r>
        <w:rPr>
          <w:rFonts w:hint="eastAsia" w:ascii="仿宋" w:hAnsi="仿宋" w:eastAsia="仿宋" w:cs="仿宋"/>
          <w:color w:val="000000"/>
          <w:sz w:val="28"/>
          <w:szCs w:val="28"/>
          <w:highlight w:val="none"/>
          <w:lang w:bidi="ar-SA"/>
        </w:rPr>
        <w:t>由符合政策要求的中小企业制造。相关企业的具体情况如下：</w:t>
      </w:r>
    </w:p>
    <w:p w14:paraId="6F11390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1.标的名称：</w:t>
      </w:r>
      <w:r>
        <w:rPr>
          <w:rFonts w:hint="eastAsia" w:ascii="仿宋" w:hAnsi="仿宋" w:eastAsia="仿宋" w:cs="仿宋"/>
          <w:b/>
          <w:bCs/>
          <w:color w:val="000000"/>
          <w:sz w:val="28"/>
          <w:szCs w:val="28"/>
          <w:highlight w:val="none"/>
          <w:u w:val="single"/>
          <w:lang w:val="en-US" w:eastAsia="zh-CN"/>
        </w:rPr>
        <w:t>左右主扩声线阵列扬声器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4606CD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2.标的名称：</w:t>
      </w:r>
      <w:r>
        <w:rPr>
          <w:rFonts w:hint="eastAsia" w:ascii="仿宋" w:hAnsi="仿宋" w:eastAsia="仿宋" w:cs="仿宋"/>
          <w:b/>
          <w:bCs/>
          <w:color w:val="000000"/>
          <w:sz w:val="28"/>
          <w:szCs w:val="28"/>
          <w:highlight w:val="none"/>
          <w:u w:val="single"/>
          <w:lang w:val="en-US" w:eastAsia="zh-CN"/>
        </w:rPr>
        <w:t>中置线阵列扬声器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58FFAB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3.标的名称：</w:t>
      </w:r>
      <w:r>
        <w:rPr>
          <w:rFonts w:hint="eastAsia" w:ascii="仿宋" w:hAnsi="仿宋" w:eastAsia="仿宋" w:cs="仿宋"/>
          <w:b/>
          <w:bCs/>
          <w:color w:val="000000"/>
          <w:sz w:val="28"/>
          <w:szCs w:val="28"/>
          <w:highlight w:val="none"/>
          <w:u w:val="single"/>
          <w:lang w:val="en-US" w:eastAsia="zh-CN"/>
        </w:rPr>
        <w:t>线阵低频扬声器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BA6B0A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4.标的名称：</w:t>
      </w:r>
      <w:r>
        <w:rPr>
          <w:rFonts w:hint="eastAsia" w:ascii="仿宋" w:hAnsi="仿宋" w:eastAsia="仿宋" w:cs="仿宋"/>
          <w:b/>
          <w:bCs/>
          <w:color w:val="000000"/>
          <w:sz w:val="28"/>
          <w:szCs w:val="28"/>
          <w:highlight w:val="none"/>
          <w:u w:val="single"/>
          <w:lang w:val="en-US" w:eastAsia="zh-CN"/>
        </w:rPr>
        <w:t>拉声像扬声器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79A7F5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5.标的名称：</w:t>
      </w:r>
      <w:r>
        <w:rPr>
          <w:rFonts w:hint="eastAsia" w:ascii="仿宋" w:hAnsi="仿宋" w:eastAsia="仿宋" w:cs="仿宋"/>
          <w:b/>
          <w:bCs/>
          <w:color w:val="000000"/>
          <w:sz w:val="28"/>
          <w:szCs w:val="28"/>
          <w:highlight w:val="none"/>
          <w:u w:val="single"/>
          <w:lang w:val="en-US" w:eastAsia="zh-CN"/>
        </w:rPr>
        <w:t>同轴流动返听扬声器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7FFDBE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6.标的名称：</w:t>
      </w:r>
      <w:r>
        <w:rPr>
          <w:rFonts w:hint="eastAsia" w:ascii="仿宋" w:hAnsi="仿宋" w:eastAsia="仿宋" w:cs="仿宋"/>
          <w:b/>
          <w:bCs/>
          <w:color w:val="000000"/>
          <w:sz w:val="28"/>
          <w:szCs w:val="28"/>
          <w:highlight w:val="none"/>
          <w:u w:val="single"/>
          <w:lang w:val="en-US" w:eastAsia="zh-CN"/>
        </w:rPr>
        <w:t>固定返听扬声器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EDCCE1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7.标的名称：</w:t>
      </w:r>
      <w:r>
        <w:rPr>
          <w:rFonts w:hint="eastAsia" w:ascii="仿宋" w:hAnsi="仿宋" w:eastAsia="仿宋" w:cs="仿宋"/>
          <w:b/>
          <w:bCs/>
          <w:color w:val="000000"/>
          <w:sz w:val="28"/>
          <w:szCs w:val="28"/>
          <w:highlight w:val="none"/>
          <w:u w:val="single"/>
          <w:lang w:val="en-US" w:eastAsia="zh-CN"/>
        </w:rPr>
        <w:t>同轴台唇扬声器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C6F0AC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8.标的名称：</w:t>
      </w:r>
      <w:r>
        <w:rPr>
          <w:rFonts w:hint="eastAsia" w:ascii="仿宋" w:hAnsi="仿宋" w:eastAsia="仿宋" w:cs="仿宋"/>
          <w:b/>
          <w:bCs/>
          <w:color w:val="000000"/>
          <w:sz w:val="28"/>
          <w:szCs w:val="28"/>
          <w:highlight w:val="none"/>
          <w:u w:val="single"/>
          <w:lang w:val="en-US" w:eastAsia="zh-CN"/>
        </w:rPr>
        <w:t>超重低音扬声器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ADC4F7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9.标的名称：</w:t>
      </w:r>
      <w:r>
        <w:rPr>
          <w:rFonts w:hint="eastAsia" w:ascii="仿宋" w:hAnsi="仿宋" w:eastAsia="仿宋" w:cs="仿宋"/>
          <w:b/>
          <w:bCs/>
          <w:color w:val="000000"/>
          <w:sz w:val="28"/>
          <w:szCs w:val="28"/>
          <w:highlight w:val="none"/>
          <w:u w:val="single"/>
          <w:lang w:val="en-US" w:eastAsia="zh-CN"/>
        </w:rPr>
        <w:t>左右、中置主扩声同轴线阵列扬声器高频四通道数字功率放大器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CCA720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10.标的名称：</w:t>
      </w:r>
      <w:r>
        <w:rPr>
          <w:rFonts w:hint="eastAsia" w:ascii="仿宋" w:hAnsi="仿宋" w:eastAsia="仿宋" w:cs="仿宋"/>
          <w:b/>
          <w:bCs/>
          <w:color w:val="000000"/>
          <w:sz w:val="28"/>
          <w:szCs w:val="28"/>
          <w:highlight w:val="none"/>
          <w:u w:val="single"/>
          <w:lang w:val="en-US" w:eastAsia="zh-CN"/>
        </w:rPr>
        <w:t>左右、中置主扩声同轴线阵列扬声器低频两通道数字功率放大器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F4A002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11.标的名称：</w:t>
      </w:r>
      <w:r>
        <w:rPr>
          <w:rFonts w:hint="eastAsia" w:ascii="仿宋" w:hAnsi="仿宋" w:eastAsia="仿宋" w:cs="仿宋"/>
          <w:b/>
          <w:bCs/>
          <w:color w:val="000000"/>
          <w:sz w:val="28"/>
          <w:szCs w:val="28"/>
          <w:highlight w:val="none"/>
          <w:u w:val="single"/>
          <w:lang w:val="en-US" w:eastAsia="zh-CN"/>
        </w:rPr>
        <w:t>线阵低频两通道数字功率放大器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EC35B7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12.标的名称：</w:t>
      </w:r>
      <w:r>
        <w:rPr>
          <w:rFonts w:hint="eastAsia" w:ascii="仿宋" w:hAnsi="仿宋" w:eastAsia="仿宋" w:cs="仿宋"/>
          <w:b/>
          <w:bCs/>
          <w:color w:val="000000"/>
          <w:sz w:val="28"/>
          <w:szCs w:val="28"/>
          <w:highlight w:val="none"/>
          <w:u w:val="single"/>
          <w:lang w:val="en-US" w:eastAsia="zh-CN"/>
        </w:rPr>
        <w:t>拉声像扬声器功率放大器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C0F0A2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13.标的名称：</w:t>
      </w:r>
      <w:r>
        <w:rPr>
          <w:rFonts w:hint="eastAsia" w:ascii="仿宋" w:hAnsi="仿宋" w:eastAsia="仿宋" w:cs="仿宋"/>
          <w:b/>
          <w:bCs/>
          <w:color w:val="000000"/>
          <w:sz w:val="28"/>
          <w:szCs w:val="28"/>
          <w:highlight w:val="none"/>
          <w:u w:val="single"/>
          <w:lang w:val="en-US" w:eastAsia="zh-CN"/>
        </w:rPr>
        <w:t>流动、固定、台唇返听扬声器功率放大器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044DC2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14.标的名称：</w:t>
      </w:r>
      <w:r>
        <w:rPr>
          <w:rFonts w:hint="eastAsia" w:ascii="仿宋" w:hAnsi="仿宋" w:eastAsia="仿宋" w:cs="仿宋"/>
          <w:b/>
          <w:bCs/>
          <w:color w:val="000000"/>
          <w:sz w:val="28"/>
          <w:szCs w:val="28"/>
          <w:highlight w:val="none"/>
          <w:u w:val="single"/>
          <w:lang w:val="en-US" w:eastAsia="zh-CN"/>
        </w:rPr>
        <w:t>超重低音扬声器功率放大器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537109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15.标的名称：</w:t>
      </w:r>
      <w:r>
        <w:rPr>
          <w:rFonts w:hint="eastAsia" w:ascii="仿宋" w:hAnsi="仿宋" w:eastAsia="仿宋" w:cs="仿宋"/>
          <w:b/>
          <w:bCs/>
          <w:color w:val="000000"/>
          <w:sz w:val="28"/>
          <w:szCs w:val="28"/>
          <w:highlight w:val="none"/>
          <w:u w:val="single"/>
          <w:lang w:val="en-US" w:eastAsia="zh-CN"/>
        </w:rPr>
        <w:t>16路数字音频处理器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8BD489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16.标的名称：</w:t>
      </w:r>
      <w:r>
        <w:rPr>
          <w:rFonts w:hint="eastAsia" w:ascii="仿宋" w:hAnsi="仿宋" w:eastAsia="仿宋" w:cs="仿宋"/>
          <w:b/>
          <w:bCs/>
          <w:color w:val="000000"/>
          <w:sz w:val="28"/>
          <w:szCs w:val="28"/>
          <w:highlight w:val="none"/>
          <w:u w:val="single"/>
          <w:lang w:val="en-US" w:eastAsia="zh-CN"/>
        </w:rPr>
        <w:t>32路数字调音台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9AF8D9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17.标的名称：</w:t>
      </w:r>
      <w:r>
        <w:rPr>
          <w:rFonts w:hint="eastAsia" w:ascii="仿宋" w:hAnsi="仿宋" w:eastAsia="仿宋" w:cs="仿宋"/>
          <w:b/>
          <w:bCs/>
          <w:color w:val="000000"/>
          <w:sz w:val="28"/>
          <w:szCs w:val="28"/>
          <w:highlight w:val="none"/>
          <w:u w:val="single"/>
          <w:lang w:val="en-US" w:eastAsia="zh-CN"/>
        </w:rPr>
        <w:t>32路舞台接口箱</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178724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18.标的名称：</w:t>
      </w:r>
      <w:r>
        <w:rPr>
          <w:rFonts w:hint="eastAsia" w:ascii="仿宋" w:hAnsi="仿宋" w:eastAsia="仿宋" w:cs="仿宋"/>
          <w:b/>
          <w:bCs/>
          <w:color w:val="000000"/>
          <w:sz w:val="28"/>
          <w:szCs w:val="28"/>
          <w:highlight w:val="none"/>
          <w:u w:val="single"/>
          <w:lang w:val="en-US" w:eastAsia="zh-CN"/>
        </w:rPr>
        <w:t>有源同轴监听音箱</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8074CF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822824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20.标的名称：</w:t>
      </w:r>
      <w:r>
        <w:rPr>
          <w:rFonts w:hint="eastAsia" w:ascii="仿宋" w:hAnsi="仿宋" w:eastAsia="仿宋" w:cs="仿宋"/>
          <w:b/>
          <w:bCs/>
          <w:color w:val="000000"/>
          <w:sz w:val="28"/>
          <w:szCs w:val="28"/>
          <w:highlight w:val="none"/>
          <w:u w:val="single"/>
          <w:lang w:val="en-US" w:eastAsia="zh-CN"/>
        </w:rPr>
        <w:t>一拖一无线手持话筒套装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D8E081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21.标的名称：</w:t>
      </w:r>
      <w:r>
        <w:rPr>
          <w:rFonts w:hint="eastAsia" w:ascii="仿宋" w:hAnsi="仿宋" w:eastAsia="仿宋" w:cs="仿宋"/>
          <w:b/>
          <w:bCs/>
          <w:color w:val="000000"/>
          <w:sz w:val="28"/>
          <w:szCs w:val="28"/>
          <w:highlight w:val="none"/>
          <w:u w:val="single"/>
          <w:lang w:val="en-US" w:eastAsia="zh-CN"/>
        </w:rPr>
        <w:t>一拖一无线头戴话筒套装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EAA78B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22.标的名称：</w:t>
      </w:r>
      <w:r>
        <w:rPr>
          <w:rFonts w:hint="eastAsia" w:ascii="仿宋" w:hAnsi="仿宋" w:eastAsia="仿宋" w:cs="仿宋"/>
          <w:b/>
          <w:bCs/>
          <w:color w:val="000000"/>
          <w:sz w:val="28"/>
          <w:szCs w:val="28"/>
          <w:highlight w:val="none"/>
          <w:u w:val="single"/>
          <w:lang w:val="en-US" w:eastAsia="zh-CN"/>
        </w:rPr>
        <w:t>天线分配器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1AF068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23.标的名称：</w:t>
      </w:r>
      <w:r>
        <w:rPr>
          <w:rFonts w:hint="eastAsia" w:ascii="仿宋" w:hAnsi="仿宋" w:eastAsia="仿宋" w:cs="仿宋"/>
          <w:b/>
          <w:bCs/>
          <w:color w:val="000000"/>
          <w:sz w:val="28"/>
          <w:szCs w:val="28"/>
          <w:highlight w:val="none"/>
          <w:u w:val="single"/>
          <w:lang w:val="en-US" w:eastAsia="zh-CN"/>
        </w:rPr>
        <w:t>有源指向性天线</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F68CE9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24.标的名称：</w:t>
      </w:r>
      <w:r>
        <w:rPr>
          <w:rFonts w:hint="eastAsia" w:ascii="仿宋" w:hAnsi="仿宋" w:eastAsia="仿宋" w:cs="仿宋"/>
          <w:b/>
          <w:bCs/>
          <w:color w:val="000000"/>
          <w:sz w:val="28"/>
          <w:szCs w:val="28"/>
          <w:highlight w:val="none"/>
          <w:u w:val="single"/>
          <w:lang w:val="en-US" w:eastAsia="zh-CN"/>
        </w:rPr>
        <w:t>无源天线分配器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63C985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25.标的名称：</w:t>
      </w:r>
      <w:r>
        <w:rPr>
          <w:rFonts w:hint="eastAsia" w:ascii="仿宋" w:hAnsi="仿宋" w:eastAsia="仿宋" w:cs="仿宋"/>
          <w:b/>
          <w:bCs/>
          <w:color w:val="000000"/>
          <w:sz w:val="28"/>
          <w:szCs w:val="28"/>
          <w:highlight w:val="none"/>
          <w:u w:val="single"/>
          <w:lang w:val="en-US" w:eastAsia="zh-CN"/>
        </w:rPr>
        <w:t>大振膜话筒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A6E2A5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26.标的名称：</w:t>
      </w:r>
      <w:r>
        <w:rPr>
          <w:rFonts w:hint="eastAsia" w:ascii="仿宋" w:hAnsi="仿宋" w:eastAsia="仿宋" w:cs="仿宋"/>
          <w:b/>
          <w:bCs/>
          <w:color w:val="000000"/>
          <w:sz w:val="28"/>
          <w:szCs w:val="28"/>
          <w:highlight w:val="none"/>
          <w:u w:val="single"/>
          <w:lang w:val="en-US" w:eastAsia="zh-CN"/>
        </w:rPr>
        <w:t>鼓用话筒套装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E90454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27.标的名称：</w:t>
      </w:r>
      <w:r>
        <w:rPr>
          <w:rFonts w:hint="eastAsia" w:ascii="仿宋" w:hAnsi="仿宋" w:eastAsia="仿宋" w:cs="仿宋"/>
          <w:b/>
          <w:bCs/>
          <w:color w:val="000000"/>
          <w:sz w:val="28"/>
          <w:szCs w:val="28"/>
          <w:highlight w:val="none"/>
          <w:u w:val="single"/>
          <w:lang w:val="en-US" w:eastAsia="zh-CN"/>
        </w:rPr>
        <w:t>隔离变压器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187A5A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28.标的名称：</w:t>
      </w:r>
      <w:r>
        <w:rPr>
          <w:rFonts w:hint="eastAsia" w:ascii="仿宋" w:hAnsi="仿宋" w:eastAsia="仿宋" w:cs="仿宋"/>
          <w:b/>
          <w:bCs/>
          <w:color w:val="000000"/>
          <w:sz w:val="28"/>
          <w:szCs w:val="28"/>
          <w:highlight w:val="none"/>
          <w:u w:val="single"/>
          <w:lang w:val="en-US" w:eastAsia="zh-CN"/>
        </w:rPr>
        <w:t>无线内通系统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31AFF4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29.标的名称：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07B594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30.标的名称：</w:t>
      </w:r>
      <w:r>
        <w:rPr>
          <w:rFonts w:hint="eastAsia" w:ascii="仿宋" w:hAnsi="仿宋" w:eastAsia="仿宋" w:cs="仿宋"/>
          <w:b/>
          <w:bCs/>
          <w:color w:val="000000"/>
          <w:sz w:val="28"/>
          <w:szCs w:val="28"/>
          <w:highlight w:val="none"/>
          <w:u w:val="single"/>
          <w:lang w:val="en-US" w:eastAsia="zh-CN"/>
        </w:rPr>
        <w:t>有线方杆电容会议话筒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CECEC3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31.标的名称：</w:t>
      </w:r>
      <w:r>
        <w:rPr>
          <w:rFonts w:hint="eastAsia" w:ascii="仿宋" w:hAnsi="仿宋" w:eastAsia="仿宋" w:cs="仿宋"/>
          <w:b/>
          <w:bCs/>
          <w:color w:val="000000"/>
          <w:sz w:val="28"/>
          <w:szCs w:val="28"/>
          <w:highlight w:val="none"/>
          <w:u w:val="single"/>
          <w:lang w:val="en-US" w:eastAsia="zh-CN"/>
        </w:rPr>
        <w:t>智能混音器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741E73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32.标的名称：</w:t>
      </w:r>
      <w:r>
        <w:rPr>
          <w:rFonts w:hint="eastAsia" w:ascii="仿宋" w:hAnsi="仿宋" w:eastAsia="仿宋" w:cs="仿宋"/>
          <w:b/>
          <w:bCs/>
          <w:color w:val="000000"/>
          <w:sz w:val="28"/>
          <w:szCs w:val="28"/>
          <w:highlight w:val="none"/>
          <w:u w:val="single"/>
          <w:lang w:val="en-US" w:eastAsia="zh-CN"/>
        </w:rPr>
        <w:t>演讲台有线鹅颈会议话筒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943618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33.标的名称：</w:t>
      </w:r>
      <w:r>
        <w:rPr>
          <w:rFonts w:hint="eastAsia" w:ascii="仿宋" w:hAnsi="仿宋" w:eastAsia="仿宋" w:cs="仿宋"/>
          <w:b/>
          <w:bCs/>
          <w:color w:val="000000"/>
          <w:sz w:val="28"/>
          <w:szCs w:val="28"/>
          <w:highlight w:val="none"/>
          <w:u w:val="single"/>
          <w:lang w:val="en-US" w:eastAsia="zh-CN"/>
        </w:rPr>
        <w:t>矮推车式提词系统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614909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34.标的名称：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E9D873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35.标的名称：</w:t>
      </w:r>
      <w:r>
        <w:rPr>
          <w:rFonts w:hint="eastAsia" w:ascii="仿宋" w:hAnsi="仿宋" w:eastAsia="仿宋" w:cs="仿宋"/>
          <w:b/>
          <w:bCs/>
          <w:color w:val="000000"/>
          <w:sz w:val="28"/>
          <w:szCs w:val="28"/>
          <w:highlight w:val="none"/>
          <w:u w:val="single"/>
          <w:lang w:val="en-US" w:eastAsia="zh-CN"/>
        </w:rPr>
        <w:t>一道面光( LED变焦成像灯）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0AAADF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36.标的名称：</w:t>
      </w:r>
      <w:r>
        <w:rPr>
          <w:rFonts w:hint="eastAsia" w:ascii="仿宋" w:hAnsi="仿宋" w:eastAsia="仿宋" w:cs="仿宋"/>
          <w:b/>
          <w:bCs/>
          <w:color w:val="000000"/>
          <w:sz w:val="28"/>
          <w:szCs w:val="28"/>
          <w:highlight w:val="none"/>
          <w:u w:val="single"/>
          <w:lang w:val="en-US" w:eastAsia="zh-CN"/>
        </w:rPr>
        <w:t>一道面光( 切割灯）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6EB956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37.标的名称：</w:t>
      </w:r>
      <w:r>
        <w:rPr>
          <w:rFonts w:hint="eastAsia" w:ascii="仿宋" w:hAnsi="仿宋" w:eastAsia="仿宋" w:cs="仿宋"/>
          <w:b/>
          <w:bCs/>
          <w:color w:val="000000"/>
          <w:sz w:val="28"/>
          <w:szCs w:val="28"/>
          <w:highlight w:val="none"/>
          <w:u w:val="single"/>
          <w:lang w:val="en-US" w:eastAsia="zh-CN"/>
        </w:rPr>
        <w:t>左右耳光(LED变焦成像灯）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8D4DFF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38.标的名称：</w:t>
      </w:r>
      <w:r>
        <w:rPr>
          <w:rFonts w:hint="eastAsia" w:ascii="仿宋" w:hAnsi="仿宋" w:eastAsia="仿宋" w:cs="仿宋"/>
          <w:b/>
          <w:bCs/>
          <w:color w:val="000000"/>
          <w:sz w:val="28"/>
          <w:szCs w:val="28"/>
          <w:highlight w:val="none"/>
          <w:u w:val="single"/>
          <w:lang w:val="en-US" w:eastAsia="zh-CN"/>
        </w:rPr>
        <w:t>一道顶光（ 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5F4196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39.标的名称：</w:t>
      </w:r>
      <w:r>
        <w:rPr>
          <w:rFonts w:hint="eastAsia" w:ascii="仿宋" w:hAnsi="仿宋" w:eastAsia="仿宋" w:cs="仿宋"/>
          <w:b/>
          <w:bCs/>
          <w:color w:val="000000"/>
          <w:sz w:val="28"/>
          <w:szCs w:val="28"/>
          <w:highlight w:val="none"/>
          <w:u w:val="single"/>
          <w:lang w:val="en-US" w:eastAsia="zh-CN"/>
        </w:rPr>
        <w:t>一道顶光（LED版平板灯）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D9AE4C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40.标的名称：</w:t>
      </w:r>
      <w:r>
        <w:rPr>
          <w:rFonts w:hint="eastAsia" w:ascii="仿宋" w:hAnsi="仿宋" w:eastAsia="仿宋" w:cs="仿宋"/>
          <w:b/>
          <w:bCs/>
          <w:color w:val="000000"/>
          <w:sz w:val="28"/>
          <w:szCs w:val="28"/>
          <w:highlight w:val="none"/>
          <w:u w:val="single"/>
          <w:lang w:val="en-US" w:eastAsia="zh-CN"/>
        </w:rPr>
        <w:t>二道顶光（LED染色灯)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29AC8F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41.标的名称：</w:t>
      </w:r>
      <w:r>
        <w:rPr>
          <w:rFonts w:hint="eastAsia" w:ascii="仿宋" w:hAnsi="仿宋" w:eastAsia="仿宋" w:cs="仿宋"/>
          <w:b/>
          <w:bCs/>
          <w:color w:val="000000"/>
          <w:sz w:val="28"/>
          <w:szCs w:val="28"/>
          <w:highlight w:val="none"/>
          <w:u w:val="single"/>
          <w:lang w:val="en-US" w:eastAsia="zh-CN"/>
        </w:rPr>
        <w:t>二道顶光（LED版平板灯）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C01F1B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42.标的名称：</w:t>
      </w:r>
      <w:r>
        <w:rPr>
          <w:rFonts w:hint="eastAsia" w:ascii="仿宋" w:hAnsi="仿宋" w:eastAsia="仿宋" w:cs="仿宋"/>
          <w:b/>
          <w:bCs/>
          <w:color w:val="000000"/>
          <w:sz w:val="28"/>
          <w:szCs w:val="28"/>
          <w:highlight w:val="none"/>
          <w:u w:val="single"/>
          <w:lang w:val="en-US" w:eastAsia="zh-CN"/>
        </w:rPr>
        <w:t>二道顶光（三合一电脑摇头灯）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4E53C4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43.标的名称：</w:t>
      </w:r>
      <w:r>
        <w:rPr>
          <w:rFonts w:hint="eastAsia" w:ascii="仿宋" w:hAnsi="仿宋" w:eastAsia="仿宋" w:cs="仿宋"/>
          <w:b/>
          <w:bCs/>
          <w:color w:val="000000"/>
          <w:sz w:val="28"/>
          <w:szCs w:val="28"/>
          <w:highlight w:val="none"/>
          <w:u w:val="single"/>
          <w:lang w:val="en-US" w:eastAsia="zh-CN"/>
        </w:rPr>
        <w:t>三道顶光（LED染色灯）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B05BDB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44.标的名称：</w:t>
      </w:r>
      <w:r>
        <w:rPr>
          <w:rFonts w:hint="eastAsia" w:ascii="仿宋" w:hAnsi="仿宋" w:eastAsia="仿宋" w:cs="仿宋"/>
          <w:b/>
          <w:bCs/>
          <w:color w:val="000000"/>
          <w:sz w:val="28"/>
          <w:szCs w:val="28"/>
          <w:highlight w:val="none"/>
          <w:u w:val="single"/>
          <w:lang w:val="en-US" w:eastAsia="zh-CN"/>
        </w:rPr>
        <w:t>三道顶光（LED版平板灯）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6C310D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45.标的名称：</w:t>
      </w:r>
      <w:r>
        <w:rPr>
          <w:rFonts w:hint="eastAsia" w:ascii="仿宋" w:hAnsi="仿宋" w:eastAsia="仿宋" w:cs="仿宋"/>
          <w:b/>
          <w:bCs/>
          <w:color w:val="000000"/>
          <w:sz w:val="28"/>
          <w:szCs w:val="28"/>
          <w:highlight w:val="none"/>
          <w:u w:val="single"/>
          <w:lang w:val="en-US" w:eastAsia="zh-CN"/>
        </w:rPr>
        <w:t>三道顶光（三合一电脑摇头灯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1D8904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46.标的名称：</w:t>
      </w:r>
      <w:r>
        <w:rPr>
          <w:rFonts w:hint="eastAsia" w:ascii="仿宋" w:hAnsi="仿宋" w:eastAsia="仿宋" w:cs="仿宋"/>
          <w:b/>
          <w:bCs/>
          <w:color w:val="000000"/>
          <w:sz w:val="28"/>
          <w:szCs w:val="28"/>
          <w:highlight w:val="none"/>
          <w:u w:val="single"/>
          <w:lang w:val="en-US" w:eastAsia="zh-CN"/>
        </w:rPr>
        <w:t>四道顶光（ 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E17A35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47.标的名称：</w:t>
      </w:r>
      <w:r>
        <w:rPr>
          <w:rFonts w:hint="eastAsia" w:ascii="仿宋" w:hAnsi="仿宋" w:eastAsia="仿宋" w:cs="仿宋"/>
          <w:b/>
          <w:bCs/>
          <w:color w:val="000000"/>
          <w:sz w:val="28"/>
          <w:szCs w:val="28"/>
          <w:highlight w:val="none"/>
          <w:u w:val="single"/>
          <w:lang w:val="en-US" w:eastAsia="zh-CN"/>
        </w:rPr>
        <w:t>四道顶光（三合一电脑摇头灯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13A8B5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48.标的名称：</w:t>
      </w:r>
      <w:r>
        <w:rPr>
          <w:rFonts w:hint="eastAsia" w:ascii="仿宋" w:hAnsi="仿宋" w:eastAsia="仿宋" w:cs="仿宋"/>
          <w:b/>
          <w:bCs/>
          <w:color w:val="000000"/>
          <w:sz w:val="28"/>
          <w:szCs w:val="28"/>
          <w:highlight w:val="none"/>
          <w:u w:val="single"/>
          <w:lang w:val="en-US" w:eastAsia="zh-CN"/>
        </w:rPr>
        <w:t>一道逆光（LED染色灯）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0911E6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49.标的名称：</w:t>
      </w:r>
      <w:r>
        <w:rPr>
          <w:rFonts w:hint="eastAsia" w:ascii="仿宋" w:hAnsi="仿宋" w:eastAsia="仿宋" w:cs="仿宋"/>
          <w:b/>
          <w:bCs/>
          <w:color w:val="000000"/>
          <w:sz w:val="28"/>
          <w:szCs w:val="28"/>
          <w:highlight w:val="none"/>
          <w:u w:val="single"/>
          <w:lang w:val="en-US" w:eastAsia="zh-CN"/>
        </w:rPr>
        <w:t>一道逆光（三合一电脑摇头灯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841F57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50.标的名称：</w:t>
      </w:r>
      <w:r>
        <w:rPr>
          <w:rFonts w:hint="eastAsia" w:ascii="仿宋" w:hAnsi="仿宋" w:eastAsia="仿宋" w:cs="仿宋"/>
          <w:b/>
          <w:bCs/>
          <w:color w:val="000000"/>
          <w:sz w:val="28"/>
          <w:szCs w:val="28"/>
          <w:highlight w:val="none"/>
          <w:u w:val="single"/>
          <w:lang w:val="en-US" w:eastAsia="zh-CN"/>
        </w:rPr>
        <w:t>二道逆光（LED染色灯）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8AAD5B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51.标的名称：</w:t>
      </w:r>
      <w:r>
        <w:rPr>
          <w:rFonts w:hint="eastAsia" w:ascii="仿宋" w:hAnsi="仿宋" w:eastAsia="仿宋" w:cs="仿宋"/>
          <w:b/>
          <w:bCs/>
          <w:color w:val="000000"/>
          <w:sz w:val="28"/>
          <w:szCs w:val="28"/>
          <w:highlight w:val="none"/>
          <w:u w:val="single"/>
          <w:lang w:val="en-US" w:eastAsia="zh-CN"/>
        </w:rPr>
        <w:t>二道逆光（三合一电脑摇头灯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9BCEBD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52.标的名称：</w:t>
      </w:r>
      <w:r>
        <w:rPr>
          <w:rFonts w:hint="eastAsia" w:ascii="仿宋" w:hAnsi="仿宋" w:eastAsia="仿宋" w:cs="仿宋"/>
          <w:b/>
          <w:bCs/>
          <w:color w:val="000000"/>
          <w:sz w:val="28"/>
          <w:szCs w:val="28"/>
          <w:highlight w:val="none"/>
          <w:u w:val="single"/>
          <w:lang w:val="en-US" w:eastAsia="zh-CN"/>
        </w:rPr>
        <w:t>两道侧光（LED染色灯）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C3BBB2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53.标的名称：</w:t>
      </w:r>
      <w:r>
        <w:rPr>
          <w:rFonts w:hint="eastAsia" w:ascii="仿宋" w:hAnsi="仿宋" w:eastAsia="仿宋" w:cs="仿宋"/>
          <w:b/>
          <w:bCs/>
          <w:color w:val="000000"/>
          <w:sz w:val="28"/>
          <w:szCs w:val="28"/>
          <w:highlight w:val="none"/>
          <w:u w:val="single"/>
          <w:lang w:val="en-US" w:eastAsia="zh-CN"/>
        </w:rPr>
        <w:t>两道侧光（三合一电脑摇头灯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3C0175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54.标的名称：</w:t>
      </w:r>
      <w:r>
        <w:rPr>
          <w:rFonts w:hint="eastAsia" w:ascii="仿宋" w:hAnsi="仿宋" w:eastAsia="仿宋" w:cs="仿宋"/>
          <w:b/>
          <w:bCs/>
          <w:i w:val="0"/>
          <w:iCs w:val="0"/>
          <w:color w:val="000000"/>
          <w:sz w:val="28"/>
          <w:szCs w:val="28"/>
          <w:highlight w:val="none"/>
          <w:u w:val="single"/>
          <w:lang w:val="en-US" w:eastAsia="zh-CN" w:bidi="ar"/>
        </w:rPr>
        <w:t>地面摇头灯（三合一电脑摇头灯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228DBE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55.标的名称：</w:t>
      </w:r>
      <w:r>
        <w:rPr>
          <w:rFonts w:hint="eastAsia" w:ascii="仿宋" w:hAnsi="仿宋" w:eastAsia="仿宋" w:cs="仿宋"/>
          <w:b/>
          <w:bCs/>
          <w:color w:val="000000"/>
          <w:sz w:val="28"/>
          <w:szCs w:val="28"/>
          <w:highlight w:val="none"/>
          <w:u w:val="single"/>
          <w:lang w:val="en-US" w:eastAsia="zh-CN"/>
        </w:rPr>
        <w:t>LED 追光灯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047123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56.标的名称：</w:t>
      </w:r>
      <w:r>
        <w:rPr>
          <w:rFonts w:hint="eastAsia" w:ascii="仿宋" w:hAnsi="仿宋" w:eastAsia="仿宋" w:cs="仿宋"/>
          <w:b/>
          <w:bCs/>
          <w:color w:val="000000"/>
          <w:sz w:val="28"/>
          <w:szCs w:val="28"/>
          <w:highlight w:val="none"/>
          <w:u w:val="single"/>
          <w:lang w:val="en-US" w:eastAsia="zh-CN"/>
        </w:rPr>
        <w:t>电脑灯光控制台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18B9EE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57.标的名称：</w:t>
      </w:r>
      <w:r>
        <w:rPr>
          <w:rFonts w:hint="eastAsia" w:ascii="仿宋" w:hAnsi="仿宋" w:eastAsia="仿宋" w:cs="仿宋"/>
          <w:b/>
          <w:bCs/>
          <w:color w:val="000000"/>
          <w:sz w:val="28"/>
          <w:szCs w:val="28"/>
          <w:highlight w:val="none"/>
          <w:u w:val="single"/>
          <w:lang w:val="en-US" w:eastAsia="zh-CN"/>
        </w:rPr>
        <w:t>DMX网络扩展器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2B7A22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58.标的名称：</w:t>
      </w:r>
      <w:r>
        <w:rPr>
          <w:rFonts w:hint="eastAsia" w:ascii="仿宋" w:hAnsi="仿宋" w:eastAsia="仿宋" w:cs="仿宋"/>
          <w:b/>
          <w:bCs/>
          <w:color w:val="000000"/>
          <w:sz w:val="28"/>
          <w:szCs w:val="28"/>
          <w:highlight w:val="none"/>
          <w:u w:val="single"/>
          <w:lang w:val="en-US" w:eastAsia="zh-CN"/>
        </w:rPr>
        <w:t>DMX信号放大器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7C1092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59.标的名称：</w:t>
      </w:r>
      <w:r>
        <w:rPr>
          <w:rFonts w:hint="eastAsia" w:ascii="仿宋" w:hAnsi="仿宋" w:eastAsia="仿宋" w:cs="仿宋"/>
          <w:b/>
          <w:bCs/>
          <w:color w:val="000000"/>
          <w:sz w:val="28"/>
          <w:szCs w:val="28"/>
          <w:highlight w:val="none"/>
          <w:u w:val="single"/>
          <w:lang w:val="en-US" w:eastAsia="zh-CN"/>
        </w:rPr>
        <w:t>智能控制系统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62E3F7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60.标的名称：</w:t>
      </w:r>
      <w:r>
        <w:rPr>
          <w:rFonts w:hint="eastAsia" w:ascii="仿宋" w:hAnsi="仿宋" w:eastAsia="仿宋" w:cs="仿宋"/>
          <w:b/>
          <w:bCs/>
          <w:color w:val="000000"/>
          <w:sz w:val="28"/>
          <w:szCs w:val="28"/>
          <w:highlight w:val="none"/>
          <w:u w:val="single"/>
          <w:lang w:val="en-US" w:eastAsia="zh-CN"/>
        </w:rPr>
        <w:t>PDU机柜电源</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0037FA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61.标的名称：</w:t>
      </w:r>
      <w:r>
        <w:rPr>
          <w:rFonts w:hint="eastAsia" w:ascii="仿宋" w:hAnsi="仿宋" w:eastAsia="仿宋" w:cs="仿宋"/>
          <w:b/>
          <w:bCs/>
          <w:color w:val="000000"/>
          <w:sz w:val="28"/>
          <w:szCs w:val="28"/>
          <w:highlight w:val="none"/>
          <w:u w:val="single"/>
          <w:lang w:val="en-US" w:eastAsia="zh-CN"/>
        </w:rPr>
        <w:t>电源直通柜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8DF9A0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62.标的名称：</w:t>
      </w:r>
      <w:r>
        <w:rPr>
          <w:rFonts w:hint="eastAsia" w:ascii="仿宋" w:hAnsi="仿宋" w:eastAsia="仿宋" w:cs="仿宋"/>
          <w:b/>
          <w:bCs/>
          <w:color w:val="000000"/>
          <w:sz w:val="28"/>
          <w:szCs w:val="28"/>
          <w:highlight w:val="none"/>
          <w:u w:val="single"/>
          <w:lang w:val="en-US" w:eastAsia="zh-CN"/>
        </w:rPr>
        <w:t>薄雾烟机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192E8F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63.标的名称：</w:t>
      </w:r>
      <w:r>
        <w:rPr>
          <w:rFonts w:hint="eastAsia" w:ascii="仿宋" w:hAnsi="仿宋" w:eastAsia="仿宋" w:cs="仿宋"/>
          <w:b/>
          <w:bCs/>
          <w:color w:val="000000"/>
          <w:sz w:val="28"/>
          <w:szCs w:val="28"/>
          <w:highlight w:val="none"/>
          <w:u w:val="single"/>
          <w:lang w:val="en-US" w:eastAsia="zh-CN"/>
        </w:rPr>
        <w:t>薄雾烟油</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F0CAF3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64.标的名称：</w:t>
      </w:r>
      <w:r>
        <w:rPr>
          <w:rFonts w:hint="eastAsia" w:ascii="仿宋" w:hAnsi="仿宋" w:eastAsia="仿宋" w:cs="仿宋"/>
          <w:b/>
          <w:bCs/>
          <w:color w:val="000000"/>
          <w:sz w:val="28"/>
          <w:szCs w:val="28"/>
          <w:highlight w:val="none"/>
          <w:u w:val="single"/>
          <w:lang w:val="en-US" w:eastAsia="zh-CN"/>
        </w:rPr>
        <w:t>泡泡机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944A7F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65.标的名称：</w:t>
      </w:r>
      <w:r>
        <w:rPr>
          <w:rFonts w:hint="eastAsia" w:ascii="仿宋" w:hAnsi="仿宋" w:eastAsia="仿宋" w:cs="仿宋"/>
          <w:b/>
          <w:bCs/>
          <w:color w:val="000000"/>
          <w:sz w:val="28"/>
          <w:szCs w:val="28"/>
          <w:highlight w:val="none"/>
          <w:u w:val="single"/>
          <w:lang w:val="en-US" w:eastAsia="zh-CN"/>
        </w:rPr>
        <w:t>泡泡油</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90F4A4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66.标的名称：</w:t>
      </w:r>
      <w:r>
        <w:rPr>
          <w:rFonts w:hint="eastAsia" w:ascii="仿宋" w:hAnsi="仿宋" w:eastAsia="仿宋" w:cs="仿宋"/>
          <w:b/>
          <w:bCs/>
          <w:color w:val="000000"/>
          <w:sz w:val="28"/>
          <w:szCs w:val="28"/>
          <w:highlight w:val="none"/>
          <w:u w:val="single"/>
          <w:lang w:val="en-US" w:eastAsia="zh-CN"/>
        </w:rPr>
        <w:t>雪花机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B83535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67.标的名称：</w:t>
      </w:r>
      <w:r>
        <w:rPr>
          <w:rFonts w:hint="eastAsia" w:ascii="仿宋" w:hAnsi="仿宋" w:eastAsia="仿宋" w:cs="仿宋"/>
          <w:b/>
          <w:bCs/>
          <w:color w:val="000000"/>
          <w:sz w:val="28"/>
          <w:szCs w:val="28"/>
          <w:highlight w:val="none"/>
          <w:u w:val="single"/>
          <w:lang w:val="en-US" w:eastAsia="zh-CN"/>
        </w:rPr>
        <w:t>雪花油</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39BD50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68.标的名称：</w:t>
      </w:r>
      <w:r>
        <w:rPr>
          <w:rFonts w:hint="eastAsia" w:ascii="仿宋" w:hAnsi="仿宋" w:eastAsia="仿宋" w:cs="仿宋"/>
          <w:b/>
          <w:bCs/>
          <w:color w:val="000000"/>
          <w:sz w:val="28"/>
          <w:szCs w:val="28"/>
          <w:highlight w:val="none"/>
          <w:u w:val="single"/>
          <w:lang w:val="en-US" w:eastAsia="zh-CN"/>
        </w:rPr>
        <w:t>标准机柜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303B85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69.标的名称：</w:t>
      </w:r>
      <w:r>
        <w:rPr>
          <w:rFonts w:hint="eastAsia" w:ascii="仿宋" w:hAnsi="仿宋" w:eastAsia="仿宋" w:cs="仿宋"/>
          <w:b/>
          <w:bCs/>
          <w:color w:val="000000"/>
          <w:sz w:val="28"/>
          <w:szCs w:val="28"/>
          <w:highlight w:val="none"/>
          <w:u w:val="single"/>
          <w:lang w:val="en-US" w:eastAsia="zh-CN"/>
        </w:rPr>
        <w:t>大灯钩</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1FD86D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70.标的名称：</w:t>
      </w:r>
      <w:r>
        <w:rPr>
          <w:rFonts w:hint="eastAsia" w:ascii="仿宋" w:hAnsi="仿宋" w:eastAsia="仿宋" w:cs="仿宋"/>
          <w:b/>
          <w:bCs/>
          <w:color w:val="000000"/>
          <w:sz w:val="28"/>
          <w:szCs w:val="28"/>
          <w:highlight w:val="none"/>
          <w:u w:val="single"/>
          <w:lang w:val="en-US" w:eastAsia="zh-CN"/>
        </w:rPr>
        <w:t>保险绳</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751822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71.标的名称：</w:t>
      </w:r>
      <w:r>
        <w:rPr>
          <w:rFonts w:hint="eastAsia" w:ascii="仿宋" w:hAnsi="仿宋" w:eastAsia="仿宋" w:cs="仿宋"/>
          <w:b/>
          <w:bCs/>
          <w:color w:val="000000"/>
          <w:sz w:val="28"/>
          <w:szCs w:val="28"/>
          <w:highlight w:val="none"/>
          <w:u w:val="single"/>
          <w:lang w:val="en-US" w:eastAsia="zh-CN"/>
        </w:rPr>
        <w:t>地面防滑剧院信息盒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4E912B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72.标的名称：</w:t>
      </w:r>
      <w:r>
        <w:rPr>
          <w:rFonts w:hint="eastAsia" w:ascii="仿宋" w:hAnsi="仿宋" w:eastAsia="仿宋" w:cs="仿宋"/>
          <w:b/>
          <w:bCs/>
          <w:color w:val="000000"/>
          <w:sz w:val="28"/>
          <w:szCs w:val="28"/>
          <w:highlight w:val="none"/>
          <w:u w:val="single"/>
          <w:lang w:val="en-US" w:eastAsia="zh-CN"/>
        </w:rPr>
        <w:t>其他</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CA8FA3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73.标的名称：</w:t>
      </w:r>
      <w:r>
        <w:rPr>
          <w:rFonts w:hint="eastAsia" w:ascii="仿宋" w:hAnsi="仿宋" w:eastAsia="仿宋" w:cs="仿宋"/>
          <w:b/>
          <w:bCs/>
          <w:color w:val="000000"/>
          <w:sz w:val="28"/>
          <w:szCs w:val="28"/>
          <w:highlight w:val="none"/>
          <w:u w:val="single"/>
          <w:lang w:val="en-US" w:eastAsia="zh-CN"/>
        </w:rPr>
        <w:t>电子会标屏吊杆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5B0E7F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74.标的名称：</w:t>
      </w:r>
      <w:r>
        <w:rPr>
          <w:rFonts w:hint="eastAsia" w:ascii="仿宋" w:hAnsi="仿宋" w:eastAsia="仿宋" w:cs="仿宋"/>
          <w:b/>
          <w:bCs/>
          <w:color w:val="000000"/>
          <w:sz w:val="28"/>
          <w:szCs w:val="28"/>
          <w:highlight w:val="none"/>
          <w:u w:val="single"/>
          <w:lang w:val="en-US" w:eastAsia="zh-CN"/>
        </w:rPr>
        <w:t>电动会标横幅吊杆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1DCA46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75.标的名称：</w:t>
      </w:r>
      <w:r>
        <w:rPr>
          <w:rFonts w:hint="eastAsia" w:ascii="仿宋" w:hAnsi="仿宋" w:eastAsia="仿宋" w:cs="仿宋"/>
          <w:b/>
          <w:bCs/>
          <w:color w:val="000000"/>
          <w:sz w:val="28"/>
          <w:szCs w:val="28"/>
          <w:highlight w:val="none"/>
          <w:u w:val="single"/>
          <w:lang w:val="en-US" w:eastAsia="zh-CN"/>
        </w:rPr>
        <w:t>对开大幕机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90F70D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76.标的名称：</w:t>
      </w:r>
      <w:r>
        <w:rPr>
          <w:rFonts w:hint="eastAsia" w:ascii="仿宋" w:hAnsi="仿宋" w:eastAsia="仿宋" w:cs="仿宋"/>
          <w:b/>
          <w:bCs/>
          <w:color w:val="000000"/>
          <w:sz w:val="28"/>
          <w:szCs w:val="28"/>
          <w:highlight w:val="none"/>
          <w:u w:val="single"/>
          <w:lang w:val="en-US" w:eastAsia="zh-CN"/>
        </w:rPr>
        <w:t>电动灯光吊杆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9330AF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77.标的名称：</w:t>
      </w:r>
      <w:r>
        <w:rPr>
          <w:rFonts w:hint="eastAsia" w:ascii="仿宋" w:hAnsi="仿宋" w:eastAsia="仿宋" w:cs="仿宋"/>
          <w:b/>
          <w:bCs/>
          <w:color w:val="000000"/>
          <w:sz w:val="28"/>
          <w:szCs w:val="28"/>
          <w:highlight w:val="none"/>
          <w:u w:val="single"/>
          <w:lang w:val="en-US" w:eastAsia="zh-CN"/>
        </w:rPr>
        <w:t>电动景物吊杆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3B115E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78.标的名称：</w:t>
      </w:r>
      <w:r>
        <w:rPr>
          <w:rFonts w:hint="eastAsia" w:ascii="仿宋" w:hAnsi="仿宋" w:eastAsia="仿宋" w:cs="仿宋"/>
          <w:b/>
          <w:bCs/>
          <w:color w:val="000000"/>
          <w:sz w:val="28"/>
          <w:szCs w:val="28"/>
          <w:highlight w:val="none"/>
          <w:u w:val="single"/>
          <w:lang w:val="en-US" w:eastAsia="zh-CN"/>
        </w:rPr>
        <w:t>边沿幕吊杆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E37D66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79.标的名称：</w:t>
      </w:r>
      <w:r>
        <w:rPr>
          <w:rFonts w:hint="eastAsia" w:ascii="仿宋" w:hAnsi="仿宋" w:eastAsia="仿宋" w:cs="仿宋"/>
          <w:b/>
          <w:bCs/>
          <w:color w:val="000000"/>
          <w:sz w:val="28"/>
          <w:szCs w:val="28"/>
          <w:highlight w:val="none"/>
          <w:u w:val="single"/>
          <w:lang w:val="en-US" w:eastAsia="zh-CN"/>
        </w:rPr>
        <w:t>对开二幕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9E3192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80.标的名称：</w:t>
      </w:r>
      <w:r>
        <w:rPr>
          <w:rFonts w:hint="eastAsia" w:ascii="仿宋" w:hAnsi="仿宋" w:eastAsia="仿宋" w:cs="仿宋"/>
          <w:b/>
          <w:bCs/>
          <w:color w:val="000000"/>
          <w:sz w:val="28"/>
          <w:szCs w:val="28"/>
          <w:highlight w:val="none"/>
          <w:u w:val="single"/>
          <w:lang w:val="en-US" w:eastAsia="zh-CN"/>
        </w:rPr>
        <w:t>电动侧光吊杆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FD9105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81.标的名称：</w:t>
      </w:r>
      <w:r>
        <w:rPr>
          <w:rFonts w:hint="eastAsia" w:ascii="仿宋" w:hAnsi="仿宋" w:eastAsia="仿宋" w:cs="仿宋"/>
          <w:b/>
          <w:bCs/>
          <w:color w:val="000000"/>
          <w:sz w:val="28"/>
          <w:szCs w:val="28"/>
          <w:highlight w:val="none"/>
          <w:u w:val="single"/>
          <w:lang w:val="en-US" w:eastAsia="zh-CN"/>
        </w:rPr>
        <w:t>耳光支架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283FA1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82.标的名称：</w:t>
      </w:r>
      <w:r>
        <w:rPr>
          <w:rFonts w:hint="eastAsia" w:ascii="仿宋" w:hAnsi="仿宋" w:eastAsia="仿宋" w:cs="仿宋"/>
          <w:b/>
          <w:bCs/>
          <w:color w:val="000000"/>
          <w:sz w:val="28"/>
          <w:szCs w:val="28"/>
          <w:highlight w:val="none"/>
          <w:u w:val="single"/>
          <w:lang w:val="en-US" w:eastAsia="zh-CN"/>
        </w:rPr>
        <w:t>PLC控制系统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1B5B8E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83标的名称：</w:t>
      </w:r>
      <w:r>
        <w:rPr>
          <w:rFonts w:hint="eastAsia" w:ascii="仿宋" w:hAnsi="仿宋" w:eastAsia="仿宋" w:cs="仿宋"/>
          <w:b/>
          <w:bCs/>
          <w:color w:val="000000"/>
          <w:sz w:val="28"/>
          <w:szCs w:val="28"/>
          <w:highlight w:val="none"/>
          <w:u w:val="single"/>
          <w:lang w:val="en-US" w:eastAsia="zh-CN"/>
        </w:rPr>
        <w:t>舞台机械栅顶及全沉浸式控制系统模块造型支架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93827C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84.标的名称：</w:t>
      </w:r>
      <w:r>
        <w:rPr>
          <w:rFonts w:hint="eastAsia" w:ascii="仿宋" w:hAnsi="仿宋" w:eastAsia="仿宋" w:cs="仿宋"/>
          <w:b/>
          <w:bCs/>
          <w:color w:val="000000"/>
          <w:sz w:val="28"/>
          <w:szCs w:val="28"/>
          <w:highlight w:val="none"/>
          <w:u w:val="single"/>
          <w:lang w:val="en-US" w:eastAsia="zh-CN"/>
        </w:rPr>
        <w:t>全沉浸式系统模块</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B5B2DC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85.标的名称：</w:t>
      </w:r>
      <w:r>
        <w:rPr>
          <w:rFonts w:hint="eastAsia" w:ascii="仿宋" w:hAnsi="仿宋" w:eastAsia="仿宋" w:cs="仿宋"/>
          <w:b/>
          <w:bCs/>
          <w:color w:val="000000"/>
          <w:sz w:val="28"/>
          <w:szCs w:val="28"/>
          <w:highlight w:val="none"/>
          <w:u w:val="single"/>
          <w:lang w:val="en-US" w:eastAsia="zh-CN"/>
        </w:rPr>
        <w:t>大幕前檐幕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3FDEA1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86.标的名称：</w:t>
      </w:r>
      <w:r>
        <w:rPr>
          <w:rFonts w:hint="eastAsia" w:ascii="仿宋" w:hAnsi="仿宋" w:eastAsia="仿宋" w:cs="仿宋"/>
          <w:b/>
          <w:bCs/>
          <w:color w:val="000000"/>
          <w:sz w:val="28"/>
          <w:szCs w:val="28"/>
          <w:highlight w:val="none"/>
          <w:u w:val="single"/>
          <w:lang w:val="en-US" w:eastAsia="zh-CN"/>
        </w:rPr>
        <w:t>大幕前沿幕衬里</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D92D61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87.标的名称：</w:t>
      </w:r>
      <w:r>
        <w:rPr>
          <w:rFonts w:hint="eastAsia" w:ascii="仿宋" w:hAnsi="仿宋" w:eastAsia="仿宋" w:cs="仿宋"/>
          <w:b/>
          <w:bCs/>
          <w:color w:val="000000"/>
          <w:sz w:val="28"/>
          <w:szCs w:val="28"/>
          <w:highlight w:val="none"/>
          <w:u w:val="single"/>
          <w:lang w:val="en-US" w:eastAsia="zh-CN"/>
        </w:rPr>
        <w:t>对开大幕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2D5AD7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88.标的名称：</w:t>
      </w:r>
      <w:r>
        <w:rPr>
          <w:rFonts w:hint="eastAsia" w:ascii="仿宋" w:hAnsi="仿宋" w:eastAsia="仿宋" w:cs="仿宋"/>
          <w:b/>
          <w:bCs/>
          <w:color w:val="000000"/>
          <w:sz w:val="28"/>
          <w:szCs w:val="28"/>
          <w:highlight w:val="none"/>
          <w:u w:val="single"/>
          <w:lang w:val="en-US" w:eastAsia="zh-CN"/>
        </w:rPr>
        <w:t>对开大幕衬里</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3032B9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89.标的名称：</w:t>
      </w:r>
      <w:r>
        <w:rPr>
          <w:rFonts w:hint="eastAsia" w:ascii="仿宋" w:hAnsi="仿宋" w:eastAsia="仿宋" w:cs="仿宋"/>
          <w:b/>
          <w:bCs/>
          <w:color w:val="000000"/>
          <w:sz w:val="28"/>
          <w:szCs w:val="28"/>
          <w:highlight w:val="none"/>
          <w:u w:val="single"/>
          <w:lang w:val="en-US" w:eastAsia="zh-CN"/>
        </w:rPr>
        <w:t>横条幕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F06F6C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90.标的名称：</w:t>
      </w:r>
      <w:r>
        <w:rPr>
          <w:rFonts w:hint="eastAsia" w:ascii="仿宋" w:hAnsi="仿宋" w:eastAsia="仿宋" w:cs="仿宋"/>
          <w:b/>
          <w:bCs/>
          <w:color w:val="000000"/>
          <w:sz w:val="28"/>
          <w:szCs w:val="28"/>
          <w:highlight w:val="none"/>
          <w:u w:val="single"/>
          <w:lang w:val="en-US" w:eastAsia="zh-CN"/>
        </w:rPr>
        <w:t>横条幕衬里</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B64F05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91.标的名称：</w:t>
      </w:r>
      <w:r>
        <w:rPr>
          <w:rFonts w:hint="eastAsia" w:ascii="仿宋" w:hAnsi="仿宋" w:eastAsia="仿宋" w:cs="仿宋"/>
          <w:b/>
          <w:bCs/>
          <w:color w:val="000000"/>
          <w:sz w:val="28"/>
          <w:szCs w:val="28"/>
          <w:highlight w:val="none"/>
          <w:u w:val="single"/>
          <w:lang w:val="en-US" w:eastAsia="zh-CN"/>
        </w:rPr>
        <w:t>侧条幕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94956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92.标的名称：</w:t>
      </w:r>
      <w:r>
        <w:rPr>
          <w:rFonts w:hint="eastAsia" w:ascii="仿宋" w:hAnsi="仿宋" w:eastAsia="仿宋" w:cs="仿宋"/>
          <w:b/>
          <w:bCs/>
          <w:color w:val="000000"/>
          <w:sz w:val="28"/>
          <w:szCs w:val="28"/>
          <w:highlight w:val="none"/>
          <w:u w:val="single"/>
          <w:lang w:val="en-US" w:eastAsia="zh-CN"/>
        </w:rPr>
        <w:t>侧条幕衬里</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14E6B9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93.标的名称：</w:t>
      </w:r>
      <w:r>
        <w:rPr>
          <w:rFonts w:hint="eastAsia" w:ascii="仿宋" w:hAnsi="仿宋" w:eastAsia="仿宋" w:cs="仿宋"/>
          <w:b/>
          <w:bCs/>
          <w:color w:val="000000"/>
          <w:sz w:val="28"/>
          <w:szCs w:val="28"/>
          <w:highlight w:val="none"/>
          <w:u w:val="single"/>
          <w:lang w:val="en-US" w:eastAsia="zh-CN"/>
        </w:rPr>
        <w:t>对开二幕</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ECC895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94.标的名称：</w:t>
      </w:r>
      <w:r>
        <w:rPr>
          <w:rFonts w:hint="eastAsia" w:ascii="仿宋" w:hAnsi="仿宋" w:eastAsia="仿宋" w:cs="仿宋"/>
          <w:b/>
          <w:bCs/>
          <w:color w:val="000000"/>
          <w:sz w:val="28"/>
          <w:szCs w:val="28"/>
          <w:highlight w:val="none"/>
          <w:u w:val="single"/>
          <w:lang w:val="en-US" w:eastAsia="zh-CN"/>
        </w:rPr>
        <w:t>拾音话筒吊装器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361DF8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95.标的名称：</w:t>
      </w:r>
      <w:r>
        <w:rPr>
          <w:rFonts w:hint="eastAsia" w:ascii="仿宋" w:hAnsi="仿宋" w:eastAsia="仿宋" w:cs="仿宋"/>
          <w:b/>
          <w:bCs/>
          <w:color w:val="000000"/>
          <w:sz w:val="28"/>
          <w:szCs w:val="28"/>
          <w:highlight w:val="none"/>
          <w:u w:val="single"/>
          <w:lang w:val="en-US" w:eastAsia="zh-CN"/>
        </w:rPr>
        <w:t>手自一体PLC电源控制箱200KW</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85E3F5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96.标的名称：</w:t>
      </w:r>
      <w:r>
        <w:rPr>
          <w:rFonts w:hint="eastAsia" w:ascii="仿宋" w:hAnsi="仿宋" w:eastAsia="仿宋" w:cs="仿宋"/>
          <w:b/>
          <w:bCs/>
          <w:color w:val="000000"/>
          <w:sz w:val="28"/>
          <w:szCs w:val="28"/>
          <w:highlight w:val="none"/>
          <w:u w:val="single"/>
          <w:lang w:val="en-US" w:eastAsia="zh-CN"/>
        </w:rPr>
        <w:t>伸缩合唱台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13EE33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97.标的名称：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4B1B0F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98.标的名称：</w:t>
      </w:r>
      <w:r>
        <w:rPr>
          <w:rFonts w:hint="eastAsia" w:ascii="仿宋" w:hAnsi="仿宋" w:eastAsia="仿宋" w:cs="仿宋"/>
          <w:b/>
          <w:bCs/>
          <w:color w:val="000000"/>
          <w:sz w:val="28"/>
          <w:szCs w:val="28"/>
          <w:highlight w:val="none"/>
          <w:u w:val="single"/>
          <w:lang w:val="en-US" w:eastAsia="zh-CN"/>
        </w:rPr>
        <w:t>可编程中央控制主机（加触控终端）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C17CCF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99.标的名称：</w:t>
      </w:r>
      <w:r>
        <w:rPr>
          <w:rFonts w:hint="eastAsia" w:ascii="仿宋" w:hAnsi="仿宋" w:eastAsia="仿宋" w:cs="仿宋"/>
          <w:b/>
          <w:bCs/>
          <w:color w:val="000000"/>
          <w:sz w:val="28"/>
          <w:szCs w:val="28"/>
          <w:highlight w:val="none"/>
          <w:u w:val="single"/>
          <w:lang w:val="en-US" w:eastAsia="zh-CN"/>
        </w:rPr>
        <w:t>无线接收器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41B470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100.标的名称：</w:t>
      </w:r>
      <w:r>
        <w:rPr>
          <w:rFonts w:hint="eastAsia" w:ascii="仿宋" w:hAnsi="仿宋" w:eastAsia="仿宋" w:cs="仿宋"/>
          <w:b/>
          <w:bCs/>
          <w:color w:val="000000"/>
          <w:sz w:val="28"/>
          <w:szCs w:val="28"/>
          <w:highlight w:val="none"/>
          <w:u w:val="single"/>
          <w:lang w:val="en-US" w:eastAsia="zh-CN"/>
        </w:rPr>
        <w:t>红外发射棒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D5594B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101.标的名称：</w:t>
      </w:r>
      <w:r>
        <w:rPr>
          <w:rFonts w:hint="eastAsia" w:ascii="仿宋" w:hAnsi="仿宋" w:eastAsia="仿宋" w:cs="仿宋"/>
          <w:b/>
          <w:bCs/>
          <w:color w:val="000000"/>
          <w:sz w:val="28"/>
          <w:szCs w:val="28"/>
          <w:highlight w:val="none"/>
          <w:u w:val="single"/>
          <w:lang w:val="en-US" w:eastAsia="zh-CN"/>
        </w:rPr>
        <w:t>系统软件单元</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2A0324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102.标的名称：</w:t>
      </w:r>
      <w:r>
        <w:rPr>
          <w:rFonts w:hint="eastAsia" w:ascii="仿宋" w:hAnsi="仿宋" w:eastAsia="仿宋" w:cs="仿宋"/>
          <w:b/>
          <w:bCs/>
          <w:color w:val="000000"/>
          <w:sz w:val="28"/>
          <w:szCs w:val="28"/>
          <w:highlight w:val="none"/>
          <w:u w:val="single"/>
          <w:lang w:val="en-US" w:eastAsia="zh-CN"/>
        </w:rPr>
        <w:t>协同中控控制接收系统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7DF248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103.标的名称：</w:t>
      </w:r>
      <w:r>
        <w:rPr>
          <w:rFonts w:hint="eastAsia" w:ascii="仿宋" w:hAnsi="仿宋" w:eastAsia="仿宋" w:cs="仿宋"/>
          <w:b/>
          <w:bCs/>
          <w:color w:val="000000"/>
          <w:sz w:val="28"/>
          <w:szCs w:val="28"/>
          <w:highlight w:val="none"/>
          <w:u w:val="single"/>
          <w:lang w:val="en-US" w:eastAsia="zh-CN"/>
        </w:rPr>
        <w:t>电源控制器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8CE1D5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104.标的名称：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4E219B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105.标的名称：</w:t>
      </w:r>
      <w:r>
        <w:rPr>
          <w:rFonts w:hint="eastAsia" w:ascii="仿宋" w:hAnsi="仿宋" w:eastAsia="仿宋" w:cs="仿宋"/>
          <w:b/>
          <w:bCs/>
          <w:color w:val="000000"/>
          <w:sz w:val="28"/>
          <w:szCs w:val="28"/>
          <w:highlight w:val="none"/>
          <w:u w:val="single"/>
          <w:lang w:val="en-US" w:eastAsia="zh-CN"/>
        </w:rPr>
        <w:t>4K会议录播一体机（带显示终端）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DCADCE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106.标的名称：</w:t>
      </w:r>
      <w:r>
        <w:rPr>
          <w:rFonts w:hint="eastAsia" w:ascii="仿宋" w:hAnsi="仿宋" w:eastAsia="仿宋" w:cs="仿宋"/>
          <w:b/>
          <w:bCs/>
          <w:color w:val="000000"/>
          <w:sz w:val="28"/>
          <w:szCs w:val="28"/>
          <w:highlight w:val="none"/>
          <w:u w:val="single"/>
          <w:lang w:val="en-US" w:eastAsia="zh-CN"/>
        </w:rPr>
        <w:t>录播系统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C2C181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107.标的名称：</w:t>
      </w:r>
      <w:r>
        <w:rPr>
          <w:rFonts w:hint="eastAsia" w:ascii="仿宋" w:hAnsi="仿宋" w:eastAsia="仿宋" w:cs="仿宋"/>
          <w:b/>
          <w:bCs/>
          <w:color w:val="000000"/>
          <w:sz w:val="28"/>
          <w:szCs w:val="28"/>
          <w:highlight w:val="none"/>
          <w:u w:val="single"/>
          <w:lang w:val="en-US" w:eastAsia="zh-CN"/>
        </w:rPr>
        <w:t>导播控制系统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8A1309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108.标的名称：</w:t>
      </w:r>
      <w:r>
        <w:rPr>
          <w:rFonts w:hint="eastAsia" w:ascii="仿宋" w:hAnsi="仿宋" w:eastAsia="仿宋" w:cs="仿宋"/>
          <w:b/>
          <w:bCs/>
          <w:color w:val="000000"/>
          <w:sz w:val="28"/>
          <w:szCs w:val="28"/>
          <w:highlight w:val="none"/>
          <w:u w:val="single"/>
          <w:lang w:val="en-US" w:eastAsia="zh-CN"/>
        </w:rPr>
        <w:t>键鼠套装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C92ADD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109.标的名称：</w:t>
      </w:r>
      <w:r>
        <w:rPr>
          <w:rFonts w:hint="eastAsia" w:ascii="仿宋" w:hAnsi="仿宋" w:eastAsia="仿宋" w:cs="仿宋"/>
          <w:b/>
          <w:bCs/>
          <w:color w:val="000000"/>
          <w:sz w:val="28"/>
          <w:szCs w:val="28"/>
          <w:highlight w:val="none"/>
          <w:u w:val="single"/>
          <w:lang w:val="en-US" w:eastAsia="zh-CN"/>
        </w:rPr>
        <w:t>无线投屏器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1B8E2B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110.标的名称：</w:t>
      </w:r>
      <w:r>
        <w:rPr>
          <w:rFonts w:hint="eastAsia" w:ascii="仿宋" w:hAnsi="仿宋" w:eastAsia="仿宋" w:cs="仿宋"/>
          <w:b/>
          <w:bCs/>
          <w:color w:val="000000"/>
          <w:sz w:val="28"/>
          <w:szCs w:val="28"/>
          <w:highlight w:val="none"/>
          <w:u w:val="single"/>
          <w:lang w:val="en-US" w:eastAsia="zh-CN"/>
        </w:rPr>
        <w:t>视频程序设计实训处理平台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71F72B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111.标的名称：</w:t>
      </w:r>
      <w:r>
        <w:rPr>
          <w:rFonts w:hint="eastAsia" w:ascii="仿宋" w:hAnsi="仿宋" w:eastAsia="仿宋" w:cs="仿宋"/>
          <w:b/>
          <w:bCs/>
          <w:color w:val="000000"/>
          <w:sz w:val="28"/>
          <w:szCs w:val="28"/>
          <w:highlight w:val="none"/>
          <w:u w:val="single"/>
          <w:lang w:val="en-US" w:eastAsia="zh-CN"/>
        </w:rPr>
        <w:t>视频程序设计实训并发处理单元</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31D76B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112.标的名称：</w:t>
      </w:r>
      <w:r>
        <w:rPr>
          <w:rFonts w:hint="eastAsia" w:ascii="仿宋" w:hAnsi="仿宋" w:eastAsia="仿宋" w:cs="仿宋"/>
          <w:b/>
          <w:bCs/>
          <w:color w:val="000000"/>
          <w:sz w:val="28"/>
          <w:szCs w:val="28"/>
          <w:highlight w:val="none"/>
          <w:u w:val="single"/>
          <w:lang w:val="en-US" w:eastAsia="zh-CN"/>
        </w:rPr>
        <w:t>视频程序设计实训推理分析单元</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6C55D8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113.标的名称：</w:t>
      </w:r>
      <w:r>
        <w:rPr>
          <w:rFonts w:hint="eastAsia" w:ascii="仿宋" w:hAnsi="仿宋" w:eastAsia="仿宋" w:cs="仿宋"/>
          <w:b/>
          <w:bCs/>
          <w:color w:val="000000"/>
          <w:sz w:val="28"/>
          <w:szCs w:val="28"/>
          <w:highlight w:val="none"/>
          <w:u w:val="single"/>
          <w:lang w:val="en-US" w:eastAsia="zh-CN"/>
        </w:rPr>
        <w:t>HDMI发送器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A34419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114.标的名称：</w:t>
      </w:r>
      <w:r>
        <w:rPr>
          <w:rFonts w:hint="eastAsia" w:ascii="仿宋" w:hAnsi="仿宋" w:eastAsia="仿宋" w:cs="仿宋"/>
          <w:b/>
          <w:bCs/>
          <w:color w:val="000000"/>
          <w:sz w:val="28"/>
          <w:szCs w:val="28"/>
          <w:highlight w:val="none"/>
          <w:u w:val="single"/>
          <w:lang w:val="en-US" w:eastAsia="zh-CN"/>
        </w:rPr>
        <w:t>HDMI接收器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50C9E3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115.标的名称：</w:t>
      </w:r>
      <w:r>
        <w:rPr>
          <w:rFonts w:hint="eastAsia" w:ascii="仿宋" w:hAnsi="仿宋" w:eastAsia="仿宋" w:cs="仿宋"/>
          <w:b/>
          <w:bCs/>
          <w:color w:val="000000"/>
          <w:sz w:val="28"/>
          <w:szCs w:val="28"/>
          <w:highlight w:val="none"/>
          <w:u w:val="single"/>
          <w:lang w:val="en-US" w:eastAsia="zh-CN"/>
        </w:rPr>
        <w:t>两厅互通传输系统发送端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9167F3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116.标的名称：</w:t>
      </w:r>
      <w:r>
        <w:rPr>
          <w:rFonts w:hint="eastAsia" w:ascii="仿宋" w:hAnsi="仿宋" w:eastAsia="仿宋" w:cs="仿宋"/>
          <w:b/>
          <w:bCs/>
          <w:color w:val="000000"/>
          <w:sz w:val="28"/>
          <w:szCs w:val="28"/>
          <w:highlight w:val="none"/>
          <w:u w:val="single"/>
          <w:lang w:val="en-US" w:eastAsia="zh-CN"/>
        </w:rPr>
        <w:t>两厅互通传输系统接收端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9B49FB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117.标的名称：</w:t>
      </w:r>
      <w:r>
        <w:rPr>
          <w:rFonts w:hint="eastAsia" w:ascii="仿宋" w:hAnsi="仿宋" w:eastAsia="仿宋" w:cs="仿宋"/>
          <w:b/>
          <w:bCs/>
          <w:color w:val="000000"/>
          <w:sz w:val="28"/>
          <w:szCs w:val="28"/>
          <w:highlight w:val="none"/>
          <w:u w:val="single"/>
          <w:lang w:val="en-US" w:eastAsia="zh-CN"/>
        </w:rPr>
        <w:t>4K高清室内摄像机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4496C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118.标的名称：</w:t>
      </w:r>
      <w:r>
        <w:rPr>
          <w:rFonts w:hint="eastAsia" w:ascii="仿宋" w:hAnsi="仿宋" w:eastAsia="仿宋" w:cs="仿宋"/>
          <w:b/>
          <w:bCs/>
          <w:color w:val="000000"/>
          <w:sz w:val="28"/>
          <w:szCs w:val="28"/>
          <w:highlight w:val="none"/>
          <w:u w:val="single"/>
          <w:lang w:val="en-US" w:eastAsia="zh-CN"/>
        </w:rPr>
        <w:t>4K高清室内摄像机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BA0554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119.标的名称：</w:t>
      </w:r>
      <w:r>
        <w:rPr>
          <w:rFonts w:hint="eastAsia" w:ascii="仿宋" w:hAnsi="仿宋" w:eastAsia="仿宋" w:cs="仿宋"/>
          <w:b/>
          <w:bCs/>
          <w:color w:val="000000"/>
          <w:sz w:val="28"/>
          <w:szCs w:val="28"/>
          <w:highlight w:val="none"/>
          <w:u w:val="single"/>
          <w:lang w:val="en-US" w:eastAsia="zh-CN"/>
        </w:rPr>
        <w:t>摄像头固定支架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B860EB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120.标的名称：</w:t>
      </w:r>
      <w:r>
        <w:rPr>
          <w:rFonts w:hint="eastAsia" w:ascii="仿宋" w:hAnsi="仿宋" w:eastAsia="仿宋" w:cs="仿宋"/>
          <w:b/>
          <w:bCs/>
          <w:color w:val="000000"/>
          <w:sz w:val="28"/>
          <w:szCs w:val="28"/>
          <w:highlight w:val="none"/>
          <w:u w:val="single"/>
          <w:lang w:val="en-US" w:eastAsia="zh-CN"/>
        </w:rPr>
        <w:t>摄像机移动支架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9446C8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121.标的名称：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3427BE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122.标的名称：</w:t>
      </w:r>
      <w:r>
        <w:rPr>
          <w:rFonts w:hint="eastAsia" w:ascii="仿宋" w:hAnsi="仿宋" w:eastAsia="仿宋" w:cs="仿宋"/>
          <w:b/>
          <w:bCs/>
          <w:color w:val="000000"/>
          <w:sz w:val="28"/>
          <w:szCs w:val="28"/>
          <w:highlight w:val="none"/>
          <w:u w:val="single"/>
          <w:lang w:val="en-US" w:eastAsia="zh-CN"/>
        </w:rPr>
        <w:t>定制操作台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62E9AF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123.标的名称：</w:t>
      </w:r>
      <w:r>
        <w:rPr>
          <w:rFonts w:hint="eastAsia" w:ascii="仿宋" w:hAnsi="仿宋" w:eastAsia="仿宋" w:cs="仿宋"/>
          <w:b/>
          <w:bCs/>
          <w:color w:val="000000"/>
          <w:sz w:val="28"/>
          <w:szCs w:val="28"/>
          <w:highlight w:val="none"/>
          <w:u w:val="single"/>
          <w:lang w:val="en-US" w:eastAsia="zh-CN"/>
        </w:rPr>
        <w:t>控制室播控</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82716D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124.标的名称：</w:t>
      </w:r>
      <w:r>
        <w:rPr>
          <w:rFonts w:hint="eastAsia" w:ascii="仿宋" w:hAnsi="仿宋" w:eastAsia="仿宋" w:cs="仿宋"/>
          <w:b/>
          <w:bCs/>
          <w:color w:val="000000"/>
          <w:sz w:val="28"/>
          <w:szCs w:val="28"/>
          <w:highlight w:val="none"/>
          <w:u w:val="single"/>
          <w:lang w:val="en-US" w:eastAsia="zh-CN"/>
        </w:rPr>
        <w:t>立式话筒支架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63CE79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125.标的名称：</w:t>
      </w:r>
      <w:r>
        <w:rPr>
          <w:rFonts w:hint="eastAsia" w:ascii="仿宋" w:hAnsi="仿宋" w:eastAsia="仿宋" w:cs="仿宋"/>
          <w:b/>
          <w:bCs/>
          <w:color w:val="000000"/>
          <w:sz w:val="28"/>
          <w:szCs w:val="28"/>
          <w:highlight w:val="none"/>
          <w:u w:val="single"/>
          <w:lang w:val="en-US" w:eastAsia="zh-CN"/>
        </w:rPr>
        <w:t>返听防滑剧院接口盒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0E70FD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126.标的名称：</w:t>
      </w:r>
      <w:r>
        <w:rPr>
          <w:rFonts w:hint="eastAsia" w:ascii="仿宋" w:hAnsi="仿宋" w:eastAsia="仿宋" w:cs="仿宋"/>
          <w:b/>
          <w:bCs/>
          <w:color w:val="000000"/>
          <w:sz w:val="28"/>
          <w:szCs w:val="28"/>
          <w:highlight w:val="none"/>
          <w:u w:val="single"/>
          <w:lang w:val="en-US" w:eastAsia="zh-CN"/>
        </w:rPr>
        <w:t>地面防滑剧院信息盒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F009FB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127.标的名称：</w:t>
      </w:r>
      <w:r>
        <w:rPr>
          <w:rFonts w:hint="eastAsia" w:ascii="仿宋" w:hAnsi="仿宋" w:eastAsia="仿宋" w:cs="仿宋"/>
          <w:b/>
          <w:bCs/>
          <w:color w:val="000000"/>
          <w:sz w:val="28"/>
          <w:szCs w:val="28"/>
          <w:highlight w:val="none"/>
          <w:u w:val="single"/>
          <w:lang w:val="en-US" w:eastAsia="zh-CN"/>
        </w:rPr>
        <w:t>线阵列扬声器吊挂支架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81BEAA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128.标的名称：</w:t>
      </w:r>
      <w:r>
        <w:rPr>
          <w:rFonts w:hint="eastAsia" w:ascii="仿宋" w:hAnsi="仿宋" w:eastAsia="仿宋" w:cs="仿宋"/>
          <w:b/>
          <w:bCs/>
          <w:color w:val="000000"/>
          <w:sz w:val="28"/>
          <w:szCs w:val="28"/>
          <w:highlight w:val="none"/>
          <w:u w:val="single"/>
          <w:lang w:val="en-US" w:eastAsia="zh-CN"/>
        </w:rPr>
        <w:t>PDU机柜电源</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608321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129.标的名称：</w:t>
      </w:r>
      <w:r>
        <w:rPr>
          <w:rFonts w:hint="eastAsia" w:ascii="仿宋" w:hAnsi="仿宋" w:eastAsia="仿宋" w:cs="仿宋"/>
          <w:b/>
          <w:bCs/>
          <w:color w:val="000000"/>
          <w:sz w:val="28"/>
          <w:szCs w:val="28"/>
          <w:highlight w:val="none"/>
          <w:u w:val="single"/>
          <w:lang w:val="en-US" w:eastAsia="zh-CN"/>
        </w:rPr>
        <w:t>跳线盘</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501558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130.标的名称：</w:t>
      </w:r>
      <w:r>
        <w:rPr>
          <w:rFonts w:hint="eastAsia" w:ascii="仿宋" w:hAnsi="仿宋" w:eastAsia="仿宋" w:cs="仿宋"/>
          <w:b/>
          <w:bCs/>
          <w:color w:val="000000"/>
          <w:sz w:val="28"/>
          <w:szCs w:val="28"/>
          <w:highlight w:val="none"/>
          <w:u w:val="single"/>
          <w:lang w:val="en-US" w:eastAsia="zh-CN"/>
        </w:rPr>
        <w:t>电动葫芦</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D71859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131.标的名称：</w:t>
      </w:r>
      <w:r>
        <w:rPr>
          <w:rFonts w:hint="eastAsia" w:ascii="仿宋" w:hAnsi="仿宋" w:eastAsia="仿宋" w:cs="仿宋"/>
          <w:b/>
          <w:bCs/>
          <w:color w:val="000000"/>
          <w:sz w:val="28"/>
          <w:szCs w:val="28"/>
          <w:highlight w:val="none"/>
          <w:u w:val="single"/>
          <w:lang w:val="en-US" w:eastAsia="zh-CN"/>
        </w:rPr>
        <w:t>标准机柜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2C31E7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132.标的名称：</w:t>
      </w:r>
      <w:r>
        <w:rPr>
          <w:rFonts w:hint="eastAsia" w:ascii="仿宋" w:hAnsi="仿宋" w:eastAsia="仿宋" w:cs="仿宋"/>
          <w:b/>
          <w:bCs/>
          <w:color w:val="000000"/>
          <w:sz w:val="28"/>
          <w:szCs w:val="28"/>
          <w:highlight w:val="none"/>
          <w:u w:val="single"/>
          <w:lang w:val="en-US" w:eastAsia="zh-CN"/>
        </w:rPr>
        <w:t>对讲主机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820D63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133.标的名称：</w:t>
      </w:r>
      <w:r>
        <w:rPr>
          <w:rFonts w:hint="eastAsia" w:ascii="仿宋" w:hAnsi="仿宋" w:eastAsia="仿宋" w:cs="仿宋"/>
          <w:b/>
          <w:bCs/>
          <w:color w:val="000000"/>
          <w:sz w:val="28"/>
          <w:szCs w:val="28"/>
          <w:highlight w:val="none"/>
          <w:u w:val="single"/>
          <w:lang w:val="en-US" w:eastAsia="zh-CN"/>
        </w:rPr>
        <w:t>对讲话筒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6AA99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134.标的名称：</w:t>
      </w:r>
      <w:r>
        <w:rPr>
          <w:rFonts w:hint="eastAsia" w:ascii="仿宋" w:hAnsi="仿宋" w:eastAsia="仿宋" w:cs="仿宋"/>
          <w:b/>
          <w:bCs/>
          <w:color w:val="000000"/>
          <w:sz w:val="28"/>
          <w:szCs w:val="28"/>
          <w:highlight w:val="none"/>
          <w:u w:val="single"/>
          <w:lang w:val="en-US" w:eastAsia="zh-CN"/>
        </w:rPr>
        <w:t>壁挂音箱</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01F720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135.标的名称：</w:t>
      </w:r>
      <w:r>
        <w:rPr>
          <w:rFonts w:hint="eastAsia" w:ascii="仿宋" w:hAnsi="仿宋" w:eastAsia="仿宋" w:cs="仿宋"/>
          <w:b/>
          <w:bCs/>
          <w:color w:val="000000"/>
          <w:sz w:val="28"/>
          <w:szCs w:val="28"/>
          <w:highlight w:val="none"/>
          <w:u w:val="single"/>
          <w:lang w:val="en-US" w:eastAsia="zh-CN"/>
        </w:rPr>
        <w:t>音量控制开关</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EA1B22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136.标的名称：</w:t>
      </w:r>
      <w:r>
        <w:rPr>
          <w:rFonts w:hint="eastAsia" w:ascii="仿宋" w:hAnsi="仿宋" w:eastAsia="仿宋" w:cs="仿宋"/>
          <w:b/>
          <w:bCs/>
          <w:color w:val="000000"/>
          <w:sz w:val="28"/>
          <w:szCs w:val="28"/>
          <w:highlight w:val="none"/>
          <w:u w:val="single"/>
          <w:lang w:val="en-US" w:eastAsia="zh-CN"/>
        </w:rPr>
        <w:t>协同控制终端系统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CD3B61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137.标的名称：</w:t>
      </w:r>
      <w:r>
        <w:rPr>
          <w:rFonts w:hint="eastAsia" w:ascii="仿宋" w:hAnsi="仿宋" w:eastAsia="仿宋" w:cs="仿宋"/>
          <w:b/>
          <w:bCs/>
          <w:color w:val="000000"/>
          <w:sz w:val="28"/>
          <w:szCs w:val="28"/>
          <w:highlight w:val="none"/>
          <w:u w:val="single"/>
          <w:lang w:val="en-US" w:eastAsia="zh-CN"/>
        </w:rPr>
        <w:t>协同控制核心系统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EA84DE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138.标的名称：</w:t>
      </w:r>
      <w:r>
        <w:rPr>
          <w:rFonts w:hint="eastAsia" w:ascii="仿宋" w:hAnsi="仿宋" w:eastAsia="仿宋" w:cs="仿宋"/>
          <w:b/>
          <w:bCs/>
          <w:color w:val="000000"/>
          <w:sz w:val="28"/>
          <w:szCs w:val="28"/>
          <w:highlight w:val="none"/>
          <w:u w:val="single"/>
          <w:lang w:val="en-US" w:eastAsia="zh-CN"/>
        </w:rPr>
        <w:t>协同控制孪生模块系统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48D18A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139.标的名称：</w:t>
      </w:r>
      <w:r>
        <w:rPr>
          <w:rFonts w:hint="eastAsia" w:ascii="仿宋" w:hAnsi="仿宋" w:eastAsia="仿宋" w:cs="仿宋"/>
          <w:b/>
          <w:bCs/>
          <w:color w:val="000000"/>
          <w:sz w:val="28"/>
          <w:szCs w:val="28"/>
          <w:highlight w:val="none"/>
          <w:u w:val="single"/>
          <w:lang w:val="en-US" w:eastAsia="zh-CN"/>
        </w:rPr>
        <w:t>网络交换机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C41B3E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140.标的名称：</w:t>
      </w:r>
      <w:r>
        <w:rPr>
          <w:rFonts w:hint="eastAsia" w:ascii="仿宋" w:hAnsi="仿宋" w:eastAsia="仿宋" w:cs="仿宋"/>
          <w:b/>
          <w:bCs/>
          <w:color w:val="000000"/>
          <w:sz w:val="28"/>
          <w:szCs w:val="28"/>
          <w:highlight w:val="none"/>
          <w:u w:val="single"/>
          <w:lang w:val="en-US" w:eastAsia="zh-CN"/>
        </w:rPr>
        <w:t>高清200万网络红外半球</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1AC1AD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141.标的名称：</w:t>
      </w:r>
      <w:r>
        <w:rPr>
          <w:rFonts w:hint="eastAsia" w:ascii="仿宋" w:hAnsi="仿宋" w:eastAsia="仿宋" w:cs="仿宋"/>
          <w:b/>
          <w:bCs/>
          <w:color w:val="000000"/>
          <w:sz w:val="28"/>
          <w:szCs w:val="28"/>
          <w:highlight w:val="none"/>
          <w:u w:val="single"/>
          <w:lang w:val="en-US" w:eastAsia="zh-CN"/>
        </w:rPr>
        <w:t>网络硬盘录像机（带显示终端）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D323FB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142.标的名称：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0F2EE0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143.标的名称：</w:t>
      </w:r>
      <w:r>
        <w:rPr>
          <w:rFonts w:hint="eastAsia" w:ascii="仿宋" w:hAnsi="仿宋" w:eastAsia="仿宋" w:cs="仿宋"/>
          <w:b/>
          <w:bCs/>
          <w:color w:val="000000"/>
          <w:sz w:val="28"/>
          <w:szCs w:val="28"/>
          <w:highlight w:val="none"/>
          <w:u w:val="single"/>
          <w:lang w:val="en-US" w:eastAsia="zh-CN"/>
        </w:rPr>
        <w:t>左右主扩声线阵列扬声器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2FE6E3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144.标的名称：</w:t>
      </w:r>
      <w:r>
        <w:rPr>
          <w:rFonts w:hint="eastAsia" w:ascii="仿宋" w:hAnsi="仿宋" w:eastAsia="仿宋" w:cs="仿宋"/>
          <w:b/>
          <w:bCs/>
          <w:color w:val="000000"/>
          <w:sz w:val="28"/>
          <w:szCs w:val="28"/>
          <w:highlight w:val="none"/>
          <w:u w:val="single"/>
          <w:lang w:val="en-US" w:eastAsia="zh-CN"/>
        </w:rPr>
        <w:t>低频扬声器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C1D27A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145.标的名称：</w:t>
      </w:r>
      <w:r>
        <w:rPr>
          <w:rFonts w:hint="eastAsia" w:ascii="仿宋" w:hAnsi="仿宋" w:eastAsia="仿宋" w:cs="仿宋"/>
          <w:b/>
          <w:bCs/>
          <w:color w:val="000000"/>
          <w:sz w:val="28"/>
          <w:szCs w:val="28"/>
          <w:highlight w:val="none"/>
          <w:u w:val="single"/>
          <w:lang w:val="en-US" w:eastAsia="zh-CN"/>
        </w:rPr>
        <w:t>流动返听扬声器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F79ED9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146.标的名称：</w:t>
      </w:r>
      <w:r>
        <w:rPr>
          <w:rFonts w:hint="eastAsia" w:ascii="仿宋" w:hAnsi="仿宋" w:eastAsia="仿宋" w:cs="仿宋"/>
          <w:b/>
          <w:bCs/>
          <w:color w:val="000000"/>
          <w:sz w:val="28"/>
          <w:szCs w:val="28"/>
          <w:highlight w:val="none"/>
          <w:u w:val="single"/>
          <w:lang w:val="en-US" w:eastAsia="zh-CN"/>
        </w:rPr>
        <w:t>同轴台唇扬声器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35CBA3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147.标的名称：</w:t>
      </w:r>
      <w:r>
        <w:rPr>
          <w:rFonts w:hint="eastAsia" w:ascii="仿宋" w:hAnsi="仿宋" w:eastAsia="仿宋" w:cs="仿宋"/>
          <w:b/>
          <w:bCs/>
          <w:color w:val="000000"/>
          <w:sz w:val="28"/>
          <w:szCs w:val="28"/>
          <w:highlight w:val="none"/>
          <w:u w:val="single"/>
          <w:lang w:val="en-US" w:eastAsia="zh-CN"/>
        </w:rPr>
        <w:t>左右主扩声线阵列扬声器功率放大器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20387F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148.标的名称：</w:t>
      </w:r>
      <w:r>
        <w:rPr>
          <w:rFonts w:hint="eastAsia" w:ascii="仿宋" w:hAnsi="仿宋" w:eastAsia="仿宋" w:cs="仿宋"/>
          <w:b/>
          <w:bCs/>
          <w:color w:val="000000"/>
          <w:sz w:val="28"/>
          <w:szCs w:val="28"/>
          <w:highlight w:val="none"/>
          <w:u w:val="single"/>
          <w:lang w:val="en-US" w:eastAsia="zh-CN"/>
        </w:rPr>
        <w:t>低频扬声器功率放大器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9FB409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149.标的名称：</w:t>
      </w:r>
      <w:r>
        <w:rPr>
          <w:rFonts w:hint="eastAsia" w:ascii="仿宋" w:hAnsi="仿宋" w:eastAsia="仿宋" w:cs="仿宋"/>
          <w:b/>
          <w:bCs/>
          <w:color w:val="000000"/>
          <w:sz w:val="28"/>
          <w:szCs w:val="28"/>
          <w:highlight w:val="none"/>
          <w:u w:val="single"/>
          <w:lang w:val="en-US" w:eastAsia="zh-CN"/>
        </w:rPr>
        <w:t>流动返听扬声器功率放大器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20A833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150.标的名称：</w:t>
      </w:r>
      <w:r>
        <w:rPr>
          <w:rFonts w:hint="eastAsia" w:ascii="仿宋" w:hAnsi="仿宋" w:eastAsia="仿宋" w:cs="仿宋"/>
          <w:b/>
          <w:bCs/>
          <w:color w:val="000000"/>
          <w:sz w:val="28"/>
          <w:szCs w:val="28"/>
          <w:highlight w:val="none"/>
          <w:u w:val="single"/>
          <w:lang w:val="en-US" w:eastAsia="zh-CN"/>
        </w:rPr>
        <w:t>同轴台唇扬声器功率放大器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C59769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151.标的名称：</w:t>
      </w:r>
      <w:r>
        <w:rPr>
          <w:rFonts w:hint="eastAsia" w:ascii="仿宋" w:hAnsi="仿宋" w:eastAsia="仿宋" w:cs="仿宋"/>
          <w:b/>
          <w:bCs/>
          <w:color w:val="000000"/>
          <w:sz w:val="28"/>
          <w:szCs w:val="28"/>
          <w:highlight w:val="none"/>
          <w:u w:val="single"/>
          <w:lang w:val="en-US" w:eastAsia="zh-CN"/>
        </w:rPr>
        <w:t>16路数字音频处理器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96F0BB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152.标的名称：</w:t>
      </w:r>
      <w:r>
        <w:rPr>
          <w:rFonts w:hint="eastAsia" w:ascii="仿宋" w:hAnsi="仿宋" w:eastAsia="仿宋" w:cs="仿宋"/>
          <w:b/>
          <w:bCs/>
          <w:color w:val="000000"/>
          <w:sz w:val="28"/>
          <w:szCs w:val="28"/>
          <w:highlight w:val="none"/>
          <w:u w:val="single"/>
          <w:lang w:val="en-US" w:eastAsia="zh-CN"/>
        </w:rPr>
        <w:t>16路数字调音台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B920A93">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153.标的名称：</w:t>
      </w:r>
      <w:r>
        <w:rPr>
          <w:rFonts w:hint="eastAsia" w:ascii="仿宋" w:hAnsi="仿宋" w:eastAsia="仿宋" w:cs="仿宋"/>
          <w:b/>
          <w:bCs/>
          <w:color w:val="000000"/>
          <w:sz w:val="28"/>
          <w:szCs w:val="28"/>
          <w:highlight w:val="none"/>
          <w:u w:val="single"/>
          <w:lang w:val="en-US" w:eastAsia="zh-CN"/>
        </w:rPr>
        <w:t>同轴有源监听音箱</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F65FA9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154.标的名称：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A241D5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155.标的名称：</w:t>
      </w:r>
      <w:r>
        <w:rPr>
          <w:rFonts w:hint="eastAsia" w:ascii="仿宋" w:hAnsi="仿宋" w:eastAsia="仿宋" w:cs="仿宋"/>
          <w:b/>
          <w:bCs/>
          <w:color w:val="000000"/>
          <w:sz w:val="28"/>
          <w:szCs w:val="28"/>
          <w:highlight w:val="none"/>
          <w:u w:val="single"/>
          <w:lang w:val="en-US" w:eastAsia="zh-CN"/>
        </w:rPr>
        <w:t>四通道真分集接收机(Dante)</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B8565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156.标的名称：</w:t>
      </w:r>
      <w:r>
        <w:rPr>
          <w:rFonts w:hint="eastAsia" w:ascii="仿宋" w:hAnsi="仿宋" w:eastAsia="仿宋" w:cs="仿宋"/>
          <w:b/>
          <w:bCs/>
          <w:color w:val="000000"/>
          <w:sz w:val="28"/>
          <w:szCs w:val="28"/>
          <w:highlight w:val="none"/>
          <w:u w:val="single"/>
          <w:lang w:val="en-US" w:eastAsia="zh-CN"/>
        </w:rPr>
        <w:t>无线会议话筒（方管）</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335A38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157.标的名称：</w:t>
      </w:r>
      <w:r>
        <w:rPr>
          <w:rFonts w:hint="eastAsia" w:ascii="仿宋" w:hAnsi="仿宋" w:eastAsia="仿宋" w:cs="仿宋"/>
          <w:b/>
          <w:bCs/>
          <w:color w:val="000000"/>
          <w:sz w:val="28"/>
          <w:szCs w:val="28"/>
          <w:highlight w:val="none"/>
          <w:u w:val="single"/>
          <w:lang w:val="en-US" w:eastAsia="zh-CN"/>
        </w:rPr>
        <w:t>无线手持话筒套装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0161E9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158.标的名称：</w:t>
      </w:r>
      <w:r>
        <w:rPr>
          <w:rFonts w:hint="eastAsia" w:ascii="仿宋" w:hAnsi="仿宋" w:eastAsia="仿宋" w:cs="仿宋"/>
          <w:b/>
          <w:bCs/>
          <w:color w:val="000000"/>
          <w:sz w:val="28"/>
          <w:szCs w:val="28"/>
          <w:highlight w:val="none"/>
          <w:u w:val="single"/>
          <w:lang w:val="en-US" w:eastAsia="zh-CN"/>
        </w:rPr>
        <w:t>无线头戴话筒套装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DA5A27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159.标的名称：</w:t>
      </w:r>
      <w:r>
        <w:rPr>
          <w:rFonts w:hint="eastAsia" w:ascii="仿宋" w:hAnsi="仿宋" w:eastAsia="仿宋" w:cs="仿宋"/>
          <w:b/>
          <w:bCs/>
          <w:color w:val="000000"/>
          <w:sz w:val="28"/>
          <w:szCs w:val="28"/>
          <w:highlight w:val="none"/>
          <w:u w:val="single"/>
          <w:lang w:val="en-US" w:eastAsia="zh-CN"/>
        </w:rPr>
        <w:t>天线分配器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AE09EE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160.标的名称：</w:t>
      </w:r>
      <w:r>
        <w:rPr>
          <w:rFonts w:hint="eastAsia" w:ascii="仿宋" w:hAnsi="仿宋" w:eastAsia="仿宋" w:cs="仿宋"/>
          <w:b/>
          <w:bCs/>
          <w:color w:val="000000"/>
          <w:sz w:val="28"/>
          <w:szCs w:val="28"/>
          <w:highlight w:val="none"/>
          <w:u w:val="single"/>
          <w:lang w:val="en-US" w:eastAsia="zh-CN"/>
        </w:rPr>
        <w:t>有源指向性天线</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B9BA18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161.标的名称：</w:t>
      </w:r>
      <w:r>
        <w:rPr>
          <w:rFonts w:hint="eastAsia" w:ascii="仿宋" w:hAnsi="仿宋" w:eastAsia="仿宋" w:cs="仿宋"/>
          <w:b/>
          <w:bCs/>
          <w:color w:val="000000"/>
          <w:sz w:val="28"/>
          <w:szCs w:val="28"/>
          <w:highlight w:val="none"/>
          <w:u w:val="single"/>
          <w:lang w:val="en-US" w:eastAsia="zh-CN"/>
        </w:rPr>
        <w:t>演讲台有线鹅颈会议话筒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5A0849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162.标的名称：</w:t>
      </w:r>
      <w:r>
        <w:rPr>
          <w:rFonts w:hint="eastAsia" w:ascii="仿宋" w:hAnsi="仿宋" w:eastAsia="仿宋" w:cs="仿宋"/>
          <w:b/>
          <w:bCs/>
          <w:color w:val="000000"/>
          <w:sz w:val="28"/>
          <w:szCs w:val="28"/>
          <w:highlight w:val="none"/>
          <w:u w:val="single"/>
          <w:lang w:val="en-US" w:eastAsia="zh-CN"/>
        </w:rPr>
        <w:t>矮推车式提词系统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131041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163.标的名称：</w:t>
      </w:r>
      <w:r>
        <w:rPr>
          <w:rFonts w:hint="eastAsia" w:ascii="仿宋" w:hAnsi="仿宋" w:eastAsia="仿宋" w:cs="仿宋"/>
          <w:b/>
          <w:bCs/>
          <w:color w:val="000000"/>
          <w:sz w:val="28"/>
          <w:szCs w:val="28"/>
          <w:highlight w:val="none"/>
          <w:u w:val="single"/>
          <w:lang w:val="en-US" w:eastAsia="zh-CN"/>
        </w:rPr>
        <w:t>隔离变压器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D96EB6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164.标的名称：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6A6E6A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165.标的名称：</w:t>
      </w:r>
      <w:r>
        <w:rPr>
          <w:rFonts w:hint="eastAsia" w:ascii="仿宋" w:hAnsi="仿宋" w:eastAsia="仿宋" w:cs="仿宋"/>
          <w:b/>
          <w:bCs/>
          <w:color w:val="000000"/>
          <w:sz w:val="28"/>
          <w:szCs w:val="28"/>
          <w:highlight w:val="none"/>
          <w:u w:val="single"/>
          <w:lang w:val="en-US" w:eastAsia="zh-CN"/>
        </w:rPr>
        <w:t>一道面光( LED远程聚光灯）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B48B5C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166.标的名称：</w:t>
      </w:r>
      <w:r>
        <w:rPr>
          <w:rFonts w:hint="eastAsia" w:ascii="仿宋" w:hAnsi="仿宋" w:eastAsia="仿宋" w:cs="仿宋"/>
          <w:b/>
          <w:bCs/>
          <w:color w:val="000000"/>
          <w:sz w:val="28"/>
          <w:szCs w:val="28"/>
          <w:highlight w:val="none"/>
          <w:u w:val="single"/>
          <w:lang w:val="en-US" w:eastAsia="zh-CN"/>
        </w:rPr>
        <w:t>一道顶光（LED染色灯）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A620A72">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167.标的名称：</w:t>
      </w:r>
      <w:r>
        <w:rPr>
          <w:rFonts w:hint="eastAsia" w:ascii="仿宋" w:hAnsi="仿宋" w:eastAsia="仿宋" w:cs="仿宋"/>
          <w:b/>
          <w:bCs/>
          <w:color w:val="000000"/>
          <w:sz w:val="28"/>
          <w:szCs w:val="28"/>
          <w:highlight w:val="none"/>
          <w:u w:val="single"/>
          <w:lang w:val="en-US" w:eastAsia="zh-CN"/>
        </w:rPr>
        <w:t>一道顶光（LED平板会议灯）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EF6414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168.标的名称：</w:t>
      </w:r>
      <w:r>
        <w:rPr>
          <w:rFonts w:hint="eastAsia" w:ascii="仿宋" w:hAnsi="仿宋" w:eastAsia="仿宋" w:cs="仿宋"/>
          <w:b/>
          <w:bCs/>
          <w:color w:val="000000"/>
          <w:sz w:val="28"/>
          <w:szCs w:val="28"/>
          <w:highlight w:val="none"/>
          <w:u w:val="single"/>
          <w:lang w:val="en-US" w:eastAsia="zh-CN"/>
        </w:rPr>
        <w:t>二道顶光（LED染色灯）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D42CE5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169.标的名称：</w:t>
      </w:r>
      <w:r>
        <w:rPr>
          <w:rFonts w:hint="eastAsia" w:ascii="仿宋" w:hAnsi="仿宋" w:eastAsia="仿宋" w:cs="仿宋"/>
          <w:b/>
          <w:bCs/>
          <w:color w:val="000000"/>
          <w:sz w:val="28"/>
          <w:szCs w:val="28"/>
          <w:highlight w:val="none"/>
          <w:u w:val="single"/>
          <w:lang w:val="en-US" w:eastAsia="zh-CN"/>
        </w:rPr>
        <w:t>二道顶光（LED平板会议灯）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CBDBFB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170.标的名称：</w:t>
      </w:r>
      <w:r>
        <w:rPr>
          <w:rFonts w:hint="eastAsia" w:ascii="仿宋" w:hAnsi="仿宋" w:eastAsia="仿宋" w:cs="仿宋"/>
          <w:b/>
          <w:bCs/>
          <w:color w:val="000000"/>
          <w:sz w:val="28"/>
          <w:szCs w:val="28"/>
          <w:highlight w:val="none"/>
          <w:u w:val="single"/>
          <w:lang w:val="en-US" w:eastAsia="zh-CN"/>
        </w:rPr>
        <w:t>二道顶光（光束摇头灯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CC8E6C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171.标的名称：</w:t>
      </w:r>
      <w:r>
        <w:rPr>
          <w:rFonts w:hint="eastAsia" w:ascii="仿宋" w:hAnsi="仿宋" w:eastAsia="仿宋" w:cs="仿宋"/>
          <w:b/>
          <w:bCs/>
          <w:color w:val="000000"/>
          <w:sz w:val="28"/>
          <w:szCs w:val="28"/>
          <w:highlight w:val="none"/>
          <w:u w:val="single"/>
          <w:lang w:val="en-US" w:eastAsia="zh-CN"/>
        </w:rPr>
        <w:t>一道逆光（LED染色灯）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D5BD23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172.标的名称：</w:t>
      </w:r>
      <w:r>
        <w:rPr>
          <w:rFonts w:hint="eastAsia" w:ascii="仿宋" w:hAnsi="仿宋" w:eastAsia="仿宋" w:cs="仿宋"/>
          <w:b/>
          <w:bCs/>
          <w:color w:val="000000"/>
          <w:sz w:val="28"/>
          <w:szCs w:val="28"/>
          <w:highlight w:val="none"/>
          <w:u w:val="single"/>
          <w:lang w:val="en-US" w:eastAsia="zh-CN"/>
        </w:rPr>
        <w:t>一道逆光（光束摇头灯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545FCC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173.标的名称：</w:t>
      </w:r>
      <w:r>
        <w:rPr>
          <w:rFonts w:hint="eastAsia" w:ascii="仿宋" w:hAnsi="仿宋" w:eastAsia="仿宋" w:cs="仿宋"/>
          <w:b/>
          <w:bCs/>
          <w:color w:val="000000"/>
          <w:sz w:val="28"/>
          <w:szCs w:val="28"/>
          <w:highlight w:val="none"/>
          <w:u w:val="single"/>
          <w:lang w:val="en-US" w:eastAsia="zh-CN"/>
        </w:rPr>
        <w:t>两道侧光（LED染色灯）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44995E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174.标的名称：</w:t>
      </w:r>
      <w:r>
        <w:rPr>
          <w:rFonts w:hint="eastAsia" w:ascii="仿宋" w:hAnsi="仿宋" w:eastAsia="仿宋" w:cs="仿宋"/>
          <w:b/>
          <w:bCs/>
          <w:color w:val="000000"/>
          <w:sz w:val="28"/>
          <w:szCs w:val="28"/>
          <w:highlight w:val="none"/>
          <w:u w:val="single"/>
          <w:lang w:val="en-US" w:eastAsia="zh-CN"/>
        </w:rPr>
        <w:t>两道侧光（光束摇头灯 ）</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F96514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175.标的名称：</w:t>
      </w:r>
      <w:r>
        <w:rPr>
          <w:rFonts w:hint="eastAsia" w:ascii="仿宋" w:hAnsi="仿宋" w:eastAsia="仿宋" w:cs="仿宋"/>
          <w:b/>
          <w:bCs/>
          <w:color w:val="000000"/>
          <w:sz w:val="28"/>
          <w:szCs w:val="28"/>
          <w:highlight w:val="none"/>
          <w:u w:val="single"/>
          <w:lang w:val="en-US" w:eastAsia="zh-CN"/>
        </w:rPr>
        <w:t>追光灯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A82021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176.标的名称：</w:t>
      </w:r>
      <w:r>
        <w:rPr>
          <w:rFonts w:hint="eastAsia" w:ascii="仿宋" w:hAnsi="仿宋" w:eastAsia="仿宋" w:cs="仿宋"/>
          <w:b/>
          <w:bCs/>
          <w:color w:val="000000"/>
          <w:sz w:val="28"/>
          <w:szCs w:val="28"/>
          <w:highlight w:val="none"/>
          <w:u w:val="single"/>
          <w:lang w:val="en-US" w:eastAsia="zh-CN"/>
        </w:rPr>
        <w:t>信号放大器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3569B0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177.标的名称：</w:t>
      </w:r>
      <w:r>
        <w:rPr>
          <w:rFonts w:hint="eastAsia" w:ascii="仿宋" w:hAnsi="仿宋" w:eastAsia="仿宋" w:cs="仿宋"/>
          <w:b/>
          <w:bCs/>
          <w:color w:val="000000"/>
          <w:sz w:val="28"/>
          <w:szCs w:val="28"/>
          <w:highlight w:val="none"/>
          <w:u w:val="single"/>
          <w:lang w:val="en-US" w:eastAsia="zh-CN"/>
        </w:rPr>
        <w:t>智能配电柜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79FB81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178.标的名称：</w:t>
      </w:r>
      <w:r>
        <w:rPr>
          <w:rFonts w:hint="eastAsia" w:ascii="仿宋" w:hAnsi="仿宋" w:eastAsia="仿宋" w:cs="仿宋"/>
          <w:b/>
          <w:bCs/>
          <w:color w:val="000000"/>
          <w:sz w:val="28"/>
          <w:szCs w:val="28"/>
          <w:highlight w:val="none"/>
          <w:u w:val="single"/>
          <w:lang w:val="en-US" w:eastAsia="zh-CN"/>
        </w:rPr>
        <w:t>电脑灯控台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01F532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179.标的名称：</w:t>
      </w:r>
      <w:r>
        <w:rPr>
          <w:rFonts w:hint="eastAsia" w:ascii="仿宋" w:hAnsi="仿宋" w:eastAsia="仿宋" w:cs="仿宋"/>
          <w:b/>
          <w:bCs/>
          <w:color w:val="000000"/>
          <w:sz w:val="28"/>
          <w:szCs w:val="28"/>
          <w:highlight w:val="none"/>
          <w:u w:val="single"/>
          <w:lang w:val="en-US" w:eastAsia="zh-CN"/>
        </w:rPr>
        <w:t>智能控制系统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1C2934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180.标的名称：</w:t>
      </w:r>
      <w:r>
        <w:rPr>
          <w:rFonts w:hint="eastAsia" w:ascii="仿宋" w:hAnsi="仿宋" w:eastAsia="仿宋" w:cs="仿宋"/>
          <w:b/>
          <w:bCs/>
          <w:color w:val="000000"/>
          <w:sz w:val="28"/>
          <w:szCs w:val="28"/>
          <w:highlight w:val="none"/>
          <w:u w:val="single"/>
          <w:lang w:val="en-US" w:eastAsia="zh-CN"/>
        </w:rPr>
        <w:t>薄雾烟机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F02F8B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181.标的名称：</w:t>
      </w:r>
      <w:r>
        <w:rPr>
          <w:rFonts w:hint="eastAsia" w:ascii="仿宋" w:hAnsi="仿宋" w:eastAsia="仿宋" w:cs="仿宋"/>
          <w:b/>
          <w:bCs/>
          <w:color w:val="000000"/>
          <w:sz w:val="28"/>
          <w:szCs w:val="28"/>
          <w:highlight w:val="none"/>
          <w:u w:val="single"/>
          <w:lang w:val="en-US" w:eastAsia="zh-CN"/>
        </w:rPr>
        <w:t>薄雾烟油</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B4527F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182.标的名称：</w:t>
      </w:r>
      <w:r>
        <w:rPr>
          <w:rFonts w:hint="eastAsia" w:ascii="仿宋" w:hAnsi="仿宋" w:eastAsia="仿宋" w:cs="仿宋"/>
          <w:b/>
          <w:bCs/>
          <w:color w:val="000000"/>
          <w:sz w:val="28"/>
          <w:szCs w:val="28"/>
          <w:highlight w:val="none"/>
          <w:u w:val="single"/>
          <w:lang w:val="en-US" w:eastAsia="zh-CN"/>
        </w:rPr>
        <w:t>标准机柜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AE1A9A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183.标的名称：</w:t>
      </w:r>
      <w:r>
        <w:rPr>
          <w:rFonts w:hint="eastAsia" w:ascii="仿宋" w:hAnsi="仿宋" w:eastAsia="仿宋" w:cs="仿宋"/>
          <w:b/>
          <w:bCs/>
          <w:color w:val="000000"/>
          <w:sz w:val="28"/>
          <w:szCs w:val="28"/>
          <w:highlight w:val="none"/>
          <w:u w:val="single"/>
          <w:lang w:val="en-US" w:eastAsia="zh-CN"/>
        </w:rPr>
        <w:t>舞台机械控制终端吊杆</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D7DBA36">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184.标的名称：</w:t>
      </w:r>
      <w:r>
        <w:rPr>
          <w:rFonts w:hint="eastAsia" w:ascii="仿宋" w:hAnsi="仿宋" w:eastAsia="仿宋" w:cs="仿宋"/>
          <w:b/>
          <w:bCs/>
          <w:color w:val="000000"/>
          <w:sz w:val="28"/>
          <w:szCs w:val="28"/>
          <w:highlight w:val="none"/>
          <w:u w:val="single"/>
          <w:lang w:val="en-US" w:eastAsia="zh-CN"/>
        </w:rPr>
        <w:t>舞台机械全沉浸式控制系统模块</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C6835F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185.标的名称：</w:t>
      </w:r>
      <w:r>
        <w:rPr>
          <w:rFonts w:hint="eastAsia" w:ascii="仿宋" w:hAnsi="仿宋" w:eastAsia="仿宋" w:cs="仿宋"/>
          <w:b/>
          <w:bCs/>
          <w:color w:val="000000"/>
          <w:sz w:val="28"/>
          <w:szCs w:val="28"/>
          <w:highlight w:val="none"/>
          <w:u w:val="single"/>
          <w:lang w:val="en-US" w:eastAsia="zh-CN"/>
        </w:rPr>
        <w:t>大灯钩</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50DBB6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186.标的名称：</w:t>
      </w:r>
      <w:r>
        <w:rPr>
          <w:rFonts w:hint="eastAsia" w:ascii="仿宋" w:hAnsi="仿宋" w:eastAsia="仿宋" w:cs="仿宋"/>
          <w:b/>
          <w:bCs/>
          <w:color w:val="000000"/>
          <w:sz w:val="28"/>
          <w:szCs w:val="28"/>
          <w:highlight w:val="none"/>
          <w:u w:val="single"/>
          <w:lang w:val="en-US" w:eastAsia="zh-CN"/>
        </w:rPr>
        <w:t>保险绳</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72C4CE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187.标的名称：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488D57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188.标的名称：</w:t>
      </w:r>
      <w:r>
        <w:rPr>
          <w:rFonts w:hint="eastAsia" w:ascii="仿宋" w:hAnsi="仿宋" w:eastAsia="仿宋" w:cs="仿宋"/>
          <w:b/>
          <w:bCs/>
          <w:color w:val="000000"/>
          <w:sz w:val="28"/>
          <w:szCs w:val="28"/>
          <w:highlight w:val="none"/>
          <w:u w:val="single"/>
          <w:lang w:val="en-US" w:eastAsia="zh-CN"/>
        </w:rPr>
        <w:t>可编程中央控制主机（加触控终端）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9A6D9C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189.标的名称：</w:t>
      </w:r>
      <w:r>
        <w:rPr>
          <w:rFonts w:hint="eastAsia" w:ascii="仿宋" w:hAnsi="仿宋" w:eastAsia="仿宋" w:cs="仿宋"/>
          <w:b/>
          <w:bCs/>
          <w:color w:val="000000"/>
          <w:sz w:val="28"/>
          <w:szCs w:val="28"/>
          <w:highlight w:val="none"/>
          <w:u w:val="single"/>
          <w:lang w:val="en-US" w:eastAsia="zh-CN"/>
        </w:rPr>
        <w:t>无线接收器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EC1181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190.标的名称：</w:t>
      </w:r>
      <w:r>
        <w:rPr>
          <w:rFonts w:hint="eastAsia" w:ascii="仿宋" w:hAnsi="仿宋" w:eastAsia="仿宋" w:cs="仿宋"/>
          <w:b/>
          <w:bCs/>
          <w:color w:val="000000"/>
          <w:sz w:val="28"/>
          <w:szCs w:val="28"/>
          <w:highlight w:val="none"/>
          <w:u w:val="single"/>
          <w:lang w:val="en-US" w:eastAsia="zh-CN"/>
        </w:rPr>
        <w:t>红外发射棒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835F83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191.标的名称：</w:t>
      </w:r>
      <w:r>
        <w:rPr>
          <w:rFonts w:hint="eastAsia" w:ascii="仿宋" w:hAnsi="仿宋" w:eastAsia="仿宋" w:cs="仿宋"/>
          <w:b/>
          <w:bCs/>
          <w:color w:val="000000"/>
          <w:sz w:val="28"/>
          <w:szCs w:val="28"/>
          <w:highlight w:val="none"/>
          <w:u w:val="single"/>
          <w:lang w:val="en-US" w:eastAsia="zh-CN"/>
        </w:rPr>
        <w:t>协同中控控制子系统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7221A7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192.标的名称：</w:t>
      </w:r>
      <w:r>
        <w:rPr>
          <w:rFonts w:hint="eastAsia" w:ascii="仿宋" w:hAnsi="仿宋" w:eastAsia="仿宋" w:cs="仿宋"/>
          <w:b/>
          <w:bCs/>
          <w:color w:val="000000"/>
          <w:sz w:val="28"/>
          <w:szCs w:val="28"/>
          <w:highlight w:val="none"/>
          <w:u w:val="single"/>
          <w:lang w:val="en-US" w:eastAsia="zh-CN"/>
        </w:rPr>
        <w:t>系统软件单元</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ACE2FC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193.标的名称：</w:t>
      </w:r>
      <w:r>
        <w:rPr>
          <w:rFonts w:hint="eastAsia" w:ascii="仿宋" w:hAnsi="仿宋" w:eastAsia="仿宋" w:cs="仿宋"/>
          <w:b/>
          <w:bCs/>
          <w:color w:val="000000"/>
          <w:sz w:val="28"/>
          <w:szCs w:val="28"/>
          <w:highlight w:val="none"/>
          <w:u w:val="single"/>
          <w:lang w:val="en-US" w:eastAsia="zh-CN"/>
        </w:rPr>
        <w:t>电源控制器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2D56FEC">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194.标的名称：</w:t>
      </w:r>
      <w:r>
        <w:rPr>
          <w:rFonts w:hint="eastAsia" w:ascii="仿宋" w:hAnsi="仿宋" w:eastAsia="仿宋" w:cs="仿宋"/>
          <w:b/>
          <w:bCs/>
          <w:color w:val="000000"/>
          <w:sz w:val="28"/>
          <w:szCs w:val="28"/>
          <w:highlight w:val="none"/>
          <w:u w:val="single"/>
          <w:lang w:val="en-US" w:eastAsia="zh-CN"/>
        </w:rPr>
        <w:t>手自一体PLC电源控制箱40KW</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1CC21F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195.标的名称：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506F1B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196.标的名称：</w:t>
      </w:r>
      <w:r>
        <w:rPr>
          <w:rFonts w:hint="eastAsia" w:ascii="仿宋" w:hAnsi="仿宋" w:eastAsia="仿宋" w:cs="仿宋"/>
          <w:b/>
          <w:bCs/>
          <w:color w:val="000000"/>
          <w:sz w:val="28"/>
          <w:szCs w:val="28"/>
          <w:highlight w:val="none"/>
          <w:u w:val="single"/>
          <w:lang w:val="en-US" w:eastAsia="zh-CN"/>
        </w:rPr>
        <w:t>4K会议录播一体机（带显示终端）</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013989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197.标的名称：</w:t>
      </w:r>
      <w:r>
        <w:rPr>
          <w:rFonts w:hint="eastAsia" w:ascii="仿宋" w:hAnsi="仿宋" w:eastAsia="仿宋" w:cs="仿宋"/>
          <w:b/>
          <w:bCs/>
          <w:color w:val="000000"/>
          <w:sz w:val="28"/>
          <w:szCs w:val="28"/>
          <w:highlight w:val="none"/>
          <w:u w:val="single"/>
          <w:lang w:val="en-US" w:eastAsia="zh-CN"/>
        </w:rPr>
        <w:t>录播系统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4CB42A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198.标的名称：</w:t>
      </w:r>
      <w:r>
        <w:rPr>
          <w:rFonts w:hint="eastAsia" w:ascii="仿宋" w:hAnsi="仿宋" w:eastAsia="仿宋" w:cs="仿宋"/>
          <w:b/>
          <w:bCs/>
          <w:color w:val="000000"/>
          <w:sz w:val="28"/>
          <w:szCs w:val="28"/>
          <w:highlight w:val="none"/>
          <w:u w:val="single"/>
          <w:lang w:val="en-US" w:eastAsia="zh-CN"/>
        </w:rPr>
        <w:t>导播控制系统</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84631C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199.标的名称：</w:t>
      </w:r>
      <w:r>
        <w:rPr>
          <w:rFonts w:hint="eastAsia" w:ascii="仿宋" w:hAnsi="仿宋" w:eastAsia="仿宋" w:cs="仿宋"/>
          <w:b/>
          <w:bCs/>
          <w:color w:val="000000"/>
          <w:sz w:val="28"/>
          <w:szCs w:val="28"/>
          <w:highlight w:val="none"/>
          <w:u w:val="single"/>
          <w:lang w:val="en-US" w:eastAsia="zh-CN"/>
        </w:rPr>
        <w:t>键鼠套装</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72C81F7">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200.标的名称：</w:t>
      </w:r>
      <w:r>
        <w:rPr>
          <w:rFonts w:hint="eastAsia" w:ascii="仿宋" w:hAnsi="仿宋" w:eastAsia="仿宋" w:cs="仿宋"/>
          <w:b/>
          <w:bCs/>
          <w:color w:val="000000"/>
          <w:sz w:val="28"/>
          <w:szCs w:val="28"/>
          <w:highlight w:val="none"/>
          <w:u w:val="single"/>
          <w:lang w:val="en-US" w:eastAsia="zh-CN"/>
        </w:rPr>
        <w:t>实际大数据处理决策中控平台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1CBDD1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201.标的名称：</w:t>
      </w:r>
      <w:r>
        <w:rPr>
          <w:rFonts w:hint="eastAsia" w:ascii="仿宋" w:hAnsi="仿宋" w:eastAsia="仿宋" w:cs="仿宋"/>
          <w:b/>
          <w:bCs/>
          <w:color w:val="000000"/>
          <w:sz w:val="28"/>
          <w:szCs w:val="28"/>
          <w:highlight w:val="none"/>
          <w:u w:val="single"/>
          <w:lang w:val="en-US" w:eastAsia="zh-CN"/>
        </w:rPr>
        <w:t>HDMI发送器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43C145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202.标的名称：</w:t>
      </w:r>
      <w:r>
        <w:rPr>
          <w:rFonts w:hint="eastAsia" w:ascii="仿宋" w:hAnsi="仿宋" w:eastAsia="仿宋" w:cs="仿宋"/>
          <w:b/>
          <w:bCs/>
          <w:color w:val="000000"/>
          <w:sz w:val="28"/>
          <w:szCs w:val="28"/>
          <w:highlight w:val="none"/>
          <w:u w:val="single"/>
          <w:lang w:val="en-US" w:eastAsia="zh-CN"/>
        </w:rPr>
        <w:t>HDMI接收器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0BF2A5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203.标的名称：</w:t>
      </w:r>
      <w:r>
        <w:rPr>
          <w:rFonts w:hint="eastAsia" w:ascii="仿宋" w:hAnsi="仿宋" w:eastAsia="仿宋" w:cs="仿宋"/>
          <w:b/>
          <w:bCs/>
          <w:color w:val="000000"/>
          <w:sz w:val="28"/>
          <w:szCs w:val="28"/>
          <w:highlight w:val="none"/>
          <w:u w:val="single"/>
          <w:lang w:val="en-US" w:eastAsia="zh-CN"/>
        </w:rPr>
        <w:t>4K带云台高清室内摄像机</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1D6438D">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204.标的名称：</w:t>
      </w:r>
      <w:r>
        <w:rPr>
          <w:rFonts w:hint="eastAsia" w:ascii="仿宋" w:hAnsi="仿宋" w:eastAsia="仿宋" w:cs="仿宋"/>
          <w:b/>
          <w:bCs/>
          <w:color w:val="000000"/>
          <w:sz w:val="28"/>
          <w:szCs w:val="28"/>
          <w:highlight w:val="none"/>
          <w:u w:val="single"/>
          <w:lang w:val="en-US" w:eastAsia="zh-CN"/>
        </w:rPr>
        <w:t>摄像头固定支架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0CC943F9">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205.标的名称：</w:t>
      </w:r>
      <w:r>
        <w:rPr>
          <w:rFonts w:hint="eastAsia" w:ascii="仿宋" w:hAnsi="仿宋" w:eastAsia="仿宋" w:cs="仿宋"/>
          <w:b/>
          <w:bCs/>
          <w:color w:val="000000"/>
          <w:sz w:val="28"/>
          <w:szCs w:val="28"/>
          <w:highlight w:val="none"/>
          <w:u w:val="single"/>
          <w:lang w:val="en-US" w:eastAsia="zh-CN"/>
        </w:rPr>
        <w:t>摄像头移动支架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952893A">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206.标的名称：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8A2917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207.标的名称：</w:t>
      </w:r>
      <w:r>
        <w:rPr>
          <w:rFonts w:hint="eastAsia" w:ascii="仿宋" w:hAnsi="仿宋" w:eastAsia="仿宋" w:cs="仿宋"/>
          <w:b/>
          <w:bCs/>
          <w:color w:val="000000"/>
          <w:sz w:val="28"/>
          <w:szCs w:val="28"/>
          <w:highlight w:val="none"/>
          <w:u w:val="single"/>
          <w:lang w:val="en-US" w:eastAsia="zh-CN"/>
        </w:rPr>
        <w:t>定制操作台</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3DD0C1E">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208.标的名称：</w:t>
      </w:r>
      <w:r>
        <w:rPr>
          <w:rFonts w:hint="eastAsia" w:ascii="仿宋" w:hAnsi="仿宋" w:eastAsia="仿宋" w:cs="仿宋"/>
          <w:b/>
          <w:bCs/>
          <w:color w:val="000000"/>
          <w:sz w:val="28"/>
          <w:szCs w:val="28"/>
          <w:highlight w:val="none"/>
          <w:u w:val="single"/>
          <w:lang w:val="en-US" w:eastAsia="zh-CN"/>
        </w:rPr>
        <w:t>控制室播控</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4215E1EB">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209.标的名称：</w:t>
      </w:r>
      <w:r>
        <w:rPr>
          <w:rFonts w:hint="eastAsia" w:ascii="仿宋" w:hAnsi="仿宋" w:eastAsia="仿宋" w:cs="仿宋"/>
          <w:b/>
          <w:bCs/>
          <w:color w:val="000000"/>
          <w:sz w:val="28"/>
          <w:szCs w:val="28"/>
          <w:highlight w:val="none"/>
          <w:u w:val="single"/>
          <w:lang w:val="en-US" w:eastAsia="zh-CN"/>
        </w:rPr>
        <w:t>立式话筒支架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3BF2291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210.标的名称：</w:t>
      </w:r>
      <w:r>
        <w:rPr>
          <w:rFonts w:hint="eastAsia" w:ascii="仿宋" w:hAnsi="仿宋" w:eastAsia="仿宋" w:cs="仿宋"/>
          <w:b/>
          <w:bCs/>
          <w:color w:val="000000"/>
          <w:sz w:val="28"/>
          <w:szCs w:val="28"/>
          <w:highlight w:val="none"/>
          <w:u w:val="single"/>
          <w:lang w:val="en-US" w:eastAsia="zh-CN"/>
        </w:rPr>
        <w:t>返听防滑剧院接口盒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7BC9B554">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211.标的名称：</w:t>
      </w:r>
      <w:r>
        <w:rPr>
          <w:rFonts w:hint="eastAsia" w:ascii="仿宋" w:hAnsi="仿宋" w:eastAsia="仿宋" w:cs="仿宋"/>
          <w:b/>
          <w:bCs/>
          <w:color w:val="000000"/>
          <w:sz w:val="28"/>
          <w:szCs w:val="28"/>
          <w:highlight w:val="none"/>
          <w:u w:val="single"/>
          <w:lang w:val="en-US" w:eastAsia="zh-CN"/>
        </w:rPr>
        <w:t>地面防滑剧院信息盒</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23797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212.标的名称：</w:t>
      </w:r>
      <w:r>
        <w:rPr>
          <w:rFonts w:hint="eastAsia" w:ascii="仿宋" w:hAnsi="仿宋" w:eastAsia="仿宋" w:cs="仿宋"/>
          <w:b/>
          <w:bCs/>
          <w:color w:val="000000"/>
          <w:sz w:val="28"/>
          <w:szCs w:val="28"/>
          <w:highlight w:val="none"/>
          <w:u w:val="single"/>
          <w:lang w:val="en-US" w:eastAsia="zh-CN"/>
        </w:rPr>
        <w:t>线阵列扬声器吊挂支架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F2D8F35">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213.标的名称：</w:t>
      </w:r>
      <w:r>
        <w:rPr>
          <w:rFonts w:hint="eastAsia" w:ascii="仿宋" w:hAnsi="仿宋" w:eastAsia="仿宋" w:cs="仿宋"/>
          <w:b/>
          <w:bCs/>
          <w:color w:val="000000"/>
          <w:sz w:val="28"/>
          <w:szCs w:val="28"/>
          <w:highlight w:val="none"/>
          <w:u w:val="single"/>
          <w:lang w:val="en-US" w:eastAsia="zh-CN"/>
        </w:rPr>
        <w:t>电动葫芦</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1744358">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214.标的名称：</w:t>
      </w:r>
      <w:r>
        <w:rPr>
          <w:rFonts w:hint="eastAsia" w:ascii="仿宋" w:hAnsi="仿宋" w:eastAsia="仿宋" w:cs="仿宋"/>
          <w:b/>
          <w:bCs/>
          <w:color w:val="000000"/>
          <w:sz w:val="28"/>
          <w:szCs w:val="28"/>
          <w:highlight w:val="none"/>
          <w:u w:val="single"/>
          <w:lang w:val="en-US" w:eastAsia="zh-CN"/>
        </w:rPr>
        <w:t>标准机柜</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6A67C18F">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215.标的名称：</w:t>
      </w:r>
      <w:r>
        <w:rPr>
          <w:rFonts w:hint="eastAsia" w:ascii="仿宋" w:hAnsi="仿宋" w:eastAsia="仿宋" w:cs="仿宋"/>
          <w:b/>
          <w:bCs/>
          <w:i w:val="0"/>
          <w:iCs w:val="0"/>
          <w:color w:val="000000"/>
          <w:sz w:val="28"/>
          <w:szCs w:val="28"/>
          <w:highlight w:val="none"/>
          <w:u w:val="single"/>
          <w:lang w:val="en-US" w:eastAsia="zh-CN" w:bidi="ar"/>
        </w:rPr>
        <w:t>无线投屏器</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1F0297F1">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216.标的名称：</w:t>
      </w:r>
      <w:r>
        <w:rPr>
          <w:rFonts w:hint="eastAsia" w:ascii="仿宋" w:hAnsi="仿宋" w:eastAsia="仿宋" w:cs="仿宋"/>
          <w:b/>
          <w:bCs/>
          <w:color w:val="000000"/>
          <w:sz w:val="28"/>
          <w:szCs w:val="28"/>
          <w:highlight w:val="none"/>
          <w:u w:val="single"/>
          <w:lang w:val="en-US" w:eastAsia="zh-CN"/>
        </w:rPr>
        <w:t>电动会标</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58193F80">
      <w:pPr>
        <w:pStyle w:val="112"/>
        <w:keepNext w:val="0"/>
        <w:keepLines w:val="0"/>
        <w:pageBreakBefore w:val="0"/>
        <w:widowControl w:val="0"/>
        <w:numPr>
          <w:ilvl w:val="0"/>
          <w:numId w:val="0"/>
        </w:numPr>
        <w:spacing w:line="440" w:lineRule="exact"/>
        <w:ind w:firstLine="560"/>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217.标的名称：</w:t>
      </w:r>
      <w:r>
        <w:rPr>
          <w:rFonts w:hint="eastAsia" w:ascii="仿宋" w:hAnsi="仿宋" w:eastAsia="仿宋" w:cs="仿宋"/>
          <w:b/>
          <w:bCs/>
          <w:color w:val="000000"/>
          <w:sz w:val="28"/>
          <w:szCs w:val="28"/>
          <w:highlight w:val="none"/>
          <w:u w:val="single"/>
          <w:lang w:val="en-US" w:eastAsia="zh-CN"/>
        </w:rPr>
        <w:t>线材及接插件</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highlight w:val="none"/>
        </w:rPr>
        <w:t>属于（</w:t>
      </w:r>
      <w:r>
        <w:rPr>
          <w:rFonts w:hint="eastAsia" w:ascii="仿宋" w:hAnsi="仿宋" w:eastAsia="仿宋" w:cs="仿宋"/>
          <w:color w:val="000000"/>
          <w:sz w:val="28"/>
          <w:szCs w:val="28"/>
          <w:highlight w:val="none"/>
          <w:u w:val="single"/>
          <w:lang w:eastAsia="zh-CN"/>
        </w:rPr>
        <w:t>工业</w:t>
      </w:r>
      <w:r>
        <w:rPr>
          <w:rFonts w:hint="eastAsia" w:ascii="仿宋" w:hAnsi="仿宋" w:eastAsia="仿宋" w:cs="仿宋"/>
          <w:color w:val="000000"/>
          <w:sz w:val="28"/>
          <w:szCs w:val="28"/>
          <w:highlight w:val="none"/>
        </w:rPr>
        <w:t>）行业；制造商为（企业名称），从业人员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人， 营业收入为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万元，资产总额为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万元，</w:t>
      </w:r>
      <w:r>
        <w:rPr>
          <w:rFonts w:hint="eastAsia" w:ascii="仿宋" w:hAnsi="仿宋" w:eastAsia="仿宋" w:cs="仿宋"/>
          <w:b/>
          <w:bCs/>
          <w:color w:val="000000"/>
          <w:sz w:val="28"/>
          <w:szCs w:val="28"/>
          <w:highlight w:val="none"/>
        </w:rPr>
        <w:t>属于（□中型企业、□小型企业、□微型企业</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请勾选！</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eastAsia="zh-CN"/>
        </w:rPr>
        <w:t>。</w:t>
      </w:r>
    </w:p>
    <w:p w14:paraId="253C6A2A">
      <w:pPr>
        <w:pStyle w:val="100"/>
        <w:rPr>
          <w:rFonts w:hint="eastAsia" w:ascii="仿宋" w:hAnsi="仿宋" w:eastAsia="仿宋" w:cs="仿宋"/>
          <w:color w:val="000000"/>
          <w:highlight w:val="none"/>
          <w:lang w:val="en-US" w:eastAsia="zh-CN"/>
        </w:rPr>
      </w:pPr>
    </w:p>
    <w:p w14:paraId="72E65787">
      <w:pPr>
        <w:pStyle w:val="112"/>
        <w:keepNext w:val="0"/>
        <w:keepLines w:val="0"/>
        <w:pageBreakBefore w:val="0"/>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以上企业，不属于大企业的分支机构，不存在控股股东为大企业的情形，也不存在与大企业的负责人为同一人的情形。</w:t>
      </w:r>
    </w:p>
    <w:p w14:paraId="7AB2C5AF">
      <w:pPr>
        <w:pStyle w:val="112"/>
        <w:keepNext w:val="0"/>
        <w:keepLines w:val="0"/>
        <w:pageBreakBefore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本企业对上述声明内容的真实性负责。如有虚假，将依法承担相应责任。</w:t>
      </w:r>
    </w:p>
    <w:p w14:paraId="6DA4A186">
      <w:pPr>
        <w:pStyle w:val="112"/>
        <w:keepNext w:val="0"/>
        <w:keepLines w:val="0"/>
        <w:pageBreakBefore w:val="0"/>
        <w:widowControl/>
        <w:spacing w:line="400" w:lineRule="exact"/>
        <w:ind w:right="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7F7F9E2D">
      <w:pPr>
        <w:spacing w:line="460" w:lineRule="exact"/>
        <w:ind w:firstLine="6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企业名称（供应商名称）（盖章）：</w:t>
      </w:r>
    </w:p>
    <w:p w14:paraId="74DC1EAA">
      <w:pPr>
        <w:spacing w:line="460" w:lineRule="exact"/>
        <w:ind w:firstLine="6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日    期：</w:t>
      </w:r>
    </w:p>
    <w:p w14:paraId="2D902701">
      <w:pPr>
        <w:spacing w:line="46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rPr>
        <w:t>注：本项目采购的货物属于</w:t>
      </w:r>
      <w:r>
        <w:rPr>
          <w:rFonts w:hint="eastAsia" w:ascii="仿宋" w:hAnsi="仿宋" w:eastAsia="仿宋" w:cs="仿宋"/>
          <w:color w:val="000000"/>
          <w:sz w:val="30"/>
          <w:szCs w:val="30"/>
          <w:u w:val="single"/>
        </w:rPr>
        <w:t>工业</w:t>
      </w:r>
      <w:r>
        <w:rPr>
          <w:rFonts w:hint="eastAsia" w:ascii="仿宋" w:hAnsi="仿宋" w:eastAsia="仿宋" w:cs="仿宋"/>
          <w:color w:val="000000"/>
          <w:sz w:val="30"/>
          <w:szCs w:val="30"/>
        </w:rPr>
        <w:t>。</w:t>
      </w:r>
    </w:p>
    <w:p w14:paraId="1484D4B4">
      <w:pPr>
        <w:pStyle w:val="110"/>
        <w:ind w:firstLine="602"/>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说明：</w:t>
      </w:r>
    </w:p>
    <w:p w14:paraId="46673CC3">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b/>
          <w:bCs/>
          <w:color w:val="000000"/>
          <w:sz w:val="30"/>
          <w:szCs w:val="30"/>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02E3ADD9">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b/>
          <w:bCs/>
          <w:color w:val="000000"/>
          <w:sz w:val="30"/>
          <w:szCs w:val="30"/>
        </w:rPr>
        <w:t>2.从业人员、营业收入、资产总额填报供应商上一年度数据，无上一年度数据的新成立企业可不填报。</w:t>
      </w:r>
    </w:p>
    <w:p w14:paraId="1745DC0F">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b/>
          <w:bCs/>
          <w:color w:val="000000"/>
          <w:sz w:val="30"/>
          <w:szCs w:val="30"/>
        </w:rPr>
        <w:t>3.成交供应商为小型、微型企业的，采购人或者其委托的采购代理机构有权随中标、成交结果同时公告其《中小企业声明函》，接受社会监督。</w:t>
      </w:r>
    </w:p>
    <w:p w14:paraId="75BFC90A">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b/>
          <w:bCs/>
          <w:color w:val="000000"/>
          <w:sz w:val="30"/>
          <w:szCs w:val="30"/>
        </w:rPr>
        <w:t>4.执行江苏省财政厅关于进一步加大政府采购支持中小企业力度的通知（苏财购〔2022〕45号）的规定。</w:t>
      </w:r>
    </w:p>
    <w:p w14:paraId="3C46CF40">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b/>
          <w:bCs/>
          <w:color w:val="000000"/>
          <w:sz w:val="30"/>
          <w:szCs w:val="30"/>
        </w:rPr>
        <w:t>5.供应商提供的《中小企业声明函》与事实不符的，依照《政府采购法》第七十七条第一款的规定追究法律责任。</w:t>
      </w:r>
    </w:p>
    <w:p w14:paraId="4A27A4B6">
      <w:pPr>
        <w:spacing w:line="480" w:lineRule="exact"/>
        <w:ind w:firstLine="602"/>
        <w:rPr>
          <w:rFonts w:hint="eastAsia" w:ascii="仿宋" w:hAnsi="仿宋" w:eastAsia="仿宋" w:cs="仿宋"/>
          <w:b/>
          <w:bCs/>
          <w:color w:val="000000"/>
          <w:sz w:val="30"/>
          <w:szCs w:val="30"/>
        </w:rPr>
      </w:pPr>
      <w:r>
        <w:rPr>
          <w:rFonts w:hint="eastAsia" w:ascii="仿宋" w:hAnsi="仿宋" w:eastAsia="仿宋" w:cs="仿宋"/>
          <w:color w:val="000000"/>
        </w:rPr>
        <w:drawing>
          <wp:anchor distT="0" distB="0" distL="114300" distR="114300" simplePos="0" relativeHeight="251659264" behindDoc="0" locked="0" layoutInCell="1" allowOverlap="1">
            <wp:simplePos x="0" y="0"/>
            <wp:positionH relativeFrom="column">
              <wp:posOffset>266700</wp:posOffset>
            </wp:positionH>
            <wp:positionV relativeFrom="paragraph">
              <wp:posOffset>712470</wp:posOffset>
            </wp:positionV>
            <wp:extent cx="2331085" cy="4370070"/>
            <wp:effectExtent l="0" t="0" r="0" b="0"/>
            <wp:wrapTopAndBottom/>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rcRect t="4498"/>
                    <a:stretch>
                      <a:fillRect/>
                    </a:stretch>
                  </pic:blipFill>
                  <pic:spPr>
                    <a:xfrm>
                      <a:off x="0" y="0"/>
                      <a:ext cx="2331085" cy="4370070"/>
                    </a:xfrm>
                    <a:prstGeom prst="rect">
                      <a:avLst/>
                    </a:prstGeom>
                    <a:noFill/>
                    <a:ln>
                      <a:noFill/>
                    </a:ln>
                  </pic:spPr>
                </pic:pic>
              </a:graphicData>
            </a:graphic>
          </wp:anchor>
        </w:drawing>
      </w:r>
      <w:r>
        <w:rPr>
          <w:rFonts w:hint="eastAsia" w:ascii="仿宋" w:hAnsi="仿宋" w:eastAsia="仿宋" w:cs="仿宋"/>
          <w:b/>
          <w:bCs/>
          <w:color w:val="000000"/>
          <w:sz w:val="30"/>
          <w:szCs w:val="30"/>
        </w:rPr>
        <w:t>6.《中小企业声明函》查询渠道用微信搜索“中小企业规模类型自测小程序”。</w:t>
      </w:r>
    </w:p>
    <w:p w14:paraId="0EC30DB4">
      <w:pPr>
        <w:spacing w:line="480" w:lineRule="exact"/>
        <w:ind w:firstLine="600"/>
        <w:rPr>
          <w:rFonts w:hint="eastAsia" w:ascii="仿宋" w:hAnsi="仿宋" w:eastAsia="仿宋" w:cs="仿宋"/>
          <w:color w:val="000000"/>
          <w:sz w:val="30"/>
          <w:szCs w:val="30"/>
        </w:rPr>
      </w:pPr>
    </w:p>
    <w:p w14:paraId="5D981972">
      <w:pPr>
        <w:spacing w:line="480" w:lineRule="exact"/>
        <w:ind w:firstLine="600"/>
        <w:rPr>
          <w:rFonts w:hint="eastAsia" w:ascii="仿宋" w:hAnsi="仿宋" w:eastAsia="仿宋" w:cs="仿宋"/>
          <w:color w:val="000000"/>
          <w:sz w:val="30"/>
          <w:szCs w:val="30"/>
        </w:rPr>
      </w:pPr>
    </w:p>
    <w:p w14:paraId="5FF46E32">
      <w:pPr>
        <w:spacing w:line="480" w:lineRule="exact"/>
        <w:rPr>
          <w:rFonts w:hint="eastAsia" w:ascii="仿宋" w:hAnsi="仿宋" w:eastAsia="仿宋" w:cs="仿宋"/>
          <w:b/>
          <w:color w:val="000000"/>
          <w:spacing w:val="6"/>
          <w:sz w:val="30"/>
          <w:szCs w:val="30"/>
        </w:rPr>
      </w:pPr>
      <w:r>
        <w:rPr>
          <w:rFonts w:hint="eastAsia" w:ascii="仿宋" w:hAnsi="仿宋" w:eastAsia="仿宋" w:cs="仿宋"/>
          <w:color w:val="000000"/>
          <w:sz w:val="30"/>
          <w:szCs w:val="30"/>
        </w:rPr>
        <w:br w:type="page" w:clear="all"/>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七、残疾人福利性单位声明函格式</w:t>
      </w:r>
    </w:p>
    <w:p w14:paraId="1E21204D">
      <w:pPr>
        <w:spacing w:line="480" w:lineRule="exact"/>
        <w:ind w:firstLine="624"/>
        <w:rPr>
          <w:rFonts w:hint="eastAsia" w:ascii="仿宋" w:hAnsi="仿宋" w:eastAsia="仿宋" w:cs="仿宋"/>
          <w:color w:val="000000"/>
          <w:spacing w:val="6"/>
          <w:sz w:val="30"/>
          <w:szCs w:val="30"/>
        </w:rPr>
      </w:pPr>
    </w:p>
    <w:p w14:paraId="7DB44DF8">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项目名称：</w:t>
      </w:r>
      <w:r>
        <w:rPr>
          <w:rFonts w:hint="eastAsia" w:ascii="仿宋" w:hAnsi="仿宋" w:eastAsia="仿宋" w:cs="仿宋"/>
          <w:color w:val="000000"/>
          <w:spacing w:val="6"/>
          <w:sz w:val="30"/>
          <w:szCs w:val="30"/>
          <w:lang w:eastAsia="zh-CN"/>
        </w:rPr>
        <w:t>徐州生物工程职业技术学院大学生活动中心舞美设备采购与安装</w:t>
      </w:r>
      <w:r>
        <w:rPr>
          <w:rFonts w:hint="eastAsia" w:ascii="仿宋" w:hAnsi="仿宋" w:eastAsia="仿宋" w:cs="仿宋"/>
          <w:color w:val="000000"/>
          <w:spacing w:val="6"/>
          <w:sz w:val="30"/>
          <w:szCs w:val="30"/>
        </w:rPr>
        <w:t xml:space="preserve"> </w:t>
      </w:r>
    </w:p>
    <w:p w14:paraId="31A34582">
      <w:pPr>
        <w:spacing w:line="480" w:lineRule="exact"/>
        <w:ind w:firstLine="624"/>
        <w:rPr>
          <w:rFonts w:hint="eastAsia" w:ascii="仿宋" w:hAnsi="仿宋" w:eastAsia="仿宋" w:cs="仿宋"/>
          <w:color w:val="000000"/>
          <w:spacing w:val="6"/>
          <w:sz w:val="30"/>
          <w:szCs w:val="30"/>
          <w:lang w:eastAsia="zh-CN"/>
        </w:rPr>
      </w:pPr>
      <w:r>
        <w:rPr>
          <w:rFonts w:hint="eastAsia" w:ascii="仿宋" w:hAnsi="仿宋" w:eastAsia="仿宋" w:cs="仿宋"/>
          <w:color w:val="000000"/>
          <w:spacing w:val="6"/>
          <w:sz w:val="30"/>
          <w:szCs w:val="30"/>
        </w:rPr>
        <w:t>项目编号：</w:t>
      </w:r>
      <w:r>
        <w:rPr>
          <w:rFonts w:hint="eastAsia" w:ascii="仿宋" w:hAnsi="仿宋" w:eastAsia="仿宋" w:cs="仿宋"/>
          <w:color w:val="000000"/>
          <w:spacing w:val="6"/>
          <w:sz w:val="30"/>
          <w:szCs w:val="30"/>
          <w:lang w:eastAsia="zh-CN"/>
        </w:rPr>
        <w:t>JSZC-320300-ZJZB-G2026-0042</w:t>
      </w:r>
    </w:p>
    <w:p w14:paraId="3D7A79E0">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本单位郑重声明，根据《财政部 民政部 中国残疾人联合会关于促进残疾人就业政府采购政策的通知》（财库</w:t>
      </w:r>
      <w:r>
        <w:rPr>
          <w:rFonts w:hint="eastAsia" w:ascii="仿宋" w:hAnsi="仿宋" w:eastAsia="仿宋" w:cs="仿宋"/>
          <w:color w:val="000000"/>
          <w:sz w:val="30"/>
          <w:szCs w:val="30"/>
        </w:rPr>
        <w:t>〔2017〕 141</w:t>
      </w:r>
      <w:r>
        <w:rPr>
          <w:rFonts w:hint="eastAsia" w:ascii="仿宋" w:hAnsi="仿宋" w:eastAsia="仿宋" w:cs="仿宋"/>
          <w:color w:val="000000"/>
          <w:spacing w:val="6"/>
          <w:sz w:val="30"/>
          <w:szCs w:val="30"/>
        </w:rPr>
        <w:t>号）的规定，本单位为符合条件的残疾人福利性单位，且本单位参加</w:t>
      </w:r>
      <w:r>
        <w:rPr>
          <w:rFonts w:hint="eastAsia" w:ascii="仿宋" w:hAnsi="仿宋" w:eastAsia="仿宋" w:cs="仿宋"/>
          <w:color w:val="000000"/>
          <w:sz w:val="30"/>
          <w:szCs w:val="30"/>
        </w:rPr>
        <w:t>______</w:t>
      </w:r>
      <w:r>
        <w:rPr>
          <w:rFonts w:hint="eastAsia" w:ascii="仿宋" w:hAnsi="仿宋" w:eastAsia="仿宋" w:cs="仿宋"/>
          <w:color w:val="000000"/>
          <w:spacing w:val="6"/>
          <w:sz w:val="30"/>
          <w:szCs w:val="30"/>
        </w:rPr>
        <w:t>单位的</w:t>
      </w:r>
      <w:r>
        <w:rPr>
          <w:rFonts w:hint="eastAsia" w:ascii="仿宋" w:hAnsi="仿宋" w:eastAsia="仿宋" w:cs="仿宋"/>
          <w:color w:val="000000"/>
          <w:sz w:val="30"/>
          <w:szCs w:val="30"/>
        </w:rPr>
        <w:t>______</w:t>
      </w:r>
      <w:r>
        <w:rPr>
          <w:rFonts w:hint="eastAsia" w:ascii="仿宋" w:hAnsi="仿宋" w:eastAsia="仿宋" w:cs="仿宋"/>
          <w:color w:val="000000"/>
          <w:spacing w:val="6"/>
          <w:sz w:val="30"/>
          <w:szCs w:val="30"/>
        </w:rPr>
        <w:t>项目采购活动提供本单位制造的货物（由本单位承担工程/提供服务），或者提供其他残疾人福利性单位制造的货物（不包括使用非残疾人福利性单位注册商标的货物）。</w:t>
      </w:r>
    </w:p>
    <w:p w14:paraId="54CB84D7">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本单位对上述声明的真实性负责。如有虚假，将依法承担相应责任。</w:t>
      </w:r>
    </w:p>
    <w:p w14:paraId="45B214EC">
      <w:pPr>
        <w:spacing w:line="480" w:lineRule="exact"/>
        <w:ind w:firstLine="624"/>
        <w:rPr>
          <w:rFonts w:hint="eastAsia" w:ascii="仿宋" w:hAnsi="仿宋" w:eastAsia="仿宋" w:cs="仿宋"/>
          <w:color w:val="000000"/>
          <w:spacing w:val="6"/>
          <w:sz w:val="30"/>
          <w:szCs w:val="30"/>
        </w:rPr>
      </w:pPr>
    </w:p>
    <w:p w14:paraId="4804E9DC">
      <w:pPr>
        <w:spacing w:line="480" w:lineRule="exact"/>
        <w:ind w:firstLine="624"/>
        <w:rPr>
          <w:rFonts w:hint="eastAsia" w:ascii="仿宋" w:hAnsi="仿宋" w:eastAsia="仿宋" w:cs="仿宋"/>
          <w:color w:val="000000"/>
          <w:spacing w:val="6"/>
          <w:sz w:val="30"/>
          <w:szCs w:val="30"/>
        </w:rPr>
      </w:pPr>
    </w:p>
    <w:p w14:paraId="3CBC6938">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20870900">
      <w:pPr>
        <w:spacing w:line="480" w:lineRule="exact"/>
        <w:ind w:firstLine="2700"/>
        <w:rPr>
          <w:rFonts w:hint="eastAsia" w:ascii="仿宋" w:hAnsi="仿宋" w:eastAsia="仿宋" w:cs="仿宋"/>
          <w:color w:val="000000"/>
          <w:sz w:val="24"/>
        </w:rPr>
      </w:pPr>
      <w:r>
        <w:rPr>
          <w:rFonts w:hint="eastAsia" w:ascii="仿宋" w:hAnsi="仿宋" w:eastAsia="仿宋" w:cs="仿宋"/>
          <w:color w:val="000000"/>
          <w:sz w:val="30"/>
          <w:szCs w:val="30"/>
        </w:rPr>
        <w:t>日期：   年  月  日</w:t>
      </w:r>
    </w:p>
    <w:p w14:paraId="7A626B7E">
      <w:pPr>
        <w:spacing w:line="480" w:lineRule="exact"/>
        <w:ind w:firstLine="624"/>
        <w:rPr>
          <w:rFonts w:hint="eastAsia" w:ascii="仿宋" w:hAnsi="仿宋" w:eastAsia="仿宋" w:cs="仿宋"/>
          <w:color w:val="000000"/>
          <w:spacing w:val="6"/>
          <w:sz w:val="30"/>
          <w:szCs w:val="30"/>
        </w:rPr>
      </w:pPr>
    </w:p>
    <w:p w14:paraId="09C8A9BD">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说明：</w:t>
      </w:r>
    </w:p>
    <w:p w14:paraId="5C2627FE">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中标、成交供应商为残疾人福利性单位的，采购人或者其委托的采购代理机构应当随中标、成交结果同时公告其《残疾人福利性单位声明函》，接受社会监督。</w:t>
      </w:r>
    </w:p>
    <w:p w14:paraId="69223347">
      <w:pPr>
        <w:spacing w:line="480" w:lineRule="exact"/>
        <w:ind w:firstLine="624"/>
        <w:rPr>
          <w:rFonts w:hint="eastAsia" w:ascii="仿宋" w:hAnsi="仿宋" w:eastAsia="仿宋" w:cs="仿宋"/>
          <w:color w:val="000000"/>
          <w:sz w:val="30"/>
          <w:szCs w:val="30"/>
        </w:rPr>
      </w:pPr>
      <w:r>
        <w:rPr>
          <w:rFonts w:hint="eastAsia" w:ascii="仿宋" w:hAnsi="仿宋" w:eastAsia="仿宋" w:cs="仿宋"/>
          <w:color w:val="000000"/>
          <w:spacing w:val="6"/>
          <w:sz w:val="30"/>
          <w:szCs w:val="30"/>
        </w:rPr>
        <w:t>供应商提供的《残疾人福利性单位声明函》与事实不符的，依照《政府采购法》第七十七条第一款的规定追究法律责任。</w:t>
      </w:r>
    </w:p>
    <w:p w14:paraId="024CD95B">
      <w:pPr>
        <w:spacing w:line="480" w:lineRule="exact"/>
        <w:ind w:firstLine="600"/>
        <w:rPr>
          <w:rFonts w:hint="eastAsia" w:ascii="仿宋" w:hAnsi="仿宋" w:eastAsia="仿宋" w:cs="仿宋"/>
          <w:color w:val="000000"/>
          <w:sz w:val="30"/>
          <w:szCs w:val="30"/>
        </w:rPr>
      </w:pPr>
    </w:p>
    <w:p w14:paraId="110C054B">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br w:type="page" w:clear="all"/>
      </w:r>
      <w:r>
        <w:rPr>
          <w:rFonts w:hint="eastAsia" w:ascii="仿宋" w:hAnsi="仿宋" w:eastAsia="仿宋" w:cs="仿宋"/>
          <w:color w:val="000000"/>
          <w:sz w:val="30"/>
          <w:szCs w:val="30"/>
        </w:rPr>
        <w:t>八、投标人参加政府采购活动前3年内在经营活动中没有重大违法记录的书面声明格式</w:t>
      </w:r>
    </w:p>
    <w:p w14:paraId="0708D15A">
      <w:pPr>
        <w:spacing w:line="480" w:lineRule="exact"/>
        <w:ind w:firstLine="600"/>
        <w:rPr>
          <w:rFonts w:hint="eastAsia" w:ascii="仿宋" w:hAnsi="仿宋" w:eastAsia="仿宋" w:cs="仿宋"/>
          <w:color w:val="000000"/>
          <w:sz w:val="30"/>
          <w:szCs w:val="30"/>
        </w:rPr>
      </w:pPr>
    </w:p>
    <w:p w14:paraId="75A679C2">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我单位在参加</w:t>
      </w:r>
      <w:r>
        <w:rPr>
          <w:rFonts w:hint="eastAsia" w:ascii="仿宋" w:hAnsi="仿宋" w:eastAsia="仿宋" w:cs="仿宋"/>
          <w:color w:val="000000"/>
          <w:sz w:val="30"/>
          <w:szCs w:val="30"/>
          <w:lang w:eastAsia="zh-CN"/>
        </w:rPr>
        <w:t>徐州生物工程职业技术学院大学生活动中心舞美设备采购与安装</w:t>
      </w:r>
      <w:r>
        <w:rPr>
          <w:rFonts w:hint="eastAsia" w:ascii="仿宋" w:hAnsi="仿宋" w:eastAsia="仿宋" w:cs="仿宋"/>
          <w:color w:val="000000"/>
          <w:sz w:val="30"/>
          <w:szCs w:val="30"/>
        </w:rPr>
        <w:t>项目（项目编号：</w:t>
      </w:r>
      <w:r>
        <w:rPr>
          <w:rFonts w:hint="eastAsia" w:ascii="仿宋" w:hAnsi="仿宋" w:eastAsia="仿宋" w:cs="仿宋"/>
          <w:color w:val="000000"/>
          <w:sz w:val="30"/>
          <w:szCs w:val="30"/>
          <w:lang w:eastAsia="zh-CN"/>
        </w:rPr>
        <w:t>JSZC-320300-ZJZB-G2026-0042</w:t>
      </w:r>
      <w:r>
        <w:rPr>
          <w:rFonts w:hint="eastAsia" w:ascii="仿宋" w:hAnsi="仿宋" w:eastAsia="仿宋" w:cs="仿宋"/>
          <w:color w:val="000000"/>
          <w:sz w:val="30"/>
          <w:szCs w:val="30"/>
        </w:rPr>
        <w:t>）政府采购活动前3年内，在经营活动中没有重大违法记录。重大违法记录是指因违法经营受到刑事处罚或者责令停产停业、吊销许可证或者执照、较大数额罚款等行政处罚。</w:t>
      </w:r>
    </w:p>
    <w:p w14:paraId="203EF3DF">
      <w:pPr>
        <w:pStyle w:val="271"/>
        <w:spacing w:before="0" w:beforeAutospacing="0" w:after="0" w:afterAutospacing="0"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我单位对上述声明的真实性负责。如有虚假，将依法承担相应责任。</w:t>
      </w:r>
    </w:p>
    <w:p w14:paraId="77567285">
      <w:pPr>
        <w:spacing w:line="480" w:lineRule="exact"/>
        <w:rPr>
          <w:rFonts w:hint="eastAsia" w:ascii="仿宋" w:hAnsi="仿宋" w:eastAsia="仿宋" w:cs="仿宋"/>
          <w:color w:val="000000"/>
          <w:sz w:val="30"/>
          <w:szCs w:val="30"/>
        </w:rPr>
      </w:pPr>
    </w:p>
    <w:p w14:paraId="209E658F">
      <w:pPr>
        <w:spacing w:line="480" w:lineRule="exact"/>
        <w:rPr>
          <w:rFonts w:hint="eastAsia" w:ascii="仿宋" w:hAnsi="仿宋" w:eastAsia="仿宋" w:cs="仿宋"/>
          <w:color w:val="000000"/>
          <w:sz w:val="30"/>
          <w:szCs w:val="30"/>
        </w:rPr>
      </w:pPr>
    </w:p>
    <w:p w14:paraId="76FE52D8">
      <w:pPr>
        <w:spacing w:line="480" w:lineRule="exact"/>
        <w:ind w:firstLine="2700"/>
        <w:rPr>
          <w:rFonts w:hint="eastAsia"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（盖</w:t>
      </w:r>
      <w:r>
        <w:rPr>
          <w:rFonts w:hint="eastAsia" w:ascii="仿宋" w:hAnsi="仿宋" w:eastAsia="仿宋" w:cs="仿宋"/>
          <w:color w:val="000000"/>
          <w:sz w:val="30"/>
          <w:szCs w:val="30"/>
          <w:lang w:eastAsia="zh-CN"/>
        </w:rPr>
        <w:t>电子签</w:t>
      </w:r>
      <w:r>
        <w:rPr>
          <w:rFonts w:hint="eastAsia" w:ascii="仿宋" w:hAnsi="仿宋" w:eastAsia="仿宋" w:cs="仿宋"/>
          <w:color w:val="000000"/>
          <w:sz w:val="30"/>
          <w:szCs w:val="30"/>
        </w:rPr>
        <w:t>章）</w:t>
      </w:r>
    </w:p>
    <w:p w14:paraId="7E206EE9">
      <w:pPr>
        <w:spacing w:line="480" w:lineRule="exact"/>
        <w:ind w:firstLine="2700"/>
        <w:rPr>
          <w:rFonts w:hint="eastAsia" w:ascii="仿宋" w:hAnsi="仿宋" w:eastAsia="仿宋" w:cs="仿宋"/>
          <w:color w:val="000000"/>
          <w:sz w:val="30"/>
          <w:szCs w:val="30"/>
        </w:rPr>
      </w:pPr>
    </w:p>
    <w:p w14:paraId="19FC1A5A">
      <w:pPr>
        <w:spacing w:line="480" w:lineRule="exact"/>
        <w:ind w:firstLine="2700"/>
        <w:rPr>
          <w:rFonts w:hint="eastAsia" w:ascii="仿宋" w:hAnsi="仿宋" w:eastAsia="仿宋" w:cs="仿宋"/>
          <w:color w:val="000000"/>
          <w:sz w:val="24"/>
        </w:rPr>
      </w:pPr>
      <w:r>
        <w:rPr>
          <w:rFonts w:hint="eastAsia" w:ascii="仿宋" w:hAnsi="仿宋" w:eastAsia="仿宋" w:cs="仿宋"/>
          <w:color w:val="000000"/>
          <w:sz w:val="30"/>
          <w:szCs w:val="30"/>
        </w:rPr>
        <w:t>日期：   年  月  日</w:t>
      </w:r>
    </w:p>
    <w:p w14:paraId="1FA4AC3E">
      <w:pPr>
        <w:pStyle w:val="253"/>
        <w:rPr>
          <w:rFonts w:hint="eastAsia" w:ascii="仿宋" w:hAnsi="仿宋" w:eastAsia="仿宋" w:cs="仿宋"/>
          <w:color w:val="000000"/>
        </w:rPr>
      </w:pPr>
    </w:p>
    <w:p w14:paraId="78CC6686">
      <w:pPr>
        <w:pStyle w:val="254"/>
        <w:rPr>
          <w:rFonts w:hint="eastAsia" w:ascii="仿宋" w:hAnsi="仿宋" w:eastAsia="仿宋" w:cs="仿宋"/>
          <w:color w:val="000000"/>
        </w:rPr>
      </w:pPr>
    </w:p>
    <w:p w14:paraId="00CC08B0">
      <w:pPr>
        <w:rPr>
          <w:rFonts w:hint="eastAsia" w:ascii="仿宋" w:hAnsi="仿宋" w:eastAsia="仿宋" w:cs="仿宋"/>
          <w:color w:val="000000"/>
        </w:rPr>
      </w:pPr>
    </w:p>
    <w:p w14:paraId="403E1840">
      <w:pPr>
        <w:pStyle w:val="253"/>
        <w:rPr>
          <w:rFonts w:hint="eastAsia" w:ascii="仿宋" w:hAnsi="仿宋" w:eastAsia="仿宋" w:cs="仿宋"/>
          <w:color w:val="000000"/>
        </w:rPr>
      </w:pPr>
    </w:p>
    <w:p w14:paraId="5CB7D959">
      <w:pPr>
        <w:pStyle w:val="254"/>
        <w:rPr>
          <w:rFonts w:hint="eastAsia" w:ascii="仿宋" w:hAnsi="仿宋" w:eastAsia="仿宋" w:cs="仿宋"/>
          <w:color w:val="000000"/>
        </w:rPr>
      </w:pPr>
    </w:p>
    <w:p w14:paraId="58454748">
      <w:pPr>
        <w:rPr>
          <w:rFonts w:hint="eastAsia" w:ascii="仿宋" w:hAnsi="仿宋" w:eastAsia="仿宋" w:cs="仿宋"/>
          <w:color w:val="000000"/>
        </w:rPr>
      </w:pPr>
    </w:p>
    <w:p w14:paraId="5DDA6898">
      <w:pPr>
        <w:pStyle w:val="253"/>
        <w:rPr>
          <w:rFonts w:hint="eastAsia" w:ascii="仿宋" w:hAnsi="仿宋" w:eastAsia="仿宋" w:cs="仿宋"/>
          <w:color w:val="000000"/>
        </w:rPr>
      </w:pPr>
    </w:p>
    <w:p w14:paraId="227E759F">
      <w:pPr>
        <w:pStyle w:val="254"/>
        <w:rPr>
          <w:rFonts w:hint="eastAsia" w:ascii="仿宋" w:hAnsi="仿宋" w:eastAsia="仿宋" w:cs="仿宋"/>
          <w:color w:val="000000"/>
        </w:rPr>
      </w:pPr>
    </w:p>
    <w:p w14:paraId="7F92366F">
      <w:pPr>
        <w:rPr>
          <w:rFonts w:hint="eastAsia" w:ascii="仿宋" w:hAnsi="仿宋" w:eastAsia="仿宋" w:cs="仿宋"/>
          <w:color w:val="000000"/>
        </w:rPr>
      </w:pPr>
    </w:p>
    <w:p w14:paraId="41C1D8D1">
      <w:pPr>
        <w:pStyle w:val="253"/>
        <w:rPr>
          <w:rFonts w:hint="eastAsia" w:ascii="仿宋" w:hAnsi="仿宋" w:eastAsia="仿宋" w:cs="仿宋"/>
          <w:color w:val="000000"/>
        </w:rPr>
      </w:pPr>
    </w:p>
    <w:p w14:paraId="4C21D3B0">
      <w:pPr>
        <w:pStyle w:val="254"/>
        <w:rPr>
          <w:rFonts w:hint="eastAsia" w:ascii="仿宋" w:hAnsi="仿宋" w:eastAsia="仿宋" w:cs="仿宋"/>
          <w:color w:val="000000"/>
        </w:rPr>
      </w:pPr>
    </w:p>
    <w:p w14:paraId="29191639">
      <w:pPr>
        <w:rPr>
          <w:rFonts w:hint="eastAsia" w:ascii="仿宋" w:hAnsi="仿宋" w:eastAsia="仿宋" w:cs="仿宋"/>
          <w:color w:val="000000"/>
        </w:rPr>
      </w:pPr>
    </w:p>
    <w:p w14:paraId="355CBBA7">
      <w:pPr>
        <w:pStyle w:val="253"/>
        <w:rPr>
          <w:rFonts w:hint="eastAsia" w:ascii="仿宋" w:hAnsi="仿宋" w:eastAsia="仿宋" w:cs="仿宋"/>
          <w:color w:val="000000"/>
        </w:rPr>
      </w:pPr>
    </w:p>
    <w:p w14:paraId="214087C3">
      <w:pPr>
        <w:pStyle w:val="254"/>
        <w:rPr>
          <w:rFonts w:hint="eastAsia" w:ascii="仿宋" w:hAnsi="仿宋" w:eastAsia="仿宋" w:cs="仿宋"/>
          <w:color w:val="000000"/>
        </w:rPr>
      </w:pPr>
    </w:p>
    <w:p w14:paraId="57FD7E36">
      <w:pPr>
        <w:rPr>
          <w:rFonts w:hint="eastAsia" w:ascii="仿宋" w:hAnsi="仿宋" w:eastAsia="仿宋" w:cs="仿宋"/>
          <w:color w:val="000000"/>
        </w:rPr>
      </w:pPr>
    </w:p>
    <w:p w14:paraId="70E3EE0D">
      <w:pPr>
        <w:pStyle w:val="253"/>
        <w:rPr>
          <w:rFonts w:hint="eastAsia" w:ascii="仿宋" w:hAnsi="仿宋" w:eastAsia="仿宋" w:cs="仿宋"/>
          <w:color w:val="000000"/>
        </w:rPr>
      </w:pPr>
    </w:p>
    <w:p w14:paraId="11232ADA">
      <w:pPr>
        <w:pStyle w:val="254"/>
        <w:rPr>
          <w:rFonts w:hint="eastAsia" w:ascii="仿宋" w:hAnsi="仿宋" w:eastAsia="仿宋" w:cs="仿宋"/>
          <w:color w:val="000000"/>
        </w:rPr>
      </w:pPr>
    </w:p>
    <w:p w14:paraId="2C807692">
      <w:pPr>
        <w:rPr>
          <w:rFonts w:hint="eastAsia" w:ascii="仿宋" w:hAnsi="仿宋" w:eastAsia="仿宋" w:cs="仿宋"/>
          <w:color w:val="000000"/>
        </w:rPr>
      </w:pPr>
    </w:p>
    <w:p w14:paraId="09E3509A">
      <w:pPr>
        <w:pStyle w:val="253"/>
        <w:rPr>
          <w:rFonts w:hint="eastAsia" w:ascii="仿宋" w:hAnsi="仿宋" w:eastAsia="仿宋" w:cs="仿宋"/>
          <w:color w:val="000000"/>
        </w:rPr>
      </w:pPr>
    </w:p>
    <w:p w14:paraId="08008C1A">
      <w:pPr>
        <w:pStyle w:val="254"/>
        <w:rPr>
          <w:rFonts w:hint="eastAsia" w:ascii="仿宋" w:hAnsi="仿宋" w:eastAsia="仿宋" w:cs="仿宋"/>
          <w:color w:val="000000"/>
        </w:rPr>
      </w:pPr>
    </w:p>
    <w:p w14:paraId="66A4A0BF">
      <w:pPr>
        <w:rPr>
          <w:rFonts w:hint="eastAsia" w:ascii="仿宋" w:hAnsi="仿宋" w:eastAsia="仿宋" w:cs="仿宋"/>
          <w:color w:val="000000"/>
        </w:rPr>
      </w:pPr>
    </w:p>
    <w:p w14:paraId="46165EB4">
      <w:pPr>
        <w:rPr>
          <w:rFonts w:hint="eastAsia" w:ascii="仿宋" w:hAnsi="仿宋" w:eastAsia="仿宋" w:cs="仿宋"/>
          <w:color w:val="000000"/>
        </w:rPr>
      </w:pPr>
    </w:p>
    <w:p w14:paraId="072EF79B">
      <w:pPr>
        <w:spacing w:line="480" w:lineRule="exact"/>
        <w:ind w:firstLine="562"/>
        <w:rPr>
          <w:rFonts w:hint="eastAsia" w:ascii="仿宋" w:hAnsi="仿宋" w:eastAsia="仿宋" w:cs="仿宋"/>
          <w:b/>
          <w:color w:val="000000"/>
          <w:sz w:val="28"/>
          <w:szCs w:val="28"/>
        </w:rPr>
      </w:pPr>
    </w:p>
    <w:p w14:paraId="5823FC19">
      <w:pPr>
        <w:spacing w:line="480" w:lineRule="exact"/>
        <w:ind w:firstLine="562"/>
        <w:rPr>
          <w:rFonts w:hint="eastAsia" w:ascii="仿宋" w:hAnsi="仿宋" w:eastAsia="仿宋" w:cs="仿宋"/>
          <w:b/>
          <w:color w:val="000000"/>
          <w:sz w:val="28"/>
          <w:szCs w:val="28"/>
        </w:rPr>
      </w:pPr>
    </w:p>
    <w:p w14:paraId="357D9812">
      <w:pPr>
        <w:spacing w:line="480" w:lineRule="exact"/>
        <w:ind w:firstLine="562"/>
        <w:rPr>
          <w:rFonts w:hint="eastAsia" w:ascii="仿宋" w:hAnsi="仿宋" w:eastAsia="仿宋" w:cs="仿宋"/>
          <w:b/>
          <w:color w:val="000000"/>
          <w:sz w:val="28"/>
          <w:szCs w:val="28"/>
        </w:rPr>
      </w:pPr>
    </w:p>
    <w:p w14:paraId="5976E892">
      <w:pPr>
        <w:spacing w:line="480" w:lineRule="exact"/>
        <w:ind w:firstLine="562"/>
        <w:rPr>
          <w:rFonts w:hint="eastAsia" w:ascii="仿宋" w:hAnsi="仿宋" w:eastAsia="仿宋" w:cs="仿宋"/>
          <w:color w:val="000000"/>
          <w:sz w:val="30"/>
          <w:szCs w:val="30"/>
        </w:rPr>
      </w:pPr>
    </w:p>
    <w:p w14:paraId="6FBEB82C">
      <w:pPr>
        <w:spacing w:line="480" w:lineRule="exact"/>
        <w:ind w:firstLine="600"/>
        <w:rPr>
          <w:rFonts w:hint="eastAsia" w:ascii="仿宋" w:hAnsi="仿宋" w:eastAsia="仿宋" w:cs="仿宋"/>
          <w:bCs/>
          <w:color w:val="000000"/>
          <w:sz w:val="30"/>
          <w:szCs w:val="30"/>
        </w:rPr>
      </w:pPr>
      <w:r>
        <w:rPr>
          <w:rFonts w:hint="eastAsia" w:ascii="仿宋" w:hAnsi="仿宋" w:eastAsia="仿宋" w:cs="仿宋"/>
          <w:color w:val="000000"/>
          <w:sz w:val="30"/>
          <w:szCs w:val="30"/>
        </w:rPr>
        <w:t>九、投标人相关承诺</w:t>
      </w:r>
    </w:p>
    <w:p w14:paraId="7106EE70">
      <w:pPr>
        <w:spacing w:line="480" w:lineRule="exact"/>
        <w:ind w:firstLine="624"/>
        <w:rPr>
          <w:rFonts w:hint="eastAsia" w:ascii="仿宋" w:hAnsi="仿宋" w:eastAsia="仿宋" w:cs="仿宋"/>
          <w:color w:val="000000"/>
          <w:spacing w:val="6"/>
          <w:sz w:val="30"/>
          <w:szCs w:val="30"/>
        </w:rPr>
      </w:pPr>
    </w:p>
    <w:p w14:paraId="5839EE2A">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项目名称：</w:t>
      </w:r>
      <w:r>
        <w:rPr>
          <w:rFonts w:hint="eastAsia" w:ascii="仿宋" w:hAnsi="仿宋" w:eastAsia="仿宋" w:cs="仿宋"/>
          <w:color w:val="000000"/>
          <w:spacing w:val="6"/>
          <w:sz w:val="30"/>
          <w:szCs w:val="30"/>
          <w:lang w:eastAsia="zh-CN"/>
        </w:rPr>
        <w:t>徐州生物工程职业技术学院大学生活动中心舞美设备采购与安装</w:t>
      </w:r>
      <w:r>
        <w:rPr>
          <w:rFonts w:hint="eastAsia" w:ascii="仿宋" w:hAnsi="仿宋" w:eastAsia="仿宋" w:cs="仿宋"/>
          <w:color w:val="000000"/>
          <w:spacing w:val="6"/>
          <w:sz w:val="30"/>
          <w:szCs w:val="30"/>
        </w:rPr>
        <w:t xml:space="preserve"> </w:t>
      </w:r>
    </w:p>
    <w:p w14:paraId="6A3CB767">
      <w:pPr>
        <w:spacing w:line="480" w:lineRule="exact"/>
        <w:ind w:firstLine="624"/>
        <w:rPr>
          <w:rFonts w:hint="eastAsia" w:ascii="仿宋" w:hAnsi="仿宋" w:eastAsia="仿宋" w:cs="仿宋"/>
          <w:color w:val="000000"/>
          <w:spacing w:val="6"/>
          <w:sz w:val="30"/>
          <w:szCs w:val="30"/>
          <w:lang w:eastAsia="zh-CN"/>
        </w:rPr>
      </w:pPr>
      <w:r>
        <w:rPr>
          <w:rFonts w:hint="eastAsia" w:ascii="仿宋" w:hAnsi="仿宋" w:eastAsia="仿宋" w:cs="仿宋"/>
          <w:color w:val="000000"/>
          <w:spacing w:val="6"/>
          <w:sz w:val="30"/>
          <w:szCs w:val="30"/>
        </w:rPr>
        <w:t>项目编号：</w:t>
      </w:r>
      <w:r>
        <w:rPr>
          <w:rFonts w:hint="eastAsia" w:ascii="仿宋" w:hAnsi="仿宋" w:eastAsia="仿宋" w:cs="仿宋"/>
          <w:color w:val="000000"/>
          <w:spacing w:val="6"/>
          <w:sz w:val="30"/>
          <w:szCs w:val="30"/>
          <w:lang w:eastAsia="zh-CN"/>
        </w:rPr>
        <w:t>JSZC-320300-ZJZB-G2026-0042</w:t>
      </w:r>
    </w:p>
    <w:p w14:paraId="59726CE2">
      <w:pPr>
        <w:pStyle w:val="112"/>
        <w:spacing w:line="588" w:lineRule="exact"/>
        <w:ind w:firstLine="584"/>
        <w:rPr>
          <w:rFonts w:hint="eastAsia" w:ascii="仿宋" w:hAnsi="仿宋" w:eastAsia="仿宋" w:cs="仿宋"/>
          <w:color w:val="000000"/>
          <w:spacing w:val="6"/>
          <w:sz w:val="30"/>
          <w:szCs w:val="30"/>
        </w:rPr>
      </w:pPr>
    </w:p>
    <w:p w14:paraId="7BBB268A">
      <w:pPr>
        <w:pStyle w:val="112"/>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我单位承诺：</w:t>
      </w:r>
    </w:p>
    <w:p w14:paraId="2C2310B5">
      <w:pPr>
        <w:pStyle w:val="112"/>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如有参与同一合同项下政府采购活动的投标人与我单位存在负责人为同一人的情况或者存在直接控股、管理关系，我单位不再参加该同一合同项下的政府采购活动。</w:t>
      </w:r>
    </w:p>
    <w:p w14:paraId="5CEE1814">
      <w:pPr>
        <w:pStyle w:val="112"/>
        <w:ind w:firstLine="624"/>
        <w:rPr>
          <w:rFonts w:hint="eastAsia" w:ascii="仿宋" w:hAnsi="仿宋" w:eastAsia="仿宋" w:cs="仿宋"/>
          <w:color w:val="000000"/>
          <w:spacing w:val="6"/>
          <w:sz w:val="30"/>
          <w:szCs w:val="30"/>
        </w:rPr>
      </w:pPr>
    </w:p>
    <w:p w14:paraId="655CD033">
      <w:pPr>
        <w:pStyle w:val="112"/>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我单位对上述承诺负责，并依法承担相应责任。</w:t>
      </w:r>
    </w:p>
    <w:p w14:paraId="0E9E8C13">
      <w:pPr>
        <w:pStyle w:val="103"/>
        <w:ind w:left="0" w:firstLine="0"/>
        <w:rPr>
          <w:rFonts w:hint="eastAsia" w:ascii="仿宋" w:hAnsi="仿宋" w:eastAsia="仿宋" w:cs="仿宋"/>
          <w:color w:val="000000"/>
          <w:sz w:val="30"/>
          <w:szCs w:val="30"/>
        </w:rPr>
      </w:pPr>
    </w:p>
    <w:p w14:paraId="5F3322F0">
      <w:pPr>
        <w:pStyle w:val="103"/>
        <w:rPr>
          <w:rFonts w:hint="eastAsia" w:ascii="仿宋" w:hAnsi="仿宋" w:eastAsia="仿宋" w:cs="仿宋"/>
          <w:color w:val="000000"/>
          <w:spacing w:val="6"/>
          <w:sz w:val="30"/>
          <w:szCs w:val="30"/>
        </w:rPr>
      </w:pPr>
    </w:p>
    <w:p w14:paraId="07CFCACE">
      <w:pPr>
        <w:pStyle w:val="112"/>
        <w:spacing w:line="300" w:lineRule="auto"/>
        <w:ind w:firstLine="3120"/>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 xml:space="preserve">投标人（电子签章）： </w:t>
      </w:r>
    </w:p>
    <w:p w14:paraId="12EB31C2">
      <w:pPr>
        <w:pStyle w:val="112"/>
        <w:spacing w:line="360" w:lineRule="auto"/>
        <w:ind w:firstLine="3120"/>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日期：   年  月  日</w:t>
      </w:r>
    </w:p>
    <w:p w14:paraId="2CEEFCED">
      <w:pPr>
        <w:pStyle w:val="112"/>
        <w:jc w:val="center"/>
        <w:rPr>
          <w:rFonts w:hint="eastAsia" w:ascii="仿宋" w:hAnsi="仿宋" w:eastAsia="仿宋" w:cs="仿宋"/>
          <w:color w:val="000000"/>
          <w:sz w:val="30"/>
          <w:szCs w:val="30"/>
        </w:rPr>
      </w:pPr>
    </w:p>
    <w:p w14:paraId="0E3D416A">
      <w:pPr>
        <w:pStyle w:val="112"/>
        <w:jc w:val="center"/>
        <w:rPr>
          <w:rFonts w:hint="eastAsia" w:ascii="仿宋" w:hAnsi="仿宋" w:eastAsia="仿宋" w:cs="仿宋"/>
          <w:color w:val="000000"/>
          <w:sz w:val="30"/>
          <w:szCs w:val="30"/>
        </w:rPr>
      </w:pPr>
    </w:p>
    <w:p w14:paraId="2F13F57A">
      <w:pPr>
        <w:pStyle w:val="112"/>
        <w:spacing w:line="360" w:lineRule="auto"/>
        <w:ind w:firstLine="700"/>
        <w:rPr>
          <w:rFonts w:hint="eastAsia" w:ascii="仿宋" w:hAnsi="仿宋" w:eastAsia="仿宋" w:cs="仿宋"/>
          <w:color w:val="000000"/>
          <w:sz w:val="28"/>
          <w:szCs w:val="28"/>
        </w:rPr>
      </w:pPr>
    </w:p>
    <w:p w14:paraId="57830CF5">
      <w:pPr>
        <w:pStyle w:val="112"/>
        <w:spacing w:line="360" w:lineRule="auto"/>
        <w:rPr>
          <w:rFonts w:hint="eastAsia" w:ascii="仿宋" w:hAnsi="仿宋" w:eastAsia="仿宋" w:cs="仿宋"/>
          <w:color w:val="000000"/>
          <w:sz w:val="28"/>
          <w:szCs w:val="28"/>
        </w:rPr>
      </w:pPr>
    </w:p>
    <w:p w14:paraId="586C1F4E">
      <w:pPr>
        <w:pStyle w:val="112"/>
        <w:spacing w:line="360" w:lineRule="auto"/>
        <w:rPr>
          <w:rFonts w:hint="eastAsia" w:ascii="仿宋" w:hAnsi="仿宋" w:eastAsia="仿宋" w:cs="仿宋"/>
          <w:color w:val="000000"/>
          <w:sz w:val="28"/>
          <w:szCs w:val="28"/>
        </w:rPr>
      </w:pPr>
    </w:p>
    <w:p w14:paraId="7C4A11BC">
      <w:pPr>
        <w:pStyle w:val="103"/>
        <w:rPr>
          <w:rFonts w:hint="eastAsia" w:ascii="仿宋" w:hAnsi="仿宋" w:eastAsia="仿宋" w:cs="仿宋"/>
          <w:color w:val="000000"/>
        </w:rPr>
      </w:pPr>
    </w:p>
    <w:p w14:paraId="734BA656">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28"/>
          <w:szCs w:val="28"/>
        </w:rPr>
        <w:br w:type="page" w:clear="all"/>
      </w:r>
      <w:r>
        <w:rPr>
          <w:rFonts w:hint="eastAsia" w:ascii="仿宋" w:hAnsi="仿宋" w:eastAsia="仿宋" w:cs="仿宋"/>
          <w:color w:val="000000"/>
          <w:sz w:val="30"/>
          <w:szCs w:val="30"/>
        </w:rPr>
        <w:t>十、投标人书面声明</w:t>
      </w:r>
    </w:p>
    <w:p w14:paraId="2CD098A4">
      <w:pPr>
        <w:spacing w:line="480" w:lineRule="exact"/>
        <w:ind w:firstLine="624"/>
        <w:rPr>
          <w:rFonts w:hint="eastAsia" w:ascii="仿宋" w:hAnsi="仿宋" w:eastAsia="仿宋" w:cs="仿宋"/>
          <w:color w:val="000000"/>
          <w:spacing w:val="6"/>
          <w:sz w:val="30"/>
          <w:szCs w:val="30"/>
        </w:rPr>
      </w:pPr>
    </w:p>
    <w:p w14:paraId="6194BE5F">
      <w:pPr>
        <w:spacing w:line="480" w:lineRule="exact"/>
        <w:ind w:firstLine="624"/>
        <w:rPr>
          <w:rFonts w:hint="eastAsia" w:ascii="仿宋" w:hAnsi="仿宋" w:eastAsia="仿宋" w:cs="仿宋"/>
          <w:color w:val="000000"/>
          <w:spacing w:val="6"/>
          <w:sz w:val="30"/>
          <w:szCs w:val="30"/>
        </w:rPr>
      </w:pPr>
      <w:r>
        <w:rPr>
          <w:rFonts w:hint="eastAsia" w:ascii="仿宋" w:hAnsi="仿宋" w:eastAsia="仿宋" w:cs="仿宋"/>
          <w:color w:val="000000"/>
          <w:spacing w:val="6"/>
          <w:sz w:val="30"/>
          <w:szCs w:val="30"/>
        </w:rPr>
        <w:t>项目名称：</w:t>
      </w:r>
      <w:r>
        <w:rPr>
          <w:rFonts w:hint="eastAsia" w:ascii="仿宋" w:hAnsi="仿宋" w:eastAsia="仿宋" w:cs="仿宋"/>
          <w:color w:val="000000"/>
          <w:spacing w:val="6"/>
          <w:sz w:val="30"/>
          <w:szCs w:val="30"/>
          <w:lang w:eastAsia="zh-CN"/>
        </w:rPr>
        <w:t>徐州生物工程职业技术学院大学生活动中心舞美设备采购与安装</w:t>
      </w:r>
      <w:r>
        <w:rPr>
          <w:rFonts w:hint="eastAsia" w:ascii="仿宋" w:hAnsi="仿宋" w:eastAsia="仿宋" w:cs="仿宋"/>
          <w:color w:val="000000"/>
          <w:spacing w:val="6"/>
          <w:sz w:val="30"/>
          <w:szCs w:val="30"/>
        </w:rPr>
        <w:t xml:space="preserve"> </w:t>
      </w:r>
    </w:p>
    <w:p w14:paraId="345F25D5">
      <w:pPr>
        <w:spacing w:line="480" w:lineRule="exact"/>
        <w:ind w:firstLine="624"/>
        <w:rPr>
          <w:rFonts w:hint="eastAsia" w:ascii="仿宋" w:hAnsi="仿宋" w:eastAsia="仿宋" w:cs="仿宋"/>
          <w:color w:val="000000"/>
          <w:spacing w:val="6"/>
          <w:sz w:val="30"/>
          <w:szCs w:val="30"/>
          <w:lang w:eastAsia="zh-CN"/>
        </w:rPr>
      </w:pPr>
      <w:r>
        <w:rPr>
          <w:rFonts w:hint="eastAsia" w:ascii="仿宋" w:hAnsi="仿宋" w:eastAsia="仿宋" w:cs="仿宋"/>
          <w:color w:val="000000"/>
          <w:spacing w:val="6"/>
          <w:sz w:val="30"/>
          <w:szCs w:val="30"/>
        </w:rPr>
        <w:t>项目编号：</w:t>
      </w:r>
      <w:r>
        <w:rPr>
          <w:rFonts w:hint="eastAsia" w:ascii="仿宋" w:hAnsi="仿宋" w:eastAsia="仿宋" w:cs="仿宋"/>
          <w:color w:val="000000"/>
          <w:spacing w:val="6"/>
          <w:sz w:val="30"/>
          <w:szCs w:val="30"/>
          <w:lang w:eastAsia="zh-CN"/>
        </w:rPr>
        <w:t>JSZC-320300-ZJZB-G2026-0042</w:t>
      </w:r>
    </w:p>
    <w:p w14:paraId="41F70EF7">
      <w:pPr>
        <w:pStyle w:val="112"/>
        <w:widowControl/>
        <w:ind w:firstLine="480"/>
        <w:jc w:val="left"/>
        <w:rPr>
          <w:rFonts w:hint="eastAsia" w:ascii="仿宋" w:hAnsi="仿宋" w:eastAsia="仿宋" w:cs="仿宋"/>
          <w:color w:val="000000"/>
          <w:sz w:val="30"/>
          <w:szCs w:val="30"/>
        </w:rPr>
      </w:pPr>
    </w:p>
    <w:p w14:paraId="623AFC93">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我单位不是为本采购项目提供整体设计、规范编制或者项目管理、监理、检测等服务的供应商。</w:t>
      </w:r>
    </w:p>
    <w:p w14:paraId="3140B81D">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特此声明。</w:t>
      </w:r>
    </w:p>
    <w:p w14:paraId="606526AC">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我单位对上述声明的真实性负责。如有虚假，将依法承担相应责任。</w:t>
      </w:r>
    </w:p>
    <w:p w14:paraId="14A4A79D">
      <w:pPr>
        <w:pStyle w:val="103"/>
        <w:rPr>
          <w:rFonts w:hint="eastAsia" w:ascii="仿宋" w:hAnsi="仿宋" w:eastAsia="仿宋" w:cs="仿宋"/>
          <w:color w:val="000000"/>
          <w:sz w:val="30"/>
          <w:szCs w:val="30"/>
        </w:rPr>
      </w:pPr>
    </w:p>
    <w:p w14:paraId="4519D889">
      <w:pPr>
        <w:pStyle w:val="103"/>
        <w:rPr>
          <w:rFonts w:hint="eastAsia" w:ascii="仿宋" w:hAnsi="仿宋" w:eastAsia="仿宋" w:cs="仿宋"/>
          <w:color w:val="000000"/>
          <w:sz w:val="30"/>
          <w:szCs w:val="30"/>
        </w:rPr>
      </w:pPr>
    </w:p>
    <w:p w14:paraId="5DEE2153">
      <w:pPr>
        <w:pStyle w:val="252"/>
        <w:ind w:left="0" w:firstLine="0"/>
        <w:jc w:val="right"/>
        <w:rPr>
          <w:rFonts w:hint="eastAsia" w:ascii="仿宋" w:hAnsi="仿宋" w:eastAsia="仿宋" w:cs="仿宋"/>
          <w:color w:val="000000"/>
          <w:sz w:val="30"/>
          <w:szCs w:val="30"/>
        </w:rPr>
      </w:pPr>
      <w:r>
        <w:rPr>
          <w:rFonts w:hint="eastAsia" w:ascii="仿宋" w:hAnsi="仿宋" w:eastAsia="仿宋" w:cs="仿宋"/>
          <w:color w:val="000000"/>
          <w:sz w:val="30"/>
          <w:szCs w:val="30"/>
        </w:rPr>
        <w:t>投标人（电子签章）：</w:t>
      </w:r>
    </w:p>
    <w:p w14:paraId="70E12CCC">
      <w:pPr>
        <w:spacing w:line="480" w:lineRule="exact"/>
        <w:jc w:val="right"/>
        <w:rPr>
          <w:rFonts w:hint="eastAsia" w:ascii="仿宋" w:hAnsi="仿宋" w:eastAsia="仿宋" w:cs="仿宋"/>
          <w:b/>
          <w:color w:val="000000"/>
          <w:sz w:val="28"/>
          <w:szCs w:val="28"/>
        </w:rPr>
      </w:pPr>
      <w:r>
        <w:rPr>
          <w:rFonts w:hint="eastAsia" w:ascii="仿宋" w:hAnsi="仿宋" w:eastAsia="仿宋" w:cs="仿宋"/>
          <w:color w:val="000000"/>
          <w:sz w:val="30"/>
          <w:szCs w:val="30"/>
        </w:rPr>
        <w:t>日期：   年  月  日</w:t>
      </w:r>
    </w:p>
    <w:p w14:paraId="2784A5C6">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clear="all"/>
      </w:r>
    </w:p>
    <w:p w14:paraId="7890FC48">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十一</w:t>
      </w:r>
      <w:r>
        <w:rPr>
          <w:rFonts w:hint="eastAsia" w:ascii="仿宋" w:hAnsi="仿宋" w:eastAsia="仿宋" w:cs="仿宋"/>
          <w:color w:val="000000"/>
          <w:sz w:val="30"/>
          <w:szCs w:val="30"/>
        </w:rPr>
        <w:t>、预付款保函支付条款模板</w:t>
      </w:r>
    </w:p>
    <w:p w14:paraId="7D36C2C7">
      <w:pPr>
        <w:pStyle w:val="253"/>
        <w:rPr>
          <w:rFonts w:hint="eastAsia" w:ascii="仿宋" w:hAnsi="仿宋" w:eastAsia="仿宋" w:cs="仿宋"/>
          <w:color w:val="000000"/>
        </w:rPr>
      </w:pPr>
    </w:p>
    <w:p w14:paraId="23B5BD5F">
      <w:pPr>
        <w:spacing w:line="480" w:lineRule="exact"/>
        <w:ind w:firstLine="605"/>
        <w:rPr>
          <w:rFonts w:hint="eastAsia" w:ascii="仿宋" w:hAnsi="仿宋" w:eastAsia="仿宋" w:cs="仿宋"/>
          <w:b/>
          <w:color w:val="000000"/>
          <w:sz w:val="30"/>
          <w:szCs w:val="30"/>
        </w:rPr>
      </w:pPr>
      <w:r>
        <w:rPr>
          <w:rFonts w:hint="eastAsia" w:ascii="仿宋" w:hAnsi="仿宋" w:eastAsia="仿宋" w:cs="仿宋"/>
          <w:b/>
          <w:color w:val="000000"/>
          <w:sz w:val="30"/>
          <w:szCs w:val="30"/>
        </w:rPr>
        <w:t>符合条件一：提交预付款保函的</w:t>
      </w:r>
    </w:p>
    <w:p w14:paraId="1913156D">
      <w:pPr>
        <w:spacing w:line="480" w:lineRule="exact"/>
        <w:ind w:firstLine="602"/>
        <w:rPr>
          <w:rFonts w:hint="eastAsia" w:ascii="仿宋" w:hAnsi="仿宋" w:eastAsia="仿宋" w:cs="仿宋"/>
          <w:color w:val="000000"/>
          <w:sz w:val="30"/>
          <w:szCs w:val="30"/>
          <w:u w:val="single"/>
        </w:rPr>
      </w:pPr>
      <w:r>
        <w:rPr>
          <w:rFonts w:hint="eastAsia" w:ascii="仿宋" w:hAnsi="仿宋" w:eastAsia="仿宋" w:cs="仿宋"/>
          <w:color w:val="000000"/>
          <w:sz w:val="30"/>
          <w:szCs w:val="30"/>
        </w:rPr>
        <w:t>（1）合同签订且乙方向甲方出具预付款保函后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个工作日内，甲方应支付合同价款的百分之</w:t>
      </w:r>
      <w:r>
        <w:rPr>
          <w:rFonts w:hint="eastAsia" w:ascii="仿宋" w:hAnsi="仿宋" w:eastAsia="仿宋" w:cs="仿宋"/>
          <w:color w:val="000000"/>
          <w:sz w:val="30"/>
          <w:szCs w:val="30"/>
          <w:u w:val="single"/>
        </w:rPr>
        <w:t xml:space="preserve">        XX（    XX%），</w:t>
      </w:r>
      <w:r>
        <w:rPr>
          <w:rFonts w:hint="eastAsia" w:ascii="仿宋" w:hAnsi="仿宋" w:eastAsia="仿宋" w:cs="仿宋"/>
          <w:color w:val="000000"/>
          <w:sz w:val="30"/>
          <w:szCs w:val="30"/>
        </w:rPr>
        <w:t>小写￥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大写：人民币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14:paraId="7D992E2B">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乙方需提交的支付文件：乙方出具的全额正式发票。</w:t>
      </w:r>
    </w:p>
    <w:p w14:paraId="26F20A91">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（2）验收合格后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个工作日内，甲方应支付合同价款的百分之</w:t>
      </w:r>
      <w:r>
        <w:rPr>
          <w:rFonts w:hint="eastAsia" w:ascii="仿宋" w:hAnsi="仿宋" w:eastAsia="仿宋" w:cs="仿宋"/>
          <w:color w:val="000000"/>
          <w:sz w:val="30"/>
          <w:szCs w:val="30"/>
          <w:u w:val="single"/>
        </w:rPr>
        <w:t>XX（    XX%），</w:t>
      </w:r>
      <w:r>
        <w:rPr>
          <w:rFonts w:hint="eastAsia" w:ascii="仿宋" w:hAnsi="仿宋" w:eastAsia="仿宋" w:cs="仿宋"/>
          <w:color w:val="000000"/>
          <w:sz w:val="30"/>
          <w:szCs w:val="30"/>
        </w:rPr>
        <w:t>小写￥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大写：人民币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14:paraId="6E401F06">
      <w:pPr>
        <w:spacing w:line="480" w:lineRule="exact"/>
        <w:ind w:firstLine="605"/>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14:paraId="110D2707">
      <w:pPr>
        <w:spacing w:line="480" w:lineRule="exact"/>
        <w:ind w:firstLine="605"/>
        <w:rPr>
          <w:rFonts w:hint="eastAsia" w:ascii="仿宋" w:hAnsi="仿宋" w:eastAsia="仿宋" w:cs="仿宋"/>
          <w:b/>
          <w:color w:val="000000"/>
          <w:sz w:val="30"/>
          <w:szCs w:val="30"/>
        </w:rPr>
      </w:pPr>
      <w:r>
        <w:rPr>
          <w:rFonts w:hint="eastAsia" w:ascii="仿宋" w:hAnsi="仿宋" w:eastAsia="仿宋" w:cs="仿宋"/>
          <w:b/>
          <w:color w:val="000000"/>
          <w:sz w:val="30"/>
          <w:szCs w:val="30"/>
        </w:rPr>
        <w:t>符合条件二：不提交预付款保函的</w:t>
      </w:r>
    </w:p>
    <w:p w14:paraId="58B8F8D5">
      <w:pPr>
        <w:spacing w:line="480" w:lineRule="exact"/>
        <w:ind w:firstLine="602"/>
        <w:rPr>
          <w:rFonts w:hint="eastAsia" w:ascii="仿宋" w:hAnsi="仿宋" w:eastAsia="仿宋" w:cs="仿宋"/>
          <w:color w:val="000000"/>
          <w:sz w:val="30"/>
          <w:szCs w:val="30"/>
          <w:u w:val="single"/>
        </w:rPr>
      </w:pPr>
      <w:r>
        <w:rPr>
          <w:rFonts w:hint="eastAsia" w:ascii="仿宋" w:hAnsi="仿宋" w:eastAsia="仿宋" w:cs="仿宋"/>
          <w:color w:val="000000"/>
          <w:sz w:val="30"/>
          <w:szCs w:val="30"/>
        </w:rPr>
        <w:t>（1）合同签订后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个工作日内，甲方应支付合同价款的百分之</w:t>
      </w:r>
      <w:r>
        <w:rPr>
          <w:rFonts w:hint="eastAsia" w:ascii="仿宋" w:hAnsi="仿宋" w:eastAsia="仿宋" w:cs="仿宋"/>
          <w:color w:val="000000"/>
          <w:sz w:val="30"/>
          <w:szCs w:val="30"/>
          <w:u w:val="single"/>
        </w:rPr>
        <w:t>XX（    XX%），</w:t>
      </w:r>
      <w:r>
        <w:rPr>
          <w:rFonts w:hint="eastAsia" w:ascii="仿宋" w:hAnsi="仿宋" w:eastAsia="仿宋" w:cs="仿宋"/>
          <w:color w:val="000000"/>
          <w:sz w:val="30"/>
          <w:szCs w:val="30"/>
        </w:rPr>
        <w:t>小写￥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大写：人民币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14:paraId="71978F1D">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乙方需提交的支付文件：乙方出具的全额正式发票。</w:t>
      </w:r>
    </w:p>
    <w:p w14:paraId="33003D98">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（2）验收合格后</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个工作日内，甲方应支付合同价款的百分之</w:t>
      </w:r>
      <w:r>
        <w:rPr>
          <w:rFonts w:hint="eastAsia" w:ascii="仿宋" w:hAnsi="仿宋" w:eastAsia="仿宋" w:cs="仿宋"/>
          <w:color w:val="000000"/>
          <w:sz w:val="30"/>
          <w:szCs w:val="30"/>
          <w:u w:val="single"/>
        </w:rPr>
        <w:t>XX（    XX%），</w:t>
      </w:r>
      <w:r>
        <w:rPr>
          <w:rFonts w:hint="eastAsia" w:ascii="仿宋" w:hAnsi="仿宋" w:eastAsia="仿宋" w:cs="仿宋"/>
          <w:color w:val="000000"/>
          <w:sz w:val="30"/>
          <w:szCs w:val="30"/>
        </w:rPr>
        <w:t>小写￥</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大写：人民币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14:paraId="0D1CD8BB">
      <w:pPr>
        <w:spacing w:line="480" w:lineRule="exact"/>
        <w:ind w:firstLine="605"/>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14:paraId="30B05EFE">
      <w:pPr>
        <w:spacing w:line="480" w:lineRule="exact"/>
        <w:ind w:left="140" w:firstLine="605"/>
        <w:rPr>
          <w:rFonts w:hint="eastAsia" w:ascii="仿宋" w:hAnsi="仿宋" w:eastAsia="仿宋" w:cs="仿宋"/>
          <w:b/>
          <w:color w:val="000000"/>
          <w:sz w:val="30"/>
          <w:szCs w:val="30"/>
        </w:rPr>
      </w:pPr>
      <w:r>
        <w:rPr>
          <w:rFonts w:hint="eastAsia" w:ascii="仿宋" w:hAnsi="仿宋" w:eastAsia="仿宋" w:cs="仿宋"/>
          <w:b/>
          <w:color w:val="000000"/>
          <w:sz w:val="30"/>
          <w:szCs w:val="30"/>
        </w:rPr>
        <w:t>注:</w:t>
      </w:r>
    </w:p>
    <w:p w14:paraId="7626B996">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1、付款条件一中，出具预付款保函后支付的合同款应当与保函金额一致。</w:t>
      </w:r>
    </w:p>
    <w:p w14:paraId="2C15137E">
      <w:pPr>
        <w:spacing w:line="480" w:lineRule="exact"/>
        <w:ind w:left="140" w:firstLine="602"/>
        <w:rPr>
          <w:rFonts w:hint="eastAsia" w:ascii="仿宋" w:hAnsi="仿宋" w:eastAsia="仿宋" w:cs="仿宋"/>
          <w:color w:val="000000"/>
          <w:sz w:val="30"/>
          <w:szCs w:val="30"/>
        </w:rPr>
      </w:pPr>
      <w:r>
        <w:rPr>
          <w:rFonts w:hint="eastAsia" w:ascii="仿宋" w:hAnsi="仿宋" w:eastAsia="仿宋" w:cs="仿宋"/>
          <w:color w:val="000000"/>
          <w:sz w:val="30"/>
          <w:szCs w:val="30"/>
        </w:rPr>
        <w:t>2、付款条件二中，预付款比例设定应符合《关于做好政府采购支持企业发展有关事项的通知》(苏财购〔2020〕52号)要求。</w:t>
      </w:r>
    </w:p>
    <w:p w14:paraId="4F1ADDCB">
      <w:pPr>
        <w:pStyle w:val="100"/>
        <w:rPr>
          <w:rFonts w:hint="eastAsia" w:ascii="仿宋" w:hAnsi="仿宋" w:eastAsia="仿宋" w:cs="仿宋"/>
          <w:color w:val="000000"/>
        </w:rPr>
      </w:pPr>
    </w:p>
    <w:p w14:paraId="5B02F380">
      <w:pPr>
        <w:rPr>
          <w:rFonts w:hint="eastAsia" w:ascii="仿宋" w:hAnsi="仿宋" w:eastAsia="仿宋" w:cs="仿宋"/>
          <w:color w:val="000000"/>
        </w:rPr>
      </w:pPr>
      <w:r>
        <w:rPr>
          <w:rFonts w:hint="eastAsia" w:ascii="仿宋" w:hAnsi="仿宋" w:eastAsia="仿宋" w:cs="仿宋"/>
          <w:color w:val="000000"/>
        </w:rPr>
        <w:br w:type="page" w:clear="all"/>
      </w:r>
    </w:p>
    <w:p w14:paraId="7B9CEC8C">
      <w:pPr>
        <w:spacing w:line="480" w:lineRule="exact"/>
        <w:ind w:firstLine="6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十二、关于符合本国产品标准的声明函</w:t>
      </w:r>
    </w:p>
    <w:p w14:paraId="62A4F95A">
      <w:pPr>
        <w:spacing w:line="480" w:lineRule="exact"/>
        <w:ind w:firstLine="624"/>
        <w:rPr>
          <w:rFonts w:hint="eastAsia" w:ascii="仿宋" w:hAnsi="仿宋" w:eastAsia="仿宋" w:cs="仿宋"/>
          <w:color w:val="000000"/>
          <w:spacing w:val="6"/>
          <w:sz w:val="30"/>
          <w:szCs w:val="30"/>
        </w:rPr>
      </w:pPr>
    </w:p>
    <w:p w14:paraId="57744C08">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本公司（单位）郑重声明，根据《国务院办公厅关于在政府采购中实施本国产品标准及相关政策的通知》（国办发〔2025〕34号）的规定，本公司（单位）提供的以下产品属于本国产品。具体情况如下：</w:t>
      </w:r>
    </w:p>
    <w:p w14:paraId="34193F53">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1.（产品名称1）1，生产厂为（厂名）2，厂址为（生产厂址）。（产品名称1）的中国境内生产的组件成本占比≥（规定比例）3。（产品名称1）的（关键组件）4在中国境内生产。（产品名称1）的（关键工序）5在中国境内完成。</w:t>
      </w:r>
    </w:p>
    <w:p w14:paraId="39C9E27C">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2.（产品名称2），生产厂为（厂名），厂址为（生产厂址）。（产品名称2）的中国境内生产的组件成本占比≥（规定比例）。（产品名称2）的（关键组件）在中国境内生产。（产品名称2）的（关键工序）在中国境内完成。</w:t>
      </w:r>
    </w:p>
    <w:p w14:paraId="7FFA62FC">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w:t>
      </w:r>
    </w:p>
    <w:p w14:paraId="23E2546F">
      <w:pPr>
        <w:pStyle w:val="112"/>
        <w:spacing w:line="588" w:lineRule="exact"/>
        <w:ind w:firstLine="584"/>
        <w:rPr>
          <w:rFonts w:hint="eastAsia" w:ascii="仿宋" w:hAnsi="仿宋" w:eastAsia="仿宋" w:cs="仿宋"/>
          <w:color w:val="000000"/>
          <w:sz w:val="30"/>
          <w:szCs w:val="30"/>
        </w:rPr>
      </w:pPr>
      <w:r>
        <w:rPr>
          <w:rFonts w:hint="eastAsia" w:ascii="仿宋" w:hAnsi="仿宋" w:eastAsia="仿宋" w:cs="仿宋"/>
          <w:color w:val="000000"/>
          <w:sz w:val="30"/>
          <w:szCs w:val="30"/>
        </w:rPr>
        <w:t>本公司（单位）对上述声明内容的真实性负责。如有虚假，愿承担相应法律责任。</w:t>
      </w:r>
    </w:p>
    <w:p w14:paraId="0A540D18">
      <w:pPr>
        <w:pStyle w:val="100"/>
        <w:rPr>
          <w:rFonts w:hint="eastAsia" w:ascii="仿宋" w:hAnsi="仿宋" w:eastAsia="仿宋" w:cs="仿宋"/>
          <w:color w:val="000000"/>
          <w:sz w:val="30"/>
          <w:szCs w:val="30"/>
        </w:rPr>
      </w:pPr>
    </w:p>
    <w:p w14:paraId="0FD45174">
      <w:pPr>
        <w:pStyle w:val="112"/>
        <w:rPr>
          <w:rFonts w:hint="eastAsia" w:ascii="仿宋" w:hAnsi="仿宋" w:eastAsia="仿宋" w:cs="仿宋"/>
          <w:sz w:val="30"/>
          <w:szCs w:val="30"/>
        </w:rPr>
      </w:pPr>
    </w:p>
    <w:p w14:paraId="759C45CA">
      <w:pPr>
        <w:pStyle w:val="252"/>
        <w:rPr>
          <w:rFonts w:hint="eastAsia" w:ascii="仿宋" w:hAnsi="仿宋" w:eastAsia="仿宋" w:cs="仿宋"/>
          <w:color w:val="000000"/>
          <w:sz w:val="30"/>
          <w:szCs w:val="30"/>
        </w:rPr>
      </w:pPr>
      <w:r>
        <w:rPr>
          <w:rFonts w:hint="eastAsia" w:ascii="仿宋" w:hAnsi="仿宋" w:eastAsia="仿宋" w:cs="仿宋"/>
          <w:color w:val="000000"/>
          <w:sz w:val="30"/>
          <w:szCs w:val="30"/>
        </w:rPr>
        <w:t>投标人（电子签章）：</w:t>
      </w:r>
    </w:p>
    <w:p w14:paraId="2E501309">
      <w:pPr>
        <w:pStyle w:val="252"/>
        <w:rPr>
          <w:rFonts w:hint="eastAsia" w:ascii="仿宋" w:hAnsi="仿宋" w:eastAsia="仿宋" w:cs="仿宋"/>
          <w:color w:val="000000"/>
          <w:sz w:val="30"/>
          <w:szCs w:val="30"/>
        </w:rPr>
      </w:pPr>
      <w:r>
        <w:rPr>
          <w:rFonts w:hint="eastAsia" w:ascii="仿宋" w:hAnsi="仿宋" w:eastAsia="仿宋" w:cs="仿宋"/>
          <w:color w:val="000000"/>
          <w:sz w:val="30"/>
          <w:szCs w:val="30"/>
        </w:rPr>
        <w:t>日期：   年  月  日</w:t>
      </w:r>
    </w:p>
    <w:p w14:paraId="5C3E2751">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注：</w:t>
      </w:r>
    </w:p>
    <w:p w14:paraId="6C454C09">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1.产品如有型号，请在“产品名称”栏一并填写。</w:t>
      </w:r>
    </w:p>
    <w:p w14:paraId="757DDE9F">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2.生产厂名与厂址应与生产厂营业执照载明的相关信息保持一致。</w:t>
      </w:r>
    </w:p>
    <w:p w14:paraId="7519D6E6">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3.该产品的中国境内生产的组件成本占比相关要求实施前，“规定比例”栏可不填，下同。</w:t>
      </w:r>
    </w:p>
    <w:p w14:paraId="1823861A">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4.该产品的关键组件要求实施前，“关键组件”栏可不填，下同。</w:t>
      </w:r>
    </w:p>
    <w:p w14:paraId="3ABF20D4">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5.该产品的关键工序要求实施前，“关键工序”栏可不填，下同。</w:t>
      </w:r>
    </w:p>
    <w:p w14:paraId="26717A59">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rPr>
          <w:rFonts w:hint="eastAsia" w:ascii="仿宋" w:hAnsi="仿宋" w:eastAsia="仿宋" w:cs="仿宋"/>
          <w:color w:val="000000"/>
          <w:sz w:val="30"/>
          <w:szCs w:val="30"/>
          <w:lang w:val="en-US" w:eastAsia="zh-CN" w:bidi="ar-SA"/>
        </w:rPr>
      </w:pPr>
    </w:p>
    <w:p w14:paraId="1EF27FB4">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附件</w:t>
      </w:r>
    </w:p>
    <w:p w14:paraId="3FA65D09">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000000"/>
          <w:spacing w:val="0"/>
          <w:sz w:val="24"/>
          <w:szCs w:val="24"/>
        </w:rPr>
      </w:pPr>
    </w:p>
    <w:p w14:paraId="48DD1338">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jc w:val="center"/>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中国境内生产的组件成本核算基本规则</w:t>
      </w:r>
    </w:p>
    <w:p w14:paraId="2469B4F2">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000000"/>
          <w:spacing w:val="0"/>
          <w:sz w:val="24"/>
          <w:szCs w:val="24"/>
        </w:rPr>
      </w:pPr>
    </w:p>
    <w:p w14:paraId="5A2169E5">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AEE019B">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一、产品的一级组件是指直接组成产品的组件。产品的二级组件是指直接组成产品一级组件的组件。一级组件不可分解的，视同二级组件。</w:t>
      </w:r>
    </w:p>
    <w:p w14:paraId="1805DB21">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二、二级组件在中国境内生产的，其全部成本计入中国境内生产的组件成本；二级组件不在中国境内生产的，其成本不计入中国境内生产的组件成本。</w:t>
      </w:r>
    </w:p>
    <w:p w14:paraId="02DF9F3C">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三、产品总成本和组件成本以相关会计核算数据、采购合同、进货记录等为基础进行计算。</w:t>
      </w:r>
    </w:p>
    <w:p w14:paraId="4A15C876">
      <w:pPr>
        <w:pStyle w:val="27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color w:val="000000"/>
          <w:sz w:val="30"/>
          <w:szCs w:val="30"/>
          <w:lang w:val="en-US" w:eastAsia="zh-CN" w:bidi="ar-SA"/>
        </w:rPr>
      </w:pPr>
      <w:r>
        <w:rPr>
          <w:rFonts w:hint="eastAsia" w:ascii="仿宋" w:hAnsi="仿宋" w:eastAsia="仿宋" w:cs="仿宋"/>
          <w:color w:val="000000"/>
          <w:sz w:val="30"/>
          <w:szCs w:val="30"/>
          <w:lang w:val="en-US" w:eastAsia="zh-CN" w:bidi="ar-SA"/>
        </w:rPr>
        <w:t>四、需要对成本核算规则予以进一步明确的其他有关事项，由财政部会同有关部门另行规定。</w:t>
      </w:r>
    </w:p>
    <w:p w14:paraId="749AE347">
      <w:pPr>
        <w:spacing w:line="480" w:lineRule="exact"/>
        <w:ind w:firstLine="624"/>
        <w:rPr>
          <w:rFonts w:hint="eastAsia" w:ascii="仿宋" w:hAnsi="仿宋" w:eastAsia="仿宋" w:cs="仿宋"/>
          <w:color w:val="000000"/>
          <w:sz w:val="30"/>
          <w:szCs w:val="30"/>
          <w:lang w:val="en-US" w:eastAsia="zh-CN" w:bidi="ar-SA"/>
        </w:rPr>
      </w:pPr>
    </w:p>
    <w:p w14:paraId="3131219D">
      <w:pPr>
        <w:pStyle w:val="249"/>
        <w:rPr>
          <w:rFonts w:hint="eastAsia" w:ascii="仿宋" w:hAnsi="仿宋" w:eastAsia="仿宋" w:cs="仿宋"/>
        </w:rPr>
        <w:sectPr>
          <w:pgSz w:w="11906" w:h="16838"/>
          <w:pgMar w:top="851" w:right="1702" w:bottom="851" w:left="1804" w:header="851" w:footer="992" w:gutter="0"/>
          <w:cols w:space="1701" w:num="1"/>
          <w:docGrid w:linePitch="360" w:charSpace="0"/>
        </w:sectPr>
      </w:pPr>
    </w:p>
    <w:p w14:paraId="7FA6FE1B">
      <w:pPr>
        <w:spacing w:line="480" w:lineRule="exact"/>
        <w:ind w:firstLine="6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十三</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采购需求符合性条件响应表</w:t>
      </w:r>
    </w:p>
    <w:p w14:paraId="78EB8B8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p>
    <w:p w14:paraId="3512D37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徐州生物工程职业技术学院大学生活动中心舞美设备采购与安装</w:t>
      </w:r>
    </w:p>
    <w:p w14:paraId="758C43D3">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JSZC-320300-ZJZB-G2026-0042</w:t>
      </w:r>
    </w:p>
    <w:p w14:paraId="0F6E46F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p>
    <w:p w14:paraId="5EC0DD3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p>
    <w:tbl>
      <w:tblPr>
        <w:tblStyle w:val="28"/>
        <w:tblW w:w="0" w:type="auto"/>
        <w:tblCellSpacing w:w="0" w:type="dxa"/>
        <w:tblInd w:w="-5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59"/>
        <w:gridCol w:w="2734"/>
        <w:gridCol w:w="1922"/>
        <w:gridCol w:w="2475"/>
        <w:gridCol w:w="1206"/>
      </w:tblGrid>
      <w:tr w14:paraId="099E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6B312D5A">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序号</w:t>
            </w:r>
          </w:p>
        </w:tc>
        <w:tc>
          <w:tcPr>
            <w:tcW w:w="2734" w:type="dxa"/>
            <w:noWrap w:val="0"/>
            <w:vAlign w:val="center"/>
          </w:tcPr>
          <w:p w14:paraId="07117C42">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采购需求符合性条件</w:t>
            </w:r>
          </w:p>
        </w:tc>
        <w:tc>
          <w:tcPr>
            <w:tcW w:w="1922" w:type="dxa"/>
            <w:noWrap w:val="0"/>
            <w:vAlign w:val="center"/>
          </w:tcPr>
          <w:p w14:paraId="5FCB5B12">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招标文件的要求</w:t>
            </w:r>
          </w:p>
        </w:tc>
        <w:tc>
          <w:tcPr>
            <w:tcW w:w="2475" w:type="dxa"/>
            <w:noWrap w:val="0"/>
            <w:vAlign w:val="center"/>
          </w:tcPr>
          <w:p w14:paraId="6EA4BC2B">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投标文件中的响应情况</w:t>
            </w:r>
          </w:p>
          <w:p w14:paraId="333F3DE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（完全响应/未完全响应）</w:t>
            </w:r>
          </w:p>
        </w:tc>
        <w:tc>
          <w:tcPr>
            <w:tcW w:w="1206" w:type="dxa"/>
            <w:noWrap w:val="0"/>
            <w:vAlign w:val="center"/>
          </w:tcPr>
          <w:p w14:paraId="3AC654C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说明</w:t>
            </w:r>
          </w:p>
        </w:tc>
      </w:tr>
      <w:tr w14:paraId="6BF8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2FD02E4E">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734" w:type="dxa"/>
            <w:noWrap w:val="0"/>
            <w:vAlign w:val="center"/>
          </w:tcPr>
          <w:p w14:paraId="1C6EB860">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关于“大报告厅音频系统检测报告承诺函”的响应情况</w:t>
            </w:r>
          </w:p>
        </w:tc>
        <w:tc>
          <w:tcPr>
            <w:tcW w:w="1922" w:type="dxa"/>
            <w:noWrap w:val="0"/>
            <w:vAlign w:val="center"/>
          </w:tcPr>
          <w:p w14:paraId="6577B97C">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左右主扩声线阵列扬声器★2-7、中置线阵列扬声器★2-7、线阵低频扬声器★2-5、拉声像扬声器★1-5、同轴流动返听扬声器★2-6、同轴台唇扬声器★2-6、超重低音扬声器★1-4。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“三、主要技术要求”中大报告厅音频系统部分）</w:t>
            </w:r>
          </w:p>
        </w:tc>
        <w:tc>
          <w:tcPr>
            <w:tcW w:w="2475" w:type="dxa"/>
            <w:noWrap w:val="0"/>
            <w:vAlign w:val="center"/>
          </w:tcPr>
          <w:p w14:paraId="1FF2C06D">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7AB52E5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28B0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77D237D9">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734" w:type="dxa"/>
            <w:noWrap w:val="0"/>
            <w:vAlign w:val="center"/>
          </w:tcPr>
          <w:p w14:paraId="64794610">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大报告厅摄像跟踪会议系统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37D5B1DA">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有线方杆电容会议话筒★2-8。投标时须提供承诺（格式自拟），中标后签订合同前提供CMA/CNAS检测报告原件（详见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“三、主要技术要求”中大报告厅摄像跟踪会议系统部分）</w:t>
            </w:r>
          </w:p>
        </w:tc>
        <w:tc>
          <w:tcPr>
            <w:tcW w:w="2475" w:type="dxa"/>
            <w:noWrap w:val="0"/>
            <w:vAlign w:val="center"/>
          </w:tcPr>
          <w:p w14:paraId="2CFDEF9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3EB0D7E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1798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0DAA5F8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734" w:type="dxa"/>
            <w:noWrap w:val="0"/>
            <w:vAlign w:val="center"/>
          </w:tcPr>
          <w:p w14:paraId="173A5C79">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大报告厅灯光设备</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032349B1">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智能控制系统★2、4、8、9。投标时须提供承诺（格式自拟），中标后签订合同前提供CMA/CNAS检测报告原件（详见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“三、主要技术要求”中大报告厅灯光设备部分）</w:t>
            </w:r>
          </w:p>
        </w:tc>
        <w:tc>
          <w:tcPr>
            <w:tcW w:w="2475" w:type="dxa"/>
            <w:noWrap w:val="0"/>
            <w:vAlign w:val="center"/>
          </w:tcPr>
          <w:p w14:paraId="61146ABB">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4C3B2A9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4550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4501EAF3">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734" w:type="dxa"/>
            <w:noWrap w:val="0"/>
            <w:vAlign w:val="center"/>
          </w:tcPr>
          <w:p w14:paraId="53BC7CE6">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大报告厅中控系统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09DDCF31">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可编程中央控制主机★2、7、8、9。投标时须提供承诺（格式自拟），中标后签订合同前提供CMA/CNAS检测报告原件（（详见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“三、主要技术要求”中大报告厅中控系统部分）</w:t>
            </w:r>
          </w:p>
        </w:tc>
        <w:tc>
          <w:tcPr>
            <w:tcW w:w="2475" w:type="dxa"/>
            <w:noWrap w:val="0"/>
            <w:vAlign w:val="center"/>
          </w:tcPr>
          <w:p w14:paraId="61A6F1C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402290B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36D1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70C02743">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734" w:type="dxa"/>
            <w:noWrap w:val="0"/>
            <w:vAlign w:val="center"/>
          </w:tcPr>
          <w:p w14:paraId="7CB33CAB">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大报告厅视频信号处理及录播系统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6B700A9F">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4K会议录播一体机★2-7、录播系统★1、2、3、8、9、10、20、视频程序设计实训推理分析单元★1、2、3、7、13、17。投标时须提供承诺（格式自拟），中标后签订合同前提供CMA/CNAS检测报告原件（详见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“三、主要技术要求”中大报告厅视频信号处理及录播系统部分）</w:t>
            </w:r>
          </w:p>
        </w:tc>
        <w:tc>
          <w:tcPr>
            <w:tcW w:w="2475" w:type="dxa"/>
            <w:noWrap w:val="0"/>
            <w:vAlign w:val="center"/>
          </w:tcPr>
          <w:p w14:paraId="4EF4B57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398261E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767A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1610915E">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734" w:type="dxa"/>
            <w:noWrap w:val="0"/>
            <w:vAlign w:val="center"/>
          </w:tcPr>
          <w:p w14:paraId="671D3798">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小报告厅音频系统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521F9FE8">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左右主扩声线阵列扬声器★2-7、低频扬声器★2-5、同轴台唇扬声器★2-7。投标时须提供承诺（格式自拟），中标后签订合同前提供CMA/CNAS检测报告原件（详见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“三、主要技术要求”中小报告厅音频系统部分）</w:t>
            </w:r>
          </w:p>
        </w:tc>
        <w:tc>
          <w:tcPr>
            <w:tcW w:w="2475" w:type="dxa"/>
            <w:noWrap w:val="0"/>
            <w:vAlign w:val="center"/>
          </w:tcPr>
          <w:p w14:paraId="5758027A">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6F29E72F">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277C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68A4B55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734" w:type="dxa"/>
            <w:noWrap w:val="0"/>
            <w:vAlign w:val="center"/>
          </w:tcPr>
          <w:p w14:paraId="7A68C112">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小报告厅中控系统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7CF359E7">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可编程中央控制主机★2、7、8、9。投标时须提供承诺（格式自拟），中标后签订合同前提供CMA/CNAS检测报告原件（详见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“三、主要技术要求”中小报告厅中控系统部分）</w:t>
            </w:r>
          </w:p>
        </w:tc>
        <w:tc>
          <w:tcPr>
            <w:tcW w:w="2475" w:type="dxa"/>
            <w:noWrap w:val="0"/>
            <w:vAlign w:val="center"/>
          </w:tcPr>
          <w:p w14:paraId="701E778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632250F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2A77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488E2BD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734" w:type="dxa"/>
            <w:noWrap w:val="0"/>
            <w:vAlign w:val="center"/>
          </w:tcPr>
          <w:p w14:paraId="2371A1EC">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b/>
                <w:bCs/>
                <w:i w:val="0"/>
                <w:iCs w:val="0"/>
                <w:color w:val="000000"/>
                <w:sz w:val="24"/>
                <w:szCs w:val="24"/>
                <w:u w:val="none"/>
                <w:lang w:val="en-US" w:eastAsia="zh-CN" w:bidi="ar"/>
              </w:rPr>
              <w:t>关于“</w:t>
            </w:r>
            <w:r>
              <w:rPr>
                <w:rFonts w:hint="eastAsia" w:ascii="仿宋" w:hAnsi="仿宋" w:eastAsia="仿宋" w:cs="仿宋"/>
                <w:sz w:val="24"/>
                <w:szCs w:val="24"/>
                <w:lang w:val="en-US" w:eastAsia="zh-CN" w:bidi="ar"/>
              </w:rPr>
              <w:t>小报告厅视频信号处理系统</w:t>
            </w:r>
            <w:r>
              <w:rPr>
                <w:rFonts w:hint="eastAsia" w:ascii="仿宋" w:hAnsi="仿宋" w:eastAsia="仿宋" w:cs="仿宋"/>
                <w:b/>
                <w:bCs/>
                <w:i w:val="0"/>
                <w:iCs w:val="0"/>
                <w:color w:val="000000"/>
                <w:sz w:val="24"/>
                <w:szCs w:val="24"/>
                <w:u w:val="none"/>
                <w:lang w:val="en-US" w:eastAsia="zh-CN" w:bidi="ar"/>
              </w:rPr>
              <w:t>检测报告承诺函”的响应情况</w:t>
            </w:r>
          </w:p>
        </w:tc>
        <w:tc>
          <w:tcPr>
            <w:tcW w:w="1922" w:type="dxa"/>
            <w:noWrap w:val="0"/>
            <w:vAlign w:val="center"/>
          </w:tcPr>
          <w:p w14:paraId="7CA3FC74">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4K会议录播一体机★2-7、录播系统★1、2、3、8、9、10、20、4K带云台高清室内摄像机★9-10。投标时须提供承诺（格式自拟），中标后签订合同前提供CMA/CNAS检测报告原件（详见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“三、主要技术要求”中小报告厅视频信号处理系统部分）</w:t>
            </w:r>
          </w:p>
        </w:tc>
        <w:tc>
          <w:tcPr>
            <w:tcW w:w="2475" w:type="dxa"/>
            <w:noWrap w:val="0"/>
            <w:vAlign w:val="center"/>
          </w:tcPr>
          <w:p w14:paraId="069A532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53A142C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7AF60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04299F4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734" w:type="dxa"/>
            <w:noWrap w:val="0"/>
            <w:vAlign w:val="center"/>
          </w:tcPr>
          <w:p w14:paraId="1511D17B">
            <w:pPr>
              <w:keepNext w:val="0"/>
              <w:keepLines w:val="0"/>
              <w:widowControl/>
              <w:suppressLineNumbers w:val="0"/>
              <w:jc w:val="left"/>
              <w:rPr>
                <w:rFonts w:hint="eastAsia" w:ascii="仿宋" w:hAnsi="仿宋" w:eastAsia="仿宋" w:cs="仿宋"/>
                <w:b/>
                <w:bCs/>
                <w:i w:val="0"/>
                <w:iCs w:val="0"/>
                <w:color w:val="000000"/>
                <w:sz w:val="24"/>
                <w:szCs w:val="24"/>
                <w:u w:val="none"/>
                <w:lang w:val="en-US" w:eastAsia="zh-CN" w:bidi="ar"/>
              </w:rPr>
            </w:pPr>
            <w:r>
              <w:rPr>
                <w:rFonts w:hint="eastAsia" w:ascii="仿宋" w:hAnsi="仿宋" w:eastAsia="仿宋" w:cs="仿宋"/>
                <w:b/>
                <w:bCs/>
                <w:i w:val="0"/>
                <w:iCs w:val="0"/>
                <w:color w:val="000000"/>
                <w:sz w:val="24"/>
                <w:szCs w:val="24"/>
                <w:u w:val="none"/>
                <w:lang w:val="en-US" w:eastAsia="zh-CN" w:bidi="ar"/>
              </w:rPr>
              <w:t>关于“小报告厅系统灯光及舞台机械设备检测报告承诺函”的响应情况</w:t>
            </w:r>
          </w:p>
        </w:tc>
        <w:tc>
          <w:tcPr>
            <w:tcW w:w="1922" w:type="dxa"/>
            <w:noWrap w:val="0"/>
            <w:vAlign w:val="center"/>
          </w:tcPr>
          <w:p w14:paraId="5706A3F1">
            <w:pPr>
              <w:keepNext w:val="0"/>
              <w:keepLines w:val="0"/>
              <w:widowControl/>
              <w:suppressLineNumbers w:val="0"/>
              <w:jc w:val="left"/>
              <w:rPr>
                <w:rFonts w:ascii="仿宋" w:hAnsi="仿宋" w:eastAsia="仿宋" w:cs="仿宋"/>
                <w:sz w:val="24"/>
                <w:szCs w:val="24"/>
                <w:lang w:val="en-US" w:eastAsia="zh-CN" w:bidi="ar"/>
              </w:rPr>
            </w:pPr>
            <w:r>
              <w:rPr>
                <w:rFonts w:hint="eastAsia" w:ascii="仿宋" w:hAnsi="仿宋" w:eastAsia="仿宋" w:cs="仿宋"/>
                <w:sz w:val="24"/>
                <w:szCs w:val="24"/>
                <w:lang w:val="en-US" w:eastAsia="zh-CN" w:bidi="ar"/>
              </w:rPr>
              <w:t>舞台机械全沉浸式控制系统模块★1-9项投标时须提供承诺（格式自拟），中标后签订合同前提供CMA/CNAS检测报告原件（详见</w:t>
            </w:r>
            <w:r>
              <w:rPr>
                <w:rFonts w:hint="eastAsia" w:ascii="仿宋" w:hAnsi="仿宋" w:eastAsia="仿宋" w:cs="仿宋"/>
                <w:color w:val="000000"/>
                <w:sz w:val="24"/>
                <w:szCs w:val="24"/>
              </w:rPr>
              <w:t>招标文件第六章《采购需求》中</w:t>
            </w:r>
            <w:r>
              <w:rPr>
                <w:rFonts w:hint="eastAsia" w:ascii="仿宋" w:hAnsi="仿宋" w:eastAsia="仿宋" w:cs="仿宋"/>
                <w:sz w:val="24"/>
                <w:szCs w:val="24"/>
                <w:lang w:val="en-US" w:eastAsia="zh-CN" w:bidi="ar"/>
              </w:rPr>
              <w:t>“三、主要技术要求”中</w:t>
            </w:r>
            <w:r>
              <w:rPr>
                <w:rFonts w:hint="eastAsia" w:ascii="仿宋" w:hAnsi="仿宋" w:eastAsia="仿宋" w:cs="仿宋"/>
                <w:b/>
                <w:bCs/>
                <w:i w:val="0"/>
                <w:iCs w:val="0"/>
                <w:color w:val="000000"/>
                <w:sz w:val="24"/>
                <w:szCs w:val="24"/>
                <w:u w:val="none"/>
                <w:lang w:val="en-US" w:eastAsia="zh-CN" w:bidi="ar"/>
              </w:rPr>
              <w:t>小报告厅系统灯光及舞台机械设备部分。</w:t>
            </w:r>
          </w:p>
        </w:tc>
        <w:tc>
          <w:tcPr>
            <w:tcW w:w="2475" w:type="dxa"/>
            <w:noWrap w:val="0"/>
            <w:vAlign w:val="center"/>
          </w:tcPr>
          <w:p w14:paraId="7CC50802">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2C0C0C9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hint="eastAsia" w:ascii="仿宋" w:hAnsi="仿宋" w:eastAsia="仿宋" w:cs="仿宋"/>
                <w:i w:val="0"/>
                <w:iCs w:val="0"/>
                <w:color w:val="000000"/>
                <w:sz w:val="24"/>
                <w:szCs w:val="24"/>
                <w:u w:val="none"/>
                <w:lang w:val="en-US" w:eastAsia="zh-CN" w:bidi="ar"/>
              </w:rPr>
            </w:pPr>
            <w:r>
              <w:rPr>
                <w:rFonts w:hint="eastAsia" w:ascii="仿宋" w:hAnsi="仿宋" w:eastAsia="仿宋" w:cs="仿宋"/>
                <w:i w:val="0"/>
                <w:iCs w:val="0"/>
                <w:color w:val="000000"/>
                <w:sz w:val="24"/>
                <w:szCs w:val="24"/>
                <w:u w:val="none"/>
                <w:lang w:val="en-US" w:eastAsia="zh-CN" w:bidi="ar"/>
              </w:rPr>
              <w:t>中标后签订合同前需提供带有“CMA”或“CNAS”标志的检测报告原件（提供承诺，格式自拟）</w:t>
            </w:r>
          </w:p>
        </w:tc>
      </w:tr>
      <w:tr w14:paraId="1417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441DBD7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2734" w:type="dxa"/>
            <w:noWrap w:val="0"/>
            <w:vAlign w:val="center"/>
          </w:tcPr>
          <w:p w14:paraId="37C30DEC">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其他标注★的实质性技术参数</w:t>
            </w:r>
          </w:p>
        </w:tc>
        <w:tc>
          <w:tcPr>
            <w:tcW w:w="1922" w:type="dxa"/>
            <w:noWrap w:val="0"/>
            <w:vAlign w:val="center"/>
          </w:tcPr>
          <w:p w14:paraId="1BE9E712">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bidi="ar"/>
              </w:rPr>
              <w:t>除上述已列明的★条款外，招标文件第六章中凡标注“★”的条款均为实质性响应指标，有一项不满足做无效投标处理。</w:t>
            </w:r>
          </w:p>
        </w:tc>
        <w:tc>
          <w:tcPr>
            <w:tcW w:w="2475" w:type="dxa"/>
            <w:noWrap w:val="0"/>
            <w:vAlign w:val="center"/>
          </w:tcPr>
          <w:p w14:paraId="1400565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4B00E07A">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6B71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549253E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2734" w:type="dxa"/>
            <w:noWrap w:val="0"/>
            <w:vAlign w:val="center"/>
          </w:tcPr>
          <w:p w14:paraId="1C2079BA">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center"/>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关于“投标报价的相关说明”的响应情况</w:t>
            </w:r>
          </w:p>
        </w:tc>
        <w:tc>
          <w:tcPr>
            <w:tcW w:w="1922" w:type="dxa"/>
            <w:noWrap w:val="0"/>
            <w:vAlign w:val="center"/>
          </w:tcPr>
          <w:p w14:paraId="4C21B9B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center"/>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见招标文件第六章《采购需求》中相关要求</w:t>
            </w:r>
          </w:p>
        </w:tc>
        <w:tc>
          <w:tcPr>
            <w:tcW w:w="2475" w:type="dxa"/>
            <w:noWrap w:val="0"/>
            <w:vAlign w:val="center"/>
          </w:tcPr>
          <w:p w14:paraId="111DF895">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6EFBF11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7EA4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26F9163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734" w:type="dxa"/>
            <w:noWrap w:val="0"/>
            <w:vAlign w:val="center"/>
          </w:tcPr>
          <w:p w14:paraId="2F13E28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center"/>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关于“付款方式”的响应情况</w:t>
            </w:r>
          </w:p>
        </w:tc>
        <w:tc>
          <w:tcPr>
            <w:tcW w:w="1922" w:type="dxa"/>
            <w:noWrap w:val="0"/>
            <w:vAlign w:val="center"/>
          </w:tcPr>
          <w:p w14:paraId="484DE1F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ind w:left="0" w:right="0"/>
              <w:jc w:val="center"/>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见招标文件第六章《采购需求》中相关要求</w:t>
            </w:r>
          </w:p>
        </w:tc>
        <w:tc>
          <w:tcPr>
            <w:tcW w:w="2475" w:type="dxa"/>
            <w:noWrap w:val="0"/>
            <w:vAlign w:val="center"/>
          </w:tcPr>
          <w:p w14:paraId="1D66D70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0E71B883">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0054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3DCE4E43">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734" w:type="dxa"/>
            <w:noWrap w:val="0"/>
            <w:vAlign w:val="center"/>
          </w:tcPr>
          <w:p w14:paraId="15FD0DC5">
            <w:pPr>
              <w:keepNext w:val="0"/>
              <w:keepLines w:val="0"/>
              <w:widowControl/>
              <w:suppressLineNumbers w:val="0"/>
              <w:jc w:val="left"/>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关于“</w:t>
            </w:r>
            <w:r>
              <w:rPr>
                <w:rFonts w:ascii="仿宋" w:hAnsi="仿宋" w:eastAsia="仿宋" w:cs="仿宋"/>
                <w:sz w:val="24"/>
                <w:szCs w:val="24"/>
                <w:lang w:val="en-US" w:eastAsia="zh-CN" w:bidi="ar"/>
              </w:rPr>
              <w:t>供货时间</w:t>
            </w:r>
            <w:r>
              <w:rPr>
                <w:rFonts w:hint="eastAsia" w:ascii="仿宋" w:hAnsi="仿宋" w:eastAsia="仿宋" w:cs="仿宋"/>
                <w:color w:val="000000"/>
                <w:sz w:val="24"/>
                <w:szCs w:val="24"/>
              </w:rPr>
              <w:t>”的响应情况</w:t>
            </w:r>
          </w:p>
        </w:tc>
        <w:tc>
          <w:tcPr>
            <w:tcW w:w="1922" w:type="dxa"/>
            <w:noWrap w:val="0"/>
            <w:vAlign w:val="center"/>
          </w:tcPr>
          <w:p w14:paraId="2BADAC42">
            <w:pPr>
              <w:keepNext w:val="0"/>
              <w:keepLines w:val="0"/>
              <w:widowControl/>
              <w:suppressLineNumbers w:val="0"/>
              <w:jc w:val="left"/>
              <w:rPr>
                <w:rFonts w:hint="eastAsia" w:ascii="仿宋" w:hAnsi="仿宋" w:eastAsia="仿宋" w:cs="仿宋"/>
                <w:sz w:val="24"/>
                <w:szCs w:val="24"/>
                <w:lang w:val="en-US" w:eastAsia="zh-CN" w:bidi="ar"/>
              </w:rPr>
            </w:pPr>
            <w:r>
              <w:rPr>
                <w:rFonts w:hint="eastAsia" w:ascii="仿宋" w:hAnsi="仿宋" w:eastAsia="仿宋" w:cs="仿宋"/>
                <w:color w:val="000000"/>
                <w:sz w:val="24"/>
                <w:szCs w:val="24"/>
              </w:rPr>
              <w:t>见招标文件第六章《采购需求》中相关要求</w:t>
            </w:r>
          </w:p>
        </w:tc>
        <w:tc>
          <w:tcPr>
            <w:tcW w:w="2475" w:type="dxa"/>
            <w:noWrap w:val="0"/>
            <w:vAlign w:val="center"/>
          </w:tcPr>
          <w:p w14:paraId="0E5D3FC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c>
          <w:tcPr>
            <w:tcW w:w="1206" w:type="dxa"/>
            <w:noWrap w:val="0"/>
            <w:vAlign w:val="center"/>
          </w:tcPr>
          <w:p w14:paraId="5EBF4891">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p>
        </w:tc>
      </w:tr>
      <w:tr w14:paraId="4208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CellSpacing w:w="0" w:type="dxa"/>
        </w:trPr>
        <w:tc>
          <w:tcPr>
            <w:tcW w:w="659" w:type="dxa"/>
            <w:noWrap w:val="0"/>
            <w:vAlign w:val="center"/>
          </w:tcPr>
          <w:p w14:paraId="2A847AF2">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2734" w:type="dxa"/>
            <w:noWrap w:val="0"/>
            <w:vAlign w:val="center"/>
          </w:tcPr>
          <w:p w14:paraId="41FBEDC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关于“</w:t>
            </w:r>
            <w:r>
              <w:rPr>
                <w:rFonts w:ascii="仿宋" w:hAnsi="仿宋" w:eastAsia="仿宋" w:cs="仿宋"/>
                <w:color w:val="000000"/>
                <w:sz w:val="24"/>
                <w:szCs w:val="24"/>
                <w:lang w:val="en-US" w:eastAsia="zh-CN"/>
              </w:rPr>
              <w:t>验收标准</w:t>
            </w:r>
            <w:r>
              <w:rPr>
                <w:rFonts w:hint="eastAsia" w:ascii="仿宋" w:hAnsi="仿宋" w:eastAsia="仿宋" w:cs="仿宋"/>
                <w:color w:val="000000"/>
                <w:sz w:val="24"/>
                <w:szCs w:val="24"/>
              </w:rPr>
              <w:t>”的响应情况</w:t>
            </w:r>
          </w:p>
        </w:tc>
        <w:tc>
          <w:tcPr>
            <w:tcW w:w="1922" w:type="dxa"/>
            <w:noWrap w:val="0"/>
            <w:vAlign w:val="center"/>
          </w:tcPr>
          <w:p w14:paraId="3E724768">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rPr>
                <w:rFonts w:hint="eastAsia" w:ascii="仿宋" w:hAnsi="仿宋" w:eastAsia="仿宋" w:cs="仿宋"/>
                <w:color w:val="000000"/>
                <w:sz w:val="24"/>
                <w:szCs w:val="24"/>
              </w:rPr>
              <w:t>见招标文件第六章《采购需求》中相关要求</w:t>
            </w:r>
          </w:p>
        </w:tc>
        <w:tc>
          <w:tcPr>
            <w:tcW w:w="2475" w:type="dxa"/>
            <w:noWrap w:val="0"/>
            <w:vAlign w:val="center"/>
          </w:tcPr>
          <w:p w14:paraId="5756027B">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t> </w:t>
            </w:r>
          </w:p>
        </w:tc>
        <w:tc>
          <w:tcPr>
            <w:tcW w:w="1206" w:type="dxa"/>
            <w:noWrap w:val="0"/>
            <w:vAlign w:val="center"/>
          </w:tcPr>
          <w:p w14:paraId="35A7F64F">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pPr>
            <w:r>
              <w:t> </w:t>
            </w:r>
          </w:p>
        </w:tc>
      </w:tr>
    </w:tbl>
    <w:p w14:paraId="7281B20D">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r>
        <w:rPr>
          <w:rFonts w:hint="eastAsia" w:ascii="仿宋" w:hAnsi="仿宋" w:eastAsia="仿宋" w:cs="仿宋"/>
          <w:color w:val="000000"/>
          <w:sz w:val="24"/>
          <w:szCs w:val="24"/>
        </w:rPr>
        <w:t>注：</w:t>
      </w:r>
    </w:p>
    <w:p w14:paraId="4F34CB17">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rPr>
          <w:rFonts w:hint="eastAsia" w:ascii="仿宋" w:hAnsi="仿宋" w:eastAsia="仿宋" w:cs="仿宋"/>
          <w:color w:val="000000"/>
          <w:sz w:val="24"/>
          <w:szCs w:val="24"/>
          <w:u w:val="single"/>
        </w:rPr>
        <w:t>1.上表</w:t>
      </w:r>
      <w:r>
        <w:rPr>
          <w:rFonts w:hint="eastAsia" w:ascii="仿宋" w:hAnsi="仿宋" w:eastAsia="仿宋" w:cs="仿宋"/>
          <w:b/>
          <w:bCs/>
          <w:color w:val="000000"/>
          <w:sz w:val="24"/>
          <w:szCs w:val="24"/>
          <w:u w:val="single"/>
        </w:rPr>
        <w:t>响应情况栏为必填内容</w:t>
      </w:r>
      <w:r>
        <w:rPr>
          <w:rFonts w:hint="eastAsia" w:ascii="仿宋" w:hAnsi="仿宋" w:eastAsia="仿宋" w:cs="仿宋"/>
          <w:color w:val="000000"/>
          <w:sz w:val="24"/>
          <w:szCs w:val="24"/>
          <w:u w:val="single"/>
        </w:rPr>
        <w:t>。</w:t>
      </w:r>
    </w:p>
    <w:p w14:paraId="04CDF94C">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rFonts w:hint="eastAsia" w:ascii="仿宋" w:hAnsi="仿宋" w:eastAsia="仿宋" w:cs="仿宋"/>
          <w:b/>
          <w:bCs/>
          <w:color w:val="000000"/>
          <w:sz w:val="24"/>
          <w:szCs w:val="24"/>
          <w:u w:val="single"/>
        </w:rPr>
      </w:pPr>
      <w:r>
        <w:rPr>
          <w:rFonts w:hint="eastAsia" w:ascii="仿宋" w:hAnsi="仿宋" w:eastAsia="仿宋" w:cs="仿宋"/>
          <w:color w:val="000000"/>
          <w:sz w:val="24"/>
          <w:szCs w:val="24"/>
          <w:u w:val="single"/>
        </w:rPr>
        <w:t>2.</w:t>
      </w:r>
      <w:r>
        <w:rPr>
          <w:rFonts w:hint="eastAsia" w:ascii="仿宋" w:hAnsi="仿宋" w:eastAsia="仿宋" w:cs="仿宋"/>
          <w:b/>
          <w:bCs/>
          <w:color w:val="000000"/>
          <w:sz w:val="24"/>
          <w:szCs w:val="24"/>
          <w:u w:val="single"/>
        </w:rPr>
        <w:t>如响应情况栏未填写或填写“未完全响应”，或未实质性响应说明栏内相关内容（如有）的</w:t>
      </w:r>
      <w:r>
        <w:rPr>
          <w:rFonts w:hint="eastAsia" w:ascii="仿宋" w:hAnsi="仿宋" w:eastAsia="仿宋" w:cs="仿宋"/>
          <w:b/>
          <w:bCs/>
          <w:color w:val="000000"/>
          <w:sz w:val="24"/>
          <w:szCs w:val="24"/>
          <w:u w:val="single"/>
          <w:lang w:eastAsia="zh-CN"/>
        </w:rPr>
        <w:t>，</w:t>
      </w:r>
      <w:r>
        <w:rPr>
          <w:rFonts w:hint="eastAsia" w:ascii="仿宋" w:hAnsi="仿宋" w:eastAsia="仿宋" w:cs="仿宋"/>
          <w:b/>
          <w:bCs/>
          <w:color w:val="000000"/>
          <w:sz w:val="24"/>
          <w:szCs w:val="24"/>
          <w:u w:val="single"/>
        </w:rPr>
        <w:t>在符合性审查时均按照投标无效处理。</w:t>
      </w:r>
    </w:p>
    <w:p w14:paraId="1DD0F07F">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rPr>
          <w:rFonts w:hint="eastAsia" w:ascii="仿宋" w:hAnsi="仿宋" w:eastAsia="仿宋" w:cs="仿宋"/>
          <w:b/>
          <w:bCs/>
          <w:color w:val="000000"/>
          <w:sz w:val="24"/>
          <w:szCs w:val="24"/>
          <w:u w:val="single"/>
        </w:rPr>
      </w:pPr>
    </w:p>
    <w:p w14:paraId="7E24C874">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p>
    <w:p w14:paraId="31505832">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p>
    <w:p w14:paraId="7E70D048">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t> </w:t>
      </w:r>
    </w:p>
    <w:p w14:paraId="6642E9B0">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00" w:lineRule="auto"/>
        <w:ind w:left="0" w:firstLine="3120"/>
        <w:jc w:val="both"/>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（电子签章）  </w:t>
      </w:r>
    </w:p>
    <w:p w14:paraId="52BA0C28">
      <w:pPr>
        <w:pStyle w:val="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firstLine="3120"/>
        <w:jc w:val="both"/>
      </w:pPr>
      <w:r>
        <w:rPr>
          <w:rFonts w:hint="eastAsia" w:ascii="仿宋" w:hAnsi="仿宋" w:eastAsia="仿宋" w:cs="仿宋"/>
          <w:color w:val="000000"/>
          <w:sz w:val="24"/>
          <w:szCs w:val="24"/>
        </w:rPr>
        <w:t>日期：   年  月  日</w:t>
      </w:r>
    </w:p>
    <w:p w14:paraId="4AEEA5AB"/>
    <w:p w14:paraId="2EAB678F"/>
    <w:p w14:paraId="1B4D8FCD"/>
    <w:sectPr>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7F" w:usb3="00000000" w:csb0="203F01FF" w:csb1="DFFF0000"/>
  </w:font>
  <w:font w:name="华文楷体">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CCBC">
    <w:pPr>
      <w:pStyle w:val="26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50698C1D">
                          <w:pPr>
                            <w:pStyle w:val="266"/>
                            <w:tabs>
                              <w:tab w:val="clear" w:pos="4153"/>
                              <w:tab w:val="clear" w:pos="8306"/>
                            </w:tabs>
                            <w:rPr>
                              <w:rStyle w:val="273"/>
                            </w:rPr>
                          </w:pPr>
                          <w:r>
                            <w:fldChar w:fldCharType="begin"/>
                          </w:r>
                          <w:r>
                            <w:rPr>
                              <w:rStyle w:val="273"/>
                            </w:rPr>
                            <w:instrText xml:space="preserve">PAGE  </w:instrText>
                          </w:r>
                          <w:r>
                            <w:fldChar w:fldCharType="separate"/>
                          </w:r>
                          <w:r>
                            <w:rPr>
                              <w:rStyle w:val="273"/>
                            </w:rPr>
                            <w:t>1</w:t>
                          </w:r>
                          <w:r>
                            <w:fldChar w:fldCharType="end"/>
                          </w:r>
                        </w:p>
                        <w:p w14:paraId="47ECE8B2"/>
                        <w:p w14:paraId="3ADB38B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0lY7tAAAAAFAQAADwAAAAAAAAABACAA&#10;AAAiAAAAZHJzL2Rvd25yZXYueG1sUEsBAhQAFAAAAAgAh07iQAg2Mu3cAQAAsAMAAA4AAAAAAAAA&#10;AQAgAAAAHwEAAGRycy9lMm9Eb2MueG1sUEsFBgAAAAAGAAYAWQEAAG0FAAAAAA==&#10;">
              <v:fill on="f" focussize="0,0"/>
              <v:stroke on="f" weight="0.5pt"/>
              <v:imagedata o:title=""/>
              <o:lock v:ext="edit" aspectratio="f"/>
              <v:textbox inset="0mm,0mm,0mm,0mm" style="mso-fit-shape-to-text:t;">
                <w:txbxContent>
                  <w:p w14:paraId="50698C1D">
                    <w:pPr>
                      <w:pStyle w:val="266"/>
                      <w:tabs>
                        <w:tab w:val="clear" w:pos="4153"/>
                        <w:tab w:val="clear" w:pos="8306"/>
                      </w:tabs>
                      <w:rPr>
                        <w:rStyle w:val="273"/>
                      </w:rPr>
                    </w:pPr>
                    <w:r>
                      <w:fldChar w:fldCharType="begin"/>
                    </w:r>
                    <w:r>
                      <w:rPr>
                        <w:rStyle w:val="273"/>
                      </w:rPr>
                      <w:instrText xml:space="preserve">PAGE  </w:instrText>
                    </w:r>
                    <w:r>
                      <w:fldChar w:fldCharType="separate"/>
                    </w:r>
                    <w:r>
                      <w:rPr>
                        <w:rStyle w:val="273"/>
                      </w:rPr>
                      <w:t>1</w:t>
                    </w:r>
                    <w:r>
                      <w:fldChar w:fldCharType="end"/>
                    </w:r>
                  </w:p>
                  <w:p w14:paraId="47ECE8B2"/>
                  <w:p w14:paraId="3ADB38B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F272">
    <w:pPr>
      <w:pStyle w:val="266"/>
      <w:framePr w:wrap="around" w:vAnchor="text" w:hAnchor="margin" w:xAlign="center" w:y="1"/>
      <w:rPr>
        <w:rStyle w:val="273"/>
      </w:rPr>
    </w:pPr>
    <w:r>
      <w:fldChar w:fldCharType="begin"/>
    </w:r>
    <w:r>
      <w:rPr>
        <w:rStyle w:val="273"/>
      </w:rPr>
      <w:instrText xml:space="preserve">PAGE  </w:instrText>
    </w:r>
    <w:r>
      <w:fldChar w:fldCharType="end"/>
    </w:r>
  </w:p>
  <w:p w14:paraId="5122C119">
    <w:pPr>
      <w:pStyle w:val="26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1363">
    <w:pPr>
      <w:pStyle w:val="268"/>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decimal"/>
      <w:lvlText w:val="%1."/>
      <w:lvlJc w:val="left"/>
      <w:pPr>
        <w:tabs>
          <w:tab w:val="left" w:pos="312"/>
        </w:tabs>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6"/>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7">
    <w:nsid w:val="25B654F3"/>
    <w:multiLevelType w:val="multilevel"/>
    <w:tmpl w:val="25B654F3"/>
    <w:lvl w:ilvl="0" w:tentative="0">
      <w:start w:val="16"/>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59ADCABA"/>
    <w:multiLevelType w:val="multilevel"/>
    <w:tmpl w:val="59ADCABA"/>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72183CF9"/>
    <w:multiLevelType w:val="multilevel"/>
    <w:tmpl w:val="72183CF9"/>
    <w:lvl w:ilvl="0" w:tentative="0">
      <w:start w:val="23"/>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93C41"/>
    <w:rsid w:val="2E046592"/>
    <w:rsid w:val="5174023D"/>
    <w:rsid w:val="545A732F"/>
    <w:rsid w:val="5FFA30AD"/>
    <w:rsid w:val="684257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semiHidden/>
    <w:unhideWhenUsed/>
    <w:qFormat/>
    <w:uiPriority w:val="99"/>
    <w:pPr>
      <w:spacing w:after="0" w:line="240" w:lineRule="auto"/>
    </w:pPr>
    <w:rPr>
      <w:sz w:val="20"/>
    </w:rPr>
  </w:style>
  <w:style w:type="paragraph" w:styleId="17">
    <w:name w:val="footer"/>
    <w:basedOn w:val="1"/>
    <w:unhideWhenUsed/>
    <w:qFormat/>
    <w:uiPriority w:val="99"/>
    <w:pPr>
      <w:tabs>
        <w:tab w:val="center" w:pos="7143"/>
        <w:tab w:val="right" w:pos="14287"/>
      </w:tabs>
      <w:spacing w:after="0" w:line="240" w:lineRule="auto"/>
    </w:pPr>
  </w:style>
  <w:style w:type="paragraph" w:styleId="18">
    <w:name w:val="header"/>
    <w:basedOn w:val="1"/>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qFormat/>
    <w:uiPriority w:val="11"/>
    <w:pPr>
      <w:spacing w:before="200" w:after="200"/>
    </w:pPr>
    <w:rPr>
      <w:sz w:val="24"/>
      <w:szCs w:val="24"/>
    </w:rPr>
  </w:style>
  <w:style w:type="paragraph" w:styleId="22">
    <w:name w:val="footnote text"/>
    <w:basedOn w:val="1"/>
    <w:semiHidden/>
    <w:unhideWhenUsed/>
    <w:qFormat/>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标题 3 Char"/>
    <w:basedOn w:val="35"/>
    <w:link w:val="36"/>
    <w:qFormat/>
    <w:uiPriority w:val="9"/>
    <w:rPr>
      <w:rFonts w:ascii="Tahoma" w:hAnsi="Tahoma" w:eastAsia="微软雅黑" w:cs="Times New Roman"/>
      <w:b/>
      <w:bCs/>
      <w:sz w:val="32"/>
      <w:szCs w:val="32"/>
    </w:rPr>
  </w:style>
  <w:style w:type="character" w:customStyle="1" w:styleId="35">
    <w:name w:val="默认段落字体1"/>
    <w:link w:val="1"/>
    <w:unhideWhenUsed/>
    <w:qFormat/>
    <w:uiPriority w:val="1"/>
  </w:style>
  <w:style w:type="paragraph" w:customStyle="1" w:styleId="36">
    <w:name w:val="标题 31"/>
    <w:basedOn w:val="1"/>
    <w:next w:val="1"/>
    <w:link w:val="34"/>
    <w:unhideWhenUsed/>
    <w:qFormat/>
    <w:uiPriority w:val="9"/>
    <w:pPr>
      <w:keepNext/>
      <w:keepLines/>
      <w:widowControl/>
      <w:spacing w:before="260" w:after="260" w:line="416" w:lineRule="auto"/>
      <w:jc w:val="left"/>
      <w:outlineLvl w:val="2"/>
    </w:pPr>
    <w:rPr>
      <w:rFonts w:ascii="Tahoma" w:hAnsi="Tahoma" w:eastAsia="微软雅黑" w:cs="Times New Roman"/>
      <w:b/>
      <w:bCs/>
      <w:sz w:val="32"/>
      <w:szCs w:val="32"/>
    </w:rPr>
  </w:style>
  <w:style w:type="character" w:customStyle="1" w:styleId="37">
    <w:name w:val="标题 1 Char"/>
    <w:link w:val="38"/>
    <w:qFormat/>
    <w:uiPriority w:val="0"/>
    <w:rPr>
      <w:rFonts w:eastAsia="新宋体"/>
      <w:b/>
      <w:bCs/>
      <w:sz w:val="30"/>
      <w:szCs w:val="44"/>
    </w:rPr>
  </w:style>
  <w:style w:type="paragraph" w:customStyle="1" w:styleId="38">
    <w:name w:val="标题 11"/>
    <w:basedOn w:val="1"/>
    <w:next w:val="1"/>
    <w:link w:val="37"/>
    <w:qFormat/>
    <w:uiPriority w:val="0"/>
    <w:pPr>
      <w:keepNext/>
      <w:keepLines/>
      <w:spacing w:line="578" w:lineRule="auto"/>
      <w:jc w:val="center"/>
      <w:outlineLvl w:val="0"/>
    </w:pPr>
    <w:rPr>
      <w:rFonts w:eastAsia="新宋体"/>
      <w:b/>
      <w:bCs/>
      <w:sz w:val="30"/>
      <w:szCs w:val="44"/>
    </w:rPr>
  </w:style>
  <w:style w:type="paragraph" w:customStyle="1" w:styleId="39">
    <w:name w:val="标题 111"/>
    <w:basedOn w:val="1"/>
    <w:next w:val="1"/>
    <w:link w:val="50"/>
    <w:qFormat/>
    <w:uiPriority w:val="9"/>
    <w:pPr>
      <w:keepNext/>
      <w:keepLines/>
      <w:spacing w:before="480" w:after="200"/>
      <w:outlineLvl w:val="0"/>
    </w:pPr>
    <w:rPr>
      <w:rFonts w:ascii="Arial" w:hAnsi="Arial" w:eastAsia="Arial" w:cs="Arial"/>
      <w:sz w:val="40"/>
      <w:szCs w:val="40"/>
    </w:rPr>
  </w:style>
  <w:style w:type="paragraph" w:customStyle="1" w:styleId="40">
    <w:name w:val="标题 211"/>
    <w:basedOn w:val="1"/>
    <w:next w:val="1"/>
    <w:link w:val="51"/>
    <w:unhideWhenUsed/>
    <w:qFormat/>
    <w:uiPriority w:val="9"/>
    <w:pPr>
      <w:keepNext/>
      <w:keepLines/>
      <w:spacing w:before="360" w:after="200"/>
      <w:outlineLvl w:val="1"/>
    </w:pPr>
    <w:rPr>
      <w:rFonts w:ascii="Arial" w:hAnsi="Arial" w:eastAsia="Arial" w:cs="Arial"/>
      <w:sz w:val="34"/>
    </w:rPr>
  </w:style>
  <w:style w:type="paragraph" w:customStyle="1" w:styleId="41">
    <w:name w:val="标题 311"/>
    <w:basedOn w:val="1"/>
    <w:next w:val="1"/>
    <w:link w:val="52"/>
    <w:unhideWhenUsed/>
    <w:qFormat/>
    <w:uiPriority w:val="9"/>
    <w:pPr>
      <w:keepNext/>
      <w:keepLines/>
      <w:spacing w:before="320" w:after="200"/>
      <w:outlineLvl w:val="2"/>
    </w:pPr>
    <w:rPr>
      <w:rFonts w:ascii="Arial" w:hAnsi="Arial" w:eastAsia="Arial" w:cs="Arial"/>
      <w:sz w:val="30"/>
      <w:szCs w:val="30"/>
    </w:rPr>
  </w:style>
  <w:style w:type="paragraph" w:customStyle="1" w:styleId="42">
    <w:name w:val="标题 411"/>
    <w:basedOn w:val="1"/>
    <w:next w:val="1"/>
    <w:link w:val="53"/>
    <w:unhideWhenUsed/>
    <w:qFormat/>
    <w:uiPriority w:val="9"/>
    <w:pPr>
      <w:keepNext/>
      <w:keepLines/>
      <w:spacing w:before="320" w:after="200"/>
      <w:outlineLvl w:val="3"/>
    </w:pPr>
    <w:rPr>
      <w:rFonts w:ascii="Arial" w:hAnsi="Arial" w:eastAsia="Arial" w:cs="Arial"/>
      <w:b/>
      <w:bCs/>
      <w:sz w:val="26"/>
      <w:szCs w:val="26"/>
    </w:rPr>
  </w:style>
  <w:style w:type="paragraph" w:customStyle="1" w:styleId="43">
    <w:name w:val="标题 51"/>
    <w:basedOn w:val="1"/>
    <w:next w:val="1"/>
    <w:link w:val="54"/>
    <w:unhideWhenUsed/>
    <w:qFormat/>
    <w:uiPriority w:val="9"/>
    <w:pPr>
      <w:keepNext/>
      <w:keepLines/>
      <w:spacing w:before="320" w:after="200"/>
      <w:outlineLvl w:val="4"/>
    </w:pPr>
    <w:rPr>
      <w:rFonts w:ascii="Arial" w:hAnsi="Arial" w:eastAsia="Arial" w:cs="Arial"/>
      <w:b/>
      <w:bCs/>
      <w:sz w:val="24"/>
      <w:szCs w:val="24"/>
    </w:rPr>
  </w:style>
  <w:style w:type="paragraph" w:customStyle="1" w:styleId="44">
    <w:name w:val="标题 61"/>
    <w:basedOn w:val="1"/>
    <w:next w:val="1"/>
    <w:link w:val="55"/>
    <w:unhideWhenUsed/>
    <w:qFormat/>
    <w:uiPriority w:val="9"/>
    <w:pPr>
      <w:keepNext/>
      <w:keepLines/>
      <w:spacing w:before="320" w:after="200"/>
      <w:outlineLvl w:val="5"/>
    </w:pPr>
    <w:rPr>
      <w:rFonts w:ascii="Arial" w:hAnsi="Arial" w:eastAsia="Arial" w:cs="Arial"/>
      <w:b/>
      <w:bCs/>
      <w:sz w:val="22"/>
      <w:szCs w:val="22"/>
    </w:rPr>
  </w:style>
  <w:style w:type="paragraph" w:customStyle="1" w:styleId="45">
    <w:name w:val="标题 71"/>
    <w:basedOn w:val="1"/>
    <w:next w:val="1"/>
    <w:link w:val="56"/>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6">
    <w:name w:val="标题 81"/>
    <w:basedOn w:val="1"/>
    <w:next w:val="1"/>
    <w:link w:val="57"/>
    <w:unhideWhenUsed/>
    <w:qFormat/>
    <w:uiPriority w:val="9"/>
    <w:pPr>
      <w:keepNext/>
      <w:keepLines/>
      <w:spacing w:before="320" w:after="200"/>
      <w:outlineLvl w:val="7"/>
    </w:pPr>
    <w:rPr>
      <w:rFonts w:ascii="Arial" w:hAnsi="Arial" w:eastAsia="Arial" w:cs="Arial"/>
      <w:i/>
      <w:iCs/>
      <w:sz w:val="22"/>
      <w:szCs w:val="22"/>
    </w:rPr>
  </w:style>
  <w:style w:type="paragraph" w:customStyle="1" w:styleId="47">
    <w:name w:val="标题 91"/>
    <w:basedOn w:val="1"/>
    <w:next w:val="1"/>
    <w:link w:val="58"/>
    <w:unhideWhenUsed/>
    <w:qFormat/>
    <w:uiPriority w:val="9"/>
    <w:pPr>
      <w:keepNext/>
      <w:keepLines/>
      <w:spacing w:before="320" w:after="200"/>
      <w:outlineLvl w:val="8"/>
    </w:pPr>
    <w:rPr>
      <w:rFonts w:ascii="Arial" w:hAnsi="Arial" w:eastAsia="Arial" w:cs="Arial"/>
      <w:i/>
      <w:iCs/>
      <w:sz w:val="21"/>
      <w:szCs w:val="21"/>
    </w:rPr>
  </w:style>
  <w:style w:type="character" w:customStyle="1" w:styleId="48">
    <w:name w:val="默认段落字体11"/>
    <w:link w:val="1"/>
    <w:unhideWhenUsed/>
    <w:qFormat/>
    <w:uiPriority w:val="1"/>
  </w:style>
  <w:style w:type="table" w:customStyle="1" w:styleId="49">
    <w:name w:val="普通表格11"/>
    <w:unhideWhenUsed/>
    <w:qFormat/>
    <w:uiPriority w:val="99"/>
  </w:style>
  <w:style w:type="character" w:customStyle="1" w:styleId="50">
    <w:name w:val="Heading 1 Char"/>
    <w:link w:val="39"/>
    <w:qFormat/>
    <w:uiPriority w:val="9"/>
    <w:rPr>
      <w:rFonts w:ascii="Arial" w:hAnsi="Arial" w:eastAsia="Arial" w:cs="Arial"/>
      <w:sz w:val="40"/>
      <w:szCs w:val="40"/>
    </w:rPr>
  </w:style>
  <w:style w:type="character" w:customStyle="1" w:styleId="51">
    <w:name w:val="Heading 2 Char"/>
    <w:link w:val="40"/>
    <w:qFormat/>
    <w:uiPriority w:val="9"/>
    <w:rPr>
      <w:rFonts w:ascii="Arial" w:hAnsi="Arial" w:eastAsia="Arial" w:cs="Arial"/>
      <w:sz w:val="34"/>
    </w:rPr>
  </w:style>
  <w:style w:type="character" w:customStyle="1" w:styleId="52">
    <w:name w:val="Heading 3 Char"/>
    <w:link w:val="41"/>
    <w:qFormat/>
    <w:uiPriority w:val="9"/>
    <w:rPr>
      <w:rFonts w:ascii="Arial" w:hAnsi="Arial" w:eastAsia="Arial" w:cs="Arial"/>
      <w:sz w:val="30"/>
      <w:szCs w:val="30"/>
    </w:rPr>
  </w:style>
  <w:style w:type="character" w:customStyle="1" w:styleId="53">
    <w:name w:val="Heading 4 Char"/>
    <w:link w:val="42"/>
    <w:qFormat/>
    <w:uiPriority w:val="9"/>
    <w:rPr>
      <w:rFonts w:ascii="Arial" w:hAnsi="Arial" w:eastAsia="Arial" w:cs="Arial"/>
      <w:b/>
      <w:bCs/>
      <w:sz w:val="26"/>
      <w:szCs w:val="26"/>
    </w:rPr>
  </w:style>
  <w:style w:type="character" w:customStyle="1" w:styleId="54">
    <w:name w:val="Heading 5 Char"/>
    <w:link w:val="43"/>
    <w:qFormat/>
    <w:uiPriority w:val="9"/>
    <w:rPr>
      <w:rFonts w:ascii="Arial" w:hAnsi="Arial" w:eastAsia="Arial" w:cs="Arial"/>
      <w:b/>
      <w:bCs/>
      <w:sz w:val="24"/>
      <w:szCs w:val="24"/>
    </w:rPr>
  </w:style>
  <w:style w:type="character" w:customStyle="1" w:styleId="55">
    <w:name w:val="Heading 6 Char"/>
    <w:link w:val="44"/>
    <w:qFormat/>
    <w:uiPriority w:val="9"/>
    <w:rPr>
      <w:rFonts w:ascii="Arial" w:hAnsi="Arial" w:eastAsia="Arial" w:cs="Arial"/>
      <w:b/>
      <w:bCs/>
      <w:sz w:val="22"/>
      <w:szCs w:val="22"/>
    </w:rPr>
  </w:style>
  <w:style w:type="character" w:customStyle="1" w:styleId="56">
    <w:name w:val="Heading 7 Char"/>
    <w:link w:val="45"/>
    <w:qFormat/>
    <w:uiPriority w:val="9"/>
    <w:rPr>
      <w:rFonts w:ascii="Arial" w:hAnsi="Arial" w:eastAsia="Arial" w:cs="Arial"/>
      <w:b/>
      <w:bCs/>
      <w:i/>
      <w:iCs/>
      <w:sz w:val="22"/>
      <w:szCs w:val="22"/>
    </w:rPr>
  </w:style>
  <w:style w:type="character" w:customStyle="1" w:styleId="57">
    <w:name w:val="Heading 8 Char"/>
    <w:link w:val="46"/>
    <w:qFormat/>
    <w:uiPriority w:val="9"/>
    <w:rPr>
      <w:rFonts w:ascii="Arial" w:hAnsi="Arial" w:eastAsia="Arial" w:cs="Arial"/>
      <w:i/>
      <w:iCs/>
      <w:sz w:val="22"/>
      <w:szCs w:val="22"/>
    </w:rPr>
  </w:style>
  <w:style w:type="character" w:customStyle="1" w:styleId="58">
    <w:name w:val="Heading 9 Char"/>
    <w:link w:val="47"/>
    <w:qFormat/>
    <w:uiPriority w:val="9"/>
    <w:rPr>
      <w:rFonts w:ascii="Arial" w:hAnsi="Arial" w:eastAsia="Arial" w:cs="Arial"/>
      <w:i/>
      <w:iCs/>
      <w:sz w:val="21"/>
      <w:szCs w:val="21"/>
    </w:rPr>
  </w:style>
  <w:style w:type="paragraph" w:customStyle="1" w:styleId="59">
    <w:name w:val="目录 71"/>
    <w:basedOn w:val="1"/>
    <w:next w:val="1"/>
    <w:unhideWhenUsed/>
    <w:qFormat/>
    <w:uiPriority w:val="39"/>
    <w:pPr>
      <w:spacing w:after="57"/>
      <w:ind w:left="1701" w:right="0" w:firstLine="0"/>
    </w:pPr>
  </w:style>
  <w:style w:type="paragraph" w:customStyle="1" w:styleId="60">
    <w:name w:val="题注1"/>
    <w:basedOn w:val="1"/>
    <w:next w:val="1"/>
    <w:unhideWhenUsed/>
    <w:qFormat/>
    <w:uiPriority w:val="35"/>
    <w:pPr>
      <w:spacing w:line="276" w:lineRule="auto"/>
    </w:pPr>
    <w:rPr>
      <w:b/>
      <w:bCs/>
      <w:color w:val="4F81BD"/>
      <w:sz w:val="18"/>
      <w:szCs w:val="18"/>
    </w:rPr>
  </w:style>
  <w:style w:type="paragraph" w:customStyle="1" w:styleId="61">
    <w:name w:val="批注文字11"/>
    <w:basedOn w:val="1"/>
    <w:unhideWhenUsed/>
    <w:qFormat/>
    <w:uiPriority w:val="99"/>
    <w:pPr>
      <w:jc w:val="left"/>
    </w:pPr>
  </w:style>
  <w:style w:type="paragraph" w:customStyle="1" w:styleId="62">
    <w:name w:val="正文文本121"/>
    <w:basedOn w:val="1"/>
    <w:qFormat/>
    <w:uiPriority w:val="1"/>
    <w:pPr>
      <w:spacing w:after="120"/>
    </w:pPr>
    <w:rPr>
      <w:rFonts w:ascii="Calibri" w:hAnsi="Calibri"/>
    </w:rPr>
  </w:style>
  <w:style w:type="paragraph" w:customStyle="1" w:styleId="63">
    <w:name w:val="文本块11"/>
    <w:basedOn w:val="1"/>
    <w:next w:val="1"/>
    <w:qFormat/>
    <w:uiPriority w:val="99"/>
    <w:pPr>
      <w:ind w:left="420" w:right="33"/>
      <w:jc w:val="left"/>
    </w:pPr>
    <w:rPr>
      <w:sz w:val="24"/>
      <w:szCs w:val="20"/>
    </w:rPr>
  </w:style>
  <w:style w:type="paragraph" w:customStyle="1" w:styleId="64">
    <w:name w:val="目录 51"/>
    <w:basedOn w:val="1"/>
    <w:next w:val="1"/>
    <w:unhideWhenUsed/>
    <w:qFormat/>
    <w:uiPriority w:val="39"/>
    <w:pPr>
      <w:spacing w:after="57"/>
      <w:ind w:left="1134" w:right="0" w:firstLine="0"/>
    </w:pPr>
  </w:style>
  <w:style w:type="paragraph" w:customStyle="1" w:styleId="65">
    <w:name w:val="目录 31"/>
    <w:basedOn w:val="1"/>
    <w:next w:val="1"/>
    <w:unhideWhenUsed/>
    <w:qFormat/>
    <w:uiPriority w:val="39"/>
    <w:pPr>
      <w:spacing w:after="57"/>
      <w:ind w:left="567" w:right="0" w:firstLine="0"/>
    </w:pPr>
  </w:style>
  <w:style w:type="paragraph" w:customStyle="1" w:styleId="66">
    <w:name w:val="目录 81"/>
    <w:basedOn w:val="1"/>
    <w:next w:val="1"/>
    <w:unhideWhenUsed/>
    <w:qFormat/>
    <w:uiPriority w:val="39"/>
    <w:pPr>
      <w:spacing w:after="57"/>
      <w:ind w:left="1984" w:right="0" w:firstLine="0"/>
    </w:pPr>
  </w:style>
  <w:style w:type="paragraph" w:customStyle="1" w:styleId="67">
    <w:name w:val="尾注文本1"/>
    <w:basedOn w:val="1"/>
    <w:link w:val="68"/>
    <w:unhideWhenUsed/>
    <w:qFormat/>
    <w:uiPriority w:val="99"/>
    <w:pPr>
      <w:spacing w:after="0" w:line="240" w:lineRule="auto"/>
    </w:pPr>
    <w:rPr>
      <w:sz w:val="20"/>
    </w:rPr>
  </w:style>
  <w:style w:type="character" w:customStyle="1" w:styleId="68">
    <w:name w:val="Endnote Text Char"/>
    <w:link w:val="67"/>
    <w:qFormat/>
    <w:uiPriority w:val="99"/>
    <w:rPr>
      <w:sz w:val="20"/>
    </w:rPr>
  </w:style>
  <w:style w:type="paragraph" w:customStyle="1" w:styleId="69">
    <w:name w:val="页脚11"/>
    <w:basedOn w:val="1"/>
    <w:link w:val="92"/>
    <w:unhideWhenUsed/>
    <w:qFormat/>
    <w:uiPriority w:val="99"/>
    <w:pPr>
      <w:tabs>
        <w:tab w:val="center" w:pos="7143"/>
        <w:tab w:val="right" w:pos="14287"/>
      </w:tabs>
      <w:spacing w:after="0" w:line="240" w:lineRule="auto"/>
    </w:pPr>
  </w:style>
  <w:style w:type="character" w:customStyle="1" w:styleId="70">
    <w:name w:val="Caption Char"/>
    <w:link w:val="69"/>
    <w:qFormat/>
    <w:uiPriority w:val="99"/>
  </w:style>
  <w:style w:type="paragraph" w:customStyle="1" w:styleId="71">
    <w:name w:val="页眉11"/>
    <w:basedOn w:val="1"/>
    <w:link w:val="72"/>
    <w:unhideWhenUsed/>
    <w:qFormat/>
    <w:uiPriority w:val="99"/>
    <w:pPr>
      <w:tabs>
        <w:tab w:val="center" w:pos="7143"/>
        <w:tab w:val="right" w:pos="14287"/>
      </w:tabs>
      <w:spacing w:after="0" w:line="240" w:lineRule="auto"/>
    </w:pPr>
  </w:style>
  <w:style w:type="character" w:customStyle="1" w:styleId="72">
    <w:name w:val="Header Char"/>
    <w:link w:val="71"/>
    <w:qFormat/>
    <w:uiPriority w:val="99"/>
  </w:style>
  <w:style w:type="paragraph" w:customStyle="1" w:styleId="73">
    <w:name w:val="目录 11112"/>
    <w:basedOn w:val="1"/>
    <w:next w:val="1"/>
    <w:unhideWhenUsed/>
    <w:qFormat/>
    <w:uiPriority w:val="39"/>
    <w:pPr>
      <w:spacing w:after="57"/>
      <w:ind w:left="0" w:right="0" w:firstLine="0"/>
    </w:pPr>
  </w:style>
  <w:style w:type="paragraph" w:customStyle="1" w:styleId="74">
    <w:name w:val="目录 41"/>
    <w:basedOn w:val="1"/>
    <w:next w:val="1"/>
    <w:unhideWhenUsed/>
    <w:qFormat/>
    <w:uiPriority w:val="39"/>
    <w:pPr>
      <w:spacing w:after="57"/>
      <w:ind w:left="850" w:right="0" w:firstLine="0"/>
    </w:pPr>
  </w:style>
  <w:style w:type="paragraph" w:customStyle="1" w:styleId="75">
    <w:name w:val="副标题1"/>
    <w:basedOn w:val="1"/>
    <w:next w:val="1"/>
    <w:link w:val="76"/>
    <w:qFormat/>
    <w:uiPriority w:val="11"/>
    <w:pPr>
      <w:spacing w:before="200" w:after="200"/>
    </w:pPr>
    <w:rPr>
      <w:sz w:val="24"/>
      <w:szCs w:val="24"/>
    </w:rPr>
  </w:style>
  <w:style w:type="character" w:customStyle="1" w:styleId="76">
    <w:name w:val="Subtitle Char"/>
    <w:link w:val="75"/>
    <w:qFormat/>
    <w:uiPriority w:val="11"/>
    <w:rPr>
      <w:sz w:val="24"/>
      <w:szCs w:val="24"/>
    </w:rPr>
  </w:style>
  <w:style w:type="paragraph" w:customStyle="1" w:styleId="77">
    <w:name w:val="脚注文本11"/>
    <w:basedOn w:val="1"/>
    <w:link w:val="78"/>
    <w:unhideWhenUsed/>
    <w:qFormat/>
    <w:uiPriority w:val="99"/>
    <w:pPr>
      <w:spacing w:after="40" w:line="240" w:lineRule="auto"/>
    </w:pPr>
    <w:rPr>
      <w:sz w:val="18"/>
    </w:rPr>
  </w:style>
  <w:style w:type="character" w:customStyle="1" w:styleId="78">
    <w:name w:val="Footnote Text Char"/>
    <w:link w:val="77"/>
    <w:qFormat/>
    <w:uiPriority w:val="99"/>
    <w:rPr>
      <w:sz w:val="18"/>
    </w:rPr>
  </w:style>
  <w:style w:type="paragraph" w:customStyle="1" w:styleId="79">
    <w:name w:val="目录 61"/>
    <w:basedOn w:val="1"/>
    <w:next w:val="1"/>
    <w:unhideWhenUsed/>
    <w:qFormat/>
    <w:uiPriority w:val="39"/>
    <w:pPr>
      <w:spacing w:after="57"/>
      <w:ind w:left="1417" w:right="0" w:firstLine="0"/>
    </w:pPr>
  </w:style>
  <w:style w:type="paragraph" w:customStyle="1" w:styleId="80">
    <w:name w:val="索引 91"/>
    <w:basedOn w:val="1"/>
    <w:next w:val="1"/>
    <w:qFormat/>
    <w:uiPriority w:val="0"/>
    <w:pPr>
      <w:ind w:left="3360"/>
    </w:pPr>
  </w:style>
  <w:style w:type="paragraph" w:customStyle="1" w:styleId="81">
    <w:name w:val="图表目录1"/>
    <w:basedOn w:val="1"/>
    <w:next w:val="1"/>
    <w:unhideWhenUsed/>
    <w:qFormat/>
    <w:uiPriority w:val="99"/>
    <w:pPr>
      <w:spacing w:after="0" w:afterAutospacing="0"/>
    </w:pPr>
  </w:style>
  <w:style w:type="paragraph" w:customStyle="1" w:styleId="82">
    <w:name w:val="目录 211"/>
    <w:basedOn w:val="1"/>
    <w:next w:val="1"/>
    <w:unhideWhenUsed/>
    <w:qFormat/>
    <w:uiPriority w:val="39"/>
    <w:pPr>
      <w:spacing w:after="57"/>
      <w:ind w:left="283" w:right="0" w:firstLine="0"/>
    </w:pPr>
  </w:style>
  <w:style w:type="paragraph" w:customStyle="1" w:styleId="83">
    <w:name w:val="目录 91"/>
    <w:basedOn w:val="1"/>
    <w:next w:val="1"/>
    <w:unhideWhenUsed/>
    <w:qFormat/>
    <w:uiPriority w:val="39"/>
    <w:pPr>
      <w:spacing w:after="57"/>
      <w:ind w:left="2268" w:right="0" w:firstLine="0"/>
    </w:pPr>
  </w:style>
  <w:style w:type="paragraph" w:customStyle="1" w:styleId="84">
    <w:name w:val="普通(网站)11"/>
    <w:basedOn w:val="1"/>
    <w:unhideWhenUsed/>
    <w:qFormat/>
    <w:uiPriority w:val="99"/>
    <w:pPr>
      <w:spacing w:before="100" w:beforeAutospacing="1" w:after="100" w:afterAutospacing="1"/>
      <w:ind w:left="0" w:right="0"/>
      <w:jc w:val="left"/>
    </w:pPr>
    <w:rPr>
      <w:sz w:val="24"/>
      <w:lang w:val="en-US" w:eastAsia="zh-CN" w:bidi="ar"/>
    </w:rPr>
  </w:style>
  <w:style w:type="paragraph" w:customStyle="1" w:styleId="85">
    <w:name w:val="标题11"/>
    <w:basedOn w:val="1"/>
    <w:next w:val="1"/>
    <w:link w:val="86"/>
    <w:qFormat/>
    <w:uiPriority w:val="10"/>
    <w:pPr>
      <w:spacing w:before="300" w:after="200"/>
      <w:contextualSpacing/>
    </w:pPr>
    <w:rPr>
      <w:sz w:val="48"/>
      <w:szCs w:val="48"/>
    </w:rPr>
  </w:style>
  <w:style w:type="character" w:customStyle="1" w:styleId="86">
    <w:name w:val="Title Char"/>
    <w:link w:val="85"/>
    <w:qFormat/>
    <w:uiPriority w:val="10"/>
    <w:rPr>
      <w:sz w:val="48"/>
      <w:szCs w:val="48"/>
    </w:rPr>
  </w:style>
  <w:style w:type="table" w:customStyle="1" w:styleId="87">
    <w:name w:val="网格型11"/>
    <w:qFormat/>
    <w:uiPriority w:val="59"/>
    <w:pPr>
      <w:spacing w:after="0" w:line="240" w:lineRule="auto"/>
    </w:pPr>
  </w:style>
  <w:style w:type="character" w:customStyle="1" w:styleId="88">
    <w:name w:val="要点1"/>
    <w:basedOn w:val="48"/>
    <w:link w:val="1"/>
    <w:qFormat/>
    <w:uiPriority w:val="22"/>
    <w:rPr>
      <w:b/>
    </w:rPr>
  </w:style>
  <w:style w:type="character" w:customStyle="1" w:styleId="89">
    <w:name w:val="尾注引用1"/>
    <w:link w:val="1"/>
    <w:unhideWhenUsed/>
    <w:qFormat/>
    <w:uiPriority w:val="99"/>
    <w:rPr>
      <w:vertAlign w:val="superscript"/>
    </w:rPr>
  </w:style>
  <w:style w:type="character" w:customStyle="1" w:styleId="90">
    <w:name w:val="超链接111"/>
    <w:link w:val="1"/>
    <w:unhideWhenUsed/>
    <w:qFormat/>
    <w:uiPriority w:val="99"/>
    <w:rPr>
      <w:color w:val="0000FF"/>
      <w:u w:val="single"/>
    </w:rPr>
  </w:style>
  <w:style w:type="character" w:customStyle="1" w:styleId="91">
    <w:name w:val="脚注引用1"/>
    <w:link w:val="1"/>
    <w:unhideWhenUsed/>
    <w:qFormat/>
    <w:uiPriority w:val="99"/>
    <w:rPr>
      <w:vertAlign w:val="superscript"/>
    </w:rPr>
  </w:style>
  <w:style w:type="character" w:customStyle="1" w:styleId="92">
    <w:name w:val="Footer Char"/>
    <w:link w:val="69"/>
    <w:qFormat/>
    <w:uiPriority w:val="99"/>
  </w:style>
  <w:style w:type="character" w:customStyle="1" w:styleId="93">
    <w:name w:val="ql-font-songti"/>
    <w:basedOn w:val="35"/>
    <w:link w:val="1"/>
    <w:qFormat/>
    <w:uiPriority w:val="0"/>
  </w:style>
  <w:style w:type="paragraph" w:customStyle="1" w:styleId="94">
    <w:name w:val="一级条标题"/>
    <w:basedOn w:val="95"/>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95">
    <w:name w:val="章标题"/>
    <w:basedOn w:val="96"/>
    <w:next w:val="112"/>
    <w:qFormat/>
    <w:uiPriority w:val="0"/>
    <w:pPr>
      <w:widowControl/>
      <w:spacing w:before="158" w:after="153" w:line="1292" w:lineRule="atLeast"/>
      <w:jc w:val="center"/>
    </w:pPr>
    <w:rPr>
      <w:rFonts w:ascii="Arial" w:hAnsi="Calibri" w:eastAsia="黑体" w:cs="黑体"/>
      <w:sz w:val="31"/>
      <w:szCs w:val="22"/>
      <w:lang w:eastAsia="en-US" w:bidi="en-US"/>
    </w:rPr>
  </w:style>
  <w:style w:type="paragraph" w:customStyle="1" w:styleId="96">
    <w:name w:val="正文112"/>
    <w:next w:val="9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7">
    <w:name w:val="正文文本11"/>
    <w:basedOn w:val="96"/>
    <w:next w:val="98"/>
    <w:qFormat/>
    <w:uiPriority w:val="1"/>
    <w:pPr>
      <w:spacing w:after="120"/>
    </w:pPr>
  </w:style>
  <w:style w:type="paragraph" w:customStyle="1" w:styleId="98">
    <w:name w:val="正文11"/>
    <w:next w:val="99"/>
    <w:link w:val="1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9">
    <w:name w:val="正文首行缩进11"/>
    <w:basedOn w:val="100"/>
    <w:next w:val="109"/>
    <w:qFormat/>
    <w:uiPriority w:val="0"/>
    <w:pPr>
      <w:ind w:firstLine="420"/>
    </w:pPr>
    <w:rPr>
      <w:rFonts w:ascii="仿宋_GB2312" w:eastAsia="仿宋_GB2312"/>
      <w:sz w:val="30"/>
      <w:szCs w:val="30"/>
    </w:rPr>
  </w:style>
  <w:style w:type="paragraph" w:customStyle="1" w:styleId="100">
    <w:name w:val="正文文本1"/>
    <w:basedOn w:val="101"/>
    <w:next w:val="94"/>
    <w:qFormat/>
    <w:uiPriority w:val="0"/>
    <w:pPr>
      <w:spacing w:after="120"/>
    </w:pPr>
    <w:rPr>
      <w:rFonts w:ascii="Calibri" w:hAnsi="Calibri"/>
    </w:rPr>
  </w:style>
  <w:style w:type="paragraph" w:customStyle="1" w:styleId="101">
    <w:name w:val="正文13"/>
    <w:next w:val="10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2">
    <w:name w:val="正文首行缩进1"/>
    <w:basedOn w:val="97"/>
    <w:next w:val="103"/>
    <w:qFormat/>
    <w:uiPriority w:val="0"/>
    <w:pPr>
      <w:spacing w:after="120"/>
      <w:ind w:firstLine="420"/>
    </w:pPr>
    <w:rPr>
      <w:rFonts w:ascii="Times New Roman"/>
      <w:szCs w:val="24"/>
    </w:rPr>
  </w:style>
  <w:style w:type="paragraph" w:customStyle="1" w:styleId="103">
    <w:name w:val="正文首行缩进 21"/>
    <w:basedOn w:val="104"/>
    <w:next w:val="108"/>
    <w:qFormat/>
    <w:uiPriority w:val="0"/>
    <w:pPr>
      <w:ind w:firstLine="420"/>
    </w:pPr>
  </w:style>
  <w:style w:type="paragraph" w:customStyle="1" w:styleId="104">
    <w:name w:val="正文文本缩进1"/>
    <w:basedOn w:val="105"/>
    <w:next w:val="107"/>
    <w:qFormat/>
    <w:uiPriority w:val="0"/>
    <w:pPr>
      <w:spacing w:after="120"/>
      <w:ind w:left="420"/>
    </w:pPr>
    <w:rPr>
      <w:rFonts w:ascii="Calibri" w:hAnsi="Calibri"/>
    </w:rPr>
  </w:style>
  <w:style w:type="paragraph" w:customStyle="1" w:styleId="105">
    <w:name w:val="正文12"/>
    <w:next w:val="106"/>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06">
    <w:name w:val="正文文本111"/>
    <w:basedOn w:val="105"/>
    <w:next w:val="105"/>
    <w:qFormat/>
    <w:uiPriority w:val="0"/>
  </w:style>
  <w:style w:type="paragraph" w:customStyle="1" w:styleId="107">
    <w:name w:val="寄信人地址1"/>
    <w:basedOn w:val="98"/>
    <w:qFormat/>
    <w:uiPriority w:val="0"/>
    <w:rPr>
      <w:rFonts w:ascii="Arial" w:hAnsi="Arial"/>
    </w:rPr>
  </w:style>
  <w:style w:type="paragraph" w:customStyle="1" w:styleId="108">
    <w:name w:val="正文111"/>
    <w:next w:val="10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9">
    <w:name w:val="正文首行缩进 211"/>
    <w:basedOn w:val="110"/>
    <w:qFormat/>
    <w:uiPriority w:val="0"/>
    <w:pPr>
      <w:ind w:firstLine="420"/>
    </w:pPr>
    <w:rPr>
      <w:sz w:val="24"/>
    </w:rPr>
  </w:style>
  <w:style w:type="paragraph" w:customStyle="1" w:styleId="110">
    <w:name w:val="正文文本缩进11"/>
    <w:basedOn w:val="96"/>
    <w:next w:val="111"/>
    <w:qFormat/>
    <w:uiPriority w:val="0"/>
    <w:pPr>
      <w:spacing w:line="360" w:lineRule="auto"/>
      <w:ind w:firstLine="425"/>
    </w:pPr>
  </w:style>
  <w:style w:type="paragraph" w:customStyle="1" w:styleId="111">
    <w:name w:val="寄信人地址11"/>
    <w:basedOn w:val="1"/>
    <w:qFormat/>
    <w:uiPriority w:val="0"/>
    <w:rPr>
      <w:rFonts w:ascii="Arial" w:hAnsi="Arial"/>
    </w:rPr>
  </w:style>
  <w:style w:type="paragraph" w:customStyle="1" w:styleId="112">
    <w:name w:val="正文1"/>
    <w:basedOn w:val="108"/>
    <w:next w:val="11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13">
    <w:name w:val="目录 11"/>
    <w:basedOn w:val="105"/>
    <w:next w:val="112"/>
    <w:qFormat/>
    <w:uiPriority w:val="0"/>
    <w:pPr>
      <w:widowControl/>
      <w:spacing w:after="100" w:line="259" w:lineRule="auto"/>
      <w:jc w:val="left"/>
    </w:pPr>
    <w:rPr>
      <w:rFonts w:ascii="Calibri" w:hAnsi="Calibri"/>
      <w:sz w:val="22"/>
      <w:szCs w:val="22"/>
    </w:rPr>
  </w:style>
  <w:style w:type="character" w:customStyle="1" w:styleId="114">
    <w:name w:val="超链接1"/>
    <w:link w:val="98"/>
    <w:qFormat/>
    <w:uiPriority w:val="0"/>
    <w:rPr>
      <w:rFonts w:ascii="Times New Roman" w:hAnsi="Times New Roman" w:eastAsia="宋体" w:cs="Times New Roman"/>
      <w:sz w:val="21"/>
      <w:szCs w:val="24"/>
      <w:lang w:val="en-US" w:eastAsia="zh-CN" w:bidi="ar-SA"/>
    </w:rPr>
  </w:style>
  <w:style w:type="character" w:customStyle="1" w:styleId="115">
    <w:name w:val="NormalCharacter1"/>
    <w:link w:val="98"/>
    <w:semiHidden/>
    <w:qFormat/>
    <w:uiPriority w:val="0"/>
    <w:rPr>
      <w:sz w:val="28"/>
      <w:lang w:val="en-US" w:eastAsia="zh-CN" w:bidi="ar-SA"/>
    </w:rPr>
  </w:style>
  <w:style w:type="paragraph" w:customStyle="1" w:styleId="116">
    <w:name w:val="标题 21"/>
    <w:basedOn w:val="1"/>
    <w:next w:val="1"/>
    <w:qFormat/>
    <w:uiPriority w:val="99"/>
    <w:pPr>
      <w:keepNext/>
      <w:keepLines/>
      <w:spacing w:before="260" w:after="260" w:line="360" w:lineRule="auto"/>
      <w:jc w:val="center"/>
      <w:outlineLvl w:val="1"/>
    </w:pPr>
    <w:rPr>
      <w:rFonts w:ascii="Arial" w:hAnsi="Arial" w:eastAsia="仿宋"/>
      <w:bCs/>
      <w:sz w:val="24"/>
      <w:szCs w:val="32"/>
    </w:rPr>
  </w:style>
  <w:style w:type="paragraph" w:customStyle="1" w:styleId="117">
    <w:name w:val="正文文本12"/>
    <w:basedOn w:val="1"/>
    <w:next w:val="1"/>
    <w:unhideWhenUsed/>
    <w:qFormat/>
    <w:uiPriority w:val="99"/>
    <w:pPr>
      <w:spacing w:after="120"/>
    </w:pPr>
    <w:rPr>
      <w:szCs w:val="24"/>
    </w:rPr>
  </w:style>
  <w:style w:type="paragraph" w:styleId="118">
    <w:name w:val="No Spacing"/>
    <w:qFormat/>
    <w:uiPriority w:val="1"/>
    <w:pPr>
      <w:spacing w:before="0" w:after="0" w:line="240" w:lineRule="auto"/>
    </w:pPr>
    <w:rPr>
      <w:rFonts w:hint="default" w:ascii="Times New Roman" w:hAnsi="Times New Roman" w:eastAsia="宋体" w:cs="Times New Roman"/>
    </w:rPr>
  </w:style>
  <w:style w:type="paragraph" w:styleId="119">
    <w:name w:val="Quote"/>
    <w:basedOn w:val="1"/>
    <w:next w:val="1"/>
    <w:link w:val="120"/>
    <w:qFormat/>
    <w:uiPriority w:val="29"/>
    <w:pPr>
      <w:ind w:left="720" w:right="720"/>
    </w:pPr>
    <w:rPr>
      <w:i/>
    </w:rPr>
  </w:style>
  <w:style w:type="character" w:customStyle="1" w:styleId="120">
    <w:name w:val="Quote Char"/>
    <w:link w:val="119"/>
    <w:qFormat/>
    <w:uiPriority w:val="29"/>
    <w:rPr>
      <w:i/>
    </w:rPr>
  </w:style>
  <w:style w:type="paragraph" w:styleId="121">
    <w:name w:val="Intense Quote"/>
    <w:basedOn w:val="1"/>
    <w:next w:val="1"/>
    <w:link w:val="12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2">
    <w:name w:val="Intense Quote Char"/>
    <w:link w:val="121"/>
    <w:qFormat/>
    <w:uiPriority w:val="30"/>
    <w:rPr>
      <w:i/>
    </w:rPr>
  </w:style>
  <w:style w:type="table" w:customStyle="1" w:styleId="123">
    <w:name w:val="Table Grid Light"/>
    <w:qFormat/>
    <w:uiPriority w:val="59"/>
    <w:pPr>
      <w:spacing w:after="0" w:line="240" w:lineRule="auto"/>
    </w:pPr>
  </w:style>
  <w:style w:type="table" w:customStyle="1" w:styleId="124">
    <w:name w:val="Plain Table 1"/>
    <w:qFormat/>
    <w:uiPriority w:val="59"/>
    <w:pPr>
      <w:spacing w:after="0" w:line="240" w:lineRule="auto"/>
    </w:pPr>
  </w:style>
  <w:style w:type="table" w:customStyle="1" w:styleId="125">
    <w:name w:val="Plain Table 2"/>
    <w:qFormat/>
    <w:uiPriority w:val="59"/>
    <w:pPr>
      <w:spacing w:after="0" w:line="240" w:lineRule="auto"/>
    </w:pPr>
  </w:style>
  <w:style w:type="table" w:customStyle="1" w:styleId="126">
    <w:name w:val="Plain Table 3"/>
    <w:qFormat/>
    <w:uiPriority w:val="99"/>
    <w:pPr>
      <w:spacing w:after="0" w:line="240" w:lineRule="auto"/>
    </w:pPr>
  </w:style>
  <w:style w:type="table" w:customStyle="1" w:styleId="127">
    <w:name w:val="Plain Table 4"/>
    <w:qFormat/>
    <w:uiPriority w:val="99"/>
    <w:pPr>
      <w:spacing w:after="0" w:line="240" w:lineRule="auto"/>
    </w:pPr>
  </w:style>
  <w:style w:type="table" w:customStyle="1" w:styleId="128">
    <w:name w:val="Plain Table 5"/>
    <w:qFormat/>
    <w:uiPriority w:val="99"/>
    <w:pPr>
      <w:spacing w:after="0" w:line="240" w:lineRule="auto"/>
    </w:pPr>
  </w:style>
  <w:style w:type="table" w:customStyle="1" w:styleId="129">
    <w:name w:val="Grid Table 1 Light"/>
    <w:qFormat/>
    <w:uiPriority w:val="99"/>
    <w:pPr>
      <w:spacing w:after="0" w:line="240" w:lineRule="auto"/>
    </w:pPr>
  </w:style>
  <w:style w:type="table" w:customStyle="1" w:styleId="130">
    <w:name w:val="Grid Table 1 Light - Accent 1"/>
    <w:qFormat/>
    <w:uiPriority w:val="99"/>
    <w:pPr>
      <w:spacing w:after="0" w:line="240" w:lineRule="auto"/>
    </w:pPr>
  </w:style>
  <w:style w:type="table" w:customStyle="1" w:styleId="131">
    <w:name w:val="Grid Table 1 Light - Accent 2"/>
    <w:qFormat/>
    <w:uiPriority w:val="99"/>
    <w:pPr>
      <w:spacing w:after="0" w:line="240" w:lineRule="auto"/>
    </w:pPr>
  </w:style>
  <w:style w:type="table" w:customStyle="1" w:styleId="132">
    <w:name w:val="Grid Table 1 Light - Accent 3"/>
    <w:qFormat/>
    <w:uiPriority w:val="99"/>
    <w:pPr>
      <w:spacing w:after="0" w:line="240" w:lineRule="auto"/>
    </w:pPr>
  </w:style>
  <w:style w:type="table" w:customStyle="1" w:styleId="133">
    <w:name w:val="Grid Table 1 Light - Accent 4"/>
    <w:qFormat/>
    <w:uiPriority w:val="99"/>
    <w:pPr>
      <w:spacing w:after="0" w:line="240" w:lineRule="auto"/>
    </w:pPr>
  </w:style>
  <w:style w:type="table" w:customStyle="1" w:styleId="134">
    <w:name w:val="Grid Table 1 Light - Accent 5"/>
    <w:qFormat/>
    <w:uiPriority w:val="99"/>
    <w:pPr>
      <w:spacing w:after="0" w:line="240" w:lineRule="auto"/>
    </w:pPr>
  </w:style>
  <w:style w:type="table" w:customStyle="1" w:styleId="135">
    <w:name w:val="Grid Table 1 Light - Accent 6"/>
    <w:qFormat/>
    <w:uiPriority w:val="99"/>
    <w:pPr>
      <w:spacing w:after="0" w:line="240" w:lineRule="auto"/>
    </w:pPr>
  </w:style>
  <w:style w:type="table" w:customStyle="1" w:styleId="136">
    <w:name w:val="Grid Table 2"/>
    <w:qFormat/>
    <w:uiPriority w:val="99"/>
    <w:pPr>
      <w:spacing w:after="0" w:line="240" w:lineRule="auto"/>
    </w:pPr>
  </w:style>
  <w:style w:type="table" w:customStyle="1" w:styleId="137">
    <w:name w:val="Grid Table 2 - Accent 1"/>
    <w:qFormat/>
    <w:uiPriority w:val="99"/>
    <w:pPr>
      <w:spacing w:after="0" w:line="240" w:lineRule="auto"/>
    </w:pPr>
  </w:style>
  <w:style w:type="table" w:customStyle="1" w:styleId="138">
    <w:name w:val="Grid Table 2 - Accent 2"/>
    <w:qFormat/>
    <w:uiPriority w:val="99"/>
    <w:pPr>
      <w:spacing w:after="0" w:line="240" w:lineRule="auto"/>
    </w:pPr>
  </w:style>
  <w:style w:type="table" w:customStyle="1" w:styleId="139">
    <w:name w:val="Grid Table 2 - Accent 3"/>
    <w:qFormat/>
    <w:uiPriority w:val="99"/>
    <w:pPr>
      <w:spacing w:after="0" w:line="240" w:lineRule="auto"/>
    </w:pPr>
  </w:style>
  <w:style w:type="table" w:customStyle="1" w:styleId="140">
    <w:name w:val="Grid Table 2 - Accent 4"/>
    <w:qFormat/>
    <w:uiPriority w:val="99"/>
    <w:pPr>
      <w:spacing w:after="0" w:line="240" w:lineRule="auto"/>
    </w:pPr>
  </w:style>
  <w:style w:type="table" w:customStyle="1" w:styleId="141">
    <w:name w:val="Grid Table 2 - Accent 5"/>
    <w:qFormat/>
    <w:uiPriority w:val="99"/>
    <w:pPr>
      <w:spacing w:after="0" w:line="240" w:lineRule="auto"/>
    </w:pPr>
  </w:style>
  <w:style w:type="table" w:customStyle="1" w:styleId="142">
    <w:name w:val="Grid Table 2 - Accent 6"/>
    <w:qFormat/>
    <w:uiPriority w:val="99"/>
    <w:pPr>
      <w:spacing w:after="0" w:line="240" w:lineRule="auto"/>
    </w:pPr>
  </w:style>
  <w:style w:type="table" w:customStyle="1" w:styleId="143">
    <w:name w:val="Grid Table 3"/>
    <w:qFormat/>
    <w:uiPriority w:val="99"/>
    <w:pPr>
      <w:spacing w:after="0" w:line="240" w:lineRule="auto"/>
    </w:pPr>
  </w:style>
  <w:style w:type="table" w:customStyle="1" w:styleId="144">
    <w:name w:val="Grid Table 3 - Accent 1"/>
    <w:qFormat/>
    <w:uiPriority w:val="99"/>
    <w:pPr>
      <w:spacing w:after="0" w:line="240" w:lineRule="auto"/>
    </w:pPr>
  </w:style>
  <w:style w:type="table" w:customStyle="1" w:styleId="145">
    <w:name w:val="Grid Table 3 - Accent 2"/>
    <w:qFormat/>
    <w:uiPriority w:val="99"/>
    <w:pPr>
      <w:spacing w:after="0" w:line="240" w:lineRule="auto"/>
    </w:pPr>
  </w:style>
  <w:style w:type="table" w:customStyle="1" w:styleId="146">
    <w:name w:val="Grid Table 3 - Accent 3"/>
    <w:qFormat/>
    <w:uiPriority w:val="99"/>
    <w:pPr>
      <w:spacing w:after="0" w:line="240" w:lineRule="auto"/>
    </w:pPr>
  </w:style>
  <w:style w:type="table" w:customStyle="1" w:styleId="147">
    <w:name w:val="Grid Table 3 - Accent 4"/>
    <w:qFormat/>
    <w:uiPriority w:val="99"/>
    <w:pPr>
      <w:spacing w:after="0" w:line="240" w:lineRule="auto"/>
    </w:pPr>
  </w:style>
  <w:style w:type="table" w:customStyle="1" w:styleId="148">
    <w:name w:val="Grid Table 3 - Accent 5"/>
    <w:qFormat/>
    <w:uiPriority w:val="99"/>
    <w:pPr>
      <w:spacing w:after="0" w:line="240" w:lineRule="auto"/>
    </w:pPr>
  </w:style>
  <w:style w:type="table" w:customStyle="1" w:styleId="149">
    <w:name w:val="Grid Table 3 - Accent 6"/>
    <w:qFormat/>
    <w:uiPriority w:val="99"/>
    <w:pPr>
      <w:spacing w:after="0" w:line="240" w:lineRule="auto"/>
    </w:pPr>
  </w:style>
  <w:style w:type="table" w:customStyle="1" w:styleId="150">
    <w:name w:val="Grid Table 4"/>
    <w:qFormat/>
    <w:uiPriority w:val="59"/>
    <w:pPr>
      <w:spacing w:after="0" w:line="240" w:lineRule="auto"/>
    </w:pPr>
  </w:style>
  <w:style w:type="table" w:customStyle="1" w:styleId="151">
    <w:name w:val="Grid Table 4 - Accent 1"/>
    <w:qFormat/>
    <w:uiPriority w:val="59"/>
    <w:pPr>
      <w:spacing w:after="0" w:line="240" w:lineRule="auto"/>
    </w:pPr>
  </w:style>
  <w:style w:type="table" w:customStyle="1" w:styleId="152">
    <w:name w:val="Grid Table 4 - Accent 2"/>
    <w:qFormat/>
    <w:uiPriority w:val="59"/>
    <w:pPr>
      <w:spacing w:after="0" w:line="240" w:lineRule="auto"/>
    </w:pPr>
  </w:style>
  <w:style w:type="table" w:customStyle="1" w:styleId="153">
    <w:name w:val="Grid Table 4 - Accent 3"/>
    <w:qFormat/>
    <w:uiPriority w:val="59"/>
    <w:pPr>
      <w:spacing w:after="0" w:line="240" w:lineRule="auto"/>
    </w:pPr>
  </w:style>
  <w:style w:type="table" w:customStyle="1" w:styleId="154">
    <w:name w:val="Grid Table 4 - Accent 4"/>
    <w:qFormat/>
    <w:uiPriority w:val="59"/>
    <w:pPr>
      <w:spacing w:after="0" w:line="240" w:lineRule="auto"/>
    </w:pPr>
  </w:style>
  <w:style w:type="table" w:customStyle="1" w:styleId="155">
    <w:name w:val="Grid Table 4 - Accent 5"/>
    <w:qFormat/>
    <w:uiPriority w:val="59"/>
    <w:pPr>
      <w:spacing w:after="0" w:line="240" w:lineRule="auto"/>
    </w:pPr>
  </w:style>
  <w:style w:type="table" w:customStyle="1" w:styleId="156">
    <w:name w:val="Grid Table 4 - Accent 6"/>
    <w:qFormat/>
    <w:uiPriority w:val="59"/>
    <w:pPr>
      <w:spacing w:after="0" w:line="240" w:lineRule="auto"/>
    </w:pPr>
  </w:style>
  <w:style w:type="table" w:customStyle="1" w:styleId="157">
    <w:name w:val="Grid Table 5 Dark"/>
    <w:qFormat/>
    <w:uiPriority w:val="99"/>
    <w:pPr>
      <w:spacing w:after="0" w:line="240" w:lineRule="auto"/>
    </w:pPr>
  </w:style>
  <w:style w:type="table" w:customStyle="1" w:styleId="158">
    <w:name w:val="Grid Table 5 Dark- Accent 1"/>
    <w:qFormat/>
    <w:uiPriority w:val="99"/>
    <w:pPr>
      <w:spacing w:after="0" w:line="240" w:lineRule="auto"/>
    </w:pPr>
  </w:style>
  <w:style w:type="table" w:customStyle="1" w:styleId="159">
    <w:name w:val="Grid Table 5 Dark - Accent 2"/>
    <w:qFormat/>
    <w:uiPriority w:val="99"/>
    <w:pPr>
      <w:spacing w:after="0" w:line="240" w:lineRule="auto"/>
    </w:pPr>
  </w:style>
  <w:style w:type="table" w:customStyle="1" w:styleId="160">
    <w:name w:val="Grid Table 5 Dark - Accent 3"/>
    <w:qFormat/>
    <w:uiPriority w:val="99"/>
    <w:pPr>
      <w:spacing w:after="0" w:line="240" w:lineRule="auto"/>
    </w:pPr>
  </w:style>
  <w:style w:type="table" w:customStyle="1" w:styleId="161">
    <w:name w:val="Grid Table 5 Dark- Accent 4"/>
    <w:qFormat/>
    <w:uiPriority w:val="99"/>
    <w:pPr>
      <w:spacing w:after="0" w:line="240" w:lineRule="auto"/>
    </w:pPr>
  </w:style>
  <w:style w:type="table" w:customStyle="1" w:styleId="162">
    <w:name w:val="Grid Table 5 Dark - Accent 5"/>
    <w:qFormat/>
    <w:uiPriority w:val="99"/>
    <w:pPr>
      <w:spacing w:after="0" w:line="240" w:lineRule="auto"/>
    </w:pPr>
  </w:style>
  <w:style w:type="table" w:customStyle="1" w:styleId="163">
    <w:name w:val="Grid Table 5 Dark - Accent 6"/>
    <w:qFormat/>
    <w:uiPriority w:val="99"/>
    <w:pPr>
      <w:spacing w:after="0" w:line="240" w:lineRule="auto"/>
    </w:pPr>
  </w:style>
  <w:style w:type="table" w:customStyle="1" w:styleId="164">
    <w:name w:val="Grid Table 6 Colorful"/>
    <w:qFormat/>
    <w:uiPriority w:val="99"/>
    <w:pPr>
      <w:spacing w:after="0" w:line="240" w:lineRule="auto"/>
    </w:pPr>
  </w:style>
  <w:style w:type="table" w:customStyle="1" w:styleId="165">
    <w:name w:val="Grid Table 6 Colorful - Accent 1"/>
    <w:qFormat/>
    <w:uiPriority w:val="99"/>
    <w:pPr>
      <w:spacing w:after="0" w:line="240" w:lineRule="auto"/>
    </w:pPr>
  </w:style>
  <w:style w:type="table" w:customStyle="1" w:styleId="166">
    <w:name w:val="Grid Table 6 Colorful - Accent 2"/>
    <w:qFormat/>
    <w:uiPriority w:val="99"/>
    <w:pPr>
      <w:spacing w:after="0" w:line="240" w:lineRule="auto"/>
    </w:pPr>
  </w:style>
  <w:style w:type="table" w:customStyle="1" w:styleId="167">
    <w:name w:val="Grid Table 6 Colorful - Accent 3"/>
    <w:qFormat/>
    <w:uiPriority w:val="99"/>
    <w:pPr>
      <w:spacing w:after="0" w:line="240" w:lineRule="auto"/>
    </w:pPr>
  </w:style>
  <w:style w:type="table" w:customStyle="1" w:styleId="168">
    <w:name w:val="Grid Table 6 Colorful - Accent 4"/>
    <w:qFormat/>
    <w:uiPriority w:val="99"/>
    <w:pPr>
      <w:spacing w:after="0" w:line="240" w:lineRule="auto"/>
    </w:pPr>
  </w:style>
  <w:style w:type="table" w:customStyle="1" w:styleId="169">
    <w:name w:val="Grid Table 6 Colorful - Accent 5"/>
    <w:qFormat/>
    <w:uiPriority w:val="99"/>
    <w:pPr>
      <w:spacing w:after="0" w:line="240" w:lineRule="auto"/>
    </w:pPr>
  </w:style>
  <w:style w:type="table" w:customStyle="1" w:styleId="170">
    <w:name w:val="Grid Table 6 Colorful - Accent 6"/>
    <w:qFormat/>
    <w:uiPriority w:val="99"/>
    <w:pPr>
      <w:spacing w:after="0" w:line="240" w:lineRule="auto"/>
    </w:pPr>
  </w:style>
  <w:style w:type="table" w:customStyle="1" w:styleId="171">
    <w:name w:val="Grid Table 7 Colorful"/>
    <w:qFormat/>
    <w:uiPriority w:val="99"/>
    <w:pPr>
      <w:spacing w:after="0" w:line="240" w:lineRule="auto"/>
    </w:pPr>
  </w:style>
  <w:style w:type="table" w:customStyle="1" w:styleId="172">
    <w:name w:val="Grid Table 7 Colorful - Accent 1"/>
    <w:qFormat/>
    <w:uiPriority w:val="99"/>
    <w:pPr>
      <w:spacing w:after="0" w:line="240" w:lineRule="auto"/>
    </w:pPr>
  </w:style>
  <w:style w:type="table" w:customStyle="1" w:styleId="173">
    <w:name w:val="Grid Table 7 Colorful - Accent 2"/>
    <w:qFormat/>
    <w:uiPriority w:val="99"/>
    <w:pPr>
      <w:spacing w:after="0" w:line="240" w:lineRule="auto"/>
    </w:pPr>
  </w:style>
  <w:style w:type="table" w:customStyle="1" w:styleId="174">
    <w:name w:val="Grid Table 7 Colorful - Accent 3"/>
    <w:qFormat/>
    <w:uiPriority w:val="99"/>
    <w:pPr>
      <w:spacing w:after="0" w:line="240" w:lineRule="auto"/>
    </w:pPr>
  </w:style>
  <w:style w:type="table" w:customStyle="1" w:styleId="175">
    <w:name w:val="Grid Table 7 Colorful - Accent 4"/>
    <w:qFormat/>
    <w:uiPriority w:val="99"/>
    <w:pPr>
      <w:spacing w:after="0" w:line="240" w:lineRule="auto"/>
    </w:pPr>
  </w:style>
  <w:style w:type="table" w:customStyle="1" w:styleId="176">
    <w:name w:val="Grid Table 7 Colorful - Accent 5"/>
    <w:qFormat/>
    <w:uiPriority w:val="99"/>
    <w:pPr>
      <w:spacing w:after="0" w:line="240" w:lineRule="auto"/>
    </w:pPr>
  </w:style>
  <w:style w:type="table" w:customStyle="1" w:styleId="177">
    <w:name w:val="Grid Table 7 Colorful - Accent 6"/>
    <w:qFormat/>
    <w:uiPriority w:val="99"/>
    <w:pPr>
      <w:spacing w:after="0" w:line="240" w:lineRule="auto"/>
    </w:pPr>
  </w:style>
  <w:style w:type="table" w:customStyle="1" w:styleId="178">
    <w:name w:val="List Table 1 Light"/>
    <w:qFormat/>
    <w:uiPriority w:val="99"/>
    <w:pPr>
      <w:spacing w:after="0" w:line="240" w:lineRule="auto"/>
    </w:pPr>
  </w:style>
  <w:style w:type="table" w:customStyle="1" w:styleId="179">
    <w:name w:val="List Table 1 Light - Accent 1"/>
    <w:qFormat/>
    <w:uiPriority w:val="99"/>
    <w:pPr>
      <w:spacing w:after="0" w:line="240" w:lineRule="auto"/>
    </w:pPr>
  </w:style>
  <w:style w:type="table" w:customStyle="1" w:styleId="180">
    <w:name w:val="List Table 1 Light - Accent 2"/>
    <w:qFormat/>
    <w:uiPriority w:val="99"/>
    <w:pPr>
      <w:spacing w:after="0" w:line="240" w:lineRule="auto"/>
    </w:pPr>
  </w:style>
  <w:style w:type="table" w:customStyle="1" w:styleId="181">
    <w:name w:val="List Table 1 Light - Accent 3"/>
    <w:qFormat/>
    <w:uiPriority w:val="99"/>
    <w:pPr>
      <w:spacing w:after="0" w:line="240" w:lineRule="auto"/>
    </w:pPr>
  </w:style>
  <w:style w:type="table" w:customStyle="1" w:styleId="182">
    <w:name w:val="List Table 1 Light - Accent 4"/>
    <w:qFormat/>
    <w:uiPriority w:val="99"/>
    <w:pPr>
      <w:spacing w:after="0" w:line="240" w:lineRule="auto"/>
    </w:pPr>
  </w:style>
  <w:style w:type="table" w:customStyle="1" w:styleId="183">
    <w:name w:val="List Table 1 Light - Accent 5"/>
    <w:qFormat/>
    <w:uiPriority w:val="99"/>
    <w:pPr>
      <w:spacing w:after="0" w:line="240" w:lineRule="auto"/>
    </w:pPr>
  </w:style>
  <w:style w:type="table" w:customStyle="1" w:styleId="184">
    <w:name w:val="List Table 1 Light - Accent 6"/>
    <w:qFormat/>
    <w:uiPriority w:val="99"/>
    <w:pPr>
      <w:spacing w:after="0" w:line="240" w:lineRule="auto"/>
    </w:pPr>
  </w:style>
  <w:style w:type="table" w:customStyle="1" w:styleId="185">
    <w:name w:val="List Table 2"/>
    <w:qFormat/>
    <w:uiPriority w:val="99"/>
    <w:pPr>
      <w:spacing w:after="0" w:line="240" w:lineRule="auto"/>
    </w:pPr>
  </w:style>
  <w:style w:type="table" w:customStyle="1" w:styleId="186">
    <w:name w:val="List Table 2 - Accent 1"/>
    <w:qFormat/>
    <w:uiPriority w:val="99"/>
    <w:pPr>
      <w:spacing w:after="0" w:line="240" w:lineRule="auto"/>
    </w:pPr>
  </w:style>
  <w:style w:type="table" w:customStyle="1" w:styleId="187">
    <w:name w:val="List Table 2 - Accent 2"/>
    <w:qFormat/>
    <w:uiPriority w:val="99"/>
    <w:pPr>
      <w:spacing w:after="0" w:line="240" w:lineRule="auto"/>
    </w:pPr>
  </w:style>
  <w:style w:type="table" w:customStyle="1" w:styleId="188">
    <w:name w:val="List Table 2 - Accent 3"/>
    <w:qFormat/>
    <w:uiPriority w:val="99"/>
    <w:pPr>
      <w:spacing w:after="0" w:line="240" w:lineRule="auto"/>
    </w:pPr>
  </w:style>
  <w:style w:type="table" w:customStyle="1" w:styleId="189">
    <w:name w:val="List Table 2 - Accent 4"/>
    <w:qFormat/>
    <w:uiPriority w:val="99"/>
    <w:pPr>
      <w:spacing w:after="0" w:line="240" w:lineRule="auto"/>
    </w:pPr>
  </w:style>
  <w:style w:type="table" w:customStyle="1" w:styleId="190">
    <w:name w:val="List Table 2 - Accent 5"/>
    <w:qFormat/>
    <w:uiPriority w:val="99"/>
    <w:pPr>
      <w:spacing w:after="0" w:line="240" w:lineRule="auto"/>
    </w:pPr>
  </w:style>
  <w:style w:type="table" w:customStyle="1" w:styleId="191">
    <w:name w:val="List Table 2 - Accent 6"/>
    <w:qFormat/>
    <w:uiPriority w:val="99"/>
    <w:pPr>
      <w:spacing w:after="0" w:line="240" w:lineRule="auto"/>
    </w:pPr>
  </w:style>
  <w:style w:type="table" w:customStyle="1" w:styleId="192">
    <w:name w:val="List Table 3"/>
    <w:qFormat/>
    <w:uiPriority w:val="99"/>
    <w:pPr>
      <w:spacing w:after="0" w:line="240" w:lineRule="auto"/>
    </w:pPr>
  </w:style>
  <w:style w:type="table" w:customStyle="1" w:styleId="193">
    <w:name w:val="List Table 3 - Accent 1"/>
    <w:qFormat/>
    <w:uiPriority w:val="99"/>
    <w:pPr>
      <w:spacing w:after="0" w:line="240" w:lineRule="auto"/>
    </w:pPr>
  </w:style>
  <w:style w:type="table" w:customStyle="1" w:styleId="194">
    <w:name w:val="List Table 3 - Accent 2"/>
    <w:qFormat/>
    <w:uiPriority w:val="99"/>
    <w:pPr>
      <w:spacing w:after="0" w:line="240" w:lineRule="auto"/>
    </w:pPr>
  </w:style>
  <w:style w:type="table" w:customStyle="1" w:styleId="195">
    <w:name w:val="List Table 3 - Accent 3"/>
    <w:qFormat/>
    <w:uiPriority w:val="99"/>
    <w:pPr>
      <w:spacing w:after="0" w:line="240" w:lineRule="auto"/>
    </w:pPr>
  </w:style>
  <w:style w:type="table" w:customStyle="1" w:styleId="196">
    <w:name w:val="List Table 3 - Accent 4"/>
    <w:qFormat/>
    <w:uiPriority w:val="99"/>
    <w:pPr>
      <w:spacing w:after="0" w:line="240" w:lineRule="auto"/>
    </w:pPr>
  </w:style>
  <w:style w:type="table" w:customStyle="1" w:styleId="197">
    <w:name w:val="List Table 3 - Accent 5"/>
    <w:qFormat/>
    <w:uiPriority w:val="99"/>
    <w:pPr>
      <w:spacing w:after="0" w:line="240" w:lineRule="auto"/>
    </w:pPr>
  </w:style>
  <w:style w:type="table" w:customStyle="1" w:styleId="198">
    <w:name w:val="List Table 3 - Accent 6"/>
    <w:qFormat/>
    <w:uiPriority w:val="99"/>
    <w:pPr>
      <w:spacing w:after="0" w:line="240" w:lineRule="auto"/>
    </w:pPr>
  </w:style>
  <w:style w:type="table" w:customStyle="1" w:styleId="199">
    <w:name w:val="List Table 4"/>
    <w:qFormat/>
    <w:uiPriority w:val="99"/>
    <w:pPr>
      <w:spacing w:after="0" w:line="240" w:lineRule="auto"/>
    </w:pPr>
  </w:style>
  <w:style w:type="table" w:customStyle="1" w:styleId="200">
    <w:name w:val="List Table 4 - Accent 1"/>
    <w:qFormat/>
    <w:uiPriority w:val="99"/>
    <w:pPr>
      <w:spacing w:after="0" w:line="240" w:lineRule="auto"/>
    </w:pPr>
  </w:style>
  <w:style w:type="table" w:customStyle="1" w:styleId="201">
    <w:name w:val="List Table 4 - Accent 2"/>
    <w:qFormat/>
    <w:uiPriority w:val="99"/>
    <w:pPr>
      <w:spacing w:after="0" w:line="240" w:lineRule="auto"/>
    </w:pPr>
  </w:style>
  <w:style w:type="table" w:customStyle="1" w:styleId="202">
    <w:name w:val="List Table 4 - Accent 3"/>
    <w:qFormat/>
    <w:uiPriority w:val="99"/>
    <w:pPr>
      <w:spacing w:after="0" w:line="240" w:lineRule="auto"/>
    </w:pPr>
  </w:style>
  <w:style w:type="table" w:customStyle="1" w:styleId="203">
    <w:name w:val="List Table 4 - Accent 4"/>
    <w:qFormat/>
    <w:uiPriority w:val="99"/>
    <w:pPr>
      <w:spacing w:after="0" w:line="240" w:lineRule="auto"/>
    </w:pPr>
  </w:style>
  <w:style w:type="table" w:customStyle="1" w:styleId="204">
    <w:name w:val="List Table 4 - Accent 5"/>
    <w:qFormat/>
    <w:uiPriority w:val="99"/>
    <w:pPr>
      <w:spacing w:after="0" w:line="240" w:lineRule="auto"/>
    </w:pPr>
  </w:style>
  <w:style w:type="table" w:customStyle="1" w:styleId="205">
    <w:name w:val="List Table 4 - Accent 6"/>
    <w:qFormat/>
    <w:uiPriority w:val="99"/>
    <w:pPr>
      <w:spacing w:after="0" w:line="240" w:lineRule="auto"/>
    </w:pPr>
  </w:style>
  <w:style w:type="table" w:customStyle="1" w:styleId="206">
    <w:name w:val="List Table 5 Dark"/>
    <w:qFormat/>
    <w:uiPriority w:val="99"/>
    <w:pPr>
      <w:spacing w:after="0" w:line="240" w:lineRule="auto"/>
    </w:pPr>
  </w:style>
  <w:style w:type="table" w:customStyle="1" w:styleId="207">
    <w:name w:val="List Table 5 Dark - Accent 1"/>
    <w:qFormat/>
    <w:uiPriority w:val="99"/>
    <w:pPr>
      <w:spacing w:after="0" w:line="240" w:lineRule="auto"/>
    </w:pPr>
  </w:style>
  <w:style w:type="table" w:customStyle="1" w:styleId="208">
    <w:name w:val="List Table 5 Dark - Accent 2"/>
    <w:qFormat/>
    <w:uiPriority w:val="99"/>
    <w:pPr>
      <w:spacing w:after="0" w:line="240" w:lineRule="auto"/>
    </w:pPr>
  </w:style>
  <w:style w:type="table" w:customStyle="1" w:styleId="209">
    <w:name w:val="List Table 5 Dark - Accent 3"/>
    <w:qFormat/>
    <w:uiPriority w:val="99"/>
    <w:pPr>
      <w:spacing w:after="0" w:line="240" w:lineRule="auto"/>
    </w:pPr>
  </w:style>
  <w:style w:type="table" w:customStyle="1" w:styleId="210">
    <w:name w:val="List Table 5 Dark - Accent 4"/>
    <w:qFormat/>
    <w:uiPriority w:val="99"/>
    <w:pPr>
      <w:spacing w:after="0" w:line="240" w:lineRule="auto"/>
    </w:pPr>
  </w:style>
  <w:style w:type="table" w:customStyle="1" w:styleId="211">
    <w:name w:val="List Table 5 Dark - Accent 5"/>
    <w:qFormat/>
    <w:uiPriority w:val="99"/>
    <w:pPr>
      <w:spacing w:after="0" w:line="240" w:lineRule="auto"/>
    </w:pPr>
  </w:style>
  <w:style w:type="table" w:customStyle="1" w:styleId="212">
    <w:name w:val="List Table 5 Dark - Accent 6"/>
    <w:qFormat/>
    <w:uiPriority w:val="99"/>
    <w:pPr>
      <w:spacing w:after="0" w:line="240" w:lineRule="auto"/>
    </w:pPr>
  </w:style>
  <w:style w:type="table" w:customStyle="1" w:styleId="213">
    <w:name w:val="List Table 6 Colorful"/>
    <w:qFormat/>
    <w:uiPriority w:val="99"/>
    <w:pPr>
      <w:spacing w:after="0" w:line="240" w:lineRule="auto"/>
    </w:pPr>
  </w:style>
  <w:style w:type="table" w:customStyle="1" w:styleId="214">
    <w:name w:val="List Table 6 Colorful - Accent 1"/>
    <w:qFormat/>
    <w:uiPriority w:val="99"/>
    <w:pPr>
      <w:spacing w:after="0" w:line="240" w:lineRule="auto"/>
    </w:pPr>
  </w:style>
  <w:style w:type="table" w:customStyle="1" w:styleId="215">
    <w:name w:val="List Table 6 Colorful - Accent 2"/>
    <w:qFormat/>
    <w:uiPriority w:val="99"/>
    <w:pPr>
      <w:spacing w:after="0" w:line="240" w:lineRule="auto"/>
    </w:pPr>
  </w:style>
  <w:style w:type="table" w:customStyle="1" w:styleId="216">
    <w:name w:val="List Table 6 Colorful - Accent 3"/>
    <w:qFormat/>
    <w:uiPriority w:val="99"/>
    <w:pPr>
      <w:spacing w:after="0" w:line="240" w:lineRule="auto"/>
    </w:pPr>
  </w:style>
  <w:style w:type="table" w:customStyle="1" w:styleId="217">
    <w:name w:val="List Table 6 Colorful - Accent 4"/>
    <w:qFormat/>
    <w:uiPriority w:val="99"/>
    <w:pPr>
      <w:spacing w:after="0" w:line="240" w:lineRule="auto"/>
    </w:pPr>
  </w:style>
  <w:style w:type="table" w:customStyle="1" w:styleId="218">
    <w:name w:val="List Table 6 Colorful - Accent 5"/>
    <w:qFormat/>
    <w:uiPriority w:val="99"/>
    <w:pPr>
      <w:spacing w:after="0" w:line="240" w:lineRule="auto"/>
    </w:pPr>
  </w:style>
  <w:style w:type="table" w:customStyle="1" w:styleId="219">
    <w:name w:val="List Table 6 Colorful - Accent 6"/>
    <w:qFormat/>
    <w:uiPriority w:val="99"/>
    <w:pPr>
      <w:spacing w:after="0" w:line="240" w:lineRule="auto"/>
    </w:pPr>
  </w:style>
  <w:style w:type="table" w:customStyle="1" w:styleId="220">
    <w:name w:val="List Table 7 Colorful"/>
    <w:qFormat/>
    <w:uiPriority w:val="99"/>
    <w:pPr>
      <w:spacing w:after="0" w:line="240" w:lineRule="auto"/>
    </w:pPr>
  </w:style>
  <w:style w:type="table" w:customStyle="1" w:styleId="221">
    <w:name w:val="List Table 7 Colorful - Accent 1"/>
    <w:qFormat/>
    <w:uiPriority w:val="99"/>
    <w:pPr>
      <w:spacing w:after="0" w:line="240" w:lineRule="auto"/>
    </w:pPr>
  </w:style>
  <w:style w:type="table" w:customStyle="1" w:styleId="222">
    <w:name w:val="List Table 7 Colorful - Accent 2"/>
    <w:qFormat/>
    <w:uiPriority w:val="99"/>
    <w:pPr>
      <w:spacing w:after="0" w:line="240" w:lineRule="auto"/>
    </w:pPr>
  </w:style>
  <w:style w:type="table" w:customStyle="1" w:styleId="223">
    <w:name w:val="List Table 7 Colorful - Accent 3"/>
    <w:qFormat/>
    <w:uiPriority w:val="99"/>
    <w:pPr>
      <w:spacing w:after="0" w:line="240" w:lineRule="auto"/>
    </w:pPr>
  </w:style>
  <w:style w:type="table" w:customStyle="1" w:styleId="224">
    <w:name w:val="List Table 7 Colorful - Accent 4"/>
    <w:qFormat/>
    <w:uiPriority w:val="99"/>
    <w:pPr>
      <w:spacing w:after="0" w:line="240" w:lineRule="auto"/>
    </w:pPr>
  </w:style>
  <w:style w:type="table" w:customStyle="1" w:styleId="225">
    <w:name w:val="List Table 7 Colorful - Accent 5"/>
    <w:qFormat/>
    <w:uiPriority w:val="99"/>
    <w:pPr>
      <w:spacing w:after="0" w:line="240" w:lineRule="auto"/>
    </w:pPr>
  </w:style>
  <w:style w:type="table" w:customStyle="1" w:styleId="226">
    <w:name w:val="List Table 7 Colorful - Accent 6"/>
    <w:qFormat/>
    <w:uiPriority w:val="99"/>
    <w:pPr>
      <w:spacing w:after="0" w:line="240" w:lineRule="auto"/>
    </w:pPr>
  </w:style>
  <w:style w:type="table" w:customStyle="1" w:styleId="227">
    <w:name w:val="Lined - Accent"/>
    <w:qFormat/>
    <w:uiPriority w:val="99"/>
    <w:pPr>
      <w:spacing w:after="0" w:line="240" w:lineRule="auto"/>
    </w:pPr>
    <w:rPr>
      <w:color w:val="404040"/>
    </w:rPr>
  </w:style>
  <w:style w:type="table" w:customStyle="1" w:styleId="228">
    <w:name w:val="Lined - Accent 1"/>
    <w:qFormat/>
    <w:uiPriority w:val="99"/>
    <w:pPr>
      <w:spacing w:after="0" w:line="240" w:lineRule="auto"/>
    </w:pPr>
    <w:rPr>
      <w:color w:val="404040"/>
    </w:rPr>
  </w:style>
  <w:style w:type="table" w:customStyle="1" w:styleId="229">
    <w:name w:val="Lined - Accent 2"/>
    <w:qFormat/>
    <w:uiPriority w:val="99"/>
    <w:pPr>
      <w:spacing w:after="0" w:line="240" w:lineRule="auto"/>
    </w:pPr>
    <w:rPr>
      <w:color w:val="404040"/>
    </w:rPr>
  </w:style>
  <w:style w:type="table" w:customStyle="1" w:styleId="230">
    <w:name w:val="Lined - Accent 3"/>
    <w:qFormat/>
    <w:uiPriority w:val="99"/>
    <w:pPr>
      <w:spacing w:after="0" w:line="240" w:lineRule="auto"/>
    </w:pPr>
    <w:rPr>
      <w:color w:val="404040"/>
    </w:rPr>
  </w:style>
  <w:style w:type="table" w:customStyle="1" w:styleId="231">
    <w:name w:val="Lined - Accent 4"/>
    <w:qFormat/>
    <w:uiPriority w:val="99"/>
    <w:pPr>
      <w:spacing w:after="0" w:line="240" w:lineRule="auto"/>
    </w:pPr>
    <w:rPr>
      <w:color w:val="404040"/>
    </w:rPr>
  </w:style>
  <w:style w:type="table" w:customStyle="1" w:styleId="232">
    <w:name w:val="Lined - Accent 5"/>
    <w:qFormat/>
    <w:uiPriority w:val="99"/>
    <w:pPr>
      <w:spacing w:after="0" w:line="240" w:lineRule="auto"/>
    </w:pPr>
    <w:rPr>
      <w:color w:val="404040"/>
    </w:rPr>
  </w:style>
  <w:style w:type="table" w:customStyle="1" w:styleId="233">
    <w:name w:val="Lined - Accent 6"/>
    <w:qFormat/>
    <w:uiPriority w:val="99"/>
    <w:pPr>
      <w:spacing w:after="0" w:line="240" w:lineRule="auto"/>
    </w:pPr>
    <w:rPr>
      <w:color w:val="404040"/>
    </w:rPr>
  </w:style>
  <w:style w:type="table" w:customStyle="1" w:styleId="234">
    <w:name w:val="Bordered &amp; Lined - Accent"/>
    <w:qFormat/>
    <w:uiPriority w:val="99"/>
    <w:pPr>
      <w:spacing w:after="0" w:line="240" w:lineRule="auto"/>
    </w:pPr>
    <w:rPr>
      <w:color w:val="404040"/>
    </w:rPr>
  </w:style>
  <w:style w:type="table" w:customStyle="1" w:styleId="235">
    <w:name w:val="Bordered &amp; Lined - Accent 1"/>
    <w:qFormat/>
    <w:uiPriority w:val="99"/>
    <w:pPr>
      <w:spacing w:after="0" w:line="240" w:lineRule="auto"/>
    </w:pPr>
    <w:rPr>
      <w:color w:val="404040"/>
    </w:rPr>
  </w:style>
  <w:style w:type="table" w:customStyle="1" w:styleId="236">
    <w:name w:val="Bordered &amp; Lined - Accent 2"/>
    <w:qFormat/>
    <w:uiPriority w:val="99"/>
    <w:pPr>
      <w:spacing w:after="0" w:line="240" w:lineRule="auto"/>
    </w:pPr>
    <w:rPr>
      <w:color w:val="404040"/>
    </w:rPr>
  </w:style>
  <w:style w:type="table" w:customStyle="1" w:styleId="237">
    <w:name w:val="Bordered &amp; Lined - Accent 3"/>
    <w:qFormat/>
    <w:uiPriority w:val="99"/>
    <w:pPr>
      <w:spacing w:after="0" w:line="240" w:lineRule="auto"/>
    </w:pPr>
    <w:rPr>
      <w:color w:val="404040"/>
    </w:rPr>
  </w:style>
  <w:style w:type="table" w:customStyle="1" w:styleId="238">
    <w:name w:val="Bordered &amp; Lined - Accent 4"/>
    <w:qFormat/>
    <w:uiPriority w:val="99"/>
    <w:pPr>
      <w:spacing w:after="0" w:line="240" w:lineRule="auto"/>
    </w:pPr>
    <w:rPr>
      <w:color w:val="404040"/>
    </w:rPr>
  </w:style>
  <w:style w:type="table" w:customStyle="1" w:styleId="239">
    <w:name w:val="Bordered &amp; Lined - Accent 5"/>
    <w:qFormat/>
    <w:uiPriority w:val="99"/>
    <w:pPr>
      <w:spacing w:after="0" w:line="240" w:lineRule="auto"/>
    </w:pPr>
    <w:rPr>
      <w:color w:val="404040"/>
    </w:rPr>
  </w:style>
  <w:style w:type="table" w:customStyle="1" w:styleId="240">
    <w:name w:val="Bordered &amp; Lined - Accent 6"/>
    <w:qFormat/>
    <w:uiPriority w:val="99"/>
    <w:pPr>
      <w:spacing w:after="0" w:line="240" w:lineRule="auto"/>
    </w:pPr>
    <w:rPr>
      <w:color w:val="404040"/>
    </w:rPr>
  </w:style>
  <w:style w:type="table" w:customStyle="1" w:styleId="241">
    <w:name w:val="Bordered"/>
    <w:qFormat/>
    <w:uiPriority w:val="99"/>
    <w:pPr>
      <w:spacing w:after="0" w:line="240" w:lineRule="auto"/>
    </w:pPr>
  </w:style>
  <w:style w:type="table" w:customStyle="1" w:styleId="242">
    <w:name w:val="Bordered - Accent 1"/>
    <w:qFormat/>
    <w:uiPriority w:val="99"/>
    <w:pPr>
      <w:spacing w:after="0" w:line="240" w:lineRule="auto"/>
    </w:pPr>
  </w:style>
  <w:style w:type="table" w:customStyle="1" w:styleId="243">
    <w:name w:val="Bordered - Accent 2"/>
    <w:qFormat/>
    <w:uiPriority w:val="99"/>
    <w:pPr>
      <w:spacing w:after="0" w:line="240" w:lineRule="auto"/>
    </w:pPr>
  </w:style>
  <w:style w:type="table" w:customStyle="1" w:styleId="244">
    <w:name w:val="Bordered - Accent 3"/>
    <w:qFormat/>
    <w:uiPriority w:val="99"/>
    <w:pPr>
      <w:spacing w:after="0" w:line="240" w:lineRule="auto"/>
    </w:pPr>
  </w:style>
  <w:style w:type="table" w:customStyle="1" w:styleId="245">
    <w:name w:val="Bordered - Accent 4"/>
    <w:qFormat/>
    <w:uiPriority w:val="99"/>
    <w:pPr>
      <w:spacing w:after="0" w:line="240" w:lineRule="auto"/>
    </w:pPr>
  </w:style>
  <w:style w:type="table" w:customStyle="1" w:styleId="246">
    <w:name w:val="Bordered - Accent 5"/>
    <w:qFormat/>
    <w:uiPriority w:val="99"/>
    <w:pPr>
      <w:spacing w:after="0" w:line="240" w:lineRule="auto"/>
    </w:pPr>
  </w:style>
  <w:style w:type="table" w:customStyle="1" w:styleId="247">
    <w:name w:val="Bordered - Accent 6"/>
    <w:qFormat/>
    <w:uiPriority w:val="99"/>
    <w:pPr>
      <w:spacing w:after="0" w:line="240" w:lineRule="auto"/>
    </w:pPr>
  </w:style>
  <w:style w:type="paragraph" w:customStyle="1" w:styleId="248">
    <w:name w:val="TOC Heading"/>
    <w:unhideWhenUsed/>
    <w:qFormat/>
    <w:uiPriority w:val="39"/>
    <w:rPr>
      <w:rFonts w:hint="default" w:ascii="Times New Roman" w:hAnsi="Times New Roman" w:eastAsia="宋体" w:cs="Times New Roman"/>
    </w:rPr>
  </w:style>
  <w:style w:type="paragraph" w:customStyle="1" w:styleId="249">
    <w:name w:val="标题 41"/>
    <w:basedOn w:val="250"/>
    <w:next w:val="98"/>
    <w:link w:val="251"/>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paragraph" w:customStyle="1" w:styleId="250">
    <w:name w:val="标题1"/>
    <w:basedOn w:val="1"/>
    <w:next w:val="96"/>
    <w:qFormat/>
    <w:uiPriority w:val="10"/>
    <w:pPr>
      <w:spacing w:before="300" w:after="200"/>
      <w:contextualSpacing/>
    </w:pPr>
    <w:rPr>
      <w:sz w:val="48"/>
      <w:szCs w:val="48"/>
    </w:rPr>
  </w:style>
  <w:style w:type="character" w:customStyle="1" w:styleId="251">
    <w:name w:val="标题 4 Char"/>
    <w:basedOn w:val="35"/>
    <w:link w:val="249"/>
    <w:semiHidden/>
    <w:qFormat/>
    <w:uiPriority w:val="0"/>
    <w:rPr>
      <w:rFonts w:ascii="Calibri Light" w:hAnsi="Calibri Light" w:eastAsia="宋体" w:cs="Times New Roman"/>
      <w:b/>
      <w:bCs/>
      <w:sz w:val="28"/>
      <w:szCs w:val="28"/>
    </w:rPr>
  </w:style>
  <w:style w:type="paragraph" w:customStyle="1" w:styleId="252">
    <w:name w:val="文本块1"/>
    <w:basedOn w:val="1"/>
    <w:next w:val="249"/>
    <w:unhideWhenUsed/>
    <w:qFormat/>
    <w:uiPriority w:val="6"/>
    <w:pPr>
      <w:spacing w:after="120"/>
      <w:ind w:left="1440" w:right="1440"/>
    </w:pPr>
  </w:style>
  <w:style w:type="paragraph" w:customStyle="1" w:styleId="253">
    <w:name w:val="脚注文本1"/>
    <w:basedOn w:val="112"/>
    <w:next w:val="254"/>
    <w:link w:val="255"/>
    <w:qFormat/>
    <w:uiPriority w:val="99"/>
    <w:pPr>
      <w:jc w:val="left"/>
    </w:pPr>
    <w:rPr>
      <w:rFonts w:ascii="宋体" w:eastAsia="Times New Roman"/>
      <w:sz w:val="18"/>
      <w:szCs w:val="18"/>
    </w:rPr>
  </w:style>
  <w:style w:type="paragraph" w:customStyle="1" w:styleId="254">
    <w:name w:val="索引 51"/>
    <w:basedOn w:val="1"/>
    <w:next w:val="112"/>
    <w:qFormat/>
    <w:uiPriority w:val="0"/>
    <w:pPr>
      <w:ind w:left="798"/>
      <w:jc w:val="left"/>
    </w:pPr>
    <w:rPr>
      <w:rFonts w:ascii="Calibri" w:hAnsi="Calibri"/>
    </w:rPr>
  </w:style>
  <w:style w:type="character" w:customStyle="1" w:styleId="255">
    <w:name w:val="脚注文本 Char"/>
    <w:basedOn w:val="35"/>
    <w:link w:val="253"/>
    <w:qFormat/>
    <w:uiPriority w:val="99"/>
    <w:rPr>
      <w:rFonts w:ascii="宋体" w:hAnsi="Times New Roman" w:eastAsia="Times New Roman" w:cs="Times New Roman"/>
      <w:sz w:val="18"/>
      <w:szCs w:val="18"/>
    </w:rPr>
  </w:style>
  <w:style w:type="paragraph" w:customStyle="1" w:styleId="256">
    <w:name w:val="段"/>
    <w:basedOn w:val="1"/>
    <w:next w:val="1"/>
    <w:qFormat/>
    <w:uiPriority w:val="0"/>
    <w:pPr>
      <w:widowControl/>
      <w:ind w:firstLine="200"/>
    </w:pPr>
    <w:rPr>
      <w:rFonts w:hint="eastAsia" w:ascii="宋体"/>
    </w:rPr>
  </w:style>
  <w:style w:type="paragraph" w:customStyle="1" w:styleId="257">
    <w:name w:val="目录 111"/>
    <w:basedOn w:val="108"/>
    <w:next w:val="1"/>
    <w:unhideWhenUsed/>
    <w:qFormat/>
    <w:uiPriority w:val="39"/>
    <w:pPr>
      <w:widowControl/>
      <w:spacing w:after="100" w:line="259" w:lineRule="auto"/>
      <w:jc w:val="left"/>
    </w:pPr>
    <w:rPr>
      <w:rFonts w:ascii="Calibri" w:hAnsi="Calibri" w:eastAsia="宋体"/>
      <w:sz w:val="22"/>
      <w:szCs w:val="22"/>
    </w:rPr>
  </w:style>
  <w:style w:type="table" w:customStyle="1" w:styleId="258">
    <w:name w:val="普通表格1"/>
    <w:unhideWhenUsed/>
    <w:qFormat/>
    <w:uiPriority w:val="99"/>
  </w:style>
  <w:style w:type="paragraph" w:customStyle="1" w:styleId="259">
    <w:name w:val="正文缩进1"/>
    <w:basedOn w:val="1"/>
    <w:qFormat/>
    <w:uiPriority w:val="0"/>
    <w:pPr>
      <w:ind w:firstLine="420"/>
    </w:pPr>
  </w:style>
  <w:style w:type="paragraph" w:customStyle="1" w:styleId="260">
    <w:name w:val="批注文字1"/>
    <w:basedOn w:val="1"/>
    <w:qFormat/>
    <w:uiPriority w:val="99"/>
    <w:pPr>
      <w:jc w:val="left"/>
    </w:pPr>
  </w:style>
  <w:style w:type="paragraph" w:customStyle="1" w:styleId="261">
    <w:name w:val="纯文本1"/>
    <w:basedOn w:val="1"/>
    <w:qFormat/>
    <w:uiPriority w:val="0"/>
    <w:rPr>
      <w:rFonts w:ascii="宋体" w:hAnsi="Courier New"/>
      <w:szCs w:val="20"/>
    </w:rPr>
  </w:style>
  <w:style w:type="paragraph" w:customStyle="1" w:styleId="262">
    <w:name w:val="日期1"/>
    <w:basedOn w:val="1"/>
    <w:next w:val="1"/>
    <w:qFormat/>
    <w:uiPriority w:val="0"/>
    <w:rPr>
      <w:rFonts w:eastAsia="仿宋_GB2312"/>
      <w:sz w:val="28"/>
      <w:szCs w:val="20"/>
    </w:rPr>
  </w:style>
  <w:style w:type="paragraph" w:customStyle="1" w:styleId="263">
    <w:name w:val="正文文本缩进 21"/>
    <w:basedOn w:val="1"/>
    <w:qFormat/>
    <w:uiPriority w:val="0"/>
    <w:pPr>
      <w:spacing w:line="500" w:lineRule="exact"/>
      <w:ind w:firstLine="560"/>
    </w:pPr>
    <w:rPr>
      <w:color w:val="000000"/>
      <w:sz w:val="28"/>
    </w:rPr>
  </w:style>
  <w:style w:type="paragraph" w:customStyle="1" w:styleId="264">
    <w:name w:val="批注框文本1"/>
    <w:basedOn w:val="1"/>
    <w:link w:val="265"/>
    <w:qFormat/>
    <w:uiPriority w:val="0"/>
    <w:rPr>
      <w:sz w:val="18"/>
      <w:szCs w:val="18"/>
    </w:rPr>
  </w:style>
  <w:style w:type="character" w:customStyle="1" w:styleId="265">
    <w:name w:val="批注框文本 Char"/>
    <w:basedOn w:val="35"/>
    <w:link w:val="264"/>
    <w:qFormat/>
    <w:uiPriority w:val="0"/>
    <w:rPr>
      <w:rFonts w:ascii="Times New Roman" w:hAnsi="Times New Roman" w:eastAsia="宋体" w:cs="Times New Roman"/>
      <w:sz w:val="18"/>
      <w:szCs w:val="18"/>
    </w:rPr>
  </w:style>
  <w:style w:type="paragraph" w:customStyle="1" w:styleId="266">
    <w:name w:val="页脚1"/>
    <w:basedOn w:val="1"/>
    <w:link w:val="267"/>
    <w:qFormat/>
    <w:uiPriority w:val="99"/>
    <w:pPr>
      <w:tabs>
        <w:tab w:val="center" w:pos="4153"/>
        <w:tab w:val="right" w:pos="8306"/>
      </w:tabs>
      <w:jc w:val="left"/>
    </w:pPr>
    <w:rPr>
      <w:sz w:val="18"/>
      <w:szCs w:val="18"/>
    </w:rPr>
  </w:style>
  <w:style w:type="character" w:customStyle="1" w:styleId="267">
    <w:name w:val="页脚 Char"/>
    <w:basedOn w:val="35"/>
    <w:link w:val="266"/>
    <w:qFormat/>
    <w:uiPriority w:val="99"/>
    <w:rPr>
      <w:rFonts w:ascii="Times New Roman" w:hAnsi="Times New Roman" w:eastAsia="宋体" w:cs="Times New Roman"/>
      <w:sz w:val="18"/>
      <w:szCs w:val="18"/>
    </w:rPr>
  </w:style>
  <w:style w:type="paragraph" w:customStyle="1" w:styleId="268">
    <w:name w:val="页眉1"/>
    <w:basedOn w:val="1"/>
    <w:qFormat/>
    <w:uiPriority w:val="99"/>
    <w:pPr>
      <w:pBdr>
        <w:bottom w:val="single" w:color="000000" w:sz="6" w:space="1"/>
      </w:pBdr>
      <w:tabs>
        <w:tab w:val="center" w:pos="4153"/>
        <w:tab w:val="right" w:pos="8306"/>
      </w:tabs>
      <w:jc w:val="center"/>
    </w:pPr>
    <w:rPr>
      <w:sz w:val="18"/>
      <w:szCs w:val="18"/>
    </w:rPr>
  </w:style>
  <w:style w:type="paragraph" w:customStyle="1" w:styleId="269">
    <w:name w:val="目录 11111"/>
    <w:basedOn w:val="1"/>
    <w:next w:val="1"/>
    <w:qFormat/>
    <w:uiPriority w:val="39"/>
  </w:style>
  <w:style w:type="paragraph" w:customStyle="1" w:styleId="270">
    <w:name w:val="目录 21"/>
    <w:basedOn w:val="1"/>
    <w:next w:val="1"/>
    <w:unhideWhenUsed/>
    <w:qFormat/>
    <w:uiPriority w:val="0"/>
    <w:pPr>
      <w:ind w:left="420"/>
    </w:pPr>
  </w:style>
  <w:style w:type="paragraph" w:customStyle="1" w:styleId="271">
    <w:name w:val="普通(网站)1"/>
    <w:basedOn w:val="1"/>
    <w:qFormat/>
    <w:uiPriority w:val="99"/>
    <w:pPr>
      <w:widowControl/>
      <w:spacing w:before="100" w:beforeAutospacing="1" w:after="100" w:afterAutospacing="1"/>
      <w:jc w:val="left"/>
    </w:pPr>
    <w:rPr>
      <w:rFonts w:ascii="宋体" w:hAnsi="宋体" w:cs="宋体"/>
      <w:sz w:val="24"/>
    </w:rPr>
  </w:style>
  <w:style w:type="table" w:customStyle="1" w:styleId="272">
    <w:name w:val="网格型1"/>
    <w:basedOn w:val="258"/>
    <w:qFormat/>
    <w:uiPriority w:val="0"/>
  </w:style>
  <w:style w:type="character" w:customStyle="1" w:styleId="273">
    <w:name w:val="页码1"/>
    <w:basedOn w:val="35"/>
    <w:link w:val="1"/>
    <w:qFormat/>
    <w:uiPriority w:val="0"/>
  </w:style>
  <w:style w:type="character" w:customStyle="1" w:styleId="274">
    <w:name w:val="已访问的超链接1"/>
    <w:basedOn w:val="35"/>
    <w:link w:val="1"/>
    <w:unhideWhenUsed/>
    <w:qFormat/>
    <w:uiPriority w:val="0"/>
    <w:rPr>
      <w:color w:val="800080"/>
      <w:u w:val="none"/>
    </w:rPr>
  </w:style>
  <w:style w:type="character" w:customStyle="1" w:styleId="275">
    <w:name w:val="超链接11"/>
    <w:basedOn w:val="35"/>
    <w:link w:val="1"/>
    <w:unhideWhenUsed/>
    <w:qFormat/>
    <w:uiPriority w:val="99"/>
    <w:rPr>
      <w:color w:val="0000FF"/>
      <w:u w:val="none"/>
    </w:rPr>
  </w:style>
  <w:style w:type="character" w:customStyle="1" w:styleId="276">
    <w:name w:val="ql-font-timesnewroman"/>
    <w:basedOn w:val="35"/>
    <w:link w:val="1"/>
    <w:qFormat/>
    <w:uiPriority w:val="0"/>
  </w:style>
  <w:style w:type="paragraph" w:customStyle="1" w:styleId="277">
    <w:name w:val="样式 样式 样式 样式 小四 左 首行缩进:  2 字符 + 首行缩进:  2 字符 Char + 右  0 字符1 + 首行缩...3"/>
    <w:basedOn w:val="1"/>
    <w:qFormat/>
    <w:uiPriority w:val="99"/>
    <w:pPr>
      <w:spacing w:line="360" w:lineRule="auto"/>
      <w:ind w:firstLine="480"/>
      <w:jc w:val="left"/>
    </w:pPr>
    <w:rPr>
      <w:sz w:val="24"/>
    </w:rPr>
  </w:style>
  <w:style w:type="paragraph" w:customStyle="1" w:styleId="278">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279">
    <w:name w:val="Table Paragraph"/>
    <w:basedOn w:val="1"/>
    <w:qFormat/>
    <w:uiPriority w:val="1"/>
    <w:pPr>
      <w:jc w:val="left"/>
    </w:pPr>
    <w:rPr>
      <w:rFonts w:ascii="Arial Unicode MS" w:hAnsi="Arial Unicode MS" w:eastAsia="Arial Unicode MS" w:cs="Arial Unicode MS"/>
      <w:sz w:val="22"/>
      <w:szCs w:val="22"/>
      <w:lang w:val="zh-CN" w:bidi="zh-CN"/>
    </w:rPr>
  </w:style>
  <w:style w:type="paragraph" w:customStyle="1" w:styleId="280">
    <w:name w:val="标准"/>
    <w:basedOn w:val="1"/>
    <w:qFormat/>
    <w:uiPriority w:val="0"/>
    <w:pPr>
      <w:spacing w:line="360" w:lineRule="auto"/>
      <w:ind w:firstLine="200"/>
    </w:pPr>
    <w:rPr>
      <w:rFonts w:cs="宋体"/>
      <w:szCs w:val="21"/>
    </w:rPr>
  </w:style>
  <w:style w:type="paragraph" w:customStyle="1" w:styleId="281">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282">
    <w:name w:val="p0"/>
    <w:basedOn w:val="1"/>
    <w:qFormat/>
    <w:uiPriority w:val="0"/>
    <w:pPr>
      <w:widowControl/>
    </w:pPr>
    <w:rPr>
      <w:szCs w:val="21"/>
    </w:rPr>
  </w:style>
  <w:style w:type="paragraph" w:styleId="283">
    <w:name w:val="List Paragraph"/>
    <w:basedOn w:val="1"/>
    <w:qFormat/>
    <w:uiPriority w:val="34"/>
    <w:pPr>
      <w:ind w:firstLine="420"/>
    </w:pPr>
  </w:style>
  <w:style w:type="paragraph" w:customStyle="1" w:styleId="284">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285">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286">
    <w:name w:val="ql-align-justify"/>
    <w:basedOn w:val="1"/>
    <w:qFormat/>
    <w:uiPriority w:val="0"/>
    <w:pPr>
      <w:widowControl/>
      <w:spacing w:before="100" w:beforeAutospacing="1" w:after="100" w:afterAutospacing="1"/>
      <w:jc w:val="left"/>
    </w:pPr>
    <w:rPr>
      <w:rFonts w:ascii="宋体" w:hAnsi="宋体" w:cs="宋体"/>
      <w:sz w:val="24"/>
    </w:rPr>
  </w:style>
  <w:style w:type="paragraph" w:customStyle="1" w:styleId="287">
    <w:name w:val="179"/>
    <w:basedOn w:val="1"/>
    <w:qFormat/>
    <w:uiPriority w:val="0"/>
    <w:pPr>
      <w:widowControl/>
      <w:ind w:firstLine="420"/>
      <w:jc w:val="left"/>
    </w:pPr>
    <w:rPr>
      <w:rFonts w:ascii="宋体" w:hAnsi="宋体"/>
      <w:sz w:val="24"/>
    </w:rPr>
  </w:style>
  <w:style w:type="paragraph" w:customStyle="1" w:styleId="288">
    <w:name w:val="ql-align-center"/>
    <w:basedOn w:val="1"/>
    <w:qFormat/>
    <w:uiPriority w:val="0"/>
    <w:pPr>
      <w:widowControl/>
      <w:spacing w:before="100" w:beforeAutospacing="1" w:after="100" w:afterAutospacing="1"/>
      <w:jc w:val="left"/>
    </w:pPr>
    <w:rPr>
      <w:rFonts w:ascii="宋体" w:hAnsi="宋体" w:cs="宋体"/>
      <w:sz w:val="24"/>
    </w:rPr>
  </w:style>
  <w:style w:type="paragraph" w:customStyle="1" w:styleId="289">
    <w:name w:val="Table Text"/>
    <w:basedOn w:val="1"/>
    <w:semiHidden/>
    <w:qFormat/>
    <w:uiPriority w:val="0"/>
    <w:rPr>
      <w:rFonts w:ascii="宋体" w:hAnsi="宋体" w:eastAsia="宋体" w:cs="宋体"/>
      <w:sz w:val="32"/>
      <w:szCs w:val="32"/>
      <w:lang w:val="en-US" w:eastAsia="en-US" w:bidi="ar-SA"/>
    </w:rPr>
  </w:style>
  <w:style w:type="paragraph" w:customStyle="1" w:styleId="290">
    <w:name w:val="普通(网站)111"/>
    <w:basedOn w:val="1"/>
    <w:qFormat/>
    <w:uiPriority w:val="99"/>
    <w:pPr>
      <w:spacing w:before="100" w:beforeAutospacing="1" w:after="100" w:afterAutospacing="1"/>
    </w:pPr>
    <w:rPr>
      <w:rFonts w:ascii="宋体" w:hAnsi="宋体" w:cs="宋体"/>
      <w:sz w:val="24"/>
      <w:szCs w:val="24"/>
    </w:rPr>
  </w:style>
  <w:style w:type="paragraph" w:customStyle="1" w:styleId="291">
    <w:name w:val="正文文本缩进111"/>
    <w:basedOn w:val="1"/>
    <w:qFormat/>
    <w:uiPriority w:val="99"/>
    <w:pPr>
      <w:spacing w:after="120"/>
      <w:ind w:left="420"/>
    </w:pPr>
  </w:style>
  <w:style w:type="paragraph" w:customStyle="1" w:styleId="292">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93">
    <w:name w:val="列出段落1"/>
    <w:basedOn w:val="1"/>
    <w:next w:val="80"/>
    <w:qFormat/>
    <w:uiPriority w:val="34"/>
    <w:pPr>
      <w:ind w:firstLine="420"/>
    </w:pPr>
    <w:rPr>
      <w:rFonts w:ascii="Calibri" w:hAnsi="Calibri"/>
    </w:rPr>
  </w:style>
  <w:style w:type="paragraph" w:customStyle="1" w:styleId="294">
    <w:name w:val="纯文本11"/>
    <w:basedOn w:val="1"/>
    <w:qFormat/>
    <w:uiPriority w:val="0"/>
    <w:rPr>
      <w:rFonts w:ascii="宋体" w:hAnsi="Courier New"/>
      <w:szCs w:val="20"/>
    </w:rPr>
  </w:style>
  <w:style w:type="paragraph" w:customStyle="1" w:styleId="295">
    <w:name w:val="目录 112"/>
    <w:basedOn w:val="1"/>
    <w:next w:val="1"/>
    <w:qFormat/>
    <w:uiPriority w:val="39"/>
  </w:style>
  <w:style w:type="character" w:customStyle="1" w:styleId="296">
    <w:name w:val="font31"/>
    <w:basedOn w:val="48"/>
    <w:link w:val="1"/>
    <w:qFormat/>
    <w:uiPriority w:val="0"/>
    <w:rPr>
      <w:rFonts w:ascii="Times New Roman" w:hAnsi="Times New Roman" w:cs="Times New Roman"/>
      <w:color w:val="000000"/>
      <w:sz w:val="24"/>
      <w:szCs w:val="24"/>
      <w:u w:val="none"/>
    </w:rPr>
  </w:style>
  <w:style w:type="character" w:customStyle="1" w:styleId="297">
    <w:name w:val="font21"/>
    <w:basedOn w:val="48"/>
    <w:link w:val="1"/>
    <w:qFormat/>
    <w:uiPriority w:val="0"/>
    <w:rPr>
      <w:rFonts w:hint="eastAsia" w:ascii="宋体" w:hAnsi="宋体" w:eastAsia="宋体" w:cs="宋体"/>
      <w:color w:val="000000"/>
      <w:sz w:val="24"/>
      <w:szCs w:val="24"/>
      <w:u w:val="none"/>
    </w:rPr>
  </w:style>
  <w:style w:type="character" w:customStyle="1" w:styleId="298">
    <w:name w:val="font61"/>
    <w:basedOn w:val="48"/>
    <w:link w:val="1"/>
    <w:qFormat/>
    <w:uiPriority w:val="0"/>
    <w:rPr>
      <w:rFonts w:ascii="Arial" w:hAnsi="Arial" w:cs="Arial"/>
      <w:color w:val="000000"/>
      <w:sz w:val="24"/>
      <w:szCs w:val="24"/>
      <w:u w:val="none"/>
    </w:rPr>
  </w:style>
  <w:style w:type="character" w:customStyle="1" w:styleId="299">
    <w:name w:val="font41"/>
    <w:basedOn w:val="48"/>
    <w:link w:val="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emplate>
  <Pages>159</Pages>
  <Words>58171</Words>
  <Characters>66181</Characters>
  <TotalTime>0</TotalTime>
  <ScaleCrop>false</ScaleCrop>
  <LinksUpToDate>false</LinksUpToDate>
  <CharactersWithSpaces>68545</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2022-01-18T09:01:00Z</dcterms:created>
  <dc:creator>Admi</dc:creator>
  <cp:lastModifiedBy>Clover</cp:lastModifiedBy>
  <dcterms:modified xsi:type="dcterms:W3CDTF">2026-05-25T08:22:40Z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eyJoZGlkIjoiNmIzMTk1NzQ2YzNkNWM4Y2Q3MjI4NzI3N2JjN2E2MjgiLCJ1c2VySWQiOiIzMzAwMjEyNzAifQ==</vt:lpwstr>
  </property>
  <property fmtid="{D5CDD505-2E9C-101B-9397-08002B2CF9AE}" pid="3" name="KSOProductBuildVer">
    <vt:lpwstr>2052-12.1.0.26890</vt:lpwstr>
  </property>
  <property fmtid="{D5CDD505-2E9C-101B-9397-08002B2CF9AE}" pid="4" name="ICV">
    <vt:lpwstr>498206B7C559459083AFA89A14FF241A_13</vt:lpwstr>
  </property>
</Properties>
</file>