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b/>
          <w:color w:val="auto"/>
          <w:spacing w:val="40"/>
          <w:sz w:val="72"/>
          <w:szCs w:val="72"/>
          <w:highlight w:val="none"/>
        </w:rPr>
      </w:pPr>
      <w:r>
        <w:rPr>
          <w:b/>
          <w:color w:val="auto"/>
          <w:spacing w:val="40"/>
          <w:sz w:val="72"/>
          <w:szCs w:val="72"/>
          <w:highlight w:val="none"/>
        </w:rPr>
        <w:t xml:space="preserve">苏州市吴江区政府采购</w:t>
      </w:r>
      <w:r/>
    </w:p>
    <w:p>
      <w:pPr>
        <w:jc w:val="center"/>
        <w:spacing w:before="156" w:line="480" w:lineRule="auto"/>
        <w:rPr>
          <w:b/>
          <w:color w:val="auto"/>
          <w:spacing w:val="40"/>
          <w:sz w:val="72"/>
          <w:szCs w:val="72"/>
          <w:highlight w:val="none"/>
        </w:rPr>
      </w:pPr>
      <w:r>
        <w:rPr>
          <w:b/>
          <w:color w:val="auto"/>
          <w:spacing w:val="40"/>
          <w:sz w:val="72"/>
          <w:szCs w:val="72"/>
          <w:highlight w:val="none"/>
        </w:rPr>
        <w:t xml:space="preserve">竞争性磋商</w:t>
      </w:r>
      <w:r>
        <w:rPr>
          <w:b/>
          <w:color w:val="auto"/>
          <w:spacing w:val="20"/>
          <w:sz w:val="72"/>
          <w:szCs w:val="72"/>
          <w:highlight w:val="none"/>
        </w:rPr>
        <w:t xml:space="preserve">文件</w:t>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pStyle w:val="837"/>
        <w:rPr>
          <w:rFonts w:ascii="Times New Roman" w:hAnsi="Times New Roman"/>
          <w:color w:val="auto"/>
          <w:highlight w:val="none"/>
        </w:rPr>
      </w:pPr>
      <w:r>
        <w:rPr>
          <w:rFonts w:ascii="Times New Roman" w:hAnsi="Times New Roman"/>
          <w:color w:val="auto"/>
          <w:highlight w:val="none"/>
        </w:rPr>
      </w:r>
      <w:r/>
    </w:p>
    <w:p>
      <w:pPr>
        <w:jc w:val="center"/>
        <w:spacing w:line="360" w:lineRule="auto"/>
        <w:rPr>
          <w:color w:val="auto"/>
          <w:highlight w:val="none"/>
        </w:rPr>
      </w:pPr>
      <w:r>
        <w:rPr>
          <w:color w:val="auto"/>
          <w:highlight w:val="none"/>
        </w:rPr>
      </w:r>
      <w:r/>
    </w:p>
    <w:p>
      <w:pPr>
        <w:pStyle w:val="837"/>
        <w:rPr>
          <w:color w:val="auto"/>
          <w:highlight w:val="none"/>
        </w:rPr>
      </w:pPr>
      <w:r>
        <w:rPr>
          <w:color w:val="auto"/>
          <w:highlight w:val="none"/>
        </w:rPr>
      </w:r>
      <w:r/>
    </w:p>
    <w:p>
      <w:pPr>
        <w:ind w:left="840"/>
        <w:spacing w:line="360" w:lineRule="auto"/>
        <w:rPr>
          <w:color w:val="auto"/>
          <w:highlight w:val="none"/>
        </w:rPr>
      </w:pPr>
      <w:r>
        <w:rPr>
          <w:color w:val="auto"/>
          <w:highlight w:val="none"/>
        </w:rPr>
      </w:r>
      <w:r/>
    </w:p>
    <w:p>
      <w:pPr>
        <w:ind w:firstLine="643"/>
        <w:jc w:val="left"/>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JSZC-320509-MYDL-C2026-0005</w:t>
      </w:r>
      <w:r/>
    </w:p>
    <w:p>
      <w:pPr>
        <w:ind w:firstLine="643"/>
        <w:jc w:val="left"/>
        <w:spacing w:line="360" w:lineRule="auto"/>
        <w:rPr>
          <w:rFonts w:hint="eastAsia" w:eastAsia="宋体"/>
          <w:b/>
          <w:color w:val="auto"/>
          <w:sz w:val="32"/>
          <w:highlight w:val="none"/>
          <w:lang w:eastAsia="zh-CN"/>
        </w:rPr>
      </w:pPr>
      <w:r>
        <w:rPr>
          <w:rFonts w:hint="eastAsia"/>
          <w:b/>
          <w:color w:val="auto"/>
          <w:sz w:val="32"/>
          <w:highlight w:val="none"/>
        </w:rPr>
        <w:t xml:space="preserve">采购项目：</w:t>
      </w:r>
      <w:r>
        <w:rPr>
          <w:rFonts w:hint="eastAsia"/>
          <w:b/>
          <w:color w:val="auto"/>
          <w:sz w:val="32"/>
          <w:highlight w:val="none"/>
          <w:lang w:eastAsia="zh-CN"/>
        </w:rPr>
        <w:t xml:space="preserve">东太湖大厦食堂服务外包</w:t>
      </w:r>
      <w:r/>
    </w:p>
    <w:p>
      <w:pPr>
        <w:ind w:firstLine="643"/>
        <w:jc w:val="left"/>
        <w:spacing w:line="360" w:lineRule="auto"/>
        <w:rPr>
          <w:rFonts w:hint="eastAsia" w:eastAsia="宋体"/>
          <w:b/>
          <w:color w:val="auto"/>
          <w:sz w:val="32"/>
          <w:highlight w:val="none"/>
          <w:lang w:eastAsia="zh-CN"/>
        </w:rPr>
      </w:pPr>
      <w:r>
        <w:rPr>
          <w:rFonts w:hint="eastAsia"/>
          <w:b/>
          <w:color w:val="auto"/>
          <w:sz w:val="32"/>
          <w:highlight w:val="none"/>
        </w:rPr>
        <w:t xml:space="preserve">采购单位：</w:t>
      </w:r>
      <w:r>
        <w:rPr>
          <w:rFonts w:hint="eastAsia"/>
          <w:b/>
          <w:color w:val="auto"/>
          <w:sz w:val="32"/>
          <w:highlight w:val="none"/>
          <w:lang w:eastAsia="zh-CN"/>
        </w:rPr>
        <w:t xml:space="preserve">江苏省吴江东太湖生态旅游度假区管理办公室</w:t>
      </w:r>
      <w:r/>
    </w:p>
    <w:p>
      <w:pPr>
        <w:ind w:firstLine="643"/>
        <w:jc w:val="left"/>
        <w:spacing w:line="360" w:lineRule="auto"/>
        <w:rPr>
          <w:b/>
          <w:color w:val="auto"/>
          <w:sz w:val="32"/>
          <w:highlight w:val="none"/>
        </w:rPr>
      </w:pPr>
      <w:r>
        <w:rPr>
          <w:b/>
          <w:color w:val="auto"/>
          <w:sz w:val="32"/>
          <w:highlight w:val="none"/>
        </w:rPr>
        <w:t xml:space="preserve">采购类别：服务类</w:t>
      </w:r>
      <w:r/>
    </w:p>
    <w:p>
      <w:pPr>
        <w:jc w:val="center"/>
        <w:spacing w:line="360" w:lineRule="auto"/>
        <w:rPr>
          <w:b/>
          <w:color w:val="auto"/>
          <w:sz w:val="32"/>
          <w:highlight w:val="none"/>
        </w:rPr>
      </w:pPr>
      <w:r>
        <w:rPr>
          <w:b/>
          <w:color w:val="auto"/>
          <w:sz w:val="32"/>
          <w:highlight w:val="none"/>
        </w:rPr>
      </w:r>
      <w:r/>
    </w:p>
    <w:p>
      <w:pPr>
        <w:jc w:val="center"/>
        <w:spacing w:line="360" w:lineRule="auto"/>
        <w:rPr>
          <w:color w:val="auto"/>
          <w:highlight w:val="none"/>
        </w:rPr>
      </w:pPr>
      <w:r>
        <w:rPr>
          <w:color w:val="auto"/>
          <w:highlight w:val="none"/>
        </w:rPr>
      </w:r>
      <w:r/>
    </w:p>
    <w:p>
      <w:pPr>
        <w:pStyle w:val="836"/>
        <w:rPr>
          <w:rFonts w:ascii="Times New Roman"/>
          <w:color w:val="auto"/>
          <w:sz w:val="24"/>
          <w:highlight w:val="none"/>
        </w:rPr>
      </w:pPr>
      <w:r>
        <w:rPr>
          <w:rFonts w:ascii="Times New Roman"/>
          <w:color w:val="auto"/>
          <w:sz w:val="24"/>
          <w:highlight w:val="none"/>
        </w:rPr>
      </w:r>
      <w:r/>
    </w:p>
    <w:p>
      <w:pPr>
        <w:rPr>
          <w:color w:val="auto"/>
          <w:sz w:val="24"/>
          <w:highlight w:val="none"/>
        </w:rPr>
      </w:pPr>
      <w:r>
        <w:rPr>
          <w:color w:val="auto"/>
          <w:sz w:val="24"/>
          <w:highlight w:val="none"/>
        </w:rPr>
      </w:r>
      <w:r/>
    </w:p>
    <w:p>
      <w:pPr>
        <w:spacing w:line="360" w:lineRule="auto"/>
        <w:rPr>
          <w:b/>
          <w:color w:val="auto"/>
          <w:highlight w:val="none"/>
        </w:rPr>
      </w:pPr>
      <w:r>
        <w:rPr>
          <w:b/>
          <w:color w:val="auto"/>
          <w:highlight w:val="none"/>
        </w:rPr>
      </w:r>
      <w:r/>
    </w:p>
    <w:p>
      <w:pPr>
        <w:jc w:val="center"/>
        <w:spacing w:line="360" w:lineRule="auto"/>
        <w:rPr>
          <w:rFonts w:hint="eastAsia" w:eastAsia="宋体"/>
          <w:b/>
          <w:color w:val="auto"/>
          <w:sz w:val="32"/>
          <w:highlight w:val="none"/>
          <w:lang w:eastAsia="zh-CN"/>
        </w:rPr>
      </w:pPr>
      <w:r>
        <w:rPr>
          <w:rFonts w:hint="eastAsia"/>
          <w:b/>
          <w:color w:val="auto"/>
          <w:sz w:val="32"/>
          <w:highlight w:val="none"/>
          <w:lang w:eastAsia="zh-CN"/>
        </w:rPr>
        <w:t xml:space="preserve">名源工程招投标咨询（苏州）有限公司</w:t>
      </w:r>
      <w:r/>
    </w:p>
    <w:p>
      <w:pPr>
        <w:jc w:val="center"/>
        <w:spacing w:line="360" w:lineRule="auto"/>
        <w:rPr>
          <w:b/>
          <w:color w:val="auto"/>
          <w:sz w:val="32"/>
          <w:highlight w:val="none"/>
        </w:rPr>
        <w:sectPr>
          <w:headerReference w:type="default" r:id="rId9"/>
          <w:headerReference w:type="first" r:id="rId10"/>
          <w:footerReference w:type="first" r:id="rId12"/>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b/>
          <w:color w:val="auto"/>
          <w:sz w:val="32"/>
          <w:highlight w:val="none"/>
        </w:rPr>
        <w:t xml:space="preserve">二〇二六年</w:t>
      </w:r>
      <w:r>
        <w:rPr>
          <w:rFonts w:hint="eastAsia"/>
          <w:b/>
          <w:color w:val="auto"/>
          <w:sz w:val="32"/>
          <w:highlight w:val="none"/>
          <w:lang w:val="en-US" w:eastAsia="zh-CN"/>
        </w:rPr>
        <w:t xml:space="preserve">五</w:t>
      </w:r>
      <w:r>
        <w:rPr>
          <w:rFonts w:hint="eastAsia"/>
          <w:b/>
          <w:color w:val="auto"/>
          <w:sz w:val="32"/>
          <w:highlight w:val="none"/>
        </w:rPr>
        <w:t xml:space="preserve">月</w:t>
      </w:r>
      <w:r/>
    </w:p>
    <w:p>
      <w:pPr>
        <w:jc w:val="center"/>
        <w:spacing w:line="480" w:lineRule="auto"/>
        <w:rPr>
          <w:color w:val="auto"/>
          <w:highlight w:val="none"/>
        </w:rPr>
      </w:pPr>
      <w:r>
        <w:rPr>
          <w:b/>
          <w:color w:val="auto"/>
          <w:sz w:val="36"/>
          <w:highlight w:val="none"/>
        </w:rPr>
        <w:t xml:space="preserve">前附表</w:t>
      </w:r>
      <w:r/>
    </w:p>
    <w:tbl>
      <w:tblPr>
        <w:tblStyle w:val="812"/>
        <w:tblW w:w="8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W w:w="639" w:type="dxa"/>
            <w:vAlign w:val="center"/>
            <w:textDirection w:val="lrTb"/>
            <w:noWrap w:val="false"/>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W w:w="170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内     容</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587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东太湖大厦食堂服务外包</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val="en-US" w:eastAsia="zh-CN"/>
              </w:rPr>
              <w:t xml:space="preserve">叁佰叁拾万</w:t>
            </w:r>
            <w:r>
              <w:rPr>
                <w:rFonts w:hint="eastAsia" w:ascii="宋体" w:hAnsi="宋体" w:cs="宋体"/>
                <w:bCs/>
                <w:color w:val="auto"/>
                <w:szCs w:val="21"/>
                <w:highlight w:val="none"/>
                <w:lang w:eastAsia="zh-CN"/>
              </w:rPr>
              <w:t xml:space="preserve">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3300000</w:t>
            </w:r>
            <w:r>
              <w:rPr>
                <w:rFonts w:hint="eastAsia" w:ascii="宋体" w:hAnsi="宋体" w:cs="宋体"/>
                <w:bCs/>
                <w:color w:val="auto"/>
                <w:szCs w:val="21"/>
                <w:highlight w:val="none"/>
                <w:lang w:eastAsia="zh-CN"/>
              </w:rPr>
              <w:t xml:space="preserve">.00</w:t>
            </w:r>
            <w:r>
              <w:rPr>
                <w:rFonts w:hint="eastAsia" w:ascii="宋体" w:hAnsi="宋体" w:cs="宋体"/>
                <w:bCs/>
                <w:color w:val="auto"/>
                <w:szCs w:val="21"/>
                <w:highlight w:val="none"/>
              </w:rPr>
              <w:t xml:space="preserve">）</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本项目不组织统一踏勘，由供应商自行踏勘现场。</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答疑会</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网上答疑</w:t>
            </w:r>
            <w:r/>
          </w:p>
        </w:tc>
      </w:tr>
      <w:tr>
        <w:trPr>
          <w:jc w:val="center"/>
          <w:trHeight w:val="727"/>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W w:w="587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日历天（从磋商响应文件接收截止之日算起）</w:t>
            </w:r>
            <w:r/>
          </w:p>
        </w:tc>
      </w:tr>
      <w:tr>
        <w:trPr>
          <w:jc w:val="center"/>
          <w:trHeight w:val="1015"/>
        </w:trPr>
        <w:tc>
          <w:tcPr>
            <w:tcW w:w="639"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磋商响应文件接收截止时间</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lang w:eastAsia="zh-CN"/>
              </w:rPr>
              <w:t xml:space="preserve">日9</w:t>
            </w: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eastAsia="zh-CN"/>
              </w:rPr>
              <w:t xml:space="preserve">0</w:t>
            </w:r>
            <w:r>
              <w:rPr>
                <w:rFonts w:hint="eastAsia" w:ascii="宋体" w:hAnsi="宋体" w:cs="宋体"/>
                <w:color w:val="auto"/>
                <w:szCs w:val="21"/>
                <w:highlight w:val="none"/>
              </w:rPr>
              <w:t xml:space="preserve">（北京时间）</w:t>
            </w:r>
            <w:r/>
          </w:p>
        </w:tc>
      </w:tr>
      <w:tr>
        <w:trPr>
          <w:jc w:val="center"/>
          <w:trHeight w:val="631"/>
        </w:trPr>
        <w:tc>
          <w:tcPr>
            <w:tcW w:w="63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磋商截止时间</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lang w:eastAsia="zh-CN"/>
              </w:rPr>
              <w:t xml:space="preserve">日9</w:t>
            </w: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eastAsia="zh-CN"/>
              </w:rPr>
              <w:t xml:space="preserve">0</w:t>
            </w:r>
            <w:r>
              <w:rPr>
                <w:rFonts w:hint="eastAsia" w:ascii="宋体" w:hAnsi="宋体" w:cs="宋体"/>
                <w:color w:val="auto"/>
                <w:szCs w:val="21"/>
                <w:highlight w:val="none"/>
              </w:rPr>
              <w:t xml:space="preserve">（北京时间）</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W w:w="5877"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eastAsia="zh-CN"/>
              </w:rPr>
              <w:t xml:space="preserve">9：</w:t>
            </w:r>
            <w:r>
              <w:rPr>
                <w:rFonts w:hint="eastAsia" w:ascii="宋体" w:hAnsi="宋体" w:cs="宋体"/>
                <w:color w:val="auto"/>
                <w:szCs w:val="21"/>
                <w:highlight w:val="none"/>
                <w:lang w:eastAsia="zh-CN"/>
              </w:rPr>
              <w:t xml:space="preserve">30</w:t>
            </w:r>
            <w:r>
              <w:rPr>
                <w:rFonts w:hint="eastAsia" w:ascii="宋体" w:hAnsi="宋体"/>
                <w:color w:val="auto"/>
                <w:szCs w:val="21"/>
                <w:highlight w:val="none"/>
              </w:rPr>
              <w:t xml:space="preserve">（北京时间）</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olor w:val="auto"/>
                <w:szCs w:val="21"/>
                <w:highlight w:val="none"/>
              </w:rPr>
              <w:t xml:space="preserve">http://jszfcg.jsczt.cn/</w:t>
            </w:r>
            <w:r>
              <w:rPr>
                <w:rFonts w:hint="eastAsia" w:ascii="宋体" w:hAnsi="宋体"/>
                <w:color w:val="auto"/>
                <w:szCs w:val="21"/>
                <w:highlight w:val="none"/>
              </w:rPr>
              <w:fldChar w:fldCharType="end"/>
            </w:r>
            <w:r>
              <w:rPr>
                <w:rFonts w:hint="eastAsia" w:ascii="宋体" w:hAnsi="宋体"/>
                <w:color w:val="auto"/>
                <w:szCs w:val="21"/>
                <w:highlight w:val="none"/>
              </w:rPr>
              <w:t xml:space="preserve">）</w:t>
            </w:r>
            <w:r/>
          </w:p>
          <w:p>
            <w:pPr>
              <w:jc w:val="left"/>
              <w:spacing w:line="360" w:lineRule="auto"/>
              <w:rPr>
                <w:color w:val="auto"/>
                <w:highlight w:val="none"/>
              </w:rPr>
            </w:pPr>
            <w:r>
              <w:rPr>
                <w:rFonts w:hint="eastAsia" w:hAnsi="宋体"/>
                <w:b/>
                <w:color w:val="auto"/>
                <w:szCs w:val="21"/>
                <w:highlight w:val="none"/>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tc>
      </w:tr>
      <w:tr>
        <w:trPr>
          <w:jc w:val="center"/>
          <w:trHeight w:val="1294"/>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587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eastAsia="zh-CN"/>
              </w:rPr>
              <w:t xml:space="preserve">9：</w:t>
            </w:r>
            <w:r>
              <w:rPr>
                <w:rFonts w:hint="eastAsia" w:ascii="宋体" w:hAnsi="宋体" w:cs="宋体"/>
                <w:color w:val="auto"/>
                <w:szCs w:val="21"/>
                <w:highlight w:val="none"/>
                <w:lang w:eastAsia="zh-CN"/>
              </w:rPr>
              <w:t xml:space="preserve">30</w:t>
            </w:r>
            <w:r>
              <w:rPr>
                <w:rFonts w:hint="eastAsia" w:ascii="宋体" w:hAnsi="宋体" w:cs="宋体"/>
                <w:color w:val="auto"/>
                <w:szCs w:val="21"/>
                <w:highlight w:val="none"/>
              </w:rPr>
              <w:t xml:space="preserve">（北京时间）</w:t>
            </w:r>
            <w:r/>
          </w:p>
          <w:p>
            <w:pPr>
              <w:jc w:val="left"/>
              <w:spacing w:line="360" w:lineRule="auto"/>
              <w:rPr>
                <w:rStyle w:val="1059"/>
                <w:rFonts w:ascii="宋体" w:hAnsi="宋体" w:cs="宋体"/>
                <w:b/>
                <w:color w:val="auto"/>
                <w:szCs w:val="21"/>
                <w:highlight w:val="none"/>
              </w:rPr>
            </w:pPr>
            <w:r>
              <w:rPr>
                <w:rFonts w:hint="eastAsia" w:ascii="宋体" w:hAnsi="宋体" w:cs="宋体"/>
                <w:b/>
                <w:color w:val="auto"/>
                <w:szCs w:val="21"/>
                <w:highlight w:val="none"/>
                <w:lang w:bidi="ar"/>
              </w:rPr>
              <w:t xml:space="preserve">地点：</w:t>
            </w:r>
            <w:r>
              <w:rPr>
                <w:rFonts w:hint="eastAsia" w:ascii="宋体" w:hAnsi="宋体" w:cs="宋体"/>
                <w:b/>
                <w:color w:val="auto"/>
                <w:szCs w:val="21"/>
                <w:highlight w:val="none"/>
              </w:rPr>
              <w:t xml:space="preserve">苏州市公共资源交易中心吴江分中心开标室（吴江区开平路998号三楼</w:t>
            </w:r>
            <w:r>
              <w:rPr>
                <w:rStyle w:val="1059"/>
                <w:rFonts w:hint="eastAsia" w:ascii="宋体" w:hAnsi="宋体" w:cs="宋体"/>
                <w:b/>
                <w:color w:val="auto"/>
                <w:szCs w:val="21"/>
                <w:highlight w:val="none"/>
              </w:rPr>
              <w:t xml:space="preserve">）</w:t>
            </w:r>
            <w:r/>
          </w:p>
          <w:p>
            <w:pPr>
              <w:jc w:val="left"/>
              <w:spacing w:line="360" w:lineRule="auto"/>
              <w:rPr>
                <w:rFonts w:ascii="宋体" w:hAnsi="宋体" w:cs="宋体"/>
                <w:color w:val="auto"/>
                <w:szCs w:val="21"/>
                <w:highlight w:val="none"/>
              </w:rPr>
            </w:pPr>
            <w:r>
              <w:rPr>
                <w:rFonts w:hint="eastAsia" w:ascii="宋体" w:hAnsi="宋体" w:cs="宋体"/>
                <w:b/>
                <w:color w:val="auto"/>
                <w:szCs w:val="21"/>
                <w:highlight w:val="none"/>
                <w:lang w:bidi="ar"/>
              </w:rPr>
              <w:t xml:space="preserve">响应文件网上递交：“苏采云”系统（网址：http://jszfcg.jsczt.cn/），不需要现场参加采购活动，无需提供纸质响应文件。</w:t>
            </w:r>
            <w:r/>
          </w:p>
        </w:tc>
      </w:tr>
    </w:tbl>
    <w:p>
      <w:pPr>
        <w:pStyle w:val="1074"/>
        <w:ind w:firstLine="480"/>
        <w:jc w:val="center"/>
        <w:rPr>
          <w:b/>
          <w:color w:val="auto"/>
          <w:highlight w:val="none"/>
        </w:rPr>
      </w:pPr>
      <w:r/>
      <w:bookmarkStart w:id="0" w:name="_Toc2269"/>
      <w:r>
        <w:rPr>
          <w:color w:val="auto"/>
          <w:highlight w:val="none"/>
        </w:rPr>
        <w:br w:type="page" w:clear="all"/>
      </w:r>
      <w:r>
        <w:rPr>
          <w:b/>
          <w:color w:val="auto"/>
          <w:sz w:val="44"/>
          <w:szCs w:val="44"/>
          <w:highlight w:val="none"/>
          <w:lang w:val="zh-CN"/>
        </w:rPr>
        <w:t xml:space="preserve">目</w:t>
      </w:r>
      <w:r>
        <w:rPr>
          <w:rFonts w:hint="eastAsia"/>
          <w:b/>
          <w:color w:val="auto"/>
          <w:sz w:val="44"/>
          <w:szCs w:val="44"/>
          <w:highlight w:val="none"/>
        </w:rPr>
        <w:t xml:space="preserve">  </w:t>
      </w:r>
      <w:r>
        <w:rPr>
          <w:b/>
          <w:color w:val="auto"/>
          <w:sz w:val="44"/>
          <w:szCs w:val="44"/>
          <w:highlight w:val="none"/>
          <w:lang w:val="zh-CN"/>
        </w:rPr>
        <w:t xml:space="preserve">录</w:t>
      </w:r>
      <w:bookmarkEnd w:id="0"/>
      <w:r/>
      <w:r/>
    </w:p>
    <w:p>
      <w:pPr>
        <w:pStyle w:val="1064"/>
        <w:spacing w:line="720" w:lineRule="auto"/>
        <w:tabs>
          <w:tab w:val="right" w:pos="8193"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"_Toc28173" </w:instrText>
      </w:r>
      <w:r>
        <w:rPr>
          <w:color w:val="auto"/>
          <w:highlight w:val="none"/>
        </w:rPr>
        <w:fldChar w:fldCharType="separate"/>
      </w:r>
      <w:r>
        <w:rPr>
          <w:rFonts w:hint="eastAsia" w:ascii="宋体" w:hAnsi="宋体" w:cs="宋体"/>
          <w:color w:val="auto"/>
          <w:sz w:val="32"/>
          <w:szCs w:val="32"/>
          <w:highlight w:val="none"/>
        </w:rPr>
        <w:t xml:space="preserve">第一章 磋商邀请书</w:t>
      </w:r>
      <w:r>
        <w:rPr>
          <w:rFonts w:hint="eastAsia" w:ascii="宋体" w:hAnsi="宋体" w:cs="宋体"/>
          <w:color w:val="auto"/>
          <w:sz w:val="32"/>
          <w:szCs w:val="32"/>
          <w:highlight w:val="none"/>
        </w:rPr>
        <w:fldChar w:fldCharType="end"/>
      </w:r>
      <w:r/>
    </w:p>
    <w:p>
      <w:pPr>
        <w:pStyle w:val="1064"/>
        <w:spacing w:line="720" w:lineRule="auto"/>
        <w:tabs>
          <w:tab w:val="right" w:pos="8193"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"_Toc24451" </w:instrText>
      </w:r>
      <w:r>
        <w:rPr>
          <w:color w:val="auto"/>
          <w:highlight w:val="none"/>
        </w:rPr>
        <w:fldChar w:fldCharType="separate"/>
      </w:r>
      <w:r>
        <w:rPr>
          <w:rFonts w:hint="eastAsia" w:ascii="宋体" w:hAnsi="宋体" w:cs="宋体"/>
          <w:color w:val="auto"/>
          <w:sz w:val="32"/>
          <w:szCs w:val="32"/>
          <w:highlight w:val="none"/>
        </w:rPr>
        <w:t xml:space="preserve">第二章 磋商供应商须知</w:t>
      </w:r>
      <w:r>
        <w:rPr>
          <w:rFonts w:hint="eastAsia" w:ascii="宋体" w:hAnsi="宋体" w:cs="宋体"/>
          <w:color w:val="auto"/>
          <w:sz w:val="32"/>
          <w:szCs w:val="32"/>
          <w:highlight w:val="none"/>
        </w:rPr>
        <w:fldChar w:fldCharType="end"/>
      </w:r>
      <w:r/>
    </w:p>
    <w:p>
      <w:pPr>
        <w:pStyle w:val="1064"/>
        <w:spacing w:line="720" w:lineRule="auto"/>
        <w:tabs>
          <w:tab w:val="right" w:pos="8193"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"_Toc16385" </w:instrText>
      </w:r>
      <w:r>
        <w:rPr>
          <w:color w:val="auto"/>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三</w:t>
      </w:r>
      <w:r>
        <w:rPr>
          <w:rFonts w:hint="eastAsia" w:ascii="宋体" w:hAnsi="宋体" w:cs="宋体"/>
          <w:color w:val="auto"/>
          <w:sz w:val="32"/>
          <w:szCs w:val="32"/>
          <w:highlight w:val="none"/>
          <w:lang w:val="zh-CN"/>
        </w:rPr>
        <w:t xml:space="preserve">章 响应文件格式</w:t>
      </w:r>
      <w:r>
        <w:rPr>
          <w:rFonts w:hint="eastAsia" w:ascii="宋体" w:hAnsi="宋体" w:cs="宋体"/>
          <w:color w:val="auto"/>
          <w:sz w:val="32"/>
          <w:szCs w:val="32"/>
          <w:highlight w:val="none"/>
          <w:lang w:val="zh-CN"/>
        </w:rPr>
        <w:fldChar w:fldCharType="end"/>
      </w:r>
      <w:r/>
    </w:p>
    <w:p>
      <w:pPr>
        <w:pStyle w:val="1064"/>
        <w:spacing w:line="720" w:lineRule="auto"/>
        <w:tabs>
          <w:tab w:val="right" w:pos="8193"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"_Toc30743" </w:instrText>
      </w:r>
      <w:r>
        <w:rPr>
          <w:color w:val="auto"/>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四</w:t>
      </w:r>
      <w:r>
        <w:rPr>
          <w:rFonts w:hint="eastAsia" w:ascii="宋体" w:hAnsi="宋体" w:cs="宋体"/>
          <w:color w:val="auto"/>
          <w:sz w:val="32"/>
          <w:szCs w:val="32"/>
          <w:highlight w:val="none"/>
          <w:lang w:val="zh-CN"/>
        </w:rPr>
        <w:t xml:space="preserve">章 </w:t>
      </w:r>
      <w:r>
        <w:rPr>
          <w:rFonts w:hint="eastAsia" w:ascii="宋体" w:hAnsi="宋体" w:cs="宋体"/>
          <w:color w:val="auto"/>
          <w:sz w:val="32"/>
          <w:szCs w:val="32"/>
          <w:highlight w:val="none"/>
        </w:rPr>
        <w:t xml:space="preserve">采购需求</w:t>
      </w:r>
      <w:r>
        <w:rPr>
          <w:rFonts w:hint="eastAsia" w:ascii="宋体" w:hAnsi="宋体" w:cs="宋体"/>
          <w:color w:val="auto"/>
          <w:sz w:val="32"/>
          <w:szCs w:val="32"/>
          <w:highlight w:val="none"/>
        </w:rPr>
        <w:fldChar w:fldCharType="end"/>
      </w:r>
      <w:r/>
    </w:p>
    <w:p>
      <w:pPr>
        <w:pStyle w:val="1064"/>
        <w:spacing w:line="720" w:lineRule="auto"/>
        <w:tabs>
          <w:tab w:val="right" w:pos="8193"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"_Toc6806" </w:instrText>
      </w:r>
      <w:r>
        <w:rPr>
          <w:color w:val="auto"/>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五</w:t>
      </w:r>
      <w:r>
        <w:rPr>
          <w:rFonts w:hint="eastAsia" w:ascii="宋体" w:hAnsi="宋体" w:cs="宋体"/>
          <w:color w:val="auto"/>
          <w:sz w:val="32"/>
          <w:szCs w:val="32"/>
          <w:highlight w:val="none"/>
          <w:lang w:val="zh-CN"/>
        </w:rPr>
        <w:t xml:space="preserve">章 合同的主要条款</w:t>
      </w:r>
      <w:r>
        <w:rPr>
          <w:rFonts w:hint="eastAsia" w:ascii="宋体" w:hAnsi="宋体" w:cs="宋体"/>
          <w:color w:val="auto"/>
          <w:sz w:val="32"/>
          <w:szCs w:val="32"/>
          <w:highlight w:val="none"/>
          <w:lang w:val="zh-CN"/>
        </w:rPr>
        <w:fldChar w:fldCharType="end"/>
      </w:r>
      <w:r/>
    </w:p>
    <w:p>
      <w:pPr>
        <w:pStyle w:val="1064"/>
        <w:spacing w:line="720" w:lineRule="auto"/>
        <w:tabs>
          <w:tab w:val="right" w:pos="8193" w:leader="dot"/>
        </w:tabs>
        <w:rPr>
          <w:b/>
          <w:color w:val="auto"/>
          <w:sz w:val="32"/>
          <w:szCs w:val="32"/>
          <w:highlight w:val="none"/>
        </w:rPr>
      </w:pPr>
      <w:r>
        <w:rPr>
          <w:color w:val="auto"/>
          <w:highlight w:val="none"/>
        </w:rPr>
        <w:fldChar w:fldCharType="begin"/>
      </w:r>
      <w:r>
        <w:rPr>
          <w:color w:val="auto"/>
          <w:highlight w:val="none"/>
        </w:rPr>
        <w:instrText xml:space="preserve"> HYPERLINK \l "_Toc3201" </w:instrText>
      </w:r>
      <w:r>
        <w:rPr>
          <w:color w:val="auto"/>
          <w:highlight w:val="none"/>
        </w:rPr>
        <w:fldChar w:fldCharType="separate"/>
      </w:r>
      <w:r>
        <w:rPr>
          <w:rFonts w:hint="eastAsia" w:ascii="宋体" w:hAnsi="宋体" w:cs="宋体"/>
          <w:color w:val="auto"/>
          <w:sz w:val="32"/>
          <w:szCs w:val="32"/>
          <w:highlight w:val="none"/>
          <w:lang w:val="zh-CN"/>
        </w:rPr>
        <w:t xml:space="preserve">第六章 评审办法及评分标准</w:t>
      </w:r>
      <w:r>
        <w:rPr>
          <w:rFonts w:hint="eastAsia" w:ascii="宋体" w:hAnsi="宋体" w:cs="宋体"/>
          <w:color w:val="auto"/>
          <w:sz w:val="32"/>
          <w:szCs w:val="32"/>
          <w:highlight w:val="none"/>
          <w:lang w:val="zh-CN"/>
        </w:rPr>
        <w:fldChar w:fldCharType="end"/>
      </w:r>
      <w:r>
        <w:rPr>
          <w:rFonts w:hint="eastAsia" w:ascii="宋体" w:hAnsi="宋体" w:cs="宋体"/>
          <w:color w:val="auto"/>
          <w:sz w:val="32"/>
          <w:szCs w:val="32"/>
          <w:highlight w:val="none"/>
        </w:rPr>
        <w:fldChar w:fldCharType="end"/>
      </w:r>
      <w:r/>
    </w:p>
    <w:p>
      <w:pPr>
        <w:spacing w:line="360" w:lineRule="auto"/>
        <w:rPr>
          <w:b/>
          <w:color w:val="auto"/>
          <w:szCs w:val="21"/>
          <w:highlight w:val="none"/>
        </w:rPr>
      </w:pPr>
      <w:r>
        <w:rPr>
          <w:b/>
          <w:color w:val="auto"/>
          <w:szCs w:val="21"/>
          <w:highlight w:val="none"/>
        </w:rPr>
      </w:r>
      <w:r/>
    </w:p>
    <w:p>
      <w:pPr>
        <w:pStyle w:val="1029"/>
        <w:spacing w:after="312"/>
        <w:rPr>
          <w:rFonts w:ascii="Times New Roman" w:hAnsi="Times New Roman"/>
          <w:color w:val="auto"/>
          <w:sz w:val="44"/>
          <w:szCs w:val="44"/>
          <w:highlight w:val="none"/>
        </w:rPr>
        <w:outlineLvl w:val="0"/>
      </w:pPr>
      <w:r/>
      <w:bookmarkStart w:id="1" w:name="_Toc29131"/>
      <w:r/>
      <w:bookmarkStart w:id="2" w:name="_Toc10741"/>
      <w:r/>
      <w:bookmarkStart w:id="3" w:name="_Toc28173"/>
      <w:r/>
      <w:bookmarkStart w:id="4" w:name="_Toc61514581"/>
      <w:r>
        <w:rPr>
          <w:rFonts w:ascii="Times New Roman" w:hAnsi="Times New Roman"/>
          <w:color w:val="auto"/>
          <w:sz w:val="44"/>
          <w:szCs w:val="44"/>
          <w:highlight w:val="none"/>
        </w:rPr>
        <w:br w:type="page" w:clear="all"/>
      </w:r>
      <w:r>
        <w:rPr>
          <w:rFonts w:ascii="Times New Roman" w:hAnsi="Times New Roman"/>
          <w:color w:val="auto"/>
          <w:sz w:val="44"/>
          <w:szCs w:val="44"/>
          <w:highlight w:val="none"/>
        </w:rPr>
        <w:t xml:space="preserve">第一章 磋商邀请</w:t>
      </w:r>
      <w:bookmarkEnd w:id="1"/>
      <w:r/>
      <w:bookmarkEnd w:id="2"/>
      <w:r/>
      <w:bookmarkStart w:id="5" w:name="_Toc25453"/>
      <w:r>
        <w:rPr>
          <w:rFonts w:ascii="Times New Roman" w:hAnsi="Times New Roman"/>
          <w:color w:val="auto"/>
          <w:sz w:val="44"/>
          <w:szCs w:val="44"/>
          <w:highlight w:val="none"/>
        </w:rPr>
        <w:t xml:space="preserve">书</w:t>
      </w:r>
      <w:bookmarkEnd w:id="3"/>
      <w:r/>
      <w:bookmarkEnd w:id="4"/>
      <w:r/>
      <w:r/>
    </w:p>
    <w:tbl>
      <w:tblPr>
        <w:tblStyle w:val="812"/>
        <w:tblW w:w="877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0"/>
      </w:tblGrid>
      <w:tr>
        <w:trPr/>
        <w:tc>
          <w:tcPr>
            <w:tcW w:w="8770" w:type="dxa"/>
            <w:textDirection w:val="lrTb"/>
            <w:noWrap w:val="false"/>
          </w:tcPr>
          <w:p>
            <w:pP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东太湖大厦食堂服务外包JSZC-320509-MYDL-C2026-0005</w:t>
            </w:r>
            <w:r>
              <w:rPr>
                <w:rFonts w:hint="eastAsia" w:ascii="宋体" w:hAnsi="宋体" w:cs="宋体"/>
                <w:color w:val="auto"/>
                <w:szCs w:val="21"/>
                <w:highlight w:val="none"/>
              </w:rPr>
              <w:t xml:space="preserve">采购项目的潜在供应商应在“苏采云”系统（网址：</w:t>
            </w:r>
            <w:r>
              <w:rPr>
                <w:color w:val="auto"/>
                <w:highlight w:val="none"/>
              </w:rPr>
              <w:fldChar w:fldCharType="begin"/>
            </w:r>
            <w:r>
              <w:rPr>
                <w:color w:val="auto"/>
                <w:highlight w:val="none"/>
              </w:rPr>
              <w:instrText xml:space="preserve"> HYPERLINK "http://jszfcg.jsczt.cn/）获取采购文件，并于2024-" </w:instrText>
            </w:r>
            <w:r>
              <w:rPr>
                <w:color w:val="auto"/>
                <w:highlight w:val="none"/>
              </w:rPr>
              <w:fldChar w:fldCharType="separate"/>
            </w:r>
            <w:r>
              <w:rPr>
                <w:rFonts w:hint="eastAsia" w:ascii="宋体" w:hAnsi="宋体" w:cs="宋体"/>
                <w:color w:val="auto"/>
                <w:szCs w:val="21"/>
                <w:highlight w:val="none"/>
              </w:rPr>
              <w:t xml:space="preserve">http://jszfcg.jsczt.cn/）获取采购文件，并于2026-</w:t>
            </w:r>
            <w:r>
              <w:rPr>
                <w:rFonts w:hint="eastAsia" w:ascii="宋体" w:hAnsi="宋体" w:cs="宋体"/>
                <w:color w:val="auto"/>
                <w:szCs w:val="21"/>
                <w:highlight w:val="none"/>
              </w:rPr>
              <w:fldChar w:fldCharType="end"/>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9:</w:t>
            </w:r>
            <w:r>
              <w:rPr>
                <w:rFonts w:hint="eastAsia" w:ascii="宋体" w:hAnsi="宋体" w:cs="宋体"/>
                <w:color w:val="auto"/>
                <w:szCs w:val="21"/>
                <w:highlight w:val="none"/>
              </w:rPr>
              <w:t xml:space="preserve">30（北京时间）前提交响应文件。</w:t>
            </w:r>
            <w:r/>
          </w:p>
        </w:tc>
      </w:tr>
    </w:tbl>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1.项目编号：</w:t>
      </w:r>
      <w:r>
        <w:rPr>
          <w:rFonts w:hint="eastAsia" w:ascii="宋体" w:hAnsi="宋体" w:cs="宋体"/>
          <w:color w:val="auto"/>
          <w:szCs w:val="21"/>
          <w:highlight w:val="none"/>
          <w:lang w:eastAsia="zh-CN"/>
        </w:rPr>
        <w:t xml:space="preserve">JSZC-320509-MYDL-C2026-0005</w:t>
      </w:r>
      <w:r/>
    </w:p>
    <w:p>
      <w:pPr>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2.项目名称：</w:t>
      </w:r>
      <w:r>
        <w:rPr>
          <w:rFonts w:hint="eastAsia" w:ascii="宋体" w:hAnsi="宋体" w:cs="宋体"/>
          <w:color w:val="auto"/>
          <w:szCs w:val="21"/>
          <w:highlight w:val="none"/>
          <w:lang w:eastAsia="zh-CN"/>
        </w:rPr>
        <w:t xml:space="preserve">东太湖大厦食堂服务外包</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3.采购方式：</w:t>
      </w:r>
      <w:r>
        <w:rPr>
          <w:rFonts w:hint="eastAsia" w:ascii="宋体" w:hAnsi="宋体" w:cs="宋体"/>
          <w:color w:val="auto"/>
          <w:szCs w:val="21"/>
          <w:highlight w:val="none"/>
        </w:rPr>
        <w:t xml:space="preserve">竞争性磋商</w:t>
      </w:r>
      <w:r/>
    </w:p>
    <w:p>
      <w:pPr>
        <w:spacing w:line="360"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4.预算金额：</w:t>
      </w: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val="en-US" w:eastAsia="zh-CN"/>
        </w:rPr>
        <w:t xml:space="preserve">叁佰叁拾万</w:t>
      </w:r>
      <w:r>
        <w:rPr>
          <w:rFonts w:hint="eastAsia" w:ascii="宋体" w:hAnsi="宋体" w:cs="宋体"/>
          <w:bCs/>
          <w:color w:val="auto"/>
          <w:szCs w:val="21"/>
          <w:highlight w:val="none"/>
          <w:lang w:eastAsia="zh-CN"/>
        </w:rPr>
        <w:t xml:space="preserve">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3300000</w:t>
      </w:r>
      <w:r>
        <w:rPr>
          <w:rFonts w:hint="eastAsia" w:ascii="宋体" w:hAnsi="宋体" w:cs="宋体"/>
          <w:bCs/>
          <w:color w:val="auto"/>
          <w:szCs w:val="21"/>
          <w:highlight w:val="none"/>
          <w:lang w:eastAsia="zh-CN"/>
        </w:rPr>
        <w:t xml:space="preserve">.00</w:t>
      </w:r>
      <w:r>
        <w:rPr>
          <w:rFonts w:hint="eastAsia" w:ascii="宋体" w:hAnsi="宋体" w:cs="宋体"/>
          <w:bCs/>
          <w:color w:val="auto"/>
          <w:szCs w:val="21"/>
          <w:highlight w:val="none"/>
        </w:rPr>
        <w:t xml:space="preserve">）</w:t>
      </w:r>
      <w:r/>
    </w:p>
    <w:p>
      <w:pPr>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5.最高限价：</w:t>
      </w: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val="en-US" w:eastAsia="zh-CN"/>
        </w:rPr>
        <w:t xml:space="preserve">叁佰叁拾万</w:t>
      </w:r>
      <w:r>
        <w:rPr>
          <w:rFonts w:hint="eastAsia" w:ascii="宋体" w:hAnsi="宋体" w:cs="宋体"/>
          <w:bCs/>
          <w:color w:val="auto"/>
          <w:szCs w:val="21"/>
          <w:highlight w:val="none"/>
          <w:lang w:eastAsia="zh-CN"/>
        </w:rPr>
        <w:t xml:space="preserve">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3300000</w:t>
      </w:r>
      <w:r>
        <w:rPr>
          <w:rFonts w:hint="eastAsia" w:ascii="宋体" w:hAnsi="宋体" w:cs="宋体"/>
          <w:bCs/>
          <w:color w:val="auto"/>
          <w:szCs w:val="21"/>
          <w:highlight w:val="none"/>
          <w:lang w:eastAsia="zh-CN"/>
        </w:rPr>
        <w:t xml:space="preserve">.00</w:t>
      </w:r>
      <w:r>
        <w:rPr>
          <w:rFonts w:hint="eastAsia" w:ascii="宋体" w:hAnsi="宋体" w:cs="宋体"/>
          <w:bCs/>
          <w:color w:val="auto"/>
          <w:szCs w:val="21"/>
          <w:highlight w:val="none"/>
        </w:rPr>
        <w:t xml:space="preserve">）</w:t>
      </w:r>
      <w:r/>
    </w:p>
    <w:p>
      <w:pPr>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6.采购需求：</w:t>
      </w:r>
      <w:r>
        <w:rPr>
          <w:rFonts w:hint="eastAsia" w:ascii="宋体" w:hAnsi="宋体" w:cs="宋体"/>
          <w:b/>
          <w:color w:val="auto"/>
          <w:szCs w:val="21"/>
          <w:highlight w:val="none"/>
          <w:lang w:eastAsia="zh-CN"/>
        </w:rPr>
        <w:t xml:space="preserve">东太湖大厦食堂服务外包</w:t>
      </w:r>
      <w:r>
        <w:rPr>
          <w:rFonts w:hint="eastAsia" w:ascii="宋体" w:hAnsi="宋体" w:cs="宋体"/>
          <w:b/>
          <w:color w:val="auto"/>
          <w:szCs w:val="21"/>
          <w:highlight w:val="none"/>
        </w:rPr>
        <w:t xml:space="preserve">（</w:t>
      </w:r>
      <w:bookmarkStart w:id="6" w:name="OLE_LINK1"/>
      <w:r>
        <w:rPr>
          <w:rFonts w:hint="eastAsia" w:ascii="宋体" w:hAnsi="宋体" w:cs="宋体"/>
          <w:b/>
          <w:color w:val="auto"/>
          <w:szCs w:val="21"/>
          <w:highlight w:val="none"/>
        </w:rPr>
        <w:t xml:space="preserve">具体内容及要求详见采购文件第四章</w:t>
      </w:r>
      <w:bookmarkEnd w:id="6"/>
      <w:r>
        <w:rPr>
          <w:rFonts w:hint="eastAsia" w:ascii="宋体" w:hAnsi="宋体" w:cs="宋体"/>
          <w:b/>
          <w:color w:val="auto"/>
          <w:szCs w:val="21"/>
          <w:highlight w:val="none"/>
        </w:rPr>
        <w:t xml:space="preserve">）</w:t>
      </w:r>
      <w:r/>
    </w:p>
    <w:p>
      <w:pPr>
        <w:spacing w:line="360" w:lineRule="auto"/>
        <w:rPr>
          <w:rFonts w:hint="eastAsia" w:ascii="宋体" w:hAnsi="宋体" w:cs="宋体"/>
          <w:color w:val="auto"/>
          <w:szCs w:val="21"/>
          <w:highlight w:val="none"/>
          <w:lang w:eastAsia="zh-CN"/>
        </w:rPr>
      </w:pPr>
      <w:r>
        <w:rPr>
          <w:rFonts w:hint="eastAsia" w:ascii="宋体" w:hAnsi="宋体" w:cs="宋体"/>
          <w:b/>
          <w:bCs/>
          <w:color w:val="auto"/>
          <w:szCs w:val="21"/>
          <w:highlight w:val="none"/>
        </w:rPr>
        <w:t xml:space="preserve">7.合同履行期限：</w:t>
      </w:r>
      <w:r>
        <w:rPr>
          <w:rFonts w:hint="eastAsia" w:ascii="宋体" w:hAnsi="宋体" w:cs="宋体"/>
          <w:color w:val="auto"/>
          <w:szCs w:val="21"/>
          <w:highlight w:val="none"/>
          <w:lang w:eastAsia="zh-CN"/>
        </w:rPr>
        <w:t xml:space="preserve">自合同签订之日起一年，具体时间以采购人发出的进场通知为准。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8.本项目不接受联合体投标。</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9.本项目不允许转包、分包。</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bCs/>
          <w:color w:val="auto"/>
          <w:szCs w:val="21"/>
          <w:highlight w:val="none"/>
        </w:rPr>
        <w:t xml:space="preserve">，供应商应当具备下列条件：</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1.5.参加政府采购活动前三年内，在经营活动中没有重大违法记录；</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2.落实政府釆购政策需满足的资格要求：</w:t>
      </w:r>
      <w:r>
        <w:rPr>
          <w:rFonts w:hint="eastAsia" w:ascii="宋体" w:hAnsi="宋体" w:cs="宋体"/>
          <w:b/>
          <w:color w:val="auto"/>
          <w:szCs w:val="21"/>
          <w:highlight w:val="none"/>
        </w:rPr>
        <w:t xml:space="preserve">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w:t>
      </w:r>
      <w:r>
        <w:rPr>
          <w:rFonts w:hint="eastAsia" w:ascii="宋体" w:hAnsi="宋体" w:cs="宋体"/>
          <w:b/>
          <w:color w:val="auto"/>
          <w:szCs w:val="21"/>
          <w:highlight w:val="none"/>
          <w:lang w:eastAsia="zh-CN"/>
        </w:rPr>
        <w:t xml:space="preserve">餐饮业</w:t>
      </w:r>
      <w:r>
        <w:rPr>
          <w:rFonts w:hint="eastAsia" w:ascii="宋体" w:hAnsi="宋体" w:cs="宋体"/>
          <w:b/>
          <w:color w:val="auto"/>
          <w:szCs w:val="21"/>
          <w:highlight w:val="none"/>
        </w:rPr>
        <w:t xml:space="preserve">。</w:t>
      </w:r>
      <w:r/>
    </w:p>
    <w:p>
      <w:pPr>
        <w:spacing w:line="360" w:lineRule="auto"/>
        <w:rPr>
          <w:rFonts w:ascii="宋体" w:hAnsi="宋体" w:cs="宋体"/>
          <w:color w:val="auto"/>
          <w:szCs w:val="21"/>
          <w:highlight w:val="none"/>
        </w:rPr>
      </w:pPr>
      <w:r>
        <w:rPr>
          <w:rFonts w:hint="eastAsia"/>
          <w:b/>
          <w:bCs/>
          <w:color w:val="auto"/>
          <w:szCs w:val="21"/>
          <w:highlight w:val="none"/>
        </w:rPr>
        <w:t xml:space="preserve">3.本项目的特定资格要求：</w:t>
      </w:r>
      <w:r>
        <w:rPr>
          <w:rFonts w:hint="eastAsia" w:ascii="宋体" w:hAnsi="宋体" w:eastAsia="宋体" w:cs="宋体"/>
          <w:b/>
          <w:bCs/>
          <w:color w:val="auto"/>
          <w:sz w:val="21"/>
          <w:szCs w:val="21"/>
          <w:highlight w:val="none"/>
          <w:lang w:eastAsia="zh-CN"/>
        </w:rPr>
        <w:t xml:space="preserve">具有有效期内《食品经营许可证》</w:t>
      </w:r>
      <w:r>
        <w:rPr>
          <w:rFonts w:hint="eastAsia" w:ascii="宋体" w:hAnsi="宋体" w:cs="宋体"/>
          <w:b/>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4.拒绝下列供应商参加本次采购活动：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4.1单位负责人为同一人或者存在直接控股、管理关系的不同供应商（包含法定代表人为同一个人的两个及两个以上法人，母公司、全资子公司及其控股公司），参加同一合同项下的政府采购活动。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w:t>
      </w:r>
      <w:bookmarkStart w:id="7" w:name="OLE_LINK2"/>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代理人对供应商进行信用查询，查询结果被列入失信被执行人、重大税收违法案件当事人名单、政府采购严重违法失信行为记录名单的供应商。</w:t>
      </w:r>
      <w:bookmarkEnd w:id="7"/>
      <w:r/>
      <w:r/>
    </w:p>
    <w:p>
      <w:pPr>
        <w:spacing w:line="360" w:lineRule="auto"/>
        <w:rPr>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法人的分支机构参加政府采购活动（除银行、保险、石油石化、电力、电信等行业特殊情况外）。</w:t>
      </w:r>
      <w:r/>
    </w:p>
    <w:p>
      <w:pPr>
        <w:spacing w:line="360" w:lineRule="auto"/>
        <w:rPr>
          <w:b/>
          <w:bCs/>
          <w:color w:val="auto"/>
          <w:szCs w:val="21"/>
          <w:highlight w:val="none"/>
        </w:rPr>
      </w:pPr>
      <w:r>
        <w:rPr>
          <w:b/>
          <w:bCs/>
          <w:color w:val="auto"/>
          <w:szCs w:val="21"/>
          <w:highlight w:val="none"/>
        </w:rPr>
        <w:t xml:space="preserve">三、获取采购文件</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1.时间：自磋商文件公告发布之日起5个工作日。</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3.方式：自行下载。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4.售价：0.00元。</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5.报名流程：</w:t>
      </w:r>
      <w:r/>
    </w:p>
    <w:p>
      <w:pPr>
        <w:jc w:val="left"/>
        <w:spacing w:line="360" w:lineRule="auto"/>
        <w:widowControl/>
        <w:rPr>
          <w:rFonts w:ascii="宋体" w:hAnsi="宋体" w:cs="宋体"/>
          <w:color w:val="auto"/>
          <w:szCs w:val="21"/>
          <w:highlight w:val="none"/>
          <w:lang w:val="zh-CN"/>
        </w:rPr>
      </w:pPr>
      <w:r/>
      <w:bookmarkStart w:id="8" w:name="_Toc60314542"/>
      <w:r/>
      <w:bookmarkStart w:id="9" w:name="_Hlk60646981"/>
      <w:r>
        <w:rPr>
          <w:rFonts w:hint="eastAsia" w:ascii="宋体" w:hAnsi="宋体" w:cs="宋体"/>
          <w:color w:val="auto"/>
          <w:szCs w:val="21"/>
          <w:highlight w:val="none"/>
          <w:lang w:val="zh-CN"/>
        </w:rPr>
        <w:t xml:space="preserve">（1）CA证书办理 </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lang w:val="zh-CN"/>
        </w:rPr>
        <w:t xml:space="preserve">苏州现场办理地址：苏州市高新区邓尉路105号狮山科技馆一楼服务大厅，咨询电话：0512- 65737699。 </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）补充通知（如有）。成功获取磋商文件的供应商通过“苏州市政府采购网”或“苏采云”系统自行查看所报项目的补充通知。</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6.在系统操作过程中如有疑问</w:t>
      </w:r>
      <w:r>
        <w:rPr>
          <w:rFonts w:hint="eastAsia" w:ascii="宋体" w:hAnsi="宋体" w:cs="宋体"/>
          <w:color w:val="auto"/>
          <w:szCs w:val="21"/>
          <w:highlight w:val="none"/>
          <w:lang w:val="zh-CN"/>
        </w:rPr>
        <w:t xml:space="preserve">，请按以下方式联系：</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注册咨询：13914088964、18261002950；</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系统使用指导与咨询：联系电话：13914088964、18261002950；QQ：3048755361、1315179389、895706745</w:t>
      </w:r>
      <w:r>
        <w:rPr>
          <w:rFonts w:hint="eastAsia" w:ascii="宋体" w:hAnsi="宋体" w:cs="宋体"/>
          <w:color w:val="auto"/>
          <w:szCs w:val="21"/>
          <w:highlight w:val="none"/>
          <w:lang w:val="zh-CN"/>
        </w:rPr>
        <w:t xml:space="preserve">。</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lang w:eastAsia="zh-CN"/>
        </w:rPr>
        <w:t xml:space="preserve">2026年</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lang w:eastAsia="zh-CN"/>
        </w:rPr>
        <w:t xml:space="preserve">月</w:t>
      </w:r>
      <w:r>
        <w:rPr>
          <w:rFonts w:hint="eastAsia" w:ascii="宋体" w:hAnsi="宋体" w:cs="宋体"/>
          <w:bCs/>
          <w:color w:val="auto"/>
          <w:szCs w:val="21"/>
          <w:highlight w:val="none"/>
          <w:lang w:val="en-US" w:eastAsia="zh-CN"/>
        </w:rPr>
        <w:t xml:space="preserve">22</w:t>
      </w:r>
      <w:r>
        <w:rPr>
          <w:rFonts w:hint="eastAsia" w:ascii="宋体" w:hAnsi="宋体" w:cs="宋体"/>
          <w:bCs/>
          <w:color w:val="auto"/>
          <w:szCs w:val="21"/>
          <w:highlight w:val="none"/>
          <w:lang w:eastAsia="zh-CN"/>
        </w:rPr>
        <w:t xml:space="preserve">日</w:t>
      </w:r>
      <w:r>
        <w:rPr>
          <w:rFonts w:hint="eastAsia" w:ascii="宋体" w:hAnsi="宋体" w:cs="宋体"/>
          <w:bCs/>
          <w:color w:val="auto"/>
          <w:szCs w:val="21"/>
          <w:highlight w:val="none"/>
          <w:lang w:eastAsia="zh-CN"/>
        </w:rPr>
        <w:t xml:space="preserve">9:</w:t>
      </w:r>
      <w:r>
        <w:rPr>
          <w:rFonts w:hint="eastAsia" w:ascii="宋体" w:hAnsi="宋体" w:cs="宋体"/>
          <w:bCs/>
          <w:color w:val="auto"/>
          <w:szCs w:val="21"/>
          <w:highlight w:val="none"/>
          <w:lang w:eastAsia="zh-CN"/>
        </w:rPr>
        <w:t xml:space="preserve">30</w:t>
      </w:r>
      <w:r>
        <w:rPr>
          <w:rFonts w:hint="eastAsia" w:ascii="宋体" w:hAnsi="宋体" w:cs="宋体"/>
          <w:color w:val="auto"/>
          <w:szCs w:val="21"/>
          <w:highlight w:val="none"/>
        </w:rPr>
        <w:t xml:space="preserve">（北京时间）</w:t>
      </w:r>
      <w:r/>
    </w:p>
    <w:p>
      <w:pPr>
        <w:pStyle w:val="100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2.地点：“苏采云”系统（网址：http://jszfcg.jsczt.cn/）。响应文件网上递交，不需要现场参加采购活动，无需提供纸质响应文件。</w:t>
      </w:r>
      <w:r/>
    </w:p>
    <w:p>
      <w:pPr>
        <w:pStyle w:val="100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开启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1.开启时间：</w:t>
      </w:r>
      <w:r>
        <w:rPr>
          <w:rFonts w:hint="eastAsia" w:ascii="宋体" w:hAnsi="宋体" w:cs="宋体"/>
          <w:bCs/>
          <w:color w:val="auto"/>
          <w:szCs w:val="21"/>
          <w:highlight w:val="none"/>
          <w:lang w:eastAsia="zh-CN"/>
        </w:rPr>
        <w:t xml:space="preserve">2026年</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lang w:eastAsia="zh-CN"/>
        </w:rPr>
        <w:t xml:space="preserve">月</w:t>
      </w:r>
      <w:r>
        <w:rPr>
          <w:rFonts w:hint="eastAsia" w:ascii="宋体" w:hAnsi="宋体" w:cs="宋体"/>
          <w:bCs/>
          <w:color w:val="auto"/>
          <w:szCs w:val="21"/>
          <w:highlight w:val="none"/>
          <w:lang w:val="en-US" w:eastAsia="zh-CN"/>
        </w:rPr>
        <w:t xml:space="preserve">22</w:t>
      </w:r>
      <w:r>
        <w:rPr>
          <w:rFonts w:hint="eastAsia" w:ascii="宋体" w:hAnsi="宋体" w:cs="宋体"/>
          <w:bCs/>
          <w:color w:val="auto"/>
          <w:szCs w:val="21"/>
          <w:highlight w:val="none"/>
          <w:lang w:eastAsia="zh-CN"/>
        </w:rPr>
        <w:t xml:space="preserve">日</w:t>
      </w:r>
      <w:r>
        <w:rPr>
          <w:rFonts w:hint="eastAsia" w:ascii="宋体" w:hAnsi="宋体" w:cs="宋体"/>
          <w:bCs/>
          <w:color w:val="auto"/>
          <w:szCs w:val="21"/>
          <w:highlight w:val="none"/>
          <w:lang w:eastAsia="zh-CN"/>
        </w:rPr>
        <w:t xml:space="preserve">9:</w:t>
      </w:r>
      <w:r>
        <w:rPr>
          <w:rFonts w:hint="eastAsia" w:ascii="宋体" w:hAnsi="宋体" w:cs="宋体"/>
          <w:bCs/>
          <w:color w:val="auto"/>
          <w:szCs w:val="21"/>
          <w:highlight w:val="none"/>
          <w:lang w:eastAsia="zh-CN"/>
        </w:rPr>
        <w:t xml:space="preserve">30</w:t>
      </w:r>
      <w:r>
        <w:rPr>
          <w:rFonts w:hint="eastAsia" w:ascii="宋体" w:hAnsi="宋体" w:cs="宋体"/>
          <w:color w:val="auto"/>
          <w:szCs w:val="21"/>
          <w:highlight w:val="none"/>
        </w:rPr>
        <w:t xml:space="preserve">（北京时间）</w:t>
      </w:r>
      <w:r/>
    </w:p>
    <w:p>
      <w:pPr>
        <w:pStyle w:val="100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2.地点：“苏采云”系统（网址：http://jszfcg.jsczt.cn/）。</w:t>
      </w:r>
      <w:r/>
    </w:p>
    <w:p>
      <w:pPr>
        <w:pStyle w:val="100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请供应商确保电脑、系统及其他设备（视频输入输出设备等）无误，且开启直至项目结束始终保持系统在线状态。</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1043"/>
        <w:ind w:firstLine="0"/>
        <w:spacing w:line="360" w:lineRule="auto"/>
        <w:rPr>
          <w:rFonts w:ascii="宋体" w:hAnsi="宋体" w:cs="宋体"/>
          <w:b/>
          <w:bCs/>
          <w:color w:val="auto"/>
          <w:sz w:val="21"/>
          <w:szCs w:val="21"/>
          <w:highlight w:val="none"/>
          <w:lang w:val="en-US"/>
        </w:rPr>
      </w:pPr>
      <w:r/>
      <w:bookmarkStart w:id="10" w:name="_Hlk60646248"/>
      <w:r>
        <w:rPr>
          <w:rFonts w:hint="eastAsia" w:ascii="宋体" w:hAnsi="宋体" w:cs="宋体"/>
          <w:b/>
          <w:bCs/>
          <w:color w:val="auto"/>
          <w:sz w:val="21"/>
          <w:szCs w:val="21"/>
          <w:highlight w:val="none"/>
          <w:lang w:val="en-US"/>
        </w:rPr>
        <w:t xml:space="preserve">七、其他补充事宜</w:t>
      </w:r>
      <w:bookmarkEnd w:id="10"/>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1.本项目支持政府采购合同信用融资</w:t>
      </w:r>
      <w:r>
        <w:rPr>
          <w:rFonts w:hint="eastAsia" w:ascii="宋体" w:hAnsi="宋体" w:cs="宋体"/>
          <w:color w:val="auto"/>
          <w:highlight w:val="none"/>
        </w:rPr>
        <w:t xml:space="preserve">，具体详见《政府采购合同信用融资政策告知函》。</w:t>
      </w:r>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2.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做任何答复与考虑。</w:t>
      </w:r>
      <w:r>
        <w:rPr>
          <w:rFonts w:hint="eastAsia" w:ascii="宋体" w:hAnsi="宋体" w:cs="宋体"/>
          <w:b/>
          <w:color w:val="auto"/>
          <w:szCs w:val="21"/>
          <w:highlight w:val="none"/>
        </w:rPr>
        <w:t xml:space="preserve">勘察现场费用自理。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3.质疑联系方式：</w:t>
      </w: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宋体" w:hAnsi="宋体" w:cs="宋体"/>
          <w:color w:val="auto"/>
          <w:szCs w:val="21"/>
          <w:highlight w:val="none"/>
          <w:lang w:val="zh-CN"/>
        </w:rPr>
        <w:t xml:space="preserve">《投标供应商确认函》</w:t>
      </w:r>
      <w:r>
        <w:rPr>
          <w:rFonts w:hint="eastAsia" w:ascii="宋体" w:hAnsi="宋体" w:cs="宋体"/>
          <w:color w:val="auto"/>
          <w:szCs w:val="21"/>
          <w:highlight w:val="none"/>
        </w:rPr>
        <w:t xml:space="preserve">）现场提交或邮寄至本公司（不接收到付快递）。</w:t>
      </w:r>
      <w:r/>
    </w:p>
    <w:p>
      <w:pPr>
        <w:pStyle w:val="1005"/>
        <w:ind w:firstLine="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网上响应文件请按磋商文件要求的响应文件的组成要求进行制作。本项目采用网上报名、网上提交响应文件，未使用上述方式将导致无法报名或投标失败。本项目获取采购文件截止日期之后仍可以下载采购文件，但截止日期之后下载的采购文件，视为非有效方式且不作为供应商权益受到损害的证明材料和依据。</w:t>
      </w:r>
      <w:r/>
    </w:p>
    <w:p>
      <w:pPr>
        <w:pStyle w:val="1005"/>
        <w:ind w:firstLine="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5.有关本次采购的事项若存在变动或修改，敬请及时关注在“江苏省政府采购网、苏州市政府采购网”发布的更正公告。</w:t>
      </w:r>
      <w:r/>
    </w:p>
    <w:p>
      <w:pPr>
        <w:pStyle w:val="1077"/>
        <w:spacing w:line="360" w:lineRule="auto"/>
        <w:rPr>
          <w:rStyle w:val="1045"/>
          <w:rFonts w:ascii="宋体" w:hAnsi="宋体" w:cs="宋体"/>
          <w:b/>
          <w:bCs/>
          <w:color w:val="auto"/>
          <w:sz w:val="21"/>
          <w:szCs w:val="21"/>
          <w:highlight w:val="none"/>
        </w:rPr>
      </w:pPr>
      <w:r>
        <w:rPr>
          <w:rStyle w:val="1045"/>
          <w:rFonts w:hint="eastAsia" w:ascii="宋体" w:hAnsi="宋体" w:cs="宋体"/>
          <w:b/>
          <w:bCs/>
          <w:color w:val="auto"/>
          <w:sz w:val="21"/>
          <w:szCs w:val="21"/>
          <w:highlight w:val="none"/>
        </w:rPr>
        <w:t xml:space="preserve">八、对本次采购提出询问，请按以下方式联系。</w:t>
      </w:r>
      <w:bookmarkEnd w:id="8"/>
      <w:r/>
      <w:r/>
    </w:p>
    <w:p>
      <w:pPr>
        <w:pStyle w:val="1043"/>
        <w:ind w:firstLine="0"/>
        <w:spacing w:line="360" w:lineRule="auto"/>
        <w:rPr>
          <w:rFonts w:ascii="宋体" w:hAnsi="宋体" w:cs="宋体"/>
          <w:color w:val="auto"/>
          <w:sz w:val="21"/>
          <w:szCs w:val="24"/>
          <w:highlight w:val="none"/>
          <w:lang w:val="en-US"/>
        </w:rPr>
      </w:pPr>
      <w:r/>
      <w:bookmarkStart w:id="11" w:name="_Hlk60214877"/>
      <w:r>
        <w:rPr>
          <w:rFonts w:hint="eastAsia" w:ascii="宋体" w:hAnsi="宋体" w:cs="宋体"/>
          <w:color w:val="auto"/>
          <w:sz w:val="21"/>
          <w:szCs w:val="24"/>
          <w:highlight w:val="none"/>
          <w:lang w:val="en-US"/>
        </w:rPr>
        <w:t xml:space="preserve">1.釆购人信息</w:t>
      </w:r>
      <w:r/>
    </w:p>
    <w:p>
      <w:pPr>
        <w:pStyle w:val="1043"/>
        <w:ind w:firstLine="0"/>
        <w:spacing w:line="360" w:lineRule="auto"/>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 xml:space="preserve">名称：</w:t>
      </w:r>
      <w:r>
        <w:rPr>
          <w:rFonts w:hint="eastAsia" w:ascii="宋体" w:hAnsi="宋体" w:cs="宋体"/>
          <w:color w:val="auto"/>
          <w:sz w:val="21"/>
          <w:szCs w:val="24"/>
          <w:highlight w:val="none"/>
          <w:lang w:val="en-US" w:eastAsia="zh-CN"/>
        </w:rPr>
        <w:t xml:space="preserve">江苏省吴江东太湖生态旅游度假区管理办公室</w:t>
      </w:r>
      <w:r>
        <w:rPr>
          <w:rFonts w:hint="eastAsia" w:ascii="宋体" w:hAnsi="宋体" w:cs="宋体"/>
          <w:color w:val="auto"/>
          <w:sz w:val="21"/>
          <w:szCs w:val="24"/>
          <w:highlight w:val="none"/>
          <w:lang w:val="en-US"/>
        </w:rPr>
        <w:t xml:space="preserve"> </w:t>
      </w:r>
      <w:r/>
    </w:p>
    <w:p>
      <w:pPr>
        <w:pStyle w:val="1043"/>
        <w:ind w:firstLine="0"/>
        <w:spacing w:line="360" w:lineRule="auto"/>
        <w:rPr>
          <w:rFonts w:hint="eastAsia" w:ascii="宋体" w:hAnsi="宋体" w:eastAsia="宋体" w:cs="宋体"/>
          <w:color w:val="auto"/>
          <w:sz w:val="21"/>
          <w:szCs w:val="24"/>
          <w:highlight w:val="none"/>
          <w:lang w:val="en-US" w:eastAsia="zh-CN"/>
        </w:rPr>
      </w:pPr>
      <w:r>
        <w:rPr>
          <w:rFonts w:hint="eastAsia" w:ascii="宋体" w:hAnsi="宋体" w:cs="宋体"/>
          <w:color w:val="auto"/>
          <w:sz w:val="21"/>
          <w:szCs w:val="24"/>
          <w:highlight w:val="none"/>
          <w:lang w:val="en-US"/>
        </w:rPr>
        <w:t xml:space="preserve">联系人：蒋晓澄</w:t>
      </w:r>
      <w:r>
        <w:rPr>
          <w:rFonts w:hint="eastAsia" w:ascii="宋体" w:hAnsi="宋体" w:cs="宋体"/>
          <w:color w:val="auto"/>
          <w:sz w:val="21"/>
          <w:szCs w:val="24"/>
          <w:highlight w:val="none"/>
          <w:lang w:val="en-US" w:eastAsia="zh-CN"/>
        </w:rPr>
        <w:t xml:space="preserve"> </w:t>
      </w:r>
      <w:r/>
    </w:p>
    <w:p>
      <w:pPr>
        <w:pStyle w:val="1043"/>
        <w:ind w:firstLine="0"/>
        <w:spacing w:line="360" w:lineRule="auto"/>
        <w:rPr>
          <w:rFonts w:hint="eastAsia" w:ascii="宋体" w:hAnsi="宋体" w:eastAsia="宋体" w:cs="宋体"/>
          <w:color w:val="auto"/>
          <w:sz w:val="21"/>
          <w:szCs w:val="24"/>
          <w:highlight w:val="none"/>
          <w:lang w:val="en-US" w:eastAsia="zh-CN"/>
        </w:rPr>
      </w:pPr>
      <w:r>
        <w:rPr>
          <w:rFonts w:hint="eastAsia" w:ascii="宋体" w:hAnsi="宋体" w:cs="宋体"/>
          <w:color w:val="auto"/>
          <w:sz w:val="21"/>
          <w:szCs w:val="24"/>
          <w:highlight w:val="none"/>
          <w:lang w:val="en-US"/>
        </w:rPr>
        <w:t xml:space="preserve">联系电话：</w:t>
      </w:r>
      <w:r>
        <w:rPr>
          <w:rFonts w:hint="eastAsia" w:ascii="宋体" w:hAnsi="宋体" w:cs="宋体"/>
          <w:color w:val="auto"/>
          <w:sz w:val="21"/>
          <w:szCs w:val="24"/>
          <w:highlight w:val="none"/>
          <w:lang w:val="en-US" w:eastAsia="zh-CN"/>
        </w:rPr>
        <w:t xml:space="preserve">0512-60900478</w:t>
      </w:r>
      <w:r/>
    </w:p>
    <w:p>
      <w:pPr>
        <w:pStyle w:val="1043"/>
        <w:ind w:firstLine="0"/>
        <w:spacing w:line="360" w:lineRule="auto"/>
        <w:rPr>
          <w:rFonts w:hint="eastAsia" w:ascii="宋体" w:hAnsi="宋体" w:eastAsia="宋体" w:cs="宋体"/>
          <w:color w:val="auto"/>
          <w:sz w:val="21"/>
          <w:szCs w:val="24"/>
          <w:highlight w:val="none"/>
          <w:lang w:val="en-US" w:eastAsia="zh-CN"/>
        </w:rPr>
      </w:pPr>
      <w:r>
        <w:rPr>
          <w:rFonts w:hint="eastAsia" w:ascii="宋体" w:hAnsi="宋体" w:cs="宋体"/>
          <w:color w:val="auto"/>
          <w:sz w:val="21"/>
          <w:szCs w:val="24"/>
          <w:highlight w:val="none"/>
          <w:lang w:val="en-US"/>
        </w:rPr>
        <w:t xml:space="preserve">地址：</w:t>
      </w:r>
      <w:r>
        <w:rPr>
          <w:rFonts w:hint="eastAsia" w:ascii="宋体" w:hAnsi="宋体" w:cs="宋体"/>
          <w:color w:val="auto"/>
          <w:sz w:val="21"/>
          <w:szCs w:val="21"/>
          <w:highlight w:val="none"/>
          <w:lang w:val="en-US" w:eastAsia="zh-CN"/>
        </w:rPr>
        <w:t xml:space="preserve">江苏省苏州市吴江区松陵街道夏蓉街1299号</w:t>
      </w:r>
      <w:r/>
    </w:p>
    <w:p>
      <w:pPr>
        <w:pStyle w:val="1043"/>
        <w:ind w:firstLine="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2.采购代理机构信息</w:t>
      </w:r>
      <w:r/>
    </w:p>
    <w:p>
      <w:pPr>
        <w:pStyle w:val="1043"/>
        <w:ind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名称：</w:t>
      </w:r>
      <w:r>
        <w:rPr>
          <w:rFonts w:hint="eastAsia" w:ascii="宋体" w:hAnsi="宋体" w:cs="宋体"/>
          <w:color w:val="auto"/>
          <w:sz w:val="21"/>
          <w:szCs w:val="21"/>
          <w:highlight w:val="none"/>
          <w:lang w:val="en-US" w:eastAsia="zh-CN"/>
        </w:rPr>
        <w:t xml:space="preserve">名源工程招投标咨询（苏州）有限公司</w:t>
      </w:r>
      <w:r/>
    </w:p>
    <w:p>
      <w:pPr>
        <w:pStyle w:val="1043"/>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rPr>
        <w:t xml:space="preserve">地址：</w:t>
      </w:r>
      <w:r>
        <w:rPr>
          <w:rFonts w:hint="eastAsia" w:ascii="宋体" w:hAnsi="宋体" w:cs="宋体"/>
          <w:color w:val="auto"/>
          <w:sz w:val="21"/>
          <w:szCs w:val="21"/>
          <w:highlight w:val="none"/>
          <w:lang w:eastAsia="zh-CN"/>
        </w:rPr>
        <w:t xml:space="preserve">苏州市吴江区体育路128号187室</w:t>
      </w:r>
      <w:r/>
    </w:p>
    <w:p>
      <w:pPr>
        <w:pStyle w:val="1043"/>
        <w:ind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联系方式：</w:t>
      </w:r>
      <w:r>
        <w:rPr>
          <w:rFonts w:hint="eastAsia" w:ascii="宋体" w:hAnsi="宋体" w:cs="宋体"/>
          <w:color w:val="auto"/>
          <w:sz w:val="21"/>
          <w:szCs w:val="21"/>
          <w:highlight w:val="none"/>
          <w:lang w:val="en-US" w:eastAsia="zh-CN"/>
        </w:rPr>
        <w:t xml:space="preserve">0512-63005628</w:t>
      </w:r>
      <w:bookmarkEnd w:id="11"/>
      <w:r/>
    </w:p>
    <w:p>
      <w:pPr>
        <w:pStyle w:val="1043"/>
        <w:ind w:firstLine="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3.项目联系方式</w:t>
      </w:r>
      <w:r/>
    </w:p>
    <w:p>
      <w:pPr>
        <w:pStyle w:val="1043"/>
        <w:ind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项目联系人：</w:t>
      </w:r>
      <w:r>
        <w:rPr>
          <w:rFonts w:hint="eastAsia" w:ascii="宋体" w:hAnsi="宋体" w:cs="宋体"/>
          <w:color w:val="auto"/>
          <w:sz w:val="21"/>
          <w:szCs w:val="21"/>
          <w:highlight w:val="none"/>
          <w:lang w:val="en-US" w:eastAsia="zh-CN"/>
        </w:rPr>
        <w:t xml:space="preserve">施惠娟</w:t>
      </w:r>
      <w:r/>
    </w:p>
    <w:p>
      <w:pPr>
        <w:pStyle w:val="1043"/>
        <w:ind w:firstLine="0"/>
        <w:spacing w:line="360" w:lineRule="auto"/>
        <w:rPr>
          <w:rFonts w:hint="eastAsia" w:eastAsia="宋体"/>
          <w:color w:val="auto"/>
          <w:sz w:val="21"/>
          <w:szCs w:val="21"/>
          <w:highlight w:val="none"/>
          <w:lang w:val="en-US" w:eastAsia="zh-CN"/>
        </w:rPr>
      </w:pPr>
      <w:r>
        <w:rPr>
          <w:rFonts w:hint="eastAsia" w:ascii="宋体" w:hAnsi="宋体" w:cs="宋体"/>
          <w:color w:val="auto"/>
          <w:sz w:val="21"/>
          <w:szCs w:val="21"/>
          <w:highlight w:val="none"/>
          <w:lang w:val="en-US"/>
        </w:rPr>
        <w:t xml:space="preserve">联系电话：</w:t>
      </w:r>
      <w:bookmarkEnd w:id="9"/>
      <w:r>
        <w:rPr>
          <w:rFonts w:hint="eastAsia" w:ascii="宋体" w:hAnsi="宋体" w:cs="宋体"/>
          <w:color w:val="auto"/>
          <w:sz w:val="21"/>
          <w:szCs w:val="21"/>
          <w:highlight w:val="none"/>
          <w:lang w:val="en-US" w:eastAsia="zh-CN"/>
        </w:rPr>
        <w:t xml:space="preserve">0512-63005628</w:t>
      </w:r>
      <w:r/>
    </w:p>
    <w:p>
      <w:pPr>
        <w:jc w:val="left"/>
        <w:spacing w:line="360" w:lineRule="auto"/>
        <w:rPr>
          <w:color w:val="auto"/>
          <w:highlight w:val="none"/>
        </w:rPr>
      </w:pPr>
      <w:r>
        <w:rPr>
          <w:rFonts w:hint="eastAsia" w:ascii="宋体" w:hAnsi="宋体" w:cs="宋体"/>
          <w:b/>
          <w:bCs/>
          <w:color w:val="auto"/>
          <w:szCs w:val="21"/>
          <w:highlight w:val="none"/>
        </w:rPr>
        <w:t xml:space="preserve">九、</w:t>
      </w:r>
      <w:r>
        <w:rPr>
          <w:rFonts w:hint="eastAsia" w:ascii="宋体" w:hAnsi="宋体" w:cs="宋体"/>
          <w:color w:val="auto"/>
          <w:szCs w:val="21"/>
          <w:highlight w:val="none"/>
        </w:rPr>
        <w:t xml:space="preserve">请各单位获取本次磋商采购文件后，认真阅读各项内容，进行必要准备工作，按文件的要求详细填写和编制响应文件，并按以上确定的时间、地点准时参加磋商。</w:t>
      </w:r>
      <w:bookmarkStart w:id="12" w:name="_Toc609"/>
      <w:r/>
      <w:bookmarkStart w:id="13" w:name="_Toc61514582"/>
      <w:r/>
      <w:r/>
    </w:p>
    <w:p>
      <w:pPr>
        <w:jc w:val="right"/>
        <w:spacing w:line="360" w:lineRule="auto"/>
        <w:rPr>
          <w:color w:val="auto"/>
          <w:highlight w:val="none"/>
        </w:rPr>
      </w:pPr>
      <w:r>
        <w:rPr>
          <w:color w:val="auto"/>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政府采购合同信用融资政策告知函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jc w:val="left"/>
        <w:keepLines w:val="0"/>
        <w:keepNext w:val="0"/>
        <w:pageBreakBefore w:val="0"/>
        <w:spacing w:line="360" w:lineRule="auto"/>
        <w:widowControl w:val="off"/>
        <w:rPr>
          <w:rFonts w:ascii="宋体" w:hAnsi="宋体" w:cs="宋体"/>
          <w:color w:val="auto"/>
          <w:szCs w:val="21"/>
          <w:highlight w:val="none"/>
        </w:rPr>
        <w:sectPr>
          <w:footerReference w:type="default" r:id="rId13"/>
          <w:footerReference w:type="first" r:id="rId14"/>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1029"/>
        <w:spacing w:after="312"/>
        <w:rPr>
          <w:rFonts w:ascii="Times New Roman" w:hAnsi="Times New Roman"/>
          <w:color w:val="auto"/>
          <w:sz w:val="44"/>
          <w:szCs w:val="44"/>
          <w:highlight w:val="none"/>
        </w:rPr>
        <w:outlineLvl w:val="0"/>
      </w:pPr>
      <w:r/>
      <w:bookmarkStart w:id="14" w:name="_Toc24451"/>
      <w:r>
        <w:rPr>
          <w:rFonts w:ascii="Times New Roman" w:hAnsi="Times New Roman"/>
          <w:color w:val="auto"/>
          <w:sz w:val="44"/>
          <w:szCs w:val="44"/>
          <w:highlight w:val="none"/>
        </w:rPr>
        <w:t xml:space="preserve">第二章 磋商供应商须知</w:t>
      </w:r>
      <w:bookmarkEnd w:id="12"/>
      <w:r/>
      <w:bookmarkEnd w:id="13"/>
      <w:r/>
      <w:bookmarkEnd w:id="14"/>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w:t>
      </w:r>
      <w:bookmarkStart w:id="15" w:name="_Hlk62113034"/>
      <w:r>
        <w:rPr>
          <w:rFonts w:hint="eastAsia" w:ascii="宋体" w:hAnsi="宋体"/>
          <w:b/>
          <w:color w:val="auto"/>
          <w:szCs w:val="21"/>
          <w:highlight w:val="none"/>
        </w:rPr>
        <w:t xml:space="preserve">★</w:t>
      </w:r>
      <w:bookmarkEnd w:id="15"/>
      <w:r>
        <w:rPr>
          <w:rFonts w:hint="eastAsia" w:ascii="宋体" w:hAnsi="宋体"/>
          <w:b/>
          <w:color w:val="auto"/>
          <w:szCs w:val="21"/>
          <w:highlight w:val="none"/>
        </w:rPr>
        <w:t xml:space="preserve">合格磋商供应商的资格条件</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《中华人民共和国政府采购法》第二十二条规定。</w:t>
      </w:r>
      <w:r/>
    </w:p>
    <w:p>
      <w:pPr>
        <w:ind w:firstLine="420"/>
        <w:jc w:val="left"/>
        <w:spacing w:line="400" w:lineRule="exact"/>
        <w:widowControl/>
        <w:rPr>
          <w:rFonts w:ascii="宋体" w:hAnsi="宋体" w:cs="宋体"/>
          <w:color w:val="auto"/>
          <w:szCs w:val="21"/>
          <w:highlight w:val="none"/>
        </w:rPr>
      </w:pPr>
      <w:r>
        <w:rPr>
          <w:rFonts w:hint="eastAsia"/>
          <w:b/>
          <w:bCs/>
          <w:color w:val="auto"/>
          <w:szCs w:val="21"/>
          <w:highlight w:val="none"/>
        </w:rPr>
        <w:t xml:space="preserve">1.2.落实政府釆购政策需满足的资格要求：根据《政府采购促进中小企业发展管理办法》的相关规定，本项目专门面向中小企业，承接服务</w:t>
      </w:r>
      <w:r>
        <w:rPr>
          <w:rFonts w:hint="eastAsia" w:ascii="宋体" w:hAnsi="宋体" w:cs="宋体"/>
          <w:b/>
          <w:color w:val="auto"/>
          <w:szCs w:val="21"/>
          <w:highlight w:val="none"/>
          <w:lang w:val="zh-CN"/>
        </w:rPr>
        <w:t xml:space="preserve">的供应商应为中小微企业</w:t>
      </w:r>
      <w:r>
        <w:rPr>
          <w:rFonts w:hint="eastAsia" w:ascii="宋体" w:hAnsi="宋体" w:cs="宋体"/>
          <w:b/>
          <w:color w:val="auto"/>
          <w:szCs w:val="21"/>
          <w:highlight w:val="none"/>
        </w:rPr>
        <w:t xml:space="preserve">或</w:t>
      </w:r>
      <w:r>
        <w:rPr>
          <w:rFonts w:hint="eastAsia" w:ascii="宋体" w:hAnsi="宋体" w:cs="宋体"/>
          <w:b/>
          <w:color w:val="auto"/>
          <w:szCs w:val="21"/>
          <w:highlight w:val="none"/>
          <w:lang w:val="zh-CN"/>
        </w:rPr>
        <w:t xml:space="preserve">监狱企业</w:t>
      </w:r>
      <w:r>
        <w:rPr>
          <w:rFonts w:hint="eastAsia" w:ascii="宋体" w:hAnsi="宋体" w:cs="宋体"/>
          <w:b/>
          <w:color w:val="auto"/>
          <w:szCs w:val="21"/>
          <w:highlight w:val="none"/>
        </w:rPr>
        <w:t xml:space="preserve">或</w:t>
      </w:r>
      <w:r>
        <w:rPr>
          <w:rFonts w:hint="eastAsia" w:ascii="宋体" w:hAnsi="宋体" w:cs="宋体"/>
          <w:b/>
          <w:color w:val="auto"/>
          <w:szCs w:val="21"/>
          <w:highlight w:val="none"/>
          <w:lang w:val="zh-CN"/>
        </w:rPr>
        <w:t xml:space="preserve">残疾人福利性单位。根据《中小企业划型标准规定》（工信部联企业〔2011〕300号），本采购标的对应的中小企业划分标准所属行业为：餐饮业。</w:t>
      </w:r>
      <w:r/>
    </w:p>
    <w:p>
      <w:pPr>
        <w:ind w:firstLine="422"/>
        <w:spacing w:line="440" w:lineRule="exact"/>
        <w:rPr>
          <w:rFonts w:ascii="宋体" w:hAnsi="宋体" w:cs="宋体"/>
          <w:color w:val="auto"/>
          <w:szCs w:val="21"/>
          <w:highlight w:val="none"/>
        </w:rPr>
      </w:pPr>
      <w:r>
        <w:rPr>
          <w:rFonts w:hint="eastAsia"/>
          <w:b/>
          <w:bCs/>
          <w:color w:val="auto"/>
          <w:szCs w:val="21"/>
          <w:highlight w:val="none"/>
        </w:rPr>
        <w:t xml:space="preserve">1.3.本项目的特定资格要求：无。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1.4.拒绝下列供应商参加本次采购活动：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1.4.1.单位负责人为同一人或者存在直接控股、管理关系的不同供应商（包含法定代表人为同一个人的两个及两个以上法人，母公司、全资子公司及其控股公司），参加同一合同项下的政府采购活动。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1.4.2.为采购项目提供整体设计、规范编制或者项目管理、监理、检测等服务的供应商。</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4.3.</w:t>
      </w:r>
      <w:r>
        <w:rPr>
          <w:rFonts w:hint="eastAsia" w:ascii="宋体" w:hAnsi="宋体" w:cs="宋体"/>
          <w:color w:val="auto"/>
          <w:szCs w:val="21"/>
          <w:highlight w:val="none"/>
          <w:lang w:val="zh-CN"/>
        </w:rPr>
        <w:t xml:space="preserve">对列入失信被执行人、重大税收违法案件当事人名单、政府采购严重违法失信行为记录名单的供应商。</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（1）查询截止时点：响应文件递交截止时间。</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（2）查询渠道：</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（3）查询证据留存方式：</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（4）信用记录使用规则：</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在对供应商进行资格性审查时，应根据查询结果对供应商的不良信用记录逐项甄别确认。下列信用记录属于应依法拒绝供应商参加政府采购的失信信息：</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1.4.4.</w:t>
      </w:r>
      <w:r>
        <w:rPr>
          <w:rFonts w:hint="eastAsia" w:ascii="宋体" w:hAnsi="宋体" w:cs="宋体"/>
          <w:color w:val="auto"/>
          <w:szCs w:val="21"/>
          <w:highlight w:val="none"/>
          <w:lang w:val="zh-CN"/>
        </w:rPr>
        <w:t xml:space="preserve">法人的分支机构不得参加政府采购活动（除银行、保险、石油石化、电力、电信等行业特殊情况外）。</w:t>
      </w:r>
      <w:r/>
    </w:p>
    <w:p>
      <w:pPr>
        <w:ind w:firstLine="422"/>
        <w:jc w:val="left"/>
        <w:spacing w:line="400" w:lineRule="exact"/>
        <w:widowControl/>
        <w:rPr>
          <w:rFonts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1.政府采购促进中小企业发展，小企业（含小型、微型企业）提供的产品和服务在评标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2.5.提供的产品属于政府强制采购节能产品的，供应商应当选择经过认证的节能产品响应，并提供有效的节能产品认证证书复印件。</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2.6.提供的产品属于环境标志产品的,供应商应当选择经过认证的环境标志产品响应,并提供有效的环境标志产品认证证书复印件。</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.7</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如采购货物涉及协议供货相关产品的，执行协议供货相关政策。</w:t>
      </w:r>
      <w:r/>
    </w:p>
    <w:p>
      <w:pPr>
        <w:ind w:firstLine="422"/>
        <w:spacing w:line="400" w:lineRule="exact"/>
        <w:rPr>
          <w:rFonts w:ascii="宋体" w:hAnsi="宋体"/>
          <w:bCs/>
          <w:color w:val="auto"/>
          <w:szCs w:val="21"/>
          <w:highlight w:val="none"/>
        </w:rPr>
      </w:pPr>
      <w:r>
        <w:rPr>
          <w:rFonts w:ascii="宋体" w:hAnsi="宋体"/>
          <w:b/>
          <w:color w:val="auto"/>
          <w:szCs w:val="21"/>
          <w:highlight w:val="none"/>
        </w:rPr>
        <w:t xml:space="preserve">3.</w:t>
      </w:r>
      <w:r>
        <w:rPr>
          <w:rFonts w:hint="eastAsia" w:ascii="宋体" w:hAnsi="宋体"/>
          <w:b/>
          <w:color w:val="auto"/>
          <w:szCs w:val="21"/>
          <w:highlight w:val="none"/>
        </w:rPr>
        <w:t xml:space="preserve">★联合体响应：</w:t>
      </w:r>
      <w:r>
        <w:rPr>
          <w:rFonts w:hint="eastAsia" w:ascii="宋体" w:hAnsi="宋体"/>
          <w:bCs/>
          <w:color w:val="auto"/>
          <w:szCs w:val="21"/>
          <w:highlight w:val="none"/>
        </w:rPr>
        <w:t xml:space="preserve">不接受。</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两个以上的自然人、法人或者其他组织可以组成一个联合体，以一个供应商的身份共同参加政府采购。</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鼓励大中型企业和其他自然人、法人或者其他组织与小型、微型企业组成联合体共同参加非专门面向中小企业的政府采购活动。</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以联合体形式参加采购</w:t>
      </w:r>
      <w:r>
        <w:rPr>
          <w:rFonts w:hint="eastAsia" w:ascii="宋体" w:hAnsi="宋体"/>
          <w:color w:val="auto"/>
          <w:szCs w:val="21"/>
          <w:highlight w:val="none"/>
        </w:rPr>
        <w:t xml:space="preserve">的，联合体各方均应当符合政府采购法第二十二条第一款规定的条件；采购人根据采购项目的特殊要求规定供应商特定条件的，联合体各方中至少应当有一方符合采购人规定的特定条件并在磋商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联合体各方之间应当签订联合体协议，明确约定联合体各方承担的工作和相应的责任，并将联合体协议连同响应文件一并提交。</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bCs/>
          <w:color w:val="auto"/>
          <w:szCs w:val="21"/>
          <w:highlight w:val="none"/>
        </w:rPr>
      </w:pPr>
      <w:r>
        <w:rPr>
          <w:rFonts w:ascii="宋体" w:hAnsi="宋体"/>
          <w:b/>
          <w:bCs/>
          <w:color w:val="auto"/>
          <w:szCs w:val="21"/>
          <w:highlight w:val="none"/>
        </w:rPr>
        <w:t xml:space="preserve">4.</w:t>
      </w:r>
      <w:r>
        <w:rPr>
          <w:rFonts w:hint="eastAsia" w:ascii="宋体" w:hAnsi="宋体"/>
          <w:b/>
          <w:bCs/>
          <w:color w:val="auto"/>
          <w:szCs w:val="21"/>
          <w:highlight w:val="none"/>
        </w:rPr>
        <w:t xml:space="preserve">★转包与分包与</w:t>
      </w:r>
      <w:r>
        <w:rPr>
          <w:rFonts w:hint="eastAsia" w:ascii="宋体" w:hAnsi="宋体"/>
          <w:b/>
          <w:color w:val="auto"/>
          <w:szCs w:val="21"/>
          <w:highlight w:val="none"/>
        </w:rPr>
        <w:t xml:space="preserve">磋商费用</w:t>
      </w:r>
      <w:r/>
    </w:p>
    <w:p>
      <w:pPr>
        <w:ind w:firstLine="420"/>
        <w:spacing w:line="400" w:lineRule="exact"/>
        <w:rPr>
          <w:rFonts w:ascii="宋体" w:hAnsi="宋体"/>
          <w:color w:val="auto"/>
          <w:szCs w:val="22"/>
          <w:highlight w:val="none"/>
        </w:rPr>
      </w:pPr>
      <w:r>
        <w:rPr>
          <w:rFonts w:hint="eastAsia" w:ascii="宋体" w:hAnsi="宋体"/>
          <w:color w:val="auto"/>
          <w:szCs w:val="22"/>
          <w:highlight w:val="none"/>
        </w:rPr>
        <w:t xml:space="preserve">4</w:t>
      </w:r>
      <w:r>
        <w:rPr>
          <w:rFonts w:ascii="宋体" w:hAnsi="宋体"/>
          <w:color w:val="auto"/>
          <w:szCs w:val="22"/>
          <w:highlight w:val="none"/>
        </w:rPr>
        <w:t xml:space="preserve">.1.本项目不允许转包</w:t>
      </w:r>
      <w:r>
        <w:rPr>
          <w:rFonts w:hint="eastAsia" w:ascii="宋体" w:hAnsi="宋体"/>
          <w:color w:val="auto"/>
          <w:szCs w:val="22"/>
          <w:highlight w:val="none"/>
        </w:rPr>
        <w:t xml:space="preserve">或分包</w:t>
      </w:r>
      <w:r>
        <w:rPr>
          <w:rFonts w:ascii="宋体" w:hAnsi="宋体"/>
          <w:color w:val="auto"/>
          <w:szCs w:val="22"/>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w:t>
      </w:r>
      <w:r>
        <w:rPr>
          <w:rFonts w:hint="eastAsia" w:ascii="宋体" w:hAnsi="宋体"/>
          <w:color w:val="auto"/>
          <w:szCs w:val="21"/>
          <w:highlight w:val="none"/>
        </w:rPr>
        <w:t xml:space="preserve">无论磋商过程中的做法和结果如何，磋商供应商自行承担所有与参加磋商有关的全部费用。</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磋商文件</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.1.</w:t>
      </w:r>
      <w:r>
        <w:rPr>
          <w:rFonts w:hint="eastAsia" w:ascii="宋体" w:hAnsi="宋体"/>
          <w:color w:val="auto"/>
          <w:szCs w:val="21"/>
          <w:highlight w:val="none"/>
        </w:rPr>
        <w:t xml:space="preserve">磋商文件的内容如下：</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第一章 磋商邀请书</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第二章 磋商供应商须知</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第三章 响应文件格式</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第四章 采购需求</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第五章 合同主要条款</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第六章 评审办法及评分标准</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磋商文件的澄清和修改</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磋商文件的澄清、修改等内容与竞争性磋商文件在同一内容的表述上不一致时，以发出日期最接近磋商时间的公告为准。</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磋商文件的澄清、修改等内容均将在财政部门指定的</w:t>
      </w:r>
      <w:r>
        <w:rPr>
          <w:rFonts w:hint="eastAsia" w:ascii="宋体" w:hAnsi="宋体"/>
          <w:b/>
          <w:bCs/>
          <w:color w:val="auto"/>
          <w:szCs w:val="21"/>
          <w:highlight w:val="none"/>
        </w:rPr>
        <w:t xml:space="preserve">政府采购信息发布媒体</w:t>
      </w:r>
      <w:r>
        <w:rPr>
          <w:rFonts w:hint="eastAsia" w:ascii="宋体" w:hAnsi="宋体"/>
          <w:color w:val="auto"/>
          <w:szCs w:val="21"/>
          <w:highlight w:val="none"/>
        </w:rPr>
        <w:t xml:space="preserve">上发布，作为磋商文件的组成部分，对供应商起到约束作用。</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7.</w:t>
      </w:r>
      <w:r>
        <w:rPr>
          <w:rFonts w:hint="eastAsia" w:ascii="宋体" w:hAnsi="宋体"/>
          <w:b/>
          <w:color w:val="auto"/>
          <w:szCs w:val="21"/>
          <w:highlight w:val="none"/>
        </w:rPr>
        <w:t xml:space="preserve">★响应文件计量单位和使用文字</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响应文件中所使用的计量单位，除竞争性磋商文件中有特殊要求外，均应使用中华人民共和国法定计量单位。</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ascii="宋体" w:hAnsi="宋体" w:cs="宋体"/>
          <w:b/>
          <w:bCs/>
          <w:color w:val="auto"/>
          <w:szCs w:val="21"/>
          <w:highlight w:val="none"/>
        </w:rPr>
      </w:pPr>
      <w:r>
        <w:rPr>
          <w:rFonts w:hint="eastAsia" w:ascii="宋体" w:hAnsi="宋体"/>
          <w:b/>
          <w:bCs/>
          <w:color w:val="auto"/>
          <w:szCs w:val="21"/>
          <w:highlight w:val="none"/>
        </w:rPr>
        <w:t xml:space="preserve">8</w:t>
      </w:r>
      <w:r>
        <w:rPr>
          <w:rFonts w:hint="eastAsia" w:ascii="宋体" w:hAnsi="宋体" w:cs="宋体"/>
          <w:b/>
          <w:bCs/>
          <w:color w:val="auto"/>
          <w:szCs w:val="21"/>
          <w:highlight w:val="none"/>
        </w:rPr>
        <w:t xml:space="preserve">.磋商响应文件的组成：</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8.1.封面；</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8.2.开标一览表（磋商报价表）；</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8.3.</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资格审查响应文件</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8.3.1.关于资格文件的声明函（格式见第三章）；</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8.3.2.磋商响应单位基本情况表（格式见第三章）；</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8.3.3.磋商响应单位法定代表人身份证复印件；</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8.3.4.法定代表人授权委托书（如有授权，格式见第三章）；</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8.3.5.磋商响应单位授权代理人身份证复印件（如有授权）；</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8.3.6.合格供应商的基本条件：</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8.3.6.1.具有独立承担民事责任的能力证明。包括法人或者其他组织的营业执照等证明文件，自然人的身份证明；</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8.3.6.2.具有良好的商业信誉和健全的财务会计制度证明（</w:t>
      </w:r>
      <w:r>
        <w:rPr>
          <w:rFonts w:hint="eastAsia" w:ascii="宋体" w:hAnsi="宋体" w:eastAsia="宋体" w:cs="宋体"/>
          <w:bCs/>
          <w:color w:val="auto"/>
          <w:sz w:val="21"/>
          <w:szCs w:val="21"/>
          <w:highlight w:val="none"/>
          <w:lang w:val="en-US" w:eastAsia="zh-CN"/>
        </w:rPr>
        <w:t xml:space="preserve">提供包括但不限于最近一期经审计的财务报告或最近一期财务报表，其他组织、自然人及成立未满一年的法人应提供银行出具的资信证明）</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8.3.6.3.履行合同所必需的设备和专业技术能力的证明材料或承诺；</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8.3.6.4.有依法缴纳税收和社会保障资金的良好记录（</w:t>
      </w:r>
      <w:r>
        <w:rPr>
          <w:rFonts w:hint="eastAsia" w:ascii="宋体" w:hAnsi="宋体" w:eastAsia="宋体" w:cs="宋体"/>
          <w:bCs/>
          <w:color w:val="auto"/>
          <w:sz w:val="21"/>
          <w:szCs w:val="21"/>
          <w:highlight w:val="none"/>
          <w:lang w:val="en-US" w:eastAsia="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8.3.6.5.参加政府采购活动前三年内在经营活动中没有重大违法记录的书面声明函；</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8.3.7.</w:t>
      </w:r>
      <w:r>
        <w:rPr>
          <w:rFonts w:hint="eastAsia" w:ascii="宋体" w:hAnsi="宋体" w:cs="宋体"/>
          <w:b/>
          <w:color w:val="auto"/>
          <w:szCs w:val="21"/>
          <w:highlight w:val="none"/>
        </w:rPr>
        <w:t xml:space="preserve">《中小企业声明函》或《残疾人福利性单位声明函》或由省级以上监狱管理局、戒毒管理局（含新疆生产建设兵团）出具的属于监狱企业的证明文件；</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8.3.8.其它有关资格证明的文件；</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8.4.</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符合性审查响应文件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8.4.1.磋商响应函（格式见第三章）；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8.4.2.磋商报价分析表（格式见第三章）；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8.4.3.偏离表（格式见第三章）；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8.4.4.项目服务人员配置表（格式见第三章）；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8.4.5.投标（响应）保证承诺书；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8.4.6.</w:t>
      </w:r>
      <w:r>
        <w:rPr>
          <w:rFonts w:hint="eastAsia" w:ascii="宋体" w:hAnsi="宋体"/>
          <w:color w:val="auto"/>
          <w:szCs w:val="21"/>
          <w:highlight w:val="none"/>
        </w:rPr>
        <w:t xml:space="preserve">安全承诺责任书</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8.4.7.其他有关符合性证明的文件。</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8.5.综合评审响应文件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8.5.1.针对本项目提供的服务实施方案；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8.5.2.与本次采购相关的其他证明材料；</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.对属于《节能产品政府采购品目清单》政府强制采购产品的，需提供该产品有效期内的认证等相关证明材料（如有）。</w:t>
      </w:r>
      <w:r/>
    </w:p>
    <w:p>
      <w:pPr>
        <w:ind w:firstLine="422"/>
        <w:jc w:val="left"/>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rPr>
        <w:t xml:space="preserve">（1）以上8.3.1-8.3.8为资格审查要求提供的材料，是作为对供应商资格审查、质疑身份认定的依据，响应供应商必须提供并加盖电子公章。否则，磋商响应文件将被认定为不符合资格审查要求。</w:t>
      </w:r>
      <w:r/>
    </w:p>
    <w:p>
      <w:pPr>
        <w:ind w:firstLine="843"/>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（2）以上8.4.1-8.4.7为符合性审查须提供的资料，响应供应商必须提供并加盖电子公章。否则，磋商响应文件将被认定为未实质性响应。</w:t>
      </w:r>
      <w:r/>
    </w:p>
    <w:p>
      <w:pPr>
        <w:ind w:firstLine="843"/>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（3）制作电子响应文件时必须与响应文件制作软件目录一一对应，将相关资料上传至相应模块。</w:t>
      </w:r>
      <w:r/>
    </w:p>
    <w:p>
      <w:pPr>
        <w:ind w:firstLine="843"/>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（4）磋商响应文件编制要求：</w:t>
      </w:r>
      <w:r>
        <w:rPr>
          <w:rFonts w:hint="eastAsia" w:ascii="宋体" w:hAnsi="宋体" w:cs="宋体"/>
          <w:bCs/>
          <w:color w:val="auto"/>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843"/>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（5）</w:t>
      </w:r>
      <w:r>
        <w:rPr>
          <w:rFonts w:hint="eastAsia" w:ascii="宋体" w:hAnsi="宋体" w:cs="宋体"/>
          <w:b/>
          <w:color w:val="auto"/>
          <w:szCs w:val="21"/>
          <w:highlight w:val="none"/>
          <w:u w:val="single"/>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t xml:space="preserve">9.</w:t>
      </w:r>
      <w:r>
        <w:rPr>
          <w:rFonts w:hint="eastAsia" w:ascii="宋体" w:hAnsi="宋体"/>
          <w:b/>
          <w:color w:val="auto"/>
          <w:szCs w:val="21"/>
          <w:highlight w:val="none"/>
        </w:rPr>
        <w:t xml:space="preserve">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zh-CN"/>
        </w:rPr>
        <w:t xml:space="preserve">本项目采用电子招投标形式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请供应商按照《苏采云系统供应商操作手册》</w:t>
      </w:r>
      <w:r>
        <w:rPr>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lang w:val="zh-CN"/>
        </w:rPr>
        <w:t xml:space="preserve">进行制作、上传电子响应文件。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9.2.本项目采用网上投标电子评标方式，磋商响应单位系统中上传电子响应文件。</w:t>
      </w:r>
      <w:r>
        <w:rPr>
          <w:rFonts w:hint="eastAsia" w:ascii="宋体" w:hAnsi="宋体" w:cs="宋体"/>
          <w:b/>
          <w:bCs/>
          <w:color w:val="auto"/>
          <w:szCs w:val="21"/>
          <w:highlight w:val="none"/>
          <w:u w:val="single"/>
        </w:rPr>
        <w:t xml:space="preserve">成交后5个工作日内，成交单位向招标代理机构提供与电子响应文件内容一致的纸质响应文件叁份。</w:t>
      </w:r>
      <w:r/>
    </w:p>
    <w:p>
      <w:pPr>
        <w:ind w:firstLine="420"/>
        <w:spacing w:line="400" w:lineRule="exact"/>
        <w:rPr>
          <w:rFonts w:ascii="宋体" w:hAnsi="宋体" w:cs="宋体"/>
          <w:color w:val="auto"/>
          <w:szCs w:val="21"/>
          <w:highlight w:val="none"/>
        </w:rPr>
      </w:pPr>
      <w:r/>
      <w:bookmarkStart w:id="16" w:name="bookmark109"/>
      <w:r/>
      <w:bookmarkEnd w:id="16"/>
      <w:r>
        <w:rPr>
          <w:rFonts w:hint="eastAsia" w:ascii="宋体" w:hAnsi="宋体" w:cs="宋体"/>
          <w:color w:val="auto"/>
          <w:szCs w:val="21"/>
          <w:highlight w:val="none"/>
        </w:rPr>
        <w:t xml:space="preserve">9.3.电子磋商响应文件必须在响应文件接收截止时间前完成上传操作。</w:t>
      </w:r>
      <w:r/>
    </w:p>
    <w:p>
      <w:pPr>
        <w:ind w:firstLine="420"/>
        <w:spacing w:line="400" w:lineRule="exact"/>
        <w:rPr>
          <w:rFonts w:ascii="宋体" w:hAnsi="宋体" w:cs="宋体"/>
          <w:color w:val="auto"/>
          <w:szCs w:val="21"/>
          <w:highlight w:val="none"/>
        </w:rPr>
      </w:pPr>
      <w:r/>
      <w:bookmarkStart w:id="17" w:name="bookmark110"/>
      <w:r/>
      <w:bookmarkEnd w:id="17"/>
      <w:r>
        <w:rPr>
          <w:rFonts w:hint="eastAsia" w:ascii="宋体" w:hAnsi="宋体" w:cs="宋体"/>
          <w:color w:val="auto"/>
          <w:szCs w:val="21"/>
          <w:highlight w:val="none"/>
        </w:rPr>
        <w:t xml:space="preserve">9.4.</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9.5.电子响应文件需要盖单位公章的地方必须加盖磋商响应单位电子签章，需要法定代表人（或委托代理人）盖章或签名的文件必须按要求盖章或签名。</w:t>
      </w:r>
      <w:r/>
    </w:p>
    <w:p>
      <w:pPr>
        <w:ind w:firstLine="422"/>
        <w:spacing w:before="120" w:line="400" w:lineRule="exact"/>
        <w:rPr>
          <w:rFonts w:ascii="宋体" w:hAnsi="宋体"/>
          <w:color w:val="auto"/>
          <w:highlight w:val="none"/>
        </w:rPr>
      </w:pPr>
      <w:r>
        <w:rPr>
          <w:rFonts w:hint="eastAsia" w:ascii="宋体" w:hAnsi="宋体" w:cs="宋体"/>
          <w:b/>
          <w:bCs/>
          <w:color w:val="auto"/>
          <w:szCs w:val="21"/>
          <w:highlight w:val="none"/>
        </w:rPr>
        <w:t xml:space="preserve">9.6. 网上响应文件附件如无法加盖电子签章，请上传清晰的盖有公章的扫描件。</w:t>
      </w:r>
      <w:r/>
    </w:p>
    <w:p>
      <w:pPr>
        <w:ind w:firstLine="420"/>
        <w:spacing w:line="400" w:lineRule="exact"/>
        <w:rPr>
          <w:rFonts w:ascii="宋体" w:hAnsi="宋体"/>
          <w:b/>
          <w:color w:val="auto"/>
          <w:szCs w:val="21"/>
          <w:highlight w:val="none"/>
        </w:rPr>
      </w:pPr>
      <w:r>
        <w:rPr>
          <w:rFonts w:hint="eastAsia" w:ascii="宋体" w:hAnsi="宋体" w:cs="宋体"/>
          <w:color w:val="auto"/>
          <w:szCs w:val="21"/>
          <w:highlight w:val="none"/>
        </w:rPr>
        <w:t xml:space="preserve">9.7.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，除非供应商在响应文件中对采购文件的规定或条款有书面偏离或保留，否则应视为其全部接受和遵守。同时无论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10.</w:t>
      </w:r>
      <w:r>
        <w:rPr>
          <w:rFonts w:hint="eastAsia" w:ascii="宋体" w:hAnsi="宋体"/>
          <w:b/>
          <w:color w:val="auto"/>
          <w:szCs w:val="21"/>
          <w:highlight w:val="none"/>
        </w:rPr>
        <w:t xml:space="preserve">报价（编制）要求的说明</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.1.磋商报价应包括完成该标的物全部内容的一切费用。</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.3.响应人应对磋商文件内所要采购的全部内容进行报价，只投其中部分内容者，其响应文件将被拒绝。</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.4.一项响应内容只允许一个报价，采购代理机构不接受任何有选择性的响应报价。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.5.响应文件报价中的单价和总价全部采用人民币表示，除非合同的特殊条款另有规定。</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11.</w:t>
      </w:r>
      <w:r>
        <w:rPr>
          <w:rFonts w:hint="eastAsia" w:ascii="宋体" w:hAnsi="宋体"/>
          <w:b/>
          <w:color w:val="auto"/>
          <w:szCs w:val="21"/>
          <w:highlight w:val="none"/>
        </w:rPr>
        <w:t xml:space="preserve">★磋商有效期</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磋商响应文件的有效期为90日历天，在此期间内，响应文件应保持有效。有效期短于这个规定期限的，将被拒绝。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特殊情况下，磋商采购单位可与磋商供应商协商延缓磋商响应磋商文件的有效期，这种要求和答复均以书面形式进行。</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磋商响应方可拒绝接受延期要求而放弃磋商，同意延长有效期的磋商响应方不能修改磋商响应文件。</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12</w:t>
      </w:r>
      <w:r>
        <w:rPr>
          <w:rFonts w:ascii="宋体" w:hAnsi="宋体"/>
          <w:b/>
          <w:color w:val="auto"/>
          <w:szCs w:val="21"/>
          <w:highlight w:val="none"/>
        </w:rPr>
        <w:t xml:space="preserve">.</w:t>
      </w:r>
      <w:r>
        <w:rPr>
          <w:rFonts w:hint="eastAsia" w:ascii="宋体" w:hAnsi="宋体"/>
          <w:b/>
          <w:color w:val="auto"/>
          <w:szCs w:val="21"/>
          <w:highlight w:val="none"/>
        </w:rPr>
        <w:t xml:space="preserve">磋商响应截止时间</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2.1.响应文件必须在磋商截止时间前提交。截止时间以后送达的响应文件，采购人或采购代理机构将拒绝接收。</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2.2.采购人或者采购代理机构推迟磋商截止时间时，应以更正公告的形式，通知所有响应单位。</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13</w:t>
      </w:r>
      <w:r>
        <w:rPr>
          <w:rFonts w:ascii="宋体" w:hAnsi="宋体"/>
          <w:b/>
          <w:color w:val="auto"/>
          <w:szCs w:val="21"/>
          <w:highlight w:val="none"/>
        </w:rPr>
        <w:t xml:space="preserve">.</w:t>
      </w:r>
      <w:r>
        <w:rPr>
          <w:rFonts w:hint="eastAsia" w:ascii="宋体" w:hAnsi="宋体"/>
          <w:b/>
          <w:color w:val="auto"/>
          <w:szCs w:val="21"/>
          <w:highlight w:val="none"/>
        </w:rPr>
        <w:t xml:space="preserve">磋商响应文件修改和撤回</w:t>
      </w:r>
      <w:r/>
    </w:p>
    <w:p>
      <w:pPr>
        <w:ind w:firstLine="420"/>
        <w:spacing w:line="400" w:lineRule="exact"/>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3.1</w:t>
      </w:r>
      <w:r>
        <w:rPr>
          <w:rFonts w:ascii="宋体" w:hAnsi="宋体" w:cs="宋体"/>
          <w:color w:val="auto"/>
          <w:szCs w:val="21"/>
          <w:highlight w:val="none"/>
        </w:rPr>
        <w:t xml:space="preserve">.</w:t>
      </w:r>
      <w:r>
        <w:rPr>
          <w:rFonts w:hint="eastAsia" w:ascii="宋体" w:hAnsi="宋体" w:cs="宋体"/>
          <w:color w:val="auto"/>
          <w:szCs w:val="21"/>
          <w:highlight w:val="none"/>
        </w:rPr>
        <w:t xml:space="preserve">磋商响应文件的修改应在响应文件接收截止时间前进行。</w:t>
      </w:r>
      <w:r/>
    </w:p>
    <w:p>
      <w:pPr>
        <w:ind w:firstLine="420"/>
        <w:spacing w:before="78" w:after="78" w:line="400" w:lineRule="exact"/>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3.2</w:t>
      </w:r>
      <w:r>
        <w:rPr>
          <w:rFonts w:ascii="宋体" w:hAnsi="宋体" w:cs="宋体"/>
          <w:color w:val="auto"/>
          <w:szCs w:val="21"/>
          <w:highlight w:val="none"/>
        </w:rPr>
        <w:t xml:space="preserve">.</w:t>
      </w:r>
      <w:r>
        <w:rPr>
          <w:rFonts w:hint="eastAsia" w:ascii="宋体" w:hAnsi="宋体" w:cs="宋体"/>
          <w:color w:val="auto"/>
          <w:szCs w:val="21"/>
          <w:highlight w:val="none"/>
        </w:rPr>
        <w:t xml:space="preserve">磋商开始时间后至磋商截止时间前，相应单位可以撤回响应。</w:t>
      </w:r>
      <w:r/>
    </w:p>
    <w:p>
      <w:pPr>
        <w:ind w:firstLine="420"/>
        <w:spacing w:line="360" w:lineRule="auto"/>
        <w:widowControl/>
        <w:rPr>
          <w:rFonts w:ascii="宋体" w:hAnsi="宋体"/>
          <w:b/>
          <w:bCs/>
          <w:color w:val="auto"/>
          <w:sz w:val="26"/>
          <w:szCs w:val="21"/>
          <w:highlight w:val="none"/>
        </w:rPr>
      </w:pPr>
      <w:r>
        <w:rPr>
          <w:rFonts w:hint="eastAsia" w:ascii="宋体" w:hAnsi="宋体"/>
          <w:bCs/>
          <w:color w:val="auto"/>
          <w:szCs w:val="21"/>
          <w:highlight w:val="none"/>
        </w:rPr>
        <w:t xml:space="preserve">13.3.磋商截止时间后供应商不得撤回响应。否则按投标（响应）保证承诺书中承诺履行违约赔偿。</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14.递交磋商响应文件相关事项</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14.</w:t>
      </w:r>
      <w:r>
        <w:rPr>
          <w:rFonts w:ascii="宋体" w:hAnsi="宋体"/>
          <w:color w:val="auto"/>
          <w:szCs w:val="21"/>
          <w:highlight w:val="none"/>
        </w:rPr>
        <w:t xml:space="preserve">1</w:t>
      </w:r>
      <w:r>
        <w:rPr>
          <w:rFonts w:hint="eastAsia" w:ascii="宋体" w:hAnsi="宋体"/>
          <w:color w:val="auto"/>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15</w:t>
      </w:r>
      <w:r>
        <w:rPr>
          <w:rFonts w:ascii="宋体" w:hAnsi="宋体"/>
          <w:b/>
          <w:bCs/>
          <w:color w:val="auto"/>
          <w:szCs w:val="21"/>
          <w:highlight w:val="none"/>
        </w:rPr>
        <w:t xml:space="preserve">.</w:t>
      </w:r>
      <w:r>
        <w:rPr>
          <w:rFonts w:hint="eastAsia" w:ascii="宋体" w:hAnsi="宋体"/>
          <w:b/>
          <w:bCs/>
          <w:color w:val="auto"/>
          <w:szCs w:val="21"/>
          <w:highlight w:val="none"/>
        </w:rPr>
        <w:t xml:space="preserve">磋商评审程序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hint="eastAsia" w:ascii="宋体" w:hAnsi="宋体"/>
          <w:color w:val="auto"/>
          <w:szCs w:val="21"/>
          <w:highlight w:val="none"/>
        </w:rPr>
        <w:t xml:space="preserve">磋商仪式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.1.1.</w:t>
      </w:r>
      <w:r>
        <w:rPr>
          <w:rFonts w:hint="eastAsia" w:ascii="宋体" w:hAnsi="宋体"/>
          <w:color w:val="auto"/>
          <w:szCs w:val="21"/>
          <w:highlight w:val="none"/>
        </w:rPr>
        <w:t xml:space="preserve">采购代理机构将在竞争性磋商公告中规定的时间和地点组织磋商。</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.1.2.</w:t>
      </w:r>
      <w:r>
        <w:rPr>
          <w:rFonts w:hint="eastAsia" w:ascii="宋体" w:hAnsi="宋体"/>
          <w:color w:val="auto"/>
          <w:szCs w:val="21"/>
          <w:highlight w:val="none"/>
        </w:rPr>
        <w:t xml:space="preserve">磋商仪式由采购代理机构主持。</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采购人依法对供应商的资格进行审查。</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磋商代理人对供应商进行信用查询。</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.2.</w:t>
      </w:r>
      <w:r>
        <w:rPr>
          <w:rFonts w:hint="eastAsia" w:ascii="宋体" w:hAnsi="宋体"/>
          <w:color w:val="auto"/>
          <w:szCs w:val="21"/>
          <w:highlight w:val="none"/>
        </w:rPr>
        <w:t xml:space="preserve">磋商小组</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.2.1.</w:t>
      </w:r>
      <w:r>
        <w:rPr>
          <w:rFonts w:hint="eastAsia" w:ascii="宋体" w:hAnsi="宋体"/>
          <w:color w:val="auto"/>
          <w:szCs w:val="21"/>
          <w:highlight w:val="none"/>
        </w:rPr>
        <w:t xml:space="preserve">磋商仪式结束后，采购代理机构将立即组织磋商小组进行磋商。</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.2.2.</w:t>
      </w:r>
      <w:r>
        <w:rPr>
          <w:rFonts w:hint="eastAsia" w:ascii="宋体" w:hAnsi="宋体"/>
          <w:color w:val="auto"/>
          <w:szCs w:val="21"/>
          <w:highlight w:val="none"/>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.2.3.</w:t>
      </w:r>
      <w:r>
        <w:rPr>
          <w:rFonts w:hint="eastAsia" w:ascii="宋体" w:hAnsi="宋体"/>
          <w:color w:val="auto"/>
          <w:szCs w:val="21"/>
          <w:highlight w:val="none"/>
        </w:rPr>
        <w:t xml:space="preserve">磋商小组负责具体的磋商事务，并独立履行以下职责：</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（1）确认或者制定磋商文件； </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（2）从符合相应资格条件的供应商名单中确定供应商参加磋商；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（3）审查供应商的响应文件并做出评价；</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（4）要求供应商解释或者澄清其响应文件；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）编写评审报告；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（6）告知采购人、采购代理机构在评审过程中发现的供应商的违法违规行为。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.2.4.</w:t>
      </w:r>
      <w:r>
        <w:rPr>
          <w:rFonts w:hint="eastAsia" w:ascii="宋体" w:hAnsi="宋体"/>
          <w:color w:val="auto"/>
          <w:szCs w:val="21"/>
          <w:highlight w:val="none"/>
        </w:rPr>
        <w:t xml:space="preserve">磋商小组成员应当履行下列义务：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（1）遵纪守法，客观、公正、廉洁地履行职责；</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（2）按照磋商文件规定的评审办法独立进行评审，对个人的评审意见承担法律责任；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（3）参与评审报告的起草；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（4）配合采购人、采购代理机构答复供应商提出的质疑；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（5）配合财政部门的投诉处理和监督检查工作。</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磋商工作纪律及保密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.3.1.</w:t>
      </w:r>
      <w:r>
        <w:rPr>
          <w:rFonts w:hint="eastAsia" w:ascii="宋体" w:hAnsi="宋体"/>
          <w:color w:val="auto"/>
          <w:szCs w:val="21"/>
          <w:highlight w:val="none"/>
        </w:rPr>
        <w:t xml:space="preserve">磋商开始后，直到宣布授予成交供应商合同为止，凡属于审查、澄清、评价和比较响应文件的所有资料，有关授予合同的信息都不应向供应商或与评审无关的其他人泄露。</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.3.2.</w:t>
      </w:r>
      <w:r>
        <w:rPr>
          <w:rFonts w:hint="eastAsia" w:ascii="宋体" w:hAnsi="宋体"/>
          <w:color w:val="auto"/>
          <w:szCs w:val="21"/>
          <w:highlight w:val="none"/>
        </w:rPr>
        <w:t xml:space="preserve">评审专家应当遵守评审工作纪律，不得泄露评审情况和评审中获悉的商业秘密。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.3.3.</w:t>
      </w:r>
      <w:r>
        <w:rPr>
          <w:rFonts w:hint="eastAsia" w:ascii="宋体" w:hAnsi="宋体"/>
          <w:color w:val="auto"/>
          <w:szCs w:val="21"/>
          <w:highlight w:val="none"/>
        </w:rPr>
        <w:t xml:space="preserve">在评审期间，磋商采购单位将通过指定联络人与供应商进行联系。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响应文件审查</w:t>
      </w:r>
      <w:r/>
    </w:p>
    <w:p>
      <w:pPr>
        <w:ind w:firstLine="420"/>
        <w:jc w:val="left"/>
        <w:spacing w:line="400" w:lineRule="exact"/>
        <w:rPr>
          <w:rFonts w:ascii="宋体" w:hAnsi="宋体" w:cs="宋体"/>
          <w:color w:val="auto"/>
          <w:szCs w:val="21"/>
          <w:highlight w:val="none"/>
        </w:rPr>
      </w:pPr>
      <w:r>
        <w:rPr>
          <w:rFonts w:hint="eastAsia" w:ascii="宋体" w:hAnsi="宋体"/>
          <w:color w:val="auto"/>
          <w:szCs w:val="21"/>
          <w:highlight w:val="none"/>
        </w:rPr>
        <w:t xml:space="preserve">1</w:t>
      </w:r>
      <w:r>
        <w:rPr>
          <w:rFonts w:hint="eastAsia" w:ascii="宋体" w:hAnsi="宋体" w:cs="宋体"/>
          <w:color w:val="auto"/>
          <w:szCs w:val="21"/>
          <w:highlight w:val="none"/>
        </w:rPr>
        <w:t xml:space="preserve">5.4.1.磋商小组应当对符合资格的响应人的响应文件进行符合性审查，以确定其是否满足磋商文件的实质性要求。</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15.5.供应商澄清</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磋商小组要求供应商澄清、说明或者更正响应文件将以书面形式作出。供应商的澄清、说明或者更正应当由其单位加盖电子公章。</w:t>
      </w:r>
      <w:r/>
    </w:p>
    <w:p>
      <w:pPr>
        <w:ind w:firstLine="422"/>
        <w:jc w:val="left"/>
        <w:spacing w:line="400" w:lineRule="exact"/>
        <w:rPr>
          <w:rFonts w:ascii="宋体" w:hAnsi="宋体" w:cs="宋体"/>
          <w:b/>
          <w:bCs/>
          <w:color w:val="auto"/>
          <w:szCs w:val="21"/>
          <w:highlight w:val="none"/>
          <w:u w:val="single"/>
        </w:rPr>
      </w:pPr>
      <w:r>
        <w:rPr>
          <w:rFonts w:hint="eastAsia" w:ascii="宋体" w:hAnsi="宋体" w:cs="宋体"/>
          <w:b/>
          <w:bCs/>
          <w:color w:val="auto"/>
          <w:szCs w:val="21"/>
          <w:highlight w:val="none"/>
        </w:rPr>
        <w:t xml:space="preserve">15.6.</w:t>
      </w:r>
      <w:r>
        <w:rPr>
          <w:rFonts w:hint="eastAsia" w:ascii="宋体" w:hAnsi="宋体" w:cs="宋体"/>
          <w:b/>
          <w:bCs/>
          <w:color w:val="auto"/>
          <w:szCs w:val="21"/>
          <w:highlight w:val="none"/>
          <w:u w:val="single"/>
        </w:rPr>
        <w:t xml:space="preserve">磋商程序、最后报价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15.6.1.采购代理机构按采购文件规定的时间、地点主持磋商采购活动。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15.6.2.供应商通过“苏采云”系统在线参与磋商活动。供应商应当按照《苏采云系统供应商操作手册》规定在“苏采云”系统规定的时间内对响应文件进行解密。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15.6.3.在磋商响应文件网上递交截止时间止成功解密的磋商供应商少于三家，则本次采购失败。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15.6.4.由磋商小组审查供应商解密的响应文件。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15.6.6.磋商小组要求供应商澄清、说明或者更正响应文件应当以书面形式做出。供应商的澄清、说明或者更正应当由其单位加盖电子公章。</w:t>
      </w:r>
      <w:r/>
    </w:p>
    <w:p>
      <w:pPr>
        <w:ind w:firstLine="422"/>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15.6.7.对于通过资格审查和符合性审查的供应商，磋商小组所有成员集中与单一供应商分别进行磋商，并给予所有参加磋商的供应商平等的磋商机会。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15.6.9.</w:t>
      </w:r>
      <w:r>
        <w:rPr>
          <w:rFonts w:hint="eastAsia" w:ascii="宋体" w:hAnsi="宋体" w:cs="宋体"/>
          <w:b/>
          <w:color w:val="auto"/>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15.6.10.</w:t>
      </w:r>
      <w:r>
        <w:rPr>
          <w:rFonts w:hint="eastAsia" w:ascii="宋体" w:hAnsi="宋体" w:cs="宋体"/>
          <w:b/>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jc w:val="left"/>
        <w:spacing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特别提醒：进入项目评审流程后，建议各供应商法定代表人或授权委托人始终保持通讯顺畅，时刻关注不见面开标大厅，不离开不见面开标大厅。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15.6.</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Cs w:val="21"/>
          <w:highlight w:val="none"/>
          <w14:textFill>
            <w14:solidFill>
              <w14:schemeClr w14:val="tx1"/>
            </w14:solidFill>
          </w14:textFill>
        </w:rPr>
        <w:t xml:space="preserve">强化政府采购异常低价审查</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明确评审委员会启动异常低价投标（响应）审查的情形和具体要求，包括：</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（1）评审过程中出现下列情形之一的，评审委员会应当启动异常低价投标（响应）审查程序：</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①投标（响应）报价低于采购项目预算50%的，即投标（响应）报价&lt;采购项目预算×50%；</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②投标（响应）报价低于采购项目最高限价45%的，即投标（响应）报价&lt;采购项目最高限价×45%；</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③评审委员会认定的供应商报价过低、有可能影响产品质量或者不能诚信履约的其他情形。</w:t>
      </w:r>
      <w:r/>
    </w:p>
    <w:p>
      <w:pPr>
        <w:ind w:firstLine="422"/>
        <w:jc w:val="left"/>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.磋商小组根据磋商成交原则确定成交供应商，并将结果通知所有参加磋商的供应商。</w:t>
      </w:r>
      <w:r/>
    </w:p>
    <w:p>
      <w:pPr>
        <w:ind w:firstLine="420"/>
        <w:jc w:val="left"/>
        <w:spacing w:line="400" w:lineRule="exact"/>
        <w:rPr>
          <w:rFonts w:ascii="宋体" w:hAnsi="宋体"/>
          <w:color w:val="auto"/>
          <w:szCs w:val="21"/>
          <w:highlight w:val="none"/>
        </w:rPr>
      </w:pPr>
      <w:r>
        <w:rPr>
          <w:rFonts w:hint="eastAsia" w:ascii="宋体" w:hAnsi="宋体" w:cs="宋体"/>
          <w:color w:val="auto"/>
          <w:szCs w:val="21"/>
          <w:highlight w:val="none"/>
        </w:rPr>
        <w:t xml:space="preserve">15.6.1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.如磋商过程中出现本采购文件未尽事宜，由磋商小组根据政府采购有关法律、法规讨论决定。</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.7.</w:t>
      </w:r>
      <w:r>
        <w:rPr>
          <w:rFonts w:hint="eastAsia" w:ascii="宋体" w:hAnsi="宋体"/>
          <w:color w:val="auto"/>
          <w:szCs w:val="21"/>
          <w:highlight w:val="none"/>
        </w:rPr>
        <w:t xml:space="preserve">响应无效和终止磋商活动条款</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.7.1.</w:t>
      </w:r>
      <w:r>
        <w:rPr>
          <w:rFonts w:hint="eastAsia" w:ascii="宋体" w:hAnsi="宋体"/>
          <w:color w:val="auto"/>
          <w:szCs w:val="21"/>
          <w:highlight w:val="none"/>
        </w:rPr>
        <w:t xml:space="preserve">响应人存在下列情况之一的，响应无效: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（1）未按照竞争性磋商文件规定要求签署、盖章的；</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（2）供应商不具备竞争性磋商文件中规定资格条件的；</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（3）报价超过磋商文件中规定的预算金额或者最高限价的；</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（4）响应文件含有采购人不能接受的附加条件；</w:t>
      </w:r>
      <w:r/>
    </w:p>
    <w:p>
      <w:pPr>
        <w:ind w:firstLine="42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（5）因磋商响应单位自身原因导致网上磋商响应文件无法递交的其他情况；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（6）不符合法律、法规和竞争性磋商文件中规定的其他实质性要求的；</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（7）法律、法规及本竞争性磋商文件规定的其他无效的情形。</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.7.2.</w:t>
      </w:r>
      <w:r>
        <w:rPr>
          <w:rFonts w:hint="eastAsia" w:ascii="宋体" w:hAnsi="宋体"/>
          <w:color w:val="auto"/>
          <w:szCs w:val="21"/>
          <w:highlight w:val="none"/>
        </w:rPr>
        <w:t xml:space="preserve">响应人应当遵循公平竞争的原则，不得恶意串通，不得妨碍其他响应人的竞争行为，不得损害采购人或者其他响应人的合法权益。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磋商在过程中发现响应人有下述15.7.3.所列情形的，磋商小组应当认定其响应无效，并书面报告本级财政部门。</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.7.3.</w:t>
      </w:r>
      <w:r>
        <w:rPr>
          <w:rFonts w:hint="eastAsia" w:ascii="宋体" w:hAnsi="宋体"/>
          <w:color w:val="auto"/>
          <w:szCs w:val="21"/>
          <w:highlight w:val="none"/>
        </w:rPr>
        <w:t xml:space="preserve">有下列情形之一的，视为响应人恶意串通，其响应无效：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（1）不同响应人的响应文件由同一单位或者个人编制；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（2）不同响应人委托同一单位或者个人办理磋商事宜；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（3）不同响应人的响应文件载明的项目管理成员或者联系人员为同一人；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（4）不同响应人的响应文件异常一致或者报价呈规律性差异；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（5）不同响应人的响应文件相互混装；</w:t>
      </w:r>
      <w:r/>
    </w:p>
    <w:p>
      <w:pPr>
        <w:ind w:firstLine="422"/>
        <w:jc w:val="left"/>
        <w:spacing w:line="400" w:lineRule="exact"/>
        <w:rPr>
          <w:rFonts w:ascii="宋体" w:hAnsi="宋体"/>
          <w:color w:val="auto"/>
          <w:szCs w:val="21"/>
          <w:highlight w:val="none"/>
        </w:rPr>
      </w:pPr>
      <w:r>
        <w:rPr>
          <w:rFonts w:hint="eastAsia" w:ascii="宋体" w:hAnsi="宋体" w:cs="宋体"/>
          <w:b/>
          <w:bCs/>
          <w:color w:val="auto"/>
          <w:szCs w:val="21"/>
          <w:highlight w:val="none"/>
        </w:rPr>
        <w:t xml:space="preserve">（6）不同投标（响应）文件制作机器码一致，均为无效投标。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.7.4.</w:t>
      </w:r>
      <w:r>
        <w:rPr>
          <w:rFonts w:hint="eastAsia" w:ascii="宋体" w:hAnsi="宋体"/>
          <w:color w:val="auto"/>
          <w:szCs w:val="21"/>
          <w:highlight w:val="none"/>
        </w:rPr>
        <w:t xml:space="preserve">终止竞争性磋商采购活动的条款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出现下列情形之一的，采购代理机构将终止竞争性磋商采购活动，发布项目终止公告并说明原因，重新开展采购活动：</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（1）因情况变化，不再符合规定的竞争性磋商采购方式适用情形的；</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（2）出现影响采购公正的违法、违规行为的；</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（3）在采购活动中因重大变故，采购任务取消的；</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（4）参加磋商响应单位不足三家，或者实质</w:t>
      </w:r>
      <w:r>
        <w:rPr>
          <w:rFonts w:hint="eastAsia" w:ascii="宋体" w:hAnsi="宋体" w:cs="宋体"/>
          <w:color w:val="auto"/>
          <w:szCs w:val="21"/>
          <w:highlight w:val="none"/>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确定成交、询问及质疑</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w:t>
      </w:r>
      <w:r>
        <w:rPr>
          <w:rFonts w:hint="eastAsia" w:ascii="宋体" w:hAnsi="宋体"/>
          <w:bCs/>
          <w:color w:val="auto"/>
          <w:szCs w:val="21"/>
          <w:highlight w:val="none"/>
        </w:rPr>
        <w:t xml:space="preserve">确定成交供应商</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.1.1.</w:t>
      </w:r>
      <w:r>
        <w:rPr>
          <w:rFonts w:hint="eastAsia" w:ascii="宋体" w:hAnsi="宋体"/>
          <w:bCs/>
          <w:color w:val="auto"/>
          <w:szCs w:val="21"/>
          <w:highlight w:val="none"/>
        </w:rPr>
        <w:t xml:space="preserve">采购人授权磋商小组直接确定成交供应商。</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.1.2.</w:t>
      </w:r>
      <w:r>
        <w:rPr>
          <w:rFonts w:hint="eastAsia" w:ascii="宋体" w:hAnsi="宋体"/>
          <w:bCs/>
          <w:color w:val="auto"/>
          <w:szCs w:val="21"/>
          <w:highlight w:val="none"/>
        </w:rPr>
        <w:t xml:space="preserve">采购代理机构在成交供应商确定后2个工作日内在“苏州市政府采购网”公告成交结果，并同时书面通知成交供应商。成交通知书将成为合同的组成部分。</w:t>
      </w:r>
      <w:r>
        <w:rPr>
          <w:rFonts w:hint="eastAsia" w:ascii="宋体" w:hAnsi="宋体" w:cs="宋体"/>
          <w:color w:val="auto"/>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cs="宋体"/>
          <w:color w:val="auto"/>
          <w:szCs w:val="21"/>
          <w:highlight w:val="none"/>
        </w:rPr>
        <w:t xml:space="preserve">。</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.2.</w:t>
      </w:r>
      <w:r>
        <w:rPr>
          <w:rFonts w:hint="eastAsia" w:ascii="宋体" w:hAnsi="宋体"/>
          <w:bCs/>
          <w:color w:val="auto"/>
          <w:szCs w:val="21"/>
          <w:highlight w:val="none"/>
        </w:rPr>
        <w:t xml:space="preserve">询问及质疑</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16.2.1.询问及质疑依据《中华人民共和国政府采购法》、《中华人民共和国政府采购法实施条例》、《政府采购质疑和投诉办法》及相关法律法规处理。</w:t>
      </w:r>
      <w:r/>
    </w:p>
    <w:p>
      <w:pPr>
        <w:ind w:firstLine="420"/>
        <w:jc w:val="left"/>
        <w:spacing w:line="400" w:lineRule="exact"/>
        <w:rPr>
          <w:rFonts w:ascii="宋体" w:hAnsi="宋体" w:cs="宋体"/>
          <w:bCs/>
          <w:color w:val="auto"/>
          <w:szCs w:val="21"/>
          <w:highlight w:val="none"/>
        </w:rPr>
      </w:pPr>
      <w:r>
        <w:rPr>
          <w:rFonts w:hint="eastAsia" w:ascii="宋体" w:hAnsi="宋体"/>
          <w:bCs/>
          <w:color w:val="auto"/>
          <w:szCs w:val="21"/>
          <w:highlight w:val="none"/>
        </w:rPr>
        <w:t xml:space="preserve">16.2.2.供应商提交的质疑函必须按照《政府采购供应商质疑函范本》要求的格式和内容进行填写，质疑函范本下载网址详见链接：https://czju.suzhou.gov.cn/zfcg/html/content/20180305093615738.shtml。</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16.2.3.</w:t>
      </w:r>
      <w:r>
        <w:rPr>
          <w:rFonts w:hint="eastAsia" w:ascii="宋体" w:hAnsi="宋体" w:cs="宋体"/>
          <w:bCs/>
          <w:color w:val="auto"/>
          <w:szCs w:val="21"/>
          <w:highlight w:val="none"/>
          <w:lang w:val="zh-TW" w:eastAsia="zh-TW"/>
        </w:rPr>
        <w:t xml:space="preserve">供应商应在法定质疑期内一次性提出针对同一采购程序环节的质疑。</w:t>
      </w:r>
      <w:r>
        <w:rPr>
          <w:rFonts w:hint="eastAsia" w:ascii="宋体" w:hAnsi="宋体" w:cs="宋体"/>
          <w:bCs/>
          <w:color w:val="auto"/>
          <w:szCs w:val="21"/>
          <w:highlight w:val="none"/>
        </w:rPr>
        <w:t xml:space="preserve">质疑函</w:t>
      </w:r>
      <w:r>
        <w:rPr>
          <w:rFonts w:hint="eastAsia" w:ascii="宋体" w:hAnsi="宋体" w:cs="宋体"/>
          <w:color w:val="auto"/>
          <w:szCs w:val="21"/>
          <w:highlight w:val="none"/>
        </w:rPr>
        <w:t xml:space="preserve">（必须附</w:t>
      </w:r>
      <w:r>
        <w:rPr>
          <w:rFonts w:hint="eastAsia" w:ascii="宋体" w:hAnsi="宋体" w:cs="宋体"/>
          <w:color w:val="auto"/>
          <w:szCs w:val="21"/>
          <w:highlight w:val="none"/>
          <w:lang w:val="zh-CN"/>
        </w:rPr>
        <w:t xml:space="preserve">《投标供应商确认函》</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现场提交或邮寄至本公司</w:t>
      </w:r>
      <w:r>
        <w:rPr>
          <w:rFonts w:hint="eastAsia" w:ascii="宋体" w:hAnsi="宋体" w:cs="宋体"/>
          <w:b/>
          <w:color w:val="auto"/>
          <w:szCs w:val="21"/>
          <w:highlight w:val="none"/>
        </w:rPr>
        <w:t xml:space="preserve">（不接收到付快递）</w:t>
      </w:r>
      <w:r>
        <w:rPr>
          <w:rFonts w:hint="eastAsia" w:ascii="宋体" w:hAnsi="宋体" w:cs="宋体"/>
          <w:bCs/>
          <w:color w:val="auto"/>
          <w:szCs w:val="21"/>
          <w:highlight w:val="none"/>
        </w:rPr>
        <w:t xml:space="preserve">。</w:t>
      </w:r>
      <w:r/>
    </w:p>
    <w:p>
      <w:pPr>
        <w:ind w:firstLine="422"/>
        <w:spacing w:line="440" w:lineRule="exact"/>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1</w:t>
      </w:r>
      <w:r>
        <w:rPr>
          <w:rFonts w:hint="eastAsia" w:ascii="宋体" w:hAnsi="宋体" w:cs="宋体"/>
          <w:b/>
          <w:color w:val="auto"/>
          <w:szCs w:val="21"/>
          <w:highlight w:val="none"/>
        </w:rPr>
        <w:t xml:space="preserve">6</w:t>
      </w:r>
      <w:r>
        <w:rPr>
          <w:rFonts w:hint="eastAsia" w:ascii="宋体" w:hAnsi="宋体" w:cs="宋体"/>
          <w:b/>
          <w:color w:val="auto"/>
          <w:szCs w:val="21"/>
          <w:highlight w:val="none"/>
          <w:lang w:val="zh-TW" w:eastAsia="zh-TW"/>
        </w:rPr>
        <w:t xml:space="preserve">.2.</w:t>
      </w: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TW" w:eastAsia="zh-TW"/>
        </w:rPr>
        <w:t xml:space="preserve">质疑联系方式</w:t>
      </w:r>
      <w:r/>
    </w:p>
    <w:p>
      <w:pPr>
        <w:ind w:firstLine="422"/>
        <w:spacing w:line="440" w:lineRule="exact"/>
        <w:rPr>
          <w:rFonts w:hint="eastAsia" w:ascii="宋体" w:hAnsi="宋体" w:eastAsia="宋体" w:cs="宋体"/>
          <w:b/>
          <w:color w:val="auto"/>
          <w:szCs w:val="21"/>
          <w:highlight w:val="none"/>
          <w:lang w:val="zh-TW" w:eastAsia="zh-CN"/>
        </w:rPr>
      </w:pPr>
      <w:r>
        <w:rPr>
          <w:rFonts w:hint="eastAsia" w:ascii="宋体" w:hAnsi="宋体" w:cs="宋体"/>
          <w:b/>
          <w:color w:val="auto"/>
          <w:szCs w:val="21"/>
          <w:highlight w:val="none"/>
          <w:lang w:val="zh-TW" w:eastAsia="zh-TW"/>
        </w:rPr>
        <w:t xml:space="preserve">采购代理机构：</w:t>
      </w:r>
      <w:r>
        <w:rPr>
          <w:rFonts w:hint="eastAsia" w:ascii="宋体" w:hAnsi="宋体" w:cs="宋体"/>
          <w:b/>
          <w:color w:val="auto"/>
          <w:szCs w:val="21"/>
          <w:highlight w:val="none"/>
          <w:lang w:val="zh-TW" w:eastAsia="zh-CN"/>
        </w:rPr>
        <w:t xml:space="preserve">名源工程招投标咨询（苏州）有限公司</w:t>
      </w:r>
      <w:r/>
    </w:p>
    <w:p>
      <w:pPr>
        <w:ind w:firstLine="422"/>
        <w:spacing w:line="440" w:lineRule="exact"/>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地址：</w:t>
      </w:r>
      <w:r>
        <w:rPr>
          <w:rFonts w:hint="eastAsia" w:ascii="宋体" w:hAnsi="宋体" w:cs="宋体"/>
          <w:b/>
          <w:color w:val="auto"/>
          <w:szCs w:val="21"/>
          <w:highlight w:val="none"/>
          <w:lang w:val="zh-TW" w:eastAsia="zh-CN"/>
        </w:rPr>
        <w:t xml:space="preserve">苏州市吴江区体育路128号187室</w:t>
      </w:r>
      <w:r>
        <w:rPr>
          <w:rFonts w:hint="eastAsia" w:ascii="宋体" w:hAnsi="宋体" w:cs="宋体"/>
          <w:b/>
          <w:color w:val="auto"/>
          <w:szCs w:val="21"/>
          <w:highlight w:val="none"/>
          <w:lang w:val="zh-TW" w:eastAsia="zh-TW"/>
        </w:rPr>
        <w:t xml:space="preserve">    </w:t>
      </w:r>
      <w:r/>
    </w:p>
    <w:p>
      <w:pPr>
        <w:ind w:firstLine="422"/>
        <w:spacing w:line="440" w:lineRule="exact"/>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邮编：215200</w:t>
      </w:r>
      <w:r/>
    </w:p>
    <w:p>
      <w:pPr>
        <w:ind w:firstLine="422"/>
        <w:spacing w:line="440" w:lineRule="exac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zh-TW" w:eastAsia="zh-TW"/>
        </w:rPr>
        <w:t xml:space="preserve">电话：</w:t>
      </w:r>
      <w:r>
        <w:rPr>
          <w:rFonts w:hint="eastAsia" w:ascii="宋体" w:hAnsi="宋体" w:cs="宋体"/>
          <w:b/>
          <w:color w:val="auto"/>
          <w:szCs w:val="21"/>
          <w:highlight w:val="none"/>
          <w:lang w:eastAsia="zh-CN"/>
        </w:rPr>
        <w:t xml:space="preserve">0512-63005628</w:t>
      </w:r>
      <w:r/>
    </w:p>
    <w:p>
      <w:pPr>
        <w:ind w:firstLine="422"/>
        <w:spacing w:line="440" w:lineRule="exact"/>
        <w:rPr>
          <w:rFonts w:hint="eastAsia" w:ascii="宋体" w:hAnsi="宋体" w:eastAsia="宋体" w:cs="宋体"/>
          <w:b/>
          <w:color w:val="auto"/>
          <w:szCs w:val="21"/>
          <w:highlight w:val="none"/>
          <w:lang w:val="zh-TW" w:eastAsia="zh-CN"/>
        </w:rPr>
      </w:pPr>
      <w:r>
        <w:rPr>
          <w:rFonts w:hint="eastAsia" w:ascii="宋体" w:hAnsi="宋体" w:cs="宋体"/>
          <w:b/>
          <w:color w:val="auto"/>
          <w:szCs w:val="21"/>
          <w:highlight w:val="none"/>
          <w:lang w:val="zh-TW" w:eastAsia="zh-TW"/>
        </w:rPr>
        <w:t xml:space="preserve">联系人：</w:t>
      </w:r>
      <w:r>
        <w:rPr>
          <w:rFonts w:hint="eastAsia" w:ascii="宋体" w:hAnsi="宋体" w:cs="宋体"/>
          <w:b/>
          <w:color w:val="auto"/>
          <w:szCs w:val="21"/>
          <w:highlight w:val="none"/>
          <w:lang w:eastAsia="zh-CN"/>
        </w:rPr>
        <w:t xml:space="preserve">施惠娟</w:t>
      </w:r>
      <w:r/>
    </w:p>
    <w:p>
      <w:pPr>
        <w:ind w:firstLine="422"/>
        <w:spacing w:line="44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合同的签订</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7.1</w:t>
      </w:r>
      <w:r>
        <w:rPr>
          <w:rFonts w:ascii="宋体" w:hAnsi="宋体"/>
          <w:color w:val="auto"/>
          <w:szCs w:val="21"/>
          <w:highlight w:val="none"/>
        </w:rPr>
        <w:t xml:space="preserve">.</w:t>
      </w:r>
      <w:r>
        <w:rPr>
          <w:rFonts w:hint="eastAsia" w:ascii="宋体" w:hAnsi="宋体"/>
          <w:color w:val="auto"/>
          <w:szCs w:val="21"/>
          <w:highlight w:val="none"/>
        </w:rPr>
        <w:t xml:space="preserve">成交供应商应按成交通知书中规定的时间和地点，与采购人签订合同。</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7.2</w:t>
      </w:r>
      <w:r>
        <w:rPr>
          <w:rFonts w:ascii="宋体" w:hAnsi="宋体"/>
          <w:color w:val="auto"/>
          <w:szCs w:val="21"/>
          <w:highlight w:val="none"/>
        </w:rPr>
        <w:t xml:space="preserve">.</w:t>
      </w:r>
      <w:r>
        <w:rPr>
          <w:rFonts w:hint="eastAsia" w:ascii="宋体" w:hAnsi="宋体"/>
          <w:color w:val="auto"/>
          <w:szCs w:val="21"/>
          <w:highlight w:val="none"/>
        </w:rPr>
        <w:t xml:space="preserve">签订合同及合同条款应以磋商文件和成交供应商的磋商响应文件及其澄清承诺文件为依据。</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8</w:t>
      </w:r>
      <w:r>
        <w:rPr>
          <w:rFonts w:ascii="宋体" w:hAnsi="宋体"/>
          <w:b/>
          <w:color w:val="auto"/>
          <w:szCs w:val="21"/>
          <w:highlight w:val="none"/>
        </w:rPr>
        <w:t xml:space="preserve">.</w:t>
      </w:r>
      <w:r>
        <w:rPr>
          <w:rFonts w:hint="eastAsia" w:ascii="宋体" w:hAnsi="宋体" w:cs="宋体"/>
          <w:b/>
          <w:color w:val="auto"/>
          <w:sz w:val="24"/>
          <w:szCs w:val="21"/>
          <w:highlight w:val="none"/>
        </w:rPr>
        <w:t xml:space="preserve">★</w:t>
      </w:r>
      <w:r>
        <w:rPr>
          <w:rFonts w:hint="eastAsia" w:ascii="宋体" w:hAnsi="宋体"/>
          <w:b/>
          <w:color w:val="auto"/>
          <w:szCs w:val="21"/>
          <w:highlight w:val="none"/>
        </w:rPr>
        <w:t xml:space="preserve">磋商保证金：无，响应文件中须提供投标（响应）保证承诺书，否则为无效投标。</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19</w:t>
      </w:r>
      <w:r>
        <w:rPr>
          <w:rFonts w:ascii="宋体" w:hAnsi="宋体"/>
          <w:b/>
          <w:color w:val="auto"/>
          <w:szCs w:val="21"/>
          <w:highlight w:val="none"/>
        </w:rPr>
        <w:t xml:space="preserve">.</w:t>
      </w:r>
      <w:r>
        <w:rPr>
          <w:rFonts w:hint="eastAsia" w:ascii="宋体" w:hAnsi="宋体"/>
          <w:b/>
          <w:color w:val="auto"/>
          <w:szCs w:val="21"/>
          <w:highlight w:val="none"/>
        </w:rPr>
        <w:t xml:space="preserve">代理服务费：</w:t>
      </w:r>
      <w:r/>
    </w:p>
    <w:p>
      <w:pPr>
        <w:ind w:firstLine="422"/>
        <w:jc w:val="left"/>
        <w:spacing w:line="400" w:lineRule="exact"/>
        <w:widowControl/>
        <w:rPr>
          <w:rFonts w:ascii="宋体" w:hAnsi="宋体" w:cs="宋体"/>
          <w:b/>
          <w:color w:val="auto"/>
          <w:szCs w:val="21"/>
          <w:highlight w:val="none"/>
        </w:rPr>
      </w:pPr>
      <w:r>
        <w:rPr>
          <w:rFonts w:hint="eastAsia" w:ascii="宋体" w:hAnsi="宋体"/>
          <w:color w:val="auto"/>
          <w:szCs w:val="21"/>
          <w:highlight w:val="none"/>
          <w:lang w:val="zh-CN"/>
        </w:rPr>
        <w:t xml:space="preserve">19.1.</w:t>
      </w:r>
      <w:r>
        <w:rPr>
          <w:rFonts w:hint="eastAsia" w:ascii="宋体" w:hAnsi="宋体" w:cs="宋体"/>
          <w:b/>
          <w:color w:val="auto"/>
          <w:szCs w:val="21"/>
          <w:highlight w:val="none"/>
          <w:lang w:val="zh-CN"/>
        </w:rPr>
        <w:t xml:space="preserve">本项目代理服务费</w:t>
      </w:r>
      <w:r>
        <w:rPr>
          <w:rFonts w:hint="eastAsia" w:ascii="宋体" w:hAnsi="宋体" w:cs="宋体"/>
          <w:b/>
          <w:color w:val="auto"/>
          <w:szCs w:val="21"/>
          <w:highlight w:val="none"/>
        </w:rPr>
        <w:t xml:space="preserve">经吴江区中介超市竞价</w:t>
      </w:r>
      <w:r>
        <w:rPr>
          <w:rFonts w:hint="eastAsia" w:ascii="宋体" w:hAnsi="宋体" w:cs="宋体"/>
          <w:b/>
          <w:color w:val="auto"/>
          <w:szCs w:val="21"/>
          <w:highlight w:val="none"/>
          <w:lang w:val="zh-CN"/>
        </w:rPr>
        <w:t xml:space="preserve">：本项目代理服务费为人民币</w:t>
      </w:r>
      <w:r>
        <w:rPr>
          <w:rFonts w:hint="eastAsia" w:ascii="宋体" w:hAnsi="宋体" w:cs="宋体"/>
          <w:b/>
          <w:color w:val="auto"/>
          <w:szCs w:val="21"/>
          <w:highlight w:val="none"/>
        </w:rPr>
        <w:t xml:space="preserve">。</w:t>
      </w:r>
      <w:r/>
    </w:p>
    <w:p>
      <w:pPr>
        <w:ind w:firstLine="420"/>
        <w:spacing w:line="440" w:lineRule="exact"/>
        <w:rPr>
          <w:color w:val="auto"/>
          <w:szCs w:val="21"/>
          <w:highlight w:val="none"/>
          <w:lang w:val="zh-CN"/>
        </w:rPr>
      </w:pPr>
      <w:r>
        <w:rPr>
          <w:rFonts w:hint="eastAsia" w:ascii="宋体" w:hAnsi="宋体"/>
          <w:color w:val="auto"/>
          <w:szCs w:val="21"/>
          <w:highlight w:val="none"/>
        </w:rPr>
        <w:t xml:space="preserve">19.2.</w:t>
      </w:r>
      <w:r>
        <w:rPr>
          <w:color w:val="auto"/>
          <w:szCs w:val="21"/>
          <w:highlight w:val="none"/>
          <w:lang w:val="zh-CN"/>
        </w:rPr>
        <w:t xml:space="preserve">缴纳账户：</w:t>
      </w:r>
      <w:r/>
    </w:p>
    <w:p>
      <w:pPr>
        <w:ind w:left="-2" w:firstLine="420"/>
        <w:spacing w:line="440" w:lineRule="exact"/>
        <w:rPr>
          <w:color w:val="auto"/>
          <w:szCs w:val="21"/>
          <w:highlight w:val="none"/>
          <w:lang w:val="zh-CN"/>
        </w:rPr>
      </w:pPr>
      <w:r>
        <w:rPr>
          <w:color w:val="auto"/>
          <w:szCs w:val="21"/>
          <w:highlight w:val="none"/>
          <w:lang w:val="zh-CN"/>
        </w:rPr>
        <w:t xml:space="preserve">账  户：</w:t>
      </w:r>
      <w:r>
        <w:rPr>
          <w:rFonts w:hint="eastAsia"/>
          <w:color w:val="auto"/>
          <w:szCs w:val="21"/>
          <w:highlight w:val="none"/>
          <w:lang w:val="zh-CN"/>
        </w:rPr>
        <w:t xml:space="preserve">名源工程招投标咨询（苏州）有限公司</w:t>
      </w:r>
      <w:r/>
    </w:p>
    <w:p>
      <w:pPr>
        <w:ind w:left="-2" w:firstLine="420"/>
        <w:spacing w:line="440" w:lineRule="exact"/>
        <w:rPr>
          <w:color w:val="auto"/>
          <w:szCs w:val="21"/>
          <w:highlight w:val="none"/>
          <w:lang w:val="zh-CN"/>
        </w:rPr>
      </w:pPr>
      <w:r>
        <w:rPr>
          <w:color w:val="auto"/>
          <w:szCs w:val="21"/>
          <w:highlight w:val="none"/>
          <w:lang w:val="zh-CN"/>
        </w:rPr>
        <w:t xml:space="preserve">开户行：</w:t>
      </w:r>
      <w:r>
        <w:rPr>
          <w:rFonts w:hint="eastAsia"/>
          <w:color w:val="auto"/>
          <w:szCs w:val="21"/>
          <w:highlight w:val="none"/>
          <w:lang w:val="zh-CN"/>
        </w:rPr>
        <w:t xml:space="preserve">苏州农村商业银行营业部</w:t>
      </w:r>
      <w:r/>
    </w:p>
    <w:p>
      <w:pPr>
        <w:ind w:left="-2" w:firstLine="420"/>
        <w:spacing w:line="440" w:lineRule="exact"/>
        <w:rPr>
          <w:b/>
          <w:color w:val="auto"/>
          <w:szCs w:val="21"/>
          <w:highlight w:val="none"/>
        </w:rPr>
      </w:pPr>
      <w:r>
        <w:rPr>
          <w:color w:val="auto"/>
          <w:szCs w:val="21"/>
          <w:highlight w:val="none"/>
          <w:lang w:val="zh-CN"/>
        </w:rPr>
        <w:t xml:space="preserve">账  号：</w:t>
      </w:r>
      <w:r>
        <w:rPr>
          <w:rFonts w:hint="eastAsia" w:ascii="宋体" w:hAnsi="宋体" w:cs="宋体"/>
          <w:color w:val="auto"/>
          <w:szCs w:val="21"/>
          <w:highlight w:val="none"/>
          <w:lang w:val="zh-CN"/>
        </w:rPr>
        <w:t xml:space="preserve">0706 6780 1112 0101 2517 41</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20</w:t>
      </w:r>
      <w:r>
        <w:rPr>
          <w:rFonts w:ascii="宋体" w:hAnsi="宋体"/>
          <w:b/>
          <w:color w:val="auto"/>
          <w:szCs w:val="21"/>
          <w:highlight w:val="none"/>
        </w:rPr>
        <w:t xml:space="preserve">.</w:t>
      </w:r>
      <w:r>
        <w:rPr>
          <w:rFonts w:hint="eastAsia" w:ascii="宋体" w:hAnsi="宋体"/>
          <w:b/>
          <w:color w:val="auto"/>
          <w:szCs w:val="21"/>
          <w:highlight w:val="none"/>
        </w:rPr>
        <w:t xml:space="preserve">未尽事宜：</w:t>
      </w:r>
      <w:r>
        <w:rPr>
          <w:rFonts w:hint="eastAsia" w:ascii="宋体" w:hAnsi="宋体"/>
          <w:color w:val="auto"/>
          <w:szCs w:val="21"/>
          <w:highlight w:val="none"/>
        </w:rPr>
        <w:t xml:space="preserve">按</w:t>
      </w:r>
      <w:r>
        <w:rPr>
          <w:rFonts w:ascii="宋体" w:hAnsi="宋体"/>
          <w:color w:val="auto"/>
          <w:szCs w:val="21"/>
          <w:highlight w:val="none"/>
        </w:rPr>
        <w:t xml:space="preserve">《中华人民共和国政府采购法》</w:t>
      </w:r>
      <w:r>
        <w:rPr>
          <w:rFonts w:hint="eastAsia" w:ascii="宋体" w:hAnsi="宋体"/>
          <w:color w:val="auto"/>
          <w:szCs w:val="21"/>
          <w:highlight w:val="none"/>
        </w:rPr>
        <w:t xml:space="preserve">及其他有关的法律法规的规定执行。</w:t>
      </w:r>
      <w:r/>
    </w:p>
    <w:p>
      <w:pPr>
        <w:ind w:left="-2" w:firstLine="422"/>
        <w:spacing w:line="440" w:lineRule="exact"/>
        <w:rPr>
          <w:rFonts w:ascii="宋体" w:hAnsi="宋体" w:cs="宋体"/>
          <w:b/>
          <w:color w:val="auto"/>
          <w:szCs w:val="21"/>
          <w:highlight w:val="none"/>
        </w:rPr>
      </w:pPr>
      <w:r>
        <w:rPr>
          <w:rFonts w:hint="eastAsia" w:ascii="宋体" w:hAnsi="宋体" w:cs="宋体"/>
          <w:b/>
          <w:bCs/>
          <w:color w:val="auto"/>
          <w:szCs w:val="21"/>
          <w:highlight w:val="none"/>
        </w:rPr>
        <w:t xml:space="preserve">21.备注：本文件打“★”为实质性条款。</w:t>
      </w:r>
      <w:r/>
    </w:p>
    <w:p>
      <w:pPr>
        <w:pStyle w:val="1029"/>
        <w:spacing w:after="312"/>
        <w:rPr>
          <w:rFonts w:ascii="Times New Roman" w:hAnsi="Times New Roman"/>
          <w:color w:val="auto"/>
          <w:sz w:val="44"/>
          <w:szCs w:val="44"/>
          <w:highlight w:val="none"/>
          <w:lang w:val="zh-CN"/>
        </w:rPr>
        <w:sectPr>
          <w:footnotePr/>
          <w:endnotePr/>
          <w:type w:val="nextPage"/>
          <w:pgSz w:w="11906" w:h="16838" w:orient="portrait"/>
          <w:pgMar w:top="1440" w:right="1558" w:bottom="1440" w:left="1588" w:header="737" w:footer="1247" w:gutter="113"/>
          <w:cols w:num="1" w:sep="0" w:space="1701" w:equalWidth="1"/>
          <w:docGrid w:linePitch="360"/>
          <w:titlePg/>
        </w:sectPr>
        <w:outlineLvl w:val="0"/>
      </w:pPr>
      <w:r>
        <w:rPr>
          <w:rFonts w:ascii="Times New Roman" w:hAnsi="Times New Roman"/>
          <w:color w:val="auto"/>
          <w:sz w:val="44"/>
          <w:szCs w:val="44"/>
          <w:highlight w:val="none"/>
          <w:lang w:val="zh-CN"/>
        </w:rPr>
      </w:r>
      <w:r/>
    </w:p>
    <w:p>
      <w:pPr>
        <w:rPr>
          <w:color w:val="auto"/>
          <w:highlight w:val="none"/>
          <w:lang w:val="zh-CN"/>
        </w:rPr>
      </w:pPr>
      <w:r>
        <w:rPr>
          <w:color w:val="auto"/>
          <w:highlight w:val="none"/>
          <w:lang w:val="zh-CN"/>
        </w:rPr>
      </w:r>
      <w:r/>
    </w:p>
    <w:p>
      <w:pPr>
        <w:pStyle w:val="1029"/>
        <w:spacing w:after="312"/>
        <w:rPr>
          <w:rFonts w:ascii="Times New Roman" w:hAnsi="Times New Roman"/>
          <w:color w:val="auto"/>
          <w:sz w:val="44"/>
          <w:szCs w:val="44"/>
          <w:highlight w:val="none"/>
          <w:lang w:val="zh-CN"/>
        </w:rPr>
        <w:outlineLvl w:val="0"/>
      </w:pPr>
      <w:r/>
      <w:bookmarkStart w:id="18" w:name="_Toc61514583"/>
      <w:r/>
      <w:bookmarkStart w:id="19" w:name="_Toc18252"/>
      <w:r/>
      <w:bookmarkStart w:id="20" w:name="_Toc16385"/>
      <w:r/>
      <w:bookmarkStart w:id="21" w:name="_Toc19605"/>
      <w:r>
        <w:rPr>
          <w:rFonts w:ascii="Times New Roman" w:hAnsi="Times New Roman"/>
          <w:color w:val="auto"/>
          <w:sz w:val="44"/>
          <w:szCs w:val="44"/>
          <w:highlight w:val="none"/>
          <w:lang w:val="zh-CN"/>
        </w:rPr>
        <w:t xml:space="preserve">第</w:t>
      </w:r>
      <w:r>
        <w:rPr>
          <w:rFonts w:ascii="Times New Roman" w:hAnsi="Times New Roman"/>
          <w:color w:val="auto"/>
          <w:sz w:val="44"/>
          <w:szCs w:val="44"/>
          <w:highlight w:val="none"/>
        </w:rPr>
        <w:t xml:space="preserve">三</w:t>
      </w:r>
      <w:r>
        <w:rPr>
          <w:rFonts w:ascii="Times New Roman" w:hAnsi="Times New Roman"/>
          <w:color w:val="auto"/>
          <w:sz w:val="44"/>
          <w:szCs w:val="44"/>
          <w:highlight w:val="none"/>
          <w:lang w:val="zh-CN"/>
        </w:rPr>
        <w:t xml:space="preserve">章 响应文件格式</w:t>
      </w:r>
      <w:bookmarkEnd w:id="18"/>
      <w:r/>
      <w:bookmarkEnd w:id="19"/>
      <w:r/>
      <w:bookmarkEnd w:id="20"/>
      <w:r/>
      <w:bookmarkEnd w:id="21"/>
      <w:r/>
      <w:r/>
    </w:p>
    <w:p>
      <w:pPr>
        <w:spacing w:line="360" w:lineRule="auto"/>
        <w:rPr>
          <w:rFonts w:ascii="宋体" w:hAnsi="宋体" w:cs="宋体"/>
          <w:b/>
          <w:bCs/>
          <w:color w:val="auto"/>
          <w:szCs w:val="21"/>
          <w:highlight w:val="none"/>
          <w:lang w:val="zh-CN"/>
        </w:rPr>
      </w:pPr>
      <w:r/>
      <w:bookmarkStart w:id="22" w:name="_Toc22628"/>
      <w:r/>
      <w:bookmarkStart w:id="23" w:name="_Toc61514584"/>
      <w:r>
        <w:rPr>
          <w:rFonts w:hint="eastAsia" w:ascii="宋体" w:hAnsi="宋体" w:cs="宋体"/>
          <w:b/>
          <w:bCs/>
          <w:color w:val="auto"/>
          <w:szCs w:val="21"/>
          <w:highlight w:val="none"/>
          <w:lang w:val="zh-CN"/>
        </w:rPr>
        <w:t xml:space="preserve">说明：</w:t>
      </w:r>
      <w:r/>
    </w:p>
    <w:p>
      <w:pPr>
        <w:ind w:firstLine="464"/>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对本章所有的响应文件格式 ，响应人可根据自身情况进行补充和修改，但补充和修改不得造成与本格式内容有实质性的违背。</w:t>
      </w:r>
      <w:r/>
    </w:p>
    <w:p>
      <w:pPr>
        <w:pStyle w:val="994"/>
        <w:rPr>
          <w:rFonts w:hAnsi="宋体" w:cs="宋体"/>
          <w:b w:val="0"/>
          <w:bCs w:val="0"/>
          <w:color w:val="auto"/>
          <w:szCs w:val="21"/>
          <w:highlight w:val="none"/>
        </w:rPr>
      </w:pPr>
      <w:r/>
      <w:bookmarkStart w:id="24" w:name="_Toc25589"/>
      <w:r/>
      <w:bookmarkStart w:id="25" w:name="_Toc10739"/>
      <w:r>
        <w:rPr>
          <w:rFonts w:hint="eastAsia" w:hAnsi="宋体" w:cs="宋体"/>
          <w:b w:val="0"/>
          <w:bCs w:val="0"/>
          <w:color w:val="auto"/>
          <w:szCs w:val="21"/>
          <w:highlight w:val="none"/>
        </w:rPr>
        <w:br w:type="page" w:clear="all"/>
      </w:r>
      <w:bookmarkEnd w:id="24"/>
      <w:r/>
      <w:bookmarkEnd w:id="25"/>
      <w:r>
        <w:rPr>
          <w:rFonts w:hint="eastAsia" w:ascii="宋体" w:hAnsi="宋体" w:eastAsia="宋体" w:cs="宋体"/>
          <w:color w:val="auto"/>
          <w:sz w:val="21"/>
          <w:szCs w:val="21"/>
          <w:highlight w:val="none"/>
        </w:rPr>
        <w:t xml:space="preserve">格式1：法定代表人授权委托书</w:t>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法定代表人授权委托书</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（供应商名称）  </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的法定代表人（负责人），现授权委托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（姓名）为我公司授权代表（即代理人），以本公司的名义参加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名源工程招投标咨询（苏州）有限公司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号的磋商活动。授权代表在磋商活动过程中所签署的一切文件和处理与这有关的一切事务，我均予以承认。</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ind w:firstLine="84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法定代表人（负责人）：（签字或盖章）</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rPr>
          <w:rFonts w:ascii="宋体" w:hAnsi="宋体" w:cs="宋体"/>
          <w:b/>
          <w:color w:val="auto"/>
          <w:szCs w:val="21"/>
          <w:highlight w:val="none"/>
        </w:rPr>
      </w:pPr>
      <w:r>
        <w:rPr>
          <w:rFonts w:ascii="宋体" w:hAnsi="宋体" w:cs="宋体"/>
          <w:b/>
          <w:color w:val="auto"/>
          <w:szCs w:val="21"/>
          <w:highlight w:val="none"/>
        </w:rPr>
      </w:r>
      <w:r/>
    </w:p>
    <w:p>
      <w:pPr>
        <w:ind w:firstLine="3409"/>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15"/>
        <w:rPr>
          <w:rFonts w:hAnsi="宋体" w:cs="宋体"/>
          <w:b/>
          <w:bCs/>
          <w:color w:val="auto"/>
          <w:szCs w:val="21"/>
          <w:highlight w:val="none"/>
        </w:rPr>
        <w:outlineLvl w:val="1"/>
      </w:pPr>
      <w:r>
        <w:rPr>
          <w:rFonts w:hint="eastAsia" w:hAnsi="宋体" w:cs="宋体"/>
          <w:color w:val="auto"/>
          <w:szCs w:val="21"/>
          <w:highlight w:val="none"/>
        </w:rPr>
        <w:br w:type="page" w:clear="all"/>
      </w:r>
      <w:bookmarkStart w:id="26" w:name="_Toc7536"/>
      <w:r/>
      <w:bookmarkStart w:id="27" w:name="_Toc22821"/>
      <w:r>
        <w:rPr>
          <w:rFonts w:hint="eastAsia" w:hAnsi="宋体" w:cs="宋体"/>
          <w:b/>
          <w:bCs/>
          <w:color w:val="auto"/>
          <w:szCs w:val="21"/>
          <w:highlight w:val="none"/>
        </w:rPr>
        <w:t xml:space="preserve">格式2：磋商响应</w:t>
      </w:r>
      <w:bookmarkEnd w:id="26"/>
      <w:r/>
      <w:bookmarkEnd w:id="27"/>
      <w:r>
        <w:rPr>
          <w:rFonts w:hint="eastAsia" w:hAnsi="宋体" w:cs="宋体"/>
          <w:b/>
          <w:bCs/>
          <w:color w:val="auto"/>
          <w:szCs w:val="21"/>
          <w:highlight w:val="none"/>
        </w:rPr>
        <w:t xml:space="preserve">函</w:t>
      </w:r>
      <w:r/>
    </w:p>
    <w:p>
      <w:pPr>
        <w:jc w:val="center"/>
        <w:spacing w:line="360" w:lineRule="auto"/>
        <w:rPr>
          <w:rFonts w:ascii="宋体" w:hAnsi="宋体" w:cs="宋体"/>
          <w:b/>
          <w:bCs/>
          <w:color w:val="auto"/>
          <w:spacing w:val="20"/>
          <w:szCs w:val="21"/>
          <w:highlight w:val="none"/>
        </w:rPr>
      </w:pPr>
      <w:r>
        <w:rPr>
          <w:rFonts w:hint="eastAsia" w:ascii="宋体" w:hAnsi="宋体" w:cs="宋体"/>
          <w:b/>
          <w:bCs/>
          <w:color w:val="auto"/>
          <w:szCs w:val="21"/>
          <w:highlight w:val="none"/>
        </w:rPr>
        <w:t xml:space="preserve">磋商响应函</w:t>
      </w:r>
      <w:r/>
    </w:p>
    <w:p>
      <w:pPr>
        <w:pStyle w:val="1015"/>
        <w:jc w:val="left"/>
        <w:spacing w:line="400" w:lineRule="exact"/>
        <w:rPr>
          <w:rFonts w:hAnsi="宋体" w:cs="宋体"/>
          <w:color w:val="auto"/>
          <w:szCs w:val="16"/>
          <w:highlight w:val="none"/>
        </w:rPr>
      </w:pPr>
      <w:r>
        <w:rPr>
          <w:rFonts w:hint="eastAsia" w:hAnsi="宋体" w:cs="宋体"/>
          <w:color w:val="auto"/>
          <w:szCs w:val="16"/>
          <w:highlight w:val="none"/>
          <w:u w:val="single"/>
          <w:lang w:eastAsia="zh-CN"/>
        </w:rPr>
        <w:t xml:space="preserve">名源工程招投标咨询（苏州）有限公司</w:t>
      </w:r>
      <w:r>
        <w:rPr>
          <w:rFonts w:hint="eastAsia" w:hAnsi="宋体" w:cs="宋体"/>
          <w:color w:val="auto"/>
          <w:szCs w:val="16"/>
          <w:highlight w:val="none"/>
        </w:rPr>
        <w:t xml:space="preserve">： </w:t>
      </w:r>
      <w:r/>
    </w:p>
    <w:p>
      <w:pPr>
        <w:pStyle w:val="1015"/>
        <w:jc w:val="left"/>
        <w:spacing w:line="400" w:lineRule="exact"/>
        <w:rPr>
          <w:rFonts w:hAnsi="宋体" w:cs="宋体"/>
          <w:color w:val="auto"/>
          <w:szCs w:val="21"/>
          <w:highlight w:val="none"/>
        </w:rPr>
      </w:pPr>
      <w:r>
        <w:rPr>
          <w:rFonts w:hAnsi="宋体" w:cs="宋体"/>
          <w:color w:val="auto"/>
          <w:szCs w:val="21"/>
          <w:highlight w:val="none"/>
        </w:rPr>
      </w:r>
      <w:r/>
    </w:p>
    <w:p>
      <w:pPr>
        <w:pStyle w:val="1066"/>
        <w:ind w:firstLine="420"/>
        <w:jc w:val="left"/>
        <w:spacing w:line="460" w:lineRule="exact"/>
        <w:tabs>
          <w:tab w:val="left" w:pos="3780" w:leader="none"/>
        </w:tabs>
        <w:rPr>
          <w:rFonts w:hAnsi="宋体" w:eastAsia="宋体" w:cs="宋体"/>
          <w:color w:val="auto"/>
          <w:sz w:val="21"/>
          <w:szCs w:val="21"/>
          <w:highlight w:val="none"/>
        </w:rPr>
      </w:pPr>
      <w:r>
        <w:rPr>
          <w:rFonts w:hint="eastAsia" w:hAnsi="宋体" w:eastAsia="宋体" w:cs="宋体"/>
          <w:color w:val="auto"/>
          <w:sz w:val="21"/>
          <w:szCs w:val="21"/>
          <w:highlight w:val="none"/>
        </w:rPr>
        <w:t xml:space="preserve">我们收到贵方</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号磋商文件，经仔细阅读和研究，我们决定参加磋商活动。</w:t>
      </w:r>
      <w:r/>
    </w:p>
    <w:p>
      <w:pPr>
        <w:pStyle w:val="1066"/>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1.我们愿意按照磋商采购文件的一切要求，提供满足本次采购的</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服务内容，我公司的响应报价包括完成该项服务全部内容所需要的一切费用。</w:t>
      </w:r>
      <w:r/>
    </w:p>
    <w:p>
      <w:pPr>
        <w:pStyle w:val="1066"/>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2.如果我们的磋商响应文件被接受，我们将严格履行磋商文件中规定的每一项要求，按期、按质、按量履行合同的义务。</w:t>
      </w:r>
      <w:r/>
    </w:p>
    <w:p>
      <w:pPr>
        <w:pStyle w:val="1066"/>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3.我们已详细阅读全部磋商文件，包括更正公告(如有)，对磋商文件及更正公告(如有)无任何异议。</w:t>
      </w:r>
      <w:r/>
    </w:p>
    <w:p>
      <w:pPr>
        <w:pStyle w:val="1066"/>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4.我们同意按磋商文件中的规定，本响应文件的有效期限自提交响应文件截止时间之日起</w:t>
      </w:r>
      <w:r>
        <w:rPr>
          <w:rFonts w:hint="eastAsia" w:hAnsi="宋体" w:eastAsia="宋体" w:cs="宋体"/>
          <w:color w:val="auto"/>
          <w:sz w:val="21"/>
          <w:szCs w:val="21"/>
          <w:highlight w:val="none"/>
          <w:u w:val="single"/>
        </w:rPr>
        <w:t xml:space="preserve"> 90 </w:t>
      </w:r>
      <w:r>
        <w:rPr>
          <w:rFonts w:hint="eastAsia" w:hAnsi="宋体" w:eastAsia="宋体" w:cs="宋体"/>
          <w:color w:val="auto"/>
          <w:sz w:val="21"/>
          <w:szCs w:val="21"/>
          <w:highlight w:val="none"/>
        </w:rPr>
        <w:t xml:space="preserve">天。</w:t>
      </w:r>
      <w:r/>
    </w:p>
    <w:p>
      <w:pPr>
        <w:pStyle w:val="1066"/>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5.我们愿意提供采购单位在磋商文件中要求的相关资料。</w:t>
      </w:r>
      <w:r/>
    </w:p>
    <w:p>
      <w:pPr>
        <w:pStyle w:val="1066"/>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6.我们愿意遵守磋商文件中所列的收费标准。</w:t>
      </w:r>
      <w:r/>
    </w:p>
    <w:p>
      <w:pPr>
        <w:pStyle w:val="1066"/>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7.我们承诺该响应文件在磋商开始后的全过程中保持有效，不作任何更改和变动。</w:t>
      </w:r>
      <w:r/>
    </w:p>
    <w:p>
      <w:pPr>
        <w:pStyle w:val="1066"/>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8.我们承诺我公司符合磋商文件供应商须知中“合格供应商的基本、特定条件”的要求，若与真实情况不符，本公司愿意承担由此而产生的一切后果。</w:t>
      </w:r>
      <w:r/>
    </w:p>
    <w:p>
      <w:pPr>
        <w:pStyle w:val="1066"/>
        <w:ind w:firstLine="420"/>
        <w:jc w:val="left"/>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1066"/>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所有有关磋商文件的函电，请按下列地址联系：</w:t>
      </w:r>
      <w:r/>
    </w:p>
    <w:p>
      <w:pPr>
        <w:pStyle w:val="1066"/>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供应商名称（公章）：               联系人：</w:t>
      </w:r>
      <w:r/>
    </w:p>
    <w:p>
      <w:pPr>
        <w:pStyle w:val="1066"/>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法定代表人或</w:t>
      </w:r>
      <w:r>
        <w:rPr>
          <w:rFonts w:hint="eastAsia" w:hAnsi="宋体" w:eastAsia="宋体" w:cs="宋体"/>
          <w:color w:val="auto"/>
          <w:sz w:val="21"/>
          <w:szCs w:val="21"/>
          <w:highlight w:val="none"/>
        </w:rPr>
        <w:t xml:space="preserve">被授权</w:t>
      </w:r>
      <w:r>
        <w:rPr>
          <w:rFonts w:hint="eastAsia" w:hAnsi="宋体" w:eastAsia="宋体" w:cs="宋体"/>
          <w:color w:val="auto"/>
          <w:sz w:val="21"/>
          <w:szCs w:val="21"/>
          <w:highlight w:val="none"/>
          <w:lang w:val="zh-CN"/>
        </w:rPr>
        <w:t xml:space="preserve">人：（签字或盖章）</w:t>
      </w:r>
      <w:r/>
    </w:p>
    <w:p>
      <w:pPr>
        <w:pStyle w:val="1066"/>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1066"/>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1066"/>
        <w:ind w:firstLine="420"/>
        <w:jc w:val="left"/>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电子邮箱：</w:t>
      </w:r>
      <w:r/>
    </w:p>
    <w:p>
      <w:pPr>
        <w:pStyle w:val="1066"/>
        <w:jc w:val="left"/>
        <w:spacing w:line="440" w:lineRule="exact"/>
        <w:rPr>
          <w:rFonts w:hAnsi="宋体" w:eastAsia="宋体" w:cs="宋体"/>
          <w:color w:val="auto"/>
          <w:sz w:val="21"/>
          <w:szCs w:val="21"/>
          <w:highlight w:val="none"/>
        </w:rPr>
      </w:pPr>
      <w:r>
        <w:rPr>
          <w:rFonts w:hAnsi="宋体" w:eastAsia="宋体" w:cs="宋体"/>
          <w:color w:val="auto"/>
          <w:sz w:val="21"/>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pStyle w:val="1015"/>
        <w:rPr>
          <w:rFonts w:hAnsi="宋体" w:cs="宋体"/>
          <w:b/>
          <w:bCs/>
          <w:color w:val="auto"/>
          <w:szCs w:val="21"/>
          <w:highlight w:val="none"/>
        </w:rPr>
        <w:outlineLvl w:val="1"/>
      </w:pPr>
      <w:r>
        <w:rPr>
          <w:rFonts w:hint="eastAsia" w:hAnsi="宋体" w:cs="宋体"/>
          <w:color w:val="auto"/>
          <w:szCs w:val="21"/>
          <w:highlight w:val="none"/>
        </w:rPr>
        <w:br w:type="page" w:clear="all"/>
      </w:r>
      <w:bookmarkStart w:id="28" w:name="_Toc926"/>
      <w:r/>
      <w:bookmarkStart w:id="29" w:name="_Toc3469"/>
      <w:r>
        <w:rPr>
          <w:rFonts w:hint="eastAsia" w:hAnsi="宋体" w:cs="宋体"/>
          <w:b/>
          <w:bCs/>
          <w:color w:val="auto"/>
          <w:szCs w:val="21"/>
          <w:highlight w:val="none"/>
        </w:rPr>
        <w:t xml:space="preserve">格式3：</w:t>
      </w:r>
      <w:bookmarkEnd w:id="28"/>
      <w:r/>
      <w:bookmarkEnd w:id="29"/>
      <w:r/>
      <w:bookmarkStart w:id="30" w:name="_Toc23009"/>
      <w:r>
        <w:rPr>
          <w:rFonts w:hint="eastAsia" w:hAnsi="宋体" w:cs="宋体"/>
          <w:b/>
          <w:bCs/>
          <w:color w:val="auto"/>
          <w:szCs w:val="21"/>
          <w:highlight w:val="none"/>
        </w:rPr>
        <w:t xml:space="preserve">开标一览表（磋商报价表）</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pStyle w:val="1072"/>
        <w:jc w:val="center"/>
        <w:spacing w:after="156"/>
        <w:rPr>
          <w:rFonts w:hAnsi="宋体" w:cs="宋体"/>
          <w:b/>
          <w:bCs/>
          <w:color w:val="auto"/>
          <w:szCs w:val="21"/>
          <w:highlight w:val="none"/>
        </w:rPr>
      </w:pPr>
      <w:r>
        <w:rPr>
          <w:rFonts w:hint="eastAsia" w:hAnsi="宋体" w:cs="宋体"/>
          <w:b/>
          <w:bCs/>
          <w:color w:val="auto"/>
          <w:szCs w:val="21"/>
          <w:highlight w:val="none"/>
        </w:rPr>
        <w:t xml:space="preserve">开标一览表（磋商报价表）</w:t>
      </w:r>
      <w:r/>
    </w:p>
    <w:p>
      <w:pPr>
        <w:pStyle w:val="1072"/>
        <w:spacing w:after="156"/>
        <w:rPr>
          <w:rFonts w:hAnsi="宋体" w:cs="宋体"/>
          <w:color w:val="auto"/>
          <w:szCs w:val="21"/>
          <w:highlight w:val="none"/>
        </w:rPr>
      </w:pPr>
      <w:r>
        <w:rPr>
          <w:rFonts w:hint="eastAsia" w:hAnsi="宋体" w:cs="宋体"/>
          <w:color w:val="auto"/>
          <w:szCs w:val="21"/>
          <w:highlight w:val="none"/>
        </w:rPr>
        <w:t xml:space="preserve">项目编号：</w:t>
      </w:r>
      <w:r/>
    </w:p>
    <w:p>
      <w:pPr>
        <w:pStyle w:val="1072"/>
        <w:spacing w:after="156"/>
        <w:rPr>
          <w:rFonts w:hAnsi="宋体" w:cs="宋体"/>
          <w:color w:val="auto"/>
          <w:szCs w:val="21"/>
          <w:highlight w:val="none"/>
        </w:rPr>
      </w:pPr>
      <w:r>
        <w:rPr>
          <w:rFonts w:hint="eastAsia" w:hAnsi="宋体" w:cs="宋体"/>
          <w:color w:val="auto"/>
          <w:szCs w:val="21"/>
          <w:highlight w:val="none"/>
        </w:rPr>
        <w:t xml:space="preserve">标段名称：    </w:t>
      </w:r>
      <w:r/>
    </w:p>
    <w:tbl>
      <w:tblPr>
        <w:tblStyle w:val="812"/>
        <w:tblW w:w="886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1"/>
        <w:gridCol w:w="2974"/>
        <w:gridCol w:w="2714"/>
        <w:gridCol w:w="2302"/>
      </w:tblGrid>
      <w:tr>
        <w:trPr>
          <w:cantSplit/>
          <w:jc w:val="center"/>
          <w:trHeight w:val="680"/>
        </w:trPr>
        <w:tc>
          <w:tcPr>
            <w:tcW w:w="871" w:type="dxa"/>
            <w:vAlign w:val="center"/>
            <w:textDirection w:val="lrTb"/>
            <w:noWrap w:val="false"/>
          </w:tcPr>
          <w:p>
            <w:pPr>
              <w:jc w:val="center"/>
              <w:spacing w:line="36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2974" w:type="dxa"/>
            <w:vAlign w:val="center"/>
            <w:textDirection w:val="lrTb"/>
            <w:noWrap w:val="false"/>
          </w:tcPr>
          <w:p>
            <w:pPr>
              <w:jc w:val="center"/>
              <w:spacing w:line="360" w:lineRule="exact"/>
              <w:rPr>
                <w:rFonts w:ascii="宋体" w:hAnsi="宋体"/>
                <w:b/>
                <w:bCs/>
                <w:color w:val="auto"/>
                <w:szCs w:val="21"/>
                <w:highlight w:val="none"/>
              </w:rPr>
            </w:pPr>
            <w:r>
              <w:rPr>
                <w:rFonts w:hint="eastAsia" w:ascii="宋体" w:hAnsi="宋体"/>
                <w:color w:val="auto"/>
                <w:szCs w:val="21"/>
                <w:highlight w:val="none"/>
              </w:rPr>
              <w:t xml:space="preserve">项目名称</w:t>
            </w:r>
            <w:r/>
          </w:p>
        </w:tc>
        <w:tc>
          <w:tcPr>
            <w:tcW w:w="2714" w:type="dxa"/>
            <w:vAlign w:val="center"/>
            <w:textDirection w:val="lrTb"/>
            <w:noWrap w:val="false"/>
          </w:tcPr>
          <w:p>
            <w:pPr>
              <w:jc w:val="center"/>
              <w:spacing w:line="360" w:lineRule="exact"/>
              <w:rPr>
                <w:rFonts w:ascii="宋体" w:hAnsi="宋体"/>
                <w:color w:val="auto"/>
                <w:szCs w:val="21"/>
                <w:highlight w:val="none"/>
              </w:rPr>
            </w:pPr>
            <w:r>
              <w:rPr>
                <w:rFonts w:hint="eastAsia" w:ascii="宋体" w:hAnsi="宋体"/>
                <w:color w:val="auto"/>
                <w:szCs w:val="21"/>
                <w:highlight w:val="none"/>
              </w:rPr>
              <w:t xml:space="preserve">投标报价（元）</w:t>
            </w:r>
            <w:r/>
          </w:p>
        </w:tc>
        <w:tc>
          <w:tcPr>
            <w:tcW w:w="2302" w:type="dxa"/>
            <w:vAlign w:val="center"/>
            <w:textDirection w:val="lrTb"/>
            <w:noWrap w:val="false"/>
          </w:tcPr>
          <w:p>
            <w:pPr>
              <w:jc w:val="center"/>
              <w:spacing w:line="360" w:lineRule="exact"/>
              <w:rPr>
                <w:rFonts w:ascii="宋体" w:hAnsi="宋体"/>
                <w:color w:val="auto"/>
                <w:szCs w:val="21"/>
                <w:highlight w:val="none"/>
              </w:rPr>
            </w:pPr>
            <w:r>
              <w:rPr>
                <w:rFonts w:hint="eastAsia" w:ascii="宋体" w:hAnsi="宋体"/>
                <w:color w:val="auto"/>
                <w:szCs w:val="21"/>
                <w:highlight w:val="none"/>
              </w:rPr>
              <w:t xml:space="preserve">合同履行期限</w:t>
            </w:r>
            <w:r/>
          </w:p>
        </w:tc>
      </w:tr>
      <w:tr>
        <w:trPr>
          <w:cantSplit/>
          <w:jc w:val="center"/>
          <w:trHeight w:val="680"/>
        </w:trPr>
        <w:tc>
          <w:tcPr>
            <w:tcW w:w="871" w:type="dxa"/>
            <w:vAlign w:val="center"/>
            <w:textDirection w:val="lrTb"/>
            <w:noWrap w:val="false"/>
          </w:tcPr>
          <w:p>
            <w:pPr>
              <w:jc w:val="center"/>
              <w:spacing w:line="360" w:lineRule="exact"/>
              <w:rPr>
                <w:rFonts w:ascii="宋体" w:hAnsi="宋体"/>
                <w:color w:val="auto"/>
                <w:szCs w:val="21"/>
                <w:highlight w:val="none"/>
              </w:rPr>
            </w:pPr>
            <w:r>
              <w:rPr>
                <w:rFonts w:hint="eastAsia" w:ascii="宋体" w:hAnsi="宋体"/>
                <w:color w:val="auto"/>
                <w:szCs w:val="21"/>
                <w:highlight w:val="none"/>
              </w:rPr>
              <w:t xml:space="preserve">1</w:t>
            </w:r>
            <w:r/>
          </w:p>
        </w:tc>
        <w:tc>
          <w:tcPr>
            <w:tcW w:w="2974"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714"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302"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r>
            <w:r/>
          </w:p>
        </w:tc>
      </w:tr>
      <w:tr>
        <w:trPr>
          <w:cantSplit/>
          <w:jc w:val="center"/>
          <w:trHeight w:val="680"/>
        </w:trPr>
        <w:tc>
          <w:tcPr>
            <w:gridSpan w:val="4"/>
            <w:tcW w:w="8861" w:type="dxa"/>
            <w:vAlign w:val="center"/>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rPr>
              <w:t xml:space="preserve">总价（大写）：人民币                                小写：      元</w:t>
            </w:r>
            <w:r/>
          </w:p>
        </w:tc>
      </w:tr>
      <w:tr>
        <w:trPr>
          <w:cantSplit/>
          <w:jc w:val="center"/>
          <w:trHeight w:val="680"/>
        </w:trPr>
        <w:tc>
          <w:tcPr>
            <w:gridSpan w:val="4"/>
            <w:tcW w:w="8861" w:type="dxa"/>
            <w:vAlign w:val="center"/>
            <w:textDirection w:val="lrTb"/>
            <w:noWrap w:val="false"/>
          </w:tcPr>
          <w:p>
            <w:pPr>
              <w:spacing w:line="360" w:lineRule="auto"/>
              <w:widowControl/>
              <w:rPr>
                <w:rFonts w:cs="宋体"/>
                <w:color w:val="auto"/>
                <w:szCs w:val="21"/>
                <w:highlight w:val="none"/>
              </w:rPr>
            </w:pPr>
            <w:r>
              <w:rPr>
                <w:rFonts w:hint="eastAsia" w:cs="宋体"/>
                <w:color w:val="auto"/>
                <w:szCs w:val="21"/>
                <w:highlight w:val="none"/>
              </w:rPr>
              <w:t xml:space="preserve">是否小微</w:t>
            </w:r>
            <w:r>
              <w:rPr>
                <w:rFonts w:hint="eastAsia" w:ascii="宋体" w:hAnsi="宋体"/>
                <w:color w:val="auto"/>
                <w:szCs w:val="21"/>
                <w:highlight w:val="none"/>
              </w:rPr>
              <w:t xml:space="preserve">企业  : □小型      □微型   </w:t>
            </w:r>
            <w:r>
              <w:rPr>
                <w:rFonts w:ascii="宋体" w:hAnsi="宋体"/>
                <w:color w:val="auto"/>
                <w:szCs w:val="21"/>
                <w:highlight w:val="none"/>
              </w:rPr>
              <w:t xml:space="preserve">  </w:t>
            </w:r>
            <w:r>
              <w:rPr>
                <w:rFonts w:hint="eastAsia" w:ascii="宋体" w:hAnsi="宋体"/>
                <w:color w:val="auto"/>
                <w:szCs w:val="21"/>
                <w:highlight w:val="none"/>
              </w:rPr>
              <w:t xml:space="preserve">□否</w:t>
            </w:r>
            <w:r/>
          </w:p>
          <w:p>
            <w:pPr>
              <w:spacing w:line="360" w:lineRule="exact"/>
              <w:rPr>
                <w:rFonts w:ascii="宋体" w:hAnsi="宋体"/>
                <w:color w:val="auto"/>
                <w:szCs w:val="21"/>
                <w:highlight w:val="none"/>
              </w:rPr>
            </w:pPr>
            <w:r>
              <w:rPr>
                <w:rFonts w:hint="eastAsia" w:ascii="宋体" w:hAnsi="宋体"/>
                <w:color w:val="auto"/>
                <w:szCs w:val="21"/>
                <w:highlight w:val="none"/>
              </w:rPr>
              <w:t xml:space="preserve">是否残疾人或监狱企业：□小型     □微型     □否</w:t>
            </w:r>
            <w:r/>
          </w:p>
        </w:tc>
      </w:tr>
    </w:tbl>
    <w:p>
      <w:pPr>
        <w:spacing w:line="360" w:lineRule="auto"/>
        <w:rPr>
          <w:rFonts w:hAnsi="宋体" w:cs="宋体"/>
          <w:color w:val="auto"/>
          <w:szCs w:val="21"/>
          <w:highlight w:val="none"/>
        </w:rPr>
      </w:pPr>
      <w:r>
        <w:rPr>
          <w:rFonts w:hAnsi="宋体" w:cs="宋体"/>
          <w:color w:val="auto"/>
          <w:szCs w:val="21"/>
          <w:highlight w:val="none"/>
        </w:rPr>
      </w:r>
      <w:r/>
    </w:p>
    <w:p>
      <w:pPr>
        <w:spacing w:line="480" w:lineRule="auto"/>
        <w:rPr>
          <w:rFonts w:hAnsi="宋体" w:cs="宋体"/>
          <w:color w:val="auto"/>
          <w:szCs w:val="21"/>
          <w:highlight w:val="none"/>
        </w:rPr>
      </w:pPr>
      <w:r>
        <w:rPr>
          <w:rFonts w:hint="eastAsia" w:hAnsi="宋体" w:cs="宋体"/>
          <w:color w:val="auto"/>
          <w:szCs w:val="21"/>
          <w:highlight w:val="none"/>
        </w:rPr>
        <w:t xml:space="preserve">磋商响应单位：（单位盖章）</w:t>
      </w:r>
      <w:r/>
    </w:p>
    <w:p>
      <w:pPr>
        <w:spacing w:line="48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spacing w:line="480" w:lineRule="auto"/>
        <w:rPr>
          <w:rFonts w:hAnsi="宋体" w:cs="宋体"/>
          <w:color w:val="auto"/>
          <w:szCs w:val="21"/>
          <w:highlight w:val="none"/>
        </w:rPr>
      </w:pPr>
      <w:r>
        <w:rPr>
          <w:rFonts w:hint="eastAsia" w:hAnsi="宋体" w:cs="宋体"/>
          <w:color w:val="auto"/>
          <w:szCs w:val="21"/>
          <w:highlight w:val="none"/>
        </w:rPr>
        <w:t xml:space="preserve">日期：         年         月       日</w:t>
      </w:r>
      <w:r/>
    </w:p>
    <w:p>
      <w:pPr>
        <w:pStyle w:val="836"/>
        <w:rPr>
          <w:rFonts w:cs="宋体"/>
          <w:color w:val="auto"/>
          <w:szCs w:val="21"/>
          <w:highlight w:val="none"/>
        </w:rPr>
      </w:pPr>
      <w:r>
        <w:rPr>
          <w:rFonts w:cs="宋体"/>
          <w:color w:val="auto"/>
          <w:szCs w:val="21"/>
          <w:highlight w:val="none"/>
        </w:rPr>
      </w:r>
      <w:r/>
    </w:p>
    <w:p>
      <w:pPr>
        <w:rPr>
          <w:color w:val="auto"/>
          <w:highlight w:val="none"/>
        </w:rPr>
      </w:pPr>
      <w:r>
        <w:rPr>
          <w:color w:val="auto"/>
          <w:highlight w:val="none"/>
        </w:rPr>
      </w:r>
      <w:r/>
    </w:p>
    <w:p>
      <w:pPr>
        <w:pStyle w:val="1072"/>
        <w:spacing w:line="480" w:lineRule="auto"/>
        <w:rPr>
          <w:rFonts w:hAnsi="宋体" w:cs="宋体"/>
          <w:color w:val="auto"/>
          <w:highlight w:val="none"/>
        </w:rPr>
      </w:pPr>
      <w:r>
        <w:rPr>
          <w:rFonts w:hint="eastAsia" w:hAnsi="宋体" w:cs="宋体"/>
          <w:color w:val="auto"/>
          <w:highlight w:val="none"/>
        </w:rPr>
        <w:t xml:space="preserve">说明：1、供应商未按照本报价表格式进行报价，其响应文件将被拒绝。</w:t>
      </w:r>
      <w:r/>
    </w:p>
    <w:p>
      <w:pPr>
        <w:pStyle w:val="1072"/>
        <w:ind w:firstLine="630"/>
        <w:spacing w:line="480" w:lineRule="auto"/>
        <w:rPr>
          <w:rFonts w:hAnsi="宋体" w:cs="宋体"/>
          <w:color w:val="auto"/>
          <w:highlight w:val="none"/>
        </w:rPr>
      </w:pPr>
      <w:r>
        <w:rPr>
          <w:rFonts w:hint="eastAsia" w:hAnsi="宋体" w:cs="宋体"/>
          <w:color w:val="auto"/>
          <w:highlight w:val="none"/>
        </w:rPr>
        <w:t xml:space="preserve">2、供应商根据企业类型，请自行在所属“□”栏上打“√”。</w:t>
      </w:r>
      <w:r/>
    </w:p>
    <w:p>
      <w:pPr>
        <w:pStyle w:val="1072"/>
        <w:ind w:firstLine="630"/>
        <w:spacing w:line="480" w:lineRule="auto"/>
        <w:rPr>
          <w:rFonts w:hAnsi="宋体" w:cs="宋体"/>
          <w:color w:val="auto"/>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hAnsi="宋体" w:cs="宋体"/>
          <w:color w:val="auto"/>
          <w:highlight w:val="none"/>
        </w:rPr>
        <w:t xml:space="preserve">3、本表中的报价为综合报价应</w:t>
      </w:r>
      <w:r>
        <w:rPr>
          <w:rFonts w:hint="eastAsia" w:hAnsi="宋体" w:cs="宋体"/>
          <w:color w:val="auto"/>
          <w:highlight w:val="none"/>
          <w:lang w:eastAsia="zh-CN"/>
        </w:rPr>
        <w:t xml:space="preserve">包括完成该项工作所需的服务管理内容、通讯、服装、胸卡、办公设备、耗材、各种税费、人工、保险、劳保、维护、利润、税金、政策性文件规定及合同包含的所有风险（如人员工资、食材上涨等）、责任等各项应有费用</w:t>
      </w:r>
      <w:r>
        <w:rPr>
          <w:rFonts w:hint="eastAsia" w:hAnsi="宋体" w:cs="宋体"/>
          <w:color w:val="auto"/>
          <w:highlight w:val="none"/>
        </w:rPr>
        <w:t xml:space="preserve">。</w:t>
      </w:r>
      <w:r/>
    </w:p>
    <w:p>
      <w:pPr>
        <w:pStyle w:val="1067"/>
        <w:rPr>
          <w:rFonts w:ascii="宋体" w:hAnsi="宋体" w:cs="宋体"/>
          <w:b/>
          <w:bCs/>
          <w:color w:val="auto"/>
          <w:sz w:val="21"/>
          <w:szCs w:val="21"/>
          <w:highlight w:val="none"/>
        </w:rPr>
        <w:outlineLvl w:val="1"/>
      </w:pPr>
      <w:r/>
      <w:bookmarkStart w:id="31" w:name="_Toc18106"/>
      <w:r>
        <w:rPr>
          <w:rFonts w:hint="eastAsia" w:ascii="宋体" w:hAnsi="宋体" w:cs="宋体"/>
          <w:b/>
          <w:bCs/>
          <w:color w:val="auto"/>
          <w:sz w:val="21"/>
          <w:szCs w:val="21"/>
          <w:highlight w:val="none"/>
        </w:rPr>
        <w:t xml:space="preserve">格式4：磋商报价分析表</w:t>
      </w:r>
      <w:r/>
    </w:p>
    <w:p>
      <w:pPr>
        <w:pStyle w:val="1067"/>
        <w:rPr>
          <w:rFonts w:ascii="宋体" w:hAnsi="宋体" w:cs="宋体"/>
          <w:b/>
          <w:bCs/>
          <w:color w:val="auto"/>
          <w:sz w:val="21"/>
          <w:szCs w:val="21"/>
          <w:highlight w:val="none"/>
        </w:rPr>
        <w:outlineLvl w:val="1"/>
      </w:pPr>
      <w:r>
        <w:rPr>
          <w:rFonts w:ascii="宋体" w:hAnsi="宋体" w:cs="宋体"/>
          <w:b/>
          <w:bCs/>
          <w:color w:val="auto"/>
          <w:sz w:val="21"/>
          <w:szCs w:val="21"/>
          <w:highlight w:val="none"/>
        </w:rPr>
      </w:r>
      <w:r/>
    </w:p>
    <w:p>
      <w:pPr>
        <w:pStyle w:val="1067"/>
        <w:jc w:val="center"/>
        <w:spacing w:after="312"/>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磋商报价分析表</w:t>
      </w:r>
      <w:r/>
    </w:p>
    <w:p>
      <w:pPr>
        <w:pStyle w:val="1066"/>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项目编号：</w:t>
      </w:r>
      <w:r/>
    </w:p>
    <w:p>
      <w:pPr>
        <w:pStyle w:val="1066"/>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标段名称：</w:t>
      </w:r>
      <w:r/>
    </w:p>
    <w:tbl>
      <w:tblPr>
        <w:tblStyle w:val="812"/>
        <w:tblW w:w="88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65"/>
        <w:gridCol w:w="2628"/>
        <w:gridCol w:w="1132"/>
        <w:gridCol w:w="1159"/>
        <w:gridCol w:w="1393"/>
        <w:gridCol w:w="1559"/>
      </w:tblGrid>
      <w:tr>
        <w:trPr>
          <w:cantSplit/>
          <w:jc w:val="center"/>
        </w:trPr>
        <w:tc>
          <w:tcPr>
            <w:tcW w:w="965"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序号</w:t>
            </w:r>
            <w:r/>
          </w:p>
        </w:tc>
        <w:tc>
          <w:tcPr>
            <w:tcW w:w="262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内容</w:t>
            </w:r>
            <w:r/>
          </w:p>
        </w:tc>
        <w:tc>
          <w:tcPr>
            <w:tcW w:w="11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单位</w:t>
            </w:r>
            <w:r/>
          </w:p>
        </w:tc>
        <w:tc>
          <w:tcPr>
            <w:tcW w:w="1159"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数量</w:t>
            </w:r>
            <w:r/>
          </w:p>
        </w:tc>
        <w:tc>
          <w:tcPr>
            <w:tcW w:w="139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单价（元）</w:t>
            </w:r>
            <w:r/>
          </w:p>
        </w:tc>
        <w:tc>
          <w:tcPr>
            <w:tcW w:w="1559"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总价（元）</w:t>
            </w:r>
            <w:r/>
          </w:p>
        </w:tc>
      </w:tr>
      <w:tr>
        <w:trPr>
          <w:cantSplit/>
          <w:jc w:val="center"/>
        </w:trPr>
        <w:tc>
          <w:tcPr>
            <w:tcW w:w="965" w:type="dxa"/>
            <w:vAlign w:val="center"/>
            <w:textDirection w:val="lrTb"/>
            <w:noWrap w:val="false"/>
          </w:tcPr>
          <w:p>
            <w:pPr>
              <w:jc w:val="center"/>
              <w:spacing w:line="400" w:lineRule="exact"/>
              <w:rPr>
                <w:rFonts w:hAnsi="宋体" w:cs="宋体"/>
                <w:color w:val="auto"/>
                <w:szCs w:val="20"/>
                <w:highlight w:val="none"/>
              </w:rPr>
            </w:pPr>
            <w:r>
              <w:rPr>
                <w:rFonts w:hint="eastAsia" w:ascii="宋体" w:hAnsi="宋体" w:cs="宋体"/>
                <w:color w:val="auto"/>
                <w:szCs w:val="21"/>
                <w:highlight w:val="none"/>
              </w:rPr>
              <w:t xml:space="preserve">1</w:t>
            </w:r>
            <w:r/>
          </w:p>
        </w:tc>
        <w:tc>
          <w:tcPr>
            <w:tcW w:w="2628" w:type="dxa"/>
            <w:vAlign w:val="center"/>
            <w:textDirection w:val="lrTb"/>
            <w:noWrap w:val="false"/>
          </w:tcPr>
          <w:p>
            <w:pPr>
              <w:pStyle w:val="1107"/>
              <w:ind w:left="0" w:firstLine="0"/>
              <w:jc w:val="left"/>
              <w:rPr>
                <w:rFonts w:ascii="宋体" w:hAnsi="宋体" w:eastAsia="楷体_GB2312" w:cs="宋体"/>
                <w:color w:val="auto"/>
                <w:sz w:val="24"/>
                <w:szCs w:val="20"/>
                <w:highlight w:val="none"/>
              </w:rPr>
            </w:pPr>
            <w:r>
              <w:rPr>
                <w:rFonts w:hint="eastAsia" w:ascii="宋体" w:hAnsi="宋体" w:eastAsia="宋体" w:cs="宋体"/>
                <w:color w:val="000000"/>
                <w:sz w:val="21"/>
                <w:szCs w:val="21"/>
                <w:highlight w:val="none"/>
              </w:rPr>
              <w:t xml:space="preserve">人工费</w:t>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tcW w:w="965" w:type="dxa"/>
            <w:vAlign w:val="center"/>
            <w:textDirection w:val="lrTb"/>
            <w:noWrap w:val="false"/>
          </w:tcPr>
          <w:p>
            <w:pPr>
              <w:jc w:val="center"/>
              <w:spacing w:line="400" w:lineRule="exact"/>
              <w:rPr>
                <w:rFonts w:hAnsi="宋体" w:cs="宋体"/>
                <w:color w:val="auto"/>
                <w:szCs w:val="20"/>
                <w:highlight w:val="none"/>
              </w:rPr>
            </w:pPr>
            <w:r>
              <w:rPr>
                <w:rFonts w:hint="eastAsia" w:ascii="宋体" w:hAnsi="宋体" w:cs="宋体"/>
                <w:color w:val="auto"/>
                <w:szCs w:val="21"/>
                <w:highlight w:val="none"/>
              </w:rPr>
              <w:t xml:space="preserve">2</w:t>
            </w:r>
            <w:r/>
          </w:p>
        </w:tc>
        <w:tc>
          <w:tcPr>
            <w:tcW w:w="2628" w:type="dxa"/>
            <w:vAlign w:val="center"/>
            <w:textDirection w:val="lrTb"/>
            <w:noWrap w:val="false"/>
          </w:tcPr>
          <w:p>
            <w:pPr>
              <w:pStyle w:val="1107"/>
              <w:ind w:left="0" w:firstLine="0"/>
              <w:jc w:val="left"/>
              <w:rPr>
                <w:rFonts w:ascii="宋体" w:hAnsi="宋体" w:eastAsia="楷体_GB2312" w:cs="宋体"/>
                <w:color w:val="auto"/>
                <w:sz w:val="24"/>
                <w:szCs w:val="20"/>
                <w:highlight w:val="none"/>
              </w:rPr>
            </w:pPr>
            <w:r>
              <w:rPr>
                <w:rFonts w:hint="eastAsia" w:ascii="宋体" w:hAnsi="宋体" w:eastAsia="宋体" w:cs="宋体"/>
                <w:color w:val="000000"/>
                <w:sz w:val="21"/>
                <w:szCs w:val="21"/>
                <w:highlight w:val="none"/>
                <w:lang w:val="en-US" w:eastAsia="zh-CN"/>
              </w:rPr>
              <w:t xml:space="preserve">福利</w:t>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tcW w:w="965" w:type="dxa"/>
            <w:vAlign w:val="center"/>
            <w:textDirection w:val="lrTb"/>
            <w:noWrap w:val="false"/>
          </w:tcPr>
          <w:p>
            <w:pPr>
              <w:jc w:val="center"/>
              <w:spacing w:line="400" w:lineRule="exact"/>
              <w:rPr>
                <w:rFonts w:hAnsi="宋体" w:cs="宋体"/>
                <w:color w:val="auto"/>
                <w:szCs w:val="20"/>
                <w:highlight w:val="none"/>
              </w:rPr>
            </w:pPr>
            <w:r>
              <w:rPr>
                <w:rFonts w:hint="eastAsia" w:ascii="宋体" w:hAnsi="宋体" w:cs="宋体"/>
                <w:color w:val="auto"/>
                <w:szCs w:val="21"/>
                <w:highlight w:val="none"/>
              </w:rPr>
              <w:t xml:space="preserve">3</w:t>
            </w:r>
            <w:r/>
          </w:p>
        </w:tc>
        <w:tc>
          <w:tcPr>
            <w:tcW w:w="2628" w:type="dxa"/>
            <w:vAlign w:val="center"/>
            <w:textDirection w:val="lrTb"/>
            <w:noWrap w:val="false"/>
          </w:tcPr>
          <w:p>
            <w:pPr>
              <w:pStyle w:val="1107"/>
              <w:ind w:left="0" w:firstLine="0"/>
              <w:jc w:val="left"/>
              <w:rPr>
                <w:rFonts w:ascii="宋体" w:hAnsi="宋体" w:eastAsia="楷体_GB2312" w:cs="宋体"/>
                <w:color w:val="auto"/>
                <w:sz w:val="24"/>
                <w:szCs w:val="20"/>
                <w:highlight w:val="none"/>
              </w:rPr>
            </w:pPr>
            <w:r>
              <w:rPr>
                <w:rFonts w:hint="eastAsia" w:ascii="宋体" w:hAnsi="宋体" w:eastAsia="宋体" w:cs="宋体"/>
                <w:color w:val="000000"/>
                <w:sz w:val="21"/>
                <w:szCs w:val="21"/>
                <w:highlight w:val="none"/>
              </w:rPr>
              <w:t xml:space="preserve">劳动保险</w:t>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tcW w:w="965" w:type="dxa"/>
            <w:vAlign w:val="center"/>
            <w:textDirection w:val="lrTb"/>
            <w:noWrap w:val="false"/>
          </w:tcPr>
          <w:p>
            <w:pPr>
              <w:jc w:val="center"/>
              <w:spacing w:line="400" w:lineRule="exact"/>
              <w:rPr>
                <w:rFonts w:hAnsi="宋体" w:cs="宋体"/>
                <w:color w:val="auto"/>
                <w:szCs w:val="20"/>
                <w:highlight w:val="none"/>
              </w:rPr>
            </w:pPr>
            <w:r>
              <w:rPr>
                <w:rFonts w:hint="eastAsia" w:ascii="宋体" w:hAnsi="宋体" w:cs="宋体"/>
                <w:color w:val="auto"/>
                <w:szCs w:val="21"/>
                <w:highlight w:val="none"/>
              </w:rPr>
              <w:t xml:space="preserve">4</w:t>
            </w:r>
            <w:r/>
          </w:p>
        </w:tc>
        <w:tc>
          <w:tcPr>
            <w:tcW w:w="2628" w:type="dxa"/>
            <w:vAlign w:val="center"/>
            <w:textDirection w:val="lrTb"/>
            <w:noWrap w:val="false"/>
          </w:tcPr>
          <w:p>
            <w:pPr>
              <w:pStyle w:val="1107"/>
              <w:ind w:left="0" w:firstLine="0"/>
              <w:jc w:val="left"/>
              <w:rPr>
                <w:rFonts w:ascii="宋体" w:hAnsi="宋体" w:eastAsia="楷体_GB2312" w:cs="宋体"/>
                <w:color w:val="auto"/>
                <w:sz w:val="24"/>
                <w:szCs w:val="20"/>
                <w:highlight w:val="none"/>
              </w:rPr>
            </w:pPr>
            <w:r>
              <w:rPr>
                <w:rFonts w:hint="eastAsia" w:ascii="宋体" w:hAnsi="宋体" w:eastAsia="宋体" w:cs="宋体"/>
                <w:color w:val="000000"/>
                <w:sz w:val="21"/>
                <w:szCs w:val="21"/>
                <w:highlight w:val="none"/>
              </w:rPr>
              <w:t xml:space="preserve">管理费</w:t>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tcW w:w="965" w:type="dxa"/>
            <w:vAlign w:val="center"/>
            <w:textDirection w:val="lrTb"/>
            <w:noWrap w:val="false"/>
          </w:tcPr>
          <w:p>
            <w:pPr>
              <w:jc w:val="center"/>
              <w:spacing w:line="400" w:lineRule="exact"/>
              <w:rPr>
                <w:rFonts w:hAnsi="宋体" w:cs="宋体"/>
                <w:color w:val="auto"/>
                <w:szCs w:val="20"/>
                <w:highlight w:val="none"/>
              </w:rPr>
            </w:pPr>
            <w:r>
              <w:rPr>
                <w:rFonts w:hint="eastAsia" w:ascii="宋体" w:hAnsi="宋体" w:cs="宋体"/>
                <w:color w:val="auto"/>
                <w:szCs w:val="21"/>
                <w:highlight w:val="none"/>
              </w:rPr>
              <w:t xml:space="preserve">5</w:t>
            </w:r>
            <w:r/>
          </w:p>
        </w:tc>
        <w:tc>
          <w:tcPr>
            <w:tcW w:w="2628" w:type="dxa"/>
            <w:vAlign w:val="center"/>
            <w:textDirection w:val="lrTb"/>
            <w:noWrap w:val="false"/>
          </w:tcPr>
          <w:p>
            <w:pPr>
              <w:pStyle w:val="1107"/>
              <w:ind w:left="0" w:firstLine="0"/>
              <w:jc w:val="left"/>
              <w:rPr>
                <w:rFonts w:ascii="宋体" w:hAnsi="宋体" w:eastAsia="楷体_GB2312" w:cs="宋体"/>
                <w:color w:val="auto"/>
                <w:sz w:val="24"/>
                <w:szCs w:val="20"/>
                <w:highlight w:val="none"/>
              </w:rPr>
            </w:pPr>
            <w:r>
              <w:rPr>
                <w:rFonts w:hint="eastAsia" w:ascii="宋体" w:hAnsi="宋体" w:eastAsia="宋体" w:cs="宋体"/>
                <w:color w:val="000000"/>
                <w:sz w:val="21"/>
                <w:szCs w:val="21"/>
                <w:highlight w:val="none"/>
              </w:rPr>
              <w:t xml:space="preserve">利润</w:t>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tcW w:w="965" w:type="dxa"/>
            <w:vAlign w:val="center"/>
            <w:textDirection w:val="lrTb"/>
            <w:noWrap w:val="false"/>
          </w:tcPr>
          <w:p>
            <w:pPr>
              <w:jc w:val="center"/>
              <w:spacing w:line="400" w:lineRule="exact"/>
              <w:rPr>
                <w:rFonts w:hAnsi="宋体" w:cs="宋体"/>
                <w:color w:val="auto"/>
                <w:szCs w:val="20"/>
                <w:highlight w:val="none"/>
              </w:rPr>
            </w:pPr>
            <w:r>
              <w:rPr>
                <w:rFonts w:hint="eastAsia" w:ascii="宋体" w:hAnsi="宋体" w:cs="宋体"/>
                <w:color w:val="auto"/>
                <w:szCs w:val="21"/>
                <w:highlight w:val="none"/>
              </w:rPr>
              <w:t xml:space="preserve">6</w:t>
            </w:r>
            <w:r/>
          </w:p>
        </w:tc>
        <w:tc>
          <w:tcPr>
            <w:tcW w:w="2628" w:type="dxa"/>
            <w:vAlign w:val="center"/>
            <w:textDirection w:val="lrTb"/>
            <w:noWrap w:val="false"/>
          </w:tcPr>
          <w:p>
            <w:pPr>
              <w:pStyle w:val="1107"/>
              <w:ind w:left="0" w:firstLine="0"/>
              <w:jc w:val="left"/>
              <w:rPr>
                <w:rFonts w:ascii="宋体" w:hAnsi="宋体" w:eastAsia="楷体_GB2312" w:cs="宋体"/>
                <w:color w:val="auto"/>
                <w:sz w:val="24"/>
                <w:szCs w:val="20"/>
                <w:highlight w:val="none"/>
              </w:rPr>
            </w:pPr>
            <w:r>
              <w:rPr>
                <w:rFonts w:hint="eastAsia" w:ascii="宋体" w:hAnsi="宋体" w:eastAsia="宋体" w:cs="宋体"/>
                <w:color w:val="000000"/>
                <w:sz w:val="21"/>
                <w:szCs w:val="21"/>
                <w:highlight w:val="none"/>
              </w:rPr>
              <w:t xml:space="preserve">税金</w:t>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tcW w:w="965" w:type="dxa"/>
            <w:vAlign w:val="center"/>
            <w:textDirection w:val="lrTb"/>
            <w:noWrap w:val="false"/>
          </w:tcPr>
          <w:p>
            <w:pPr>
              <w:jc w:val="center"/>
              <w:spacing w:line="400" w:lineRule="exact"/>
              <w:rPr>
                <w:rFonts w:hAnsi="宋体" w:cs="宋体"/>
                <w:color w:val="auto"/>
                <w:szCs w:val="20"/>
                <w:highlight w:val="none"/>
              </w:rPr>
            </w:pPr>
            <w:r>
              <w:rPr>
                <w:rFonts w:hint="eastAsia" w:ascii="宋体" w:hAnsi="宋体" w:cs="宋体"/>
                <w:color w:val="auto"/>
                <w:szCs w:val="21"/>
                <w:highlight w:val="none"/>
              </w:rPr>
              <w:t xml:space="preserve">7</w:t>
            </w:r>
            <w:r/>
          </w:p>
        </w:tc>
        <w:tc>
          <w:tcPr>
            <w:tcW w:w="2628" w:type="dxa"/>
            <w:vAlign w:val="center"/>
            <w:textDirection w:val="lrTb"/>
            <w:noWrap w:val="false"/>
          </w:tcPr>
          <w:p>
            <w:pPr>
              <w:pStyle w:val="1107"/>
              <w:ind w:left="0" w:firstLine="0"/>
              <w:jc w:val="left"/>
              <w:rPr>
                <w:rFonts w:ascii="宋体" w:hAnsi="宋体" w:eastAsia="楷体_GB2312" w:cs="宋体"/>
                <w:color w:val="auto"/>
                <w:sz w:val="24"/>
                <w:szCs w:val="20"/>
                <w:highlight w:val="none"/>
              </w:rPr>
            </w:pPr>
            <w:r>
              <w:rPr>
                <w:rFonts w:hint="eastAsia" w:ascii="宋体" w:hAnsi="宋体" w:eastAsia="宋体" w:cs="宋体"/>
                <w:color w:val="000000"/>
                <w:sz w:val="21"/>
                <w:szCs w:val="21"/>
                <w:highlight w:val="none"/>
              </w:rPr>
              <w:t xml:space="preserve">其他</w:t>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tcW w:w="965" w:type="dxa"/>
            <w:vAlign w:val="center"/>
            <w:textDirection w:val="lrTb"/>
            <w:noWrap w:val="false"/>
          </w:tcPr>
          <w:p>
            <w:pPr>
              <w:jc w:val="center"/>
              <w:spacing w:line="400" w:lineRule="exact"/>
              <w:rPr>
                <w:rFonts w:hAnsi="宋体" w:cs="宋体"/>
                <w:color w:val="auto"/>
                <w:szCs w:val="20"/>
                <w:highlight w:val="none"/>
              </w:rPr>
            </w:pPr>
            <w:r>
              <w:rPr>
                <w:rFonts w:hint="eastAsia" w:ascii="宋体" w:hAnsi="宋体" w:cs="宋体"/>
                <w:color w:val="auto"/>
                <w:szCs w:val="21"/>
                <w:highlight w:val="none"/>
              </w:rPr>
              <w:t xml:space="preserve">8</w:t>
            </w:r>
            <w:r/>
          </w:p>
        </w:tc>
        <w:tc>
          <w:tcPr>
            <w:tcW w:w="2628" w:type="dxa"/>
            <w:vAlign w:val="center"/>
            <w:textDirection w:val="lrTb"/>
            <w:noWrap w:val="false"/>
          </w:tcPr>
          <w:p>
            <w:pPr>
              <w:pStyle w:val="1107"/>
              <w:ind w:left="0" w:firstLine="0"/>
              <w:jc w:val="left"/>
              <w:rPr>
                <w:rFonts w:hint="default" w:ascii="宋体" w:hAnsi="宋体" w:eastAsia="楷体_GB2312" w:cs="宋体"/>
                <w:color w:val="auto"/>
                <w:sz w:val="24"/>
                <w:szCs w:val="20"/>
                <w:highlight w:val="none"/>
                <w:lang w:val="en-US" w:eastAsia="zh-CN"/>
              </w:rPr>
            </w:pPr>
            <w:r>
              <w:rPr>
                <w:rFonts w:hint="eastAsia" w:ascii="宋体" w:hAnsi="宋体" w:eastAsia="楷体_GB2312" w:cs="宋体"/>
                <w:color w:val="auto"/>
                <w:sz w:val="24"/>
                <w:szCs w:val="20"/>
                <w:highlight w:val="none"/>
                <w:lang w:val="en-US" w:eastAsia="zh-CN"/>
              </w:rPr>
              <w:t xml:space="preserve">...</w:t>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tcW w:w="965"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2628" w:type="dxa"/>
            <w:vAlign w:val="center"/>
            <w:textDirection w:val="lrTb"/>
            <w:noWrap w:val="false"/>
          </w:tcPr>
          <w:p>
            <w:pPr>
              <w:jc w:val="center"/>
              <w:widowControl/>
              <w:rPr>
                <w:rFonts w:ascii="宋体" w:hAnsi="宋体" w:cs="宋体"/>
                <w:color w:val="auto"/>
                <w:szCs w:val="20"/>
                <w:highlight w:val="none"/>
              </w:rPr>
            </w:pPr>
            <w:r>
              <w:rPr>
                <w:rFonts w:ascii="宋体" w:hAnsi="宋体" w:cs="宋体"/>
                <w:color w:val="auto"/>
                <w:szCs w:val="20"/>
                <w:highlight w:val="none"/>
              </w:rPr>
            </w:r>
            <w:r/>
          </w:p>
        </w:tc>
        <w:tc>
          <w:tcPr>
            <w:tcW w:w="1132"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393"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59"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Pr>
        <w:tc>
          <w:tcPr>
            <w:gridSpan w:val="6"/>
            <w:tcW w:w="8836"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投标总价（人民币大写）：                                小写：￥</w:t>
            </w:r>
            <w:r/>
          </w:p>
        </w:tc>
      </w:tr>
    </w:tbl>
    <w:p>
      <w:pPr>
        <w:pStyle w:val="1017"/>
        <w:spacing w:line="360" w:lineRule="auto"/>
        <w:rPr>
          <w:rFonts w:cs="宋体"/>
          <w:b/>
          <w:bCs/>
          <w:color w:val="auto"/>
          <w:sz w:val="21"/>
          <w:szCs w:val="21"/>
          <w:highlight w:val="none"/>
        </w:rPr>
        <w:outlineLvl w:val="1"/>
      </w:pPr>
      <w:r>
        <w:rPr>
          <w:rFonts w:cs="宋体"/>
          <w:b/>
          <w:bCs/>
          <w:color w:val="auto"/>
          <w:sz w:val="21"/>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pacing w:val="20"/>
          <w:szCs w:val="21"/>
          <w:highlight w:val="none"/>
        </w:rPr>
        <w:t xml:space="preserve">磋商响应单位</w:t>
      </w:r>
      <w:r>
        <w:rPr>
          <w:rFonts w:hint="eastAsia" w:ascii="宋体" w:hAnsi="宋体" w:cs="宋体"/>
          <w:color w:val="auto"/>
          <w:szCs w:val="21"/>
          <w:highlight w:val="none"/>
        </w:rPr>
        <w:t xml:space="preserve">：（单位盖章）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pStyle w:val="1017"/>
        <w:spacing w:line="360" w:lineRule="auto"/>
        <w:rPr>
          <w:rFonts w:cs="宋体"/>
          <w:color w:val="auto"/>
          <w:sz w:val="21"/>
          <w:szCs w:val="21"/>
          <w:highlight w:val="none"/>
        </w:rPr>
        <w:outlineLvl w:val="1"/>
      </w:pPr>
      <w:r>
        <w:rPr>
          <w:rFonts w:hint="eastAsia" w:cs="宋体"/>
          <w:color w:val="auto"/>
          <w:sz w:val="21"/>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836"/>
        <w:rPr>
          <w:color w:val="auto"/>
          <w:highlight w:val="none"/>
        </w:rPr>
      </w:pPr>
      <w:r>
        <w:rPr>
          <w:color w:val="auto"/>
          <w:highlight w:val="none"/>
        </w:rPr>
      </w:r>
      <w:r/>
    </w:p>
    <w:p>
      <w:pPr>
        <w:pStyle w:val="1017"/>
        <w:spacing w:line="360" w:lineRule="auto"/>
        <w:rPr>
          <w:rFonts w:cs="宋体"/>
          <w:color w:val="auto"/>
          <w:sz w:val="21"/>
          <w:szCs w:val="21"/>
          <w:highlight w:val="none"/>
        </w:rPr>
        <w:outlineLvl w:val="1"/>
      </w:pPr>
      <w:r>
        <w:rPr>
          <w:rFonts w:hint="eastAsia" w:cs="宋体"/>
          <w:color w:val="auto"/>
          <w:sz w:val="21"/>
          <w:szCs w:val="21"/>
          <w:highlight w:val="none"/>
        </w:rPr>
        <w:t xml:space="preserve">注：1、请投标单位按照上述格式分析投标总价，本项投标总价需与磋商投标报价表投标总价一致。如有出现漏报、错报或未报项,均由投标单位自行承担，采购单位不再另行支付其他费用。</w:t>
      </w:r>
      <w:r/>
    </w:p>
    <w:p>
      <w:pPr>
        <w:pStyle w:val="1017"/>
        <w:spacing w:line="360" w:lineRule="auto"/>
        <w:rPr>
          <w:rFonts w:cs="宋体"/>
          <w:color w:val="auto"/>
          <w:sz w:val="21"/>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outlineLvl w:val="1"/>
      </w:pPr>
      <w:r>
        <w:rPr>
          <w:rFonts w:hint="eastAsia" w:cs="宋体"/>
          <w:color w:val="auto"/>
          <w:sz w:val="21"/>
          <w:szCs w:val="21"/>
          <w:highlight w:val="none"/>
        </w:rPr>
        <w:t xml:space="preserve">2、投标单位的《分项报价明细表》应包括完成该项工作所需的服务管理内容、通讯、服装、胸卡、办公设备、耗材、各种税费、人工、保险、劳保、维护、利润、税金、政策性文件规定及合同包含的所有风险（如人员工资、食材上涨等）、责任等各项应有费用。</w:t>
      </w:r>
      <w:r/>
    </w:p>
    <w:p>
      <w:pPr>
        <w:pStyle w:val="1017"/>
        <w:spacing w:line="360" w:lineRule="auto"/>
        <w:rPr>
          <w:rFonts w:cs="宋体"/>
          <w:b/>
          <w:bCs/>
          <w:color w:val="auto"/>
          <w:sz w:val="21"/>
          <w:szCs w:val="21"/>
          <w:highlight w:val="none"/>
        </w:rPr>
        <w:outlineLvl w:val="1"/>
      </w:pPr>
      <w:r>
        <w:rPr>
          <w:rFonts w:hint="eastAsia" w:cs="宋体"/>
          <w:b/>
          <w:bCs/>
          <w:color w:val="auto"/>
          <w:sz w:val="21"/>
          <w:szCs w:val="21"/>
          <w:highlight w:val="none"/>
        </w:rPr>
        <w:t xml:space="preserve">格式5：声明函</w:t>
      </w:r>
      <w:r/>
    </w:p>
    <w:p>
      <w:pPr>
        <w:rPr>
          <w:color w:val="auto"/>
          <w:szCs w:val="21"/>
          <w:highlight w:val="none"/>
        </w:rPr>
      </w:pPr>
      <w:r>
        <w:rPr>
          <w:color w:val="auto"/>
          <w:szCs w:val="21"/>
          <w:highlight w:val="none"/>
        </w:rPr>
      </w:r>
      <w:r/>
    </w:p>
    <w:p>
      <w:pPr>
        <w:jc w:val="center"/>
        <w:rPr>
          <w:b/>
          <w:bCs/>
          <w:color w:val="auto"/>
          <w:szCs w:val="21"/>
          <w:highlight w:val="none"/>
        </w:rPr>
      </w:pPr>
      <w:r>
        <w:rPr>
          <w:rFonts w:hint="eastAsia"/>
          <w:b/>
          <w:bCs/>
          <w:color w:val="auto"/>
          <w:szCs w:val="21"/>
          <w:highlight w:val="none"/>
        </w:rPr>
        <w:t xml:space="preserve">声明函</w:t>
      </w:r>
      <w:r/>
    </w:p>
    <w:p>
      <w:pPr>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t xml:space="preserve">我公司具备履行本项采购合同所必需的设备和专业技术能力</w:t>
      </w:r>
      <w:r>
        <w:rPr>
          <w:rFonts w:hint="eastAsia"/>
          <w:color w:val="auto"/>
          <w:szCs w:val="21"/>
          <w:highlight w:val="none"/>
        </w:rPr>
        <w:t xml:space="preserve">。</w:t>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right="1560" w:firstLine="420"/>
        <w:jc w:val="center"/>
        <w:spacing w:line="580" w:lineRule="exact"/>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单位名称（盖章）：</w:t>
      </w:r>
      <w:r/>
    </w:p>
    <w:p>
      <w:pPr>
        <w:ind w:right="1560" w:firstLine="420"/>
        <w:jc w:val="right"/>
        <w:spacing w:line="580" w:lineRule="exact"/>
        <w:tabs>
          <w:tab w:val="left" w:pos="4860" w:leader="none"/>
        </w:tabs>
        <w:rPr>
          <w:rFonts w:ascii="宋体" w:hAnsi="宋体" w:cs="宋体"/>
          <w:b/>
          <w:bCs/>
          <w:color w:val="auto"/>
          <w:szCs w:val="21"/>
          <w:highlight w:val="none"/>
        </w:rPr>
      </w:pPr>
      <w:r>
        <w:rPr>
          <w:rFonts w:hint="eastAsia" w:ascii="宋体" w:hAnsi="宋体" w:cs="宋体"/>
          <w:color w:val="auto"/>
          <w:szCs w:val="21"/>
          <w:highlight w:val="none"/>
        </w:rPr>
        <w:t xml:space="preserve">                     日期：     年    月    日</w:t>
      </w:r>
      <w:r/>
    </w:p>
    <w:p>
      <w:pPr>
        <w:jc w:val="left"/>
        <w:rPr>
          <w:rFonts w:ascii="宋体" w:hAnsi="宋体" w:cs="宋体"/>
          <w:b/>
          <w:color w:val="auto"/>
          <w:szCs w:val="21"/>
          <w:highlight w:val="none"/>
        </w:rPr>
      </w:pPr>
      <w:r>
        <w:rPr>
          <w:rFonts w:ascii="宋体" w:hAnsi="宋体" w:cs="宋体"/>
          <w:b/>
          <w:color w:val="auto"/>
          <w:szCs w:val="21"/>
          <w:highlight w:val="none"/>
        </w:rPr>
      </w:r>
      <w:r/>
    </w:p>
    <w:p>
      <w:pPr>
        <w:pStyle w:val="1043"/>
        <w:ind w:firstLine="420"/>
        <w:rPr>
          <w:color w:val="auto"/>
          <w:sz w:val="21"/>
          <w:szCs w:val="21"/>
          <w:highlight w:val="none"/>
          <w:lang w:val="en-US"/>
        </w:rPr>
      </w:pPr>
      <w:r>
        <w:rPr>
          <w:color w:val="auto"/>
          <w:sz w:val="21"/>
          <w:szCs w:val="21"/>
          <w:highlight w:val="none"/>
          <w:lang w:val="en-US"/>
        </w:rPr>
      </w:r>
      <w:r/>
    </w:p>
    <w:p>
      <w:pPr>
        <w:pStyle w:val="1043"/>
        <w:ind w:firstLine="420"/>
        <w:rPr>
          <w:color w:val="auto"/>
          <w:sz w:val="21"/>
          <w:szCs w:val="21"/>
          <w:highlight w:val="none"/>
          <w:lang w:val="en-US"/>
        </w:rPr>
      </w:pPr>
      <w:r>
        <w:rPr>
          <w:color w:val="auto"/>
          <w:sz w:val="21"/>
          <w:szCs w:val="21"/>
          <w:highlight w:val="none"/>
          <w:lang w:val="en-US"/>
        </w:rPr>
      </w:r>
      <w:r/>
    </w:p>
    <w:p>
      <w:pPr>
        <w:pStyle w:val="1043"/>
        <w:ind w:firstLine="422"/>
        <w:rPr>
          <w:rFonts w:ascii="宋体" w:hAnsi="宋体" w:cs="宋体"/>
          <w:b/>
          <w:color w:val="auto"/>
          <w:sz w:val="21"/>
          <w:szCs w:val="21"/>
          <w:highlight w:val="none"/>
          <w:lang w:val="en-US"/>
        </w:rPr>
      </w:pPr>
      <w:r>
        <w:rPr>
          <w:rFonts w:ascii="宋体" w:hAnsi="宋体" w:cs="宋体"/>
          <w:b/>
          <w:color w:val="auto"/>
          <w:sz w:val="21"/>
          <w:szCs w:val="21"/>
          <w:highlight w:val="none"/>
          <w:lang w:val="en-US"/>
        </w:rPr>
      </w:r>
      <w:r/>
    </w:p>
    <w:p>
      <w:pPr>
        <w:pStyle w:val="1043"/>
        <w:ind w:firstLine="422"/>
        <w:rPr>
          <w:rFonts w:ascii="宋体" w:hAnsi="宋体" w:cs="宋体"/>
          <w:b/>
          <w:color w:val="auto"/>
          <w:sz w:val="21"/>
          <w:szCs w:val="21"/>
          <w:highlight w:val="none"/>
          <w:lang w:val="en-US"/>
        </w:rPr>
      </w:pPr>
      <w:r>
        <w:rPr>
          <w:rFonts w:ascii="宋体" w:hAnsi="宋体" w:cs="宋体"/>
          <w:b/>
          <w:color w:val="auto"/>
          <w:sz w:val="21"/>
          <w:szCs w:val="21"/>
          <w:highlight w:val="none"/>
          <w:lang w:val="en-US"/>
        </w:rPr>
      </w:r>
      <w:r/>
    </w:p>
    <w:p>
      <w:pPr>
        <w:pStyle w:val="994"/>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格式6：参加政府采购活动前3年内在经营活动中没有重大违法记录的书面声明</w:t>
      </w:r>
      <w:r/>
    </w:p>
    <w:p>
      <w:pPr>
        <w:pStyle w:val="1009"/>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09"/>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09"/>
        <w:jc w:val="cente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声 </w:t>
      </w:r>
      <w:r>
        <w:rPr>
          <w:rFonts w:ascii="宋体" w:hAnsi="宋体" w:cs="宋体"/>
          <w:b/>
          <w:bCs/>
          <w:color w:val="auto"/>
          <w:sz w:val="21"/>
          <w:szCs w:val="21"/>
          <w:highlight w:val="none"/>
        </w:rPr>
        <w:t xml:space="preserve">   </w:t>
      </w:r>
      <w:r>
        <w:rPr>
          <w:rFonts w:hint="eastAsia" w:ascii="宋体" w:hAnsi="宋体" w:cs="宋体"/>
          <w:b/>
          <w:bCs/>
          <w:color w:val="auto"/>
          <w:sz w:val="21"/>
          <w:szCs w:val="21"/>
          <w:highlight w:val="none"/>
        </w:rPr>
        <w:t xml:space="preserve">明</w:t>
      </w:r>
      <w:r/>
    </w:p>
    <w:p>
      <w:pPr>
        <w:pStyle w:val="1009"/>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09"/>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1009"/>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09"/>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09"/>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09"/>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单位名称（盖章）：</w:t>
      </w:r>
      <w:r/>
    </w:p>
    <w:p>
      <w:pPr>
        <w:pStyle w:val="1009"/>
        <w:ind w:firstLine="440"/>
        <w:jc w:val="left"/>
        <w:spacing w:line="440" w:lineRule="exact"/>
        <w:rPr>
          <w:rFonts w:ascii="宋体" w:hAnsi="宋体" w:cs="宋体"/>
          <w:color w:val="auto"/>
          <w:sz w:val="21"/>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日期：     年    月    日</w:t>
      </w:r>
      <w:r/>
    </w:p>
    <w:p>
      <w:pPr>
        <w:pStyle w:val="994"/>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格式7：</w:t>
      </w:r>
      <w:bookmarkEnd w:id="30"/>
      <w:r/>
      <w:bookmarkEnd w:id="31"/>
      <w:r>
        <w:rPr>
          <w:rFonts w:hint="eastAsia" w:ascii="宋体" w:hAnsi="宋体" w:eastAsia="宋体" w:cs="宋体"/>
          <w:color w:val="auto"/>
          <w:sz w:val="21"/>
          <w:szCs w:val="21"/>
          <w:highlight w:val="none"/>
        </w:rPr>
        <w:t xml:space="preserve">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服务条款偏离表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812"/>
        <w:tblW w:w="836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03"/>
        <w:gridCol w:w="2550"/>
        <w:gridCol w:w="1959"/>
        <w:gridCol w:w="1524"/>
      </w:tblGrid>
      <w:tr>
        <w:trPr>
          <w:cantSplit/>
          <w:trHeight w:val="902"/>
        </w:trPr>
        <w:tc>
          <w:tcPr>
            <w:tcW w:w="82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50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255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采购文件服务要求</w:t>
            </w:r>
            <w:r/>
          </w:p>
        </w:tc>
        <w:tc>
          <w:tcPr>
            <w:tcW w:w="195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响应情况</w:t>
            </w:r>
            <w:r/>
          </w:p>
        </w:tc>
        <w:tc>
          <w:tcPr>
            <w:tcW w:w="152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偏离说明</w:t>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说明：</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1.服务条款内容主要是针对响应文件有关的服务要求等内容。</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2.无偏离应在本表“响应情况”栏注明“无服务条款偏离”的字样。</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hAnsi="宋体" w:cs="宋体"/>
          <w:color w:val="auto"/>
          <w:szCs w:val="21"/>
          <w:highlight w:val="none"/>
        </w:rPr>
      </w:pPr>
      <w:r>
        <w:rPr>
          <w:rFonts w:hint="eastAsia" w:hAnsi="宋体" w:cs="宋体"/>
          <w:color w:val="auto"/>
          <w:szCs w:val="21"/>
          <w:highlight w:val="none"/>
        </w:rPr>
        <w:t xml:space="preserve">响应单位（公章）：  </w:t>
      </w:r>
      <w:r/>
    </w:p>
    <w:p>
      <w:pPr>
        <w:jc w:val="left"/>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jc w:val="left"/>
        <w:spacing w:line="360" w:lineRule="auto"/>
        <w:rPr>
          <w:rFonts w:ascii="宋体" w:hAnsi="宋体" w:cs="宋体"/>
          <w:color w:val="auto"/>
          <w:szCs w:val="21"/>
          <w:highlight w:val="none"/>
        </w:rPr>
      </w:pPr>
      <w:r>
        <w:rPr>
          <w:rFonts w:hint="eastAsia"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jc w:val="center"/>
        <w:spacing w:before="156" w:after="468" w:line="360" w:lineRule="auto"/>
        <w:rPr>
          <w:rFonts w:ascii="宋体" w:hAnsi="宋体" w:cs="宋体"/>
          <w:b/>
          <w:bCs/>
          <w:color w:val="auto"/>
          <w:spacing w:val="20"/>
          <w:szCs w:val="21"/>
          <w:highlight w:val="none"/>
        </w:rPr>
      </w:pPr>
      <w:r/>
      <w:bookmarkStart w:id="32" w:name="_Toc21456"/>
      <w:r/>
      <w:bookmarkStart w:id="33" w:name="_Toc4363"/>
      <w:r>
        <w:rPr>
          <w:rFonts w:hint="eastAsia" w:ascii="宋体" w:hAnsi="宋体" w:cs="宋体"/>
          <w:b/>
          <w:bCs/>
          <w:color w:val="auto"/>
          <w:spacing w:val="20"/>
          <w:szCs w:val="21"/>
          <w:highlight w:val="none"/>
        </w:rPr>
        <w:br w:type="page" w:clear="all"/>
      </w:r>
      <w:r>
        <w:rPr>
          <w:rFonts w:hint="eastAsia" w:ascii="宋体" w:hAnsi="宋体" w:cs="宋体"/>
          <w:b/>
          <w:bCs/>
          <w:color w:val="auto"/>
          <w:spacing w:val="20"/>
          <w:szCs w:val="21"/>
          <w:highlight w:val="none"/>
        </w:rPr>
        <w:t xml:space="preserve">商务条款偏离表</w:t>
      </w:r>
      <w:bookmarkEnd w:id="32"/>
      <w:r/>
      <w:bookmarkEnd w:id="33"/>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812"/>
        <w:tblW w:w="83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2075"/>
        <w:gridCol w:w="1611"/>
      </w:tblGrid>
      <w:tr>
        <w:trPr>
          <w:cantSplit/>
          <w:trHeight w:val="902"/>
        </w:trPr>
        <w:tc>
          <w:tcPr>
            <w:tcW w:w="82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69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215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采购文件商务要求</w:t>
            </w:r>
            <w:r/>
          </w:p>
        </w:tc>
        <w:tc>
          <w:tcPr>
            <w:tcW w:w="207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响应情况</w:t>
            </w:r>
            <w:r/>
          </w:p>
        </w:tc>
        <w:tc>
          <w:tcPr>
            <w:tcW w:w="161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服务期限</w:t>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1.商务条款内容主要是针对采购文件有关的付款条件、服务期、合同主要条款等内容。</w:t>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2.无偏离应在本表“响应情况”栏注明“无商务条款偏离”的字样。</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836"/>
        <w:spacing w:before="0"/>
        <w:rPr>
          <w:color w:val="auto"/>
          <w:highlight w:val="none"/>
        </w:rPr>
      </w:pPr>
      <w:r>
        <w:rPr>
          <w:color w:val="auto"/>
          <w:highlight w:val="none"/>
        </w:rPr>
      </w:r>
      <w:r/>
    </w:p>
    <w:p>
      <w:pPr>
        <w:jc w:val="left"/>
        <w:spacing w:line="360" w:lineRule="auto"/>
        <w:rPr>
          <w:rFonts w:hAnsi="宋体" w:cs="宋体"/>
          <w:color w:val="auto"/>
          <w:szCs w:val="21"/>
          <w:highlight w:val="none"/>
        </w:rPr>
      </w:pPr>
      <w:r>
        <w:rPr>
          <w:rFonts w:hint="eastAsia" w:hAnsi="宋体" w:cs="宋体"/>
          <w:color w:val="auto"/>
          <w:szCs w:val="21"/>
          <w:highlight w:val="none"/>
        </w:rPr>
        <w:t xml:space="preserve">响应单位（公章）：  </w:t>
      </w:r>
      <w:r/>
    </w:p>
    <w:p>
      <w:pPr>
        <w:jc w:val="left"/>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jc w:val="left"/>
        <w:spacing w:line="360" w:lineRule="auto"/>
        <w:rPr>
          <w:rFonts w:hAnsi="宋体" w:cs="宋体"/>
          <w:color w:val="auto"/>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hAnsi="宋体" w:cs="宋体"/>
          <w:color w:val="auto"/>
          <w:szCs w:val="21"/>
          <w:highlight w:val="none"/>
        </w:rPr>
        <w:t xml:space="preserve">日期：     年   月   日</w:t>
      </w:r>
      <w:r/>
    </w:p>
    <w:p>
      <w:pPr>
        <w:pStyle w:val="994"/>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格式8：投入本项目主要设备一览表</w:t>
      </w:r>
      <w:r/>
    </w:p>
    <w:p>
      <w:pPr>
        <w:jc w:val="center"/>
        <w:spacing w:after="156"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投入本项目主要设备一览表</w:t>
      </w:r>
      <w:r/>
    </w:p>
    <w:tbl>
      <w:tblPr>
        <w:tblStyle w:val="812"/>
        <w:tblW w:w="88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35"/>
        <w:gridCol w:w="1115"/>
        <w:gridCol w:w="1709"/>
        <w:gridCol w:w="1124"/>
        <w:gridCol w:w="1124"/>
        <w:gridCol w:w="1125"/>
      </w:tblGrid>
      <w:tr>
        <w:trPr>
          <w:trHeight w:val="761" w:hRule="exact"/>
        </w:trPr>
        <w:tc>
          <w:tcPr>
            <w:tcW w:w="727"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1935"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设备名称</w:t>
            </w:r>
            <w:r/>
          </w:p>
        </w:tc>
        <w:tc>
          <w:tcPr>
            <w:tcW w:w="1115"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品牌型号</w:t>
            </w:r>
            <w:r/>
          </w:p>
        </w:tc>
        <w:tc>
          <w:tcPr>
            <w:tcW w:w="1709"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自有或租赁</w:t>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p>
        </w:tc>
        <w:tc>
          <w:tcPr>
            <w:tcW w:w="1125"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463" w:hRule="exact"/>
        </w:trPr>
        <w:tc>
          <w:tcPr>
            <w:tcW w:w="727"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93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1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09"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27"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93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1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09"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27"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93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1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09"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27"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193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1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09"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27"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3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1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09"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27" w:type="dxa"/>
            <w:vAlign w:val="center"/>
            <w:textDirection w:val="lrTb"/>
            <w:noWrap w:val="false"/>
          </w:tcPr>
          <w:p>
            <w:pPr>
              <w:pStyle w:val="100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93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1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09"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4"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25" w:type="dxa"/>
            <w:vAlign w:val="center"/>
            <w:textDirection w:val="lrTb"/>
            <w:noWrap w:val="false"/>
          </w:tcPr>
          <w:p>
            <w:pPr>
              <w:pStyle w:val="1005"/>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color w:val="auto"/>
          <w:highlight w:val="none"/>
          <w:lang w:val="zh-CN"/>
        </w:rPr>
      </w:pPr>
      <w:r>
        <w:rPr>
          <w:color w:val="auto"/>
          <w:highlight w:val="none"/>
          <w:lang w:val="zh-CN"/>
        </w:rPr>
      </w:r>
      <w:r/>
    </w:p>
    <w:p>
      <w:pPr>
        <w:jc w:val="left"/>
        <w:spacing w:line="360" w:lineRule="auto"/>
        <w:rPr>
          <w:rFonts w:hAnsi="宋体" w:cs="宋体"/>
          <w:color w:val="auto"/>
          <w:szCs w:val="21"/>
          <w:highlight w:val="none"/>
        </w:rPr>
      </w:pPr>
      <w:r>
        <w:rPr>
          <w:rFonts w:hint="eastAsia" w:hAnsi="宋体" w:cs="宋体"/>
          <w:color w:val="auto"/>
          <w:szCs w:val="21"/>
          <w:highlight w:val="none"/>
        </w:rPr>
        <w:t xml:space="preserve">响应单位（公章）：  </w:t>
      </w:r>
      <w:r/>
    </w:p>
    <w:p>
      <w:pPr>
        <w:jc w:val="left"/>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jc w:val="left"/>
        <w:spacing w:line="440" w:lineRule="exact"/>
        <w:rPr>
          <w:rFonts w:ascii="宋体" w:hAnsi="宋体" w:cs="宋体"/>
          <w:b/>
          <w:bCs/>
          <w:color w:val="auto"/>
          <w:szCs w:val="21"/>
          <w:highlight w:val="none"/>
        </w:rPr>
      </w:pPr>
      <w:r>
        <w:rPr>
          <w:rFonts w:hint="eastAsia" w:hAnsi="宋体" w:cs="宋体"/>
          <w:color w:val="auto"/>
          <w:szCs w:val="21"/>
          <w:highlight w:val="none"/>
        </w:rPr>
        <w:t xml:space="preserve">日期：     年   月   日</w:t>
      </w:r>
      <w:r/>
    </w:p>
    <w:p>
      <w:pPr>
        <w:rPr>
          <w:color w:val="auto"/>
          <w:highlight w:val="none"/>
        </w:rPr>
      </w:pPr>
      <w:r>
        <w:rPr>
          <w:color w:val="auto"/>
          <w:highlight w:val="none"/>
        </w:rPr>
      </w:r>
      <w:r/>
    </w:p>
    <w:p>
      <w:pPr>
        <w:pStyle w:val="1015"/>
        <w:jc w:val="left"/>
        <w:spacing w:line="440" w:lineRule="exact"/>
        <w:rPr>
          <w:rFonts w:hAnsi="宋体" w:cs="宋体"/>
          <w:b/>
          <w:color w:val="auto"/>
          <w:szCs w:val="21"/>
          <w:highlight w:val="none"/>
        </w:rPr>
        <w:outlineLvl w:val="1"/>
      </w:pPr>
      <w:r>
        <w:rPr>
          <w:rFonts w:hint="eastAsia" w:hAnsi="宋体" w:cs="宋体"/>
          <w:b/>
          <w:bCs/>
          <w:color w:val="auto"/>
          <w:szCs w:val="21"/>
          <w:highlight w:val="none"/>
        </w:rPr>
        <w:br w:type="page" w:clear="all"/>
      </w:r>
      <w:r>
        <w:rPr>
          <w:rFonts w:hint="eastAsia" w:hAnsi="宋体" w:cs="宋体"/>
          <w:b/>
          <w:bCs/>
          <w:color w:val="auto"/>
          <w:szCs w:val="21"/>
          <w:highlight w:val="none"/>
        </w:rPr>
        <w:t xml:space="preserve">格式9：项目服务人员配置表</w:t>
      </w:r>
      <w:r/>
    </w:p>
    <w:p>
      <w:pPr>
        <w:jc w:val="center"/>
        <w:spacing w:after="157" w:line="440" w:lineRule="exact"/>
        <w:rPr>
          <w:rFonts w:ascii="宋体" w:hAnsi="宋体" w:cs="宋体"/>
          <w:b/>
          <w:color w:val="auto"/>
          <w:szCs w:val="21"/>
          <w:highlight w:val="none"/>
        </w:rPr>
      </w:pPr>
      <w:r>
        <w:rPr>
          <w:rFonts w:hint="eastAsia" w:ascii="宋体" w:hAnsi="宋体" w:cs="宋体"/>
          <w:b/>
          <w:bCs/>
          <w:color w:val="auto"/>
          <w:szCs w:val="21"/>
          <w:highlight w:val="none"/>
        </w:rPr>
        <w:t xml:space="preserve">项目服务人员配置表</w:t>
      </w:r>
      <w:r/>
    </w:p>
    <w:tbl>
      <w:tblPr>
        <w:tblStyle w:val="812"/>
        <w:tblW w:w="8858" w:type="dxa"/>
        <w:jc w:val="center"/>
        <w:tblLayout w:type="fixed"/>
        <w:tblCellMar>
          <w:left w:w="108" w:type="dxa"/>
          <w:top w:w="0" w:type="dxa"/>
          <w:right w:w="108" w:type="dxa"/>
          <w:bottom w:w="0" w:type="dxa"/>
        </w:tblCellMar>
        <w:tblLook w:val="04A0" w:firstRow="1" w:lastRow="0" w:firstColumn="1" w:lastColumn="0" w:noHBand="0" w:noVBand="1"/>
      </w:tblPr>
      <w:tblGrid>
        <w:gridCol w:w="665"/>
        <w:gridCol w:w="1821"/>
        <w:gridCol w:w="984"/>
        <w:gridCol w:w="821"/>
        <w:gridCol w:w="867"/>
        <w:gridCol w:w="821"/>
        <w:gridCol w:w="970"/>
        <w:gridCol w:w="910"/>
        <w:gridCol w:w="999"/>
      </w:tblGrid>
      <w:tr>
        <w:trPr>
          <w:jc w:val="center"/>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821"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在本项目中负责的岗位（按照采购要求填写）</w:t>
            </w:r>
            <w:r/>
          </w:p>
        </w:tc>
        <w:tc>
          <w:tcPr>
            <w:tcBorders>
              <w:top w:val="single" w:color="000000" w:sz="6" w:space="0"/>
              <w:left w:val="single" w:color="000000" w:sz="6" w:space="0"/>
              <w:bottom w:val="single" w:color="000000" w:sz="6" w:space="0"/>
              <w:right w:val="single" w:color="000000" w:sz="6" w:space="0"/>
            </w:tcBorders>
            <w:tcW w:w="98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性别</w:t>
            </w:r>
            <w:r/>
          </w:p>
        </w:tc>
        <w:tc>
          <w:tcPr>
            <w:tcBorders>
              <w:top w:val="single" w:color="000000" w:sz="6" w:space="0"/>
              <w:left w:val="single" w:color="000000" w:sz="6" w:space="0"/>
              <w:bottom w:val="single" w:color="000000" w:sz="6" w:space="0"/>
              <w:right w:val="single" w:color="000000" w:sz="6" w:space="0"/>
            </w:tcBorders>
            <w:tcW w:w="8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年龄</w:t>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学历</w:t>
            </w:r>
            <w:r/>
          </w:p>
        </w:tc>
        <w:tc>
          <w:tcPr>
            <w:tcBorders>
              <w:top w:val="single" w:color="000000" w:sz="6" w:space="0"/>
              <w:left w:val="single" w:color="000000" w:sz="6" w:space="0"/>
              <w:bottom w:val="single" w:color="000000" w:sz="6" w:space="0"/>
              <w:right w:val="single" w:color="000000" w:sz="6" w:space="0"/>
            </w:tcBorders>
            <w:tcW w:w="97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专业/资格</w:t>
            </w:r>
            <w:r/>
          </w:p>
        </w:tc>
        <w:tc>
          <w:tcPr>
            <w:tcBorders>
              <w:top w:val="single" w:color="000000" w:sz="6" w:space="0"/>
              <w:left w:val="single" w:color="000000" w:sz="6" w:space="0"/>
              <w:bottom w:val="single" w:color="000000" w:sz="6" w:space="0"/>
              <w:right w:val="single" w:color="000000" w:sz="6" w:space="0"/>
            </w:tcBorders>
            <w:tcW w:w="9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从事本工作时间</w:t>
            </w:r>
            <w:r/>
          </w:p>
        </w:tc>
        <w:tc>
          <w:tcPr>
            <w:tcBorders>
              <w:top w:val="single" w:color="000000" w:sz="6" w:space="0"/>
              <w:left w:val="single" w:color="000000" w:sz="6" w:space="0"/>
              <w:bottom w:val="single" w:color="000000" w:sz="6" w:space="0"/>
              <w:right w:val="single" w:color="000000" w:sz="6" w:space="0"/>
            </w:tcBorders>
            <w:tcW w:w="999"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典型业务与技术专长</w:t>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665"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7"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9"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pStyle w:val="1072"/>
        <w:spacing w:line="360" w:lineRule="auto"/>
        <w:rPr>
          <w:rFonts w:hAnsi="宋体" w:cs="宋体"/>
          <w:color w:val="auto"/>
          <w:szCs w:val="21"/>
          <w:highlight w:val="none"/>
        </w:rPr>
      </w:pPr>
      <w:r>
        <w:rPr>
          <w:rFonts w:hAnsi="宋体" w:cs="宋体"/>
          <w:color w:val="auto"/>
          <w:szCs w:val="21"/>
          <w:highlight w:val="none"/>
        </w:rPr>
      </w:r>
      <w:r/>
    </w:p>
    <w:p>
      <w:pPr>
        <w:pStyle w:val="1072"/>
        <w:spacing w:line="360" w:lineRule="auto"/>
        <w:rPr>
          <w:rFonts w:hAnsi="宋体" w:cs="宋体"/>
          <w:color w:val="auto"/>
          <w:szCs w:val="21"/>
          <w:highlight w:val="none"/>
        </w:rPr>
      </w:pPr>
      <w:r>
        <w:rPr>
          <w:rFonts w:hint="eastAsia" w:hAnsi="宋体" w:cs="宋体"/>
          <w:color w:val="auto"/>
          <w:szCs w:val="21"/>
          <w:highlight w:val="none"/>
        </w:rPr>
        <w:t xml:space="preserve">注：请按以上格式自制表格填写，表格不够填写可添加。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hAnsi="宋体" w:cs="宋体"/>
          <w:color w:val="auto"/>
          <w:szCs w:val="21"/>
          <w:highlight w:val="none"/>
        </w:rPr>
      </w:pPr>
      <w:r>
        <w:rPr>
          <w:rFonts w:hint="eastAsia" w:hAnsi="宋体" w:cs="宋体"/>
          <w:color w:val="auto"/>
          <w:szCs w:val="21"/>
          <w:highlight w:val="none"/>
        </w:rPr>
        <w:t xml:space="preserve">响应单位（公章）：  </w:t>
      </w:r>
      <w:r/>
    </w:p>
    <w:p>
      <w:pPr>
        <w:jc w:val="left"/>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jc w:val="left"/>
        <w:spacing w:line="360" w:lineRule="auto"/>
        <w:rPr>
          <w:rFonts w:hAnsi="宋体" w:cs="宋体"/>
          <w:color w:val="auto"/>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hAnsi="宋体" w:cs="宋体"/>
          <w:color w:val="auto"/>
          <w:szCs w:val="21"/>
          <w:highlight w:val="none"/>
        </w:rPr>
        <w:t xml:space="preserve">日期：     年   月   日</w:t>
      </w:r>
      <w:r/>
    </w:p>
    <w:p>
      <w:pPr>
        <w:pStyle w:val="994"/>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格式10：类似业绩一览表</w:t>
      </w:r>
      <w:r/>
    </w:p>
    <w:p>
      <w:pPr>
        <w:jc w:val="center"/>
        <w:spacing w:before="156" w:after="156" w:line="440" w:lineRule="exact"/>
        <w:rPr>
          <w:rFonts w:ascii="宋体" w:hAnsi="宋体" w:cs="宋体"/>
          <w:b/>
          <w:color w:val="auto"/>
          <w:szCs w:val="21"/>
          <w:highlight w:val="none"/>
        </w:rPr>
      </w:pPr>
      <w:r>
        <w:rPr>
          <w:rFonts w:hint="eastAsia" w:ascii="宋体" w:hAnsi="宋体" w:cs="宋体"/>
          <w:b/>
          <w:color w:val="auto"/>
          <w:szCs w:val="21"/>
          <w:highlight w:val="none"/>
        </w:rPr>
        <w:t xml:space="preserve">类似业绩一览表</w:t>
      </w:r>
      <w:r/>
    </w:p>
    <w:tbl>
      <w:tblPr>
        <w:tblStyle w:val="812"/>
        <w:tblW w:w="865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9"/>
        <w:gridCol w:w="1388"/>
        <w:gridCol w:w="1255"/>
        <w:gridCol w:w="1610"/>
        <w:gridCol w:w="2460"/>
        <w:gridCol w:w="1395"/>
      </w:tblGrid>
      <w:tr>
        <w:trPr>
          <w:cantSplit/>
          <w:trHeight w:val="939"/>
        </w:trPr>
        <w:tc>
          <w:tcPr>
            <w:tcW w:w="549"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序号</w:t>
            </w:r>
            <w:r/>
          </w:p>
        </w:tc>
        <w:tc>
          <w:tcPr>
            <w:tcW w:w="1388"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项目名称</w:t>
            </w:r>
            <w:r/>
          </w:p>
        </w:tc>
        <w:tc>
          <w:tcPr>
            <w:tcW w:w="1255"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合同期</w:t>
            </w:r>
            <w:r/>
          </w:p>
        </w:tc>
        <w:tc>
          <w:tcPr>
            <w:tcW w:w="1610"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合同金额（万元）</w:t>
            </w:r>
            <w:r/>
          </w:p>
        </w:tc>
        <w:tc>
          <w:tcPr>
            <w:tcW w:w="2460"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服务范围</w:t>
            </w:r>
            <w:r/>
          </w:p>
        </w:tc>
        <w:tc>
          <w:tcPr>
            <w:tcW w:w="1395"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备注</w:t>
            </w:r>
            <w:r/>
          </w:p>
        </w:tc>
      </w:tr>
      <w:tr>
        <w:trPr>
          <w:cantSplit/>
          <w:trHeight w:val="765"/>
        </w:trPr>
        <w:tc>
          <w:tcPr>
            <w:tcW w:w="549"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1</w:t>
            </w:r>
            <w:r/>
          </w:p>
        </w:tc>
        <w:tc>
          <w:tcPr>
            <w:tcW w:w="1388"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25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61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246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39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r>
      <w:tr>
        <w:trPr>
          <w:cantSplit/>
          <w:trHeight w:val="765"/>
        </w:trPr>
        <w:tc>
          <w:tcPr>
            <w:tcW w:w="549"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2</w:t>
            </w:r>
            <w:r/>
          </w:p>
        </w:tc>
        <w:tc>
          <w:tcPr>
            <w:tcW w:w="1388"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25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61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246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39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r>
      <w:tr>
        <w:trPr>
          <w:cantSplit/>
          <w:trHeight w:val="765"/>
        </w:trPr>
        <w:tc>
          <w:tcPr>
            <w:tcW w:w="549"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3</w:t>
            </w:r>
            <w:r/>
          </w:p>
        </w:tc>
        <w:tc>
          <w:tcPr>
            <w:tcW w:w="1388"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25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61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246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39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r>
      <w:tr>
        <w:trPr>
          <w:cantSplit/>
          <w:trHeight w:val="765"/>
        </w:trPr>
        <w:tc>
          <w:tcPr>
            <w:tcW w:w="549"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4</w:t>
            </w:r>
            <w:r/>
          </w:p>
        </w:tc>
        <w:tc>
          <w:tcPr>
            <w:tcW w:w="1388"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25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61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246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39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r>
      <w:tr>
        <w:trPr>
          <w:cantSplit/>
          <w:trHeight w:val="765"/>
        </w:trPr>
        <w:tc>
          <w:tcPr>
            <w:tcW w:w="549"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5</w:t>
            </w:r>
            <w:r/>
          </w:p>
        </w:tc>
        <w:tc>
          <w:tcPr>
            <w:tcW w:w="1388"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25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61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246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39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r>
      <w:tr>
        <w:trPr>
          <w:cantSplit/>
          <w:trHeight w:val="780"/>
        </w:trPr>
        <w:tc>
          <w:tcPr>
            <w:tcW w:w="549" w:type="dxa"/>
            <w:vAlign w:val="center"/>
            <w:textDirection w:val="lrTb"/>
            <w:noWrap w:val="false"/>
          </w:tcPr>
          <w:p>
            <w:pPr>
              <w:pStyle w:val="1015"/>
              <w:jc w:val="center"/>
              <w:spacing w:line="360" w:lineRule="auto"/>
              <w:rPr>
                <w:rFonts w:hAnsi="宋体" w:cs="宋体"/>
                <w:color w:val="auto"/>
                <w:szCs w:val="21"/>
                <w:highlight w:val="none"/>
              </w:rPr>
            </w:pPr>
            <w:r>
              <w:rPr>
                <w:rFonts w:hint="eastAsia" w:hAnsi="宋体" w:cs="宋体"/>
                <w:color w:val="auto"/>
                <w:szCs w:val="21"/>
                <w:highlight w:val="none"/>
              </w:rPr>
              <w:t xml:space="preserve">…</w:t>
            </w:r>
            <w:r/>
          </w:p>
        </w:tc>
        <w:tc>
          <w:tcPr>
            <w:tcW w:w="1388"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25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61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2460"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c>
          <w:tcPr>
            <w:tcW w:w="1395" w:type="dxa"/>
            <w:vAlign w:val="center"/>
            <w:textDirection w:val="lrTb"/>
            <w:noWrap w:val="false"/>
          </w:tcPr>
          <w:p>
            <w:pPr>
              <w:pStyle w:val="1015"/>
              <w:jc w:val="center"/>
              <w:spacing w:line="360" w:lineRule="auto"/>
              <w:rPr>
                <w:rFonts w:hAnsi="宋体" w:cs="宋体"/>
                <w:color w:val="auto"/>
                <w:szCs w:val="21"/>
                <w:highlight w:val="none"/>
              </w:rPr>
            </w:pPr>
            <w:r>
              <w:rPr>
                <w:rFonts w:hAnsi="宋体" w:cs="宋体"/>
                <w:color w:val="auto"/>
                <w:szCs w:val="21"/>
                <w:highlight w:val="none"/>
              </w:rPr>
            </w:r>
            <w:r/>
          </w:p>
        </w:tc>
      </w:tr>
    </w:tbl>
    <w:p>
      <w:pPr>
        <w:pStyle w:val="1005"/>
        <w:ind w:firstLine="0"/>
        <w:spacing w:line="440" w:lineRule="exact"/>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066"/>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响应单位（公章）：  </w:t>
      </w:r>
      <w:r/>
    </w:p>
    <w:p>
      <w:pPr>
        <w:pStyle w:val="1066"/>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1066"/>
        <w:spacing w:line="440" w:lineRule="exact"/>
        <w:rPr>
          <w:rFonts w:hAnsi="宋体" w:eastAsia="宋体" w:cs="宋体"/>
          <w:color w:val="auto"/>
          <w:sz w:val="21"/>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hAnsi="宋体" w:eastAsia="宋体" w:cs="宋体"/>
          <w:color w:val="auto"/>
          <w:sz w:val="21"/>
          <w:szCs w:val="21"/>
          <w:highlight w:val="none"/>
        </w:rPr>
        <w:t xml:space="preserve">日期：     年   月   日</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格式11：针对本项目提供的服务实施方案</w:t>
      </w:r>
      <w:r/>
    </w:p>
    <w:p>
      <w:pPr>
        <w:pStyle w:val="1011"/>
        <w:ind w:firstLine="422"/>
        <w:jc w:val="center"/>
        <w:rPr>
          <w:rFonts w:ascii="宋体" w:hAnsi="宋体" w:cs="宋体"/>
          <w:b/>
          <w:bCs/>
          <w:color w:val="auto"/>
          <w:sz w:val="21"/>
          <w:szCs w:val="21"/>
          <w:highlight w:val="none"/>
        </w:rPr>
      </w:pPr>
      <w:r/>
      <w:bookmarkStart w:id="34" w:name="gpcItem_pack_1_code_7"/>
      <w:r>
        <w:rPr>
          <w:rFonts w:hint="eastAsia" w:ascii="宋体" w:hAnsi="宋体" w:cs="宋体"/>
          <w:b/>
          <w:bCs/>
          <w:color w:val="auto"/>
          <w:sz w:val="21"/>
          <w:szCs w:val="21"/>
          <w:highlight w:val="none"/>
        </w:rPr>
        <w:t xml:space="preserve">针对本项目提供的服务实施方案</w:t>
      </w:r>
      <w:bookmarkEnd w:id="34"/>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tbl>
      <w:tblPr>
        <w:tblStyle w:val="81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676"/>
        </w:trPr>
        <w:tc>
          <w:tcPr>
            <w:tcW w:w="8522" w:type="dxa"/>
            <w:textDirection w:val="lrTb"/>
            <w:noWrap w:val="false"/>
          </w:tcPr>
          <w:p>
            <w:pPr>
              <w:spacing w:line="360" w:lineRule="auto"/>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ind w:left="360" w:hanging="360"/>
              <w:jc w:val="left"/>
              <w:spacing w:line="440" w:lineRule="exact"/>
              <w:tabs>
                <w:tab w:val="left" w:pos="36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磋商供应商应针对本项目特点编写成交后拟采取的方案。</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磋商供应商可根据自身情况编写，本页不够可另加页附后。</w:t>
            </w:r>
            <w:r/>
          </w:p>
        </w:tc>
      </w:tr>
      <w:tr>
        <w:trPr>
          <w:jc w:val="center"/>
          <w:trHeight w:val="1012"/>
        </w:trPr>
        <w:tc>
          <w:tcPr>
            <w:tcW w:w="8522" w:type="dxa"/>
            <w:textDirection w:val="lrTb"/>
            <w:noWrap w:val="false"/>
          </w:tcPr>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                             供应商名称：（单位盖章）：</w:t>
            </w:r>
            <w:r>
              <w:rPr>
                <w:rFonts w:hint="eastAsia" w:ascii="宋体" w:hAnsi="宋体" w:cs="宋体"/>
                <w:color w:val="auto"/>
                <w:szCs w:val="21"/>
                <w:highlight w:val="none"/>
                <w:u w:val="single"/>
              </w:rPr>
              <w:t xml:space="preserve">                       </w:t>
            </w:r>
            <w:r/>
          </w:p>
          <w:p>
            <w:pPr>
              <w:ind w:firstLine="1785"/>
              <w:spacing w:line="360" w:lineRule="auto"/>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360" w:lineRule="auto"/>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pStyle w:val="1043"/>
        <w:ind w:firstLine="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440" w:lineRule="exact"/>
        <w:rPr>
          <w:rFonts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格式12：磋商响应单位基本情况表</w:t>
      </w:r>
      <w:r/>
    </w:p>
    <w:p>
      <w:pPr>
        <w:pStyle w:val="1043"/>
        <w:ind w:firstLine="422"/>
        <w:jc w:val="center"/>
        <w:rPr>
          <w:rFonts w:ascii="宋体" w:hAnsi="宋体" w:cs="宋体"/>
          <w:color w:val="auto"/>
          <w:sz w:val="21"/>
          <w:szCs w:val="21"/>
          <w:highlight w:val="none"/>
          <w:lang w:val="en-US"/>
        </w:rPr>
      </w:pPr>
      <w:r>
        <w:rPr>
          <w:rFonts w:hint="eastAsia" w:ascii="宋体" w:hAnsi="宋体" w:cs="宋体"/>
          <w:b/>
          <w:color w:val="auto"/>
          <w:sz w:val="21"/>
          <w:szCs w:val="21"/>
          <w:highlight w:val="none"/>
          <w:lang w:val="en-US"/>
        </w:rPr>
        <w:t xml:space="preserve">磋商</w:t>
      </w:r>
      <w:r>
        <w:rPr>
          <w:rFonts w:hint="eastAsia" w:ascii="宋体" w:hAnsi="宋体" w:cs="宋体"/>
          <w:b/>
          <w:color w:val="auto"/>
          <w:sz w:val="21"/>
          <w:szCs w:val="21"/>
          <w:highlight w:val="none"/>
        </w:rPr>
        <w:t xml:space="preserve">响应单位</w:t>
      </w:r>
      <w:r>
        <w:rPr>
          <w:rFonts w:hint="eastAsia" w:ascii="宋体" w:hAnsi="宋体" w:cs="宋体"/>
          <w:b/>
          <w:color w:val="auto"/>
          <w:sz w:val="21"/>
          <w:szCs w:val="21"/>
          <w:highlight w:val="none"/>
          <w:lang w:val="en-US"/>
        </w:rPr>
        <w:t xml:space="preserve">基本</w:t>
      </w:r>
      <w:r>
        <w:rPr>
          <w:rFonts w:hint="eastAsia" w:ascii="宋体" w:hAnsi="宋体" w:cs="宋体"/>
          <w:b/>
          <w:color w:val="auto"/>
          <w:sz w:val="21"/>
          <w:szCs w:val="21"/>
          <w:highlight w:val="none"/>
        </w:rPr>
        <w:t xml:space="preserve">情况表</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812"/>
        <w:tblW w:w="8947"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363"/>
        <w:gridCol w:w="2859"/>
      </w:tblGrid>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75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63"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859"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75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63"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85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756"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63"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2859"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75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36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859"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75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36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859" w:type="dxa"/>
            <w:vAlign w:val="center"/>
            <w:textDirection w:val="lrTb"/>
            <w:noWrap w:val="false"/>
          </w:tcPr>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年      万元</w:t>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175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年    万元</w:t>
            </w:r>
            <w:r/>
          </w:p>
        </w:tc>
        <w:tc>
          <w:tcPr>
            <w:tcW w:w="1363"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859"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75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W w:w="136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85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31"/>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978"/>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015"/>
        <w:rPr>
          <w:rFonts w:hAnsi="宋体" w:cs="宋体"/>
          <w:b/>
          <w:bCs/>
          <w:color w:val="auto"/>
          <w:szCs w:val="21"/>
          <w:highlight w:val="none"/>
        </w:rPr>
        <w:outlineLvl w:val="1"/>
      </w:pPr>
      <w:r/>
      <w:bookmarkStart w:id="35" w:name="_Toc23960"/>
      <w:r/>
      <w:bookmarkStart w:id="36" w:name="_Toc15575"/>
      <w:r>
        <w:rPr>
          <w:rFonts w:hint="eastAsia" w:hAnsi="宋体" w:cs="宋体"/>
          <w:b/>
          <w:bCs/>
          <w:color w:val="auto"/>
          <w:szCs w:val="21"/>
          <w:highlight w:val="none"/>
        </w:rPr>
        <w:br w:type="page" w:clear="all"/>
      </w:r>
      <w:r>
        <w:rPr>
          <w:rFonts w:hint="eastAsia" w:hAnsi="宋体" w:cs="宋体"/>
          <w:b/>
          <w:bCs/>
          <w:color w:val="auto"/>
          <w:szCs w:val="21"/>
          <w:highlight w:val="none"/>
        </w:rPr>
        <w:t xml:space="preserve">格式13：</w:t>
      </w:r>
      <w:bookmarkEnd w:id="35"/>
      <w:r/>
      <w:bookmarkEnd w:id="36"/>
      <w:r>
        <w:rPr>
          <w:rFonts w:hint="eastAsia" w:hAnsi="宋体" w:cs="宋体"/>
          <w:b/>
          <w:bCs/>
          <w:color w:val="auto"/>
          <w:szCs w:val="21"/>
          <w:highlight w:val="none"/>
        </w:rPr>
        <w:t xml:space="preserve">关于资格文件的声明函</w:t>
      </w:r>
      <w:r/>
    </w:p>
    <w:p>
      <w:pPr>
        <w:ind w:firstLine="211"/>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名源工程招投标咨询（苏州）有限公司</w:t>
      </w:r>
      <w:r>
        <w:rPr>
          <w:rFonts w:hint="eastAsia" w:ascii="宋体" w:hAnsi="宋体" w:cs="宋体"/>
          <w:color w:val="auto"/>
          <w:szCs w:val="21"/>
          <w:highlight w:val="none"/>
        </w:rPr>
        <w:t xml:space="preserve">：</w:t>
      </w:r>
      <w:r/>
    </w:p>
    <w:p>
      <w:pPr>
        <w:pStyle w:val="1005"/>
        <w:ind w:left="315" w:firstLine="63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本公司愿就由贵方组织实施的编号为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346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（响应单位）法定代表人（负责人）：（签字或盖章）</w:t>
      </w:r>
      <w:r/>
    </w:p>
    <w:p>
      <w:pPr>
        <w:ind w:firstLine="273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346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（响应单位）公章：</w:t>
      </w:r>
      <w:r/>
    </w:p>
    <w:p>
      <w:pPr>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05"/>
        <w:ind w:firstLine="0"/>
        <w:rPr>
          <w:rFonts w:ascii="宋体" w:hAnsi="宋体" w:eastAsia="宋体" w:cs="宋体"/>
          <w:b/>
          <w:bCs/>
          <w:color w:val="auto"/>
          <w:sz w:val="21"/>
          <w:szCs w:val="21"/>
          <w:highlight w:val="none"/>
        </w:rPr>
        <w:outlineLvl w:val="1"/>
      </w:pPr>
      <w:r>
        <w:rPr>
          <w:rFonts w:hint="eastAsia" w:ascii="宋体" w:hAnsi="宋体" w:eastAsia="宋体" w:cs="宋体"/>
          <w:color w:val="auto"/>
          <w:sz w:val="21"/>
          <w:szCs w:val="21"/>
          <w:highlight w:val="none"/>
        </w:rPr>
        <w:br w:type="page" w:clear="all"/>
      </w:r>
      <w:bookmarkStart w:id="37" w:name="_Toc6455"/>
      <w:r/>
      <w:bookmarkStart w:id="38" w:name="_Toc30434"/>
      <w:r>
        <w:rPr>
          <w:rFonts w:hint="eastAsia" w:ascii="宋体" w:hAnsi="宋体" w:eastAsia="宋体" w:cs="宋体"/>
          <w:b/>
          <w:bCs/>
          <w:color w:val="auto"/>
          <w:sz w:val="21"/>
          <w:szCs w:val="21"/>
          <w:highlight w:val="none"/>
        </w:rPr>
        <w:t xml:space="preserve">格式14：中小企业声明函</w:t>
      </w:r>
      <w:bookmarkEnd w:id="37"/>
      <w:r/>
      <w:bookmarkEnd w:id="38"/>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中小企业声明函（工程、服务）</w:t>
      </w:r>
      <w:r/>
    </w:p>
    <w:p>
      <w:pPr>
        <w:jc w:val="lef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pStyle w:val="1043"/>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本公司（联合体）郑重声明，根据《政府采购促进中小企业发展管理办法》（财库﹝2020﹞46 号）的规定，本公司（联合体）参加</w:t>
      </w:r>
      <w:r>
        <w:rPr>
          <w:rFonts w:hint="eastAsia" w:ascii="宋体" w:hAnsi="宋体" w:cs="宋体"/>
          <w:color w:val="auto"/>
          <w:sz w:val="21"/>
          <w:szCs w:val="21"/>
          <w:highlight w:val="none"/>
          <w:u w:val="single"/>
          <w:lang w:val="en-US"/>
        </w:rPr>
        <w:t xml:space="preserve">（单位名称）</w:t>
      </w:r>
      <w:r>
        <w:rPr>
          <w:rFonts w:hint="eastAsia" w:ascii="宋体" w:hAnsi="宋体" w:cs="宋体"/>
          <w:color w:val="auto"/>
          <w:sz w:val="21"/>
          <w:szCs w:val="21"/>
          <w:highlight w:val="none"/>
          <w:lang w:val="en-US"/>
        </w:rPr>
        <w:t xml:space="preserve">的</w:t>
      </w:r>
      <w:r>
        <w:rPr>
          <w:rFonts w:hint="eastAsia" w:ascii="宋体" w:hAnsi="宋体" w:cs="宋体"/>
          <w:color w:val="auto"/>
          <w:sz w:val="21"/>
          <w:szCs w:val="21"/>
          <w:highlight w:val="none"/>
          <w:u w:val="single"/>
          <w:lang w:val="en-US"/>
        </w:rPr>
        <w:t xml:space="preserve">（项目名称）</w:t>
      </w:r>
      <w:r>
        <w:rPr>
          <w:rFonts w:hint="eastAsia" w:ascii="宋体" w:hAnsi="宋体" w:cs="宋体"/>
          <w:color w:val="auto"/>
          <w:sz w:val="21"/>
          <w:szCs w:val="21"/>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43"/>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 </w:t>
      </w:r>
      <w:r>
        <w:rPr>
          <w:rFonts w:hint="eastAsia" w:ascii="宋体" w:hAnsi="宋体" w:cs="宋体"/>
          <w:color w:val="auto"/>
          <w:sz w:val="21"/>
          <w:szCs w:val="21"/>
          <w:highlight w:val="none"/>
          <w:u w:val="single"/>
          <w:lang w:val="en-US"/>
        </w:rPr>
        <w:t xml:space="preserve">（标的名称）</w:t>
      </w:r>
      <w:r>
        <w:rPr>
          <w:rFonts w:hint="eastAsia" w:ascii="宋体" w:hAnsi="宋体" w:cs="宋体"/>
          <w:color w:val="auto"/>
          <w:sz w:val="21"/>
          <w:szCs w:val="21"/>
          <w:highlight w:val="none"/>
          <w:lang w:val="en-US"/>
        </w:rPr>
        <w:t xml:space="preserve">，属于</w:t>
      </w:r>
      <w:r>
        <w:rPr>
          <w:rFonts w:hint="eastAsia" w:ascii="宋体" w:hAnsi="宋体" w:cs="宋体"/>
          <w:color w:val="auto"/>
          <w:sz w:val="21"/>
          <w:szCs w:val="21"/>
          <w:highlight w:val="none"/>
          <w:u w:val="single"/>
          <w:lang w:val="en-US"/>
        </w:rPr>
        <w:t xml:space="preserve">（采购文件中明确的所属行业）</w:t>
      </w:r>
      <w:r>
        <w:rPr>
          <w:rFonts w:hint="eastAsia" w:ascii="宋体" w:hAnsi="宋体" w:cs="宋体"/>
          <w:color w:val="auto"/>
          <w:sz w:val="21"/>
          <w:szCs w:val="21"/>
          <w:highlight w:val="none"/>
          <w:lang w:val="en-US"/>
        </w:rPr>
        <w:t xml:space="preserve">；承建（承接）企业为（企业名称），从业人员</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人，营业收入为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万元，资产总额为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万元，属于</w:t>
      </w:r>
      <w:r>
        <w:rPr>
          <w:rFonts w:hint="eastAsia" w:ascii="宋体" w:hAnsi="宋体" w:cs="宋体"/>
          <w:color w:val="auto"/>
          <w:sz w:val="21"/>
          <w:szCs w:val="21"/>
          <w:highlight w:val="none"/>
          <w:u w:val="single"/>
          <w:lang w:val="en-US"/>
        </w:rPr>
        <w:t xml:space="preserve">（中型企业、小型企业、微型企业）</w:t>
      </w:r>
      <w:r>
        <w:rPr>
          <w:rFonts w:hint="eastAsia" w:ascii="宋体" w:hAnsi="宋体" w:cs="宋体"/>
          <w:color w:val="auto"/>
          <w:sz w:val="21"/>
          <w:szCs w:val="21"/>
          <w:highlight w:val="none"/>
          <w:lang w:val="en-US"/>
        </w:rPr>
        <w:t xml:space="preserve">；</w:t>
      </w:r>
      <w:r/>
    </w:p>
    <w:p>
      <w:pPr>
        <w:pStyle w:val="1043"/>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 </w:t>
      </w:r>
      <w:r>
        <w:rPr>
          <w:rFonts w:hint="eastAsia" w:ascii="宋体" w:hAnsi="宋体" w:cs="宋体"/>
          <w:color w:val="auto"/>
          <w:sz w:val="21"/>
          <w:szCs w:val="21"/>
          <w:highlight w:val="none"/>
          <w:u w:val="single"/>
          <w:lang w:val="en-US"/>
        </w:rPr>
        <w:t xml:space="preserve">（标的名称）</w:t>
      </w:r>
      <w:r>
        <w:rPr>
          <w:rFonts w:hint="eastAsia" w:ascii="宋体" w:hAnsi="宋体" w:cs="宋体"/>
          <w:color w:val="auto"/>
          <w:sz w:val="21"/>
          <w:szCs w:val="21"/>
          <w:highlight w:val="none"/>
          <w:lang w:val="en-US"/>
        </w:rPr>
        <w:t xml:space="preserve">，属于</w:t>
      </w:r>
      <w:r>
        <w:rPr>
          <w:rFonts w:hint="eastAsia" w:ascii="宋体" w:hAnsi="宋体" w:cs="宋体"/>
          <w:color w:val="auto"/>
          <w:sz w:val="21"/>
          <w:szCs w:val="21"/>
          <w:highlight w:val="none"/>
          <w:u w:val="single"/>
          <w:lang w:val="en-US"/>
        </w:rPr>
        <w:t xml:space="preserve">（采购文件中明确的所属行业）</w:t>
      </w:r>
      <w:r>
        <w:rPr>
          <w:rFonts w:hint="eastAsia" w:ascii="宋体" w:hAnsi="宋体" w:cs="宋体"/>
          <w:color w:val="auto"/>
          <w:sz w:val="21"/>
          <w:szCs w:val="21"/>
          <w:highlight w:val="none"/>
          <w:lang w:val="en-US"/>
        </w:rPr>
        <w:t xml:space="preserve">；承建（承接）企业为（企业名称），从业人员</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人，营业收入为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万元，资产总额为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万元，属于</w:t>
      </w:r>
      <w:r>
        <w:rPr>
          <w:rFonts w:hint="eastAsia" w:ascii="宋体" w:hAnsi="宋体" w:cs="宋体"/>
          <w:color w:val="auto"/>
          <w:sz w:val="21"/>
          <w:szCs w:val="21"/>
          <w:highlight w:val="none"/>
          <w:u w:val="single"/>
          <w:lang w:val="en-US"/>
        </w:rPr>
        <w:t xml:space="preserve">（中型企业、小型企业、微型企业）</w:t>
      </w:r>
      <w:r>
        <w:rPr>
          <w:rFonts w:hint="eastAsia" w:ascii="宋体" w:hAnsi="宋体" w:cs="宋体"/>
          <w:color w:val="auto"/>
          <w:sz w:val="21"/>
          <w:szCs w:val="21"/>
          <w:highlight w:val="none"/>
          <w:lang w:val="en-US"/>
        </w:rPr>
        <w:t xml:space="preserve">；</w:t>
      </w:r>
      <w:r/>
    </w:p>
    <w:p>
      <w:pPr>
        <w:pStyle w:val="1043"/>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w:t>
      </w:r>
      <w:r/>
    </w:p>
    <w:p>
      <w:pPr>
        <w:pStyle w:val="1043"/>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以上企业，不属于大企业的分支机构，不存在控股股东为大企业的情形，也不存在与大企业的负责人为同一人的情形。</w:t>
      </w:r>
      <w:r/>
    </w:p>
    <w:p>
      <w:pPr>
        <w:pStyle w:val="1043"/>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本企业对上述声明内容的真实性负责。如有虚假，将依法承担相应责任。</w:t>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rPr>
        <w:t xml:space="preserve">供应商名称</w:t>
      </w:r>
      <w:r>
        <w:rPr>
          <w:rFonts w:hint="eastAsia" w:ascii="宋体" w:hAnsi="宋体" w:cs="宋体"/>
          <w:color w:val="auto"/>
          <w:sz w:val="21"/>
          <w:szCs w:val="21"/>
          <w:highlight w:val="none"/>
          <w:lang w:val="en-US"/>
        </w:rPr>
        <w:t xml:space="preserve">（盖章）：</w:t>
      </w:r>
      <w:r/>
    </w:p>
    <w:p>
      <w:pPr>
        <w:pStyle w:val="1043"/>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日期：</w:t>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3"/>
        <w:ind w:firstLine="420"/>
        <w:rPr>
          <w:rFonts w:ascii="宋体" w:hAnsi="宋体" w:cs="宋体"/>
          <w:color w:val="auto"/>
          <w:sz w:val="21"/>
          <w:szCs w:val="21"/>
          <w:highlight w:val="none"/>
          <w:lang w:val="en-US"/>
        </w:rPr>
      </w:pPr>
      <w:r/>
      <w:bookmarkStart w:id="39" w:name="_Toc20504"/>
      <w:r/>
      <w:bookmarkStart w:id="40" w:name="_Toc10206"/>
      <w:r>
        <w:rPr>
          <w:rFonts w:hint="eastAsia" w:ascii="宋体" w:hAnsi="宋体" w:cs="宋体"/>
          <w:color w:val="auto"/>
          <w:sz w:val="21"/>
          <w:szCs w:val="21"/>
          <w:highlight w:val="none"/>
          <w:lang w:val="en-US"/>
        </w:rPr>
        <w:t xml:space="preserve">备注：</w:t>
      </w:r>
      <w:r/>
    </w:p>
    <w:p>
      <w:pPr>
        <w:pStyle w:val="1043"/>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1.从业人员、营业收入、资产总额填报上一年度数据，无上一年度数据的新成立企业可不填报。</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w:t>
      </w:r>
      <w:r>
        <w:rPr>
          <w:rFonts w:hint="eastAsia" w:ascii="宋体" w:hAnsi="宋体" w:cs="宋体"/>
          <w:b/>
          <w:bCs/>
          <w:color w:val="auto"/>
          <w:sz w:val="21"/>
          <w:szCs w:val="21"/>
          <w:highlight w:val="none"/>
          <w:lang w:val="en-US"/>
        </w:rPr>
        <w:t xml:space="preserve">如未对中型企业或小型企业或微型企业进行明确</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lang w:val="en-US"/>
        </w:rPr>
        <w:t xml:space="preserve">视同非中小微企业</w:t>
      </w:r>
      <w:r>
        <w:rPr>
          <w:rFonts w:hint="eastAsia" w:ascii="宋体" w:hAnsi="宋体" w:cs="宋体"/>
          <w:color w:val="auto"/>
          <w:sz w:val="21"/>
          <w:szCs w:val="21"/>
          <w:highlight w:val="none"/>
          <w:lang w:val="en-US"/>
        </w:rPr>
        <w:t xml:space="preserve">。</w:t>
      </w:r>
      <w:r/>
    </w:p>
    <w:p>
      <w:pPr>
        <w:spacing w:line="312" w:lineRule="auto"/>
        <w:rPr>
          <w:rFonts w:ascii="宋体" w:hAnsi="宋体" w:cs="宋体"/>
          <w:b/>
          <w:color w:val="auto"/>
          <w:szCs w:val="21"/>
          <w:highlight w:val="none"/>
        </w:rPr>
      </w:pPr>
      <w:r>
        <w:rPr>
          <w:rFonts w:hint="eastAsia" w:ascii="宋体" w:hAnsi="宋体" w:cs="宋体"/>
          <w:b/>
          <w:bCs/>
          <w:color w:val="auto"/>
          <w:szCs w:val="21"/>
          <w:highlight w:val="none"/>
        </w:rPr>
        <w:br w:type="column"/>
      </w:r>
      <w:r>
        <w:rPr>
          <w:rFonts w:hint="eastAsia" w:ascii="宋体" w:hAnsi="宋体" w:cs="宋体"/>
          <w:b/>
          <w:color w:val="auto"/>
          <w:szCs w:val="21"/>
          <w:highlight w:val="none"/>
        </w:rPr>
        <w:t xml:space="preserve">中小企业划型标准规定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eastAsia="zh-CN"/>
        </w:rPr>
        <w:t xml:space="preserve">餐饮业</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12" w:lineRule="auto"/>
        <w:rPr>
          <w:rFonts w:ascii="宋体" w:hAnsi="宋体" w:cs="宋体"/>
          <w:bCs/>
          <w:color w:val="auto"/>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ascii="宋体" w:hAnsi="宋体" w:cs="宋体"/>
          <w:b/>
          <w:color w:val="auto"/>
          <w:szCs w:val="21"/>
          <w:highlight w:val="none"/>
        </w:rPr>
        <w:t xml:space="preserve">（十六）</w:t>
      </w:r>
      <w:r>
        <w:rPr>
          <w:rFonts w:hint="eastAsia" w:ascii="宋体" w:hAnsi="宋体" w:cs="宋体"/>
          <w:b/>
          <w:color w:val="auto"/>
          <w:szCs w:val="21"/>
          <w:highlight w:val="none"/>
          <w:lang w:eastAsia="zh-CN"/>
        </w:rPr>
        <w:t xml:space="preserve">餐饮业</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从业人员300人以下的为中小微型企业。其中，从业人员100人及以上的为中型企业；从业人员10人及以上的为小型企业；从业人员10人以下的为微型企业。 </w:t>
      </w:r>
      <w:r/>
    </w:p>
    <w:p>
      <w:pPr>
        <w:pStyle w:val="1015"/>
        <w:rPr>
          <w:rFonts w:hAnsi="宋体" w:cs="宋体"/>
          <w:b/>
          <w:bCs/>
          <w:color w:val="auto"/>
          <w:szCs w:val="21"/>
          <w:highlight w:val="none"/>
          <w:lang w:val="zh-CN"/>
        </w:rPr>
        <w:outlineLvl w:val="1"/>
      </w:pPr>
      <w:r>
        <w:rPr>
          <w:rFonts w:hint="eastAsia" w:hAnsi="宋体" w:cs="宋体"/>
          <w:b/>
          <w:bCs/>
          <w:color w:val="auto"/>
          <w:szCs w:val="21"/>
          <w:highlight w:val="none"/>
          <w:lang w:val="zh-CN"/>
        </w:rPr>
        <w:t xml:space="preserve">格式</w:t>
      </w:r>
      <w:r>
        <w:rPr>
          <w:rFonts w:hint="eastAsia" w:hAnsi="宋体" w:cs="宋体"/>
          <w:b/>
          <w:bCs/>
          <w:color w:val="auto"/>
          <w:szCs w:val="21"/>
          <w:highlight w:val="none"/>
        </w:rPr>
        <w:t xml:space="preserve">15</w:t>
      </w:r>
      <w:r>
        <w:rPr>
          <w:rFonts w:hint="eastAsia" w:hAnsi="宋体" w:cs="宋体"/>
          <w:b/>
          <w:bCs/>
          <w:color w:val="auto"/>
          <w:szCs w:val="21"/>
          <w:highlight w:val="none"/>
          <w:lang w:val="zh-CN"/>
        </w:rPr>
        <w:t xml:space="preserve">：残疾人福利性单位声明函</w:t>
      </w:r>
      <w:bookmarkEnd w:id="39"/>
      <w:r/>
      <w:bookmarkEnd w:id="40"/>
      <w:r/>
      <w:r/>
    </w:p>
    <w:p>
      <w:pPr>
        <w:jc w:val="center"/>
        <w:spacing w:line="400" w:lineRule="exact"/>
        <w:rPr>
          <w:rFonts w:ascii="宋体" w:hAnsi="宋体" w:cs="宋体"/>
          <w:b/>
          <w:bCs/>
          <w:color w:val="auto"/>
          <w:szCs w:val="21"/>
          <w:highlight w:val="none"/>
          <w:lang w:val="zh-CN"/>
        </w:rPr>
      </w:pPr>
      <w:r/>
      <w:bookmarkStart w:id="41" w:name="OLE_LINK13"/>
      <w:r/>
      <w:bookmarkStart w:id="42" w:name="OLE_LINK14"/>
      <w:r>
        <w:rPr>
          <w:rFonts w:hint="eastAsia" w:ascii="宋体" w:hAnsi="宋体" w:cs="宋体"/>
          <w:b/>
          <w:bCs/>
          <w:color w:val="auto"/>
          <w:szCs w:val="21"/>
          <w:highlight w:val="none"/>
          <w:lang w:val="zh-CN"/>
        </w:rPr>
        <w:t xml:space="preserve">残疾人福利性单位声明函</w:t>
      </w:r>
      <w:bookmarkEnd w:id="41"/>
      <w:bookmarkEnd w:id="42"/>
      <w:r/>
    </w:p>
    <w:p>
      <w:pPr>
        <w:ind w:firstLine="420"/>
        <w:spacing w:line="580" w:lineRule="exact"/>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580" w:lineRule="exact"/>
        <w:rPr>
          <w:rFonts w:ascii="宋体" w:hAnsi="宋体" w:cs="宋体"/>
          <w:color w:val="auto"/>
          <w:szCs w:val="21"/>
          <w:highlight w:val="none"/>
        </w:rPr>
      </w:pPr>
      <w:r>
        <w:rPr>
          <w:rFonts w:ascii="宋体" w:hAnsi="宋体" w:cs="宋体"/>
          <w:color w:val="auto"/>
          <w:szCs w:val="21"/>
          <w:highlight w:val="none"/>
        </w:rPr>
      </w:r>
      <w:r/>
    </w:p>
    <w:p>
      <w:pPr>
        <w:ind w:right="1560" w:firstLine="420"/>
        <w:jc w:val="center"/>
        <w:spacing w:line="580" w:lineRule="exact"/>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单位名称（盖章）：</w:t>
      </w:r>
      <w:r/>
    </w:p>
    <w:p>
      <w:pPr>
        <w:ind w:right="1560" w:firstLine="420"/>
        <w:jc w:val="right"/>
        <w:spacing w:line="580" w:lineRule="exact"/>
        <w:tabs>
          <w:tab w:val="left" w:pos="4860" w:leader="none"/>
        </w:tabs>
        <w:rPr>
          <w:rFonts w:ascii="宋体" w:hAnsi="宋体" w:cs="宋体"/>
          <w:b/>
          <w:bCs/>
          <w:color w:val="auto"/>
          <w:szCs w:val="21"/>
          <w:highlight w:val="none"/>
        </w:rPr>
      </w:pPr>
      <w:r>
        <w:rPr>
          <w:rFonts w:hint="eastAsia" w:ascii="宋体" w:hAnsi="宋体" w:cs="宋体"/>
          <w:color w:val="auto"/>
          <w:szCs w:val="21"/>
          <w:highlight w:val="none"/>
        </w:rPr>
        <w:t xml:space="preserve">                                    日期：   年    月    日</w:t>
      </w:r>
      <w:r/>
    </w:p>
    <w:p>
      <w:pPr>
        <w:rPr>
          <w:rFonts w:ascii="宋体" w:hAnsi="宋体" w:cs="宋体"/>
          <w:color w:val="auto"/>
          <w:szCs w:val="21"/>
          <w:highlight w:val="none"/>
        </w:rPr>
      </w:pPr>
      <w:r>
        <w:rPr>
          <w:rFonts w:ascii="宋体" w:hAnsi="宋体" w:cs="宋体"/>
          <w:color w:val="auto"/>
          <w:szCs w:val="21"/>
          <w:highlight w:val="none"/>
        </w:rPr>
      </w:r>
      <w:r/>
    </w:p>
    <w:p>
      <w:pPr>
        <w:pStyle w:val="1009"/>
        <w:spacing w:line="440" w:lineRule="exact"/>
        <w:rPr>
          <w:rFonts w:ascii="宋体" w:hAnsi="宋体" w:cs="宋体"/>
          <w:b/>
          <w:color w:val="auto"/>
          <w:sz w:val="21"/>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outlineLvl w:val="1"/>
      </w:pPr>
      <w:r>
        <w:rPr>
          <w:rFonts w:ascii="宋体" w:hAnsi="宋体" w:cs="宋体"/>
          <w:b/>
          <w:color w:val="auto"/>
          <w:sz w:val="21"/>
          <w:szCs w:val="21"/>
          <w:highlight w:val="none"/>
        </w:rPr>
      </w:r>
      <w:r/>
    </w:p>
    <w:p>
      <w:pPr>
        <w:pStyle w:val="1009"/>
        <w:spacing w:line="440" w:lineRule="exact"/>
        <w:rPr>
          <w:rFonts w:ascii="宋体" w:hAnsi="宋体" w:cs="宋体"/>
          <w:b/>
          <w:bCs/>
          <w:color w:val="auto"/>
          <w:sz w:val="21"/>
          <w:szCs w:val="21"/>
          <w:highlight w:val="none"/>
          <w:lang w:val="zh-CN"/>
        </w:rPr>
        <w:outlineLvl w:val="1"/>
      </w:pPr>
      <w:r>
        <w:rPr>
          <w:rFonts w:hint="eastAsia" w:ascii="宋体" w:hAnsi="宋体" w:cs="宋体"/>
          <w:b/>
          <w:color w:val="auto"/>
          <w:sz w:val="21"/>
          <w:szCs w:val="21"/>
          <w:highlight w:val="none"/>
        </w:rPr>
        <w:t xml:space="preserve">格式16：</w:t>
      </w:r>
      <w:r>
        <w:rPr>
          <w:rFonts w:hint="eastAsia" w:ascii="宋体" w:hAnsi="宋体" w:cs="宋体"/>
          <w:b/>
          <w:bCs/>
          <w:color w:val="auto"/>
          <w:sz w:val="21"/>
          <w:szCs w:val="21"/>
          <w:highlight w:val="none"/>
          <w:lang w:val="zh-CN"/>
        </w:rPr>
        <w:t xml:space="preserve">监狱企业证明文件（如有）</w:t>
      </w:r>
      <w:r/>
    </w:p>
    <w:p>
      <w:pPr>
        <w:pStyle w:val="1009"/>
        <w:spacing w:line="44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监狱企业的证明文件</w:t>
      </w:r>
      <w:r/>
    </w:p>
    <w:p>
      <w:pPr>
        <w:pStyle w:val="1009"/>
        <w:jc w:val="left"/>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  </w:t>
      </w:r>
      <w:r/>
    </w:p>
    <w:p>
      <w:pPr>
        <w:pStyle w:val="1043"/>
        <w:ind w:firstLine="420"/>
        <w:rPr>
          <w:rFonts w:ascii="宋体" w:hAnsi="宋体" w:cs="宋体"/>
          <w:color w:val="auto"/>
          <w:sz w:val="21"/>
          <w:szCs w:val="21"/>
          <w:highlight w:val="none"/>
        </w:rPr>
      </w:pPr>
      <w:r>
        <w:rPr>
          <w:rFonts w:ascii="宋体" w:hAnsi="宋体" w:cs="宋体"/>
          <w:color w:val="auto"/>
          <w:sz w:val="21"/>
          <w:szCs w:val="21"/>
          <w:highlight w:val="none"/>
        </w:rPr>
      </w:r>
      <w:r/>
    </w:p>
    <w:p>
      <w:pPr>
        <w:pStyle w:val="1043"/>
        <w:ind w:firstLine="420"/>
        <w:rPr>
          <w:rFonts w:ascii="宋体" w:hAnsi="宋体" w:cs="宋体"/>
          <w:color w:val="auto"/>
          <w:sz w:val="21"/>
          <w:szCs w:val="21"/>
          <w:highlight w:val="none"/>
        </w:rPr>
      </w:pPr>
      <w:r>
        <w:rPr>
          <w:rFonts w:ascii="宋体" w:hAnsi="宋体" w:cs="宋体"/>
          <w:color w:val="auto"/>
          <w:sz w:val="21"/>
          <w:szCs w:val="21"/>
          <w:highlight w:val="none"/>
        </w:rPr>
      </w:r>
      <w:r/>
    </w:p>
    <w:p>
      <w:pPr>
        <w:pStyle w:val="1043"/>
        <w:ind w:firstLine="420"/>
        <w:rPr>
          <w:rFonts w:ascii="宋体" w:hAnsi="宋体" w:cs="宋体"/>
          <w:color w:val="auto"/>
          <w:sz w:val="21"/>
          <w:szCs w:val="21"/>
          <w:highlight w:val="none"/>
        </w:rPr>
      </w:pPr>
      <w:r>
        <w:rPr>
          <w:rFonts w:ascii="宋体" w:hAnsi="宋体" w:cs="宋体"/>
          <w:color w:val="auto"/>
          <w:sz w:val="21"/>
          <w:szCs w:val="21"/>
          <w:highlight w:val="none"/>
        </w:rPr>
      </w:r>
      <w:r/>
    </w:p>
    <w:p>
      <w:pPr>
        <w:pStyle w:val="1043"/>
        <w:ind w:firstLine="420"/>
        <w:rPr>
          <w:rFonts w:ascii="宋体" w:hAnsi="宋体" w:cs="宋体"/>
          <w:color w:val="auto"/>
          <w:sz w:val="21"/>
          <w:szCs w:val="21"/>
          <w:highlight w:val="none"/>
        </w:rPr>
      </w:pPr>
      <w:r>
        <w:rPr>
          <w:rFonts w:ascii="宋体" w:hAnsi="宋体" w:cs="宋体"/>
          <w:color w:val="auto"/>
          <w:sz w:val="21"/>
          <w:szCs w:val="21"/>
          <w:highlight w:val="none"/>
        </w:rPr>
      </w:r>
      <w:r/>
    </w:p>
    <w:p>
      <w:pPr>
        <w:pStyle w:val="1005"/>
        <w:ind w:firstLine="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1009"/>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1009"/>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rPr>
          <w:rFonts w:ascii="宋体" w:hAnsi="宋体" w:cs="宋体"/>
          <w:color w:val="auto"/>
          <w:szCs w:val="21"/>
          <w:highlight w:val="none"/>
        </w:rPr>
      </w:pPr>
      <w:r>
        <w:rPr>
          <w:rFonts w:ascii="宋体" w:hAnsi="宋体" w:cs="宋体"/>
          <w:color w:val="auto"/>
          <w:szCs w:val="21"/>
          <w:highlight w:val="none"/>
        </w:rPr>
      </w:r>
      <w:r/>
    </w:p>
    <w:p>
      <w:pPr>
        <w:pStyle w:val="1043"/>
        <w:ind w:firstLine="0"/>
        <w:rPr>
          <w:rFonts w:ascii="宋体" w:hAnsi="宋体" w:cs="宋体"/>
          <w:b/>
          <w:bCs/>
          <w:color w:val="auto"/>
          <w:sz w:val="21"/>
          <w:szCs w:val="21"/>
          <w:highlight w:val="none"/>
        </w:rPr>
        <w:outlineLvl w:val="1"/>
      </w:pPr>
      <w:r>
        <w:rPr>
          <w:rFonts w:hint="eastAsia" w:ascii="宋体" w:hAnsi="宋体" w:cs="宋体"/>
          <w:color w:val="auto"/>
          <w:sz w:val="21"/>
          <w:szCs w:val="21"/>
          <w:highlight w:val="none"/>
          <w:lang w:val="en-US"/>
        </w:rPr>
        <w:br w:type="page" w:clear="all"/>
      </w:r>
      <w:r>
        <w:rPr>
          <w:rFonts w:hint="eastAsia" w:ascii="宋体" w:hAnsi="宋体" w:cs="宋体"/>
          <w:b/>
          <w:bCs/>
          <w:color w:val="auto"/>
          <w:sz w:val="21"/>
          <w:szCs w:val="21"/>
          <w:highlight w:val="none"/>
          <w:lang w:val="en-US"/>
        </w:rPr>
        <w:t xml:space="preserve">格式17：投标（响应）保证承诺书</w:t>
      </w:r>
      <w:r/>
    </w:p>
    <w:p>
      <w:pPr>
        <w:jc w:val="center"/>
        <w:spacing w:line="48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jc w:val="center"/>
        <w:spacing w:line="480" w:lineRule="auto"/>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投标（响应）保证承诺书（参考格式）</w:t>
      </w:r>
      <w:r/>
    </w:p>
    <w:p>
      <w:pPr>
        <w:pStyle w:val="1028"/>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（采购代理机构名称）           </w:t>
      </w:r>
      <w:r/>
    </w:p>
    <w:p>
      <w:pPr>
        <w:pStyle w:val="1028"/>
        <w:ind w:firstLine="60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的投标（响应）,并做出如下承诺：</w:t>
      </w:r>
      <w:r/>
    </w:p>
    <w:p>
      <w:pPr>
        <w:pStyle w:val="1028"/>
        <w:ind w:firstLine="60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支付本采购文件公布的预算金额的2%作为违约赔偿金。</w:t>
      </w:r>
      <w:r/>
    </w:p>
    <w:p>
      <w:pPr>
        <w:pStyle w:val="1028"/>
        <w:numPr>
          <w:ilvl w:val="0"/>
          <w:numId w:val="2"/>
        </w:numPr>
        <w:ind w:left="709" w:hanging="425"/>
        <w:spacing w:line="440" w:lineRule="exact"/>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自投标（响应）截止时间至本项目发布中标（成交）公告为止，撤销投标（响应）；</w:t>
      </w:r>
      <w:r/>
    </w:p>
    <w:p>
      <w:pPr>
        <w:pStyle w:val="1028"/>
        <w:numPr>
          <w:ilvl w:val="0"/>
          <w:numId w:val="2"/>
        </w:numPr>
        <w:ind w:left="709" w:hanging="425"/>
        <w:spacing w:line="440" w:lineRule="exact"/>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中标（成交）后不依法与采购人签订合同；</w:t>
      </w:r>
      <w:r/>
    </w:p>
    <w:p>
      <w:pPr>
        <w:pStyle w:val="1028"/>
        <w:numPr>
          <w:ilvl w:val="0"/>
          <w:numId w:val="2"/>
        </w:numPr>
        <w:ind w:left="709" w:hanging="425"/>
        <w:spacing w:line="440" w:lineRule="exact"/>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中标（成交）后不按本采购文件规定向采购人提交履约保证金；</w:t>
      </w:r>
      <w:r/>
    </w:p>
    <w:p>
      <w:pPr>
        <w:pStyle w:val="1028"/>
        <w:numPr>
          <w:ilvl w:val="0"/>
          <w:numId w:val="2"/>
        </w:numPr>
        <w:ind w:left="709" w:hanging="425"/>
        <w:spacing w:line="440" w:lineRule="exact"/>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中标（成交）后不按本采购文件规定向贵方缴纳采购代理费。</w:t>
      </w:r>
      <w:r/>
    </w:p>
    <w:p>
      <w:pPr>
        <w:pStyle w:val="1028"/>
        <w:ind w:firstLine="60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pStyle w:val="1028"/>
        <w:ind w:left="156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pStyle w:val="836"/>
        <w:ind w:left="0" w:firstLine="0"/>
        <w:spacing w:line="440" w:lineRule="exact"/>
        <w:rPr>
          <w:rFonts w:cs="宋体"/>
          <w:color w:val="auto"/>
          <w:szCs w:val="21"/>
          <w:highlight w:val="none"/>
          <w:u w:val="single"/>
        </w:rPr>
      </w:pPr>
      <w:r>
        <w:rPr>
          <w:rFonts w:hint="eastAsia" w:cs="宋体"/>
          <w:color w:val="auto"/>
          <w:szCs w:val="21"/>
          <w:highlight w:val="none"/>
        </w:rPr>
        <w:t xml:space="preserve">电话：</w:t>
      </w:r>
      <w:r>
        <w:rPr>
          <w:rFonts w:hint="eastAsia" w:cs="宋体"/>
          <w:color w:val="auto"/>
          <w:szCs w:val="21"/>
          <w:highlight w:val="none"/>
          <w:u w:val="single"/>
        </w:rPr>
        <w:t xml:space="preserve">                         </w:t>
      </w:r>
      <w:r>
        <w:rPr>
          <w:rFonts w:hint="eastAsia" w:cs="宋体"/>
          <w:color w:val="auto"/>
          <w:szCs w:val="21"/>
          <w:highlight w:val="none"/>
        </w:rPr>
        <w:t xml:space="preserve">      传真：</w:t>
      </w:r>
      <w:r>
        <w:rPr>
          <w:rFonts w:hint="eastAsia" w:cs="宋体"/>
          <w:color w:val="auto"/>
          <w:szCs w:val="21"/>
          <w:highlight w:val="none"/>
          <w:u w:val="single"/>
        </w:rPr>
        <w:t xml:space="preserve">                        </w:t>
      </w:r>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p>
    <w:p>
      <w:pPr>
        <w:pStyle w:val="836"/>
        <w:ind w:left="0" w:firstLine="0"/>
        <w:spacing w:line="440" w:lineRule="exact"/>
        <w:rPr>
          <w:rFonts w:cs="宋体"/>
          <w:color w:val="auto"/>
          <w:szCs w:val="21"/>
          <w:highlight w:val="none"/>
          <w:u w:val="single"/>
        </w:rPr>
      </w:pPr>
      <w:r>
        <w:rPr>
          <w:rFonts w:hint="eastAsia" w:cs="宋体"/>
          <w:color w:val="auto"/>
          <w:szCs w:val="21"/>
          <w:highlight w:val="none"/>
        </w:rPr>
        <w:t xml:space="preserve">法定代表人或委托代理人（签字或盖章）：</w:t>
      </w:r>
      <w:r>
        <w:rPr>
          <w:rFonts w:hint="eastAsia"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1025"/>
        <w:ind w:right="420" w:firstLine="422"/>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009"/>
        <w:jc w:val="left"/>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bCs/>
          <w:color w:val="auto"/>
          <w:sz w:val="21"/>
          <w:szCs w:val="21"/>
          <w:highlight w:val="none"/>
        </w:rPr>
        <w:t xml:space="preserve">格式18：响应服务承诺函</w:t>
      </w:r>
      <w:r/>
    </w:p>
    <w:p>
      <w:pPr>
        <w:pStyle w:val="1009"/>
        <w:jc w:val="center"/>
        <w:spacing w:after="157"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响应服务承诺函</w:t>
      </w:r>
      <w:r/>
    </w:p>
    <w:p>
      <w:pPr>
        <w:pStyle w:val="1009"/>
        <w:ind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为保证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采购项目的工作质量和效率，做好服务工作，我公司承诺保证必要的响应服务时间，具体如下：</w:t>
      </w:r>
      <w:r/>
    </w:p>
    <w:p>
      <w:pPr>
        <w:pStyle w:val="1009"/>
        <w:ind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一、我公司保证所提供的服务人员符合响应文件承诺， 服从采购人的规章制度，达到采购人工作标准和要求。</w:t>
      </w:r>
      <w:r/>
    </w:p>
    <w:p>
      <w:pPr>
        <w:pStyle w:val="1009"/>
        <w:ind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二、我公司保证成交后，如采购人对服务工作有任何工作安排，相应专职负责人、项目负责人务必及时响应。</w:t>
      </w:r>
      <w:r/>
    </w:p>
    <w:p>
      <w:pPr>
        <w:pStyle w:val="1009"/>
        <w:ind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三、如我公司在服务期内，被发现实质性违背响应服务承诺书情况一次的，则采购人有权终止本项目的服务合同，通报行业主管部门或其他相关部门进行处理，并将相关情况报政府采购监督管理部门作为虚假投标的证据。</w:t>
      </w:r>
      <w:r/>
    </w:p>
    <w:p>
      <w:pPr>
        <w:pStyle w:val="1009"/>
        <w:ind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四、我公司将制定完善的人员及组织措施保障工作服务响应，服从采购人的管理。</w:t>
      </w:r>
      <w:r/>
    </w:p>
    <w:p>
      <w:pPr>
        <w:pStyle w:val="1009"/>
        <w:ind w:firstLine="420"/>
        <w:jc w:val="left"/>
        <w:spacing w:line="44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五、负责部门：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；联系人：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 联系电话（座机及手机号码）：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left="980"/>
        <w:jc w:val="left"/>
        <w:spacing w:line="357" w:lineRule="exact"/>
        <w:tabs>
          <w:tab w:val="left" w:pos="5179" w:leader="none"/>
        </w:tabs>
        <w:rPr>
          <w:rFonts w:ascii="宋体" w:hAnsi="宋体" w:cs="宋体"/>
          <w:color w:val="auto"/>
          <w:szCs w:val="21"/>
          <w:highlight w:val="none"/>
        </w:rPr>
      </w:pPr>
      <w:r>
        <w:rPr>
          <w:rFonts w:ascii="宋体" w:hAnsi="宋体" w:cs="宋体"/>
          <w:color w:val="auto"/>
          <w:szCs w:val="21"/>
          <w:highlight w:val="none"/>
        </w:rPr>
      </w:r>
      <w:r/>
    </w:p>
    <w:p>
      <w:pPr>
        <w:ind w:left="980"/>
        <w:jc w:val="left"/>
        <w:spacing w:line="357" w:lineRule="exact"/>
        <w:tabs>
          <w:tab w:val="left" w:pos="5179" w:leader="none"/>
        </w:tabs>
        <w:rPr>
          <w:rFonts w:ascii="宋体" w:hAnsi="宋体" w:cs="宋体"/>
          <w:color w:val="auto"/>
          <w:szCs w:val="21"/>
          <w:highlight w:val="none"/>
        </w:rPr>
      </w:pPr>
      <w:r>
        <w:rPr>
          <w:rFonts w:ascii="宋体" w:hAnsi="宋体" w:cs="宋体"/>
          <w:color w:val="auto"/>
          <w:szCs w:val="21"/>
          <w:highlight w:val="none"/>
        </w:rPr>
      </w:r>
      <w:r/>
    </w:p>
    <w:p>
      <w:pPr>
        <w:pStyle w:val="1015"/>
        <w:ind w:firstLine="504"/>
        <w:spacing w:line="360" w:lineRule="auto"/>
        <w:rPr>
          <w:rFonts w:hAnsi="宋体" w:cs="宋体"/>
          <w:color w:val="auto"/>
          <w:szCs w:val="21"/>
          <w:highlight w:val="none"/>
        </w:rPr>
      </w:pPr>
      <w:r>
        <w:rPr>
          <w:rFonts w:hint="eastAsia" w:hAnsi="宋体" w:cs="宋体"/>
          <w:color w:val="auto"/>
          <w:szCs w:val="21"/>
          <w:highlight w:val="none"/>
        </w:rPr>
        <w:t xml:space="preserve">响应单位：（单位盖章）</w:t>
      </w:r>
      <w:r/>
    </w:p>
    <w:p>
      <w:pPr>
        <w:pStyle w:val="1015"/>
        <w:ind w:firstLine="504"/>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pStyle w:val="1015"/>
        <w:ind w:firstLine="504"/>
        <w:spacing w:line="360" w:lineRule="auto"/>
        <w:rPr>
          <w:rFonts w:hAnsi="宋体" w:cs="宋体"/>
          <w:color w:val="auto"/>
          <w:szCs w:val="21"/>
          <w:highlight w:val="none"/>
        </w:rPr>
      </w:pPr>
      <w:r>
        <w:rPr>
          <w:rFonts w:hint="eastAsia" w:hAnsi="宋体" w:cs="宋体"/>
          <w:color w:val="auto"/>
          <w:szCs w:val="21"/>
          <w:highlight w:val="none"/>
        </w:rPr>
        <w:t xml:space="preserve">日期：         年      月     日</w:t>
      </w:r>
      <w:r/>
    </w:p>
    <w:p>
      <w:pPr>
        <w:pStyle w:val="994"/>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1011"/>
        <w:rPr>
          <w:rFonts w:ascii="宋体" w:hAnsi="宋体" w:cs="宋体"/>
          <w:color w:val="auto"/>
          <w:sz w:val="21"/>
          <w:szCs w:val="21"/>
          <w:highlight w:val="none"/>
        </w:rPr>
      </w:pPr>
      <w:r>
        <w:rPr>
          <w:rFonts w:ascii="宋体" w:hAnsi="宋体" w:cs="宋体"/>
          <w:color w:val="auto"/>
          <w:sz w:val="21"/>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r/>
    </w:p>
    <w:p>
      <w:pPr>
        <w:pStyle w:val="1012"/>
        <w:rPr>
          <w:rFonts w:ascii="宋体" w:hAnsi="宋体" w:cs="宋体"/>
          <w:color w:val="auto"/>
          <w:szCs w:val="21"/>
          <w:highlight w:val="none"/>
        </w:rPr>
      </w:pPr>
      <w:r>
        <w:rPr>
          <w:rFonts w:ascii="宋体" w:hAnsi="宋体" w:cs="宋体"/>
          <w:color w:val="auto"/>
          <w:szCs w:val="21"/>
          <w:highlight w:val="none"/>
        </w:rPr>
      </w:r>
      <w:bookmarkEnd w:id="5"/>
      <w:bookmarkEnd w:id="22"/>
      <w:bookmarkEnd w:id="23"/>
      <w:r/>
    </w:p>
    <w:p>
      <w:pPr>
        <w:pStyle w:val="994"/>
        <w:rPr>
          <w:rFonts w:ascii="宋体" w:hAnsi="宋体" w:eastAsia="宋体" w:cs="宋体"/>
          <w:color w:val="auto"/>
          <w:sz w:val="21"/>
          <w:szCs w:val="21"/>
          <w:highlight w:val="none"/>
        </w:rPr>
      </w:pPr>
      <w:r/>
      <w:bookmarkStart w:id="43" w:name="_Toc30743"/>
      <w:r>
        <w:rPr>
          <w:rFonts w:hint="eastAsia" w:ascii="宋体" w:hAnsi="宋体" w:eastAsia="宋体" w:cs="宋体"/>
          <w:color w:val="auto"/>
          <w:sz w:val="21"/>
          <w:szCs w:val="21"/>
          <w:highlight w:val="none"/>
        </w:rPr>
        <w:t xml:space="preserve">格式19：安全承诺责任书</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（采购单位）</w:t>
      </w:r>
      <w:r>
        <w:rPr>
          <w:rFonts w:hint="eastAsia" w:ascii="宋体" w:hAnsi="宋体" w:cs="宋体"/>
          <w:color w:val="auto"/>
          <w:szCs w:val="21"/>
          <w:highlight w:val="none"/>
        </w:rPr>
        <w:t xml:space="preserve">：</w:t>
      </w:r>
      <w:r/>
    </w:p>
    <w:p>
      <w:pPr>
        <w:ind w:firstLine="420"/>
        <w:spacing w:before="120"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中标后严格履行本次采购项目的所有投标承诺，我方承担所聘标段内全部保洁人员在岗履行职责期间（包括上下班途中）的人身安全及设备财产安全的全部责任，定期对员工进行安全生产教育培训。成交后每只保洁船配备救生圈，保洁人员均配备救生衣等防护用品，在河湖保洁的过程中发生的一切安全问题，均由我方自行负责处理并承担经济和道义上的责任，采购单位不承担任何责任。</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1015"/>
        <w:ind w:firstLine="504"/>
        <w:spacing w:line="360" w:lineRule="auto"/>
        <w:rPr>
          <w:rFonts w:hAnsi="宋体" w:cs="宋体"/>
          <w:color w:val="auto"/>
          <w:szCs w:val="21"/>
          <w:highlight w:val="none"/>
        </w:rPr>
      </w:pPr>
      <w:r>
        <w:rPr>
          <w:rFonts w:hint="eastAsia" w:hAnsi="宋体" w:cs="宋体"/>
          <w:color w:val="auto"/>
          <w:szCs w:val="21"/>
          <w:highlight w:val="none"/>
        </w:rPr>
        <w:t xml:space="preserve">响应单位：（单位盖章）</w:t>
      </w:r>
      <w:r/>
    </w:p>
    <w:p>
      <w:pPr>
        <w:pStyle w:val="1015"/>
        <w:ind w:firstLine="504"/>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pStyle w:val="1015"/>
        <w:ind w:firstLine="504"/>
        <w:spacing w:line="360" w:lineRule="auto"/>
        <w:rPr>
          <w:rFonts w:hAnsi="宋体" w:cs="宋体"/>
          <w:color w:val="auto"/>
          <w:szCs w:val="21"/>
          <w:highlight w:val="none"/>
        </w:rPr>
        <w:sectPr>
          <w:headerReference w:type="default" r:id="rId11"/>
          <w:footerReference w:type="default" r:id="rId15"/>
          <w:footerReference w:type="first" r:id="rId16"/>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hAnsi="宋体" w:cs="宋体"/>
          <w:color w:val="auto"/>
          <w:szCs w:val="21"/>
          <w:highlight w:val="none"/>
        </w:rPr>
        <w:t xml:space="preserve">日期：         年      月     日</w:t>
      </w:r>
      <w:r/>
    </w:p>
    <w:p>
      <w:pPr>
        <w:pStyle w:val="994"/>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格式20：其他承诺函（如有）</w:t>
      </w:r>
      <w:r/>
    </w:p>
    <w:p>
      <w:pPr>
        <w:pStyle w:val="993"/>
        <w:jc w:val="center"/>
        <w:spacing w:after="156"/>
        <w:rPr>
          <w:b w:val="0"/>
          <w:color w:val="auto"/>
          <w:sz w:val="44"/>
          <w:szCs w:val="44"/>
          <w:highlight w:val="none"/>
          <w:lang w:val="zh-CN"/>
        </w:rPr>
      </w:pPr>
      <w:r>
        <w:rPr>
          <w:b w:val="0"/>
          <w:bCs w:val="0"/>
          <w:color w:val="auto"/>
          <w:highlight w:val="none"/>
        </w:rPr>
        <w:br w:type="page" w:clear="all"/>
      </w:r>
      <w:r>
        <w:rPr>
          <w:rFonts w:hint="eastAsia" w:ascii="Times New Roman" w:hAnsi="Times New Roman" w:cs="Times New Roman"/>
          <w:color w:val="auto"/>
          <w:sz w:val="44"/>
          <w:szCs w:val="44"/>
          <w:highlight w:val="none"/>
          <w:lang w:val="zh-CN"/>
        </w:rPr>
        <w:t xml:space="preserve">第四章 采购需求</w:t>
      </w:r>
      <w:bookmarkEnd w:id="4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名源工程招投标咨询（苏州）有限公司</w:t>
      </w:r>
      <w:r>
        <w:rPr>
          <w:rFonts w:hint="eastAsia" w:ascii="宋体" w:hAnsi="宋体" w:cs="宋体"/>
          <w:color w:val="auto"/>
          <w:szCs w:val="21"/>
          <w:highlight w:val="none"/>
        </w:rPr>
        <w:t xml:space="preserve">受</w:t>
      </w:r>
      <w:r>
        <w:rPr>
          <w:rFonts w:hint="eastAsia" w:ascii="宋体" w:hAnsi="宋体" w:cs="宋体"/>
          <w:bCs/>
          <w:color w:val="auto"/>
          <w:szCs w:val="21"/>
          <w:highlight w:val="none"/>
          <w:u w:val="single"/>
          <w:lang w:eastAsia="zh-CN"/>
        </w:rPr>
        <w:t xml:space="preserve">江苏省吴江东太湖生态旅游度假区管理办公室</w:t>
      </w:r>
      <w:r>
        <w:rPr>
          <w:rFonts w:hint="eastAsia" w:ascii="宋体" w:hAnsi="宋体" w:cs="宋体"/>
          <w:color w:val="auto"/>
          <w:szCs w:val="21"/>
          <w:highlight w:val="none"/>
        </w:rPr>
        <w:t xml:space="preserve">的委托，就其所需要采购的</w:t>
      </w:r>
      <w:r>
        <w:rPr>
          <w:rFonts w:hint="eastAsia" w:ascii="宋体" w:hAnsi="宋体" w:cs="宋体"/>
          <w:bCs/>
          <w:color w:val="auto"/>
          <w:szCs w:val="21"/>
          <w:highlight w:val="none"/>
          <w:u w:val="single"/>
          <w:lang w:eastAsia="zh-CN"/>
        </w:rPr>
        <w:t xml:space="preserve">东太湖大厦食堂服务外包</w:t>
      </w:r>
      <w:r>
        <w:rPr>
          <w:rFonts w:hint="eastAsia" w:ascii="宋体" w:hAnsi="宋体" w:cs="宋体"/>
          <w:color w:val="auto"/>
          <w:szCs w:val="21"/>
          <w:highlight w:val="none"/>
        </w:rPr>
        <w:t xml:space="preserve">在国内组织竞争性磋商采购。欢迎符合磋商采购文件资格条件的供应商前来参加磋商。</w:t>
      </w:r>
      <w:r/>
    </w:p>
    <w:p>
      <w:pPr>
        <w:pStyle w:val="1015"/>
        <w:spacing w:line="360" w:lineRule="auto"/>
        <w:rPr>
          <w:rFonts w:hAnsi="宋体" w:cs="宋体"/>
          <w:color w:val="auto"/>
          <w:szCs w:val="21"/>
          <w:highlight w:val="none"/>
        </w:rPr>
        <w:outlineLvl w:val="1"/>
      </w:pPr>
      <w:r/>
      <w:bookmarkStart w:id="44" w:name="_Toc12134"/>
      <w:r/>
      <w:bookmarkStart w:id="45" w:name="_Toc17214"/>
      <w:r>
        <w:rPr>
          <w:rFonts w:hint="eastAsia" w:hAnsi="宋体" w:cs="宋体"/>
          <w:b/>
          <w:color w:val="auto"/>
          <w:szCs w:val="21"/>
          <w:highlight w:val="none"/>
        </w:rPr>
        <w:t xml:space="preserve">一、项目编号：</w:t>
      </w:r>
      <w:bookmarkEnd w:id="44"/>
      <w:r/>
      <w:bookmarkEnd w:id="45"/>
      <w:r>
        <w:rPr>
          <w:rFonts w:hint="eastAsia" w:hAnsi="宋体" w:cs="宋体"/>
          <w:bCs/>
          <w:color w:val="auto"/>
          <w:szCs w:val="21"/>
          <w:highlight w:val="none"/>
          <w:lang w:eastAsia="zh-CN"/>
        </w:rPr>
        <w:t xml:space="preserve">JSZC-320509-MYDL-C2026-0005</w:t>
      </w:r>
      <w:r>
        <w:rPr>
          <w:rFonts w:hint="eastAsia" w:hAnsi="宋体" w:cs="宋体"/>
          <w:bCs/>
          <w:color w:val="auto"/>
          <w:szCs w:val="21"/>
          <w:highlight w:val="none"/>
        </w:rPr>
        <w:t xml:space="preserve"> </w:t>
      </w:r>
      <w:r/>
    </w:p>
    <w:p>
      <w:pPr>
        <w:pStyle w:val="1015"/>
        <w:spacing w:line="360" w:lineRule="auto"/>
        <w:rPr>
          <w:rFonts w:hint="eastAsia" w:hAnsi="宋体" w:eastAsia="宋体" w:cs="宋体"/>
          <w:color w:val="auto"/>
          <w:szCs w:val="21"/>
          <w:highlight w:val="none"/>
          <w:lang w:eastAsia="zh-CN"/>
        </w:rPr>
        <w:outlineLvl w:val="1"/>
      </w:pPr>
      <w:r/>
      <w:bookmarkStart w:id="46" w:name="_Toc5265"/>
      <w:r/>
      <w:bookmarkStart w:id="47" w:name="_Toc13980"/>
      <w:r>
        <w:rPr>
          <w:rFonts w:hint="eastAsia" w:hAnsi="宋体" w:cs="宋体"/>
          <w:b/>
          <w:color w:val="auto"/>
          <w:szCs w:val="21"/>
          <w:highlight w:val="none"/>
        </w:rPr>
        <w:t xml:space="preserve">二、项目名称：</w:t>
      </w:r>
      <w:bookmarkEnd w:id="46"/>
      <w:r/>
      <w:bookmarkEnd w:id="47"/>
      <w:r/>
      <w:bookmarkStart w:id="48" w:name="_Toc22839"/>
      <w:r/>
      <w:bookmarkStart w:id="49" w:name="_Toc10355"/>
      <w:r>
        <w:rPr>
          <w:rFonts w:hint="eastAsia" w:hAnsi="宋体" w:cs="宋体"/>
          <w:bCs/>
          <w:color w:val="auto"/>
          <w:szCs w:val="21"/>
          <w:highlight w:val="none"/>
          <w:lang w:eastAsia="zh-CN"/>
        </w:rPr>
        <w:t xml:space="preserve">东太湖大厦食堂服务外包</w:t>
      </w:r>
      <w:r/>
    </w:p>
    <w:p>
      <w:pPr>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三、项目预算：</w:t>
      </w:r>
      <w:bookmarkEnd w:id="48"/>
      <w:r/>
      <w:bookmarkEnd w:id="49"/>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val="en-US" w:eastAsia="zh-CN"/>
        </w:rPr>
        <w:t xml:space="preserve">叁佰叁拾万</w:t>
      </w:r>
      <w:r>
        <w:rPr>
          <w:rFonts w:hint="eastAsia" w:ascii="宋体" w:hAnsi="宋体" w:cs="宋体"/>
          <w:bCs/>
          <w:color w:val="auto"/>
          <w:szCs w:val="21"/>
          <w:highlight w:val="none"/>
          <w:lang w:eastAsia="zh-CN"/>
        </w:rPr>
        <w:t xml:space="preserve">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3300000</w:t>
      </w:r>
      <w:r>
        <w:rPr>
          <w:rFonts w:hint="eastAsia" w:ascii="宋体" w:hAnsi="宋体" w:cs="宋体"/>
          <w:bCs/>
          <w:color w:val="auto"/>
          <w:szCs w:val="21"/>
          <w:highlight w:val="none"/>
          <w:lang w:eastAsia="zh-CN"/>
        </w:rPr>
        <w:t xml:space="preserve">.00</w:t>
      </w:r>
      <w:r>
        <w:rPr>
          <w:rFonts w:hint="eastAsia" w:ascii="宋体" w:hAnsi="宋体" w:cs="宋体"/>
          <w:bCs/>
          <w:color w:val="auto"/>
          <w:szCs w:val="21"/>
          <w:highlight w:val="none"/>
        </w:rPr>
        <w:t xml:space="preserve">）</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四、最高限价：</w:t>
      </w: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val="en-US" w:eastAsia="zh-CN"/>
        </w:rPr>
        <w:t xml:space="preserve">叁佰叁拾万</w:t>
      </w:r>
      <w:r>
        <w:rPr>
          <w:rFonts w:hint="eastAsia" w:ascii="宋体" w:hAnsi="宋体" w:cs="宋体"/>
          <w:bCs/>
          <w:color w:val="auto"/>
          <w:szCs w:val="21"/>
          <w:highlight w:val="none"/>
          <w:lang w:eastAsia="zh-CN"/>
        </w:rPr>
        <w:t xml:space="preserve">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3300000</w:t>
      </w:r>
      <w:r>
        <w:rPr>
          <w:rFonts w:hint="eastAsia" w:ascii="宋体" w:hAnsi="宋体" w:cs="宋体"/>
          <w:bCs/>
          <w:color w:val="auto"/>
          <w:szCs w:val="21"/>
          <w:highlight w:val="none"/>
          <w:lang w:eastAsia="zh-CN"/>
        </w:rPr>
        <w:t xml:space="preserve">.00</w:t>
      </w:r>
      <w:r>
        <w:rPr>
          <w:rFonts w:hint="eastAsia" w:ascii="宋体" w:hAnsi="宋体" w:cs="宋体"/>
          <w:bCs/>
          <w:color w:val="auto"/>
          <w:szCs w:val="21"/>
          <w:highlight w:val="none"/>
        </w:rPr>
        <w:t xml:space="preserve">）</w:t>
      </w:r>
      <w:r/>
    </w:p>
    <w:p>
      <w:pPr>
        <w:pStyle w:val="837"/>
        <w:ind w:left="0" w:firstLine="0"/>
        <w:spacing w:before="0"/>
        <w:rPr>
          <w:rFonts w:cs="宋体"/>
          <w:b/>
          <w:bCs/>
          <w:color w:val="auto"/>
          <w:szCs w:val="21"/>
          <w:highlight w:val="none"/>
        </w:rPr>
      </w:pPr>
      <w:r/>
      <w:bookmarkStart w:id="50" w:name="_Toc61514585"/>
      <w:r/>
      <w:bookmarkStart w:id="51" w:name="_Toc7702"/>
      <w:r/>
      <w:bookmarkStart w:id="52" w:name="_Toc21253"/>
      <w:r/>
      <w:bookmarkStart w:id="53" w:name="_Toc6806"/>
      <w:r>
        <w:rPr>
          <w:rFonts w:hint="eastAsia" w:cs="宋体"/>
          <w:b/>
          <w:bCs/>
          <w:color w:val="auto"/>
          <w:szCs w:val="21"/>
          <w:highlight w:val="none"/>
        </w:rPr>
        <w:t xml:space="preserve">五、合同履行期限：</w:t>
      </w:r>
      <w:r>
        <w:rPr>
          <w:rFonts w:hint="eastAsia" w:cs="宋体"/>
          <w:color w:val="auto"/>
          <w:szCs w:val="21"/>
          <w:highlight w:val="none"/>
          <w:lang w:eastAsia="zh-CN"/>
        </w:rPr>
        <w:t xml:space="preserve">自合同签订之日起一年，具体时间以采购人发出的进场通知为准。</w:t>
      </w:r>
      <w:r/>
    </w:p>
    <w:p>
      <w:pPr>
        <w:pStyle w:val="1015"/>
        <w:spacing w:line="360" w:lineRule="auto"/>
        <w:rPr>
          <w:rFonts w:hAnsi="宋体" w:cs="宋体"/>
          <w:b/>
          <w:color w:val="auto"/>
          <w:szCs w:val="21"/>
          <w:highlight w:val="none"/>
        </w:rPr>
        <w:outlineLvl w:val="1"/>
      </w:pPr>
      <w:r>
        <w:rPr>
          <w:rFonts w:hint="eastAsia" w:hAnsi="宋体" w:cs="宋体"/>
          <w:b/>
          <w:color w:val="auto"/>
          <w:szCs w:val="21"/>
          <w:highlight w:val="none"/>
        </w:rPr>
        <w:t xml:space="preserve">六、服务地点：</w:t>
      </w:r>
      <w:r>
        <w:rPr>
          <w:rFonts w:hint="eastAsia" w:hAnsi="宋体" w:cs="宋体"/>
          <w:bCs/>
          <w:color w:val="auto"/>
          <w:szCs w:val="21"/>
          <w:highlight w:val="none"/>
        </w:rPr>
        <w:t xml:space="preserve">采购单位指定地点。</w:t>
      </w:r>
      <w:r/>
    </w:p>
    <w:p>
      <w:pPr>
        <w:pStyle w:val="1015"/>
        <w:spacing w:line="360" w:lineRule="auto"/>
        <w:rPr>
          <w:rFonts w:hint="eastAsia" w:hAnsi="宋体" w:cs="宋体"/>
          <w:b/>
          <w:color w:val="auto"/>
          <w:szCs w:val="21"/>
          <w:highlight w:val="none"/>
        </w:rPr>
        <w:outlineLvl w:val="1"/>
      </w:pPr>
      <w:r>
        <w:rPr>
          <w:rFonts w:hint="eastAsia" w:hAnsi="宋体" w:cs="宋体"/>
          <w:b/>
          <w:color w:val="auto"/>
          <w:szCs w:val="21"/>
          <w:highlight w:val="none"/>
        </w:rPr>
        <w:t xml:space="preserve">七、采购内容及要求：</w:t>
      </w:r>
      <w:r/>
    </w:p>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（一）项目概况   </w:t>
      </w:r>
      <w:r/>
    </w:p>
    <w:p>
      <w:pPr>
        <w:ind w:firstLine="42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本项目合同期限为</w:t>
      </w:r>
      <w:r>
        <w:rPr>
          <w:rFonts w:hint="eastAsia" w:ascii="宋体" w:hAnsi="宋体" w:eastAsia="宋体" w:cs="宋体"/>
          <w:color w:val="auto"/>
          <w:sz w:val="21"/>
          <w:szCs w:val="21"/>
          <w:highlight w:val="none"/>
          <w:lang w:val="en-US" w:eastAsia="zh-CN" w:bidi="ar-SA"/>
        </w:rPr>
        <w:t xml:space="preserve">一年</w:t>
      </w:r>
      <w:r>
        <w:rPr>
          <w:rFonts w:hint="eastAsia" w:ascii="宋体" w:hAnsi="宋体" w:eastAsia="宋体" w:cs="宋体"/>
          <w:color w:val="auto"/>
          <w:sz w:val="21"/>
          <w:szCs w:val="21"/>
          <w:highlight w:val="none"/>
          <w:lang w:val="en-US" w:bidi="ar-SA"/>
        </w:rPr>
        <w:t xml:space="preserve">。服务地点为苏州吴江东太湖大厦，服务内容主要包括满足东太湖大厦工作人员的就餐要求，食堂区域的清洁和管理，会议接待及卫生等。食堂平时就餐人员早餐约350人，午餐约550人，晚餐约150人，食堂共计四层总面积约3000㎡，可同时容纳近550人就餐；三楼、四楼另设有小餐厅5间。厨房、餐厅、全套厨房设备及原材料等由采购人提供，乙方提供全年不间断的服务。</w:t>
      </w:r>
      <w:r/>
    </w:p>
    <w:p>
      <w:pPr>
        <w:ind w:firstLine="420"/>
        <w:spacing w:line="440" w:lineRule="exact"/>
        <w:rPr>
          <w:rFonts w:hint="eastAsia" w:ascii="宋体" w:hAnsi="宋体" w:eastAsia="宋体" w:cs="宋体"/>
          <w:b/>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餐厅负一楼为原材料加工间、小餐厅原材料加工间、库房及点心房；餐厅二楼为大食堂操作间及员工就餐区域；餐厅三楼、四楼为小餐厅，小餐厅根据</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bidi="ar-SA"/>
        </w:rPr>
        <w:t xml:space="preserve">人要求提供餐饮服务，必要时要能满足采购人的使用需求，</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提前通知（每天10</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00前）准备。</w:t>
      </w:r>
      <w:r/>
    </w:p>
    <w:p>
      <w:pPr>
        <w:spacing w:line="400" w:lineRule="exact"/>
        <w:rPr>
          <w:rFonts w:hint="eastAsia" w:ascii="宋体" w:hAnsi="宋体" w:eastAsia="宋体" w:cs="宋体"/>
          <w:color w:val="auto"/>
          <w:sz w:val="21"/>
          <w:szCs w:val="21"/>
          <w:highlight w:val="none"/>
          <w:lang w:val="en-US" w:bidi="ar-SA"/>
        </w:rPr>
        <w:outlineLvl w:val="0"/>
      </w:pPr>
      <w:r>
        <w:rPr>
          <w:rFonts w:hint="eastAsia" w:ascii="宋体" w:hAnsi="宋体" w:eastAsia="宋体" w:cs="宋体"/>
          <w:color w:val="auto"/>
          <w:sz w:val="21"/>
          <w:szCs w:val="21"/>
          <w:highlight w:val="none"/>
          <w:lang w:val="en-US" w:bidi="ar-SA"/>
        </w:rPr>
        <w:t xml:space="preserve">（二）食堂运营管理服务工作内容及要求：</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餐厅：食堂实行一日三餐制（早、中、晚）。每周五天，早餐7:30-9:00，用餐人数约为350人；午餐11:00-12:30；用餐人数约为550人；晚餐17;00-18:00，用餐人数约150人。</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1、开餐需按时准点供应，不得提前或拖延。</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2、每周菜单经采购方管理人员确认。</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3、餐具用品：做到卫生、洁净、消毒；餐室（厨房）无蝇、无虫。</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4、伙食调剂恰当，味道可口，品种花色多样。</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5、餐菜要求：</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早餐品种以粥、面为主，穿插点心及馄饨等；午餐包括至少四个大荤、四个小荤、四个蔬菜、米饭、汤及水果；晚餐包括至少两个大荤、两个小荤、两个蔬菜、米饭及汤。具体用餐金额根据用餐人所用数量确定。</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5.2小荤需含肉类或蛋类，汤要有质量、有一定数量的固体食物。一周内做到点心、酱菜、荤、素菜、汤类无重复。</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5.3以上就餐人数和餐菜种类根据采购方实际情况增减，以采购方管理人员通知为准。</w:t>
      </w:r>
      <w:r/>
    </w:p>
    <w:p>
      <w:pPr>
        <w:ind w:firstLine="420"/>
        <w:spacing w:line="400" w:lineRule="exact"/>
        <w:tabs>
          <w:tab w:val="left" w:pos="90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5.4有临时或重大活动时，需要加班的，</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有义务配合采购方。</w:t>
      </w:r>
      <w:r/>
    </w:p>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（三）人员配备要求：</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1、总服务人员配置不少于40人。食堂负责1人，厨师长1人，主管2人，厨师9人，点心师3人，服务员 7人，勤杂工17人。</w:t>
      </w:r>
      <w:r>
        <w:rPr>
          <w:rFonts w:hint="eastAsia" w:ascii="宋体" w:hAnsi="宋体" w:eastAsia="宋体" w:cs="宋体"/>
          <w:color w:val="auto"/>
          <w:sz w:val="21"/>
          <w:szCs w:val="21"/>
          <w:highlight w:val="none"/>
          <w:lang w:val="en-US" w:eastAsia="zh-CN" w:bidi="ar-SA"/>
        </w:rPr>
        <w:t xml:space="preserve">本项目不得使用超龄人员，必须持有健康上岗证。厨师实行轮岗制度，厨师每半年要进行交流，提高烹饪技术，扎实做好餐饮服务工作。成交单位必须给上述人员按照国家及苏州市吴江区的有关规定支付工资和缴纳正常的社会保险等。成交单位要充分考虑所有工作人员的值休、轮休、加班、法定假日休息以及岗位顶班、日常机动人员的配备，以上所有费用均计入投标总价。所有工作人员具体工作安排由采购人指定。</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2、如上述人员无法满足采购人服务要求，采购人有权要求成交单位调整人员配置，并在一个月内调整到位。</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3、人员一般要求：</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（3.1）项目负责人与厨师长工作要求：</w:t>
      </w:r>
      <w:r/>
    </w:p>
    <w:p>
      <w:pPr>
        <w:ind w:firstLine="315"/>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1）全面主持餐厅的日常工作，负责管理厨房的一切工作。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2）负责并管理厨房工作，协调并检查各班组间工作任务的落实情况及存在的问题，向上级领导汇报并提出改进意见，使厨房各环节的工作正常运行。</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3）虚心听取用餐人员的意见和要求，不断提高饭菜的质量，满足采购方的需求。</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4）每天检查各班组的卫生情况和厨师的仪容仪表、出勤情况及遵守规章制度情况。</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5）根据当天厨房任务的情况，合理安排员工工作，团结协作、圆满完成各项任务。</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6）沟通协调各班组工作，加强团结协作，做到人尽其才各尽所能。</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7）根据餐厅的情况及当天的用餐情况，填写请购单和领料单，验收货品质量和数量，并将其发放到各个班组以保证及时、圆满地完成菜肴的供应任务。</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8）检查食品质量，变质食品不下锅、不蒸煮、不烘烤。</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9）根据用餐人数有计划地烧饭。</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10）工作结束物品加盖，工具、用具、炉灶、地面清扫干净。</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11）全面检查菜肴、点心的质量，减少并杜绝不符合规格、质量要求的成品和半成品。</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12）虚心听取用餐人员的意见和要求，不断提高饭菜的质量，满足采购方的需求。</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13）对厨师进行业务指导，组织并实施技术培训。</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14）验收食品做好质量、数量、发霉变质食品处理等记录。</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15）检查所购食品有无合格证和检疫证明。</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16）腐败变质、发霉、生虫、有毒、有害、掺杂掺假食品不签收。</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17）验收后向厨房有关人员分门别类交代清楚。</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18）验收记录妥善保存以备检查。</w:t>
      </w:r>
      <w:r/>
    </w:p>
    <w:p>
      <w:pPr>
        <w:ind w:firstLine="42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（3.2）厨师工作要求：</w:t>
      </w:r>
      <w:r/>
    </w:p>
    <w:p>
      <w:pPr>
        <w:ind w:firstLine="42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1）配合主厨完成各项任务。</w:t>
      </w:r>
      <w:r/>
    </w:p>
    <w:p>
      <w:pPr>
        <w:ind w:firstLine="42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2）工作结束物品加盖，工具、用具、炉灶、地面清扫干净。</w:t>
      </w:r>
      <w:r/>
    </w:p>
    <w:p>
      <w:pPr>
        <w:ind w:firstLine="42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3）虚心听取用餐人员的意见和要求，不断提高饭菜的质量，满足采购方的需求。</w:t>
      </w:r>
      <w:r/>
    </w:p>
    <w:p>
      <w:pPr>
        <w:ind w:firstLine="42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4）验收食品做好质量、数量、发霉变质食品处理等记录。</w:t>
      </w:r>
      <w:r/>
    </w:p>
    <w:p>
      <w:pPr>
        <w:ind w:firstLine="42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5）检查所购食品有无合格证和检疫证明。</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（3.3）点心师要求：</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1）负责制作及供应餐厅面包类。</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2）按采购人需要负责制作及供应餐厅早餐及其他要求的饭菜。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3）申请所需物品及制作原料的购买和领用。</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4）配合领导和同事做好其他工作。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（3.4）厨工工作要求：</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1）身体健康，正式上岗前经过卫生检疫检验机构的正规培训，并持有健康证；</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2）负责厨房餐厅搬运清理工作。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3）负责饭菜准备及递送工作。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4）收拾剩余品及整理工作。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5）协助点心师做好早餐。</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6）配合领导和同事做好其他相关工作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（3.5）勤杂人员工作要求：</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1）配合餐厅勤杂工作。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2）搞好砧墩、砧板、地面的卫生和刀砧洁净与保养工作。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3）本区域的灭蝇防蝇工作，管理好餐饮设备和设施。</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4）积极服从和努力完成交办的其他工作。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5）服装穿戴整齐，男不留长发，女发不过肩，不得化妆。</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6）做好台面调料、牙签、餐巾、茶水等清洁卫生工作。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7）禁止直接用手拿取食物及相关物品。</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8）用餐前餐具要集中摆放整齐，保持清洁，用洁净白布盖好，防止蝇叮，餐具内外保持干净、干燥。</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9）工作结束后做好台面、桌椅及地面的清扫、整理工作。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（3.6）厨师实行轮岗制度，主厨及厨师每半年换一次，提高烹饪技术，扎实做好餐饮服务工作。</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（3.7）进驻的服务人员，应根据不同的工种配发工服和工号牌（</w:t>
      </w:r>
      <w:r>
        <w:rPr>
          <w:rFonts w:hint="eastAsia" w:ascii="宋体" w:hAnsi="宋体" w:eastAsia="宋体" w:cs="宋体"/>
          <w:color w:val="auto"/>
          <w:sz w:val="21"/>
          <w:szCs w:val="21"/>
          <w:highlight w:val="none"/>
          <w:lang w:val="en-US" w:eastAsia="zh-CN" w:bidi="ar-SA"/>
        </w:rPr>
        <w:t xml:space="preserve">服装费由成交单位自理），仪容仪表要符合规定标准，发型要统一，参加服务的所有工作人员应向采购人提供本人身份证原件（查验），复印件（备案）。男员工不准留胡须、蓄长发；女员工不准化妆或佩戴过分的饰物，头发染色不能过艳。所有员工白天工作时间不能着大衣和背心或敞胸、露怀工作，不准带朋友或亲戚进入工作场所，不准在采购人院内和大楼内抽烟或吃零食、闲谈等，使用语言要文明，举止要大方，年龄要适中，各工种之间年龄差距不能过大，要具有一定的工作经验，厨师和食堂工作人员需持有本市卫生部门颁发的卫生健康证，并保持每年一次的健康检查。</w:t>
      </w:r>
      <w:r/>
    </w:p>
    <w:p>
      <w:pPr>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（四）管理模式</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1、由</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委派专业厨房工作人员及管理人员到采购方进行专业厨房管理、服务，为采购方提供膳食服务，规范经营。</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2、采购方自始至终监督食堂管理，配备专人指导食堂经营管理工作。</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必须保证其经营行为合法有效。</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4、采购方管理监督职责：检查监督食堂的卫生安全工作，对违规行为予以处罚；抽查评价服务品种的质量，对违规行为予以处罚；协调员工就餐秩序。</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5、食堂工作流程管理</w:t>
      </w:r>
      <w:r>
        <w:rPr>
          <w:rFonts w:hint="eastAsia" w:ascii="宋体" w:hAnsi="宋体" w:eastAsia="宋体" w:cs="宋体"/>
          <w:color w:val="auto"/>
          <w:sz w:val="21"/>
          <w:szCs w:val="21"/>
          <w:highlight w:val="none"/>
          <w:lang w:val="en-US" w:eastAsia="zh-CN" w:bidi="ar-SA"/>
        </w:rPr>
        <w:t xml:space="preserve">：</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5.1制订菜单。</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根据市场、季节、营养、采购方要求等综合因素制定每周食谱及菜单同时报送采购方备案。</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5.2饭菜加工。每餐饭菜必须在就餐前10分钟准备好，加工后的饭菜要注意保热、保洁。</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5.3就餐服务。就餐期间</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管理人员要协调好食堂内部事务，负责打菜的职工要固定窗口，打饭菜数量要符合规定，人员配备充足，保证打饭快速有序。要根据就餐情况及时调配饭菜</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如有饭菜不足情况要及时采取措施。</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5.4餐后及时清洗、清理与打扫。餐后要对餐桌、厨具、餐具进行清洗</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严格消毒，并分类放在固定位置；厨房、餐厅进行打扫、冲洗；对剩余饭菜进行处理。</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5.5每周五要进行厨具、餐具的清洗及厨房、餐厅及周边环境的大扫除。</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6、食堂工作制度</w:t>
      </w:r>
      <w:r>
        <w:rPr>
          <w:rFonts w:hint="eastAsia" w:ascii="宋体" w:hAnsi="宋体" w:eastAsia="宋体" w:cs="宋体"/>
          <w:color w:val="auto"/>
          <w:sz w:val="21"/>
          <w:szCs w:val="21"/>
          <w:highlight w:val="none"/>
          <w:lang w:val="en-US" w:eastAsia="zh-CN" w:bidi="ar-SA"/>
        </w:rPr>
        <w:t xml:space="preserve">：</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6.1食堂工作人员按规范程序招聘、录用</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按时</w:t>
      </w:r>
      <w:r>
        <w:rPr>
          <w:rFonts w:hint="eastAsia" w:ascii="宋体" w:hAnsi="宋体" w:eastAsia="宋体" w:cs="宋体"/>
          <w:color w:val="auto"/>
          <w:sz w:val="21"/>
          <w:szCs w:val="21"/>
          <w:highlight w:val="none"/>
          <w:lang w:val="en-US" w:eastAsia="zh-CN" w:bidi="ar-SA"/>
        </w:rPr>
        <w:t xml:space="preserve">上下班，</w:t>
      </w:r>
      <w:r>
        <w:rPr>
          <w:rFonts w:hint="eastAsia" w:ascii="宋体" w:hAnsi="宋体" w:eastAsia="宋体" w:cs="宋体"/>
          <w:color w:val="auto"/>
          <w:sz w:val="21"/>
          <w:szCs w:val="21"/>
          <w:highlight w:val="none"/>
          <w:lang w:val="en-US" w:bidi="ar-SA"/>
        </w:rPr>
        <w:t xml:space="preserve">坚守工作岗位。所有食堂工作人员必须社会背景清楚，身体健康。所有食堂工作人员必须到采购方备案，提供健康证明。更换、补充人员必须经过备案。采购方将不定期</w:t>
      </w:r>
      <w:r>
        <w:rPr>
          <w:rFonts w:hint="eastAsia" w:ascii="宋体" w:hAnsi="宋体" w:eastAsia="宋体" w:cs="宋体"/>
          <w:color w:val="auto"/>
          <w:sz w:val="21"/>
          <w:szCs w:val="21"/>
          <w:highlight w:val="none"/>
          <w:lang w:val="en-US" w:eastAsia="zh-CN" w:bidi="ar-SA"/>
        </w:rPr>
        <w:t xml:space="preserve">地</w:t>
      </w:r>
      <w:r>
        <w:rPr>
          <w:rFonts w:hint="eastAsia" w:ascii="宋体" w:hAnsi="宋体" w:eastAsia="宋体" w:cs="宋体"/>
          <w:color w:val="auto"/>
          <w:sz w:val="21"/>
          <w:szCs w:val="21"/>
          <w:highlight w:val="none"/>
          <w:lang w:val="en-US" w:bidi="ar-SA"/>
        </w:rPr>
        <w:t xml:space="preserve">对人员上岗情况进行考核，考核如在1个月内达不到要求，采购方有权对成交单位进行惩罚。</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6.2养成良好的工作习惯</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各种厨具、餐具要固定放置</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使用完毕后及时放回原处</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各种物品不随处乱放。</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6.3爱护公物。使用锅炉、压面机等械具要严格遵守操作规程</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清洗餐具、厨具要细心、细致。</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6.4做好食堂卫生工作。上岗期间必须戴口罩，着工作服、工作帽、一次性手套</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注意做好食品卫生</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餐具卫生</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环境卫生</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个人卫生工作</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如有咳嗽、腹泻、发烧、呕吐等疾病</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应向食堂管理人员请假</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离开食堂工作岗位。</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6.5食堂工作人员要服务规范、语言文明</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工作期间不打闹、不与员工争吵。</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7、食堂卫生制度</w:t>
      </w:r>
      <w:r>
        <w:rPr>
          <w:rFonts w:hint="eastAsia" w:ascii="宋体" w:hAnsi="宋体" w:eastAsia="宋体" w:cs="宋体"/>
          <w:color w:val="auto"/>
          <w:sz w:val="21"/>
          <w:szCs w:val="21"/>
          <w:highlight w:val="none"/>
          <w:lang w:val="en-US" w:eastAsia="zh-CN" w:bidi="ar-SA"/>
        </w:rPr>
        <w:t xml:space="preserve">：</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7.1禁止使用不新鲜食品</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严禁</w:t>
      </w:r>
      <w:r>
        <w:rPr>
          <w:rFonts w:hint="eastAsia" w:ascii="宋体" w:hAnsi="宋体" w:eastAsia="宋体" w:cs="宋体"/>
          <w:color w:val="auto"/>
          <w:sz w:val="21"/>
          <w:szCs w:val="21"/>
          <w:highlight w:val="none"/>
          <w:lang w:val="en-US" w:eastAsia="zh-CN" w:bidi="ar-SA"/>
        </w:rPr>
        <w:t xml:space="preserve">使用</w:t>
      </w:r>
      <w:r>
        <w:rPr>
          <w:rFonts w:hint="eastAsia" w:ascii="宋体" w:hAnsi="宋体" w:eastAsia="宋体" w:cs="宋体"/>
          <w:color w:val="auto"/>
          <w:sz w:val="21"/>
          <w:szCs w:val="21"/>
          <w:highlight w:val="none"/>
          <w:lang w:val="en-US" w:bidi="ar-SA"/>
        </w:rPr>
        <w:t xml:space="preserve">腐烂变质的食物</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以及其他感官性状异常食物。</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7.2要做到生品与成品、熟品相隔离</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成品与半成品相隔离</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食品与杂物相隔离。冷藏时要做到荤腥类食品与其他食品相隔离。</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7.3食物制作及销售过程中要注意防蝇、防灰尘</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以避免杂物混入食品。</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7.4各种调料不宜久置</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装盛调料各种器具应经常洗涤。</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7.5餐具、厨具卫生</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（1）刀、墩、板、桶、盆、筐、灶、锅、抹布等厨具要每餐清洗</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保持厨具的清洁。餐具用后要一洗二刷三冲四消毒四类。</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（2）厨具和餐具要固定摆好。</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7.6、环境卫生</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（1）要经常性打扫和清洗食堂地面</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做到地面无杂物和积水</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（2）储藏室要保持干净、干燥和通风</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储藏间不得存放其他杂物及个人物件</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物品存放要离地</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隔墙</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分类。</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（3）对食堂周围的阴沟、角落、泔水桶</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垃圾堆要经常性清理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预防细菌感染食物</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（4）对存放厨具</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餐具的各个角落要经常抹洗。</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（5）餐厅内有健全的防鼠、防蝇、防尘“三防措施”（特别是分菜间、加工间、餐厅等场所的门窗）。</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7.7、食堂工作人员个人卫生</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（1）食堂工作人员要做到"四勤"勤洗手</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剪指甲</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勤洗衣服</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被褥</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勤洗澡</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理发</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勤换工作服。</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（2）在工作前及处理食品原料后、便后要用肥皂及流动清水洗手</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直接用手接触入口食品之前</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如抓粉条</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切菜</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加工面粉等</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应用热水消毒。</w:t>
      </w:r>
      <w:r/>
    </w:p>
    <w:p>
      <w:pPr>
        <w:ind w:firstLine="420"/>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（3）不得在食品加工期间及销售食品前抽烟</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不正对食品咳嗽、打喷嚏</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不随处吐痰。</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8、监督与管理</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8.1采购方将定期对食堂卫生及饭菜质量进行监督。</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8.2采购方将强化员工监督，设立食堂职工监督栏。定期做问卷调查。通过听取员工意见，汇总后向成交单位发出整改通知，</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必须响应，并提交整改措施，由后勤主管监督执行。</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8.3采购方将每月进行一次食堂工作考核，考核办法附后。考核内容包括食堂工作人员工作态度，食堂管理制度执行情况等相关事宜。</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8.4</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人员必须遵守采购方管理制度，人员、车辆、物资出入门检查登记，未经采购方有关部门同意，不得携带物品出采购单位。</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8.5</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不准以任何形式向其他单位或个人转包或分包，否则按违约处理。</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8.6法定公信部门将不定期对“卫生安全质量”进行监督检查。</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9、违约责任</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若</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在服务期间，出现下列情形之一的，</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有权终止或解除合同。</w:t>
      </w:r>
      <w:r/>
    </w:p>
    <w:p>
      <w:pPr>
        <w:ind w:firstLine="420"/>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（1）未经</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许可，将中标的服务全部或部分转包他人；</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组织的对</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季度考核不合格的；</w:t>
      </w:r>
      <w:r/>
    </w:p>
    <w:p>
      <w:pPr>
        <w:ind w:firstLine="432"/>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（3）不履行合同条款，有严重违法经营行为或严重违反食品卫生法和违反采购人有关规定的。</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服务期间有人员不到位，实际到岗人数（岗位）未达</w:t>
      </w:r>
      <w:r>
        <w:rPr>
          <w:rFonts w:hint="eastAsia" w:ascii="宋体" w:hAnsi="宋体" w:eastAsia="宋体" w:cs="宋体"/>
          <w:color w:val="auto"/>
          <w:sz w:val="21"/>
          <w:szCs w:val="21"/>
          <w:highlight w:val="none"/>
          <w:lang w:val="en-US" w:eastAsia="zh-CN" w:bidi="ar-SA"/>
        </w:rPr>
        <w:t xml:space="preserve">采购文件</w:t>
      </w:r>
      <w:r>
        <w:rPr>
          <w:rFonts w:hint="eastAsia" w:ascii="宋体" w:hAnsi="宋体" w:eastAsia="宋体" w:cs="宋体"/>
          <w:color w:val="auto"/>
          <w:sz w:val="21"/>
          <w:szCs w:val="21"/>
          <w:highlight w:val="none"/>
          <w:lang w:val="en-US" w:bidi="ar-SA"/>
        </w:rPr>
        <w:t xml:space="preserve">规定的人数，影响服务管理质量的，经</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要求</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及时改正，</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仍拒不改正的，</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有权终止或解除合同。</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）厨师未按规定半年轮岗一次，</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要求</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及时改正，</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仍拒不改正的；</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派驻的所有服务人员有健康状况不达标，无法提供健康证明或体检合格证的，使用超龄人员的，</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要求</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及时改正，</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仍拒不改正的，</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有权终止或解除合同。</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bidi="ar-SA"/>
        </w:rPr>
        <w:t xml:space="preserve">）出现重大食品安全或事故问题，包括但不限于因</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管理出现严重失误，导致出现食物中毒等生命财产安全重大事故的（如有人员伤亡医药费在2万元以上的或有财产损失2万元以上的），</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有权终止或解除合同。</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应赔偿</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造成的经济损失并承担所有责任。</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10、相关费用</w:t>
      </w:r>
      <w:r>
        <w:rPr>
          <w:rFonts w:hint="eastAsia" w:ascii="宋体" w:hAnsi="宋体" w:eastAsia="宋体" w:cs="宋体"/>
          <w:color w:val="auto"/>
          <w:sz w:val="21"/>
          <w:szCs w:val="21"/>
          <w:highlight w:val="none"/>
          <w:lang w:val="en-US" w:eastAsia="zh-CN" w:bidi="ar-SA"/>
        </w:rPr>
        <w:t xml:space="preserve">：</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10.1采购方仅提供现有厨房场地及设备； </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10.2采购方统一负责制作就餐卡；</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10.3厨房工程类的非</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责任所造成的维修费用由采购人承担；</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10.4食堂用餐餐具、洗涤用品、卫生用品等所有易耗品由采购人提供；</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10.5食堂工作人员的招聘、管理、工资、社保、意外险、管理费及开票税金、服装及福利等由</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承担；</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10.6水电气、蒸汽费用由采购人承担；</w:t>
      </w:r>
      <w:r/>
    </w:p>
    <w:p>
      <w:pPr>
        <w:ind w:firstLine="432"/>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10.7厨房设备的维修保养由采购人承担；</w:t>
      </w:r>
      <w:r/>
    </w:p>
    <w:p>
      <w:pPr>
        <w:ind w:firstLine="420"/>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10.8如涉及采购方资产的变更与处置，由采购人决定。原有厨房设备的更换、报损由采购人确认。</w:t>
      </w:r>
      <w:r/>
    </w:p>
    <w:p>
      <w:pPr>
        <w:spacing w:line="40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（五）投标方案要求：</w:t>
      </w:r>
      <w:r/>
    </w:p>
    <w:p>
      <w:pPr>
        <w:ind w:firstLine="420"/>
        <w:spacing w:line="360" w:lineRule="exact"/>
        <w:tabs>
          <w:tab w:val="left" w:pos="72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投标人须就以上服务工作制作详细的服务方案。管理方案的内容至少应包含以下内容：</w:t>
      </w:r>
      <w:r/>
    </w:p>
    <w:p>
      <w:pPr>
        <w:ind w:firstLine="420"/>
        <w:spacing w:line="360" w:lineRule="exact"/>
        <w:tabs>
          <w:tab w:val="left" w:pos="72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1、拟采取的管理及服务方式。包括：组织架构、机构设置、信息反馈渠道等；</w:t>
      </w:r>
      <w:r/>
    </w:p>
    <w:p>
      <w:pPr>
        <w:ind w:firstLine="420"/>
        <w:spacing w:line="360" w:lineRule="exact"/>
        <w:tabs>
          <w:tab w:val="left" w:pos="72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2、各项管理服务具体方案设计。</w:t>
      </w:r>
      <w:r/>
    </w:p>
    <w:p>
      <w:pPr>
        <w:ind w:firstLine="420"/>
        <w:spacing w:line="360" w:lineRule="exact"/>
        <w:tabs>
          <w:tab w:val="left" w:pos="72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3、管理人员配备和其他员工的配备；</w:t>
      </w:r>
      <w:r/>
    </w:p>
    <w:p>
      <w:pPr>
        <w:ind w:firstLine="420"/>
        <w:spacing w:line="360" w:lineRule="exact"/>
        <w:tabs>
          <w:tab w:val="left" w:pos="72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4、管理人员的培训和发展计划，包括培训计划、方式、目标等；</w:t>
      </w:r>
      <w:r/>
    </w:p>
    <w:p>
      <w:pPr>
        <w:ind w:firstLine="420"/>
        <w:spacing w:line="360" w:lineRule="exact"/>
        <w:tabs>
          <w:tab w:val="left" w:pos="72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5、管理质量和考核计划；</w:t>
      </w:r>
      <w:r/>
    </w:p>
    <w:p>
      <w:pPr>
        <w:ind w:firstLine="420"/>
        <w:spacing w:line="360" w:lineRule="exact"/>
        <w:tabs>
          <w:tab w:val="left" w:pos="72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6、合同期内可提供给采购方的文件资料清单；</w:t>
      </w:r>
      <w:r/>
    </w:p>
    <w:p>
      <w:pPr>
        <w:ind w:firstLine="420"/>
        <w:spacing w:line="360" w:lineRule="exact"/>
        <w:tabs>
          <w:tab w:val="left" w:pos="72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7、合同终止时，保留给采购方的资料清单；</w:t>
      </w:r>
      <w:r/>
    </w:p>
    <w:p>
      <w:pPr>
        <w:spacing w:line="400" w:lineRule="exact"/>
        <w:rPr>
          <w:rFonts w:hint="eastAsia" w:ascii="宋体" w:hAnsi="宋体" w:eastAsia="宋体" w:cs="宋体"/>
          <w:color w:val="auto"/>
          <w:sz w:val="21"/>
          <w:szCs w:val="21"/>
          <w:highlight w:val="none"/>
          <w:lang w:val="en-US" w:bidi="ar-SA"/>
        </w:rPr>
        <w:outlineLvl w:val="0"/>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en-US" w:bidi="ar-SA"/>
        </w:rPr>
        <w:t xml:space="preserve">）付款方式</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每月支付的合同价款=在每月服务结束后的两周内，付清上月（一个月）服务费用，上月支付的合同价款=（合同总价款/12个月）- 考核扣款。</w:t>
      </w:r>
      <w:r/>
    </w:p>
    <w:p>
      <w:pPr>
        <w:spacing w:line="440" w:lineRule="exact"/>
        <w:rPr>
          <w:rFonts w:hint="eastAsia" w:ascii="宋体" w:hAnsi="宋体" w:eastAsia="宋体" w:cs="宋体"/>
          <w:b/>
          <w:bCs/>
          <w:color w:val="auto"/>
          <w:sz w:val="21"/>
          <w:szCs w:val="21"/>
          <w:highlight w:val="none"/>
          <w:lang w:val="en-US" w:bidi="ar-SA"/>
        </w:rPr>
      </w:pPr>
      <w:r>
        <w:rPr>
          <w:rFonts w:hint="eastAsia" w:ascii="宋体" w:hAnsi="宋体" w:eastAsia="宋体" w:cs="宋体"/>
          <w:b/>
          <w:bCs/>
          <w:color w:val="auto"/>
          <w:sz w:val="21"/>
          <w:szCs w:val="21"/>
          <w:highlight w:val="none"/>
          <w:lang w:val="en-US" w:eastAsia="zh-CN" w:bidi="ar-SA"/>
        </w:rPr>
        <w:t xml:space="preserve">八</w:t>
      </w:r>
      <w:r>
        <w:rPr>
          <w:rFonts w:hint="eastAsia" w:ascii="宋体" w:hAnsi="宋体" w:eastAsia="宋体" w:cs="宋体"/>
          <w:b/>
          <w:bCs/>
          <w:color w:val="auto"/>
          <w:sz w:val="21"/>
          <w:szCs w:val="21"/>
          <w:highlight w:val="none"/>
          <w:lang w:val="en-US" w:bidi="ar-SA"/>
        </w:rPr>
        <w:t xml:space="preserve">、综合说明及其他要求：</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在进驻</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时要提供所有服务人员基本信息（身份证复印件，体检报告原件等）</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2、因</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管理不善，造成工作范围内的设施、设备等损坏的，由直接负责人赔偿，若直接负责人因故无法赔偿的，</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有权要求成交单位负责赔偿损失，情节严重的可终止合同甚至诉诸法律。</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须为员工配置统一的工作服、胸卡等。</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4、针对本项目采购人将为</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提供的公用设备如：办公用房、办公桌椅等必要的办公用具。</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工作人员在岗履行职责期间（包括上下班途中），发生自身的人身伤害、伤亡，均由</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负责处理并承担经济和道义上的责任，</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不承担任何责任。</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6、所有工作人员必须具备一年内有效的体检证明（个人健康证）。</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所委派至</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工作的所有劳动者，均应与</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签订书面劳动合同，支付不低于当地最低工资水平的薪酬，并由</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为派驻员工缴纳社保等所有法定保险；若</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委派至</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工作的劳动者，因任何理由通过劳动仲裁、法院诉讼等任何途径向</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主张任何劳动者权益，若受诉机关判令</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向该劳动者承担任何责任后，则</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依法代偿后，有权向</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全额追偿，</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不得以任何理由予以推脱。</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派驻</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的所有劳动者在</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工作期间，不管因其个人原因还是工作原因</w:t>
      </w:r>
      <w:r>
        <w:rPr>
          <w:rFonts w:hint="eastAsia" w:ascii="宋体" w:hAnsi="宋体" w:eastAsia="宋体" w:cs="宋体"/>
          <w:color w:val="auto"/>
          <w:sz w:val="21"/>
          <w:szCs w:val="21"/>
          <w:highlight w:val="none"/>
          <w:lang w:val="en-US" w:eastAsia="zh-CN" w:bidi="ar-SA"/>
        </w:rPr>
        <w:t xml:space="preserve">抑或</w:t>
      </w:r>
      <w:r>
        <w:rPr>
          <w:rFonts w:hint="eastAsia" w:ascii="宋体" w:hAnsi="宋体" w:eastAsia="宋体" w:cs="宋体"/>
          <w:color w:val="auto"/>
          <w:sz w:val="21"/>
          <w:szCs w:val="21"/>
          <w:highlight w:val="none"/>
          <w:lang w:val="en-US" w:bidi="ar-SA"/>
        </w:rPr>
        <w:t xml:space="preserve">第三人原因，所受到的人身或财产损害均由</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或第三人或劳动者自行承担，而不得以劳动仲裁或诉讼等途径向</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主张相关权利；若</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委派至</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工作的所有劳动者，通过劳动仲裁或诉讼任何方式向</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主张任何权利，任何法定机关通过仲裁裁决、法院判决等形式判令</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向该受害劳动者承担赔偿责任后，则</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依法代偿后，有权向</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全额追偿，</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不得以任何理由予以推脱。</w:t>
      </w:r>
      <w:r/>
    </w:p>
    <w:p>
      <w:pPr>
        <w:ind w:firstLine="420"/>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9、若</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派驻</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的所有劳动者造成</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人员或任何第三人人身财产损失，若该受害人向</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主张相应权利，则</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依法代偿后，有权向</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全额追偿，</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不得以任何理由予以推脱。</w:t>
      </w:r>
      <w:r/>
    </w:p>
    <w:p>
      <w:pPr>
        <w:pStyle w:val="1015"/>
        <w:spacing w:line="360" w:lineRule="auto"/>
        <w:rPr>
          <w:rFonts w:hint="eastAsia" w:hAnsi="宋体" w:cs="宋体"/>
          <w:b/>
          <w:color w:val="auto"/>
          <w:szCs w:val="21"/>
          <w:highlight w:val="none"/>
        </w:rPr>
        <w:outlineLvl w:val="1"/>
      </w:pPr>
      <w:r>
        <w:rPr>
          <w:rFonts w:hint="eastAsia" w:ascii="宋体" w:hAnsi="宋体" w:eastAsia="宋体" w:cs="宋体"/>
          <w:color w:val="auto"/>
          <w:sz w:val="21"/>
          <w:szCs w:val="21"/>
          <w:highlight w:val="none"/>
          <w:lang w:val="en-US" w:bidi="ar-SA"/>
        </w:rPr>
        <w:t xml:space="preserve">10、如</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对服务缺陷不予更正，</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bidi="ar-SA"/>
        </w:rPr>
        <w:t xml:space="preserve">有权另请其他单位更正，所发生的费用由</w:t>
      </w:r>
      <w:r>
        <w:rPr>
          <w:rFonts w:hint="eastAsia" w:ascii="宋体" w:hAnsi="宋体" w:eastAsia="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bidi="ar-SA"/>
        </w:rPr>
        <w:t xml:space="preserve">承担。</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10</w:t>
      </w:r>
      <w:r>
        <w:rPr>
          <w:rFonts w:hint="eastAsia" w:ascii="宋体" w:hAnsi="宋体" w:cs="宋体"/>
          <w:b w:val="0"/>
          <w:bCs w:val="0"/>
          <w:color w:val="auto"/>
          <w:szCs w:val="21"/>
          <w:highlight w:val="none"/>
        </w:rPr>
        <w:t xml:space="preserve">、凡涉及</w:t>
      </w:r>
      <w:r>
        <w:rPr>
          <w:rFonts w:hint="eastAsia" w:ascii="宋体" w:hAnsi="宋体" w:cs="宋体"/>
          <w:b w:val="0"/>
          <w:bCs w:val="0"/>
          <w:color w:val="auto"/>
          <w:szCs w:val="21"/>
          <w:highlight w:val="none"/>
          <w:lang w:eastAsia="zh-CN"/>
        </w:rPr>
        <w:t xml:space="preserve">采购文件</w:t>
      </w:r>
      <w:r>
        <w:rPr>
          <w:rFonts w:hint="eastAsia" w:ascii="宋体" w:hAnsi="宋体" w:cs="宋体"/>
          <w:b w:val="0"/>
          <w:bCs w:val="0"/>
          <w:color w:val="auto"/>
          <w:szCs w:val="21"/>
          <w:highlight w:val="none"/>
        </w:rPr>
        <w:t xml:space="preserve">的补充说明和修改，均以</w:t>
      </w:r>
      <w:r>
        <w:rPr>
          <w:rFonts w:hint="eastAsia" w:ascii="宋体" w:hAnsi="宋体" w:cs="宋体"/>
          <w:b w:val="0"/>
          <w:bCs w:val="0"/>
          <w:color w:val="auto"/>
          <w:szCs w:val="21"/>
          <w:highlight w:val="none"/>
          <w:lang w:val="en-US" w:eastAsia="zh-CN"/>
        </w:rPr>
        <w:t xml:space="preserve">苏州市</w:t>
      </w:r>
      <w:r>
        <w:rPr>
          <w:rFonts w:hint="eastAsia" w:ascii="宋体" w:hAnsi="宋体" w:cs="宋体"/>
          <w:b w:val="0"/>
          <w:bCs w:val="0"/>
          <w:color w:val="auto"/>
          <w:szCs w:val="21"/>
          <w:highlight w:val="none"/>
        </w:rPr>
        <w:t xml:space="preserve">政府采购网公示的补充通知为准。</w:t>
      </w:r>
      <w:r/>
    </w:p>
    <w:p>
      <w:pPr>
        <w:pStyle w:val="1009"/>
        <w:rPr>
          <w:b w:val="0"/>
          <w:bCs w:val="0"/>
          <w:color w:val="auto"/>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pPr>
      <w:r>
        <w:rPr>
          <w:b w:val="0"/>
          <w:bCs w:val="0"/>
          <w:color w:val="auto"/>
          <w:highlight w:val="none"/>
        </w:rPr>
      </w:r>
      <w:r/>
    </w:p>
    <w:p>
      <w:pPr>
        <w:pStyle w:val="993"/>
        <w:jc w:val="center"/>
        <w:spacing w:after="156"/>
        <w:rPr>
          <w:rFonts w:ascii="Times New Roman" w:hAnsi="Times New Roman" w:cs="Times New Roman"/>
          <w:color w:val="auto"/>
          <w:sz w:val="44"/>
          <w:szCs w:val="44"/>
          <w:highlight w:val="none"/>
          <w:lang w:val="zh-CN"/>
        </w:rPr>
      </w:pPr>
      <w:r>
        <w:rPr>
          <w:rFonts w:hint="eastAsia" w:ascii="Times New Roman" w:hAnsi="Times New Roman" w:cs="Times New Roman"/>
          <w:color w:val="auto"/>
          <w:sz w:val="44"/>
          <w:szCs w:val="44"/>
          <w:highlight w:val="none"/>
          <w:lang w:val="zh-CN"/>
        </w:rPr>
        <w:t xml:space="preserve">第五章 合同的主要条款</w:t>
      </w:r>
      <w:bookmarkEnd w:id="50"/>
      <w:r/>
      <w:bookmarkEnd w:id="51"/>
      <w:r/>
      <w:bookmarkEnd w:id="52"/>
      <w:r/>
      <w:bookmarkEnd w:id="53"/>
      <w:r/>
      <w:r/>
    </w:p>
    <w:p>
      <w:pPr>
        <w:ind w:firstLine="422"/>
        <w:spacing w:line="360" w:lineRule="auto"/>
        <w:rPr>
          <w:rFonts w:hint="eastAsia" w:ascii="宋体" w:hAnsi="宋体" w:eastAsia="宋体" w:cs="宋体"/>
          <w:b/>
          <w:bCs/>
          <w:color w:val="auto"/>
          <w:szCs w:val="21"/>
          <w:highlight w:val="none"/>
        </w:rPr>
      </w:pPr>
      <w:r/>
      <w:bookmarkStart w:id="54" w:name="_Toc3201"/>
      <w:r/>
      <w:bookmarkStart w:id="55" w:name="_Toc61514586"/>
      <w:r>
        <w:rPr>
          <w:rFonts w:hint="eastAsia" w:ascii="宋体" w:hAnsi="宋体" w:eastAsia="宋体" w:cs="宋体"/>
          <w:b/>
          <w:bCs/>
          <w:color w:val="auto"/>
          <w:szCs w:val="21"/>
          <w:highlight w:val="none"/>
        </w:rPr>
        <w:t xml:space="preserve">甲方（采购单位）：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联系人：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联系电话：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乙方（成交单位）：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联系人：                 </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联系电话：  </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根据甲方委托名源工程招投标咨询（苏州）有限公司进行本项目采购</w:t>
      </w:r>
      <w:r>
        <w:rPr>
          <w:rFonts w:hint="eastAsia" w:ascii="宋体" w:hAnsi="宋体" w:cs="宋体"/>
          <w:color w:val="auto"/>
          <w:szCs w:val="21"/>
          <w:highlight w:val="none"/>
          <w:u w:val="single"/>
          <w:lang w:val="zh-CN"/>
        </w:rPr>
        <w:t xml:space="preserve">JSZC-320509-MYDL-C2026-0005</w:t>
      </w:r>
      <w:r>
        <w:rPr>
          <w:rFonts w:hint="eastAsia" w:ascii="宋体" w:hAnsi="宋体" w:eastAsia="宋体" w:cs="宋体"/>
          <w:color w:val="auto"/>
          <w:szCs w:val="21"/>
          <w:highlight w:val="none"/>
          <w:lang w:val="zh-CN"/>
        </w:rPr>
        <w:t xml:space="preserve">号</w:t>
      </w:r>
      <w:r>
        <w:rPr>
          <w:rFonts w:hint="eastAsia" w:ascii="宋体" w:hAnsi="宋体" w:eastAsia="宋体" w:cs="宋体"/>
          <w:color w:val="auto"/>
          <w:szCs w:val="21"/>
          <w:highlight w:val="none"/>
          <w:u w:val="single"/>
          <w:lang w:val="zh-CN"/>
        </w:rPr>
        <w:t xml:space="preserve">东太湖大厦食堂服务外包</w:t>
      </w:r>
      <w:r>
        <w:rPr>
          <w:rFonts w:hint="eastAsia" w:ascii="宋体" w:hAnsi="宋体" w:eastAsia="宋体" w:cs="宋体"/>
          <w:color w:val="auto"/>
          <w:szCs w:val="21"/>
          <w:highlight w:val="none"/>
          <w:lang w:val="zh-CN"/>
        </w:rPr>
        <w:t xml:space="preserve">的成交结果，确定乙方为本次成交单位，现依照磋商采购文件、乙方的磋商响应文件及相关文件的内容，签订本合同书。</w:t>
      </w:r>
      <w:r/>
    </w:p>
    <w:p>
      <w:pPr>
        <w:jc w:val="left"/>
        <w:spacing w:line="48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b/>
          <w:color w:val="auto"/>
          <w:sz w:val="21"/>
          <w:szCs w:val="21"/>
          <w:highlight w:val="none"/>
          <w:lang w:val="en-US" w:bidi="ar-SA"/>
        </w:rPr>
        <w:t xml:space="preserve">一、采购内容：</w:t>
      </w:r>
      <w:r>
        <w:rPr>
          <w:rFonts w:hint="eastAsia" w:ascii="宋体" w:hAnsi="宋体" w:eastAsia="宋体" w:cs="宋体"/>
          <w:color w:val="auto"/>
          <w:sz w:val="21"/>
          <w:szCs w:val="21"/>
          <w:highlight w:val="none"/>
          <w:u w:val="single"/>
          <w:lang w:val="en-US" w:eastAsia="zh-CN" w:bidi="ar-SA"/>
        </w:rPr>
        <w:t xml:space="preserve">东太湖大厦食堂服务外包</w:t>
      </w:r>
      <w:r/>
    </w:p>
    <w:p>
      <w:pPr>
        <w:jc w:val="left"/>
        <w:spacing w:line="480" w:lineRule="exact"/>
        <w:rPr>
          <w:rFonts w:hint="eastAsia" w:ascii="宋体" w:hAnsi="宋体" w:eastAsia="宋体" w:cs="宋体"/>
          <w:b/>
          <w:bCs/>
          <w:color w:val="auto"/>
          <w:sz w:val="21"/>
          <w:szCs w:val="21"/>
          <w:highlight w:val="none"/>
          <w:lang w:val="zh-CN" w:bidi="ar-SA"/>
        </w:rPr>
      </w:pPr>
      <w:r>
        <w:rPr>
          <w:rFonts w:hint="eastAsia" w:ascii="宋体" w:hAnsi="宋体" w:eastAsia="宋体" w:cs="宋体"/>
          <w:b/>
          <w:bCs/>
          <w:color w:val="auto"/>
          <w:sz w:val="21"/>
          <w:szCs w:val="21"/>
          <w:highlight w:val="none"/>
          <w:lang w:val="en-US" w:bidi="ar-SA"/>
        </w:rPr>
        <w:t xml:space="preserve">二</w:t>
      </w:r>
      <w:r>
        <w:rPr>
          <w:rFonts w:hint="eastAsia" w:ascii="宋体" w:hAnsi="宋体" w:eastAsia="宋体" w:cs="宋体"/>
          <w:b/>
          <w:bCs/>
          <w:color w:val="auto"/>
          <w:sz w:val="21"/>
          <w:szCs w:val="21"/>
          <w:highlight w:val="none"/>
          <w:lang w:val="zh-CN" w:bidi="ar-SA"/>
        </w:rPr>
        <w:t xml:space="preserve">、下列文件为本合同不可分割部分：</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bidi="ar-SA"/>
        </w:rPr>
        <w:t xml:space="preserve">1、</w:t>
      </w:r>
      <w:r>
        <w:rPr>
          <w:rFonts w:hint="eastAsia" w:ascii="宋体" w:hAnsi="宋体" w:eastAsia="宋体" w:cs="宋体"/>
          <w:color w:val="auto"/>
          <w:sz w:val="21"/>
          <w:szCs w:val="21"/>
          <w:highlight w:val="none"/>
          <w:lang w:val="zh-CN" w:bidi="ar-SA"/>
        </w:rPr>
        <w:t xml:space="preserve">中标通知书；</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bidi="ar-SA"/>
        </w:rPr>
        <w:t xml:space="preserve">2、</w:t>
      </w:r>
      <w:r>
        <w:rPr>
          <w:rFonts w:hint="eastAsia" w:ascii="宋体" w:hAnsi="宋体" w:eastAsia="宋体" w:cs="宋体"/>
          <w:color w:val="auto"/>
          <w:sz w:val="21"/>
          <w:szCs w:val="21"/>
          <w:highlight w:val="none"/>
          <w:lang w:val="zh-CN" w:bidi="ar-SA"/>
        </w:rPr>
        <w:t xml:space="preserve">招标文件及其补充文件（如有）；  </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bidi="ar-SA"/>
        </w:rPr>
        <w:t xml:space="preserve">3、</w:t>
      </w:r>
      <w:r>
        <w:rPr>
          <w:rFonts w:hint="eastAsia" w:ascii="宋体" w:hAnsi="宋体" w:eastAsia="宋体" w:cs="宋体"/>
          <w:color w:val="auto"/>
          <w:sz w:val="21"/>
          <w:szCs w:val="21"/>
          <w:highlight w:val="none"/>
          <w:lang w:val="zh-CN" w:bidi="ar-SA"/>
        </w:rPr>
        <w:t xml:space="preserve">乙方中标的投标文件；</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bidi="ar-SA"/>
        </w:rPr>
        <w:t xml:space="preserve">4、</w:t>
      </w:r>
      <w:r>
        <w:rPr>
          <w:rFonts w:hint="eastAsia" w:ascii="宋体" w:hAnsi="宋体" w:eastAsia="宋体" w:cs="宋体"/>
          <w:color w:val="auto"/>
          <w:sz w:val="21"/>
          <w:szCs w:val="21"/>
          <w:highlight w:val="none"/>
          <w:lang w:val="zh-CN" w:bidi="ar-SA"/>
        </w:rPr>
        <w:t xml:space="preserve">乙方在招投标过程中所作的其他承诺、声明、书面澄清等。</w:t>
      </w:r>
      <w:r/>
    </w:p>
    <w:p>
      <w:pPr>
        <w:jc w:val="left"/>
        <w:spacing w:line="480" w:lineRule="exact"/>
        <w:rPr>
          <w:rFonts w:hint="eastAsia" w:ascii="宋体" w:hAnsi="宋体" w:eastAsia="宋体" w:cs="宋体"/>
          <w:b/>
          <w:bCs/>
          <w:color w:val="auto"/>
          <w:sz w:val="21"/>
          <w:szCs w:val="21"/>
          <w:highlight w:val="none"/>
          <w:lang w:val="zh-CN" w:bidi="ar-SA"/>
        </w:rPr>
      </w:pPr>
      <w:r>
        <w:rPr>
          <w:rFonts w:hint="eastAsia" w:ascii="宋体" w:hAnsi="宋体" w:eastAsia="宋体" w:cs="宋体"/>
          <w:b/>
          <w:bCs/>
          <w:color w:val="auto"/>
          <w:sz w:val="21"/>
          <w:szCs w:val="21"/>
          <w:highlight w:val="none"/>
          <w:lang w:val="en-US" w:bidi="ar-SA"/>
        </w:rPr>
        <w:t xml:space="preserve">三</w:t>
      </w:r>
      <w:r>
        <w:rPr>
          <w:rFonts w:hint="eastAsia" w:ascii="宋体" w:hAnsi="宋体" w:eastAsia="宋体" w:cs="宋体"/>
          <w:b/>
          <w:bCs/>
          <w:color w:val="auto"/>
          <w:sz w:val="21"/>
          <w:szCs w:val="21"/>
          <w:highlight w:val="none"/>
          <w:lang w:val="zh-CN" w:bidi="ar-SA"/>
        </w:rPr>
        <w:t xml:space="preserve">、价格与支付：</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bidi="ar-SA"/>
        </w:rPr>
        <w:t xml:space="preserve">1、</w:t>
      </w:r>
      <w:r>
        <w:rPr>
          <w:rFonts w:hint="eastAsia" w:ascii="宋体" w:hAnsi="宋体" w:eastAsia="宋体" w:cs="宋体"/>
          <w:color w:val="auto"/>
          <w:sz w:val="21"/>
          <w:szCs w:val="21"/>
          <w:highlight w:val="none"/>
          <w:lang w:val="zh-CN" w:bidi="ar-SA"/>
        </w:rPr>
        <w:t xml:space="preserve">本次招标项目的报价以人民币报价；</w:t>
      </w:r>
      <w:r/>
    </w:p>
    <w:p>
      <w:pPr>
        <w:ind w:firstLine="420"/>
        <w:jc w:val="left"/>
        <w:spacing w:line="480" w:lineRule="exact"/>
        <w:rPr>
          <w:rFonts w:hint="eastAsia" w:ascii="宋体" w:hAnsi="宋体" w:eastAsia="宋体" w:cs="宋体"/>
          <w:color w:val="auto"/>
          <w:sz w:val="21"/>
          <w:szCs w:val="21"/>
          <w:highlight w:val="none"/>
          <w:u w:val="single"/>
          <w:lang w:val="en-US" w:bidi="ar-SA"/>
        </w:rPr>
      </w:pPr>
      <w:r>
        <w:rPr>
          <w:rFonts w:hint="eastAsia" w:ascii="宋体" w:hAnsi="宋体" w:eastAsia="宋体" w:cs="宋体"/>
          <w:color w:val="auto"/>
          <w:sz w:val="21"/>
          <w:szCs w:val="21"/>
          <w:highlight w:val="none"/>
          <w:lang w:val="en-US" w:bidi="ar-SA"/>
        </w:rPr>
        <w:t xml:space="preserve">2、</w:t>
      </w:r>
      <w:r>
        <w:rPr>
          <w:rFonts w:hint="eastAsia" w:ascii="宋体" w:hAnsi="宋体" w:eastAsia="宋体" w:cs="宋体"/>
          <w:color w:val="auto"/>
          <w:sz w:val="21"/>
          <w:szCs w:val="21"/>
          <w:highlight w:val="none"/>
          <w:lang w:val="zh-CN" w:bidi="ar-SA"/>
        </w:rPr>
        <w:t xml:space="preserve">合同价格按此次中标价格执行，合同总金额为人民币</w:t>
      </w:r>
      <w:r>
        <w:rPr>
          <w:rFonts w:hint="eastAsia" w:ascii="宋体" w:hAnsi="宋体" w:eastAsia="宋体" w:cs="宋体"/>
          <w:color w:val="auto"/>
          <w:sz w:val="21"/>
          <w:szCs w:val="21"/>
          <w:highlight w:val="none"/>
          <w:u w:val="single"/>
          <w:lang w:val="en-US" w:bidi="ar-SA"/>
        </w:rPr>
        <w:t xml:space="preserve">   /  （￥：     </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    </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bidi="ar-SA"/>
        </w:rPr>
        <w:t xml:space="preserve">3、</w:t>
      </w:r>
      <w:r>
        <w:rPr>
          <w:rFonts w:hint="eastAsia" w:ascii="宋体" w:hAnsi="宋体" w:eastAsia="宋体" w:cs="宋体"/>
          <w:color w:val="auto"/>
          <w:sz w:val="21"/>
          <w:szCs w:val="21"/>
          <w:highlight w:val="none"/>
          <w:lang w:val="zh-CN" w:bidi="ar-SA"/>
        </w:rPr>
        <w:t xml:space="preserve">付款步骤：</w:t>
      </w:r>
      <w:r>
        <w:rPr>
          <w:rFonts w:hint="eastAsia" w:ascii="宋体" w:hAnsi="宋体" w:eastAsia="宋体" w:cs="宋体"/>
          <w:color w:val="auto"/>
          <w:sz w:val="21"/>
          <w:szCs w:val="21"/>
          <w:highlight w:val="none"/>
          <w:lang w:val="en-US" w:bidi="ar-SA"/>
        </w:rPr>
        <w:t xml:space="preserve">每月支付的合同价款=</w:t>
      </w:r>
      <w:r>
        <w:rPr>
          <w:rFonts w:hint="eastAsia" w:ascii="宋体" w:hAnsi="宋体" w:eastAsia="宋体" w:cs="宋体"/>
          <w:color w:val="auto"/>
          <w:sz w:val="21"/>
          <w:szCs w:val="21"/>
          <w:highlight w:val="none"/>
          <w:lang w:val="zh-CN" w:bidi="ar-SA"/>
        </w:rPr>
        <w:t xml:space="preserve">在每月服务结束后的两周内，付清上月（一个月）服务费用，上月支付的合同价款=（合同总价款/</w:t>
      </w:r>
      <w:r>
        <w:rPr>
          <w:rFonts w:hint="eastAsia" w:ascii="宋体" w:hAnsi="宋体" w:eastAsia="宋体" w:cs="宋体"/>
          <w:color w:val="auto"/>
          <w:sz w:val="21"/>
          <w:szCs w:val="21"/>
          <w:highlight w:val="none"/>
          <w:lang w:val="en-US" w:bidi="ar-SA"/>
        </w:rPr>
        <w:t xml:space="preserve">12</w:t>
      </w:r>
      <w:r>
        <w:rPr>
          <w:rFonts w:hint="eastAsia" w:ascii="宋体" w:hAnsi="宋体" w:eastAsia="宋体" w:cs="宋体"/>
          <w:color w:val="auto"/>
          <w:sz w:val="21"/>
          <w:szCs w:val="21"/>
          <w:highlight w:val="none"/>
          <w:lang w:val="zh-CN" w:bidi="ar-SA"/>
        </w:rPr>
        <w:t xml:space="preserve">个月）- 考核扣款。</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bidi="ar-SA"/>
        </w:rPr>
        <w:t xml:space="preserve">4、</w:t>
      </w:r>
      <w:r>
        <w:rPr>
          <w:rFonts w:hint="eastAsia" w:ascii="宋体" w:hAnsi="宋体" w:eastAsia="宋体" w:cs="宋体"/>
          <w:color w:val="auto"/>
          <w:sz w:val="21"/>
          <w:szCs w:val="21"/>
          <w:highlight w:val="none"/>
          <w:lang w:val="zh-CN" w:bidi="ar-SA"/>
        </w:rPr>
        <w:t xml:space="preserve">付款方式：以转账方式直接转入中标人的账户。</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bidi="ar-SA"/>
        </w:rPr>
        <w:t xml:space="preserve">5、</w:t>
      </w:r>
      <w:r>
        <w:rPr>
          <w:rFonts w:hint="eastAsia" w:ascii="宋体" w:hAnsi="宋体" w:eastAsia="宋体" w:cs="宋体"/>
          <w:color w:val="auto"/>
          <w:sz w:val="21"/>
          <w:szCs w:val="21"/>
          <w:highlight w:val="none"/>
          <w:lang w:val="zh-CN" w:bidi="ar-SA"/>
        </w:rPr>
        <w:t xml:space="preserve">乙方在实际服务中，若服务期限有减少，按实际结算。</w:t>
      </w:r>
      <w:r/>
    </w:p>
    <w:p>
      <w:pPr>
        <w:jc w:val="left"/>
        <w:spacing w:line="480" w:lineRule="exact"/>
        <w:rPr>
          <w:rFonts w:hint="eastAsia" w:ascii="宋体" w:hAnsi="宋体" w:eastAsia="宋体" w:cs="宋体"/>
          <w:b/>
          <w:bCs/>
          <w:color w:val="auto"/>
          <w:sz w:val="21"/>
          <w:szCs w:val="21"/>
          <w:highlight w:val="none"/>
          <w:lang w:val="zh-CN" w:bidi="ar-SA"/>
        </w:rPr>
      </w:pPr>
      <w:r>
        <w:rPr>
          <w:rFonts w:hint="eastAsia" w:ascii="宋体" w:hAnsi="宋体" w:eastAsia="宋体" w:cs="宋体"/>
          <w:b/>
          <w:bCs/>
          <w:color w:val="auto"/>
          <w:sz w:val="21"/>
          <w:szCs w:val="21"/>
          <w:highlight w:val="none"/>
          <w:lang w:val="en-US" w:bidi="ar-SA"/>
        </w:rPr>
        <w:t xml:space="preserve">四</w:t>
      </w:r>
      <w:r>
        <w:rPr>
          <w:rFonts w:hint="eastAsia" w:ascii="宋体" w:hAnsi="宋体" w:eastAsia="宋体" w:cs="宋体"/>
          <w:b/>
          <w:bCs/>
          <w:color w:val="auto"/>
          <w:sz w:val="21"/>
          <w:szCs w:val="21"/>
          <w:highlight w:val="none"/>
          <w:lang w:val="zh-CN" w:bidi="ar-SA"/>
        </w:rPr>
        <w:t xml:space="preserve">、合同服务时间：</w:t>
      </w:r>
      <w:r/>
    </w:p>
    <w:p>
      <w:pPr>
        <w:ind w:firstLine="420"/>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zh-CN" w:bidi="ar-SA"/>
        </w:rPr>
        <w:t xml:space="preserve">本合同自  /  年  /  月   / 日至   /  年  /  月  /  日（12个月）在年度预算有保障的前提下，此项目服务内容不变且乙方通过考核的前提下，可由甲方决定是否续签。续签可通过一年一续签的方式签订合同，期限总长不得超过二年。无论是否续签，甲方都应在合同到期前一个月通知乙方。</w:t>
      </w:r>
      <w:r/>
    </w:p>
    <w:p>
      <w:pPr>
        <w:jc w:val="left"/>
        <w:spacing w:line="480" w:lineRule="exact"/>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五、服务质量与考核</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乙方应严格按照招标文件的有关规定提供服务，满足招标文件中所列全部要求和乙方承诺</w:t>
      </w:r>
      <w:r>
        <w:rPr>
          <w:rFonts w:hint="eastAsia" w:ascii="宋体" w:hAnsi="宋体" w:eastAsia="宋体" w:cs="宋体"/>
          <w:color w:val="auto"/>
          <w:sz w:val="21"/>
          <w:szCs w:val="21"/>
          <w:highlight w:val="none"/>
          <w:lang w:val="en-US" w:eastAsia="zh-CN" w:bidi="ar-SA"/>
        </w:rPr>
        <w:t xml:space="preserve">的其他指标</w:t>
      </w:r>
      <w:r>
        <w:rPr>
          <w:rFonts w:hint="eastAsia" w:ascii="宋体" w:hAnsi="宋体" w:eastAsia="宋体" w:cs="宋体"/>
          <w:color w:val="auto"/>
          <w:sz w:val="21"/>
          <w:szCs w:val="21"/>
          <w:highlight w:val="none"/>
          <w:lang w:val="en-US" w:bidi="ar-SA"/>
        </w:rPr>
        <w:t xml:space="preserve">，并由甲方按照具体项目要求进行考核。对未按规定提供服务或者部分服务不合格的，视具体情况按比例扣除 。</w:t>
      </w:r>
      <w:r/>
    </w:p>
    <w:p>
      <w:pPr>
        <w:jc w:val="left"/>
        <w:spacing w:line="480" w:lineRule="exact"/>
        <w:tabs>
          <w:tab w:val="left" w:pos="360" w:leader="none"/>
        </w:tabs>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六、双方权利义务</w:t>
      </w:r>
      <w:r/>
    </w:p>
    <w:p>
      <w:pPr>
        <w:ind w:firstLine="315"/>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（一）甲方的权利和义务</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1、审定乙方拟定工作方案、管理制度。</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2、检查监督乙方工作的实施及制度的执行情况。</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3、在项目实施过程中，如发现乙方提供虚假资料或信息，甲方有权立即停止本项目并追回已付项目经费、项目荣誉和奖励，同时在媒体</w:t>
      </w:r>
      <w:r>
        <w:rPr>
          <w:rFonts w:hint="eastAsia" w:ascii="宋体" w:hAnsi="宋体" w:eastAsia="宋体" w:cs="宋体"/>
          <w:color w:val="auto"/>
          <w:sz w:val="21"/>
          <w:szCs w:val="21"/>
          <w:highlight w:val="none"/>
          <w:lang w:val="en-US" w:eastAsia="zh-CN" w:bidi="ar-SA"/>
        </w:rPr>
        <w:t xml:space="preserve">公告</w:t>
      </w:r>
      <w:r>
        <w:rPr>
          <w:rFonts w:hint="eastAsia" w:ascii="宋体" w:hAnsi="宋体" w:eastAsia="宋体" w:cs="宋体"/>
          <w:color w:val="auto"/>
          <w:sz w:val="21"/>
          <w:szCs w:val="21"/>
          <w:highlight w:val="none"/>
          <w:lang w:val="en-US" w:bidi="ar-SA"/>
        </w:rPr>
        <w:t xml:space="preserve">，乙方三年内不得参加招投标或甲方主办的其他活动。</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（二）乙方的权利和义务</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1、乙方根据有关</w:t>
      </w:r>
      <w:r>
        <w:rPr>
          <w:rFonts w:hint="eastAsia" w:ascii="宋体" w:hAnsi="宋体" w:eastAsia="宋体" w:cs="宋体"/>
          <w:color w:val="auto"/>
          <w:sz w:val="21"/>
          <w:szCs w:val="21"/>
          <w:highlight w:val="none"/>
          <w:lang w:val="en-US" w:eastAsia="zh-CN" w:bidi="ar-SA"/>
        </w:rPr>
        <w:t xml:space="preserve">法律法规</w:t>
      </w:r>
      <w:r>
        <w:rPr>
          <w:rFonts w:hint="eastAsia" w:ascii="宋体" w:hAnsi="宋体" w:eastAsia="宋体" w:cs="宋体"/>
          <w:color w:val="auto"/>
          <w:sz w:val="21"/>
          <w:szCs w:val="21"/>
          <w:highlight w:val="none"/>
          <w:lang w:val="en-US" w:bidi="ar-SA"/>
        </w:rPr>
        <w:t xml:space="preserve">及本合同制订工作方案、管理制度。</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2、乙方须按照招标文件要求实施项目，履行承诺，保证质量。</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3、乙方在项目实施周期内接受甲方或甲方委托的第三方监管和评估，并向第三方提交监管和评估所需的所有项目信息和资料。</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4、按合同约定，对使用人违反管理制度的行为进行处置，对违反国家法规、规章的行为，提请有关部门处理。</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5、乙方应主动接受并配合甲方及财政、审计等部门对本项目的检查、指导和监督。</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6、乙方在实施项目中的人身安全及工伤或意外事故全部由乙方承担，并应对其履行本合同开展的管理或培训或其他任何活动中因乙方过错造成他人人身、财产安全负相应法律责任。</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7、本合同终止时，乙方必须向甲方移交全部管理、办公用房及管理全部档案资料。</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8、乙方应对实施项目获知的管理、培训或活动对象的隐私或其他人身、财产信息保密，除为本项目实施之目的，不得向任何无关第三人披露，否则应当对被侵权对象承担相应法律责任。</w:t>
      </w:r>
      <w:r/>
    </w:p>
    <w:p>
      <w:pPr>
        <w:jc w:val="left"/>
        <w:spacing w:line="480" w:lineRule="exact"/>
        <w:tabs>
          <w:tab w:val="left" w:pos="360" w:leader="none"/>
        </w:tabs>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七、违约责任</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合同一方不履行合同义务或者履行合同义务不符合约定的，应当承担继续履行、采取补救措施或者赔偿损失等违约责任。</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（一）甲方违约责任</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在合同生效后，甲方要求解除合同的，应向乙方偿付合同总价款10%的违约金，违约金不足以补偿损失的，乙方有权要求甲方补足。</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（二）乙方违约责任</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1、甲方支付预付款后，乙方不能履行合同或者逾期履行合同，甲方有权解除合同，并视实际损失情况按比例向乙方追缴预付款，预付款不足弥补甲方损失的，甲方有权追索。</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2、如中期验收合格后，乙方不能履行合同或者逾期履行合同，甲方有权解除合同，并视实际损失情况按比例向乙方追缴前两笔付款，已付款不足弥补甲方损失的，甲方有权追索。</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3、项目结束后，乙方未能按照招标文件及合同书的要求按时完成所有服务内容，甲方终期评估验收结果为不合格时，甲方有权不再支付项目余款，如余款</w:t>
      </w:r>
      <w:r>
        <w:rPr>
          <w:rFonts w:hint="eastAsia" w:ascii="宋体" w:hAnsi="宋体" w:eastAsia="宋体" w:cs="宋体"/>
          <w:color w:val="auto"/>
          <w:sz w:val="21"/>
          <w:szCs w:val="21"/>
          <w:highlight w:val="none"/>
          <w:lang w:val="en-US" w:eastAsia="zh-CN" w:bidi="ar-SA"/>
        </w:rPr>
        <w:t xml:space="preserve">仍</w:t>
      </w:r>
      <w:r>
        <w:rPr>
          <w:rFonts w:hint="eastAsia" w:ascii="宋体" w:hAnsi="宋体" w:eastAsia="宋体" w:cs="宋体"/>
          <w:color w:val="auto"/>
          <w:sz w:val="21"/>
          <w:szCs w:val="21"/>
          <w:highlight w:val="none"/>
          <w:lang w:val="en-US" w:bidi="ar-SA"/>
        </w:rPr>
        <w:t xml:space="preserve">不足以补偿损失的，甲方有权要求乙方补足。</w:t>
      </w:r>
      <w:r/>
    </w:p>
    <w:p>
      <w:pPr>
        <w:jc w:val="left"/>
        <w:spacing w:line="480" w:lineRule="exact"/>
        <w:tabs>
          <w:tab w:val="left" w:pos="360" w:leader="none"/>
        </w:tabs>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八、不可抗力</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1、因不可抗力不能履行合同的，根据不可抗力的影响，部分或者全部免除责任。但合同一方迟延履行后发生不可抗力的，不能免除责任。</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2、合同一方因不可抗力不能履行合同的，应当及时通知对方，以减轻可能给对方造成的损失，并应当在合理期限内提供证明。</w:t>
      </w:r>
      <w:r/>
    </w:p>
    <w:p>
      <w:pPr>
        <w:jc w:val="left"/>
        <w:spacing w:line="480" w:lineRule="exact"/>
        <w:tabs>
          <w:tab w:val="left" w:pos="360" w:leader="none"/>
        </w:tabs>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九、合同的解除和转让</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1、合同的解除</w:t>
      </w:r>
      <w:r/>
    </w:p>
    <w:p>
      <w:pPr>
        <w:ind w:firstLine="21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（1）有下列情形之一，合同一方可以解除合同：</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①因不可抗力致使不能实现合同目的，未受不可抗力影响的一方有权解除合同；</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②因合同一方违约导致合同不能履行，另一方有权解除合同；</w:t>
      </w:r>
      <w:r/>
    </w:p>
    <w:p>
      <w:pPr>
        <w:ind w:firstLine="21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（2）有权解除合同的一方，应当在违约事实或不可抗力发生之后三十天内书面通知对方以主张解除合同，合同在书面通知到达对方时解除。</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2、合同的转让</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本合同权利和义务全部不得转让，甲方因行政管理职能依法转变的除外。</w:t>
      </w:r>
      <w:r/>
    </w:p>
    <w:p>
      <w:pPr>
        <w:jc w:val="left"/>
        <w:spacing w:line="480" w:lineRule="exact"/>
        <w:tabs>
          <w:tab w:val="left" w:pos="360" w:leader="none"/>
        </w:tabs>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十、合同生效及其</w:t>
      </w:r>
      <w:r>
        <w:rPr>
          <w:rFonts w:hint="eastAsia" w:ascii="宋体" w:hAnsi="宋体" w:eastAsia="宋体" w:cs="宋体"/>
          <w:b/>
          <w:color w:val="auto"/>
          <w:sz w:val="21"/>
          <w:szCs w:val="21"/>
          <w:highlight w:val="none"/>
          <w:lang w:val="en-US" w:eastAsia="zh-CN" w:bidi="ar-SA"/>
        </w:rPr>
        <w:t xml:space="preserve">他</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1、合同经甲乙双方代表签字并加盖公章（或合同章）后即生效</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并由苏州市吴江区财政局政府采购办备案。</w:t>
      </w:r>
      <w:r/>
    </w:p>
    <w:p>
      <w:pPr>
        <w:ind w:firstLine="420"/>
        <w:jc w:val="left"/>
        <w:spacing w:line="480" w:lineRule="exact"/>
        <w:tabs>
          <w:tab w:val="left" w:pos="360" w:leader="none"/>
        </w:tabs>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合同签订后甲乙双方即直接产生权利与义务的关系，合同执行过程中出现的问题应按照《中华人民共和国民法典》的规定办理，在合同履行过程中，双方如有争议，经协商无效，可向甲方所在地人民法院提起诉讼。</w:t>
      </w:r>
      <w:r/>
    </w:p>
    <w:p>
      <w:pPr>
        <w:jc w:val="left"/>
        <w:spacing w:line="480" w:lineRule="exact"/>
        <w:tabs>
          <w:tab w:val="left" w:pos="360" w:leader="none"/>
        </w:tabs>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十一、附则</w:t>
      </w:r>
      <w:r/>
    </w:p>
    <w:p>
      <w:pPr>
        <w:ind w:firstLine="420"/>
        <w:jc w:val="left"/>
        <w:spacing w:line="48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1、合同份数：本合同一式陆份，甲乙双方各执贰份，招标代理机构壹份，政府采购管理部门壹份。</w:t>
      </w:r>
      <w:r/>
    </w:p>
    <w:p>
      <w:pPr>
        <w:ind w:firstLine="420"/>
        <w:jc w:val="left"/>
        <w:spacing w:line="48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2、未尽事宜</w:t>
      </w:r>
      <w:r/>
    </w:p>
    <w:p>
      <w:pPr>
        <w:ind w:firstLine="420"/>
        <w:jc w:val="left"/>
        <w:spacing w:line="48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本合同未尽事宜应按《中华人民共和国民法典</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中华人民共和国政府采购法》以及</w:t>
      </w:r>
      <w:r>
        <w:rPr>
          <w:rFonts w:hint="eastAsia" w:ascii="宋体" w:hAnsi="宋体" w:eastAsia="宋体" w:cs="宋体"/>
          <w:color w:val="auto"/>
          <w:sz w:val="21"/>
          <w:szCs w:val="21"/>
          <w:highlight w:val="none"/>
          <w:lang w:val="en-US" w:eastAsia="zh-CN" w:bidi="ar-SA"/>
        </w:rPr>
        <w:t xml:space="preserve">其他</w:t>
      </w:r>
      <w:r>
        <w:rPr>
          <w:rFonts w:hint="eastAsia" w:ascii="宋体" w:hAnsi="宋体" w:eastAsia="宋体" w:cs="宋体"/>
          <w:color w:val="auto"/>
          <w:sz w:val="21"/>
          <w:szCs w:val="21"/>
          <w:highlight w:val="none"/>
          <w:lang w:val="en-US" w:bidi="ar-SA"/>
        </w:rPr>
        <w:t xml:space="preserve">相关</w:t>
      </w:r>
      <w:r>
        <w:rPr>
          <w:rFonts w:hint="eastAsia" w:ascii="宋体" w:hAnsi="宋体" w:eastAsia="宋体" w:cs="宋体"/>
          <w:color w:val="auto"/>
          <w:sz w:val="21"/>
          <w:szCs w:val="21"/>
          <w:highlight w:val="none"/>
          <w:lang w:val="en-US" w:eastAsia="zh-CN" w:bidi="ar-SA"/>
        </w:rPr>
        <w:t xml:space="preserve">法律法规</w:t>
      </w:r>
      <w:r>
        <w:rPr>
          <w:rFonts w:hint="eastAsia" w:ascii="宋体" w:hAnsi="宋体" w:eastAsia="宋体" w:cs="宋体"/>
          <w:color w:val="auto"/>
          <w:sz w:val="21"/>
          <w:szCs w:val="21"/>
          <w:highlight w:val="none"/>
          <w:lang w:val="en-US" w:bidi="ar-SA"/>
        </w:rPr>
        <w:t xml:space="preserve">之规定解释。</w:t>
      </w:r>
      <w:r/>
    </w:p>
    <w:p>
      <w:pPr>
        <w:jc w:val="left"/>
        <w:spacing w:line="312" w:lineRule="atLeast"/>
        <w:rPr>
          <w:rFonts w:hint="eastAsia" w:ascii="宋体" w:hAnsi="宋体" w:eastAsia="宋体" w:cs="宋体"/>
          <w:color w:val="auto"/>
          <w:sz w:val="34"/>
          <w:szCs w:val="22"/>
          <w:highlight w:val="none"/>
          <w:lang w:val="zh-CN" w:bidi="ar-SA"/>
        </w:rPr>
      </w:pPr>
      <w:r>
        <w:rPr>
          <w:rFonts w:hint="eastAsia" w:ascii="宋体" w:hAnsi="宋体" w:eastAsia="宋体" w:cs="宋体"/>
          <w:color w:val="auto"/>
          <w:sz w:val="34"/>
          <w:szCs w:val="22"/>
          <w:highlight w:val="none"/>
          <w:lang w:val="zh-CN" w:bidi="ar-SA"/>
        </w:rPr>
      </w:r>
      <w:r/>
    </w:p>
    <w:tbl>
      <w:tblPr>
        <w:tblStyle w:val="812"/>
        <w:tblW w:w="8770" w:type="dxa"/>
        <w:jc w:val="center"/>
        <w:tblLayout w:type="fixed"/>
        <w:tblCellMar>
          <w:left w:w="108" w:type="dxa"/>
          <w:top w:w="0" w:type="dxa"/>
          <w:right w:w="108" w:type="dxa"/>
          <w:bottom w:w="0" w:type="dxa"/>
        </w:tblCellMar>
        <w:tblLook w:val="04A0" w:firstRow="1" w:lastRow="0" w:firstColumn="1" w:lastColumn="0" w:noHBand="0" w:noVBand="1"/>
      </w:tblPr>
      <w:tblGrid>
        <w:gridCol w:w="5290"/>
        <w:gridCol w:w="3480"/>
      </w:tblGrid>
      <w:tr>
        <w:trPr>
          <w:jc w:val="center"/>
        </w:trPr>
        <w:tc>
          <w:tcPr>
            <w:tcW w:w="5290" w:type="dxa"/>
            <w:vAlign w:val="center"/>
            <w:textDirection w:val="lrTb"/>
            <w:noWrap w:val="false"/>
          </w:tcPr>
          <w:p>
            <w:pPr>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zh-CN" w:bidi="ar-SA"/>
              </w:rPr>
              <w:t xml:space="preserve">甲方（盖章）：</w:t>
            </w:r>
            <w:r/>
          </w:p>
        </w:tc>
        <w:tc>
          <w:tcPr>
            <w:tcW w:w="3480" w:type="dxa"/>
            <w:vAlign w:val="center"/>
            <w:textDirection w:val="lrTb"/>
            <w:noWrap w:val="false"/>
          </w:tcPr>
          <w:p>
            <w:pPr>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zh-CN" w:bidi="ar-SA"/>
              </w:rPr>
              <w:t xml:space="preserve">乙方（盖章）：</w:t>
            </w:r>
            <w:r/>
          </w:p>
        </w:tc>
      </w:tr>
      <w:tr>
        <w:trPr>
          <w:jc w:val="center"/>
        </w:trPr>
        <w:tc>
          <w:tcPr>
            <w:tcW w:w="5290" w:type="dxa"/>
            <w:vAlign w:val="center"/>
            <w:textDirection w:val="lrTb"/>
            <w:noWrap w:val="false"/>
          </w:tcPr>
          <w:p>
            <w:pPr>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zh-CN" w:bidi="ar-SA"/>
              </w:rPr>
              <w:t xml:space="preserve">法定（授权）代表人（签字）：</w:t>
            </w:r>
            <w:r/>
          </w:p>
        </w:tc>
        <w:tc>
          <w:tcPr>
            <w:tcW w:w="3480" w:type="dxa"/>
            <w:vAlign w:val="center"/>
            <w:textDirection w:val="lrTb"/>
            <w:noWrap w:val="false"/>
          </w:tcPr>
          <w:p>
            <w:pPr>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zh-CN" w:bidi="ar-SA"/>
              </w:rPr>
              <w:t xml:space="preserve">法定（授权）代表人（签字）：</w:t>
            </w:r>
            <w:r/>
          </w:p>
        </w:tc>
      </w:tr>
      <w:tr>
        <w:trPr>
          <w:jc w:val="center"/>
        </w:trPr>
        <w:tc>
          <w:tcPr>
            <w:tcW w:w="5290" w:type="dxa"/>
            <w:vAlign w:val="center"/>
            <w:textDirection w:val="lrTb"/>
            <w:noWrap w:val="false"/>
          </w:tcPr>
          <w:p>
            <w:pPr>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zh-CN" w:bidi="ar-SA"/>
              </w:rPr>
              <w:t xml:space="preserve">电话：</w:t>
            </w:r>
            <w:r/>
          </w:p>
        </w:tc>
        <w:tc>
          <w:tcPr>
            <w:tcW w:w="3480" w:type="dxa"/>
            <w:vAlign w:val="center"/>
            <w:textDirection w:val="lrTb"/>
            <w:noWrap w:val="false"/>
          </w:tcPr>
          <w:p>
            <w:pPr>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zh-CN" w:bidi="ar-SA"/>
              </w:rPr>
              <w:t xml:space="preserve">电话：</w:t>
            </w:r>
            <w:r/>
          </w:p>
        </w:tc>
      </w:tr>
      <w:tr>
        <w:trPr>
          <w:jc w:val="center"/>
        </w:trPr>
        <w:tc>
          <w:tcPr>
            <w:tcW w:w="5290" w:type="dxa"/>
            <w:vAlign w:val="center"/>
            <w:textDirection w:val="lrTb"/>
            <w:noWrap w:val="false"/>
          </w:tcPr>
          <w:p>
            <w:pPr>
              <w:jc w:val="left"/>
              <w:spacing w:line="4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签订日期：</w:t>
            </w:r>
            <w:r/>
          </w:p>
        </w:tc>
        <w:tc>
          <w:tcPr>
            <w:tcW w:w="3480" w:type="dxa"/>
            <w:vAlign w:val="center"/>
            <w:textDirection w:val="lrTb"/>
            <w:noWrap w:val="false"/>
          </w:tcPr>
          <w:p>
            <w:pPr>
              <w:jc w:val="left"/>
              <w:spacing w:line="480" w:lineRule="exact"/>
              <w:rPr>
                <w:rFonts w:hint="eastAsia" w:ascii="宋体" w:hAnsi="宋体" w:eastAsia="宋体" w:cs="宋体"/>
                <w:color w:val="auto"/>
                <w:sz w:val="21"/>
                <w:szCs w:val="21"/>
                <w:highlight w:val="none"/>
                <w:lang w:val="zh-CN" w:bidi="ar-SA"/>
              </w:rPr>
            </w:pPr>
            <w:r>
              <w:rPr>
                <w:rFonts w:hint="eastAsia" w:ascii="宋体" w:hAnsi="宋体" w:eastAsia="宋体" w:cs="宋体"/>
                <w:color w:val="auto"/>
                <w:sz w:val="21"/>
                <w:szCs w:val="21"/>
                <w:highlight w:val="none"/>
                <w:lang w:val="en-US" w:eastAsia="zh-CN" w:bidi="ar-SA"/>
              </w:rPr>
              <w:t xml:space="preserve">签订日期：</w:t>
            </w:r>
            <w:r/>
          </w:p>
        </w:tc>
      </w:tr>
    </w:tbl>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left"/>
        <w:spacing w:line="440" w:lineRule="exact"/>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合同附件：</w:t>
      </w:r>
      <w:r/>
    </w:p>
    <w:p>
      <w:pPr>
        <w:jc w:val="left"/>
        <w:spacing w:line="440" w:lineRule="exact"/>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考核标准：</w:t>
      </w:r>
      <w:r/>
    </w:p>
    <w:tbl>
      <w:tblPr>
        <w:tblStyle w:val="812"/>
        <w:tblW w:w="9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4665"/>
        <w:gridCol w:w="2610"/>
        <w:gridCol w:w="870"/>
      </w:tblGrid>
      <w:tr>
        <w:trPr>
          <w:jc w:val="center"/>
          <w:trHeight w:val="446"/>
          <w:tblHeader/>
        </w:trPr>
        <w:tc>
          <w:tcPr>
            <w:gridSpan w:val="2"/>
            <w:tcW w:w="5910"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检查考核项目</w:t>
            </w:r>
            <w:r/>
          </w:p>
        </w:tc>
        <w:tc>
          <w:tcPr>
            <w:tcW w:w="2610"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扣分标准</w:t>
            </w:r>
            <w:r/>
          </w:p>
        </w:tc>
        <w:tc>
          <w:tcPr>
            <w:tcW w:w="870" w:type="dxa"/>
            <w:vAlign w:val="top"/>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基本分</w:t>
            </w:r>
            <w:r/>
          </w:p>
        </w:tc>
      </w:tr>
      <w:tr>
        <w:trPr>
          <w:cantSplit/>
          <w:jc w:val="center"/>
          <w:trHeight w:val="401"/>
        </w:trPr>
        <w:tc>
          <w:tcPr>
            <w:tcW w:w="1245" w:type="dxa"/>
            <w:vAlign w:val="center"/>
            <w:vMerge w:val="restart"/>
            <w:textDirection w:val="lrTb"/>
            <w:noWrap w:val="false"/>
          </w:tcPr>
          <w:p>
            <w:pPr>
              <w:jc w:val="cente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厨房间环境卫生</w:t>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1、地面、下水道、明沟积有污水、污物</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2、墙壁、门窗、天花板有积尘、油污、蜘蛛网和涂层脱落</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3、有关设备、设施、用具没有保持卫生清洁</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4、厨房内垃圾桶没有及时加盖</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5、地面、灶台、厨具卫生保洁没有按规定每天定时清洗</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6、冷库没有按要求做到专人负责保管、使用及定时清洗</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7、无关人员进入厨房间</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01"/>
        </w:trPr>
        <w:tc>
          <w:tcPr>
            <w:tcW w:w="1245" w:type="dxa"/>
            <w:vAlign w:val="center"/>
            <w:vMerge w:val="restart"/>
            <w:textDirection w:val="lrTb"/>
            <w:noWrap w:val="false"/>
          </w:tcPr>
          <w:p>
            <w:pPr>
              <w:jc w:val="cente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粗加工、配菜、烹调卫生</w:t>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1、荤、素食品没有按要求做到分池（定位）清洗</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2、清洗后的食品接触地面</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3、加工生、熟食品的刀、砧板及盛器没有分开</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4、配菜没有做到科学合理色、香、味俱全</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5、食物加工未熟的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6、菜肴里或汤里、米饭里发现有杂物</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7、各种盛调味品的容器没有按要求做到及时定期清洗</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8、每天配菜的数量不满足就餐人数需求</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9、要提倡节约不浪费，发现无故浪费</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0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10、食堂没有按规定要求建立卫生</w:t>
            </w:r>
            <w:r>
              <w:rPr>
                <w:rFonts w:hint="eastAsia" w:ascii="宋体" w:hAnsi="宋体" w:eastAsia="宋体" w:cs="宋体"/>
                <w:color w:val="auto"/>
                <w:sz w:val="21"/>
                <w:szCs w:val="21"/>
                <w:highlight w:val="none"/>
                <w:lang w:val="en-US" w:eastAsia="zh-CN" w:bidi="ar-SA"/>
              </w:rPr>
              <w:t xml:space="preserve">台账</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restart"/>
            <w:textDirection w:val="lrTb"/>
            <w:noWrap w:val="false"/>
          </w:tcPr>
          <w:p>
            <w:pPr>
              <w:jc w:val="cente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个人卫生及要求</w:t>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1、员工的健康证和卫生知识培训合格证没有在有效期内，发现过期还在使用</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2、要求定期对员工进行培训，新上岗的员工要求做到先培训后上岗，发现未经培训直接上岗</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3、员工上班时间不能留长指甲、涂指甲油、戴戒指，经检查发现存在问题</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4、员工上班时间没有按要求穿戴工作服、衣帽、穿戴不整洁或穿拖鞋上班</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5、员工戴的工作帽没有按要求遮盖全部头发</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6、发现上班时间工作人员在工作区内吸烟、吃零食</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7、售饭菜时员工未按要求戴一次性手套及一次性口罩的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8、当班时串岗或擅自离岗的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9、工作时间看小说、杂志、打电话聊天，擅自换班、调班</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10、检查发现人数未按投标书承诺到岗的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11、食堂工作人员将就餐人员遗失在餐厅的物品占为己有的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12、主管及员工的职责、制度没有上墙，没有严格按照职责、制度规定办事</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13、违反操作规程，故意损坏公共财物设备、工具造成经济损失的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46"/>
        </w:trPr>
        <w:tc>
          <w:tcPr>
            <w:tcW w:w="1245" w:type="dxa"/>
            <w:vAlign w:val="center"/>
            <w:vMerge w:val="restart"/>
            <w:textDirection w:val="lrTb"/>
            <w:noWrap w:val="false"/>
          </w:tcPr>
          <w:p>
            <w:pPr>
              <w:jc w:val="cente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服务以及菜肴质量</w:t>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1、服务人员未能做到热情周到，微笑服务，语言规范，文明礼貌</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2、餐台没有保持整洁卫生，饭菜供应、碗筷补充不及时</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ind w:left="210" w:hanging="21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3、就餐期间服务人员没有做好巡查，没有及时打扫餐桌和补充桌上调料、牙签、餐巾纸等</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4、没有全程控制菜肴主、辅料及制作过程安全卫生，因食物引起不良反应</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5、菜肴不新鲜，色泽、口味不好，有过期及腐烂变质的食物</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44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6、菜肴花色没有及时更新，一周内出现3次以上完全相同品种菜肴；没有根据季节调整菜肴</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restart"/>
            <w:textDirection w:val="lrTb"/>
            <w:noWrap w:val="false"/>
          </w:tcPr>
          <w:p>
            <w:pPr>
              <w:jc w:val="cente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食品采购与贮存</w:t>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1、食品采购和出入库未按要求由专人负责验收、登记的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2、如验收时发现食品质量有问题或超过保质期，没有及时反映或隐瞒</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3、使用超过保质期的食品的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4、库房内食品没有做到分类、分架、离地、离墙整齐堆放</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5、将食品与有毒有害物品存放在同一场所的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6、冰箱、冰柜内食品生熟混放</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7、冰箱、冰柜没有正常运转，造成食品腐烂，造成损失的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8、仓库未按规定专人负责保管，</w:t>
            </w:r>
            <w:r>
              <w:rPr>
                <w:rFonts w:hint="eastAsia" w:ascii="宋体" w:hAnsi="宋体" w:eastAsia="宋体" w:cs="宋体"/>
                <w:color w:val="auto"/>
                <w:sz w:val="21"/>
                <w:szCs w:val="21"/>
                <w:highlight w:val="none"/>
                <w:lang w:val="en-US" w:eastAsia="zh-CN" w:bidi="ar-SA"/>
              </w:rPr>
              <w:t xml:space="preserve">建立台账</w:t>
            </w:r>
            <w:r>
              <w:rPr>
                <w:rFonts w:hint="eastAsia" w:ascii="宋体" w:hAnsi="宋体" w:eastAsia="宋体" w:cs="宋体"/>
                <w:color w:val="auto"/>
                <w:sz w:val="21"/>
                <w:szCs w:val="21"/>
                <w:highlight w:val="none"/>
                <w:lang w:val="en-US" w:bidi="ar-SA"/>
              </w:rPr>
              <w:t xml:space="preserve">报表</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restart"/>
            <w:textDirection w:val="lrTb"/>
            <w:noWrap w:val="false"/>
          </w:tcPr>
          <w:p>
            <w:pPr>
              <w:jc w:val="cente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餐具、餐厅卫生</w:t>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1、餐具使用前没有做好清洗、消毒工作，直接使用</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2、清洗、消毒餐具的水及水池与</w:t>
            </w:r>
            <w:r>
              <w:rPr>
                <w:rFonts w:hint="eastAsia" w:ascii="宋体" w:hAnsi="宋体" w:eastAsia="宋体" w:cs="宋体"/>
                <w:color w:val="auto"/>
                <w:sz w:val="21"/>
                <w:szCs w:val="21"/>
                <w:highlight w:val="none"/>
                <w:lang w:val="en-US" w:eastAsia="zh-CN" w:bidi="ar-SA"/>
              </w:rPr>
              <w:t xml:space="preserve">其他</w:t>
            </w:r>
            <w:r>
              <w:rPr>
                <w:rFonts w:hint="eastAsia" w:ascii="宋体" w:hAnsi="宋体" w:eastAsia="宋体" w:cs="宋体"/>
                <w:color w:val="auto"/>
                <w:sz w:val="21"/>
                <w:szCs w:val="21"/>
                <w:highlight w:val="none"/>
                <w:lang w:val="en-US" w:bidi="ar-SA"/>
              </w:rPr>
              <w:t xml:space="preserve">混用的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3、消毒后的餐饮具没按要求存放在保洁柜里的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4、保洁柜没有保持清洁，或堆放</w:t>
            </w:r>
            <w:r>
              <w:rPr>
                <w:rFonts w:hint="eastAsia" w:ascii="宋体" w:hAnsi="宋体" w:eastAsia="宋体" w:cs="宋体"/>
                <w:color w:val="auto"/>
                <w:sz w:val="21"/>
                <w:szCs w:val="21"/>
                <w:highlight w:val="none"/>
                <w:lang w:val="en-US" w:eastAsia="zh-CN" w:bidi="ar-SA"/>
              </w:rPr>
              <w:t xml:space="preserve">其他杂物</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5、放餐饮具的保洁柜没有及时关门</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6、用餐环境没有保持清洁、卫生，有异味、苍蝇、蚊虫，天花板有蜘蛛网</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7、餐桌上摆放的餐饮用具不清洁光亮，有污迹</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8、餐桌没有随时打扫、清理</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9、备餐柜内不卫生，有异味、有杂物的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10、餐桌上摆放的调味品没有根据用量要求定期更换、清理</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11、盛放筷子、汤勺的容器不清洁卫生，有油污</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12、发现快餐盘、碗、筷子、汤勺等上面有油污、杂物的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发现一次扣0.2分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49"/>
        </w:trPr>
        <w:tc>
          <w:tcPr>
            <w:tcW w:w="1245" w:type="dxa"/>
            <w:vAlign w:val="center"/>
            <w:vMerge w:val="restart"/>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节能管理</w:t>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1、完成所承担服务区域的全年节电、节水、节气等节能指标</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一项未达标扣1分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3分</w:t>
            </w:r>
            <w:r/>
          </w:p>
        </w:tc>
      </w:tr>
      <w:tr>
        <w:trPr>
          <w:cantSplit/>
          <w:jc w:val="center"/>
          <w:trHeight w:val="511"/>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2、制订年度工作目标，工作计划、具体实施方案</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缺一项扣0.5分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w:t>
            </w:r>
            <w:r/>
          </w:p>
        </w:tc>
      </w:tr>
      <w:tr>
        <w:trPr>
          <w:cantSplit/>
          <w:jc w:val="center"/>
          <w:trHeight w:val="386"/>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3、加强节能管理，制定实施切实可行的节能措施，提高用能效率，促进节能规定落到实处</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措施落实不到位酌情况予以</w:t>
            </w:r>
            <w:r/>
          </w:p>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扣分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467"/>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4、提出技改方案，协助采购单位做好各项节能项目的改造，并完成技改前后能耗对比图表</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缺一项扣0.5分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544"/>
        </w:trPr>
        <w:tc>
          <w:tcPr>
            <w:tcW w:w="1245" w:type="dxa"/>
            <w:vAlign w:val="center"/>
            <w:vMerge w:val="continue"/>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5、每周不少于4次的节能巡查，及时做好巡查记录；不定期抽查</w:t>
            </w:r>
            <w:r/>
          </w:p>
        </w:tc>
        <w:tc>
          <w:tcPr>
            <w:tcW w:w="261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缺一次扣0.2分</w:t>
            </w:r>
            <w:r/>
          </w:p>
        </w:tc>
        <w:tc>
          <w:tcPr>
            <w:tcW w:w="870" w:type="dxa"/>
            <w:vAlign w:val="center"/>
            <w:textDirection w:val="lrTb"/>
            <w:noWrap w:val="false"/>
          </w:tcPr>
          <w:p>
            <w:pPr>
              <w:ind w:right="-466"/>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2分</w:t>
            </w:r>
            <w:r/>
          </w:p>
        </w:tc>
      </w:tr>
      <w:tr>
        <w:trPr>
          <w:cantSplit/>
          <w:jc w:val="center"/>
          <w:trHeight w:val="544"/>
        </w:trPr>
        <w:tc>
          <w:tcPr>
            <w:tcW w:w="1245" w:type="dxa"/>
            <w:vAlign w:val="center"/>
            <w:textDirection w:val="lrTb"/>
            <w:noWrap w:val="false"/>
          </w:tcPr>
          <w:p>
            <w:pPr>
              <w:jc w:val="left"/>
              <w:spacing w:line="440" w:lineRule="exact"/>
              <w:widowControl/>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其他</w:t>
            </w:r>
            <w:r/>
          </w:p>
        </w:tc>
        <w:tc>
          <w:tcPr>
            <w:tcW w:w="4665"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认真做好食品卫生保障工作，确保早餐、中餐的安全卫生。</w:t>
            </w:r>
            <w:r/>
          </w:p>
        </w:tc>
        <w:tc>
          <w:tcPr>
            <w:tcW w:w="2610" w:type="dxa"/>
            <w:vAlign w:val="center"/>
            <w:textDirection w:val="lrTb"/>
            <w:noWrap w:val="false"/>
          </w:tcPr>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如出现食品安全卫生问题的，情节轻微的按每起1000元承担违约责任，并扣3分；出现食品中毒等严重食品安全卫生问题的按</w:t>
            </w:r>
            <w:r>
              <w:rPr>
                <w:rFonts w:hint="eastAsia" w:ascii="宋体" w:hAnsi="宋体" w:eastAsia="宋体" w:cs="宋体"/>
                <w:color w:val="auto"/>
                <w:sz w:val="21"/>
                <w:szCs w:val="21"/>
                <w:highlight w:val="none"/>
                <w:lang w:val="en-US" w:eastAsia="zh-CN" w:bidi="ar-SA"/>
              </w:rPr>
              <w:t xml:space="preserve">0.3万-1万</w:t>
            </w:r>
            <w:r>
              <w:rPr>
                <w:rFonts w:hint="eastAsia" w:ascii="宋体" w:hAnsi="宋体" w:eastAsia="宋体" w:cs="宋体"/>
                <w:color w:val="auto"/>
                <w:sz w:val="21"/>
                <w:szCs w:val="21"/>
                <w:highlight w:val="none"/>
                <w:lang w:val="en-US" w:bidi="ar-SA"/>
              </w:rPr>
              <w:t xml:space="preserve">元的标准承担违约责任，并扣除5</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10分；一年内出现食品安全卫生问题3次以上，出现食品中毒5人以上，一次性扣除2万元，造成严重后果及社会影响的，采购单位有权无条件解除与中标单位所签订的服务合同。（上述承担违约责任的费用采购单位直接从服务费中扣除）</w:t>
            </w:r>
            <w:r/>
          </w:p>
        </w:tc>
        <w:tc>
          <w:tcPr>
            <w:tcW w:w="870" w:type="dxa"/>
            <w:vAlign w:val="center"/>
            <w:textDirection w:val="lrTb"/>
            <w:noWrap w:val="false"/>
          </w:tcPr>
          <w:p>
            <w:pPr>
              <w:ind w:firstLine="315"/>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无</w:t>
            </w:r>
            <w:r/>
          </w:p>
        </w:tc>
      </w:tr>
    </w:tbl>
    <w:p>
      <w:pPr>
        <w:spacing w:line="400" w:lineRule="exact"/>
        <w:rPr>
          <w:rFonts w:hint="eastAsia" w:ascii="宋体" w:hAnsi="宋体" w:eastAsia="宋体" w:cs="宋体"/>
          <w:color w:val="auto"/>
          <w:sz w:val="26"/>
          <w:highlight w:val="none"/>
          <w:lang w:val="en-US" w:eastAsia="zh-CN" w:bidi="ar-SA"/>
        </w:rPr>
      </w:pPr>
      <w:r>
        <w:rPr>
          <w:rFonts w:hint="eastAsia" w:ascii="宋体" w:hAnsi="宋体" w:eastAsia="宋体" w:cs="宋体"/>
          <w:color w:val="auto"/>
          <w:sz w:val="21"/>
          <w:szCs w:val="21"/>
          <w:highlight w:val="none"/>
          <w:lang w:val="en-US" w:bidi="ar-SA"/>
        </w:rPr>
        <w:t xml:space="preserve">注：采购方每月根据考核办法对中标单位进行考核，95分及以上全额支付当月服务费；90分至95分（不含）支付95%服务费；80分至90分（不含）支付90%服务费，60分至80分（不含）支付80%服务费；60分以下为不合格，支付50%服务费；连续两次不合格，采购方有权终止合同</w:t>
      </w:r>
      <w:r>
        <w:rPr>
          <w:rFonts w:hint="eastAsia" w:ascii="宋体" w:hAnsi="宋体" w:eastAsia="宋体" w:cs="宋体"/>
          <w:color w:val="auto"/>
          <w:sz w:val="21"/>
          <w:szCs w:val="21"/>
          <w:highlight w:val="none"/>
          <w:lang w:val="en-US" w:eastAsia="zh-CN" w:bidi="ar-SA"/>
        </w:rPr>
        <w:t xml:space="preserve">。</w:t>
      </w:r>
      <w:r/>
    </w:p>
    <w:p>
      <w:pPr>
        <w:pStyle w:val="1043"/>
        <w:ind w:firstLine="0"/>
        <w:jc w:val="center"/>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pPr>
      <w:r>
        <w:rPr>
          <w:rFonts w:ascii="宋体" w:hAnsi="宋体" w:cs="宋体"/>
          <w:b/>
          <w:bCs/>
          <w:color w:val="auto"/>
          <w:szCs w:val="21"/>
          <w:highlight w:val="none"/>
        </w:rPr>
      </w:r>
      <w:r/>
    </w:p>
    <w:p>
      <w:pPr>
        <w:pStyle w:val="1029"/>
        <w:spacing w:after="312"/>
        <w:rPr>
          <w:color w:val="auto"/>
          <w:sz w:val="21"/>
          <w:szCs w:val="21"/>
          <w:highlight w:val="none"/>
        </w:rPr>
        <w:outlineLvl w:val="0"/>
      </w:pPr>
      <w:r>
        <w:rPr>
          <w:rFonts w:hint="eastAsia" w:ascii="Times New Roman" w:hAnsi="Times New Roman"/>
          <w:color w:val="auto"/>
          <w:sz w:val="44"/>
          <w:szCs w:val="44"/>
          <w:highlight w:val="none"/>
        </w:rPr>
        <w:t xml:space="preserve">第六章</w:t>
      </w:r>
      <w:r>
        <w:rPr>
          <w:rFonts w:hint="eastAsia" w:ascii="Times New Roman" w:hAnsi="Times New Roman"/>
          <w:color w:val="auto"/>
          <w:sz w:val="44"/>
          <w:szCs w:val="44"/>
          <w:highlight w:val="none"/>
          <w:lang w:val="en-US" w:eastAsia="zh-CN"/>
        </w:rPr>
        <w:t xml:space="preserve"> </w:t>
      </w:r>
      <w:r>
        <w:rPr>
          <w:rFonts w:ascii="Times New Roman" w:hAnsi="Times New Roman"/>
          <w:color w:val="auto"/>
          <w:sz w:val="44"/>
          <w:szCs w:val="44"/>
          <w:highlight w:val="none"/>
          <w:lang w:val="zh-CN"/>
        </w:rPr>
        <w:t xml:space="preserve">评</w:t>
      </w:r>
      <w:r>
        <w:rPr>
          <w:rFonts w:hint="eastAsia" w:ascii="Times New Roman" w:hAnsi="Times New Roman"/>
          <w:color w:val="auto"/>
          <w:sz w:val="44"/>
          <w:szCs w:val="44"/>
          <w:highlight w:val="none"/>
          <w:lang w:val="zh-CN"/>
        </w:rPr>
        <w:t xml:space="preserve">审</w:t>
      </w:r>
      <w:r>
        <w:rPr>
          <w:rFonts w:ascii="Times New Roman" w:hAnsi="Times New Roman"/>
          <w:color w:val="auto"/>
          <w:sz w:val="44"/>
          <w:szCs w:val="44"/>
          <w:highlight w:val="none"/>
          <w:lang w:val="zh-CN"/>
        </w:rPr>
        <w:t xml:space="preserve">办法及评分标准</w:t>
      </w:r>
      <w:bookmarkEnd w:id="54"/>
      <w:r/>
      <w:bookmarkEnd w:id="55"/>
      <w:r/>
      <w:r/>
    </w:p>
    <w:p>
      <w:pPr>
        <w:pStyle w:val="1062"/>
        <w:ind w:firstLine="0"/>
        <w:spacing w:line="360" w:lineRule="auto"/>
        <w:tabs>
          <w:tab w:val="left" w:pos="709" w:leader="none"/>
          <w:tab w:val="left" w:pos="993" w:leader="none"/>
        </w:tabs>
        <w:rPr>
          <w:rFonts w:ascii="宋体" w:hAnsi="宋体" w:cs="宋体"/>
          <w:b/>
          <w:bCs/>
          <w:color w:val="auto"/>
          <w:szCs w:val="21"/>
          <w:highlight w:val="none"/>
        </w:rPr>
      </w:pPr>
      <w:r/>
      <w:bookmarkStart w:id="56" w:name="_Hlk60839198"/>
      <w:r/>
      <w:bookmarkStart w:id="57" w:name="_Toc13188"/>
      <w:r/>
      <w:bookmarkStart w:id="58" w:name="_Toc23089"/>
      <w:r>
        <w:rPr>
          <w:rFonts w:hint="eastAsia" w:ascii="宋体" w:hAnsi="宋体" w:cs="宋体"/>
          <w:b/>
          <w:bCs/>
          <w:color w:val="auto"/>
          <w:szCs w:val="21"/>
          <w:highlight w:val="none"/>
        </w:rPr>
        <w:t xml:space="preserve">一、评审办法</w:t>
      </w:r>
      <w:bookmarkEnd w:id="56"/>
      <w:bookmarkEnd w:id="57"/>
      <w:bookmarkEnd w:id="58"/>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1.本次招标评标采用综合评分法，综合评分法是指投标文件满足招标文件全部实质性要求，且按照评审因素的量化指标评审得分最高的投标人为中标人的评标方法。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综合评分法的，评标结果按评审后得分由高到低顺序排列。得分相同的，按投标报价由低到高顺序排列，以实际投标报价较低的优先作为中标人；得分且实际投标报价相同的，则由评标委员会以抽签方式确定中标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keepLines w:val="0"/>
        <w:keepNext w:val="0"/>
        <w:pageBreakBefore w:val="0"/>
        <w:spacing w:line="42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苏州市政府采购促进中小企业发展实施意见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的通知》（苏财购〔2022〕16号）的有关规定，</w:t>
      </w:r>
      <w:r>
        <w:rPr>
          <w:rFonts w:hint="eastAsia" w:ascii="宋体" w:hAnsi="宋体" w:eastAsia="宋体" w:cs="宋体"/>
          <w:b/>
          <w:color w:val="auto"/>
          <w:szCs w:val="21"/>
          <w:highlight w:val="none"/>
        </w:rPr>
        <w:t xml:space="preserve">本项目为专门面向中小企业采购的项目，不再执行价格评审优惠的扶持政策。</w:t>
      </w:r>
      <w:r>
        <w:rPr>
          <w:rFonts w:hint="eastAsia" w:ascii="宋体" w:hAnsi="宋体" w:eastAsia="宋体" w:cs="宋体"/>
          <w:bCs/>
          <w:color w:val="auto"/>
          <w:szCs w:val="21"/>
          <w:highlight w:val="none"/>
        </w:rPr>
        <w:t xml:space="preserve">响应单位必须提供《中小企业声明函》或《残疾人福利性单位声明函》或由省级以上监狱管理局、戒毒管理局（含新疆生产建设兵团）出具的属于监狱企业的证明文件。</w:t>
      </w:r>
      <w:r/>
    </w:p>
    <w:p>
      <w:pPr>
        <w:pStyle w:val="1043"/>
        <w:ind w:firstLine="422"/>
        <w:keepLines w:val="0"/>
        <w:keepNext w:val="0"/>
        <w:pageBreakBefore w:val="0"/>
        <w:spacing w:line="420" w:lineRule="exact"/>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注：投入项目的服务人员如涉及使用超龄人员的，将不享受价格扣除优惠政策。上述优惠政策不重复享受。</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二、评分标准</w:t>
      </w:r>
      <w:r/>
    </w:p>
    <w:p>
      <w:pPr>
        <w:jc w:val="left"/>
        <w:keepLines w:val="0"/>
        <w:keepNext w:val="0"/>
        <w:pageBreakBefore w:val="0"/>
        <w:spacing w:line="420" w:lineRule="exact"/>
        <w:rPr>
          <w:rFonts w:hint="eastAsia" w:ascii="宋体" w:hAnsi="宋体" w:eastAsia="宋体" w:cs="宋体"/>
          <w:b/>
          <w:bCs/>
          <w:color w:val="auto"/>
          <w:szCs w:val="21"/>
          <w:highlight w:val="none"/>
        </w:rPr>
      </w:pPr>
      <w:r/>
      <w:bookmarkStart w:id="59" w:name="_Toc31309"/>
      <w:r/>
      <w:bookmarkStart w:id="60" w:name="_Toc10380"/>
      <w:r>
        <w:rPr>
          <w:rFonts w:hint="eastAsia" w:ascii="宋体" w:hAnsi="宋体" w:eastAsia="宋体" w:cs="宋体"/>
          <w:b/>
          <w:color w:val="auto"/>
          <w:highlight w:val="none"/>
        </w:rPr>
        <w:t xml:space="preserve">（一）</w:t>
      </w:r>
      <w:bookmarkEnd w:id="59"/>
      <w:r/>
      <w:bookmarkEnd w:id="60"/>
      <w:r>
        <w:rPr>
          <w:rFonts w:hint="eastAsia" w:ascii="宋体" w:hAnsi="宋体" w:eastAsia="宋体" w:cs="宋体"/>
          <w:b/>
          <w:bCs/>
          <w:color w:val="auto"/>
          <w:szCs w:val="21"/>
          <w:highlight w:val="none"/>
        </w:rPr>
        <w:t xml:space="preserve">价格分（</w:t>
      </w:r>
      <w:r>
        <w:rPr>
          <w:rFonts w:hint="eastAsia" w:ascii="宋体" w:hAnsi="宋体" w:eastAsia="宋体" w:cs="宋体"/>
          <w:b/>
          <w:bCs/>
          <w:color w:val="auto"/>
          <w:szCs w:val="21"/>
          <w:highlight w:val="none"/>
          <w:lang w:val="en-US" w:eastAsia="zh-CN"/>
        </w:rPr>
        <w:t xml:space="preserve">10</w:t>
      </w:r>
      <w:r>
        <w:rPr>
          <w:rFonts w:hint="eastAsia" w:ascii="宋体" w:hAnsi="宋体" w:eastAsia="宋体" w:cs="宋体"/>
          <w:b/>
          <w:bCs/>
          <w:color w:val="auto"/>
          <w:szCs w:val="21"/>
          <w:highlight w:val="none"/>
        </w:rPr>
        <w:t xml:space="preserve">分）</w:t>
      </w:r>
      <w:r/>
    </w:p>
    <w:p>
      <w:pPr>
        <w:ind w:firstLine="420"/>
        <w:jc w:val="left"/>
        <w:keepLines w:val="0"/>
        <w:keepNext w:val="0"/>
        <w:pageBreakBefore w:val="0"/>
        <w:spacing w:line="400" w:lineRule="exact"/>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第一步：投标总报价低于或等于采购预算（最高限价）的，为有效投标报价。超采购预算（最高限价）的响应报价为无效投标报价。无效投标报价的响应文件不得中标。</w:t>
      </w:r>
      <w:r/>
    </w:p>
    <w:p>
      <w:pPr>
        <w:ind w:firstLine="420"/>
        <w:jc w:val="left"/>
        <w:keepLines w:val="0"/>
        <w:keepNext w:val="0"/>
        <w:pageBreakBefore w:val="0"/>
        <w:spacing w:line="400" w:lineRule="exact"/>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第二步：价格分采用低价优先法计算，即满足招标文件要求且响应价格最低的响应报价为评标基准价，其价格分为满分。其他投标人的价格分统一按照下列公式计算（计算结果四舍五入保留两位小数）：</w:t>
      </w:r>
      <w:r/>
    </w:p>
    <w:p>
      <w:pPr>
        <w:spacing w:line="440" w:lineRule="exact"/>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磋商报价得分=（磋商基准价/</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）×价格权值×100（价格权值为</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注：磋商小组认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投标处理。</w:t>
      </w:r>
      <w:r>
        <w:rPr>
          <w:rFonts w:hint="eastAsia" w:ascii="宋体" w:hAnsi="宋体" w:eastAsia="宋体" w:cs="宋体"/>
          <w:b/>
          <w:bCs/>
          <w:color w:val="auto"/>
          <w:szCs w:val="21"/>
          <w:highlight w:val="none"/>
        </w:rPr>
        <w:t xml:space="preserve">注：磋商小组认为响应人的报价明显低于其他通过符合性审</w:t>
      </w:r>
      <w:r>
        <w:rPr>
          <w:rFonts w:hint="eastAsia" w:ascii="宋体" w:hAnsi="宋体" w:eastAsia="宋体" w:cs="宋体"/>
          <w:b/>
          <w:bCs/>
          <w:color w:val="auto"/>
          <w:szCs w:val="21"/>
          <w:highlight w:val="none"/>
          <w:lang w:eastAsia="zh-CN"/>
        </w:rPr>
        <w:t xml:space="preserve">查的</w:t>
      </w:r>
      <w:r>
        <w:rPr>
          <w:rFonts w:hint="eastAsia" w:ascii="宋体" w:hAnsi="宋体" w:eastAsia="宋体" w:cs="宋体"/>
          <w:b/>
          <w:bCs/>
          <w:color w:val="auto"/>
          <w:szCs w:val="21"/>
          <w:highlight w:val="none"/>
        </w:rPr>
        <w:t xml:space="preserve">响应人的报价，有可能影响产品质量或者不能诚信履约的，应当要求其在磋商现场合理的时间内提供书面说明，必要时提交相关证明材料；响应人不能证明其报价合理性的，应当将其作为无效投标处理。</w:t>
      </w:r>
      <w:r/>
    </w:p>
    <w:p>
      <w:pPr>
        <w:spacing w:line="44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bidi="ar-SA"/>
        </w:rPr>
        <w:t xml:space="preserve">（二）服务方案（</w:t>
      </w:r>
      <w:r>
        <w:rPr>
          <w:rFonts w:hint="eastAsia" w:ascii="宋体" w:hAnsi="宋体" w:eastAsia="宋体" w:cs="宋体"/>
          <w:b/>
          <w:bCs/>
          <w:color w:val="auto"/>
          <w:sz w:val="21"/>
          <w:szCs w:val="21"/>
          <w:highlight w:val="none"/>
          <w:lang w:val="en-US" w:eastAsia="zh-CN" w:bidi="ar-SA"/>
        </w:rPr>
        <w:t xml:space="preserve">6</w:t>
      </w:r>
      <w:r>
        <w:rPr>
          <w:rFonts w:hint="eastAsia" w:ascii="宋体" w:hAnsi="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bidi="ar-SA"/>
        </w:rPr>
        <w:t xml:space="preserve">分）</w:t>
      </w:r>
      <w:r/>
    </w:p>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针对本项目特点的总体计划和具体服务方案</w:t>
      </w:r>
      <w:r/>
    </w:p>
    <w:p>
      <w:pPr>
        <w:spacing w:line="48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1.1食堂现场管理计划和目标方案评价</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 w:val="21"/>
          <w:szCs w:val="21"/>
          <w:highlight w:val="none"/>
          <w:lang w:val="en-US" w:bidi="ar-SA"/>
        </w:rPr>
        <w:t xml:space="preserve">        </w:t>
      </w:r>
      <w:r/>
    </w:p>
    <w:p>
      <w:pPr>
        <w:ind w:firstLine="420"/>
        <w:spacing w:line="4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举措完善，程序规范，有完善的食堂现场管理计划、目标方案全面的得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bidi="ar-SA"/>
        </w:rPr>
        <w:t xml:space="preserve">分；举措完善，程序规范，有完善的食堂现场管理计划、目标方案较全面的得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bidi="ar-SA"/>
        </w:rPr>
        <w:t xml:space="preserve">分；举措完善，程序规范，有完善的食堂现场管理计划、目标方案不全面的得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bidi="ar-SA"/>
        </w:rPr>
        <w:t xml:space="preserve">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未提供方案的不得分</w:t>
      </w:r>
      <w:r>
        <w:rPr>
          <w:rFonts w:hint="eastAsia" w:ascii="宋体" w:hAnsi="宋体" w:eastAsia="宋体" w:cs="宋体"/>
          <w:color w:val="auto"/>
          <w:sz w:val="21"/>
          <w:szCs w:val="21"/>
          <w:highlight w:val="none"/>
          <w:lang w:val="en-US" w:eastAsia="zh-CN" w:bidi="ar-SA"/>
        </w:rPr>
        <w:t xml:space="preserve">。</w:t>
      </w:r>
      <w:r/>
    </w:p>
    <w:p>
      <w:pPr>
        <w:spacing w:line="48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1.2项目经营理念和现场布局方案评价</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 w:val="21"/>
          <w:szCs w:val="21"/>
          <w:highlight w:val="none"/>
          <w:lang w:val="en-US" w:bidi="ar-SA"/>
        </w:rPr>
        <w:t xml:space="preserve">                                  </w:t>
      </w:r>
      <w:r/>
    </w:p>
    <w:p>
      <w:pPr>
        <w:ind w:firstLine="420"/>
        <w:spacing w:line="48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项目经营理念科学合理、现场布局方案合理可行的得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bidi="ar-SA"/>
        </w:rPr>
        <w:t xml:space="preserve">分；项目经营理念较科学合理、现场布局方案较合理可行的得3分；项目经营理念科学合理一般、现场布局方案合理可行一般的得1分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未提供方案的不得分</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bidi="ar-SA"/>
        </w:rPr>
        <w:t xml:space="preserve">                </w:t>
      </w:r>
      <w:r/>
    </w:p>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1.3</w:t>
      </w:r>
      <w:r>
        <w:rPr>
          <w:rFonts w:hint="eastAsia" w:ascii="宋体" w:hAnsi="宋体" w:eastAsia="宋体" w:cs="宋体"/>
          <w:color w:val="auto"/>
          <w:sz w:val="21"/>
          <w:szCs w:val="21"/>
          <w:highlight w:val="none"/>
          <w:lang w:val="en-US" w:bidi="ar-SA"/>
        </w:rPr>
        <w:t xml:space="preserve">磋商响应单位</w:t>
      </w:r>
      <w:r>
        <w:rPr>
          <w:rFonts w:hint="eastAsia" w:ascii="宋体" w:hAnsi="宋体" w:eastAsia="宋体" w:cs="宋体"/>
          <w:color w:val="auto"/>
          <w:sz w:val="21"/>
          <w:szCs w:val="21"/>
          <w:highlight w:val="none"/>
          <w:lang w:val="en-US" w:eastAsia="zh-CN" w:bidi="ar-SA"/>
        </w:rPr>
        <w:t xml:space="preserve">提供</w:t>
      </w:r>
      <w:r>
        <w:rPr>
          <w:rFonts w:hint="eastAsia" w:ascii="宋体" w:hAnsi="宋体" w:eastAsia="宋体" w:cs="宋体"/>
          <w:color w:val="auto"/>
          <w:sz w:val="21"/>
          <w:szCs w:val="21"/>
          <w:highlight w:val="none"/>
          <w:lang w:val="en-US" w:bidi="ar-SA"/>
        </w:rPr>
        <w:t xml:space="preserve">的菜色品种</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ind w:firstLine="42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菜色品种丰富、荤、素搭配科学合理、质量标准高的得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分；菜色品种较丰富、荤、素搭配较合理、质量标准较高的得3分；菜色品种较简单、荤、素搭配一般、质量标准一般的得1分；未提供此项方案的不得分。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1.4磋商响应单位伙食成本、毛利率控制方案（</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ind w:firstLine="42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伙食成本、毛利率控制成本控制科学合理、方案针对性强，实施可行性强的得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分；控制成本较合理、方案实施性较强的得3分；成本控制基本合理、实施性一般的得1分；未提供此项方案的不得分。     </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1.5食堂节能节约计划和管理方案（</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ind w:firstLine="42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节能节约计划针对性强、内容全面、管理方案切实可行的得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分；节能节约计划针对性较强、内容较全面、管理方案可行的得3分；节能节约计划、管理方案简略的得1分；未提供此项方案的不得分。    </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1.6食堂资产管理方案（5分）</w:t>
      </w:r>
      <w:r/>
    </w:p>
    <w:p>
      <w:pPr>
        <w:ind w:firstLine="42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资产管理措施明确、管理方案针对性强，实施可行性强的得5分；资产管理措施较明确、管理方案实施可行性较强的得3分；资产管理措施、管理方案简略的得1分；未提供此项方案的不得分。 </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1.7食堂安全承诺书（5分）                          </w:t>
      </w:r>
      <w:r/>
    </w:p>
    <w:p>
      <w:pPr>
        <w:ind w:firstLine="42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安全承诺书内容明确、针对性强、实施可行性强的得5分；安全承诺书内容较明确、实施可行性较强的得3分；安全承诺书简略的得1分；未提供此项方案的不得分。</w:t>
      </w:r>
      <w:bookmarkStart w:id="61" w:name="_GoBack"/>
      <w:r/>
      <w:bookmarkEnd w:id="61"/>
      <w:r>
        <w:rPr>
          <w:rFonts w:hint="eastAsia" w:ascii="宋体" w:hAnsi="宋体" w:eastAsia="宋体" w:cs="宋体"/>
          <w:color w:val="auto"/>
          <w:sz w:val="21"/>
          <w:szCs w:val="21"/>
          <w:highlight w:val="none"/>
          <w:lang w:val="en-US" w:eastAsia="zh-CN" w:bidi="ar-SA"/>
        </w:rPr>
        <w:t xml:space="preserve">     </w:t>
      </w:r>
      <w:r/>
    </w:p>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w:t>
      </w:r>
      <w:r>
        <w:rPr>
          <w:rFonts w:hint="eastAsia" w:ascii="宋体" w:hAnsi="宋体" w:eastAsia="宋体" w:cs="宋体"/>
          <w:color w:val="auto"/>
          <w:sz w:val="21"/>
          <w:szCs w:val="21"/>
          <w:highlight w:val="none"/>
          <w:lang w:val="en-US" w:eastAsia="zh-CN" w:bidi="ar-SA"/>
        </w:rPr>
        <w:t xml:space="preserve">、磋商响应单位</w:t>
      </w:r>
      <w:r>
        <w:rPr>
          <w:rFonts w:hint="eastAsia" w:ascii="宋体" w:hAnsi="宋体" w:eastAsia="宋体" w:cs="宋体"/>
          <w:color w:val="auto"/>
          <w:sz w:val="21"/>
          <w:szCs w:val="21"/>
          <w:highlight w:val="none"/>
          <w:lang w:val="en-US" w:bidi="ar-SA"/>
        </w:rPr>
        <w:t xml:space="preserve">内部管理制度的完整性方案比较。</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rPr>
          <w:rFonts w:hint="eastAsia" w:ascii="宋体" w:hAnsi="宋体" w:eastAsia="宋体" w:cs="宋体"/>
          <w:color w:val="auto"/>
          <w:sz w:val="21"/>
          <w:szCs w:val="21"/>
          <w:highlight w:val="none"/>
          <w:lang w:val="en-US" w:bidi="ar-SA"/>
        </w:rPr>
        <w:t xml:space="preserve">针对本项目的质量管理制度和卫生管理制度</w:t>
      </w:r>
      <w:r>
        <w:rPr>
          <w:rFonts w:hint="eastAsia" w:ascii="宋体" w:hAnsi="宋体" w:eastAsia="宋体" w:cs="宋体"/>
          <w:color w:val="auto"/>
          <w:sz w:val="21"/>
          <w:szCs w:val="21"/>
          <w:highlight w:val="none"/>
          <w:lang w:val="en-US" w:eastAsia="zh-CN" w:bidi="ar-SA"/>
        </w:rPr>
        <w:t xml:space="preserve">（5分）</w:t>
      </w:r>
      <w:r/>
    </w:p>
    <w:p>
      <w:pPr>
        <w:ind w:firstLine="42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质量管理制度和卫生管理制度</w:t>
      </w:r>
      <w:r>
        <w:rPr>
          <w:rFonts w:hint="eastAsia" w:ascii="宋体" w:hAnsi="宋体" w:eastAsia="宋体" w:cs="宋体"/>
          <w:color w:val="auto"/>
          <w:sz w:val="21"/>
          <w:szCs w:val="21"/>
          <w:highlight w:val="none"/>
          <w:lang w:val="en-US" w:eastAsia="zh-CN" w:bidi="ar-SA"/>
        </w:rPr>
        <w:t xml:space="preserve">完善、</w:t>
      </w:r>
      <w:r>
        <w:rPr>
          <w:rFonts w:hint="eastAsia" w:ascii="宋体" w:hAnsi="宋体" w:eastAsia="宋体" w:cs="宋体"/>
          <w:color w:val="auto"/>
          <w:sz w:val="21"/>
          <w:szCs w:val="21"/>
          <w:highlight w:val="none"/>
          <w:lang w:val="en-US" w:bidi="ar-SA"/>
        </w:rPr>
        <w:t xml:space="preserve">针对性强，实施可行性强的得5分；</w:t>
      </w:r>
      <w:r>
        <w:rPr>
          <w:rFonts w:hint="eastAsia" w:ascii="宋体" w:hAnsi="宋体" w:eastAsia="宋体" w:cs="宋体"/>
          <w:color w:val="auto"/>
          <w:sz w:val="21"/>
          <w:szCs w:val="21"/>
          <w:highlight w:val="none"/>
          <w:lang w:val="en-US" w:eastAsia="zh-CN" w:bidi="ar-SA"/>
        </w:rPr>
        <w:t xml:space="preserve">制度较完善、实施可行性较强的得3分；制度简略</w:t>
      </w:r>
      <w:r>
        <w:rPr>
          <w:rFonts w:hint="eastAsia" w:ascii="宋体" w:hAnsi="宋体" w:eastAsia="宋体" w:cs="宋体"/>
          <w:color w:val="auto"/>
          <w:sz w:val="21"/>
          <w:szCs w:val="21"/>
          <w:highlight w:val="none"/>
          <w:lang w:val="en-US" w:bidi="ar-SA"/>
        </w:rPr>
        <w:t xml:space="preserve">，可行性</w:t>
      </w:r>
      <w:r>
        <w:rPr>
          <w:rFonts w:hint="eastAsia" w:ascii="宋体" w:hAnsi="宋体" w:eastAsia="宋体" w:cs="宋体"/>
          <w:color w:val="auto"/>
          <w:sz w:val="21"/>
          <w:szCs w:val="21"/>
          <w:highlight w:val="none"/>
          <w:lang w:val="en-US" w:eastAsia="zh-CN" w:bidi="ar-SA"/>
        </w:rPr>
        <w:t xml:space="preserve">一般</w:t>
      </w:r>
      <w:r>
        <w:rPr>
          <w:rFonts w:hint="eastAsia" w:ascii="宋体" w:hAnsi="宋体" w:eastAsia="宋体" w:cs="宋体"/>
          <w:color w:val="auto"/>
          <w:sz w:val="21"/>
          <w:szCs w:val="21"/>
          <w:highlight w:val="none"/>
          <w:lang w:val="en-US" w:bidi="ar-SA"/>
        </w:rPr>
        <w:t xml:space="preserve">的得1分</w:t>
      </w:r>
      <w:r>
        <w:rPr>
          <w:rFonts w:hint="eastAsia" w:ascii="宋体" w:hAnsi="宋体" w:eastAsia="宋体" w:cs="宋体"/>
          <w:color w:val="auto"/>
          <w:sz w:val="21"/>
          <w:szCs w:val="21"/>
          <w:highlight w:val="none"/>
          <w:lang w:val="en-US" w:eastAsia="zh-CN" w:bidi="ar-SA"/>
        </w:rPr>
        <w:t xml:space="preserve">；未提供此项方案的不得分。</w:t>
      </w:r>
      <w:r/>
    </w:p>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2.2</w:t>
      </w:r>
      <w:r>
        <w:rPr>
          <w:rFonts w:hint="eastAsia" w:ascii="宋体" w:hAnsi="宋体" w:eastAsia="宋体" w:cs="宋体"/>
          <w:color w:val="auto"/>
          <w:sz w:val="21"/>
          <w:szCs w:val="21"/>
          <w:highlight w:val="none"/>
          <w:lang w:val="en-US" w:bidi="ar-SA"/>
        </w:rPr>
        <w:t xml:space="preserve">磋商响应单位的内部员工奖惩激励机制</w:t>
      </w:r>
      <w:r>
        <w:rPr>
          <w:rFonts w:hint="eastAsia" w:ascii="宋体" w:hAnsi="宋体" w:eastAsia="宋体" w:cs="宋体"/>
          <w:color w:val="auto"/>
          <w:sz w:val="21"/>
          <w:szCs w:val="21"/>
          <w:highlight w:val="none"/>
          <w:lang w:val="en-US" w:eastAsia="zh-CN" w:bidi="ar-SA"/>
        </w:rPr>
        <w:t xml:space="preserve">（5分）</w:t>
      </w:r>
      <w:r/>
    </w:p>
    <w:p>
      <w:pPr>
        <w:ind w:firstLine="42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奖惩激励机制切实可行、针对性强的得5分；机制较可行的得3分；机制一般的得1分；未提供此项方案的不得分。</w:t>
      </w:r>
      <w:r/>
    </w:p>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2.3</w:t>
      </w:r>
      <w:r>
        <w:rPr>
          <w:rFonts w:hint="eastAsia" w:ascii="宋体" w:hAnsi="宋体" w:eastAsia="宋体" w:cs="宋体"/>
          <w:color w:val="auto"/>
          <w:sz w:val="21"/>
          <w:szCs w:val="21"/>
          <w:highlight w:val="none"/>
          <w:lang w:val="en-US" w:bidi="ar-SA"/>
        </w:rPr>
        <w:t xml:space="preserve">与各方的交接、协调沟通方案（</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分）</w:t>
      </w:r>
      <w:r/>
    </w:p>
    <w:p>
      <w:pPr>
        <w:ind w:firstLine="42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与各方交接、</w:t>
      </w:r>
      <w:r>
        <w:rPr>
          <w:rFonts w:hint="eastAsia" w:ascii="宋体" w:hAnsi="宋体" w:eastAsia="宋体" w:cs="宋体"/>
          <w:color w:val="auto"/>
          <w:sz w:val="21"/>
          <w:szCs w:val="21"/>
          <w:highlight w:val="none"/>
          <w:lang w:val="en-US" w:bidi="ar-SA"/>
        </w:rPr>
        <w:t xml:space="preserve">沟通协调方案内容全面完善、针对性强、科学可行的得</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分；方案较全面、针对性较强、较可行的得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bidi="ar-SA"/>
        </w:rPr>
        <w:t xml:space="preserve">分；沟通协调方案一般的得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bidi="ar-SA"/>
        </w:rPr>
        <w:t xml:space="preserve">分；未提供方案的此项不得分。</w:t>
      </w:r>
      <w:r/>
    </w:p>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针对本项目紧急情况制定的应急预案等，评审小组对投标单位制定的食物中毒应急、投诉处理，消防事故处理等预案进行评价（</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分）</w:t>
      </w:r>
      <w:r/>
    </w:p>
    <w:p>
      <w:pPr>
        <w:ind w:firstLine="367"/>
        <w:spacing w:line="44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方案针对性强，实施可行性强的得</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分；具备各类应急预案，方案较为完整，总体安排可行的得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bidi="ar-SA"/>
        </w:rPr>
        <w:t xml:space="preserve">分；具有应急预案，方案描述较为简单，可行性一般的得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未提供方案的此项不得分。</w:t>
      </w:r>
      <w:r/>
    </w:p>
    <w:p>
      <w:pPr>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w:t>
      </w:r>
      <w:r>
        <w:rPr>
          <w:rFonts w:hint="eastAsia" w:ascii="宋体" w:hAnsi="宋体" w:eastAsia="宋体" w:cs="宋体"/>
          <w:color w:val="auto"/>
          <w:sz w:val="21"/>
          <w:szCs w:val="21"/>
          <w:highlight w:val="none"/>
          <w:lang w:val="zh-CN" w:bidi="ar-SA"/>
        </w:rPr>
        <w:t xml:space="preserve">、</w:t>
      </w:r>
      <w:r>
        <w:rPr>
          <w:rFonts w:hint="eastAsia" w:ascii="宋体" w:hAnsi="宋体" w:eastAsia="宋体" w:cs="宋体"/>
          <w:color w:val="auto"/>
          <w:sz w:val="21"/>
          <w:szCs w:val="21"/>
          <w:highlight w:val="none"/>
          <w:lang w:val="en-US" w:bidi="ar-SA"/>
        </w:rPr>
        <w:t xml:space="preserve">服务保障承诺（</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分）</w:t>
      </w:r>
      <w:r/>
    </w:p>
    <w:p>
      <w:pPr>
        <w:ind w:firstLine="367"/>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括服务质量承诺、对发生各类安全事</w:t>
      </w:r>
      <w:r>
        <w:rPr>
          <w:rFonts w:hint="eastAsia" w:ascii="宋体" w:hAnsi="宋体" w:eastAsia="宋体" w:cs="宋体"/>
          <w:color w:val="auto"/>
          <w:sz w:val="21"/>
          <w:szCs w:val="21"/>
          <w:highlight w:val="none"/>
          <w:lang w:val="en-US" w:eastAsia="zh-CN" w:bidi="ar-SA"/>
        </w:rPr>
        <w:t xml:space="preserve">故的</w:t>
      </w:r>
      <w:r>
        <w:rPr>
          <w:rFonts w:hint="eastAsia" w:ascii="宋体" w:hAnsi="宋体" w:eastAsia="宋体" w:cs="宋体"/>
          <w:color w:val="auto"/>
          <w:sz w:val="21"/>
          <w:szCs w:val="21"/>
          <w:highlight w:val="none"/>
          <w:lang w:val="en-US" w:bidi="ar-SA"/>
        </w:rPr>
        <w:t xml:space="preserve">善后处理承诺、依法规范用工承诺及应对履约期内各类风险承诺</w:t>
      </w:r>
      <w:r>
        <w:rPr>
          <w:rFonts w:hint="eastAsia" w:ascii="宋体" w:hAnsi="宋体" w:eastAsia="宋体" w:cs="宋体"/>
          <w:color w:val="auto"/>
          <w:sz w:val="21"/>
          <w:szCs w:val="21"/>
          <w:highlight w:val="none"/>
          <w:lang w:val="en-US" w:eastAsia="zh-CN" w:bidi="ar-SA"/>
        </w:rPr>
        <w:t xml:space="preserve">全面完善、可靠性高的</w:t>
      </w:r>
      <w:r>
        <w:rPr>
          <w:rFonts w:hint="eastAsia" w:ascii="宋体" w:hAnsi="宋体" w:eastAsia="宋体" w:cs="宋体"/>
          <w:color w:val="auto"/>
          <w:sz w:val="21"/>
          <w:szCs w:val="21"/>
          <w:highlight w:val="none"/>
          <w:lang w:val="en-US" w:bidi="ar-SA"/>
        </w:rPr>
        <w:t xml:space="preserve">得</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分，</w:t>
      </w:r>
      <w:r>
        <w:rPr>
          <w:rFonts w:hint="eastAsia" w:ascii="宋体" w:hAnsi="宋体" w:eastAsia="宋体" w:cs="宋体"/>
          <w:color w:val="auto"/>
          <w:sz w:val="21"/>
          <w:szCs w:val="21"/>
          <w:highlight w:val="none"/>
          <w:lang w:val="en-US" w:eastAsia="zh-CN" w:bidi="ar-SA"/>
        </w:rPr>
        <w:t xml:space="preserve">承诺较完善、可靠性较高的得3分；承诺简略的得1分；</w:t>
      </w:r>
      <w:r>
        <w:rPr>
          <w:rFonts w:hint="eastAsia" w:ascii="宋体" w:hAnsi="宋体" w:eastAsia="宋体" w:cs="宋体"/>
          <w:color w:val="auto"/>
          <w:sz w:val="21"/>
          <w:szCs w:val="21"/>
          <w:highlight w:val="none"/>
          <w:lang w:val="en-US" w:bidi="ar-SA"/>
        </w:rPr>
        <w:t xml:space="preserve">未提供方案的此项不得分。                                 </w:t>
      </w:r>
      <w:r/>
    </w:p>
    <w:p>
      <w:pPr>
        <w:jc w:val="both"/>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（三）人员服务综合素质比较（</w:t>
      </w:r>
      <w:r>
        <w:rPr>
          <w:rFonts w:hint="eastAsia" w:ascii="宋体" w:hAnsi="宋体" w:cs="宋体"/>
          <w:b/>
          <w:color w:val="auto"/>
          <w:sz w:val="21"/>
          <w:szCs w:val="21"/>
          <w:highlight w:val="none"/>
          <w:lang w:val="en-US" w:eastAsia="zh-CN" w:bidi="ar-SA"/>
        </w:rPr>
        <w:t xml:space="preserve">16</w:t>
      </w:r>
      <w:r>
        <w:rPr>
          <w:rFonts w:hint="eastAsia" w:ascii="宋体" w:hAnsi="宋体" w:eastAsia="宋体" w:cs="宋体"/>
          <w:b/>
          <w:color w:val="auto"/>
          <w:sz w:val="21"/>
          <w:szCs w:val="21"/>
          <w:highlight w:val="none"/>
          <w:lang w:val="en-US" w:eastAsia="zh-CN" w:bidi="ar-SA"/>
        </w:rPr>
        <w:t xml:space="preserve">分）   </w:t>
      </w:r>
      <w:r>
        <w:rPr>
          <w:rFonts w:hint="eastAsia" w:ascii="宋体" w:hAnsi="宋体" w:eastAsia="宋体" w:cs="宋体"/>
          <w:color w:val="auto"/>
          <w:sz w:val="21"/>
          <w:szCs w:val="21"/>
          <w:highlight w:val="none"/>
          <w:lang w:val="en-US" w:eastAsia="zh-CN" w:bidi="ar-SA"/>
        </w:rPr>
        <w:t xml:space="preserve">   </w:t>
      </w:r>
      <w:r/>
    </w:p>
    <w:p>
      <w:p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1、项目经理</w:t>
      </w:r>
      <w:r/>
    </w:p>
    <w:p>
      <w:p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cs="宋体"/>
          <w:color w:val="auto"/>
          <w:sz w:val="21"/>
          <w:szCs w:val="21"/>
          <w:highlight w:val="none"/>
          <w:lang w:val="en-US" w:eastAsia="zh-CN" w:bidi="ar-SA"/>
        </w:rPr>
        <w:t xml:space="preserve">具有本科学历且具有食品安全管理员证书的得3分</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（提供证书扫描件）</w:t>
      </w:r>
      <w:r/>
    </w:p>
    <w:p>
      <w:p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其他配备人员</w:t>
      </w:r>
      <w:r/>
    </w:p>
    <w:p>
      <w:pPr>
        <w:ind w:firstLine="420"/>
        <w:jc w:val="both"/>
        <w:keepLines w:val="0"/>
        <w:keepNext w:val="0"/>
        <w:pageBreakBefore w:val="0"/>
        <w:spacing w:line="440" w:lineRule="exact"/>
        <w:widowControl w:val="off"/>
        <w:rPr>
          <w:rFonts w:hint="eastAsia" w:ascii="宋体" w:hAnsi="宋体" w:cs="宋体"/>
          <w:color w:val="auto"/>
          <w:sz w:val="21"/>
          <w:szCs w:val="21"/>
          <w:highlight w:val="none"/>
          <w:lang w:val="en-US" w:eastAsia="zh-CN" w:bidi="ar-SA"/>
        </w:rPr>
        <w:outlineLvl w:val="0"/>
      </w:pPr>
      <w:r>
        <w:rPr>
          <w:rFonts w:hint="eastAsia" w:ascii="宋体" w:hAnsi="宋体" w:cs="宋体"/>
          <w:color w:val="auto"/>
          <w:sz w:val="21"/>
          <w:szCs w:val="21"/>
          <w:highlight w:val="none"/>
          <w:lang w:val="en-US" w:eastAsia="zh-CN" w:bidi="ar-SA"/>
        </w:rPr>
        <w:t xml:space="preserve">2.1具有一级烹调师证书的有一个得3分，二级烹调师证书的有一个得2分，三级烹调师证书的有一个得1分，最高得9分。（每项最多可评3人，提供证书扫描件及最近三个月任意一期社保证明，同一人不可重复得分）</w:t>
      </w:r>
      <w:r/>
    </w:p>
    <w:p>
      <w:pPr>
        <w:ind w:firstLine="420"/>
        <w:jc w:val="both"/>
        <w:keepLines w:val="0"/>
        <w:keepNext w:val="0"/>
        <w:pageBreakBefore w:val="0"/>
        <w:spacing w:line="440" w:lineRule="exact"/>
        <w:widowControl w:val="off"/>
        <w:rPr>
          <w:rFonts w:hint="eastAsia" w:ascii="宋体" w:hAnsi="宋体" w:cs="宋体"/>
          <w:color w:val="auto"/>
          <w:sz w:val="21"/>
          <w:szCs w:val="21"/>
          <w:highlight w:val="none"/>
          <w:lang w:val="en-US" w:eastAsia="zh-CN" w:bidi="ar-SA"/>
        </w:rPr>
        <w:outlineLvl w:val="0"/>
      </w:pPr>
      <w:r>
        <w:rPr>
          <w:rFonts w:hint="eastAsia" w:ascii="宋体" w:hAnsi="宋体" w:cs="宋体"/>
          <w:color w:val="auto"/>
          <w:sz w:val="21"/>
          <w:szCs w:val="21"/>
          <w:highlight w:val="none"/>
          <w:lang w:val="en-US" w:eastAsia="zh-CN" w:bidi="ar-SA"/>
        </w:rPr>
        <w:t xml:space="preserve">2.2具有三级及以上级别的面点师证书的有一个得1分，最高得4分。（提供证书扫描件及最近三个月任意一期社保证明，同一人不可重复得分）</w:t>
      </w:r>
      <w:r/>
    </w:p>
    <w:p>
      <w:pPr>
        <w:jc w:val="both"/>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（四）投标人综合实力比较 （</w:t>
      </w:r>
      <w:r>
        <w:rPr>
          <w:rFonts w:hint="eastAsia" w:ascii="宋体" w:hAnsi="宋体" w:cs="宋体"/>
          <w:b/>
          <w:color w:val="auto"/>
          <w:sz w:val="21"/>
          <w:szCs w:val="21"/>
          <w:highlight w:val="none"/>
          <w:lang w:val="en-US" w:eastAsia="zh-CN" w:bidi="ar-SA"/>
        </w:rPr>
        <w:t xml:space="preserve">12</w:t>
      </w:r>
      <w:r>
        <w:rPr>
          <w:rFonts w:hint="eastAsia" w:ascii="宋体" w:hAnsi="宋体" w:eastAsia="宋体" w:cs="宋体"/>
          <w:b/>
          <w:color w:val="auto"/>
          <w:sz w:val="21"/>
          <w:szCs w:val="21"/>
          <w:highlight w:val="none"/>
          <w:lang w:val="en-US" w:eastAsia="zh-CN" w:bidi="ar-SA"/>
        </w:rPr>
        <w:t xml:space="preserve">分）</w:t>
      </w:r>
      <w:r/>
    </w:p>
    <w:p>
      <w:p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、类似项目管理工作经验                                                     </w:t>
      </w:r>
      <w:r/>
    </w:p>
    <w:p>
      <w:p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年1月1日以来（以合同签订时间为准）与本项目类似的项目，有一份得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分，最高</w:t>
      </w: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（提供合同证明文件）</w:t>
      </w:r>
      <w:r/>
    </w:p>
    <w:p>
      <w:p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注：</w:t>
      </w:r>
      <w:r/>
    </w:p>
    <w:p>
      <w:p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1、投标人提供的资料必须真实有效，中标后采购人可对相应证书等资料进行原件核查（无原件可用公证件代替），投标单位如若提供虚假资料，将承担相应法律责任。</w:t>
      </w:r>
      <w:r/>
    </w:p>
    <w:p>
      <w:pPr>
        <w:ind w:firstLine="422"/>
        <w:jc w:val="both"/>
        <w:spacing w:line="360" w:lineRule="auto"/>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2、以上每条评分标准，投标人均需上传相关资料，否则不作为评分依据。</w:t>
      </w:r>
      <w:r>
        <w:rPr>
          <w:rFonts w:ascii="宋体" w:hAnsi="宋体" w:cs="宋体"/>
          <w:b/>
          <w:color w:val="auto"/>
          <w:szCs w:val="21"/>
          <w:highlight w:val="none"/>
        </w:rPr>
        <w:t xml:space="preserve">                                                                （全文完）</w:t>
      </w:r>
      <w:r/>
    </w:p>
    <w:sectPr>
      <w:footnotePr/>
      <w:endnotePr/>
      <w:type w:val="nextPage"/>
      <w:pgSz w:w="11906" w:h="16838" w:orient="portrait"/>
      <w:pgMar w:top="1440" w:right="1558" w:bottom="1440" w:left="1588" w:header="737" w:footer="1247"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Light">
    <w:panose1 w:val="02010600030101010101"/>
  </w:font>
  <w:font w:name="等线">
    <w:panose1 w:val="02010600030101010101"/>
  </w:font>
  <w:font w:name="Cambria">
    <w:panose1 w:val="02040503050406030204"/>
  </w:font>
  <w:font w:name="Verdana">
    <w:panose1 w:val="020B0604030504040204"/>
  </w:font>
  <w:font w:name="黑体">
    <w:panose1 w:val="02010609060101010101"/>
  </w:font>
  <w:font w:name="仿宋_GB2312">
    <w:panose1 w:val="02010609060101010101"/>
  </w:font>
  <w:font w:name="Calibri">
    <w:panose1 w:val="020F0502020204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left" w:pos="255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left" w:pos="255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left" w:pos="255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left"/>
      <w:rPr>
        <w:rFonts w:hint="eastAsia" w:ascii="宋体" w:hAnsi="宋体" w:eastAsia="宋体" w:cs="宋体"/>
        <w:sz w:val="21"/>
        <w:szCs w:val="21"/>
        <w:highlight w:val="yellow"/>
        <w:lang w:eastAsia="zh-CN"/>
      </w:rPr>
    </w:pPr>
    <w:r>
      <w:rPr>
        <w:rFonts w:hint="eastAsia" w:ascii="宋体" w:hAnsi="宋体" w:cs="宋体"/>
        <w:sz w:val="21"/>
        <w:szCs w:val="21"/>
        <w:lang w:eastAsia="zh-CN"/>
      </w:rPr>
      <w:t xml:space="preserve">名源工程招投标咨询（苏州）有限公司</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lang w:eastAsia="zh-CN"/>
      </w:rPr>
      <w:t xml:space="preserve">JSZC-320509-MYDL-C2026-0005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left"/>
      <w:rPr>
        <w:rFonts w:hint="eastAsia" w:eastAsia="宋体"/>
        <w:highlight w:val="yellow"/>
        <w:lang w:eastAsia="zh-CN"/>
      </w:rPr>
    </w:pPr>
    <w:r>
      <w:rPr>
        <w:rFonts w:hint="eastAsia" w:ascii="宋体" w:hAnsi="宋体" w:cs="宋体"/>
        <w:sz w:val="21"/>
        <w:szCs w:val="21"/>
        <w:lang w:eastAsia="zh-CN"/>
      </w:rPr>
      <w:t xml:space="preserve">名源工程招投标咨询（苏州）有限公司</w:t>
    </w:r>
    <w:r>
      <w:rPr>
        <w:rFonts w:hint="eastAsia" w:ascii="宋体" w:hAnsi="宋体" w:cs="宋体"/>
        <w:sz w:val="21"/>
        <w:szCs w:val="21"/>
      </w:rPr>
      <w:t xml:space="preserve">       </w:t>
    </w:r>
    <w:r>
      <w:rPr>
        <w:rFonts w:hint="eastAsia" w:ascii="宋体" w:hAnsi="宋体" w:cs="宋体"/>
        <w:sz w:val="21"/>
        <w:szCs w:val="21"/>
        <w:lang w:eastAsia="zh-CN"/>
      </w:rPr>
      <w:t xml:space="preserve">JSZC-320509-MYDL-C2026-0005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left"/>
      <w:rPr>
        <w:rFonts w:hint="eastAsia" w:eastAsia="宋体"/>
        <w:lang w:eastAsia="zh-CN"/>
      </w:rPr>
    </w:pPr>
    <w:r>
      <w:rPr>
        <w:rFonts w:hint="eastAsia" w:ascii="宋体" w:hAnsi="宋体" w:cs="宋体"/>
        <w:sz w:val="21"/>
        <w:szCs w:val="21"/>
        <w:lang w:eastAsia="zh-CN"/>
      </w:rPr>
      <w:t xml:space="preserve">名源工程招投标咨询（苏州）有限公司</w:t>
    </w:r>
    <w:r>
      <w:rPr>
        <w:rFonts w:hint="eastAsia" w:ascii="宋体" w:hAnsi="宋体" w:cs="宋体"/>
        <w:sz w:val="21"/>
        <w:szCs w:val="21"/>
      </w:rPr>
      <w:t xml:space="preserve">        </w:t>
    </w:r>
    <w:r>
      <w:rPr>
        <w:rFonts w:hint="eastAsia" w:ascii="宋体" w:hAnsi="宋体" w:cs="宋体"/>
        <w:sz w:val="21"/>
        <w:szCs w:val="21"/>
        <w:lang w:eastAsia="zh-CN"/>
      </w:rPr>
      <w:t xml:space="preserve">JSZC-320509-MYDL-C2026-0005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996"/>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decimal"/>
      <w:isLgl w:val="false"/>
      <w:suff w:val="tab"/>
      <w:lvlText w:val=""/>
      <w:lvlJc w:val="left"/>
      <w:pPr>
        <w:ind w:left="1296" w:hanging="1296"/>
      </w:pPr>
      <w:rPr>
        <w:rFonts w:hint="eastAsia"/>
      </w:rPr>
    </w:lvl>
    <w:lvl w:ilvl="7">
      <w:start w:val="1"/>
      <w:numFmt w:val="decimal"/>
      <w:isLgl w:val="false"/>
      <w:suff w:val="tab"/>
      <w:lvlText w:val=""/>
      <w:lvlJc w:val="left"/>
      <w:pPr>
        <w:ind w:left="1440" w:hanging="1440"/>
      </w:pPr>
      <w:rPr>
        <w:rFonts w:hint="eastAsia"/>
      </w:rPr>
    </w:lvl>
    <w:lvl w:ilvl="8">
      <w:start w:val="1"/>
      <w:numFmt w:val="decimal"/>
      <w:isLgl w:val="false"/>
      <w:suff w:val="tab"/>
      <w:lvlText w:val=""/>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1"/>
    <w:link w:val="802"/>
    <w:uiPriority w:val="9"/>
    <w:rPr>
      <w:rFonts w:ascii="Arial" w:hAnsi="Arial" w:eastAsia="Arial" w:cs="Arial"/>
      <w:sz w:val="40"/>
      <w:szCs w:val="40"/>
    </w:rPr>
  </w:style>
  <w:style w:type="character" w:styleId="15">
    <w:name w:val="Heading 2 Char"/>
    <w:basedOn w:val="811"/>
    <w:link w:val="803"/>
    <w:uiPriority w:val="9"/>
    <w:rPr>
      <w:rFonts w:ascii="Arial" w:hAnsi="Arial" w:eastAsia="Arial" w:cs="Arial"/>
      <w:sz w:val="34"/>
    </w:rPr>
  </w:style>
  <w:style w:type="character" w:styleId="17">
    <w:name w:val="Heading 3 Char"/>
    <w:basedOn w:val="811"/>
    <w:link w:val="804"/>
    <w:uiPriority w:val="9"/>
    <w:rPr>
      <w:rFonts w:ascii="Arial" w:hAnsi="Arial" w:eastAsia="Arial" w:cs="Arial"/>
      <w:sz w:val="30"/>
      <w:szCs w:val="30"/>
    </w:rPr>
  </w:style>
  <w:style w:type="character" w:styleId="19">
    <w:name w:val="Heading 4 Char"/>
    <w:basedOn w:val="811"/>
    <w:link w:val="805"/>
    <w:uiPriority w:val="9"/>
    <w:rPr>
      <w:rFonts w:ascii="Arial" w:hAnsi="Arial" w:eastAsia="Arial" w:cs="Arial"/>
      <w:b/>
      <w:bCs/>
      <w:sz w:val="26"/>
      <w:szCs w:val="26"/>
    </w:rPr>
  </w:style>
  <w:style w:type="character" w:styleId="21">
    <w:name w:val="Heading 5 Char"/>
    <w:basedOn w:val="811"/>
    <w:link w:val="806"/>
    <w:uiPriority w:val="9"/>
    <w:rPr>
      <w:rFonts w:ascii="Arial" w:hAnsi="Arial" w:eastAsia="Arial" w:cs="Arial"/>
      <w:b/>
      <w:bCs/>
      <w:sz w:val="24"/>
      <w:szCs w:val="24"/>
    </w:rPr>
  </w:style>
  <w:style w:type="character" w:styleId="23">
    <w:name w:val="Heading 6 Char"/>
    <w:basedOn w:val="811"/>
    <w:link w:val="807"/>
    <w:uiPriority w:val="9"/>
    <w:rPr>
      <w:rFonts w:ascii="Arial" w:hAnsi="Arial" w:eastAsia="Arial" w:cs="Arial"/>
      <w:b/>
      <w:bCs/>
      <w:sz w:val="22"/>
      <w:szCs w:val="22"/>
    </w:rPr>
  </w:style>
  <w:style w:type="character" w:styleId="25">
    <w:name w:val="Heading 7 Char"/>
    <w:basedOn w:val="811"/>
    <w:link w:val="808"/>
    <w:uiPriority w:val="9"/>
    <w:rPr>
      <w:rFonts w:ascii="Arial" w:hAnsi="Arial" w:eastAsia="Arial" w:cs="Arial"/>
      <w:b/>
      <w:bCs/>
      <w:i/>
      <w:iCs/>
      <w:sz w:val="22"/>
      <w:szCs w:val="22"/>
    </w:rPr>
  </w:style>
  <w:style w:type="character" w:styleId="27">
    <w:name w:val="Heading 8 Char"/>
    <w:basedOn w:val="811"/>
    <w:link w:val="809"/>
    <w:uiPriority w:val="9"/>
    <w:rPr>
      <w:rFonts w:ascii="Arial" w:hAnsi="Arial" w:eastAsia="Arial" w:cs="Arial"/>
      <w:i/>
      <w:iCs/>
      <w:sz w:val="22"/>
      <w:szCs w:val="22"/>
    </w:rPr>
  </w:style>
  <w:style w:type="character" w:styleId="29">
    <w:name w:val="Heading 9 Char"/>
    <w:basedOn w:val="811"/>
    <w:link w:val="810"/>
    <w:uiPriority w:val="9"/>
    <w:rPr>
      <w:rFonts w:ascii="Arial" w:hAnsi="Arial" w:eastAsia="Arial" w:cs="Arial"/>
      <w:i/>
      <w:iCs/>
      <w:sz w:val="21"/>
      <w:szCs w:val="21"/>
    </w:rPr>
  </w:style>
  <w:style w:type="character" w:styleId="34">
    <w:name w:val="Title Char"/>
    <w:basedOn w:val="811"/>
    <w:link w:val="831"/>
    <w:uiPriority w:val="10"/>
    <w:rPr>
      <w:sz w:val="48"/>
      <w:szCs w:val="48"/>
    </w:rPr>
  </w:style>
  <w:style w:type="character" w:styleId="36">
    <w:name w:val="Subtitle Char"/>
    <w:basedOn w:val="811"/>
    <w:link w:val="825"/>
    <w:uiPriority w:val="11"/>
    <w:rPr>
      <w:sz w:val="24"/>
      <w:szCs w:val="24"/>
    </w:rPr>
  </w:style>
  <w:style w:type="character" w:styleId="38">
    <w:name w:val="Quote Char"/>
    <w:link w:val="858"/>
    <w:uiPriority w:val="29"/>
    <w:rPr>
      <w:i/>
    </w:rPr>
  </w:style>
  <w:style w:type="character" w:styleId="40">
    <w:name w:val="Intense Quote Char"/>
    <w:link w:val="860"/>
    <w:uiPriority w:val="30"/>
    <w:rPr>
      <w:i/>
    </w:rPr>
  </w:style>
  <w:style w:type="character" w:styleId="42">
    <w:name w:val="Header Char"/>
    <w:basedOn w:val="811"/>
    <w:link w:val="822"/>
    <w:uiPriority w:val="99"/>
  </w:style>
  <w:style w:type="character" w:styleId="46">
    <w:name w:val="Caption Char"/>
    <w:basedOn w:val="814"/>
    <w:link w:val="821"/>
    <w:uiPriority w:val="99"/>
  </w:style>
  <w:style w:type="table" w:styleId="4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6"/>
    <w:uiPriority w:val="99"/>
    <w:rPr>
      <w:sz w:val="18"/>
    </w:rPr>
  </w:style>
  <w:style w:type="character" w:styleId="178">
    <w:name w:val="Endnote Text Char"/>
    <w:link w:val="820"/>
    <w:uiPriority w:val="99"/>
    <w:rPr>
      <w:sz w:val="20"/>
    </w:rPr>
  </w:style>
  <w:style w:type="paragraph" w:styleId="189">
    <w:name w:val="TOC Heading"/>
    <w:uiPriority w:val="39"/>
    <w:unhideWhenUsed/>
  </w:style>
  <w:style w:type="paragraph" w:styleId="8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2">
    <w:name w:val="Heading 1"/>
    <w:basedOn w:val="801"/>
    <w:next w:val="801"/>
    <w:link w:val="846"/>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47"/>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48"/>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49"/>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50"/>
    <w:uiPriority w:val="9"/>
    <w:unhideWhenUsed/>
    <w:qFormat/>
    <w:pPr>
      <w:keepLines/>
      <w:keepNext/>
      <w:spacing w:before="320" w:after="200"/>
      <w:outlineLvl w:val="4"/>
    </w:pPr>
    <w:rPr>
      <w:rFonts w:ascii="Arial" w:hAnsi="Arial" w:eastAsia="Arial" w:cs="Arial"/>
      <w:b/>
      <w:bCs/>
      <w:sz w:val="24"/>
    </w:rPr>
  </w:style>
  <w:style w:type="paragraph" w:styleId="807">
    <w:name w:val="Heading 6"/>
    <w:basedOn w:val="801"/>
    <w:next w:val="801"/>
    <w:link w:val="851"/>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53"/>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54"/>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spacing w:after="57"/>
    </w:pPr>
  </w:style>
  <w:style w:type="paragraph" w:styleId="814">
    <w:name w:val="Caption"/>
    <w:basedOn w:val="801"/>
    <w:next w:val="801"/>
    <w:uiPriority w:val="35"/>
    <w:semiHidden/>
    <w:unhideWhenUsed/>
    <w:qFormat/>
    <w:pPr>
      <w:spacing w:line="276" w:lineRule="auto"/>
    </w:pPr>
    <w:rPr>
      <w:b/>
      <w:bCs/>
      <w:color w:val="4f81bd"/>
      <w:sz w:val="18"/>
      <w:szCs w:val="18"/>
    </w:rPr>
  </w:style>
  <w:style w:type="paragraph" w:styleId="815">
    <w:name w:val="annotation text"/>
    <w:basedOn w:val="801"/>
    <w:uiPriority w:val="99"/>
    <w:semiHidden/>
    <w:unhideWhenUsed/>
    <w:qFormat/>
    <w:pPr>
      <w:jc w:val="left"/>
    </w:pPr>
  </w:style>
  <w:style w:type="paragraph" w:styleId="816">
    <w:name w:val="toc 5"/>
    <w:basedOn w:val="801"/>
    <w:next w:val="801"/>
    <w:uiPriority w:val="39"/>
    <w:unhideWhenUsed/>
    <w:qFormat/>
    <w:pPr>
      <w:ind w:left="1134"/>
      <w:spacing w:after="57"/>
    </w:pPr>
  </w:style>
  <w:style w:type="paragraph" w:styleId="817">
    <w:name w:val="toc 3"/>
    <w:basedOn w:val="801"/>
    <w:next w:val="801"/>
    <w:uiPriority w:val="39"/>
    <w:unhideWhenUsed/>
    <w:qFormat/>
    <w:pPr>
      <w:ind w:left="567"/>
      <w:spacing w:after="57"/>
    </w:pPr>
  </w:style>
  <w:style w:type="paragraph" w:styleId="818">
    <w:name w:val="Plain Text"/>
    <w:basedOn w:val="801"/>
    <w:link w:val="1056"/>
    <w:uiPriority w:val="0"/>
    <w:qFormat/>
    <w:rPr>
      <w:rFonts w:ascii="宋体" w:hAnsi="Courier New" w:eastAsia="楷体_GB2312"/>
      <w:sz w:val="28"/>
      <w:szCs w:val="20"/>
    </w:rPr>
  </w:style>
  <w:style w:type="paragraph" w:styleId="819">
    <w:name w:val="toc 8"/>
    <w:basedOn w:val="801"/>
    <w:next w:val="801"/>
    <w:uiPriority w:val="39"/>
    <w:unhideWhenUsed/>
    <w:qFormat/>
    <w:pPr>
      <w:ind w:left="1984"/>
      <w:spacing w:after="57"/>
    </w:pPr>
  </w:style>
  <w:style w:type="paragraph" w:styleId="820">
    <w:name w:val="endnote text"/>
    <w:basedOn w:val="801"/>
    <w:link w:val="991"/>
    <w:uiPriority w:val="99"/>
    <w:semiHidden/>
    <w:unhideWhenUsed/>
    <w:qFormat/>
    <w:rPr>
      <w:sz w:val="20"/>
    </w:rPr>
  </w:style>
  <w:style w:type="paragraph" w:styleId="821">
    <w:name w:val="Footer"/>
    <w:basedOn w:val="801"/>
    <w:link w:val="864"/>
    <w:uiPriority w:val="99"/>
    <w:unhideWhenUsed/>
    <w:qFormat/>
    <w:pPr>
      <w:tabs>
        <w:tab w:val="center" w:pos="7143" w:leader="none"/>
        <w:tab w:val="right" w:pos="14287" w:leader="none"/>
      </w:tabs>
    </w:pPr>
  </w:style>
  <w:style w:type="paragraph" w:styleId="822">
    <w:name w:val="Header"/>
    <w:basedOn w:val="801"/>
    <w:link w:val="862"/>
    <w:uiPriority w:val="99"/>
    <w:unhideWhenUsed/>
    <w:qFormat/>
    <w:pPr>
      <w:tabs>
        <w:tab w:val="center" w:pos="7143" w:leader="none"/>
        <w:tab w:val="right" w:pos="14287" w:leader="none"/>
      </w:tabs>
    </w:pPr>
  </w:style>
  <w:style w:type="paragraph" w:styleId="823">
    <w:name w:val="toc 1"/>
    <w:basedOn w:val="801"/>
    <w:next w:val="801"/>
    <w:uiPriority w:val="39"/>
    <w:unhideWhenUsed/>
    <w:qFormat/>
    <w:pPr>
      <w:spacing w:after="57"/>
    </w:pPr>
  </w:style>
  <w:style w:type="paragraph" w:styleId="824">
    <w:name w:val="toc 4"/>
    <w:basedOn w:val="801"/>
    <w:next w:val="801"/>
    <w:uiPriority w:val="39"/>
    <w:unhideWhenUsed/>
    <w:qFormat/>
    <w:pPr>
      <w:ind w:left="850"/>
      <w:spacing w:after="57"/>
    </w:pPr>
  </w:style>
  <w:style w:type="paragraph" w:styleId="825">
    <w:name w:val="Subtitle"/>
    <w:basedOn w:val="801"/>
    <w:next w:val="801"/>
    <w:link w:val="857"/>
    <w:uiPriority w:val="11"/>
    <w:qFormat/>
    <w:pPr>
      <w:spacing w:before="200" w:after="200"/>
    </w:pPr>
    <w:rPr>
      <w:sz w:val="24"/>
    </w:rPr>
  </w:style>
  <w:style w:type="paragraph" w:styleId="826">
    <w:name w:val="footnote text"/>
    <w:basedOn w:val="801"/>
    <w:link w:val="990"/>
    <w:uiPriority w:val="99"/>
    <w:semiHidden/>
    <w:unhideWhenUsed/>
    <w:qFormat/>
    <w:pPr>
      <w:spacing w:after="40"/>
    </w:pPr>
    <w:rPr>
      <w:sz w:val="18"/>
    </w:rPr>
  </w:style>
  <w:style w:type="paragraph" w:styleId="827">
    <w:name w:val="toc 6"/>
    <w:basedOn w:val="801"/>
    <w:next w:val="801"/>
    <w:uiPriority w:val="39"/>
    <w:unhideWhenUsed/>
    <w:qFormat/>
    <w:pPr>
      <w:ind w:left="1417"/>
      <w:spacing w:after="57"/>
    </w:pPr>
  </w:style>
  <w:style w:type="paragraph" w:styleId="828">
    <w:name w:val="table of figures"/>
    <w:basedOn w:val="801"/>
    <w:next w:val="801"/>
    <w:uiPriority w:val="99"/>
    <w:unhideWhenUsed/>
    <w:qFormat/>
  </w:style>
  <w:style w:type="paragraph" w:styleId="829">
    <w:name w:val="toc 2"/>
    <w:basedOn w:val="801"/>
    <w:next w:val="801"/>
    <w:uiPriority w:val="39"/>
    <w:unhideWhenUsed/>
    <w:qFormat/>
    <w:pPr>
      <w:ind w:left="283"/>
      <w:spacing w:after="57"/>
    </w:pPr>
  </w:style>
  <w:style w:type="paragraph" w:styleId="830">
    <w:name w:val="toc 9"/>
    <w:basedOn w:val="801"/>
    <w:next w:val="801"/>
    <w:uiPriority w:val="39"/>
    <w:unhideWhenUsed/>
    <w:qFormat/>
    <w:pPr>
      <w:ind w:left="2268"/>
      <w:spacing w:after="57"/>
    </w:pPr>
  </w:style>
  <w:style w:type="paragraph" w:styleId="831">
    <w:name w:val="Title"/>
    <w:basedOn w:val="801"/>
    <w:next w:val="801"/>
    <w:link w:val="856"/>
    <w:uiPriority w:val="10"/>
    <w:qFormat/>
    <w:pPr>
      <w:contextualSpacing/>
      <w:spacing w:before="300" w:after="200"/>
    </w:pPr>
    <w:rPr>
      <w:sz w:val="48"/>
      <w:szCs w:val="48"/>
    </w:rPr>
  </w:style>
  <w:style w:type="table" w:styleId="8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u w:val="single"/>
    </w:rPr>
  </w:style>
  <w:style w:type="character" w:styleId="835">
    <w:name w:val="footnote reference"/>
    <w:uiPriority w:val="99"/>
    <w:unhideWhenUsed/>
    <w:qFormat/>
    <w:rPr>
      <w:vertAlign w:val="superscript"/>
    </w:rPr>
  </w:style>
  <w:style w:type="paragraph" w:styleId="836" w:customStyle="1">
    <w:name w:val="段"/>
    <w:basedOn w:val="837"/>
    <w:next w:val="801"/>
    <w:uiPriority w:val="0"/>
    <w:qFormat/>
    <w:pPr>
      <w:ind w:firstLine="200"/>
    </w:pPr>
  </w:style>
  <w:style w:type="paragraph" w:styleId="837" w:customStyle="1">
    <w:name w:val="正文1"/>
    <w:basedOn w:val="838"/>
    <w:next w:val="840"/>
    <w:uiPriority w:val="0"/>
    <w:qFormat/>
    <w:pPr>
      <w:ind w:left="420" w:firstLine="527"/>
      <w:spacing w:before="120" w:line="360" w:lineRule="auto"/>
    </w:pPr>
    <w:rPr>
      <w:rFonts w:ascii="宋体" w:hAnsi="宋体"/>
    </w:rPr>
  </w:style>
  <w:style w:type="paragraph" w:styleId="838" w:customStyle="1">
    <w:name w:val="正文12"/>
    <w:next w:val="839"/>
    <w:uiPriority w:val="0"/>
    <w:qFormat/>
    <w:pPr>
      <w:jc w:val="both"/>
      <w:widowControl w:val="off"/>
    </w:pPr>
    <w:rPr>
      <w:rFonts w:ascii="Times New Roman" w:hAnsi="Times New Roman" w:eastAsia="宋体" w:cs="Times New Roman"/>
      <w:sz w:val="21"/>
      <w:szCs w:val="24"/>
      <w:lang w:val="en-US" w:eastAsia="zh-CN" w:bidi="ar-SA"/>
    </w:rPr>
  </w:style>
  <w:style w:type="paragraph" w:styleId="83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0" w:customStyle="1">
    <w:name w:val="正文首行缩进1"/>
    <w:basedOn w:val="841"/>
    <w:next w:val="843"/>
    <w:uiPriority w:val="0"/>
    <w:qFormat/>
    <w:pPr>
      <w:ind w:firstLine="420"/>
    </w:pPr>
    <w:rPr>
      <w:szCs w:val="22"/>
    </w:rPr>
  </w:style>
  <w:style w:type="paragraph" w:styleId="841" w:customStyle="1">
    <w:name w:val="正文文本1"/>
    <w:basedOn w:val="842"/>
    <w:next w:val="801"/>
    <w:uiPriority w:val="0"/>
    <w:qFormat/>
    <w:pPr>
      <w:spacing w:after="120"/>
    </w:pPr>
    <w:rPr>
      <w:rFonts w:ascii="Calibri" w:hAnsi="Calibri"/>
    </w:rPr>
  </w:style>
  <w:style w:type="paragraph" w:styleId="842" w:customStyle="1">
    <w:name w:val="正文11"/>
    <w:next w:val="801"/>
    <w:uiPriority w:val="0"/>
    <w:qFormat/>
    <w:pPr>
      <w:jc w:val="both"/>
      <w:widowControl w:val="off"/>
    </w:pPr>
    <w:rPr>
      <w:rFonts w:ascii="Times New Roman" w:hAnsi="Times New Roman" w:eastAsia="宋体" w:cs="Times New Roman"/>
      <w:sz w:val="21"/>
      <w:szCs w:val="24"/>
      <w:lang w:val="en-US" w:eastAsia="zh-CN" w:bidi="ar-SA"/>
    </w:rPr>
  </w:style>
  <w:style w:type="paragraph" w:styleId="843" w:customStyle="1">
    <w:name w:val="正文首行缩进 21"/>
    <w:basedOn w:val="844"/>
    <w:next w:val="837"/>
    <w:uiPriority w:val="0"/>
    <w:qFormat/>
    <w:pPr>
      <w:ind w:firstLine="420"/>
      <w:widowControl/>
    </w:pPr>
    <w:rPr>
      <w:rFonts w:ascii="仿宋_GB2312"/>
      <w:color w:val="ff6600"/>
    </w:rPr>
  </w:style>
  <w:style w:type="paragraph" w:styleId="844" w:customStyle="1">
    <w:name w:val="正文文本缩进1"/>
    <w:basedOn w:val="837"/>
    <w:next w:val="845"/>
    <w:uiPriority w:val="0"/>
    <w:qFormat/>
    <w:pPr>
      <w:spacing w:after="120"/>
    </w:pPr>
    <w:rPr>
      <w:rFonts w:ascii="Calibri" w:hAnsi="Calibri"/>
    </w:rPr>
  </w:style>
  <w:style w:type="paragraph" w:styleId="845" w:customStyle="1">
    <w:name w:val="寄信人地址1"/>
    <w:basedOn w:val="837"/>
    <w:uiPriority w:val="0"/>
    <w:qFormat/>
    <w:rPr>
      <w:rFonts w:ascii="Arial" w:hAnsi="Arial"/>
    </w:rPr>
  </w:style>
  <w:style w:type="character" w:styleId="846" w:customStyle="1">
    <w:name w:val="标题 1 字符"/>
    <w:link w:val="802"/>
    <w:uiPriority w:val="9"/>
    <w:qFormat/>
    <w:rPr>
      <w:rFonts w:ascii="Arial" w:hAnsi="Arial" w:eastAsia="Arial" w:cs="Arial"/>
      <w:sz w:val="40"/>
      <w:szCs w:val="40"/>
    </w:rPr>
  </w:style>
  <w:style w:type="character" w:styleId="847" w:customStyle="1">
    <w:name w:val="标题 2 字符"/>
    <w:link w:val="803"/>
    <w:uiPriority w:val="9"/>
    <w:qFormat/>
    <w:rPr>
      <w:rFonts w:ascii="Arial" w:hAnsi="Arial" w:eastAsia="Arial" w:cs="Arial"/>
      <w:sz w:val="34"/>
    </w:rPr>
  </w:style>
  <w:style w:type="character" w:styleId="848" w:customStyle="1">
    <w:name w:val="标题 3 字符"/>
    <w:link w:val="804"/>
    <w:uiPriority w:val="9"/>
    <w:qFormat/>
    <w:rPr>
      <w:rFonts w:ascii="Arial" w:hAnsi="Arial" w:eastAsia="Arial" w:cs="Arial"/>
      <w:sz w:val="30"/>
      <w:szCs w:val="30"/>
    </w:rPr>
  </w:style>
  <w:style w:type="character" w:styleId="849" w:customStyle="1">
    <w:name w:val="标题 4 字符"/>
    <w:link w:val="805"/>
    <w:uiPriority w:val="9"/>
    <w:qFormat/>
    <w:rPr>
      <w:rFonts w:ascii="Arial" w:hAnsi="Arial" w:eastAsia="Arial" w:cs="Arial"/>
      <w:b/>
      <w:bCs/>
      <w:sz w:val="26"/>
      <w:szCs w:val="26"/>
    </w:rPr>
  </w:style>
  <w:style w:type="character" w:styleId="850" w:customStyle="1">
    <w:name w:val="标题 5 字符"/>
    <w:link w:val="806"/>
    <w:uiPriority w:val="9"/>
    <w:qFormat/>
    <w:rPr>
      <w:rFonts w:ascii="Arial" w:hAnsi="Arial" w:eastAsia="Arial" w:cs="Arial"/>
      <w:b/>
      <w:bCs/>
      <w:sz w:val="24"/>
      <w:szCs w:val="24"/>
    </w:rPr>
  </w:style>
  <w:style w:type="character" w:styleId="851" w:customStyle="1">
    <w:name w:val="标题 6 字符"/>
    <w:link w:val="807"/>
    <w:uiPriority w:val="9"/>
    <w:qFormat/>
    <w:rPr>
      <w:rFonts w:ascii="Arial" w:hAnsi="Arial" w:eastAsia="Arial" w:cs="Arial"/>
      <w:b/>
      <w:bCs/>
      <w:sz w:val="22"/>
      <w:szCs w:val="22"/>
    </w:rPr>
  </w:style>
  <w:style w:type="character" w:styleId="852" w:customStyle="1">
    <w:name w:val="标题 7 字符"/>
    <w:link w:val="808"/>
    <w:uiPriority w:val="9"/>
    <w:qFormat/>
    <w:rPr>
      <w:rFonts w:ascii="Arial" w:hAnsi="Arial" w:eastAsia="Arial" w:cs="Arial"/>
      <w:b/>
      <w:bCs/>
      <w:i/>
      <w:iCs/>
      <w:sz w:val="22"/>
      <w:szCs w:val="22"/>
    </w:rPr>
  </w:style>
  <w:style w:type="character" w:styleId="853" w:customStyle="1">
    <w:name w:val="标题 8 字符"/>
    <w:link w:val="809"/>
    <w:uiPriority w:val="9"/>
    <w:qFormat/>
    <w:rPr>
      <w:rFonts w:ascii="Arial" w:hAnsi="Arial" w:eastAsia="Arial" w:cs="Arial"/>
      <w:i/>
      <w:iCs/>
      <w:sz w:val="22"/>
      <w:szCs w:val="22"/>
    </w:rPr>
  </w:style>
  <w:style w:type="character" w:styleId="854" w:customStyle="1">
    <w:name w:val="标题 9 字符"/>
    <w:link w:val="810"/>
    <w:uiPriority w:val="9"/>
    <w:qFormat/>
    <w:rPr>
      <w:rFonts w:ascii="Arial" w:hAnsi="Arial" w:eastAsia="Arial" w:cs="Arial"/>
      <w:i/>
      <w:iCs/>
      <w:sz w:val="21"/>
      <w:szCs w:val="21"/>
    </w:r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字符"/>
    <w:link w:val="831"/>
    <w:uiPriority w:val="10"/>
    <w:qFormat/>
    <w:rPr>
      <w:sz w:val="48"/>
      <w:szCs w:val="48"/>
    </w:rPr>
  </w:style>
  <w:style w:type="character" w:styleId="857" w:customStyle="1">
    <w:name w:val="副标题 字符"/>
    <w:link w:val="825"/>
    <w:uiPriority w:val="11"/>
    <w:qFormat/>
    <w:rPr>
      <w:sz w:val="24"/>
      <w:szCs w:val="24"/>
    </w:rPr>
  </w:style>
  <w:style w:type="paragraph" w:styleId="858">
    <w:name w:val="Quote"/>
    <w:basedOn w:val="801"/>
    <w:next w:val="801"/>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801"/>
    <w:next w:val="801"/>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眉 字符"/>
    <w:link w:val="822"/>
    <w:uiPriority w:val="99"/>
    <w:qFormat/>
  </w:style>
  <w:style w:type="character" w:styleId="863" w:customStyle="1">
    <w:name w:val="Footer Char"/>
    <w:uiPriority w:val="99"/>
    <w:qFormat/>
  </w:style>
  <w:style w:type="character" w:styleId="864" w:customStyle="1">
    <w:name w:val="页脚 字符"/>
    <w:link w:val="821"/>
    <w:uiPriority w:val="99"/>
    <w:qFormat/>
  </w:style>
  <w:style w:type="table" w:styleId="8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8" w:customStyle="1">
    <w:name w:val="无格式表格 31"/>
    <w:uiPriority w:val="99"/>
    <w:qFormat/>
    <w:tblPr>
      <w:tblCellMar>
        <w:left w:w="0" w:type="dxa"/>
        <w:top w:w="0" w:type="dxa"/>
        <w:right w:w="0" w:type="dxa"/>
        <w:bottom w:w="0" w:type="dxa"/>
      </w:tblCellMar>
    </w:tblPr>
  </w:style>
  <w:style w:type="table" w:styleId="869" w:customStyle="1">
    <w:name w:val="无格式表格 41"/>
    <w:uiPriority w:val="99"/>
    <w:qFormat/>
    <w:tblPr>
      <w:tblCellMar>
        <w:left w:w="0" w:type="dxa"/>
        <w:top w:w="0" w:type="dxa"/>
        <w:right w:w="0" w:type="dxa"/>
        <w:bottom w:w="0" w:type="dxa"/>
      </w:tblCellMar>
    </w:tblPr>
  </w:style>
  <w:style w:type="table" w:styleId="870" w:customStyle="1">
    <w:name w:val="无格式表格 51"/>
    <w:uiPriority w:val="99"/>
    <w:qFormat/>
    <w:tblPr>
      <w:tblCellMar>
        <w:left w:w="0" w:type="dxa"/>
        <w:top w:w="0" w:type="dxa"/>
        <w:right w:w="0" w:type="dxa"/>
        <w:bottom w:w="0" w:type="dxa"/>
      </w:tblCellMar>
    </w:tblPr>
  </w:style>
  <w:style w:type="table" w:styleId="87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0" w:customStyle="1">
    <w:name w:val="清单表 1 浅色1"/>
    <w:uiPriority w:val="99"/>
    <w:qFormat/>
    <w:tblPr>
      <w:tblCellMar>
        <w:left w:w="0" w:type="dxa"/>
        <w:top w:w="0" w:type="dxa"/>
        <w:right w:w="0" w:type="dxa"/>
        <w:bottom w:w="0" w:type="dxa"/>
      </w:tblCellMar>
    </w:tblPr>
  </w:style>
  <w:style w:type="table" w:styleId="921" w:customStyle="1">
    <w:name w:val="List Table 1 Light - Accent 1"/>
    <w:uiPriority w:val="99"/>
    <w:qFormat/>
    <w:tblPr>
      <w:tblCellMar>
        <w:left w:w="0" w:type="dxa"/>
        <w:top w:w="0" w:type="dxa"/>
        <w:right w:w="0" w:type="dxa"/>
        <w:bottom w:w="0" w:type="dxa"/>
      </w:tblCellMar>
    </w:tblPr>
  </w:style>
  <w:style w:type="table" w:styleId="922" w:customStyle="1">
    <w:name w:val="List Table 1 Light - Accent 2"/>
    <w:uiPriority w:val="99"/>
    <w:qFormat/>
    <w:tblPr>
      <w:tblCellMar>
        <w:left w:w="0" w:type="dxa"/>
        <w:top w:w="0" w:type="dxa"/>
        <w:right w:w="0" w:type="dxa"/>
        <w:bottom w:w="0" w:type="dxa"/>
      </w:tblCellMar>
    </w:tblPr>
  </w:style>
  <w:style w:type="table" w:styleId="923" w:customStyle="1">
    <w:name w:val="List Table 1 Light - Accent 3"/>
    <w:uiPriority w:val="99"/>
    <w:qFormat/>
    <w:tblPr>
      <w:tblCellMar>
        <w:left w:w="0" w:type="dxa"/>
        <w:top w:w="0" w:type="dxa"/>
        <w:right w:w="0" w:type="dxa"/>
        <w:bottom w:w="0" w:type="dxa"/>
      </w:tblCellMar>
    </w:tblPr>
  </w:style>
  <w:style w:type="table" w:styleId="924" w:customStyle="1">
    <w:name w:val="List Table 1 Light - Accent 4"/>
    <w:uiPriority w:val="99"/>
    <w:qFormat/>
    <w:tblPr>
      <w:tblCellMar>
        <w:left w:w="0" w:type="dxa"/>
        <w:top w:w="0" w:type="dxa"/>
        <w:right w:w="0" w:type="dxa"/>
        <w:bottom w:w="0" w:type="dxa"/>
      </w:tblCellMar>
    </w:tblPr>
  </w:style>
  <w:style w:type="table" w:styleId="925" w:customStyle="1">
    <w:name w:val="List Table 1 Light - Accent 5"/>
    <w:uiPriority w:val="99"/>
    <w:qFormat/>
    <w:tblPr>
      <w:tblCellMar>
        <w:left w:w="0" w:type="dxa"/>
        <w:top w:w="0" w:type="dxa"/>
        <w:right w:w="0" w:type="dxa"/>
        <w:bottom w:w="0" w:type="dxa"/>
      </w:tblCellMar>
    </w:tblPr>
  </w:style>
  <w:style w:type="table" w:styleId="926" w:customStyle="1">
    <w:name w:val="List Table 1 Light - Accent 6"/>
    <w:uiPriority w:val="99"/>
    <w:qFormat/>
    <w:tblPr>
      <w:tblCellMar>
        <w:left w:w="0" w:type="dxa"/>
        <w:top w:w="0" w:type="dxa"/>
        <w:right w:w="0" w:type="dxa"/>
        <w:bottom w:w="0" w:type="dxa"/>
      </w:tblCellMar>
    </w:tblPr>
  </w:style>
  <w:style w:type="table" w:styleId="92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9" w:customStyle="1">
    <w:name w:val="Lined - Accent"/>
    <w:uiPriority w:val="99"/>
    <w:qFormat/>
    <w:rPr>
      <w:color w:val="404040"/>
    </w:rPr>
    <w:tblPr>
      <w:tblCellMar>
        <w:left w:w="0" w:type="dxa"/>
        <w:top w:w="0" w:type="dxa"/>
        <w:right w:w="0" w:type="dxa"/>
        <w:bottom w:w="0" w:type="dxa"/>
      </w:tblCellMar>
    </w:tblPr>
  </w:style>
  <w:style w:type="table" w:styleId="970" w:customStyle="1">
    <w:name w:val="Lined - Accent 1"/>
    <w:uiPriority w:val="99"/>
    <w:qFormat/>
    <w:rPr>
      <w:color w:val="404040"/>
    </w:rPr>
    <w:tblPr>
      <w:tblCellMar>
        <w:left w:w="0" w:type="dxa"/>
        <w:top w:w="0" w:type="dxa"/>
        <w:right w:w="0" w:type="dxa"/>
        <w:bottom w:w="0" w:type="dxa"/>
      </w:tblCellMar>
    </w:tblPr>
  </w:style>
  <w:style w:type="table" w:styleId="971" w:customStyle="1">
    <w:name w:val="Lined - Accent 2"/>
    <w:uiPriority w:val="99"/>
    <w:qFormat/>
    <w:rPr>
      <w:color w:val="404040"/>
    </w:rPr>
    <w:tblPr>
      <w:tblCellMar>
        <w:left w:w="0" w:type="dxa"/>
        <w:top w:w="0" w:type="dxa"/>
        <w:right w:w="0" w:type="dxa"/>
        <w:bottom w:w="0" w:type="dxa"/>
      </w:tblCellMar>
    </w:tblPr>
  </w:style>
  <w:style w:type="table" w:styleId="972" w:customStyle="1">
    <w:name w:val="Lined - Accent 3"/>
    <w:uiPriority w:val="99"/>
    <w:qFormat/>
    <w:rPr>
      <w:color w:val="404040"/>
    </w:rPr>
    <w:tblPr>
      <w:tblCellMar>
        <w:left w:w="0" w:type="dxa"/>
        <w:top w:w="0" w:type="dxa"/>
        <w:right w:w="0" w:type="dxa"/>
        <w:bottom w:w="0" w:type="dxa"/>
      </w:tblCellMar>
    </w:tblPr>
  </w:style>
  <w:style w:type="table" w:styleId="973" w:customStyle="1">
    <w:name w:val="Lined - Accent 4"/>
    <w:uiPriority w:val="99"/>
    <w:qFormat/>
    <w:rPr>
      <w:color w:val="404040"/>
    </w:rPr>
    <w:tblPr>
      <w:tblCellMar>
        <w:left w:w="0" w:type="dxa"/>
        <w:top w:w="0" w:type="dxa"/>
        <w:right w:w="0" w:type="dxa"/>
        <w:bottom w:w="0" w:type="dxa"/>
      </w:tblCellMar>
    </w:tblPr>
  </w:style>
  <w:style w:type="table" w:styleId="974" w:customStyle="1">
    <w:name w:val="Lined - Accent 5"/>
    <w:uiPriority w:val="99"/>
    <w:qFormat/>
    <w:rPr>
      <w:color w:val="404040"/>
    </w:rPr>
    <w:tblPr>
      <w:tblCellMar>
        <w:left w:w="0" w:type="dxa"/>
        <w:top w:w="0" w:type="dxa"/>
        <w:right w:w="0" w:type="dxa"/>
        <w:bottom w:w="0" w:type="dxa"/>
      </w:tblCellMar>
    </w:tblPr>
  </w:style>
  <w:style w:type="table" w:styleId="975" w:customStyle="1">
    <w:name w:val="Lined - Accent 6"/>
    <w:uiPriority w:val="99"/>
    <w:qFormat/>
    <w:rPr>
      <w:color w:val="404040"/>
    </w:rPr>
    <w:tblPr>
      <w:tblCellMar>
        <w:left w:w="0" w:type="dxa"/>
        <w:top w:w="0" w:type="dxa"/>
        <w:right w:w="0" w:type="dxa"/>
        <w:bottom w:w="0" w:type="dxa"/>
      </w:tblCellMar>
    </w:tblPr>
  </w:style>
  <w:style w:type="table" w:styleId="9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0" w:customStyle="1">
    <w:name w:val="脚注文本 字符"/>
    <w:link w:val="826"/>
    <w:uiPriority w:val="99"/>
    <w:qFormat/>
    <w:rPr>
      <w:sz w:val="18"/>
    </w:rPr>
  </w:style>
  <w:style w:type="character" w:styleId="991" w:customStyle="1">
    <w:name w:val="尾注文本 字符"/>
    <w:link w:val="820"/>
    <w:uiPriority w:val="99"/>
    <w:qFormat/>
    <w:rPr>
      <w:sz w:val="20"/>
    </w:rPr>
  </w:style>
  <w:style w:type="paragraph" w:styleId="992" w:customStyle="1">
    <w:name w:val="TOC 标题1"/>
    <w:uiPriority w:val="39"/>
    <w:unhideWhenUsed/>
    <w:qFormat/>
    <w:rPr>
      <w:rFonts w:ascii="Times New Roman" w:hAnsi="Times New Roman" w:eastAsia="宋体" w:cs="Times New Roman"/>
      <w:lang w:val="en-US" w:eastAsia="zh-CN" w:bidi="ar-SA"/>
    </w:rPr>
  </w:style>
  <w:style w:type="paragraph" w:styleId="993" w:customStyle="1">
    <w:name w:val="标题 11"/>
    <w:basedOn w:val="801"/>
    <w:next w:val="801"/>
    <w:link w:val="1002"/>
    <w:uiPriority w:val="0"/>
    <w:qFormat/>
    <w:pPr>
      <w:jc w:val="left"/>
      <w:spacing w:line="480" w:lineRule="auto"/>
      <w:outlineLvl w:val="0"/>
    </w:pPr>
    <w:rPr>
      <w:rFonts w:ascii="宋体" w:hAnsi="宋体" w:cs="宋体"/>
      <w:b/>
      <w:bCs/>
      <w:szCs w:val="21"/>
    </w:rPr>
  </w:style>
  <w:style w:type="paragraph" w:styleId="994" w:customStyle="1">
    <w:name w:val="标题 21"/>
    <w:basedOn w:val="801"/>
    <w:next w:val="801"/>
    <w:link w:val="1003"/>
    <w:uiPriority w:val="0"/>
    <w:qFormat/>
    <w:pPr>
      <w:keepLines/>
      <w:keepNext/>
      <w:spacing w:before="260" w:after="260" w:line="413" w:lineRule="auto"/>
      <w:outlineLvl w:val="1"/>
    </w:pPr>
    <w:rPr>
      <w:rFonts w:ascii="Arial" w:hAnsi="Arial" w:eastAsia="黑体"/>
      <w:b/>
      <w:bCs/>
      <w:sz w:val="32"/>
      <w:szCs w:val="32"/>
    </w:rPr>
  </w:style>
  <w:style w:type="paragraph" w:styleId="995" w:customStyle="1">
    <w:name w:val="标题 31"/>
    <w:basedOn w:val="801"/>
    <w:next w:val="801"/>
    <w:link w:val="1004"/>
    <w:uiPriority w:val="0"/>
    <w:qFormat/>
    <w:pPr>
      <w:keepLines/>
      <w:keepNext/>
      <w:spacing w:before="260" w:after="260" w:line="416" w:lineRule="auto"/>
      <w:outlineLvl w:val="2"/>
    </w:pPr>
    <w:rPr>
      <w:b/>
      <w:bCs/>
      <w:sz w:val="32"/>
      <w:szCs w:val="32"/>
    </w:rPr>
  </w:style>
  <w:style w:type="paragraph" w:styleId="996" w:customStyle="1">
    <w:name w:val="标题 41"/>
    <w:basedOn w:val="801"/>
    <w:next w:val="801"/>
    <w:uiPriority w:val="9"/>
    <w:qFormat/>
    <w:pPr>
      <w:numPr>
        <w:ilvl w:val="3"/>
        <w:numId w:val="1"/>
      </w:numPr>
      <w:ind w:firstLine="0"/>
      <w:keepLines/>
      <w:keepNext/>
      <w:spacing w:before="280" w:after="156" w:line="376" w:lineRule="auto"/>
      <w:outlineLvl w:val="3"/>
    </w:pPr>
    <w:rPr>
      <w:rFonts w:ascii="Cambria" w:hAnsi="Cambria"/>
      <w:b/>
      <w:bCs/>
      <w:szCs w:val="28"/>
    </w:rPr>
  </w:style>
  <w:style w:type="paragraph" w:styleId="997" w:customStyle="1">
    <w:name w:val="标题 51"/>
    <w:basedOn w:val="801"/>
    <w:next w:val="801"/>
    <w:uiPriority w:val="0"/>
    <w:qFormat/>
    <w:pPr>
      <w:keepLines/>
      <w:keepNext/>
      <w:spacing w:before="280" w:after="290" w:line="376" w:lineRule="auto"/>
      <w:outlineLvl w:val="4"/>
    </w:pPr>
    <w:rPr>
      <w:b/>
      <w:bCs/>
      <w:sz w:val="28"/>
      <w:szCs w:val="28"/>
    </w:rPr>
  </w:style>
  <w:style w:type="character" w:styleId="998" w:customStyle="1">
    <w:name w:val="默认段落字体1"/>
    <w:uiPriority w:val="0"/>
    <w:semiHidden/>
    <w:qFormat/>
  </w:style>
  <w:style w:type="table" w:styleId="999" w:customStyle="1">
    <w:name w:val="普通表格1"/>
    <w:uiPriority w:val="0"/>
    <w:semiHidden/>
    <w:qFormat/>
    <w:tblPr>
      <w:tblCellMar>
        <w:left w:w="0" w:type="dxa"/>
        <w:top w:w="0" w:type="dxa"/>
        <w:right w:w="0" w:type="dxa"/>
        <w:bottom w:w="0" w:type="dxa"/>
      </w:tblCellMar>
    </w:tblPr>
  </w:style>
  <w:style w:type="paragraph" w:styleId="1000" w:customStyle="1">
    <w:name w:val="一级条标题"/>
    <w:basedOn w:val="1001"/>
    <w:next w:val="8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1" w:customStyle="1">
    <w:name w:val="章标题"/>
    <w:next w:val="80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character" w:styleId="1002" w:customStyle="1">
    <w:name w:val="标题 1 Char"/>
    <w:link w:val="993"/>
    <w:uiPriority w:val="0"/>
    <w:qFormat/>
    <w:rPr>
      <w:rFonts w:ascii="宋体" w:hAnsi="宋体" w:cs="宋体"/>
      <w:b/>
      <w:bCs/>
      <w:szCs w:val="21"/>
    </w:rPr>
  </w:style>
  <w:style w:type="character" w:styleId="1003" w:customStyle="1">
    <w:name w:val="标题 2 Char"/>
    <w:link w:val="994"/>
    <w:uiPriority w:val="0"/>
    <w:qFormat/>
    <w:rPr>
      <w:rFonts w:ascii="Arial" w:hAnsi="Arial" w:eastAsia="黑体" w:cs="Arial"/>
      <w:b/>
      <w:bCs/>
      <w:sz w:val="32"/>
      <w:szCs w:val="32"/>
    </w:rPr>
  </w:style>
  <w:style w:type="character" w:styleId="1004" w:customStyle="1">
    <w:name w:val="标题 3 Char"/>
    <w:link w:val="995"/>
    <w:uiPriority w:val="0"/>
    <w:semiHidden/>
    <w:qFormat/>
    <w:rPr>
      <w:b/>
      <w:bCs/>
      <w:sz w:val="32"/>
      <w:szCs w:val="32"/>
    </w:rPr>
  </w:style>
  <w:style w:type="paragraph" w:styleId="1005" w:customStyle="1">
    <w:name w:val="正文缩进11"/>
    <w:basedOn w:val="801"/>
    <w:next w:val="801"/>
    <w:link w:val="1006"/>
    <w:uiPriority w:val="0"/>
    <w:qFormat/>
    <w:pPr>
      <w:ind w:firstLine="420"/>
      <w:jc w:val="left"/>
    </w:pPr>
    <w:rPr>
      <w:rFonts w:eastAsia="楷体_GB2312"/>
      <w:sz w:val="24"/>
      <w:szCs w:val="20"/>
    </w:rPr>
  </w:style>
  <w:style w:type="character" w:styleId="1006" w:customStyle="1">
    <w:name w:val="正文缩进 Char1"/>
    <w:link w:val="1005"/>
    <w:uiPriority w:val="0"/>
    <w:qFormat/>
    <w:rPr>
      <w:rFonts w:eastAsia="楷体_GB2312"/>
      <w:sz w:val="24"/>
      <w:lang w:bidi="ar-SA"/>
    </w:rPr>
  </w:style>
  <w:style w:type="paragraph" w:styleId="1007" w:customStyle="1">
    <w:name w:val="批注文字1"/>
    <w:basedOn w:val="801"/>
    <w:link w:val="1008"/>
    <w:uiPriority w:val="0"/>
    <w:qFormat/>
    <w:pPr>
      <w:jc w:val="left"/>
    </w:pPr>
  </w:style>
  <w:style w:type="character" w:styleId="1008" w:customStyle="1">
    <w:name w:val="批注文字 Char"/>
    <w:link w:val="1007"/>
    <w:uiPriority w:val="0"/>
    <w:qFormat/>
    <w:rPr>
      <w:sz w:val="21"/>
      <w:szCs w:val="24"/>
    </w:rPr>
  </w:style>
  <w:style w:type="paragraph" w:styleId="1009" w:customStyle="1">
    <w:name w:val="正文文本2"/>
    <w:basedOn w:val="801"/>
    <w:link w:val="1010"/>
    <w:uiPriority w:val="0"/>
    <w:qFormat/>
    <w:pPr>
      <w:tabs>
        <w:tab w:val="left" w:pos="5250" w:leader="none"/>
      </w:tabs>
    </w:pPr>
    <w:rPr>
      <w:sz w:val="28"/>
    </w:rPr>
  </w:style>
  <w:style w:type="character" w:styleId="1010" w:customStyle="1">
    <w:name w:val="正文文本 Char"/>
    <w:link w:val="1009"/>
    <w:uiPriority w:val="0"/>
    <w:qFormat/>
    <w:rPr>
      <w:sz w:val="28"/>
      <w:szCs w:val="24"/>
    </w:rPr>
  </w:style>
  <w:style w:type="paragraph" w:styleId="1011" w:customStyle="1">
    <w:name w:val="正文文本缩进2"/>
    <w:basedOn w:val="801"/>
    <w:next w:val="1012"/>
    <w:uiPriority w:val="99"/>
    <w:qFormat/>
    <w:pPr>
      <w:ind w:firstLine="560"/>
      <w:jc w:val="left"/>
      <w:spacing w:line="300" w:lineRule="auto"/>
    </w:pPr>
    <w:rPr>
      <w:sz w:val="28"/>
    </w:rPr>
  </w:style>
  <w:style w:type="paragraph" w:styleId="1012" w:customStyle="1">
    <w:name w:val="寄信人地址2"/>
    <w:basedOn w:val="801"/>
    <w:uiPriority w:val="0"/>
    <w:qFormat/>
    <w:rPr>
      <w:rFonts w:ascii="Arial" w:hAnsi="Arial"/>
    </w:rPr>
  </w:style>
  <w:style w:type="paragraph" w:styleId="1013" w:customStyle="1">
    <w:name w:val="文本块1"/>
    <w:basedOn w:val="801"/>
    <w:uiPriority w:val="0"/>
    <w:qFormat/>
    <w:pPr>
      <w:ind w:left="630" w:right="-609" w:firstLine="420"/>
      <w:spacing w:line="360" w:lineRule="auto"/>
    </w:pPr>
    <w:rPr>
      <w:rFonts w:hint="eastAsia" w:ascii="仿宋_GB2312" w:eastAsia="仿宋_GB2312"/>
      <w:szCs w:val="20"/>
    </w:rPr>
  </w:style>
  <w:style w:type="paragraph" w:styleId="1014" w:customStyle="1">
    <w:name w:val="目录 31"/>
    <w:basedOn w:val="801"/>
    <w:next w:val="801"/>
    <w:uiPriority w:val="39"/>
    <w:unhideWhenUsed/>
    <w:qFormat/>
    <w:pPr>
      <w:ind w:left="440"/>
      <w:jc w:val="left"/>
      <w:spacing w:after="100" w:line="259" w:lineRule="auto"/>
      <w:widowControl/>
    </w:pPr>
    <w:rPr>
      <w:rFonts w:ascii="等线" w:hAnsi="等线" w:eastAsia="等线"/>
      <w:sz w:val="22"/>
      <w:szCs w:val="22"/>
    </w:rPr>
  </w:style>
  <w:style w:type="paragraph" w:styleId="1015" w:customStyle="1">
    <w:name w:val="纯文本11"/>
    <w:basedOn w:val="801"/>
    <w:link w:val="1016"/>
    <w:uiPriority w:val="0"/>
    <w:qFormat/>
    <w:rPr>
      <w:rFonts w:ascii="宋体" w:hAnsi="Courier New"/>
      <w:szCs w:val="20"/>
    </w:rPr>
  </w:style>
  <w:style w:type="character" w:styleId="1016" w:customStyle="1">
    <w:name w:val="纯文本 Char"/>
    <w:link w:val="1015"/>
    <w:uiPriority w:val="0"/>
    <w:qFormat/>
    <w:rPr>
      <w:rFonts w:ascii="宋体" w:hAnsi="Courier New"/>
      <w:sz w:val="21"/>
    </w:rPr>
  </w:style>
  <w:style w:type="paragraph" w:styleId="1017" w:customStyle="1">
    <w:name w:val="日期1"/>
    <w:basedOn w:val="801"/>
    <w:next w:val="801"/>
    <w:uiPriority w:val="0"/>
    <w:qFormat/>
    <w:rPr>
      <w:rFonts w:ascii="宋体" w:hAnsi="宋体"/>
      <w:sz w:val="24"/>
    </w:rPr>
  </w:style>
  <w:style w:type="paragraph" w:styleId="1018" w:customStyle="1">
    <w:name w:val="批注框文本1"/>
    <w:basedOn w:val="801"/>
    <w:link w:val="1019"/>
    <w:uiPriority w:val="0"/>
    <w:qFormat/>
    <w:rPr>
      <w:sz w:val="18"/>
      <w:szCs w:val="18"/>
    </w:rPr>
  </w:style>
  <w:style w:type="character" w:styleId="1019" w:customStyle="1">
    <w:name w:val="批注框文本 Char"/>
    <w:link w:val="1018"/>
    <w:uiPriority w:val="0"/>
    <w:qFormat/>
    <w:rPr>
      <w:sz w:val="18"/>
      <w:szCs w:val="18"/>
      <w:lang w:bidi="ar-SA"/>
    </w:rPr>
  </w:style>
  <w:style w:type="paragraph" w:styleId="1020" w:customStyle="1">
    <w:name w:val="页脚1"/>
    <w:basedOn w:val="801"/>
    <w:link w:val="1021"/>
    <w:uiPriority w:val="99"/>
    <w:qFormat/>
    <w:pPr>
      <w:jc w:val="left"/>
      <w:tabs>
        <w:tab w:val="center" w:pos="4153" w:leader="none"/>
        <w:tab w:val="right" w:pos="8306" w:leader="none"/>
      </w:tabs>
    </w:pPr>
    <w:rPr>
      <w:sz w:val="18"/>
      <w:szCs w:val="18"/>
    </w:rPr>
  </w:style>
  <w:style w:type="character" w:styleId="1021" w:customStyle="1">
    <w:name w:val="页脚 Char"/>
    <w:link w:val="1020"/>
    <w:uiPriority w:val="99"/>
    <w:qFormat/>
    <w:rPr>
      <w:sz w:val="18"/>
      <w:szCs w:val="18"/>
    </w:rPr>
  </w:style>
  <w:style w:type="paragraph" w:styleId="1022" w:customStyle="1">
    <w:name w:val="页眉1"/>
    <w:basedOn w:val="801"/>
    <w:link w:val="1023"/>
    <w:uiPriority w:val="99"/>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Char"/>
    <w:link w:val="1022"/>
    <w:uiPriority w:val="99"/>
    <w:qFormat/>
    <w:rPr>
      <w:sz w:val="18"/>
      <w:szCs w:val="18"/>
    </w:rPr>
  </w:style>
  <w:style w:type="paragraph" w:styleId="1024" w:customStyle="1">
    <w:name w:val="目录 11"/>
    <w:basedOn w:val="801"/>
    <w:next w:val="801"/>
    <w:uiPriority w:val="39"/>
    <w:qFormat/>
  </w:style>
  <w:style w:type="paragraph" w:styleId="1025" w:customStyle="1">
    <w:name w:val="正文文本缩进 31"/>
    <w:basedOn w:val="801"/>
    <w:uiPriority w:val="0"/>
    <w:qFormat/>
    <w:pPr>
      <w:ind w:firstLine="480"/>
      <w:spacing w:line="360" w:lineRule="auto"/>
      <w:widowControl/>
    </w:pPr>
    <w:rPr>
      <w:sz w:val="24"/>
    </w:rPr>
  </w:style>
  <w:style w:type="paragraph" w:styleId="1026" w:customStyle="1">
    <w:name w:val="目录 21"/>
    <w:basedOn w:val="801"/>
    <w:next w:val="801"/>
    <w:uiPriority w:val="39"/>
    <w:unhideWhenUsed/>
    <w:qFormat/>
    <w:pPr>
      <w:ind w:left="220"/>
      <w:jc w:val="left"/>
      <w:spacing w:after="100" w:line="259" w:lineRule="auto"/>
      <w:widowControl/>
    </w:pPr>
    <w:rPr>
      <w:rFonts w:ascii="等线" w:hAnsi="等线" w:eastAsia="等线"/>
      <w:sz w:val="22"/>
      <w:szCs w:val="22"/>
    </w:rPr>
  </w:style>
  <w:style w:type="paragraph" w:styleId="1027" w:customStyle="1">
    <w:name w:val="正文文本 21"/>
    <w:basedOn w:val="801"/>
    <w:uiPriority w:val="0"/>
    <w:qFormat/>
    <w:pPr>
      <w:jc w:val="left"/>
      <w:spacing w:before="50" w:line="400" w:lineRule="exact"/>
      <w:widowControl/>
    </w:pPr>
    <w:rPr>
      <w:rFonts w:ascii="宋体" w:hAnsi="宋体"/>
      <w:color w:val="000000"/>
      <w:sz w:val="24"/>
    </w:rPr>
  </w:style>
  <w:style w:type="paragraph" w:styleId="1028" w:customStyle="1">
    <w:name w:val="普通(网站)1"/>
    <w:basedOn w:val="801"/>
    <w:uiPriority w:val="0"/>
    <w:qFormat/>
    <w:pPr>
      <w:jc w:val="left"/>
      <w:widowControl/>
    </w:pPr>
    <w:rPr>
      <w:sz w:val="24"/>
    </w:rPr>
  </w:style>
  <w:style w:type="paragraph" w:styleId="1029" w:customStyle="1">
    <w:name w:val="标题1"/>
    <w:basedOn w:val="801"/>
    <w:next w:val="801"/>
    <w:link w:val="1030"/>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1030" w:customStyle="1">
    <w:name w:val="标题 Char"/>
    <w:link w:val="1029"/>
    <w:uiPriority w:val="0"/>
    <w:qFormat/>
    <w:rPr>
      <w:rFonts w:ascii="宋体" w:hAnsi="宋体"/>
      <w:b/>
      <w:color w:val="000000"/>
      <w:sz w:val="32"/>
      <w:szCs w:val="32"/>
    </w:rPr>
  </w:style>
  <w:style w:type="paragraph" w:styleId="1031" w:customStyle="1">
    <w:name w:val="批注主题1"/>
    <w:basedOn w:val="1007"/>
    <w:next w:val="1007"/>
    <w:link w:val="1032"/>
    <w:uiPriority w:val="0"/>
    <w:qFormat/>
    <w:rPr>
      <w:b/>
      <w:bCs/>
    </w:rPr>
  </w:style>
  <w:style w:type="character" w:styleId="1032" w:customStyle="1">
    <w:name w:val="批注主题 Char"/>
    <w:link w:val="1031"/>
    <w:uiPriority w:val="0"/>
    <w:qFormat/>
    <w:rPr>
      <w:b/>
      <w:bCs/>
      <w:sz w:val="21"/>
      <w:szCs w:val="24"/>
    </w:rPr>
  </w:style>
  <w:style w:type="paragraph" w:styleId="1033" w:customStyle="1">
    <w:name w:val="正文首行缩进2"/>
    <w:basedOn w:val="1009"/>
    <w:next w:val="1034"/>
    <w:uiPriority w:val="0"/>
    <w:qFormat/>
    <w:pPr>
      <w:ind w:firstLine="420"/>
    </w:pPr>
  </w:style>
  <w:style w:type="paragraph" w:styleId="1034" w:customStyle="1">
    <w:name w:val="正文首行缩进 22"/>
    <w:basedOn w:val="1011"/>
    <w:uiPriority w:val="0"/>
    <w:unhideWhenUsed/>
    <w:qFormat/>
    <w:pPr>
      <w:ind w:firstLine="420"/>
    </w:pPr>
    <w:rPr>
      <w:sz w:val="21"/>
    </w:rPr>
  </w:style>
  <w:style w:type="table" w:styleId="1035" w:customStyle="1">
    <w:name w:val="网格型11"/>
    <w:basedOn w:val="999"/>
    <w:uiPriority w:val="59"/>
    <w:qFormat/>
    <w:tblPr/>
  </w:style>
  <w:style w:type="character" w:styleId="1036" w:customStyle="1">
    <w:name w:val="要点1"/>
    <w:uiPriority w:val="22"/>
    <w:qFormat/>
    <w:rPr>
      <w:b/>
      <w:bCs/>
    </w:rPr>
  </w:style>
  <w:style w:type="character" w:styleId="1037" w:customStyle="1">
    <w:name w:val="页码1"/>
    <w:uiPriority w:val="0"/>
    <w:qFormat/>
    <w:rPr>
      <w:rFonts w:ascii="Times New Roman" w:hAnsi="Times New Roman" w:eastAsia="宋体" w:cs="Times New Roman"/>
    </w:rPr>
  </w:style>
  <w:style w:type="character" w:styleId="1038" w:customStyle="1">
    <w:name w:val="已访问的超链接1"/>
    <w:uiPriority w:val="0"/>
    <w:qFormat/>
    <w:rPr>
      <w:color w:val="333333"/>
      <w:u w:val="none"/>
    </w:rPr>
  </w:style>
  <w:style w:type="character" w:styleId="1039" w:customStyle="1">
    <w:name w:val="强调1"/>
    <w:uiPriority w:val="0"/>
    <w:qFormat/>
  </w:style>
  <w:style w:type="character" w:styleId="1040" w:customStyle="1">
    <w:name w:val="超链接1"/>
    <w:uiPriority w:val="99"/>
    <w:unhideWhenUsed/>
    <w:qFormat/>
    <w:rPr>
      <w:color w:val="0563c1"/>
      <w:u w:val="single"/>
    </w:rPr>
  </w:style>
  <w:style w:type="character" w:styleId="1041" w:customStyle="1">
    <w:name w:val="批注引用1"/>
    <w:uiPriority w:val="0"/>
    <w:qFormat/>
    <w:rPr>
      <w:sz w:val="21"/>
      <w:szCs w:val="21"/>
    </w:rPr>
  </w:style>
  <w:style w:type="paragraph" w:styleId="1042" w:customStyle="1">
    <w:name w:val="文本块11"/>
    <w:basedOn w:val="838"/>
    <w:uiPriority w:val="0"/>
    <w:qFormat/>
    <w:pPr>
      <w:ind w:left="256" w:right="6" w:firstLine="624"/>
    </w:pPr>
    <w:rPr>
      <w:rFonts w:eastAsia="仿宋_GB2312"/>
      <w:sz w:val="28"/>
      <w:szCs w:val="20"/>
    </w:rPr>
  </w:style>
  <w:style w:type="paragraph" w:styleId="1043" w:customStyle="1">
    <w:name w:val="首行缩进"/>
    <w:basedOn w:val="801"/>
    <w:uiPriority w:val="0"/>
    <w:qFormat/>
    <w:pPr>
      <w:ind w:firstLine="480"/>
      <w:jc w:val="left"/>
      <w:widowControl/>
    </w:pPr>
    <w:rPr>
      <w:sz w:val="24"/>
      <w:szCs w:val="20"/>
      <w:lang w:val="zh-CN"/>
    </w:rPr>
  </w:style>
  <w:style w:type="character" w:styleId="1044" w:customStyle="1">
    <w:name w:val="标题 Char1"/>
    <w:uiPriority w:val="0"/>
    <w:qFormat/>
    <w:rPr>
      <w:rFonts w:ascii="Cambria" w:hAnsi="Cambria" w:cs="Times New Roman"/>
      <w:b/>
      <w:bCs/>
      <w:sz w:val="32"/>
      <w:szCs w:val="32"/>
    </w:rPr>
  </w:style>
  <w:style w:type="character" w:styleId="1045" w:customStyle="1">
    <w:name w:val="font01"/>
    <w:uiPriority w:val="0"/>
    <w:qFormat/>
    <w:rPr>
      <w:rFonts w:ascii="Times New Roman" w:hAnsi="Times New Roman" w:eastAsia="宋体" w:cs="Times New Roman"/>
      <w:color w:val="000000"/>
      <w:sz w:val="24"/>
      <w:szCs w:val="24"/>
      <w:u w:val="none"/>
    </w:rPr>
  </w:style>
  <w:style w:type="character" w:styleId="1046" w:customStyle="1">
    <w:name w:val="Header or footer|1_"/>
    <w:link w:val="1047"/>
    <w:uiPriority w:val="0"/>
    <w:qFormat/>
    <w:rPr>
      <w:sz w:val="17"/>
      <w:szCs w:val="17"/>
    </w:rPr>
  </w:style>
  <w:style w:type="paragraph" w:styleId="1047" w:customStyle="1">
    <w:name w:val="Header or footer|1"/>
    <w:basedOn w:val="801"/>
    <w:link w:val="1046"/>
    <w:uiPriority w:val="0"/>
    <w:qFormat/>
    <w:pPr>
      <w:jc w:val="left"/>
    </w:pPr>
    <w:rPr>
      <w:sz w:val="17"/>
      <w:szCs w:val="17"/>
    </w:rPr>
  </w:style>
  <w:style w:type="character" w:styleId="1048" w:customStyle="1">
    <w:name w:val="Heading #4|1_"/>
    <w:link w:val="1049"/>
    <w:uiPriority w:val="0"/>
    <w:qFormat/>
    <w:rPr>
      <w:rFonts w:ascii="宋体" w:hAnsi="宋体" w:eastAsia="宋体" w:cs="宋体"/>
      <w:b/>
      <w:bCs/>
      <w:sz w:val="22"/>
      <w:szCs w:val="22"/>
      <w:lang w:val="zh-TW" w:eastAsia="zh-TW" w:bidi="zh-TW"/>
    </w:rPr>
  </w:style>
  <w:style w:type="paragraph" w:styleId="1049" w:customStyle="1">
    <w:name w:val="Heading #4|1"/>
    <w:basedOn w:val="801"/>
    <w:link w:val="1048"/>
    <w:uiPriority w:val="0"/>
    <w:qFormat/>
    <w:pPr>
      <w:ind w:firstLine="340"/>
      <w:jc w:val="left"/>
      <w:spacing w:line="469" w:lineRule="exact"/>
      <w:outlineLvl w:val="3"/>
    </w:pPr>
    <w:rPr>
      <w:rFonts w:ascii="宋体" w:hAnsi="宋体" w:cs="宋体"/>
      <w:b/>
      <w:bCs/>
      <w:sz w:val="22"/>
      <w:szCs w:val="22"/>
      <w:lang w:val="zh-TW" w:eastAsia="zh-TW" w:bidi="zh-TW"/>
    </w:rPr>
  </w:style>
  <w:style w:type="character" w:styleId="1050" w:customStyle="1">
    <w:name w:val="font31"/>
    <w:uiPriority w:val="0"/>
    <w:qFormat/>
    <w:rPr>
      <w:rFonts w:hint="eastAsia" w:ascii="宋体" w:hAnsi="宋体" w:eastAsia="宋体" w:cs="宋体"/>
      <w:color w:val="ff0000"/>
      <w:sz w:val="24"/>
      <w:szCs w:val="24"/>
      <w:u w:val="none"/>
    </w:rPr>
  </w:style>
  <w:style w:type="character" w:styleId="1051" w:customStyle="1">
    <w:name w:val="Other|1_"/>
    <w:link w:val="1052"/>
    <w:uiPriority w:val="0"/>
    <w:qFormat/>
    <w:rPr>
      <w:rFonts w:ascii="宋体" w:hAnsi="宋体" w:eastAsia="宋体" w:cs="宋体"/>
      <w:sz w:val="22"/>
      <w:szCs w:val="22"/>
      <w:lang w:val="zh-TW" w:eastAsia="zh-TW" w:bidi="zh-TW"/>
    </w:rPr>
  </w:style>
  <w:style w:type="paragraph" w:styleId="1052" w:customStyle="1">
    <w:name w:val="Other|1"/>
    <w:basedOn w:val="801"/>
    <w:link w:val="1051"/>
    <w:uiPriority w:val="0"/>
    <w:qFormat/>
    <w:pPr>
      <w:jc w:val="left"/>
      <w:spacing w:line="309" w:lineRule="exact"/>
    </w:pPr>
    <w:rPr>
      <w:rFonts w:ascii="宋体" w:hAnsi="宋体" w:cs="宋体"/>
      <w:sz w:val="22"/>
      <w:szCs w:val="22"/>
      <w:lang w:val="zh-TW" w:eastAsia="zh-TW" w:bidi="zh-TW"/>
    </w:rPr>
  </w:style>
  <w:style w:type="character" w:styleId="1053" w:customStyle="1">
    <w:name w:val="列出段落 Char"/>
    <w:link w:val="1054"/>
    <w:uiPriority w:val="0"/>
    <w:qFormat/>
    <w:rPr>
      <w:rFonts w:ascii="Calibri" w:hAnsi="Calibri" w:eastAsia="宋体"/>
      <w:sz w:val="22"/>
      <w:lang w:bidi="ar-SA"/>
    </w:rPr>
  </w:style>
  <w:style w:type="paragraph" w:styleId="1054" w:customStyle="1">
    <w:name w:val="列出段落1"/>
    <w:basedOn w:val="801"/>
    <w:link w:val="1053"/>
    <w:uiPriority w:val="0"/>
    <w:qFormat/>
    <w:pPr>
      <w:ind w:firstLine="200"/>
      <w:spacing w:line="360" w:lineRule="auto"/>
    </w:pPr>
    <w:rPr>
      <w:rFonts w:ascii="Calibri" w:hAnsi="Calibri"/>
      <w:sz w:val="22"/>
      <w:szCs w:val="20"/>
    </w:rPr>
  </w:style>
  <w:style w:type="character" w:styleId="1055"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056" w:customStyle="1">
    <w:name w:val="纯文本 字符"/>
    <w:link w:val="818"/>
    <w:uiPriority w:val="0"/>
    <w:qFormat/>
    <w:rPr>
      <w:rFonts w:ascii="宋体" w:hAnsi="Courier New" w:eastAsia="楷体_GB2312"/>
      <w:sz w:val="28"/>
    </w:rPr>
  </w:style>
  <w:style w:type="character" w:styleId="1057" w:customStyle="1">
    <w:name w:val="font21"/>
    <w:uiPriority w:val="0"/>
    <w:qFormat/>
    <w:rPr>
      <w:rFonts w:ascii="Times New Roman" w:hAnsi="Times New Roman" w:cs="Times New Roman"/>
      <w:color w:val="ff0000"/>
      <w:sz w:val="24"/>
      <w:szCs w:val="24"/>
      <w:u w:val="none"/>
    </w:rPr>
  </w:style>
  <w:style w:type="character" w:styleId="1058" w:customStyle="1">
    <w:name w:val="正文缩进 Char"/>
    <w:uiPriority w:val="0"/>
    <w:qFormat/>
    <w:rPr>
      <w:rFonts w:eastAsia="楷体_GB2312"/>
      <w:sz w:val="24"/>
      <w:lang w:val="en-US" w:eastAsia="zh-CN" w:bidi="ar-SA"/>
    </w:rPr>
  </w:style>
  <w:style w:type="character" w:styleId="1059" w:customStyle="1">
    <w:name w:val="NormalCharacter1"/>
    <w:uiPriority w:val="0"/>
    <w:qFormat/>
    <w:rPr>
      <w:rFonts w:ascii="Calibri" w:hAnsi="Calibri" w:eastAsia="宋体"/>
    </w:rPr>
  </w:style>
  <w:style w:type="character" w:styleId="1060" w:customStyle="1">
    <w:name w:val="Body text|1_"/>
    <w:link w:val="1061"/>
    <w:uiPriority w:val="0"/>
    <w:qFormat/>
    <w:rPr>
      <w:rFonts w:ascii="宋体" w:hAnsi="宋体" w:eastAsia="宋体" w:cs="宋体"/>
      <w:sz w:val="22"/>
      <w:szCs w:val="22"/>
      <w:lang w:val="zh-TW" w:eastAsia="zh-TW" w:bidi="zh-TW"/>
    </w:rPr>
  </w:style>
  <w:style w:type="paragraph" w:styleId="1061" w:customStyle="1">
    <w:name w:val="Body text|1"/>
    <w:basedOn w:val="801"/>
    <w:link w:val="1060"/>
    <w:uiPriority w:val="0"/>
    <w:qFormat/>
    <w:pPr>
      <w:ind w:firstLine="400"/>
      <w:jc w:val="left"/>
      <w:spacing w:line="425" w:lineRule="auto"/>
    </w:pPr>
    <w:rPr>
      <w:rFonts w:ascii="宋体" w:hAnsi="宋体" w:cs="宋体"/>
      <w:sz w:val="22"/>
      <w:szCs w:val="22"/>
      <w:lang w:val="zh-TW" w:eastAsia="zh-TW" w:bidi="zh-TW"/>
    </w:rPr>
  </w:style>
  <w:style w:type="paragraph" w:styleId="1062" w:customStyle="1">
    <w:name w:val="列出段落2"/>
    <w:basedOn w:val="801"/>
    <w:uiPriority w:val="34"/>
    <w:qFormat/>
    <w:pPr>
      <w:ind w:firstLine="420"/>
    </w:pPr>
    <w:rPr>
      <w:rFonts w:ascii="Calibri" w:hAnsi="Calibri"/>
      <w:szCs w:val="22"/>
    </w:rPr>
  </w:style>
  <w:style w:type="paragraph" w:styleId="106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064" w:customStyle="1">
    <w:name w:val="WPSOffice手动目录 1"/>
    <w:uiPriority w:val="0"/>
    <w:qFormat/>
    <w:rPr>
      <w:rFonts w:ascii="Times New Roman" w:hAnsi="Times New Roman" w:eastAsia="宋体" w:cs="Times New Roman"/>
      <w:lang w:val="en-US" w:eastAsia="zh-CN" w:bidi="ar-SA"/>
    </w:rPr>
  </w:style>
  <w:style w:type="paragraph" w:styleId="1065" w:customStyle="1">
    <w:name w:val="标题3"/>
    <w:basedOn w:val="801"/>
    <w:uiPriority w:val="0"/>
    <w:qFormat/>
    <w:pPr>
      <w:spacing w:line="300" w:lineRule="auto"/>
    </w:pPr>
    <w:rPr>
      <w:rFonts w:ascii="宋体" w:hAnsi="宋体"/>
      <w:b/>
      <w:sz w:val="28"/>
    </w:rPr>
  </w:style>
  <w:style w:type="paragraph" w:styleId="1066" w:customStyle="1">
    <w:name w:val="纯文本1"/>
    <w:basedOn w:val="801"/>
    <w:uiPriority w:val="0"/>
    <w:qFormat/>
    <w:rPr>
      <w:rFonts w:ascii="宋体" w:hAnsi="Courier New" w:eastAsia="楷体_GB2312"/>
      <w:sz w:val="26"/>
    </w:rPr>
  </w:style>
  <w:style w:type="paragraph" w:styleId="1067" w:customStyle="1">
    <w:name w:val="p0"/>
    <w:basedOn w:val="801"/>
    <w:uiPriority w:val="0"/>
    <w:qFormat/>
    <w:pPr>
      <w:widowControl/>
    </w:pPr>
    <w:rPr>
      <w:sz w:val="26"/>
      <w:szCs w:val="26"/>
    </w:rPr>
  </w:style>
  <w:style w:type="paragraph" w:styleId="1068" w:customStyle="1">
    <w:name w:val="修订1"/>
    <w:uiPriority w:val="99"/>
    <w:unhideWhenUsed/>
    <w:qFormat/>
    <w:rPr>
      <w:rFonts w:ascii="Times New Roman" w:hAnsi="Times New Roman" w:eastAsia="宋体" w:cs="Times New Roman"/>
      <w:sz w:val="21"/>
      <w:szCs w:val="24"/>
      <w:lang w:val="en-US" w:eastAsia="zh-CN" w:bidi="ar-SA"/>
    </w:rPr>
  </w:style>
  <w:style w:type="paragraph" w:styleId="1069" w:customStyle="1">
    <w:name w:val="纯文本2"/>
    <w:basedOn w:val="801"/>
    <w:uiPriority w:val="0"/>
    <w:qFormat/>
    <w:rPr>
      <w:rFonts w:ascii="宋体" w:hAnsi="Courier New"/>
      <w:sz w:val="26"/>
      <w:szCs w:val="20"/>
    </w:rPr>
  </w:style>
  <w:style w:type="paragraph" w:styleId="1070" w:customStyle="1">
    <w:name w:val="_Style 30"/>
    <w:basedOn w:val="801"/>
    <w:next w:val="1015"/>
    <w:uiPriority w:val="0"/>
    <w:qFormat/>
    <w:rPr>
      <w:rFonts w:ascii="宋体" w:hAnsi="Courier New"/>
    </w:rPr>
  </w:style>
  <w:style w:type="paragraph" w:styleId="1071" w:customStyle="1">
    <w:name w:val="纯文本21"/>
    <w:basedOn w:val="801"/>
    <w:uiPriority w:val="0"/>
    <w:qFormat/>
    <w:rPr>
      <w:rFonts w:ascii="宋体" w:hAnsi="Courier New"/>
      <w:sz w:val="28"/>
    </w:rPr>
  </w:style>
  <w:style w:type="paragraph" w:styleId="1072" w:customStyle="1">
    <w:name w:val="纯文本3"/>
    <w:basedOn w:val="801"/>
    <w:uiPriority w:val="0"/>
    <w:qFormat/>
    <w:rPr>
      <w:rFonts w:ascii="宋体" w:hAnsi="Courier New"/>
    </w:rPr>
  </w:style>
  <w:style w:type="paragraph" w:styleId="1073" w:customStyle="1">
    <w:name w:val="列出段落11"/>
    <w:basedOn w:val="801"/>
    <w:uiPriority w:val="0"/>
    <w:qFormat/>
    <w:pPr>
      <w:ind w:firstLine="420"/>
    </w:pPr>
    <w:rPr>
      <w:rFonts w:ascii="Calibri" w:hAnsi="Calibri"/>
    </w:rPr>
  </w:style>
  <w:style w:type="paragraph" w:styleId="1074" w:customStyle="1">
    <w:name w:val="+正文"/>
    <w:basedOn w:val="801"/>
    <w:uiPriority w:val="0"/>
    <w:qFormat/>
    <w:pPr>
      <w:ind w:firstLine="200"/>
      <w:spacing w:line="360" w:lineRule="auto"/>
    </w:pPr>
    <w:rPr>
      <w:rFonts w:ascii="宋体" w:hAnsi="宋体"/>
      <w:sz w:val="24"/>
      <w:szCs w:val="28"/>
    </w:rPr>
  </w:style>
  <w:style w:type="paragraph" w:styleId="1075">
    <w:name w:val="List Paragraph"/>
    <w:basedOn w:val="801"/>
    <w:uiPriority w:val="0"/>
    <w:qFormat/>
    <w:pPr>
      <w:ind w:firstLine="420"/>
    </w:pPr>
    <w:rPr>
      <w:rFonts w:ascii="Calibri" w:hAnsi="Calibri"/>
      <w:szCs w:val="22"/>
    </w:rPr>
  </w:style>
  <w:style w:type="paragraph" w:styleId="1076" w:customStyle="1">
    <w:name w:val="_正文段落"/>
    <w:basedOn w:val="801"/>
    <w:uiPriority w:val="0"/>
    <w:qFormat/>
    <w:pPr>
      <w:ind w:firstLine="480"/>
      <w:spacing w:line="360" w:lineRule="auto"/>
    </w:pPr>
    <w:rPr>
      <w:rFonts w:ascii="宋体" w:hAnsi="宋体"/>
      <w:sz w:val="24"/>
    </w:rPr>
  </w:style>
  <w:style w:type="paragraph" w:styleId="1077" w:customStyle="1">
    <w:name w:val="Char1"/>
    <w:basedOn w:val="801"/>
    <w:uiPriority w:val="0"/>
    <w:qFormat/>
    <w:rPr>
      <w:rFonts w:ascii="Tahoma" w:hAnsi="Tahoma"/>
      <w:sz w:val="24"/>
    </w:rPr>
  </w:style>
  <w:style w:type="paragraph" w:styleId="1078" w:customStyle="1">
    <w:name w:val="font7"/>
    <w:basedOn w:val="801"/>
    <w:uiPriority w:val="0"/>
    <w:qFormat/>
    <w:pPr>
      <w:jc w:val="left"/>
      <w:spacing w:before="100" w:beforeAutospacing="1" w:after="100" w:afterAutospacing="1"/>
      <w:widowControl/>
    </w:pPr>
    <w:rPr>
      <w:rFonts w:ascii="Verdana" w:hAnsi="Verdana"/>
      <w:sz w:val="20"/>
      <w:szCs w:val="20"/>
    </w:rPr>
  </w:style>
  <w:style w:type="paragraph" w:styleId="1079" w:customStyle="1">
    <w:name w:val="Char Char Char"/>
    <w:basedOn w:val="801"/>
    <w:uiPriority w:val="0"/>
    <w:qFormat/>
    <w:pPr>
      <w:spacing w:line="360" w:lineRule="auto"/>
    </w:pPr>
    <w:rPr>
      <w:sz w:val="28"/>
      <w:szCs w:val="20"/>
    </w:rPr>
  </w:style>
  <w:style w:type="paragraph" w:styleId="1080" w:customStyle="1">
    <w:name w:val="Plain Text1"/>
    <w:basedOn w:val="801"/>
    <w:uiPriority w:val="99"/>
    <w:qFormat/>
    <w:rPr>
      <w:rFonts w:hAnsi="Courier New" w:eastAsia="楷体_GB2312"/>
      <w:sz w:val="28"/>
      <w:szCs w:val="20"/>
    </w:rPr>
  </w:style>
  <w:style w:type="paragraph" w:styleId="1081" w:customStyle="1">
    <w:name w:val="纯文本4"/>
    <w:basedOn w:val="801"/>
    <w:uiPriority w:val="0"/>
    <w:qFormat/>
    <w:rPr>
      <w:rFonts w:ascii="宋体" w:hAnsi="Courier New" w:eastAsia="楷体_GB2312"/>
      <w:sz w:val="28"/>
    </w:rPr>
  </w:style>
  <w:style w:type="paragraph" w:styleId="1082" w:customStyle="1">
    <w:name w:val="表中"/>
    <w:basedOn w:val="801"/>
    <w:uiPriority w:val="0"/>
    <w:qFormat/>
    <w:pPr>
      <w:jc w:val="center"/>
      <w:spacing w:line="360" w:lineRule="atLeast"/>
    </w:pPr>
  </w:style>
  <w:style w:type="paragraph" w:styleId="1083" w:customStyle="1">
    <w:name w:val="TOC 标题2"/>
    <w:basedOn w:val="993"/>
    <w:next w:val="801"/>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1084"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85" w:customStyle="1">
    <w:name w:val="p17"/>
    <w:basedOn w:val="801"/>
    <w:uiPriority w:val="0"/>
    <w:qFormat/>
    <w:rPr>
      <w:rFonts w:eastAsia="楷体_GB2312"/>
      <w:sz w:val="26"/>
      <w:szCs w:val="26"/>
    </w:rPr>
  </w:style>
  <w:style w:type="paragraph" w:styleId="1086" w:customStyle="1">
    <w:name w:val="列出段落21"/>
    <w:basedOn w:val="801"/>
    <w:uiPriority w:val="99"/>
    <w:qFormat/>
    <w:pPr>
      <w:ind w:firstLine="420"/>
    </w:pPr>
    <w:rPr>
      <w:rFonts w:ascii="Calibri" w:hAnsi="Calibri"/>
      <w:szCs w:val="20"/>
    </w:rPr>
  </w:style>
  <w:style w:type="paragraph" w:styleId="1087" w:customStyle="1">
    <w:name w:val="Char Char Char Char"/>
    <w:basedOn w:val="801"/>
    <w:uiPriority w:val="0"/>
    <w:qFormat/>
    <w:rPr>
      <w:szCs w:val="20"/>
    </w:rPr>
  </w:style>
  <w:style w:type="table" w:styleId="1088" w:customStyle="1">
    <w:name w:val="网格型1"/>
    <w:basedOn w:val="999"/>
    <w:uiPriority w:val="59"/>
    <w:unhideWhenUsed/>
    <w:qFormat/>
    <w:rPr>
      <w:rFonts w:ascii="Calibri" w:hAnsi="Calibri"/>
    </w:rPr>
    <w:tblPr/>
  </w:style>
  <w:style w:type="paragraph" w:styleId="1089" w:customStyle="1">
    <w:name w:val="_Style 92"/>
    <w:basedOn w:val="801"/>
    <w:next w:val="1062"/>
    <w:uiPriority w:val="0"/>
    <w:qFormat/>
    <w:pPr>
      <w:ind w:firstLine="420"/>
    </w:pPr>
    <w:rPr>
      <w:rFonts w:ascii="Calibri" w:hAnsi="Calibri"/>
      <w:szCs w:val="20"/>
    </w:rPr>
  </w:style>
  <w:style w:type="paragraph" w:styleId="1090" w:customStyle="1">
    <w:name w:val="_Style 111"/>
    <w:basedOn w:val="801"/>
    <w:next w:val="1062"/>
    <w:uiPriority w:val="34"/>
    <w:qFormat/>
    <w:pPr>
      <w:ind w:firstLine="420"/>
    </w:pPr>
  </w:style>
  <w:style w:type="character" w:styleId="1091" w:customStyle="1">
    <w:name w:val="10"/>
    <w:uiPriority w:val="0"/>
    <w:qFormat/>
    <w:rPr>
      <w:rFonts w:ascii="等线" w:hAnsi="等线" w:eastAsia="等线" w:cs="等线"/>
    </w:rPr>
  </w:style>
  <w:style w:type="character" w:styleId="1092" w:customStyle="1">
    <w:name w:val="15"/>
    <w:uiPriority w:val="0"/>
    <w:qFormat/>
    <w:rPr>
      <w:rFonts w:ascii="等线" w:hAnsi="等线" w:eastAsia="等线" w:cs="等线"/>
      <w:sz w:val="21"/>
      <w:szCs w:val="21"/>
    </w:rPr>
  </w:style>
  <w:style w:type="paragraph" w:styleId="1093" w:customStyle="1">
    <w:name w:val="纯文本13"/>
    <w:basedOn w:val="801"/>
    <w:uiPriority w:val="0"/>
    <w:qFormat/>
    <w:pPr>
      <w:jc w:val="left"/>
      <w:widowControl/>
    </w:pPr>
    <w:rPr>
      <w:rFonts w:hint="eastAsia" w:ascii="宋体" w:hAnsi="Courier New" w:eastAsia="楷体_GB2312"/>
      <w:sz w:val="26"/>
      <w:szCs w:val="26"/>
    </w:rPr>
  </w:style>
  <w:style w:type="paragraph" w:styleId="1094" w:customStyle="1">
    <w:name w:val="List Paragraph1"/>
    <w:basedOn w:val="801"/>
    <w:uiPriority w:val="0"/>
    <w:qFormat/>
    <w:pPr>
      <w:ind w:firstLine="420"/>
    </w:pPr>
    <w:rPr>
      <w:szCs w:val="21"/>
    </w:rPr>
  </w:style>
  <w:style w:type="paragraph" w:styleId="1095" w:customStyle="1">
    <w:name w:val="纯文本51"/>
    <w:basedOn w:val="801"/>
    <w:uiPriority w:val="0"/>
    <w:unhideWhenUsed/>
    <w:qFormat/>
    <w:rPr>
      <w:rFonts w:hint="eastAsia" w:ascii="宋体" w:hAnsi="Courier New" w:eastAsia="楷体_GB2312"/>
      <w:sz w:val="28"/>
      <w:szCs w:val="20"/>
    </w:rPr>
  </w:style>
  <w:style w:type="character" w:styleId="1096" w:customStyle="1">
    <w:name w:val="font11"/>
    <w:uiPriority w:val="0"/>
    <w:qFormat/>
    <w:rPr>
      <w:rFonts w:hint="eastAsia" w:ascii="宋体" w:hAnsi="宋体" w:eastAsia="宋体" w:cs="宋体"/>
      <w:b/>
      <w:bCs/>
      <w:color w:val="000000"/>
      <w:sz w:val="36"/>
      <w:szCs w:val="36"/>
      <w:u w:val="none"/>
    </w:rPr>
  </w:style>
  <w:style w:type="paragraph" w:styleId="1097" w:customStyle="1">
    <w:name w:val="Table Text"/>
    <w:basedOn w:val="801"/>
    <w:uiPriority w:val="0"/>
    <w:semiHidden/>
    <w:qFormat/>
    <w:rPr>
      <w:rFonts w:ascii="宋体" w:hAnsi="宋体" w:cs="宋体"/>
      <w:sz w:val="25"/>
      <w:szCs w:val="25"/>
      <w:lang w:eastAsia="en-US"/>
    </w:rPr>
  </w:style>
  <w:style w:type="character" w:styleId="1098" w:customStyle="1">
    <w:name w:val="font41"/>
    <w:uiPriority w:val="0"/>
    <w:qFormat/>
    <w:rPr>
      <w:rFonts w:hint="eastAsia" w:ascii="宋体" w:hAnsi="宋体" w:eastAsia="宋体" w:cs="宋体"/>
      <w:color w:val="ff0000"/>
      <w:sz w:val="20"/>
      <w:szCs w:val="20"/>
      <w:u w:val="none"/>
    </w:rPr>
  </w:style>
  <w:style w:type="character" w:styleId="1099" w:customStyle="1">
    <w:name w:val="font51"/>
    <w:uiPriority w:val="0"/>
    <w:qFormat/>
    <w:rPr>
      <w:rFonts w:hint="eastAsia" w:ascii="宋体" w:hAnsi="宋体" w:eastAsia="宋体" w:cs="宋体"/>
      <w:color w:val="ff0000"/>
      <w:sz w:val="21"/>
      <w:szCs w:val="21"/>
      <w:u w:val="none"/>
    </w:rPr>
  </w:style>
  <w:style w:type="character" w:styleId="1100" w:customStyle="1">
    <w:name w:val="font81"/>
    <w:uiPriority w:val="0"/>
    <w:qFormat/>
    <w:rPr>
      <w:rFonts w:hint="eastAsia" w:ascii="宋体" w:hAnsi="宋体" w:eastAsia="宋体" w:cs="宋体"/>
      <w:color w:val="000000"/>
      <w:sz w:val="20"/>
      <w:szCs w:val="20"/>
      <w:u w:val="none"/>
    </w:rPr>
  </w:style>
  <w:style w:type="character" w:styleId="1101" w:customStyle="1">
    <w:name w:val="font91"/>
    <w:uiPriority w:val="0"/>
    <w:qFormat/>
    <w:rPr>
      <w:rFonts w:hint="eastAsia" w:ascii="宋体" w:hAnsi="宋体" w:eastAsia="宋体" w:cs="宋体"/>
      <w:color w:val="00b050"/>
      <w:sz w:val="20"/>
      <w:szCs w:val="20"/>
      <w:u w:val="none"/>
    </w:rPr>
  </w:style>
  <w:style w:type="paragraph" w:styleId="1102" w:customStyle="1">
    <w:name w:val="列出段落3"/>
    <w:basedOn w:val="801"/>
    <w:uiPriority w:val="0"/>
    <w:qFormat/>
    <w:pPr>
      <w:ind w:firstLine="420"/>
    </w:pPr>
    <w:rPr>
      <w:rFonts w:ascii="Calibri" w:hAnsi="Calibri"/>
      <w:szCs w:val="22"/>
    </w:rPr>
  </w:style>
  <w:style w:type="paragraph" w:styleId="1103" w:customStyle="1">
    <w:name w:val="Table Paragraph"/>
    <w:basedOn w:val="801"/>
    <w:uiPriority w:val="1"/>
    <w:qFormat/>
    <w:rPr>
      <w:rFonts w:ascii="宋体" w:hAnsi="宋体" w:cs="宋体"/>
      <w:lang w:val="zh-CN" w:bidi="zh-CN"/>
    </w:rPr>
  </w:style>
  <w:style w:type="paragraph" w:styleId="1104" w:customStyle="1">
    <w:name w:val="纯文本6"/>
    <w:basedOn w:val="801"/>
    <w:uiPriority w:val="0"/>
    <w:qFormat/>
    <w:rPr>
      <w:rFonts w:ascii="宋体" w:hAnsi="Courier New" w:eastAsia="楷体_GB2312"/>
      <w:sz w:val="26"/>
    </w:rPr>
  </w:style>
  <w:style w:type="paragraph" w:styleId="1105" w:customStyle="1">
    <w:name w:val="Char Char Char Char Char Char Char Char Char Char"/>
    <w:basedOn w:val="801"/>
    <w:uiPriority w:val="0"/>
    <w:qFormat/>
    <w:pPr>
      <w:ind w:left="360" w:hanging="360"/>
      <w:tabs>
        <w:tab w:val="left" w:pos="420" w:leader="none"/>
      </w:tabs>
    </w:pPr>
    <w:rPr>
      <w:sz w:val="24"/>
    </w:rPr>
  </w:style>
  <w:style w:type="paragraph" w:styleId="1106" w:customStyle="1">
    <w:name w:val="正文缩进1"/>
    <w:next w:val="801"/>
    <w:uiPriority w:val="0"/>
    <w:qFormat/>
    <w:pPr>
      <w:ind w:firstLine="420"/>
      <w:widowControl w:val="off"/>
    </w:pPr>
    <w:rPr>
      <w:rFonts w:ascii="Calibri" w:hAnsi="Calibri" w:eastAsia="楷体_GB2312" w:cs="Times New Roman"/>
      <w:sz w:val="24"/>
      <w:lang w:val="en-US" w:eastAsia="zh-CN" w:bidi="ar-SA"/>
    </w:rPr>
  </w:style>
  <w:style w:type="paragraph" w:styleId="1107" w:customStyle="1">
    <w:name w:val="Body Text Indent 21"/>
    <w:basedOn w:val="801"/>
    <w:uiPriority w:val="0"/>
    <w:qFormat/>
    <w:pPr>
      <w:ind w:left="200"/>
      <w:spacing w:before="100" w:beforeAutospacing="1" w:after="100" w:afterAutospacing="1" w:line="480" w:lineRule="auto"/>
    </w:pPr>
    <w:rPr>
      <w:rFonts w:ascii="Calibri" w:hAnsi="Calibri"/>
    </w:rPr>
  </w:style>
  <w:style w:type="numbering" w:styleId="134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项目经办人</cp:lastModifiedBy>
  <cp:revision>9</cp:revision>
  <dcterms:created xsi:type="dcterms:W3CDTF">2024-05-16T08:15:00Z</dcterms:created>
  <dcterms:modified xsi:type="dcterms:W3CDTF">2026-05-11T06:44:00Z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eyJoZGlkIjoiYWQyOGMzMTAwMGU2NThkZDNmMDgwNDVhZDI4ZmM5YjAiLCJ1c2VySWQiOiIzODg2ODI1NTgifQ==</vt:lpwstr>
  </property>
  <property fmtid="{D5CDD505-2E9C-101B-9397-08002B2CF9AE}" pid="3" name="KSOProductBuildVer">
    <vt:lpwstr>2052-12.1.0.25865</vt:lpwstr>
  </property>
  <property fmtid="{D5CDD505-2E9C-101B-9397-08002B2CF9AE}" pid="4" name="ICV">
    <vt:lpwstr>1650FAAA356A4786B9AD3FFCD6A329E6_13</vt:lpwstr>
  </property>
</Properties>
</file>