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spacing w:before="120" w:beforeAutospacing="0" w:after="120" w:afterAutospacing="0" w:line="360" w:lineRule="auto"/>
        <w:rPr>
          <w:color w:val="auto"/>
          <w:highlight w:val="none"/>
        </w:rPr>
      </w:pPr>
      <w:r>
        <w:rPr>
          <w:color w:val="auto"/>
          <w:highlight w:val="none"/>
        </w:rPr>
        <w:t xml:space="preserve"> </w:t>
      </w:r>
      <w:r/>
    </w:p>
    <w:p>
      <w:pPr>
        <w:pStyle w:val="713"/>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13"/>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13"/>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3"/>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3"/>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3"/>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3"/>
        <w:ind w:firstLine="281"/>
        <w:jc w:val="both"/>
        <w:spacing w:before="120" w:beforeAutospacing="0" w:after="120" w:afterAutospacing="0" w:line="360" w:lineRule="auto"/>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lang w:eastAsia="zh-CN"/>
        </w:rPr>
        <w:t xml:space="preserve">滨海县公安局交通管理大队涉案车辆清拖及保管服务项目</w:t>
      </w:r>
      <w:r/>
    </w:p>
    <w:p>
      <w:pPr>
        <w:pStyle w:val="713"/>
        <w:ind w:firstLine="281"/>
        <w:jc w:val="both"/>
        <w:spacing w:beforeAutospacing="0" w:afterAutospacing="0"/>
        <w:rPr>
          <w:rFonts w:hint="eastAsia" w:ascii="宋体" w:hAnsi="宋体" w:eastAsia="宋体" w:cs="宋体"/>
          <w:color w:val="000000" w:themeColor="text1"/>
          <w:sz w:val="22"/>
          <w:szCs w:val="22"/>
          <w:highlight w:val="white"/>
        </w:rPr>
      </w:pPr>
      <w:r>
        <w:rPr>
          <w:rFonts w:hint="eastAsia" w:ascii="宋体" w:hAnsi="宋体" w:eastAsia="宋体" w:cs="宋体"/>
          <w:b/>
          <w:color w:val="auto"/>
          <w:sz w:val="28"/>
          <w:szCs w:val="28"/>
          <w:highlight w:val="none"/>
        </w:rPr>
        <w:t xml:space="preserve">项目编号：</w:t>
      </w:r>
      <w:r>
        <w:rPr>
          <w:rFonts w:hint="eastAsia" w:ascii="宋体" w:hAnsi="宋体" w:eastAsia="宋体" w:cs="宋体"/>
          <w:b/>
          <w:color w:val="000000" w:themeColor="text1"/>
          <w:sz w:val="28"/>
          <w:szCs w:val="28"/>
          <w:highlight w:val="white"/>
          <w:u w:val="single"/>
          <w:lang w:eastAsia="zh-CN"/>
        </w:rPr>
        <w:t xml:space="preserve">JSZC-320922-JSJS-G2026-0004</w:t>
      </w:r>
      <w:r>
        <w:rPr>
          <w:color w:val="000000" w:themeColor="text1"/>
          <w:highlight w:val="white"/>
        </w:rPr>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采购单位：滨海县公安局</w:t>
      </w:r>
      <w:r/>
    </w:p>
    <w:p>
      <w:pPr>
        <w:pStyle w:val="713"/>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713"/>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二〇二六</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五</w:t>
      </w:r>
      <w:r>
        <w:rPr>
          <w:rFonts w:ascii="Arial" w:hAnsi="Arial" w:cs="Arial"/>
          <w:b/>
          <w:color w:val="auto"/>
          <w:sz w:val="32"/>
          <w:szCs w:val="32"/>
          <w:highlight w:val="none"/>
        </w:rPr>
        <w:t xml:space="preserve">月</w:t>
      </w:r>
      <w:r/>
    </w:p>
    <w:p>
      <w:r>
        <w:rPr>
          <w:rFonts w:ascii="Arial" w:hAnsi="Arial" w:cs="Arial"/>
          <w:b/>
          <w:color w:val="auto"/>
          <w:sz w:val="32"/>
          <w:szCs w:val="32"/>
          <w:highlight w:val="none"/>
        </w:rPr>
        <w:br w:type="page" w:clear="all"/>
      </w:r>
      <w:r/>
    </w:p>
    <w:sdt>
      <w:sdtPr>
        <w15:appearance w15:val="boundingBox"/>
        <w15:color w:val="dbdbdb"/>
        <w:id w:val="147468699"/>
        <w:docPartObj>
          <w:docPartGallery w:val="Table of Contents"/>
          <w:docPartUnique w:val="true"/>
        </w:docPartObj>
        <w:rPr>
          <w:rFonts w:ascii="宋体" w:hAnsi="宋体" w:eastAsia="宋体" w:cstheme="minorBidi"/>
          <w:color w:val="auto"/>
          <w:sz w:val="40"/>
          <w:szCs w:val="48"/>
          <w:highlight w:val="none"/>
          <w:lang w:val="en-US" w:eastAsia="zh-CN" w:bidi="ar-SA"/>
        </w:rPr>
      </w:sdtPr>
      <w:sdtContent>
        <w:p>
          <w:pPr>
            <w:rPr>
              <w:rFonts w:ascii="宋体" w:hAnsi="宋体" w:eastAsia="宋体" w:cstheme="minorBidi"/>
              <w:color w:val="auto"/>
              <w:sz w:val="40"/>
              <w:szCs w:val="48"/>
              <w:highlight w:val="none"/>
              <w:lang w:val="en-US" w:eastAsia="zh-CN" w:bidi="ar-SA"/>
            </w:rPr>
          </w:pPr>
          <w:r>
            <w:rPr>
              <w:rFonts w:ascii="宋体" w:hAnsi="宋体" w:eastAsia="宋体" w:cstheme="minorBidi"/>
              <w:color w:val="auto"/>
              <w:sz w:val="40"/>
              <w:szCs w:val="48"/>
              <w:highlight w:val="none"/>
              <w:lang w:val="en-US" w:eastAsia="zh-CN" w:bidi="ar-SA"/>
            </w:rPr>
          </w:r>
          <w:r/>
        </w:p>
        <w:p>
          <w:pPr>
            <w:ind w:left="0" w:right="0" w:firstLine="0"/>
            <w:jc w:val="center"/>
            <w:spacing w:before="0" w:after="0" w:line="240" w:lineRule="auto"/>
            <w:rPr>
              <w:color w:val="auto"/>
              <w:sz w:val="40"/>
              <w:szCs w:val="48"/>
              <w:highlight w:val="none"/>
            </w:rPr>
          </w:pPr>
          <w:r>
            <w:rPr>
              <w:rFonts w:ascii="宋体" w:hAnsi="宋体" w:eastAsia="宋体"/>
              <w:color w:val="auto"/>
              <w:sz w:val="40"/>
              <w:szCs w:val="48"/>
              <w:highlight w:val="none"/>
            </w:rPr>
            <w:t xml:space="preserve">目录</w:t>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_Toc26610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第一章 </w:t>
          </w: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_Toc26610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_Toc16503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第二章 </w:t>
          </w:r>
          <w:r>
            <w:rPr>
              <w:rFonts w:hint="eastAsia" w:ascii="宋体" w:hAnsi="宋体" w:eastAsia="宋体" w:cs="宋体"/>
              <w:bCs w:val="0"/>
              <w:color w:val="auto"/>
              <w:sz w:val="36"/>
              <w:szCs w:val="36"/>
              <w:highlight w:val="none"/>
              <w:lang w:eastAsia="zh-CN"/>
            </w:rPr>
            <w:t xml:space="preserve">投标供应商</w:t>
          </w:r>
          <w:r>
            <w:rPr>
              <w:rFonts w:hint="eastAsia" w:ascii="宋体" w:hAnsi="宋体" w:eastAsia="宋体" w:cs="宋体"/>
              <w:bCs w:val="0"/>
              <w:color w:val="auto"/>
              <w:sz w:val="36"/>
              <w:szCs w:val="36"/>
              <w:highlight w:val="none"/>
            </w:rPr>
            <w:t xml:space="preserve">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_Toc16503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6</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_Toc3194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第三章 合同文本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2</w:t>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_Toc11181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第四章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7</w:t>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_Toc26134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第五章 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_Toc26134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_Toc18305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第六章 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_Toc18305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44</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11"/>
            <w:tabs>
              <w:tab w:val="right" w:pos="9746" w:leader="dot"/>
            </w:tabs>
            <w:rPr>
              <w:color w:val="auto"/>
              <w:highlight w:val="none"/>
            </w:rPr>
          </w:pPr>
          <w:r>
            <w:rPr>
              <w:color w:val="auto"/>
              <w:highlight w:val="none"/>
            </w:rPr>
          </w:r>
          <w:r/>
        </w:p>
        <w:p>
          <w:pPr>
            <w:jc w:val="center"/>
            <w:rPr>
              <w:rFonts w:hint="eastAsia" w:ascii="方正小标宋简体" w:hAnsi="方正小标宋简体" w:eastAsia="方正小标宋简体" w:cs="方正小标宋简体"/>
              <w:color w:val="auto"/>
              <w:sz w:val="44"/>
              <w:szCs w:val="44"/>
              <w:highlight w:val="none"/>
            </w:rPr>
          </w:pPr>
          <w:r>
            <w:rPr>
              <w:color w:val="auto"/>
              <w:highlight w:val="none"/>
            </w:rPr>
            <w:fldChar w:fldCharType="end"/>
          </w:r>
          <w:bookmarkStart w:id="0" w:name="_Toc10798"/>
          <w:r/>
          <w:r/>
        </w:p>
      </w:sdtContent>
    </w:sdt>
    <w:p>
      <w:pPr>
        <w:rPr>
          <w:rFonts w:hint="eastAsia" w:ascii="方正小标宋简体" w:hAnsi="方正小标宋简体" w:eastAsia="方正小标宋简体" w:cs="方正小标宋简体"/>
          <w:color w:val="auto"/>
          <w:highlight w:val="none"/>
          <w:lang w:val="en-US" w:eastAsia="zh-CN"/>
        </w:rPr>
        <w:outlineLvl w:val="0"/>
      </w:pPr>
      <w:r>
        <w:rPr>
          <w:highlight w:val="none"/>
        </w:rPr>
        <w:br w:type="page" w:clear="all"/>
      </w:r>
      <w:r/>
    </w:p>
    <w:p>
      <w:pPr>
        <w:pStyle w:val="713"/>
        <w:jc w:val="center"/>
        <w:keepLines w:val="0"/>
        <w:keepNext/>
        <w:pageBreakBefore w:val="0"/>
        <w:spacing w:beforeAutospacing="0" w:afterAutospacing="0" w:line="360" w:lineRule="auto"/>
        <w:widowControl w:val="off"/>
        <w:rPr>
          <w:highlight w:val="none"/>
        </w:rPr>
        <w:outlineLvl w:val="0"/>
      </w:pPr>
      <w:r/>
      <w:bookmarkStart w:id="1" w:name="_Toc26610"/>
      <w:r>
        <w:rPr>
          <w:rFonts w:hint="eastAsia" w:ascii="方正小标宋简体" w:hAnsi="方正小标宋简体" w:eastAsia="方正小标宋简体" w:cs="方正小标宋简体"/>
          <w:color w:val="auto"/>
          <w:sz w:val="44"/>
          <w:szCs w:val="44"/>
          <w:highlight w:val="none"/>
        </w:rPr>
        <w:t xml:space="preserve">第一章 </w:t>
      </w:r>
      <w:r>
        <w:rPr>
          <w:rFonts w:hint="eastAsia" w:ascii="方正小标宋简体" w:hAnsi="方正小标宋简体" w:eastAsia="方正小标宋简体" w:cs="方正小标宋简体"/>
          <w:color w:val="auto"/>
          <w:sz w:val="44"/>
          <w:szCs w:val="44"/>
          <w:highlight w:val="none"/>
          <w:lang w:val="en-US" w:eastAsia="zh-CN"/>
        </w:rPr>
        <w:t xml:space="preserve">招标公告</w:t>
      </w:r>
      <w:bookmarkEnd w:id="0"/>
      <w:r/>
      <w:bookmarkEnd w:id="1"/>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4"/>
          <w:szCs w:val="24"/>
          <w:highlight w:val="none"/>
        </w:rPr>
        <w:t xml:space="preserve">项目概况</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val="0"/>
          <w:bCs/>
          <w:color w:val="auto"/>
          <w:sz w:val="24"/>
          <w:szCs w:val="24"/>
          <w:highlight w:val="none"/>
          <w:u w:val="single"/>
          <w:lang w:val="en-US" w:eastAsia="zh-CN" w:bidi="ar-SA"/>
        </w:rPr>
        <w:t xml:space="preserve">滨海县公安局交通管理大队涉案车辆清拖及保管服务项目</w:t>
      </w:r>
      <w:r>
        <w:rPr>
          <w:rFonts w:hint="eastAsia" w:ascii="仿宋" w:hAnsi="仿宋" w:eastAsia="仿宋" w:cs="仿宋"/>
          <w:color w:val="auto"/>
          <w:sz w:val="24"/>
          <w:szCs w:val="24"/>
          <w:highlight w:val="none"/>
        </w:rPr>
        <w:t xml:space="preserve">招标项目的潜在</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w:t>
      </w:r>
      <w:r>
        <w:rPr>
          <w:rFonts w:hint="eastAsia" w:ascii="仿宋" w:hAnsi="仿宋" w:eastAsia="仿宋" w:cs="仿宋"/>
          <w:i w:val="0"/>
          <w:iCs w:val="0"/>
          <w:caps w:val="0"/>
          <w:color w:val="auto"/>
          <w:spacing w:val="0"/>
          <w:sz w:val="24"/>
          <w:szCs w:val="24"/>
          <w:highlight w:val="none"/>
          <w:shd w:val="clear" w:color="auto" w:fill="ffffff"/>
        </w:rPr>
        <w:t xml:space="preserve">“苏采云”系统内免费下载（</w:t>
      </w:r>
      <w:r>
        <w:rPr>
          <w:rFonts w:hint="eastAsia" w:ascii="仿宋" w:hAnsi="仿宋" w:eastAsia="仿宋" w:cs="仿宋"/>
          <w:i w:val="0"/>
          <w:iCs w:val="0"/>
          <w:caps w:val="0"/>
          <w:color w:val="auto"/>
          <w:spacing w:val="0"/>
          <w:sz w:val="24"/>
          <w:szCs w:val="24"/>
          <w:highlight w:val="none"/>
          <w:shd w:val="clear" w:color="auto" w:fill="ffffff"/>
          <w:lang w:eastAsia="zh-CN"/>
        </w:rPr>
        <w:t xml:space="preserve">投标供应商</w:t>
      </w:r>
      <w:r>
        <w:rPr>
          <w:rFonts w:hint="eastAsia" w:ascii="仿宋" w:hAnsi="仿宋" w:eastAsia="仿宋" w:cs="仿宋"/>
          <w:i w:val="0"/>
          <w:iCs w:val="0"/>
          <w:caps w:val="0"/>
          <w:color w:val="auto"/>
          <w:spacing w:val="0"/>
          <w:sz w:val="24"/>
          <w:szCs w:val="24"/>
          <w:highlight w:val="none"/>
          <w:shd w:val="clear" w:color="auto" w:fill="ffffff"/>
        </w:rPr>
        <w:t xml:space="preserve">必须在苏采云系统中获取采购文件，方能参与政府采购项目） </w:t>
      </w:r>
      <w:r>
        <w:rPr>
          <w:rFonts w:hint="eastAsia" w:ascii="仿宋" w:hAnsi="仿宋" w:eastAsia="仿宋" w:cs="仿宋"/>
          <w:color w:val="auto"/>
          <w:sz w:val="24"/>
          <w:szCs w:val="24"/>
          <w:highlight w:val="none"/>
        </w:rPr>
        <w:t xml:space="preserve">，并于</w:t>
      </w:r>
      <w:r>
        <w:rPr>
          <w:rFonts w:hint="eastAsia" w:ascii="仿宋" w:hAnsi="仿宋" w:eastAsia="仿宋" w:cs="仿宋"/>
          <w:color w:val="auto"/>
          <w:sz w:val="24"/>
          <w:szCs w:val="24"/>
          <w:highlight w:val="none"/>
          <w:u w:val="single"/>
          <w:lang w:val="en-US" w:eastAsia="zh-CN"/>
        </w:rPr>
        <w:t xml:space="preserve">2026年6月11日15点00分</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北京时间）前递交投标文件。</w:t>
      </w: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 w:name="_Toc35393621"/>
      <w:r/>
      <w:bookmarkStart w:id="3" w:name="_Toc28359079"/>
      <w:r/>
      <w:bookmarkStart w:id="4" w:name="_Toc38985263"/>
      <w:r/>
      <w:bookmarkStart w:id="5" w:name="_Toc28359002"/>
      <w:r/>
      <w:bookmarkStart w:id="6" w:name="_Toc10391"/>
      <w:r/>
      <w:bookmarkStart w:id="7" w:name="_Toc35393790"/>
      <w:r/>
      <w:bookmarkStart w:id="8" w:name="_Toc12143"/>
      <w:r/>
      <w:bookmarkStart w:id="9" w:name="_Hlk24379207"/>
      <w:r>
        <w:rPr>
          <w:rFonts w:hint="eastAsia" w:ascii="仿宋" w:hAnsi="仿宋" w:eastAsia="仿宋" w:cs="仿宋"/>
          <w:b/>
          <w:color w:val="auto"/>
          <w:sz w:val="24"/>
          <w:szCs w:val="24"/>
          <w:highlight w:val="none"/>
        </w:rPr>
        <w:t xml:space="preserve">一、项目基本情况</w:t>
      </w:r>
      <w:bookmarkEnd w:id="2"/>
      <w:r/>
      <w:bookmarkEnd w:id="3"/>
      <w:r/>
      <w:bookmarkEnd w:id="4"/>
      <w:r/>
      <w:bookmarkEnd w:id="5"/>
      <w:r/>
      <w:bookmarkEnd w:id="6"/>
      <w:r/>
      <w:bookmarkEnd w:id="7"/>
      <w:r/>
      <w:bookmarkEnd w:id="8"/>
      <w:r/>
      <w:bookmarkEnd w:id="9"/>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u w:val="single"/>
          <w:lang w:eastAsia="zh-CN"/>
        </w:rPr>
        <w:t xml:space="preserve">JSZC-320922-JSJS-G2026-0004</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u w:val="single"/>
          <w:lang w:eastAsia="zh-CN"/>
        </w:rPr>
        <w:t xml:space="preserve">滨海县公安局交通管理大队涉案车辆清拖及保管服务项目</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w:t>
      </w:r>
      <w:r>
        <w:rPr>
          <w:rFonts w:hint="eastAsia" w:ascii="仿宋" w:hAnsi="仿宋" w:eastAsia="仿宋" w:cs="仿宋"/>
          <w:i w:val="0"/>
          <w:iCs w:val="0"/>
          <w:caps w:val="0"/>
          <w:color w:val="auto"/>
          <w:spacing w:val="0"/>
          <w:sz w:val="24"/>
          <w:szCs w:val="24"/>
          <w:highlight w:val="none"/>
          <w:shd w:val="clear" w:color="auto" w:fill="ffffff"/>
        </w:rPr>
        <w:t xml:space="preserve">采购方式：</w:t>
      </w:r>
      <w:r>
        <w:rPr>
          <w:rFonts w:hint="eastAsia" w:ascii="仿宋" w:hAnsi="仿宋" w:eastAsia="仿宋" w:cs="仿宋"/>
          <w:i w:val="0"/>
          <w:iCs w:val="0"/>
          <w:caps w:val="0"/>
          <w:color w:val="auto"/>
          <w:spacing w:val="0"/>
          <w:sz w:val="24"/>
          <w:szCs w:val="24"/>
          <w:highlight w:val="none"/>
          <w:u w:val="single"/>
          <w:shd w:val="clear" w:color="auto" w:fill="ffffff"/>
          <w:lang w:val="en-US" w:eastAsia="zh-CN"/>
        </w:rPr>
        <w:t xml:space="preserve">公开招标</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u w:val="single"/>
          <w:lang w:val="en-US" w:eastAsia="zh-CN"/>
        </w:rPr>
        <w:t xml:space="preserve">130万元（其中清拖预算75万元，保管预算55万元）</w:t>
      </w:r>
      <w:r/>
    </w:p>
    <w:p>
      <w:pPr>
        <w:pStyle w:val="713"/>
        <w:ind w:firstLine="480"/>
        <w:jc w:val="both"/>
        <w:pageBreakBefore w:val="0"/>
        <w:spacing w:beforeAutospacing="0" w:afterAutospacing="0" w:line="52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z w:val="24"/>
          <w:szCs w:val="24"/>
          <w:highlight w:val="none"/>
          <w:u w:val="single"/>
          <w:lang w:val="en-US" w:eastAsia="zh-CN"/>
        </w:rPr>
        <w:t xml:space="preserve">130万元（其中清拖服务预算75万元，保管服务预算55万元）</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.采购需求（简介）：</w:t>
      </w:r>
      <w:r>
        <w:rPr>
          <w:rFonts w:hint="eastAsia" w:ascii="仿宋" w:hAnsi="仿宋" w:eastAsia="仿宋" w:cs="仿宋"/>
          <w:color w:val="auto"/>
          <w:sz w:val="24"/>
          <w:szCs w:val="24"/>
          <w:highlight w:val="none"/>
          <w:u w:val="single"/>
        </w:rPr>
        <w:t xml:space="preserve">本项目为滨海县公安局交管大队涉案车辆清拖及保管服务项目，需在县内三个区域设立专用停车场，提供涉案及违法车辆清拖、停放保管、事故现场清理等服务（详见采购需求）。本项目最高限价中车辆保管费用为停车场地使用固定费用；清拖服务费用采用优惠率报价，</w:t>
      </w:r>
      <w:r>
        <w:rPr>
          <w:rFonts w:hint="eastAsia" w:ascii="仿宋" w:hAnsi="仿宋" w:eastAsia="仿宋" w:cs="仿宋"/>
          <w:color w:val="auto"/>
          <w:sz w:val="24"/>
          <w:szCs w:val="24"/>
          <w:highlight w:val="none"/>
          <w:u w:val="single"/>
          <w:lang w:val="en-US" w:eastAsia="zh-CN"/>
        </w:rPr>
        <w:t xml:space="preserve">投标优惠率范围为0-100%，最终结算时按实际发生量据实结算，最高不超过75万元</w:t>
      </w:r>
      <w:r>
        <w:rPr>
          <w:rFonts w:hint="eastAsia" w:ascii="仿宋" w:hAnsi="仿宋" w:eastAsia="仿宋" w:cs="仿宋"/>
          <w:color w:val="auto"/>
          <w:sz w:val="24"/>
          <w:szCs w:val="24"/>
          <w:highlight w:val="none"/>
          <w:u w:val="single"/>
        </w:rPr>
        <w:t xml:space="preserve">。</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u w:val="single"/>
          <w:lang w:val="en-US" w:eastAsia="zh-CN"/>
        </w:rPr>
        <w:t xml:space="preserve">1年（自合同签订之日起）</w:t>
      </w:r>
      <w:r>
        <w:rPr>
          <w:rFonts w:hint="eastAsia" w:ascii="仿宋" w:hAnsi="仿宋" w:eastAsia="仿宋" w:cs="仿宋"/>
          <w:color w:val="auto"/>
          <w:sz w:val="24"/>
          <w:szCs w:val="24"/>
          <w:highlight w:val="none"/>
        </w:rPr>
        <w:t xml:space="preserve">。</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本项目（是/否）接受联合体参与</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lang w:val="en-US" w:eastAsia="zh-CN"/>
        </w:rPr>
        <w:t xml:space="preserve">。</w:t>
      </w: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10" w:name="_Toc35393622"/>
      <w:r/>
      <w:bookmarkStart w:id="11" w:name="_Toc35393791"/>
      <w:r/>
      <w:bookmarkStart w:id="12" w:name="_Toc28359003"/>
      <w:r/>
      <w:bookmarkStart w:id="13" w:name="_Toc28359080"/>
      <w:r/>
      <w:bookmarkStart w:id="14" w:name="_Toc10554"/>
      <w:r/>
      <w:bookmarkStart w:id="15" w:name="_Toc38985264"/>
      <w:r/>
      <w:bookmarkStart w:id="16" w:name="_Toc24897"/>
      <w:r>
        <w:rPr>
          <w:rFonts w:hint="eastAsia" w:ascii="仿宋" w:hAnsi="仿宋" w:eastAsia="仿宋" w:cs="仿宋"/>
          <w:b/>
          <w:color w:val="auto"/>
          <w:sz w:val="24"/>
          <w:szCs w:val="24"/>
          <w:highlight w:val="none"/>
        </w:rPr>
        <w:t xml:space="preserve">二、申请人的资格要求：</w:t>
      </w:r>
      <w:bookmarkEnd w:id="10"/>
      <w:r/>
      <w:bookmarkEnd w:id="11"/>
      <w:r/>
      <w:bookmarkEnd w:id="12"/>
      <w:r/>
      <w:bookmarkEnd w:id="13"/>
      <w:r/>
      <w:bookmarkEnd w:id="14"/>
      <w:r/>
      <w:bookmarkEnd w:id="15"/>
      <w:r/>
      <w:bookmarkEnd w:id="16"/>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1.满足《中华人民共和国政府采购法》第二十二条规定，并提供下列材料：</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法人或者其他组织的营业执照等证明文件，自然人的身份证明；</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1.2上一年度的财务状况报</w:t>
      </w:r>
      <w:r>
        <w:rPr>
          <w:rFonts w:hint="eastAsia" w:ascii="仿宋" w:hAnsi="仿宋" w:eastAsia="仿宋" w:cs="仿宋"/>
          <w:color w:val="auto"/>
          <w:sz w:val="24"/>
          <w:szCs w:val="24"/>
          <w:highlight w:val="none"/>
          <w:lang w:val="en-US" w:eastAsia="zh-CN"/>
        </w:rPr>
        <w:t xml:space="preserve">告</w:t>
      </w:r>
      <w:r>
        <w:rPr>
          <w:rFonts w:hint="eastAsia" w:ascii="仿宋" w:hAnsi="仿宋" w:eastAsia="仿宋" w:cs="仿宋"/>
          <w:color w:val="auto"/>
          <w:sz w:val="24"/>
          <w:szCs w:val="24"/>
          <w:highlight w:val="none"/>
        </w:rPr>
        <w:t xml:space="preserve">（成立不满一年无需提供</w:t>
      </w:r>
      <w:r>
        <w:rPr>
          <w:rFonts w:hint="eastAsia" w:ascii="仿宋" w:hAnsi="仿宋" w:eastAsia="仿宋" w:cs="仿宋"/>
          <w:color w:val="auto"/>
          <w:sz w:val="24"/>
          <w:szCs w:val="24"/>
          <w:highlight w:val="none"/>
          <w:lang w:eastAsia="zh-CN"/>
        </w:rPr>
        <w:t xml:space="preserve">，投标人投标时可提供202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或202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年度财务报表，在评标时均予以认可。</w:t>
      </w:r>
      <w:r>
        <w:rPr>
          <w:rFonts w:hint="eastAsia" w:ascii="仿宋" w:hAnsi="仿宋" w:eastAsia="仿宋" w:cs="仿宋"/>
          <w:color w:val="auto"/>
          <w:sz w:val="24"/>
          <w:szCs w:val="24"/>
          <w:highlight w:val="none"/>
        </w:rPr>
        <w:t xml:space="preserve">）；</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具备履行合同所必需的设备和专业技术能力的书面声明；</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.5参加政府采购活动前3年内在经营活动中没有重大违法记录的书面声明。</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1.6法律、行政法规规定的其他条件。</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落实政府采购政策需满足的资格要求：</w:t>
      </w:r>
      <w:r>
        <w:rPr>
          <w:rFonts w:hint="eastAsia" w:ascii="仿宋" w:hAnsi="仿宋" w:eastAsia="仿宋" w:cs="仿宋"/>
          <w:color w:val="auto"/>
          <w:sz w:val="24"/>
          <w:szCs w:val="24"/>
          <w:highlight w:val="none"/>
          <w:u w:val="single"/>
        </w:rPr>
        <w:t xml:space="preserve">本项目为专门面向中小企业采购的项目（供应商投标时须提供《中小企业声明函》，否则按无效处理）</w:t>
      </w:r>
      <w:r>
        <w:rPr>
          <w:rFonts w:hint="eastAsia" w:ascii="仿宋" w:hAnsi="仿宋" w:eastAsia="仿宋" w:cs="仿宋"/>
          <w:color w:val="auto"/>
          <w:sz w:val="24"/>
          <w:szCs w:val="24"/>
          <w:highlight w:val="none"/>
        </w:rPr>
        <w:t xml:space="preserve">。</w:t>
      </w:r>
      <w:r/>
    </w:p>
    <w:p>
      <w:pPr>
        <w:ind w:firstLine="480"/>
        <w:pageBreakBefore w:val="0"/>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本项目的特定资格要求</w:t>
      </w:r>
      <w:r>
        <w:rPr>
          <w:rFonts w:hint="eastAsia" w:ascii="仿宋" w:hAnsi="仿宋" w:eastAsia="仿宋" w:cs="仿宋"/>
          <w:color w:val="auto"/>
          <w:sz w:val="24"/>
          <w:szCs w:val="24"/>
          <w:highlight w:val="none"/>
          <w:lang w:eastAsia="zh-CN"/>
        </w:rPr>
        <w:t xml:space="preserve">：</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rPr>
        <w:t xml:space="preserve">未被“信用中国”网站（www.creditchina.gov.cn）列入失信被执行人、重大税收违法案件当事人名单、政府采购严重失信行为记录名单。</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单位负责人为同一人或者存在直接控股、管理关系的不同供应商，不得参加同一合同项下的政府采购活动。</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本项目（是/否）接受联合体投标：</w:t>
      </w:r>
      <w:r>
        <w:rPr>
          <w:rFonts w:hint="eastAsia" w:ascii="仿宋" w:hAnsi="仿宋" w:eastAsia="仿宋" w:cs="仿宋"/>
          <w:color w:val="auto"/>
          <w:sz w:val="24"/>
          <w:szCs w:val="24"/>
          <w:highlight w:val="none"/>
          <w:u w:val="single"/>
        </w:rPr>
        <w:t xml:space="preserve">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必须具备独立完成该项目的能力，中标后不允许分包或转包。</w:t>
      </w:r>
      <w:r/>
    </w:p>
    <w:p>
      <w:pPr>
        <w:pStyle w:val="713"/>
        <w:ind w:firstLine="482"/>
        <w:jc w:val="both"/>
        <w:keepLines/>
        <w:keepNext/>
        <w:pageBreakBefore w:val="0"/>
        <w:spacing w:beforeAutospacing="0" w:afterAutospacing="0" w:line="520" w:lineRule="exact"/>
        <w:outlineLvl w:val="0"/>
      </w:pPr>
      <w:r/>
      <w:r>
        <w:rPr>
          <w:rFonts w:ascii="FangSong" w:hAnsi="FangSong" w:eastAsia="FangSong" w:cs="FangSong"/>
          <w:b/>
          <w:color w:val="000000"/>
          <w:sz w:val="24"/>
        </w:rPr>
        <w:t xml:space="preserve">注：本次政府采购招标活动不再接受滨海县惠众科技服务有限公司参与本次项目的投标。</w:t>
      </w:r>
      <w:r/>
      <w:r>
        <w:rPr>
          <w:rFonts w:hint="eastAsia" w:ascii="仿宋" w:hAnsi="仿宋" w:eastAsia="仿宋" w:cs="仿宋"/>
          <w:color w:val="auto"/>
          <w:sz w:val="24"/>
          <w:szCs w:val="24"/>
          <w:highlight w:val="none"/>
          <w:lang w:eastAsia="zh-CN"/>
        </w:rP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lang w:eastAsia="zh-CN"/>
        </w:rPr>
        <w:outlineLvl w:val="0"/>
      </w:pPr>
      <w:r/>
      <w:bookmarkStart w:id="17" w:name="_Toc18300"/>
      <w:r/>
      <w:bookmarkStart w:id="18" w:name="_Toc13511"/>
      <w:r>
        <w:rPr>
          <w:rFonts w:hint="eastAsia" w:ascii="仿宋" w:hAnsi="仿宋" w:eastAsia="仿宋" w:cs="仿宋"/>
          <w:b/>
          <w:color w:val="auto"/>
          <w:sz w:val="24"/>
          <w:szCs w:val="24"/>
          <w:highlight w:val="none"/>
        </w:rPr>
        <w:t xml:space="preserve">三、获取</w:t>
      </w:r>
      <w:bookmarkEnd w:id="17"/>
      <w:r>
        <w:rPr>
          <w:rFonts w:hint="eastAsia" w:ascii="仿宋" w:hAnsi="仿宋" w:eastAsia="仿宋" w:cs="仿宋"/>
          <w:b/>
          <w:color w:val="auto"/>
          <w:sz w:val="24"/>
          <w:szCs w:val="24"/>
          <w:highlight w:val="none"/>
          <w:lang w:eastAsia="zh-CN"/>
        </w:rPr>
        <w:t xml:space="preserve">采购文件</w:t>
      </w:r>
      <w:bookmarkEnd w:id="18"/>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bookmarkStart w:id="19" w:name="_Toc35393793"/>
      <w:r/>
      <w:bookmarkStart w:id="20" w:name="_Toc28359082"/>
      <w:r/>
      <w:bookmarkStart w:id="21" w:name="_Toc35393624"/>
      <w:r/>
      <w:bookmarkStart w:id="22" w:name="_Toc28359005"/>
      <w:r/>
      <w:bookmarkStart w:id="23" w:name="_Toc38985266"/>
      <w:r>
        <w:rPr>
          <w:rFonts w:hint="eastAsia" w:ascii="仿宋" w:hAnsi="仿宋" w:eastAsia="仿宋" w:cs="仿宋"/>
          <w:color w:val="auto"/>
          <w:sz w:val="24"/>
          <w:szCs w:val="24"/>
          <w:highlight w:val="none"/>
        </w:rPr>
        <w:t xml:space="preserve">1.时间</w:t>
      </w:r>
      <w:r>
        <w:rPr>
          <w:rFonts w:hint="eastAsia" w:ascii="仿宋" w:hAnsi="仿宋" w:eastAsia="仿宋" w:cs="仿宋"/>
          <w:color w:val="auto"/>
          <w:sz w:val="24"/>
          <w:szCs w:val="24"/>
          <w:highlight w:val="none"/>
          <w:lang w:val="en-US" w:eastAsia="zh-CN" w:bidi="ar-SA"/>
        </w:rPr>
        <w:t xml:space="preserve">：</w:t>
      </w:r>
      <w:bookmarkEnd w:id="19"/>
      <w:r/>
      <w:bookmarkEnd w:id="20"/>
      <w:r/>
      <w:bookmarkEnd w:id="21"/>
      <w:r/>
      <w:bookmarkEnd w:id="22"/>
      <w:r/>
      <w:bookmarkEnd w:id="23"/>
      <w:r>
        <w:rPr>
          <w:rFonts w:hint="eastAsia" w:ascii="仿宋" w:hAnsi="仿宋" w:eastAsia="仿宋" w:cs="仿宋"/>
          <w:color w:val="auto"/>
          <w:sz w:val="24"/>
          <w:szCs w:val="24"/>
          <w:highlight w:val="none"/>
          <w:lang w:val="en-US" w:eastAsia="zh-CN" w:bidi="ar-SA"/>
        </w:rPr>
        <w:t xml:space="preserve">自采购文件公告发布之日起5个工作日。</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2.地点：“苏采云”系统内免费下载（投标供应商必须在苏采云系统中获取采购文件，方能参与政府采购项目）；</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4.售价：0元</w:t>
      </w: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4" w:name="_Toc8298"/>
      <w:r/>
      <w:bookmarkStart w:id="25" w:name="_Toc10800"/>
      <w:r>
        <w:rPr>
          <w:rFonts w:hint="eastAsia" w:ascii="仿宋" w:hAnsi="仿宋" w:eastAsia="仿宋" w:cs="仿宋"/>
          <w:b/>
          <w:color w:val="auto"/>
          <w:sz w:val="24"/>
          <w:szCs w:val="24"/>
          <w:highlight w:val="none"/>
        </w:rPr>
        <w:t xml:space="preserve">四、提交投标文件截止时间、开标时间和地点</w:t>
      </w:r>
      <w:bookmarkEnd w:id="24"/>
      <w:r/>
      <w:bookmarkEnd w:id="25"/>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bidi="ar-SA"/>
        </w:rPr>
        <w:t xml:space="preserve">时间：</w:t>
      </w:r>
      <w:r>
        <w:rPr>
          <w:rFonts w:hint="eastAsia" w:ascii="仿宋" w:hAnsi="仿宋" w:eastAsia="仿宋" w:cs="仿宋"/>
          <w:color w:val="auto"/>
          <w:sz w:val="24"/>
          <w:szCs w:val="24"/>
          <w:highlight w:val="none"/>
          <w:u w:val="single"/>
          <w:lang w:val="en-US" w:eastAsia="zh-CN" w:bidi="ar-SA"/>
        </w:rPr>
        <w:t xml:space="preserve">2026年6月11日15点00分</w:t>
      </w:r>
      <w:r>
        <w:rPr>
          <w:rFonts w:hint="eastAsia" w:ascii="仿宋" w:hAnsi="仿宋" w:eastAsia="仿宋" w:cs="仿宋"/>
          <w:color w:val="auto"/>
          <w:sz w:val="24"/>
          <w:szCs w:val="24"/>
          <w:highlight w:val="none"/>
          <w:lang w:val="en-US" w:eastAsia="zh-CN" w:bidi="ar-SA"/>
        </w:rPr>
        <w:t xml:space="preserve">（北京时间）。</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2.地点：苏采云“不见面”开标大厅 。</w:t>
      </w: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6" w:name="_Toc35393794"/>
      <w:r/>
      <w:bookmarkStart w:id="27" w:name="_Toc35393625"/>
      <w:r/>
      <w:bookmarkStart w:id="28" w:name="_Toc38985267"/>
      <w:r/>
      <w:bookmarkStart w:id="29" w:name="_Toc28359007"/>
      <w:r/>
      <w:bookmarkStart w:id="30" w:name="_Toc28359084"/>
      <w:r/>
      <w:bookmarkStart w:id="31" w:name="_Toc14000"/>
      <w:r/>
      <w:bookmarkStart w:id="32" w:name="_Toc118"/>
      <w:r>
        <w:rPr>
          <w:rFonts w:hint="eastAsia" w:ascii="仿宋" w:hAnsi="仿宋" w:eastAsia="仿宋" w:cs="仿宋"/>
          <w:b/>
          <w:color w:val="auto"/>
          <w:sz w:val="24"/>
          <w:szCs w:val="24"/>
          <w:highlight w:val="none"/>
        </w:rPr>
        <w:t xml:space="preserve">五、公告期限</w:t>
      </w:r>
      <w:bookmarkEnd w:id="26"/>
      <w:r/>
      <w:bookmarkEnd w:id="27"/>
      <w:r/>
      <w:bookmarkEnd w:id="28"/>
      <w:r/>
      <w:bookmarkEnd w:id="29"/>
      <w:r/>
      <w:bookmarkEnd w:id="30"/>
      <w:r/>
      <w:bookmarkEnd w:id="31"/>
      <w:r/>
      <w:bookmarkEnd w:id="32"/>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35393626"/>
      <w:r/>
      <w:bookmarkStart w:id="34" w:name="_Toc38985268"/>
      <w:r/>
      <w:bookmarkStart w:id="35" w:name="_Toc35393795"/>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自本公告发布之日起5个工作日。</w:t>
      </w:r>
      <w:bookmarkEnd w:id="33"/>
      <w:r/>
      <w:bookmarkEnd w:id="34"/>
      <w:r/>
      <w:bookmarkEnd w:id="35"/>
      <w: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36" w:name="_Toc7700"/>
      <w:r/>
      <w:bookmarkStart w:id="37" w:name="_Toc1246"/>
      <w:r>
        <w:rPr>
          <w:rFonts w:hint="eastAsia" w:ascii="仿宋" w:hAnsi="仿宋" w:eastAsia="仿宋" w:cs="仿宋"/>
          <w:b/>
          <w:color w:val="auto"/>
          <w:sz w:val="24"/>
          <w:szCs w:val="24"/>
          <w:highlight w:val="none"/>
        </w:rPr>
        <w:t xml:space="preserve">六、其他补充事宜</w:t>
      </w:r>
      <w:bookmarkEnd w:id="36"/>
      <w:r/>
      <w:bookmarkEnd w:id="37"/>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8" w:name="_Toc28359018"/>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在盐城市政府采购网点击【办事指南】-【供应商参与政府采购活动相关资料】。</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2.2 潜在投标供应商访问“苏采云”系统方法：江苏省政府采购网首页-“苏采云”链接。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如潜在投标供应商未按上述要求操作，将自行承担所产生的风险。</w:t>
      </w:r>
      <w:r/>
    </w:p>
    <w:p>
      <w:pPr>
        <w:numPr>
          <w:ilvl w:val="0"/>
          <w:numId w:val="0"/>
        </w:num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szCs w:val="24"/>
          <w:highlight w:val="none"/>
          <w:lang w:val="en-US" w:eastAsia="zh-CN" w:bidi="ar-SA"/>
        </w:rPr>
        <w:t xml:space="preserve">有关本次招标的事项若存在变动或修改，敬请及时关注“中国政府采购网”“江苏政府采购网”“盐城市政府采购网”“滨海县人民政府网”发布的更正公告。</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keepLines w:val="0"/>
        <w:keepNext w:val="0"/>
        <w:pageBreakBefore w:val="0"/>
        <w:spacing w:line="520" w:lineRule="exact"/>
        <w:widowControl w:val="off"/>
        <w:rPr>
          <w:rFonts w:hint="eastAsia" w:ascii="仿宋" w:hAnsi="仿宋" w:eastAsia="仿宋" w:cs="仿宋"/>
          <w:bCs/>
          <w:color w:val="auto"/>
          <w:sz w:val="24"/>
          <w:szCs w:val="24"/>
          <w:highlight w:val="none"/>
          <w:u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lang w:val="en-US" w:eastAsia="zh-CN"/>
        </w:rPr>
        <w:t xml:space="preserve">5.</w:t>
      </w:r>
      <w:r>
        <w:rPr>
          <w:rFonts w:hint="eastAsia" w:ascii="仿宋" w:hAnsi="仿宋" w:eastAsia="仿宋" w:cs="仿宋"/>
          <w:bCs/>
          <w:color w:val="auto"/>
          <w:sz w:val="24"/>
          <w:szCs w:val="24"/>
          <w:highlight w:val="none"/>
          <w:u w:val="none"/>
        </w:rPr>
        <w:t xml:space="preserve">项目采用“资格后审”的“综合评分法”确定中标候选人。未通过资格审查的投标文件将被视为无效标处理；对通过初步评审的投标文件，评标委员会将按评分办法和标准进行评分，总分值为100分，评分细则详见</w:t>
      </w:r>
      <w:r>
        <w:rPr>
          <w:rFonts w:hint="eastAsia" w:ascii="仿宋" w:hAnsi="仿宋" w:eastAsia="仿宋" w:cs="仿宋"/>
          <w:bCs/>
          <w:color w:val="auto"/>
          <w:sz w:val="24"/>
          <w:szCs w:val="24"/>
          <w:highlight w:val="none"/>
          <w:u w:val="none"/>
          <w:lang w:val="en-US" w:eastAsia="zh-CN"/>
        </w:rPr>
        <w:t xml:space="preserve">采购文件</w:t>
      </w:r>
      <w:r>
        <w:rPr>
          <w:rFonts w:hint="eastAsia" w:ascii="仿宋" w:hAnsi="仿宋" w:eastAsia="仿宋" w:cs="仿宋"/>
          <w:bCs/>
          <w:color w:val="auto"/>
          <w:sz w:val="24"/>
          <w:szCs w:val="24"/>
          <w:highlight w:val="none"/>
          <w:u w:val="none"/>
        </w:rPr>
        <w:t xml:space="preserve">。</w:t>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39" w:name="_Toc15897"/>
      <w:r/>
      <w:bookmarkStart w:id="40" w:name="_Toc7272"/>
      <w:r/>
      <w:bookmarkStart w:id="41" w:name="_Toc22557"/>
      <w:r/>
      <w:bookmarkStart w:id="42" w:name="_Toc15272"/>
      <w:r>
        <w:rPr>
          <w:rFonts w:hint="eastAsia" w:ascii="仿宋" w:hAnsi="仿宋" w:eastAsia="仿宋" w:cs="仿宋"/>
          <w:b w:val="0"/>
          <w:bCs w:val="0"/>
          <w:i w:val="0"/>
          <w:iCs w:val="0"/>
          <w:caps w:val="0"/>
          <w:color w:val="auto"/>
          <w:spacing w:val="0"/>
          <w:sz w:val="24"/>
          <w:szCs w:val="24"/>
          <w:highlight w:val="none"/>
          <w:u w:val="none"/>
          <w:shd w:val="clear" w:color="auto" w:fill="ffffff"/>
          <w:lang w:val="en-US" w:eastAsia="zh-CN"/>
        </w:rPr>
        <w:t xml:space="preserve">6.</w:t>
      </w:r>
      <w:r>
        <w:rPr>
          <w:rFonts w:hint="eastAsia" w:ascii="仿宋" w:hAnsi="仿宋" w:eastAsia="仿宋" w:cs="仿宋"/>
          <w:b w:val="0"/>
          <w:bCs w:val="0"/>
          <w:color w:val="auto"/>
          <w:sz w:val="24"/>
          <w:szCs w:val="24"/>
          <w:highlight w:val="none"/>
          <w:lang w:bidi="ar"/>
        </w:rPr>
        <w:t xml:space="preserve">本项目落实小微型企业扶持政府采购政策（详见</w:t>
      </w:r>
      <w:r>
        <w:rPr>
          <w:rFonts w:hint="eastAsia" w:ascii="仿宋" w:hAnsi="仿宋" w:eastAsia="仿宋" w:cs="仿宋"/>
          <w:b w:val="0"/>
          <w:bCs w:val="0"/>
          <w:color w:val="auto"/>
          <w:sz w:val="24"/>
          <w:szCs w:val="24"/>
          <w:highlight w:val="none"/>
          <w:lang w:eastAsia="zh-CN" w:bidi="ar"/>
        </w:rPr>
        <w:t xml:space="preserve">采购文件</w:t>
      </w:r>
      <w:r>
        <w:rPr>
          <w:rFonts w:hint="eastAsia" w:ascii="仿宋" w:hAnsi="仿宋" w:eastAsia="仿宋" w:cs="仿宋"/>
          <w:b w:val="0"/>
          <w:bCs w:val="0"/>
          <w:color w:val="auto"/>
          <w:sz w:val="24"/>
          <w:szCs w:val="24"/>
          <w:highlight w:val="none"/>
          <w:lang w:bidi="ar"/>
        </w:rPr>
        <w:t xml:space="preserve">）</w:t>
      </w:r>
      <w:bookmarkEnd w:id="39"/>
      <w:r/>
      <w:bookmarkEnd w:id="40"/>
      <w:r/>
      <w:bookmarkEnd w:id="41"/>
      <w:r/>
      <w:bookmarkEnd w:id="42"/>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43" w:name="_Toc1288"/>
      <w:r/>
      <w:bookmarkStart w:id="44" w:name="_Toc21707"/>
      <w:r/>
      <w:bookmarkStart w:id="45" w:name="_Toc14707"/>
      <w:r/>
      <w:bookmarkStart w:id="46" w:name="_Toc2267"/>
      <w:r>
        <w:rPr>
          <w:rFonts w:hint="eastAsia" w:ascii="仿宋" w:hAnsi="仿宋" w:eastAsia="仿宋" w:cs="仿宋"/>
          <w:b w:val="0"/>
          <w:bCs w:val="0"/>
          <w:color w:val="auto"/>
          <w:sz w:val="24"/>
          <w:szCs w:val="24"/>
          <w:highlight w:val="none"/>
          <w:lang w:val="en-US" w:eastAsia="zh-CN" w:bidi="ar"/>
        </w:rPr>
        <w:t xml:space="preserve">7.</w:t>
      </w:r>
      <w:r>
        <w:rPr>
          <w:rFonts w:hint="eastAsia" w:ascii="仿宋" w:hAnsi="仿宋" w:eastAsia="仿宋" w:cs="仿宋"/>
          <w:b w:val="0"/>
          <w:bCs w:val="0"/>
          <w:color w:val="auto"/>
          <w:sz w:val="24"/>
          <w:szCs w:val="24"/>
          <w:highlight w:val="none"/>
          <w:lang w:bidi="ar"/>
        </w:rPr>
        <w:t xml:space="preserve">付款方式：</w:t>
      </w:r>
      <w:bookmarkEnd w:id="43"/>
      <w:r/>
      <w:bookmarkEnd w:id="44"/>
      <w:r/>
      <w:bookmarkEnd w:id="45"/>
      <w:r/>
      <w:bookmarkEnd w:id="46"/>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bookmarkStart w:id="47" w:name="_Toc29447"/>
      <w:r/>
      <w:bookmarkStart w:id="48" w:name="_Toc18492"/>
      <w:r/>
      <w:bookmarkStart w:id="49" w:name="_Toc9219"/>
      <w:r/>
      <w:bookmarkStart w:id="50" w:name="_Toc26171"/>
      <w:r>
        <w:rPr>
          <w:rFonts w:hint="eastAsia" w:ascii="仿宋" w:hAnsi="仿宋" w:eastAsia="仿宋" w:cs="仿宋"/>
          <w:b w:val="0"/>
          <w:bCs w:val="0"/>
          <w:color w:val="auto"/>
          <w:sz w:val="24"/>
          <w:szCs w:val="24"/>
          <w:highlight w:val="none"/>
          <w:u w:val="single"/>
          <w:lang w:val="en-US" w:eastAsia="zh-CN" w:bidi="ar"/>
        </w:rPr>
        <w:t xml:space="preserve">合同签订后，支付最高限价*（1-投标优惠率）的30%作为预付款；</w:t>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进度款结算与支付：中标供应商须与采购人按月核对当期结算金额，采购人按季度支付已确认的累计结算款项。</w:t>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尾款结算：项目最后一次结算时，采购人从应付结算总金额中一次性扣除已支付的全部预付款，按扣除后的余额完成最终款项支付，至此双方款项结清。</w:t>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default"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注：每次付款前，中标人应依法提供相应的税务发票及其他相关付款凭证。</w:t>
      </w:r>
      <w:r/>
    </w:p>
    <w:p>
      <w:pPr>
        <w:pStyle w:val="683"/>
        <w:ind w:left="0"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bCs/>
          <w:i w:val="0"/>
          <w:iCs w:val="0"/>
          <w:caps w:val="0"/>
          <w:color w:val="auto"/>
          <w:spacing w:val="0"/>
          <w:sz w:val="24"/>
          <w:szCs w:val="24"/>
          <w:highlight w:val="none"/>
          <w:u w:val="none"/>
          <w:shd w:val="clear" w:color="auto" w:fill="ffffff"/>
          <w:lang w:val="en-US" w:eastAsia="zh-CN"/>
        </w:rPr>
        <w:t xml:space="preserve">七</w:t>
      </w:r>
      <w:r>
        <w:rPr>
          <w:rFonts w:hint="eastAsia" w:ascii="仿宋" w:hAnsi="仿宋" w:eastAsia="仿宋" w:cs="仿宋"/>
          <w:b/>
          <w:bCs/>
          <w:i w:val="0"/>
          <w:iCs w:val="0"/>
          <w:caps w:val="0"/>
          <w:color w:val="auto"/>
          <w:spacing w:val="0"/>
          <w:sz w:val="24"/>
          <w:szCs w:val="24"/>
          <w:highlight w:val="none"/>
          <w:u w:val="none"/>
          <w:shd w:val="clear" w:color="auto" w:fill="ffffff"/>
        </w:rPr>
        <w:t xml:space="preserve">、对本次</w:t>
      </w:r>
      <w:r>
        <w:rPr>
          <w:rFonts w:hint="eastAsia" w:ascii="仿宋" w:hAnsi="仿宋" w:eastAsia="仿宋" w:cs="仿宋"/>
          <w:b/>
          <w:bCs/>
          <w:i w:val="0"/>
          <w:iCs w:val="0"/>
          <w:caps w:val="0"/>
          <w:color w:val="auto"/>
          <w:spacing w:val="0"/>
          <w:sz w:val="24"/>
          <w:szCs w:val="24"/>
          <w:highlight w:val="none"/>
          <w:u w:val="none"/>
          <w:shd w:val="clear" w:color="auto" w:fill="ffffff"/>
          <w:lang w:val="en-US" w:eastAsia="zh-CN"/>
        </w:rPr>
        <w:t xml:space="preserve">招标</w:t>
      </w:r>
      <w:r>
        <w:rPr>
          <w:rFonts w:hint="eastAsia" w:ascii="仿宋" w:hAnsi="仿宋" w:eastAsia="仿宋" w:cs="仿宋"/>
          <w:b/>
          <w:bCs/>
          <w:i w:val="0"/>
          <w:iCs w:val="0"/>
          <w:caps w:val="0"/>
          <w:color w:val="auto"/>
          <w:spacing w:val="0"/>
          <w:sz w:val="24"/>
          <w:szCs w:val="24"/>
          <w:highlight w:val="none"/>
          <w:u w:val="none"/>
          <w:shd w:val="clear" w:color="auto" w:fill="ffffff"/>
        </w:rPr>
        <w:t xml:space="preserve">提出询问，请按以下方式联系。</w:t>
      </w:r>
      <w:bookmarkEnd w:id="38"/>
      <w:r/>
      <w:bookmarkEnd w:id="47"/>
      <w:r/>
      <w:bookmarkEnd w:id="48"/>
      <w:r/>
      <w:bookmarkEnd w:id="49"/>
      <w:r/>
      <w:bookmarkEnd w:id="50"/>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1" w:name="_Toc29745"/>
      <w:r/>
      <w:bookmarkStart w:id="52" w:name="_Toc28359009"/>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1.采购人信息</w:t>
      </w:r>
      <w:bookmarkEnd w:id="51"/>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名 称：</w:t>
      </w:r>
      <w:r>
        <w:rPr>
          <w:rFonts w:hint="eastAsia" w:ascii="仿宋" w:hAnsi="仿宋" w:eastAsia="仿宋" w:cs="仿宋"/>
          <w:color w:val="auto"/>
          <w:sz w:val="24"/>
          <w:szCs w:val="24"/>
          <w:highlight w:val="none"/>
          <w:u w:val="none"/>
          <w:lang w:eastAsia="zh-CN"/>
        </w:rPr>
        <w:t xml:space="preserve">滨海县公安局</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地址：</w:t>
      </w:r>
      <w:r>
        <w:rPr>
          <w:rFonts w:hint="eastAsia" w:ascii="仿宋" w:hAnsi="仿宋" w:eastAsia="仿宋" w:cs="仿宋"/>
          <w:color w:val="auto"/>
          <w:sz w:val="24"/>
          <w:szCs w:val="24"/>
          <w:highlight w:val="none"/>
          <w:u w:val="none"/>
          <w:lang w:eastAsia="zh-CN"/>
        </w:rPr>
        <w:t xml:space="preserve">江苏省盐城市滨海县港城路419号水务大厦</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联系人：</w:t>
      </w:r>
      <w:r>
        <w:rPr>
          <w:rFonts w:hint="eastAsia" w:ascii="仿宋" w:hAnsi="仿宋" w:eastAsia="仿宋" w:cs="仿宋"/>
          <w:color w:val="auto"/>
          <w:sz w:val="24"/>
          <w:szCs w:val="24"/>
          <w:highlight w:val="none"/>
          <w:u w:val="none"/>
          <w:lang w:val="en-US" w:eastAsia="zh-CN"/>
        </w:rPr>
        <w:t xml:space="preserve">洪先生</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联系方式：</w:t>
      </w:r>
      <w:r>
        <w:rPr>
          <w:rFonts w:hint="eastAsia" w:ascii="仿宋" w:hAnsi="仿宋" w:eastAsia="仿宋" w:cs="仿宋"/>
          <w:color w:val="auto"/>
          <w:sz w:val="24"/>
          <w:szCs w:val="24"/>
          <w:highlight w:val="none"/>
          <w:u w:val="none"/>
          <w:lang w:val="en-US" w:eastAsia="zh-CN"/>
        </w:rPr>
        <w:t xml:space="preserve">13914685955</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3" w:name="_Toc1183"/>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2.采购代理机构信息</w:t>
      </w:r>
      <w:bookmarkEnd w:id="53"/>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名 称：江苏建世工程咨询有限公司</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地 址：滨海县S327/西湖路西北侧配送超市商务楼1幢6层607室</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联系人：徐先生                     </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联系方式：</w:t>
      </w:r>
      <w:bookmarkStart w:id="54" w:name="_Toc28359010"/>
      <w:r/>
      <w:bookmarkStart w:id="55" w:name="_Toc28359087"/>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0515-89168829、15851110809       </w:t>
      </w:r>
      <w:bookmarkEnd w:id="54"/>
      <w:r/>
      <w:bookmarkEnd w:id="55"/>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            </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6" w:name="_Toc28359021"/>
      <w:r/>
      <w:bookmarkStart w:id="57" w:name="_Toc22980"/>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w:t>
      </w:r>
      <w:bookmarkEnd w:id="56"/>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项目联系方式</w:t>
      </w:r>
      <w:bookmarkEnd w:id="57"/>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项目联系人：徐先生</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电　　 话：15851110809 　　　　　　　　　　　</w:t>
      </w:r>
      <w:r/>
    </w:p>
    <w:p>
      <w:pPr>
        <w:rPr>
          <w:rFonts w:hint="eastAsia" w:ascii="方正小标宋简体" w:hAnsi="方正小标宋简体" w:eastAsia="方正小标宋简体" w:cs="方正小标宋简体"/>
          <w:b w:val="0"/>
          <w:bCs w:val="0"/>
          <w:color w:val="auto"/>
          <w:sz w:val="44"/>
          <w:szCs w:val="44"/>
          <w:highlight w:val="none"/>
        </w:rPr>
      </w:pPr>
      <w:r/>
      <w:bookmarkStart w:id="58" w:name="_Toc120614211"/>
      <w:r/>
      <w:bookmarkStart w:id="59" w:name="_Toc19134"/>
      <w:r/>
      <w:bookmarkStart w:id="60" w:name="_Toc16503"/>
      <w:r>
        <w:rPr>
          <w:rFonts w:hint="eastAsia" w:ascii="方正小标宋简体" w:hAnsi="方正小标宋简体" w:eastAsia="方正小标宋简体" w:cs="方正小标宋简体"/>
          <w:b w:val="0"/>
          <w:bCs w:val="0"/>
          <w:color w:val="auto"/>
          <w:sz w:val="44"/>
          <w:szCs w:val="44"/>
          <w:highlight w:val="none"/>
        </w:rPr>
        <w:br w:type="page" w:clear="all"/>
      </w:r>
      <w:r/>
    </w:p>
    <w:p>
      <w:pPr>
        <w:ind w:firstLine="880"/>
        <w:jc w:val="center"/>
        <w:pageBreakBefore w:val="0"/>
        <w:spacing w:line="520" w:lineRule="exact"/>
        <w:rPr>
          <w:color w:val="auto"/>
          <w:highlight w:val="none"/>
        </w:rPr>
      </w:pPr>
      <w:r>
        <w:rPr>
          <w:rFonts w:hint="eastAsia" w:ascii="方正小标宋简体" w:hAnsi="方正小标宋简体" w:eastAsia="方正小标宋简体" w:cs="方正小标宋简体"/>
          <w:b w:val="0"/>
          <w:bCs w:val="0"/>
          <w:color w:val="auto"/>
          <w:sz w:val="44"/>
          <w:szCs w:val="44"/>
          <w:highlight w:val="none"/>
        </w:rPr>
        <w:t xml:space="preserve">第二章  </w:t>
      </w:r>
      <w:bookmarkEnd w:id="58"/>
      <w:r/>
      <w:bookmarkStart w:id="61" w:name="_Toc16938518"/>
      <w:r/>
      <w:bookmarkStart w:id="62" w:name="_Toc513029202"/>
      <w:r/>
      <w:bookmarkStart w:id="63" w:name="_Toc120614213"/>
      <w:r/>
      <w:bookmarkStart w:id="64" w:name="_Toc20823274"/>
      <w:r>
        <w:rPr>
          <w:rFonts w:hint="eastAsia" w:ascii="方正小标宋简体" w:hAnsi="方正小标宋简体" w:eastAsia="方正小标宋简体" w:cs="方正小标宋简体"/>
          <w:b w:val="0"/>
          <w:bCs w:val="0"/>
          <w:color w:val="auto"/>
          <w:sz w:val="44"/>
          <w:szCs w:val="44"/>
          <w:highlight w:val="none"/>
          <w:lang w:eastAsia="zh-CN"/>
        </w:rPr>
        <w:t xml:space="preserve">投标供应商</w:t>
      </w:r>
      <w:r>
        <w:rPr>
          <w:rFonts w:hint="eastAsia" w:ascii="方正小标宋简体" w:hAnsi="方正小标宋简体" w:eastAsia="方正小标宋简体" w:cs="方正小标宋简体"/>
          <w:b w:val="0"/>
          <w:bCs w:val="0"/>
          <w:color w:val="auto"/>
          <w:sz w:val="44"/>
          <w:szCs w:val="44"/>
          <w:highlight w:val="none"/>
        </w:rPr>
        <w:t xml:space="preserve">须知</w:t>
      </w:r>
      <w:bookmarkEnd w:id="59"/>
      <w:r/>
      <w:bookmarkEnd w:id="60"/>
      <w:r/>
      <w:bookmarkEnd w:id="61"/>
      <w:r/>
      <w:bookmarkEnd w:id="62"/>
      <w:r/>
      <w:bookmarkEnd w:id="63"/>
      <w:r/>
      <w:bookmarkEnd w:id="64"/>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65" w:name="_Toc120614214"/>
      <w:r/>
      <w:bookmarkStart w:id="66" w:name="_Toc20823275"/>
      <w:r/>
      <w:bookmarkStart w:id="67" w:name="_Toc11691"/>
      <w:r/>
      <w:bookmarkStart w:id="68" w:name="_Toc16938519"/>
      <w:r/>
      <w:bookmarkStart w:id="69" w:name="_Toc32145"/>
      <w:r/>
      <w:bookmarkStart w:id="70" w:name="_Toc513029203"/>
      <w:r>
        <w:rPr>
          <w:rFonts w:hint="eastAsia" w:ascii="仿宋" w:hAnsi="仿宋" w:eastAsia="仿宋" w:cs="仿宋"/>
          <w:b/>
          <w:color w:val="auto"/>
          <w:sz w:val="24"/>
          <w:szCs w:val="24"/>
          <w:highlight w:val="none"/>
        </w:rPr>
        <w:t xml:space="preserve">一、总则</w:t>
      </w:r>
      <w:bookmarkEnd w:id="65"/>
      <w:r/>
      <w:bookmarkEnd w:id="66"/>
      <w:r/>
      <w:bookmarkEnd w:id="67"/>
      <w:r/>
      <w:bookmarkEnd w:id="68"/>
      <w:r/>
      <w:bookmarkEnd w:id="69"/>
      <w:r/>
      <w:bookmarkEnd w:id="70"/>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71" w:name="_Toc16938520"/>
      <w:r/>
      <w:bookmarkStart w:id="72" w:name="_Toc20823276"/>
      <w:r/>
      <w:bookmarkStart w:id="73" w:name="_Toc513029204"/>
      <w:r/>
      <w:bookmarkStart w:id="74" w:name="_Toc458694821"/>
      <w:r/>
      <w:bookmarkStart w:id="75" w:name="_Toc18200"/>
      <w:r/>
      <w:bookmarkStart w:id="76" w:name="_Hlt16619475"/>
      <w:r>
        <w:rPr>
          <w:rFonts w:hint="eastAsia" w:ascii="仿宋" w:hAnsi="仿宋" w:eastAsia="仿宋" w:cs="仿宋"/>
          <w:color w:val="auto"/>
          <w:sz w:val="24"/>
          <w:szCs w:val="24"/>
          <w:highlight w:val="none"/>
        </w:rPr>
        <w:t xml:space="preserve">1</w:t>
      </w:r>
      <w:bookmarkEnd w:id="71"/>
      <w:r>
        <w:rPr>
          <w:rFonts w:hint="eastAsia" w:ascii="仿宋" w:hAnsi="仿宋" w:eastAsia="仿宋" w:cs="仿宋"/>
          <w:color w:val="auto"/>
          <w:sz w:val="24"/>
          <w:szCs w:val="24"/>
          <w:highlight w:val="none"/>
        </w:rPr>
        <w:t xml:space="preserve">、招标方式</w:t>
      </w:r>
      <w:bookmarkEnd w:id="72"/>
      <w:r/>
      <w:bookmarkEnd w:id="73"/>
      <w:r/>
      <w:bookmarkEnd w:id="74"/>
      <w:r/>
      <w:bookmarkEnd w:id="75"/>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1.1本次招标采取公开招标方式，本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仅适用于招标公告中所述项目。</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outlineLvl w:val="1"/>
      </w:pPr>
      <w:r/>
      <w:bookmarkStart w:id="77" w:name="_Toc513029205"/>
      <w:r/>
      <w:bookmarkStart w:id="78" w:name="_Toc20823277"/>
      <w:r/>
      <w:bookmarkStart w:id="79" w:name="_Toc16938521"/>
      <w:r/>
      <w:bookmarkStart w:id="80" w:name="_Toc18659"/>
      <w:r>
        <w:rPr>
          <w:rFonts w:hint="eastAsia" w:ascii="仿宋" w:hAnsi="仿宋" w:eastAsia="仿宋" w:cs="仿宋"/>
          <w:color w:val="auto"/>
          <w:sz w:val="24"/>
          <w:szCs w:val="24"/>
          <w:highlight w:val="none"/>
        </w:rPr>
        <w:t xml:space="preserve">2、合格的</w:t>
      </w:r>
      <w:bookmarkEnd w:id="77"/>
      <w:r/>
      <w:bookmarkEnd w:id="78"/>
      <w:r/>
      <w:bookmarkEnd w:id="79"/>
      <w:r>
        <w:rPr>
          <w:rFonts w:hint="eastAsia" w:ascii="仿宋" w:hAnsi="仿宋" w:eastAsia="仿宋" w:cs="仿宋"/>
          <w:color w:val="auto"/>
          <w:sz w:val="24"/>
          <w:szCs w:val="24"/>
          <w:highlight w:val="none"/>
          <w:lang w:eastAsia="zh-CN"/>
        </w:rPr>
        <w:t xml:space="preserve">投标供应商</w:t>
      </w:r>
      <w:bookmarkEnd w:id="8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2.1满足招标公告中供应商的资格要求的规定。</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2.2满足本文件实质性要求和条件的规定。</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81" w:name="_Toc16938522"/>
      <w:r/>
      <w:bookmarkStart w:id="82" w:name="_Toc513029206"/>
      <w:r/>
      <w:bookmarkStart w:id="83" w:name="_Toc20823278"/>
      <w:r/>
      <w:bookmarkStart w:id="84" w:name="_Toc17855"/>
      <w:r>
        <w:rPr>
          <w:rFonts w:hint="eastAsia" w:ascii="仿宋" w:hAnsi="仿宋" w:eastAsia="仿宋" w:cs="仿宋"/>
          <w:color w:val="auto"/>
          <w:sz w:val="24"/>
          <w:szCs w:val="24"/>
          <w:highlight w:val="none"/>
        </w:rPr>
        <w:t xml:space="preserve">3、适用法律</w:t>
      </w:r>
      <w:bookmarkEnd w:id="81"/>
      <w:r/>
      <w:bookmarkEnd w:id="82"/>
      <w:r/>
      <w:bookmarkEnd w:id="83"/>
      <w:r/>
      <w:bookmarkEnd w:id="8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3.1本次招标及由此产生的合同受中华人民共和国有关的法律法规制约和保护。</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85" w:name="_Toc16938523"/>
      <w:r/>
      <w:bookmarkStart w:id="86" w:name="_Toc513029207"/>
      <w:r/>
      <w:bookmarkStart w:id="87" w:name="_Toc17184"/>
      <w:r/>
      <w:bookmarkStart w:id="88" w:name="_Toc462564067"/>
      <w:r/>
      <w:bookmarkStart w:id="89" w:name="_Toc20823279"/>
      <w:r>
        <w:rPr>
          <w:rFonts w:hint="eastAsia" w:ascii="仿宋" w:hAnsi="仿宋" w:eastAsia="仿宋" w:cs="仿宋"/>
          <w:color w:val="auto"/>
          <w:sz w:val="24"/>
          <w:szCs w:val="24"/>
          <w:highlight w:val="none"/>
        </w:rPr>
        <w:t xml:space="preserve">4、投标费用</w:t>
      </w:r>
      <w:bookmarkEnd w:id="85"/>
      <w:r/>
      <w:bookmarkEnd w:id="86"/>
      <w:r/>
      <w:bookmarkEnd w:id="87"/>
      <w:r/>
      <w:bookmarkEnd w:id="88"/>
      <w:r/>
      <w:bookmarkEnd w:id="89"/>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应自行承担所有与参加投标有关的费用，无论投标过程中的做法和结果如何，</w:t>
      </w:r>
      <w:r>
        <w:rPr>
          <w:rFonts w:hint="eastAsia" w:ascii="仿宋" w:hAnsi="仿宋" w:eastAsia="仿宋" w:cs="仿宋"/>
          <w:color w:val="auto"/>
          <w:sz w:val="24"/>
          <w:szCs w:val="24"/>
          <w:highlight w:val="none"/>
          <w:lang w:val="en-US" w:eastAsia="zh-CN"/>
        </w:rPr>
        <w:t xml:space="preserve">采购人及采购代理机构</w:t>
      </w:r>
      <w:r>
        <w:rPr>
          <w:rFonts w:hint="eastAsia" w:ascii="仿宋" w:hAnsi="仿宋" w:eastAsia="仿宋" w:cs="仿宋"/>
          <w:color w:val="auto"/>
          <w:sz w:val="24"/>
          <w:szCs w:val="24"/>
          <w:highlight w:val="none"/>
        </w:rPr>
        <w:t xml:space="preserve">在任何情况下均无义务和责任承担这些费用。</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4.2本次招标采购人和采购代理机构不收取标书工本费</w:t>
      </w:r>
      <w:r>
        <w:rPr>
          <w:rFonts w:hint="eastAsia" w:ascii="仿宋" w:hAnsi="仿宋" w:eastAsia="仿宋" w:cs="仿宋"/>
          <w:color w:val="auto"/>
          <w:sz w:val="24"/>
          <w:szCs w:val="24"/>
          <w:highlight w:val="none"/>
          <w:lang w:eastAsia="zh-CN"/>
        </w:rPr>
        <w:t xml:space="preserve">，采购中心不收取</w:t>
      </w:r>
      <w:r>
        <w:rPr>
          <w:rFonts w:hint="eastAsia" w:ascii="仿宋" w:hAnsi="仿宋" w:eastAsia="仿宋" w:cs="仿宋"/>
          <w:color w:val="auto"/>
          <w:sz w:val="24"/>
          <w:szCs w:val="24"/>
          <w:highlight w:val="none"/>
        </w:rPr>
        <w:t xml:space="preserve">中标服务费。</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90" w:name="_Toc16148"/>
      <w:r>
        <w:rPr>
          <w:rFonts w:hint="eastAsia" w:ascii="仿宋" w:hAnsi="仿宋" w:eastAsia="仿宋" w:cs="仿宋"/>
          <w:b w:val="0"/>
          <w:bCs/>
          <w:color w:val="auto"/>
          <w:sz w:val="24"/>
          <w:szCs w:val="24"/>
          <w:highlight w:val="none"/>
        </w:rPr>
        <w:t xml:space="preserve">5、</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的约束力</w:t>
      </w:r>
      <w:bookmarkEnd w:id="9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一旦参加本项目采购活动，即被认为接受了本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的规定和约束。</w:t>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outlineLvl w:val="0"/>
      </w:pPr>
      <w:r/>
      <w:bookmarkStart w:id="91" w:name="_Toc513029209"/>
      <w:r/>
      <w:bookmarkStart w:id="92" w:name="_Toc20823281"/>
      <w:r/>
      <w:bookmarkStart w:id="93" w:name="_Toc120614215"/>
      <w:r/>
      <w:bookmarkStart w:id="94" w:name="_Toc16938525"/>
      <w:r/>
      <w:bookmarkStart w:id="95" w:name="_Toc22192"/>
      <w:r/>
      <w:bookmarkStart w:id="96" w:name="_Toc16164"/>
      <w:r>
        <w:rPr>
          <w:rFonts w:hint="eastAsia" w:ascii="仿宋" w:hAnsi="仿宋" w:eastAsia="仿宋" w:cs="仿宋"/>
          <w:b/>
          <w:color w:val="auto"/>
          <w:sz w:val="24"/>
          <w:szCs w:val="24"/>
          <w:highlight w:val="none"/>
        </w:rPr>
        <w:t xml:space="preserve">二、</w:t>
      </w:r>
      <w:bookmarkEnd w:id="91"/>
      <w:r/>
      <w:bookmarkEnd w:id="92"/>
      <w:r/>
      <w:bookmarkEnd w:id="93"/>
      <w:r/>
      <w:bookmarkEnd w:id="94"/>
      <w:r/>
      <w:bookmarkEnd w:id="95"/>
      <w:r>
        <w:rPr>
          <w:rFonts w:hint="eastAsia" w:ascii="仿宋" w:hAnsi="仿宋" w:eastAsia="仿宋" w:cs="仿宋"/>
          <w:b/>
          <w:color w:val="auto"/>
          <w:sz w:val="24"/>
          <w:szCs w:val="24"/>
          <w:highlight w:val="none"/>
          <w:lang w:eastAsia="zh-CN"/>
        </w:rPr>
        <w:t xml:space="preserve">采购文件</w:t>
      </w:r>
      <w:bookmarkEnd w:id="96"/>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97" w:name="_Toc20823282"/>
      <w:r/>
      <w:bookmarkStart w:id="98" w:name="_Toc513029210"/>
      <w:r/>
      <w:bookmarkStart w:id="99" w:name="_Toc16938526"/>
      <w:r/>
      <w:bookmarkStart w:id="100" w:name="_Toc12957"/>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构成</w:t>
      </w:r>
      <w:bookmarkEnd w:id="97"/>
      <w:r/>
      <w:bookmarkEnd w:id="98"/>
      <w:r/>
      <w:bookmarkEnd w:id="99"/>
      <w:r/>
      <w:bookmarkEnd w:id="10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由以下部分组成：</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招标公告</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须知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（5）评标方法与评标标准</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（6）投标文件格式</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是否齐全，如有缺漏请立即与</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联系解决。</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应认真阅读</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中所有的事项、格式、条款和规范等要求。按</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要求和规定编制投标文件，并保证所提供的全部资料的真实性，以使其投标文件对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作出实质性响应，否则其风险由</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自行承担。</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01" w:name="_Toc20823283"/>
      <w:r/>
      <w:bookmarkStart w:id="102" w:name="_Toc20198"/>
      <w:r/>
      <w:bookmarkStart w:id="103" w:name="_Toc462564070"/>
      <w:r/>
      <w:bookmarkStart w:id="104" w:name="_Toc513029211"/>
      <w:r/>
      <w:bookmarkStart w:id="105" w:name="_Toc16938527"/>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的澄清</w:t>
      </w:r>
      <w:bookmarkEnd w:id="101"/>
      <w:r/>
      <w:bookmarkEnd w:id="102"/>
      <w:r/>
      <w:bookmarkEnd w:id="103"/>
      <w:r/>
      <w:bookmarkEnd w:id="104"/>
      <w:r/>
      <w:bookmarkEnd w:id="105"/>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7.1任何要求对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进行澄清的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，应在投标截止期</w:t>
      </w:r>
      <w:r>
        <w:rPr>
          <w:rFonts w:hint="eastAsia" w:ascii="仿宋" w:hAnsi="仿宋" w:eastAsia="仿宋" w:cs="仿宋"/>
          <w:b/>
          <w:color w:val="auto"/>
          <w:sz w:val="24"/>
          <w:szCs w:val="24"/>
          <w:highlight w:val="none"/>
        </w:rPr>
        <w:t xml:space="preserve">十日</w:t>
      </w:r>
      <w:r>
        <w:rPr>
          <w:rFonts w:hint="eastAsia" w:ascii="仿宋" w:hAnsi="仿宋" w:eastAsia="仿宋" w:cs="仿宋"/>
          <w:color w:val="auto"/>
          <w:sz w:val="24"/>
          <w:szCs w:val="24"/>
          <w:highlight w:val="none"/>
        </w:rPr>
        <w:t xml:space="preserve">前按招标公告中的通讯地址，以书面形式通知</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06" w:name="_Toc24795"/>
      <w:r/>
      <w:bookmarkStart w:id="107" w:name="_Toc20823284"/>
      <w:r/>
      <w:bookmarkStart w:id="108" w:name="_Toc462564071"/>
      <w:r/>
      <w:bookmarkStart w:id="109" w:name="_Toc513029212"/>
      <w:r/>
      <w:bookmarkStart w:id="110" w:name="_Toc16938528"/>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的修改</w:t>
      </w:r>
      <w:bookmarkEnd w:id="106"/>
      <w:r/>
      <w:bookmarkEnd w:id="107"/>
      <w:r/>
      <w:bookmarkEnd w:id="108"/>
      <w:r/>
      <w:bookmarkEnd w:id="109"/>
      <w:r/>
      <w:bookmarkEnd w:id="11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8.1在投标截止时间前，采购人和采购代理机构可以对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进行修改。</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8.2采购人和采购代理机构有权按照法定的要求推迟投标截止日期和开标日期。</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的修改将在</w:t>
      </w:r>
      <w:r>
        <w:rPr>
          <w:rFonts w:hint="eastAsia" w:ascii="仿宋" w:hAnsi="仿宋" w:eastAsia="仿宋" w:cs="仿宋"/>
          <w:color w:val="auto"/>
          <w:sz w:val="24"/>
          <w:szCs w:val="24"/>
          <w:highlight w:val="none"/>
          <w:lang w:val="en-US" w:eastAsia="zh-CN" w:bidi="ar-SA"/>
        </w:rPr>
        <w:t xml:space="preserve">中国政府采购网</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color w:val="auto"/>
          <w:sz w:val="24"/>
          <w:szCs w:val="24"/>
          <w:highlight w:val="none"/>
        </w:rPr>
        <w:t xml:space="preserve">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盐城市政府采购网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滨海县人民政府网</w:t>
      </w:r>
      <w:r>
        <w:rPr>
          <w:rFonts w:hint="eastAsia" w:ascii="仿宋" w:hAnsi="仿宋" w:eastAsia="仿宋" w:cs="仿宋"/>
          <w:color w:val="auto"/>
          <w:sz w:val="24"/>
          <w:szCs w:val="24"/>
          <w:highlight w:val="none"/>
        </w:rPr>
        <w:t xml:space="preserve">公布，补充文件将作为</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的组成部分，并对</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具有约束力。</w:t>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11" w:name="_Toc21954"/>
      <w:r/>
      <w:bookmarkStart w:id="112" w:name="_Toc20823285"/>
      <w:r/>
      <w:bookmarkStart w:id="113" w:name="_Toc513029213"/>
      <w:r/>
      <w:bookmarkStart w:id="114" w:name="_Toc16938529"/>
      <w:r/>
      <w:bookmarkStart w:id="115" w:name="_Toc462564072"/>
      <w:r/>
      <w:bookmarkStart w:id="116" w:name="_Toc14781"/>
      <w:r/>
      <w:bookmarkStart w:id="117" w:name="_Toc120614216"/>
      <w:r>
        <w:rPr>
          <w:rFonts w:hint="eastAsia" w:ascii="仿宋" w:hAnsi="仿宋" w:eastAsia="仿宋" w:cs="仿宋"/>
          <w:b/>
          <w:color w:val="auto"/>
          <w:sz w:val="24"/>
          <w:szCs w:val="24"/>
          <w:highlight w:val="none"/>
        </w:rPr>
        <w:t xml:space="preserve">三、投标文件的编制</w:t>
      </w:r>
      <w:bookmarkEnd w:id="111"/>
      <w:r/>
      <w:bookmarkEnd w:id="112"/>
      <w:r/>
      <w:bookmarkEnd w:id="113"/>
      <w:r/>
      <w:bookmarkEnd w:id="114"/>
      <w:r/>
      <w:bookmarkEnd w:id="115"/>
      <w:r/>
      <w:bookmarkEnd w:id="116"/>
      <w:r/>
      <w:bookmarkEnd w:id="117"/>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18" w:name="_Toc6443"/>
      <w:r/>
      <w:bookmarkStart w:id="119" w:name="_Toc513029214"/>
      <w:r/>
      <w:bookmarkStart w:id="120" w:name="_Toc20823286"/>
      <w:r/>
      <w:bookmarkStart w:id="121" w:name="_Toc16938530"/>
      <w:r/>
      <w:bookmarkStart w:id="122" w:name="_Toc462564073"/>
      <w:r>
        <w:rPr>
          <w:rFonts w:hint="eastAsia" w:ascii="仿宋" w:hAnsi="仿宋" w:eastAsia="仿宋" w:cs="仿宋"/>
          <w:color w:val="auto"/>
          <w:sz w:val="24"/>
          <w:szCs w:val="24"/>
          <w:highlight w:val="none"/>
        </w:rPr>
        <w:t xml:space="preserve">9、投标文件的语言及度量衡单位</w:t>
      </w:r>
      <w:bookmarkEnd w:id="118"/>
      <w:r/>
      <w:bookmarkEnd w:id="119"/>
      <w:r/>
      <w:bookmarkEnd w:id="120"/>
      <w:r/>
      <w:bookmarkEnd w:id="121"/>
      <w:r/>
      <w:bookmarkEnd w:id="122"/>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提交的投标文件以及</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与采购人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采购代理机构就有关投标的所有来往通知、函件和文件均应使用</w:t>
      </w:r>
      <w:r>
        <w:rPr>
          <w:rFonts w:hint="eastAsia" w:ascii="仿宋" w:hAnsi="仿宋" w:eastAsia="仿宋" w:cs="仿宋"/>
          <w:b/>
          <w:color w:val="auto"/>
          <w:sz w:val="24"/>
          <w:szCs w:val="24"/>
          <w:highlight w:val="none"/>
        </w:rPr>
        <w:t xml:space="preserve">简体中文</w:t>
      </w:r>
      <w:r>
        <w:rPr>
          <w:rFonts w:hint="eastAsia" w:ascii="仿宋" w:hAnsi="仿宋" w:eastAsia="仿宋" w:cs="仿宋"/>
          <w:color w:val="auto"/>
          <w:sz w:val="24"/>
          <w:szCs w:val="24"/>
          <w:highlight w:val="none"/>
        </w:rPr>
        <w:t xml:space="preserve">。</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9.2除技术性能另有规定外，投标文件所使用的度量衡单位，均须采用国家法定计量单位。</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23" w:name="_Toc16938531"/>
      <w:r/>
      <w:bookmarkStart w:id="124" w:name="_Toc20823287"/>
      <w:r/>
      <w:bookmarkStart w:id="125" w:name="_Toc513029215"/>
      <w:r/>
      <w:bookmarkStart w:id="126" w:name="_Toc462564074"/>
      <w:r/>
      <w:bookmarkStart w:id="127" w:name="_Toc16709"/>
      <w:r>
        <w:rPr>
          <w:rFonts w:hint="eastAsia" w:ascii="仿宋" w:hAnsi="仿宋" w:eastAsia="仿宋" w:cs="仿宋"/>
          <w:color w:val="auto"/>
          <w:sz w:val="24"/>
          <w:szCs w:val="24"/>
          <w:highlight w:val="none"/>
        </w:rPr>
        <w:t xml:space="preserve">10、投标文件构成</w:t>
      </w:r>
      <w:bookmarkEnd w:id="123"/>
      <w:r/>
      <w:bookmarkEnd w:id="124"/>
      <w:r/>
      <w:bookmarkEnd w:id="125"/>
      <w:r/>
      <w:bookmarkEnd w:id="126"/>
      <w:r/>
      <w:bookmarkEnd w:id="12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10.2如标书制作工具中格式和内容与</w:t>
      </w:r>
      <w:r>
        <w:rPr>
          <w:rFonts w:hint="eastAsia" w:ascii="仿宋" w:hAnsi="仿宋" w:eastAsia="仿宋" w:cs="仿宋"/>
          <w:b/>
          <w:bCs/>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b/>
          <w:bCs/>
          <w:color w:val="auto"/>
          <w:sz w:val="24"/>
          <w:szCs w:val="24"/>
          <w:highlight w:val="none"/>
          <w:lang w:val="en-US" w:eastAsia="zh-CN" w:bidi="ar-SA"/>
        </w:rPr>
        <w:t xml:space="preserve">中国政府采购网”“</w:t>
      </w:r>
      <w:r>
        <w:rPr>
          <w:rFonts w:hint="eastAsia" w:ascii="仿宋" w:hAnsi="仿宋" w:eastAsia="仿宋" w:cs="仿宋"/>
          <w:b/>
          <w:bCs/>
          <w:color w:val="auto"/>
          <w:sz w:val="24"/>
          <w:szCs w:val="24"/>
          <w:highlight w:val="none"/>
        </w:rPr>
        <w:t xml:space="preserve">江苏政府采购网</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盐城市政府采购网”发布的</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不一致，请以</w:t>
      </w:r>
      <w:r>
        <w:rPr>
          <w:rFonts w:hint="eastAsia" w:ascii="仿宋" w:hAnsi="仿宋" w:eastAsia="仿宋" w:cs="仿宋"/>
          <w:b/>
          <w:bCs/>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b/>
          <w:bCs/>
          <w:color w:val="auto"/>
          <w:sz w:val="24"/>
          <w:szCs w:val="24"/>
          <w:highlight w:val="none"/>
          <w:lang w:val="en-US" w:eastAsia="zh-CN" w:bidi="ar-SA"/>
        </w:rPr>
        <w:t xml:space="preserve">中国政府采购网”“</w:t>
      </w:r>
      <w:r>
        <w:rPr>
          <w:rFonts w:hint="eastAsia" w:ascii="仿宋" w:hAnsi="仿宋" w:eastAsia="仿宋" w:cs="仿宋"/>
          <w:b/>
          <w:bCs/>
          <w:color w:val="auto"/>
          <w:sz w:val="24"/>
          <w:szCs w:val="24"/>
          <w:highlight w:val="none"/>
        </w:rPr>
        <w:t xml:space="preserve">江苏政府采购网</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盐城市政府采购网”发布的</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为准。</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28" w:name="_Toc14577354"/>
      <w:r/>
      <w:bookmarkStart w:id="129" w:name="_Toc49090507"/>
      <w:r/>
      <w:bookmarkStart w:id="130" w:name="_Toc14577357"/>
      <w:r/>
      <w:bookmarkStart w:id="131" w:name="_Toc513029219"/>
      <w:r/>
      <w:bookmarkStart w:id="132" w:name="_Toc513029216"/>
      <w:r/>
      <w:bookmarkStart w:id="133" w:name="_Toc49090509"/>
      <w:r/>
      <w:bookmarkStart w:id="134" w:name="_Toc10215"/>
      <w:r/>
      <w:bookmarkStart w:id="135" w:name="_Hlt26954838"/>
      <w:r/>
      <w:bookmarkStart w:id="136" w:name="_Hlt26670360"/>
      <w:r/>
      <w:bookmarkStart w:id="137" w:name="_Hlt26668975"/>
      <w:r>
        <w:rPr>
          <w:rFonts w:hint="eastAsia" w:ascii="仿宋" w:hAnsi="仿宋" w:eastAsia="仿宋" w:cs="仿宋"/>
          <w:color w:val="auto"/>
          <w:sz w:val="24"/>
          <w:szCs w:val="24"/>
          <w:highlight w:val="none"/>
        </w:rPr>
        <w:t xml:space="preserve">11、证明</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及投标标的符合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规定的文件</w:t>
      </w:r>
      <w:bookmarkEnd w:id="128"/>
      <w:r/>
      <w:bookmarkEnd w:id="129"/>
      <w:r/>
      <w:bookmarkEnd w:id="130"/>
      <w:r/>
      <w:bookmarkEnd w:id="131"/>
      <w:r/>
      <w:bookmarkEnd w:id="132"/>
      <w:r/>
      <w:bookmarkEnd w:id="133"/>
      <w:r/>
      <w:bookmarkEnd w:id="13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138" w:name="_Toc14577355"/>
      <w:r/>
      <w:bookmarkStart w:id="139" w:name="_Toc49090508"/>
      <w:r>
        <w:rPr>
          <w:rFonts w:hint="eastAsia" w:ascii="仿宋" w:hAnsi="仿宋" w:eastAsia="仿宋" w:cs="仿宋"/>
          <w:color w:val="auto"/>
          <w:sz w:val="24"/>
          <w:szCs w:val="24"/>
          <w:highlight w:val="none"/>
        </w:rPr>
        <w:t xml:space="preserve">11.1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应按照法律、法规、规章和规范性文件以及</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要求提交证明文件，证明其及投标标的符合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w:t>
      </w:r>
      <w:bookmarkEnd w:id="138"/>
      <w:r/>
      <w:bookmarkEnd w:id="139"/>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对证明文件无明确形式要求的，证明文件可以以文字资料、图纸和数据等形式提交。</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40" w:name="_Toc30044"/>
      <w:r>
        <w:rPr>
          <w:rFonts w:hint="eastAsia" w:ascii="仿宋" w:hAnsi="仿宋" w:eastAsia="仿宋" w:cs="仿宋"/>
          <w:color w:val="auto"/>
          <w:sz w:val="24"/>
          <w:szCs w:val="24"/>
          <w:highlight w:val="none"/>
        </w:rPr>
        <w:t xml:space="preserve">12、投标分项报价</w:t>
      </w:r>
      <w:bookmarkStart w:id="141" w:name="_Hlt26670373"/>
      <w:r>
        <w:rPr>
          <w:rFonts w:hint="eastAsia" w:ascii="仿宋" w:hAnsi="仿宋" w:eastAsia="仿宋" w:cs="仿宋"/>
          <w:color w:val="auto"/>
          <w:sz w:val="24"/>
          <w:szCs w:val="24"/>
          <w:highlight w:val="none"/>
        </w:rPr>
        <w:t xml:space="preserve">表</w:t>
      </w:r>
      <w:bookmarkEnd w:id="14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w:t>
      </w:r>
      <w:bookmarkStart w:id="142" w:name="_Hlt26954840"/>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规定格式填报投标分项报价表</w:t>
      </w:r>
      <w:bookmarkStart w:id="143" w:name="_Hlt26670399"/>
      <w:r>
        <w:rPr>
          <w:rFonts w:hint="eastAsia" w:ascii="仿宋" w:hAnsi="仿宋" w:eastAsia="仿宋" w:cs="仿宋"/>
          <w:color w:val="auto"/>
          <w:sz w:val="24"/>
          <w:szCs w:val="24"/>
          <w:highlight w:val="none"/>
        </w:rPr>
        <w:t xml:space="preserve">。</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12.2投标货币。投标文件中的单价和总价无特殊规定的采用人民币报价，以元为单位标注。</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中另有规定的按规定执行。</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44" w:name="_Toc28254"/>
      <w:r/>
      <w:bookmarkStart w:id="145" w:name="_Hlt26670425"/>
      <w:r/>
      <w:bookmarkStart w:id="146" w:name="_Hlt26954846"/>
      <w:r/>
      <w:bookmarkStart w:id="147" w:name="_Hlt26954848"/>
      <w:r/>
      <w:bookmarkStart w:id="148" w:name="_Hlt26670486"/>
      <w:r/>
      <w:bookmarkStart w:id="149" w:name="_Hlt26670403"/>
      <w:r/>
      <w:bookmarkStart w:id="150" w:name="_Hlt26668983"/>
      <w:r/>
      <w:bookmarkStart w:id="151" w:name="_Hlt26954842"/>
      <w:r/>
      <w:bookmarkStart w:id="152" w:name="_Hlt26954844"/>
      <w:r/>
      <w:bookmarkStart w:id="153" w:name="_Hlt26954731"/>
      <w:r/>
      <w:bookmarkStart w:id="154" w:name="_Hlt26670482"/>
      <w:r>
        <w:rPr>
          <w:rFonts w:hint="eastAsia" w:ascii="仿宋" w:hAnsi="仿宋" w:eastAsia="仿宋" w:cs="仿宋"/>
          <w:color w:val="auto"/>
          <w:sz w:val="24"/>
          <w:szCs w:val="24"/>
          <w:highlight w:val="none"/>
        </w:rPr>
        <w:t xml:space="preserve">13、技术要求响应及偏离表、商务要求响应及偏离表</w:t>
      </w:r>
      <w:bookmarkEnd w:id="14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需对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中的技术要求与商务要求逐项作出响应或偏离，并说明原因。</w:t>
      </w:r>
      <w:r/>
    </w:p>
    <w:p>
      <w:pPr>
        <w:pStyle w:val="713"/>
        <w:ind w:left="0" w:firstLine="480"/>
        <w:jc w:val="both"/>
        <w:pageBreakBefore w:val="0"/>
        <w:spacing w:beforeAutospacing="0" w:afterAutospacing="0" w:line="520" w:lineRule="exact"/>
        <w:widowControl w:val="off"/>
        <w:tabs>
          <w:tab w:val="left" w:pos="103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可在投标文件中提供认为需要的其他技术文件或说明。</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55" w:name="_Toc14577359"/>
      <w:r/>
      <w:bookmarkStart w:id="156" w:name="_Toc28391"/>
      <w:r/>
      <w:bookmarkStart w:id="157" w:name="_Toc49090510"/>
      <w:r>
        <w:rPr>
          <w:rFonts w:hint="eastAsia" w:ascii="仿宋" w:hAnsi="仿宋" w:eastAsia="仿宋" w:cs="仿宋"/>
          <w:color w:val="auto"/>
          <w:sz w:val="24"/>
          <w:szCs w:val="24"/>
          <w:highlight w:val="none"/>
        </w:rPr>
        <w:t xml:space="preserve">14、投标函和开标一览表</w:t>
      </w:r>
      <w:bookmarkEnd w:id="155"/>
      <w:r/>
      <w:bookmarkEnd w:id="156"/>
      <w:r/>
      <w:bookmarkEnd w:id="15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中提供的格式完整、正确填写投标函、开标一览表。</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auto"/>
          <w:sz w:val="24"/>
          <w:szCs w:val="24"/>
          <w:highlight w:val="none"/>
        </w:rPr>
        <w:t xml:space="preserve">。</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58" w:name="_Toc15246"/>
      <w:r/>
      <w:bookmarkStart w:id="159" w:name="_Toc14577360"/>
      <w:r/>
      <w:bookmarkStart w:id="160" w:name="_Toc49090511"/>
      <w:r/>
      <w:bookmarkStart w:id="161" w:name="_Hlt26954734"/>
      <w:r/>
      <w:bookmarkStart w:id="162" w:name="_Hlt26670489"/>
      <w:r/>
      <w:bookmarkStart w:id="163" w:name="_Hlt26954850"/>
      <w:r>
        <w:rPr>
          <w:rFonts w:hint="eastAsia" w:ascii="仿宋" w:hAnsi="仿宋" w:eastAsia="仿宋" w:cs="仿宋"/>
          <w:color w:val="auto"/>
          <w:sz w:val="24"/>
          <w:szCs w:val="24"/>
          <w:highlight w:val="none"/>
        </w:rPr>
        <w:t xml:space="preserve">15、投标有效期</w:t>
      </w:r>
      <w:bookmarkEnd w:id="158"/>
      <w:r/>
      <w:bookmarkEnd w:id="159"/>
      <w:r/>
      <w:bookmarkEnd w:id="16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15.1投标有效期为开标之日后</w:t>
      </w:r>
      <w:r>
        <w:rPr>
          <w:rFonts w:hint="eastAsia" w:ascii="仿宋" w:hAnsi="仿宋" w:eastAsia="仿宋" w:cs="仿宋"/>
          <w:b/>
          <w:color w:val="auto"/>
          <w:sz w:val="24"/>
          <w:szCs w:val="24"/>
          <w:highlight w:val="none"/>
          <w:u w:val="single"/>
          <w:lang w:val="en-US" w:eastAsia="zh-CN"/>
        </w:rPr>
        <w:t xml:space="preserve">九</w:t>
      </w:r>
      <w:r>
        <w:rPr>
          <w:rFonts w:hint="eastAsia" w:ascii="仿宋" w:hAnsi="仿宋" w:eastAsia="仿宋" w:cs="仿宋"/>
          <w:b/>
          <w:color w:val="auto"/>
          <w:sz w:val="24"/>
          <w:szCs w:val="24"/>
          <w:highlight w:val="none"/>
          <w:u w:val="single"/>
        </w:rPr>
        <w:t xml:space="preserve">十（</w:t>
      </w:r>
      <w:r>
        <w:rPr>
          <w:rFonts w:hint="eastAsia" w:ascii="仿宋" w:hAnsi="仿宋" w:eastAsia="仿宋" w:cs="仿宋"/>
          <w:b/>
          <w:color w:val="auto"/>
          <w:sz w:val="24"/>
          <w:szCs w:val="24"/>
          <w:highlight w:val="none"/>
          <w:u w:val="single"/>
          <w:lang w:val="en-US" w:eastAsia="zh-CN"/>
        </w:rPr>
        <w:t xml:space="preserve">9</w:t>
      </w:r>
      <w:r>
        <w:rPr>
          <w:rFonts w:hint="eastAsia" w:ascii="仿宋" w:hAnsi="仿宋" w:eastAsia="仿宋" w:cs="仿宋"/>
          <w:b/>
          <w:color w:val="auto"/>
          <w:sz w:val="24"/>
          <w:szCs w:val="24"/>
          <w:highlight w:val="none"/>
          <w:u w:val="single"/>
        </w:rPr>
        <w:t xml:space="preserve">0）天</w:t>
      </w:r>
      <w:r>
        <w:rPr>
          <w:rFonts w:hint="eastAsia" w:ascii="仿宋" w:hAnsi="仿宋" w:eastAsia="仿宋" w:cs="仿宋"/>
          <w:color w:val="auto"/>
          <w:sz w:val="24"/>
          <w:szCs w:val="24"/>
          <w:highlight w:val="none"/>
        </w:rPr>
        <w:t xml:space="preserve">。投标有效期比规定短的将被视为未实质性响应</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而予以拒绝。</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64" w:name="_Toc30723"/>
      <w:r>
        <w:rPr>
          <w:rFonts w:hint="eastAsia" w:ascii="仿宋" w:hAnsi="仿宋" w:eastAsia="仿宋" w:cs="仿宋"/>
          <w:color w:val="auto"/>
          <w:sz w:val="24"/>
          <w:szCs w:val="24"/>
          <w:highlight w:val="none"/>
        </w:rPr>
        <w:t xml:space="preserve">16、投标有效期的延长</w:t>
      </w:r>
      <w:bookmarkEnd w:id="16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16.1在特殊情况下，采购人和采购代理机构于原投标有效期满之前，可向</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提出延长投标有效期的要求。这种要求与答复均应采用书面形式。</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可以拒绝采购人和采购代理机构的这一要求而放弃投标。同意延长投标有效期的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既不能要求也不允许修改其投标文件，同时受投标有效期约束的所有权利与义务均延长至新的有效期。</w:t>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65" w:name="_Toc29651"/>
      <w:r/>
      <w:bookmarkStart w:id="166" w:name="_Toc16938540"/>
      <w:r/>
      <w:bookmarkStart w:id="167" w:name="_Toc15303"/>
      <w:r/>
      <w:bookmarkStart w:id="168" w:name="_Toc20823296"/>
      <w:r/>
      <w:bookmarkStart w:id="169" w:name="_Toc513029224"/>
      <w:r/>
      <w:bookmarkStart w:id="170" w:name="_Toc120614217"/>
      <w:r/>
      <w:bookmarkStart w:id="171" w:name="_Hlt26954852"/>
      <w:r/>
      <w:bookmarkStart w:id="172" w:name="_Hlt26954739"/>
      <w:r>
        <w:rPr>
          <w:rFonts w:hint="eastAsia" w:ascii="仿宋" w:hAnsi="仿宋" w:eastAsia="仿宋" w:cs="仿宋"/>
          <w:b/>
          <w:color w:val="auto"/>
          <w:sz w:val="24"/>
          <w:szCs w:val="24"/>
          <w:highlight w:val="none"/>
        </w:rPr>
        <w:t xml:space="preserve">四、投标文件的递交</w:t>
      </w:r>
      <w:bookmarkEnd w:id="165"/>
      <w:r/>
      <w:bookmarkEnd w:id="166"/>
      <w:r/>
      <w:bookmarkEnd w:id="167"/>
      <w:r/>
      <w:bookmarkEnd w:id="168"/>
      <w:r/>
      <w:bookmarkEnd w:id="169"/>
      <w:r/>
      <w:bookmarkEnd w:id="170"/>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73" w:name="_Toc462564084"/>
      <w:r/>
      <w:bookmarkStart w:id="174" w:name="_Toc20823297"/>
      <w:r/>
      <w:bookmarkStart w:id="175" w:name="_Toc16938541"/>
      <w:r/>
      <w:bookmarkStart w:id="176" w:name="_Toc513029225"/>
      <w:r/>
      <w:bookmarkStart w:id="177" w:name="_Toc25482"/>
      <w:r>
        <w:rPr>
          <w:rFonts w:hint="eastAsia" w:ascii="仿宋" w:hAnsi="仿宋" w:eastAsia="仿宋" w:cs="仿宋"/>
          <w:color w:val="auto"/>
          <w:sz w:val="24"/>
          <w:szCs w:val="24"/>
          <w:highlight w:val="none"/>
        </w:rPr>
        <w:t xml:space="preserve">17、投标文件</w:t>
      </w:r>
      <w:bookmarkEnd w:id="173"/>
      <w:r/>
      <w:bookmarkEnd w:id="174"/>
      <w:r/>
      <w:bookmarkEnd w:id="175"/>
      <w:r/>
      <w:bookmarkEnd w:id="176"/>
      <w:r>
        <w:rPr>
          <w:rFonts w:hint="eastAsia" w:ascii="仿宋" w:hAnsi="仿宋" w:eastAsia="仿宋" w:cs="仿宋"/>
          <w:color w:val="auto"/>
          <w:sz w:val="24"/>
          <w:szCs w:val="24"/>
          <w:highlight w:val="none"/>
        </w:rPr>
        <w:t xml:space="preserve">的递交</w:t>
      </w:r>
      <w:bookmarkEnd w:id="17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78" w:name="_Toc18146"/>
      <w:r>
        <w:rPr>
          <w:rFonts w:hint="eastAsia" w:ascii="仿宋" w:hAnsi="仿宋" w:eastAsia="仿宋" w:cs="仿宋"/>
          <w:color w:val="auto"/>
          <w:sz w:val="24"/>
          <w:szCs w:val="24"/>
          <w:highlight w:val="none"/>
        </w:rPr>
        <w:t xml:space="preserve">17.1 电子投标文件的递交</w:t>
      </w:r>
      <w:bookmarkEnd w:id="178"/>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应当按照《操作手册》规定，在投标截止时间前制作并上传电子投标文件。</w:t>
      </w:r>
      <w:bookmarkStart w:id="179" w:name="_Toc20823298"/>
      <w:r/>
      <w:bookmarkEnd w:id="179"/>
      <w:r/>
      <w:bookmarkStart w:id="180" w:name="_Toc16938542"/>
      <w:r/>
      <w:bookmarkEnd w:id="180"/>
      <w:r/>
      <w:bookmarkStart w:id="181" w:name="_Toc513029226"/>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2" w:name="_Toc12690"/>
      <w:r>
        <w:rPr>
          <w:rFonts w:hint="eastAsia" w:ascii="仿宋" w:hAnsi="仿宋" w:eastAsia="仿宋" w:cs="仿宋"/>
          <w:color w:val="auto"/>
          <w:sz w:val="24"/>
          <w:szCs w:val="24"/>
          <w:highlight w:val="none"/>
        </w:rPr>
        <w:t xml:space="preserve">18、投标截止时间</w:t>
      </w:r>
      <w:bookmarkEnd w:id="182"/>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i/>
          <w:color w:val="auto"/>
          <w:sz w:val="24"/>
          <w:szCs w:val="24"/>
          <w:highlight w:val="none"/>
          <w:u w:val="single"/>
        </w:rPr>
        <w:t xml:space="preserve">18.1</w:t>
      </w:r>
      <w:r>
        <w:rPr>
          <w:rFonts w:hint="eastAsia" w:ascii="仿宋" w:hAnsi="仿宋" w:eastAsia="仿宋" w:cs="仿宋"/>
          <w:i/>
          <w:color w:val="auto"/>
          <w:sz w:val="24"/>
          <w:szCs w:val="24"/>
          <w:highlight w:val="none"/>
          <w:u w:val="single"/>
          <w:lang w:eastAsia="zh-CN"/>
        </w:rPr>
        <w:t xml:space="preserve">投标供应商</w:t>
      </w:r>
      <w:r>
        <w:rPr>
          <w:rFonts w:hint="eastAsia" w:ascii="仿宋" w:hAnsi="仿宋" w:eastAsia="仿宋" w:cs="仿宋"/>
          <w:i/>
          <w:color w:val="auto"/>
          <w:sz w:val="24"/>
          <w:szCs w:val="24"/>
          <w:highlight w:val="none"/>
          <w:u w:val="single"/>
        </w:rPr>
        <w:t xml:space="preserve">上传电子投标文件的时间不得迟于招标公告中规定的投标截止时间。</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应充分考虑到网络环境、网络带宽等风险因素，如因</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自身原因造成的电子投标文件上传不成功的按照本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第二章第26.1.2条 规定做无效投标处理。</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18.2采购人和采购代理机构可以按照规定，通过修改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酌情延长投标截止时间，在此情况下，</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的所有权利和义务以及</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受制的截止时间均应以延长后新的截止时间为准。</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3" w:name="_Toc16938543"/>
      <w:r/>
      <w:bookmarkStart w:id="184" w:name="_Toc20823299"/>
      <w:r/>
      <w:bookmarkStart w:id="185" w:name="_Toc513029227"/>
      <w:r/>
      <w:bookmarkStart w:id="186" w:name="_Toc28363"/>
      <w:r>
        <w:rPr>
          <w:rFonts w:hint="eastAsia" w:ascii="仿宋" w:hAnsi="仿宋" w:eastAsia="仿宋" w:cs="仿宋"/>
          <w:color w:val="auto"/>
          <w:sz w:val="24"/>
          <w:szCs w:val="24"/>
          <w:highlight w:val="none"/>
        </w:rPr>
        <w:t xml:space="preserve">19、投标文件</w:t>
      </w:r>
      <w:bookmarkEnd w:id="183"/>
      <w:r/>
      <w:bookmarkEnd w:id="184"/>
      <w:r/>
      <w:bookmarkEnd w:id="185"/>
      <w:r>
        <w:rPr>
          <w:rFonts w:hint="eastAsia" w:ascii="仿宋" w:hAnsi="仿宋" w:eastAsia="仿宋" w:cs="仿宋"/>
          <w:color w:val="auto"/>
          <w:sz w:val="24"/>
          <w:szCs w:val="24"/>
          <w:highlight w:val="none"/>
        </w:rPr>
        <w:t xml:space="preserve">的拒收</w:t>
      </w:r>
      <w:bookmarkEnd w:id="186"/>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19.1采购人和采购代理机构拒绝接收在其规定的投标截止时间后上传的任何投标文件。</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7" w:name="_Toc20823300"/>
      <w:r/>
      <w:bookmarkStart w:id="188" w:name="_Toc16938544"/>
      <w:r/>
      <w:bookmarkStart w:id="189" w:name="_Toc513029228"/>
      <w:r/>
      <w:bookmarkStart w:id="190" w:name="_Toc19704"/>
      <w:r>
        <w:rPr>
          <w:rFonts w:hint="eastAsia" w:ascii="仿宋" w:hAnsi="仿宋" w:eastAsia="仿宋" w:cs="仿宋"/>
          <w:color w:val="auto"/>
          <w:sz w:val="24"/>
          <w:szCs w:val="24"/>
          <w:highlight w:val="none"/>
        </w:rPr>
        <w:t xml:space="preserve">20、投标文件的撤回和修改</w:t>
      </w:r>
      <w:bookmarkEnd w:id="187"/>
      <w:r/>
      <w:bookmarkEnd w:id="188"/>
      <w:r/>
      <w:bookmarkEnd w:id="189"/>
      <w:r/>
      <w:bookmarkEnd w:id="19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1" w:name="_Toc2006"/>
      <w:r>
        <w:rPr>
          <w:rFonts w:hint="eastAsia" w:ascii="仿宋" w:hAnsi="仿宋" w:eastAsia="仿宋" w:cs="仿宋"/>
          <w:color w:val="auto"/>
          <w:sz w:val="24"/>
          <w:szCs w:val="24"/>
          <w:highlight w:val="none"/>
        </w:rPr>
        <w:t xml:space="preserve">20.1投标文件的撤回</w:t>
      </w:r>
      <w:bookmarkEnd w:id="191"/>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.1.1电子投标文件的撤回</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可在投标截止时间前，撤回其电子投标文件，具体操作方法见《操作手册》。</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撤回电子投标文件，则认为其不再参与本项目投标活动。</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2" w:name="_Toc21053"/>
      <w:r>
        <w:rPr>
          <w:rFonts w:hint="eastAsia" w:ascii="仿宋" w:hAnsi="仿宋" w:eastAsia="仿宋" w:cs="仿宋"/>
          <w:color w:val="auto"/>
          <w:sz w:val="24"/>
          <w:szCs w:val="24"/>
          <w:highlight w:val="none"/>
        </w:rPr>
        <w:t xml:space="preserve">20.2 投标文件的修改</w:t>
      </w:r>
      <w:bookmarkEnd w:id="192"/>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可在投标截止时间前，对其电子投标文件进行修改，具体操作方法见《操作手册》。</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20.2.2在投标截止时间之后，</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不得对其电子投标文件作任何修改。</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3" w:name="_Toc20596"/>
      <w:r>
        <w:rPr>
          <w:rFonts w:hint="eastAsia" w:ascii="仿宋" w:hAnsi="仿宋" w:eastAsia="仿宋" w:cs="仿宋"/>
          <w:color w:val="auto"/>
          <w:sz w:val="24"/>
          <w:szCs w:val="24"/>
          <w:highlight w:val="none"/>
        </w:rPr>
        <w:t xml:space="preserve">20.3在投标截止时间至</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中规定的投标有效期满之间的这段时间内，</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不得撤回其投标。</w:t>
      </w:r>
      <w:bookmarkEnd w:id="193"/>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94" w:name="_Toc4665"/>
      <w:r/>
      <w:bookmarkStart w:id="195" w:name="_Toc20823301"/>
      <w:r/>
      <w:bookmarkStart w:id="196" w:name="_Toc513029229"/>
      <w:r/>
      <w:bookmarkStart w:id="197" w:name="_Toc4297"/>
      <w:r/>
      <w:bookmarkStart w:id="198" w:name="_Toc16938545"/>
      <w:r/>
      <w:bookmarkStart w:id="199" w:name="_Toc120614218"/>
      <w:r>
        <w:rPr>
          <w:rFonts w:hint="eastAsia" w:ascii="仿宋" w:hAnsi="仿宋" w:eastAsia="仿宋" w:cs="仿宋"/>
          <w:b/>
          <w:color w:val="auto"/>
          <w:sz w:val="24"/>
          <w:szCs w:val="24"/>
          <w:highlight w:val="none"/>
        </w:rPr>
        <w:t xml:space="preserve">五、开标与评标</w:t>
      </w:r>
      <w:bookmarkEnd w:id="194"/>
      <w:r/>
      <w:bookmarkEnd w:id="195"/>
      <w:r/>
      <w:bookmarkEnd w:id="196"/>
      <w:r/>
      <w:bookmarkEnd w:id="197"/>
      <w:r/>
      <w:bookmarkEnd w:id="198"/>
      <w:r/>
      <w:bookmarkEnd w:id="199"/>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0" w:name="_Toc16938546"/>
      <w:r/>
      <w:bookmarkStart w:id="201" w:name="_Toc20823302"/>
      <w:r/>
      <w:bookmarkStart w:id="202" w:name="_Toc513029230"/>
      <w:r/>
      <w:bookmarkStart w:id="203" w:name="_Toc22946"/>
      <w:r>
        <w:rPr>
          <w:rFonts w:hint="eastAsia" w:ascii="仿宋" w:hAnsi="仿宋" w:eastAsia="仿宋" w:cs="仿宋"/>
          <w:color w:val="auto"/>
          <w:sz w:val="24"/>
          <w:szCs w:val="24"/>
          <w:highlight w:val="none"/>
        </w:rPr>
        <w:t xml:space="preserve">21、开标</w:t>
      </w:r>
      <w:bookmarkEnd w:id="200"/>
      <w:r/>
      <w:bookmarkEnd w:id="201"/>
      <w:r/>
      <w:bookmarkEnd w:id="202"/>
      <w:r/>
      <w:bookmarkEnd w:id="203"/>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21.1采购人和采购代理机构将在招标公告中规定的时间和地点组织公开开标。</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应当按照《操作手册》规定，参加开标活动和在苏采云系统规定的时间内对投标文件进行解密。</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21.2开标仪式由采购人和采购代理机构组织。苏采云系统将自动对项目进行开标，并宣布各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名称和投标价格。</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在开标过程中涉及到的投标文件解密、开标结果确认等工作，应按照《操作手册》规定执行。</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如果对开标过程和开标记录有疑义，应当根据《操作手册》规定提出，如苏采云系统中《开标记录表》宣布后5分钟内未提出的，视同认可开标结果。</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4" w:name="_Toc513029231"/>
      <w:r/>
      <w:bookmarkStart w:id="205" w:name="_Toc22381"/>
      <w:r/>
      <w:bookmarkStart w:id="206" w:name="_Toc16938547"/>
      <w:r/>
      <w:bookmarkStart w:id="207" w:name="_Toc20823303"/>
      <w:r>
        <w:rPr>
          <w:rFonts w:hint="eastAsia" w:ascii="仿宋" w:hAnsi="仿宋" w:eastAsia="仿宋" w:cs="仿宋"/>
          <w:color w:val="auto"/>
          <w:sz w:val="24"/>
          <w:szCs w:val="24"/>
          <w:highlight w:val="none"/>
        </w:rPr>
        <w:t xml:space="preserve">22、评标委员会</w:t>
      </w:r>
      <w:bookmarkEnd w:id="204"/>
      <w:r/>
      <w:bookmarkEnd w:id="205"/>
      <w:r/>
      <w:bookmarkEnd w:id="206"/>
      <w:r/>
      <w:bookmarkEnd w:id="20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22.1开标后，采购人和采购代理机构将立即组织评标委员会（以下简称评委会）进行评标。</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22.2评委会由采购人代表和有关技术、经济等方面的专家组成，且人员构成符合政府采购有关规定。</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22.3评委会独立工作，负责评审所有投标文件并确定中标</w:t>
      </w:r>
      <w:r>
        <w:rPr>
          <w:rFonts w:hint="eastAsia" w:ascii="仿宋" w:hAnsi="仿宋" w:eastAsia="仿宋" w:cs="仿宋"/>
          <w:color w:val="auto"/>
          <w:sz w:val="24"/>
          <w:szCs w:val="24"/>
          <w:highlight w:val="none"/>
          <w:lang w:eastAsia="zh-CN"/>
        </w:rPr>
        <w:t xml:space="preserve">候选人</w:t>
      </w:r>
      <w:r>
        <w:rPr>
          <w:rFonts w:hint="eastAsia" w:ascii="仿宋" w:hAnsi="仿宋" w:eastAsia="仿宋" w:cs="仿宋"/>
          <w:color w:val="auto"/>
          <w:sz w:val="24"/>
          <w:szCs w:val="24"/>
          <w:highlight w:val="none"/>
        </w:rPr>
        <w:t xml:space="preserve">。</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8" w:name="_Toc13162"/>
      <w:r>
        <w:rPr>
          <w:rFonts w:hint="eastAsia" w:ascii="仿宋" w:hAnsi="仿宋" w:eastAsia="仿宋" w:cs="仿宋"/>
          <w:color w:val="auto"/>
          <w:sz w:val="24"/>
          <w:szCs w:val="24"/>
          <w:highlight w:val="none"/>
        </w:rPr>
        <w:t xml:space="preserve">23、评标过程的保密与公正</w:t>
      </w:r>
      <w:bookmarkEnd w:id="208"/>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23.1凡是与审查、澄清、评价和比较投标的有关资料以及授标建议等，采购人、</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评委、采购中心均不得向</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或与评标无关的其他人员透露。</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23.2在评标过程中，</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不得以任何行为影响评标过程，否则其投标文件将被作为无效投标文件。</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采购代理机构和评标委员会不向未中标的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解释未中标原因，也不公布评标过程中的相关细节。</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23.4采用综合评分法的项目，未中标的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可于中标结果公告期限届满之日起通过苏采云系统查看自己的评审得分及排序情况。</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9" w:name="_Toc16938548"/>
      <w:r/>
      <w:bookmarkStart w:id="210" w:name="_Toc20823304"/>
      <w:r/>
      <w:bookmarkStart w:id="211" w:name="_Toc27399"/>
      <w:r/>
      <w:bookmarkStart w:id="212" w:name="_Toc513029232"/>
      <w:r>
        <w:rPr>
          <w:rFonts w:hint="eastAsia" w:ascii="仿宋" w:hAnsi="仿宋" w:eastAsia="仿宋" w:cs="仿宋"/>
          <w:color w:val="auto"/>
          <w:sz w:val="24"/>
          <w:szCs w:val="24"/>
          <w:highlight w:val="none"/>
        </w:rPr>
        <w:t xml:space="preserve">24、投标文件的澄清</w:t>
      </w:r>
      <w:bookmarkEnd w:id="209"/>
      <w:r/>
      <w:bookmarkEnd w:id="210"/>
      <w:r/>
      <w:bookmarkEnd w:id="211"/>
      <w:r/>
      <w:bookmarkEnd w:id="212"/>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24.1评标期间，评委会对投标文件中含义不明确、同类问题表述不一致或者有明显文字和计算错误的内容 ，有权要求</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作出必要的澄清、说明或者补正。</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的澄清、说明或者补正不得超出投标文件的范围或者改变投标文件的实质性内容。</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评标委员会并非对每个</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都做澄清要求。</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24.2需要供应商进行澄清、说明和补正的，评委会将通过苏采云系统向供应商发出“澄清要求函”，接到“澄清要求函”的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24.3接到评委会澄清、说明和补正要求的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如未按规定</w:t>
      </w:r>
      <w:r>
        <w:rPr>
          <w:rFonts w:hint="eastAsia" w:ascii="仿宋" w:hAnsi="仿宋" w:eastAsia="仿宋" w:cs="仿宋"/>
          <w:color w:val="auto"/>
          <w:sz w:val="24"/>
          <w:szCs w:val="24"/>
          <w:highlight w:val="none"/>
          <w:lang w:eastAsia="zh-CN"/>
        </w:rPr>
        <w:t xml:space="preserve">作出</w:t>
      </w:r>
      <w:r>
        <w:rPr>
          <w:rFonts w:hint="eastAsia" w:ascii="仿宋" w:hAnsi="仿宋" w:eastAsia="仿宋" w:cs="仿宋"/>
          <w:color w:val="auto"/>
          <w:sz w:val="24"/>
          <w:szCs w:val="24"/>
          <w:highlight w:val="none"/>
        </w:rPr>
        <w:t xml:space="preserve">澄清、说明和补正，其风险由</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自行承担。</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13" w:name="_Toc20823305"/>
      <w:r/>
      <w:bookmarkStart w:id="214" w:name="_Toc16938549"/>
      <w:r/>
      <w:bookmarkStart w:id="215" w:name="_Toc513029233"/>
      <w:r/>
      <w:bookmarkStart w:id="216" w:name="_Toc15976"/>
      <w:r>
        <w:rPr>
          <w:rFonts w:hint="eastAsia" w:ascii="仿宋" w:hAnsi="仿宋" w:eastAsia="仿宋" w:cs="仿宋"/>
          <w:color w:val="auto"/>
          <w:sz w:val="24"/>
          <w:szCs w:val="24"/>
          <w:highlight w:val="none"/>
        </w:rPr>
        <w:t xml:space="preserve">25、对投标文件的初审</w:t>
      </w:r>
      <w:bookmarkEnd w:id="213"/>
      <w:r/>
      <w:bookmarkEnd w:id="214"/>
      <w:r/>
      <w:bookmarkEnd w:id="215"/>
      <w:r/>
      <w:bookmarkEnd w:id="216"/>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25.1投标文件初审分为资格审查和符合性审查。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25.1.1资格审查：依据法律法规和</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的规定，由采购人对投标文件中的资格证明文件进行审查。资格审查的结论，采购人以书面形式向评委会进行反馈。</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采购人在进行资格性审查的同时，将在“信用中国”网站（www.creditchina.gov.cn）查询</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的信用记录，以确定</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是否具备投标资格,查询结果留存并归档。</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仿宋" w:hAnsi="仿宋" w:eastAsia="仿宋" w:cs="仿宋"/>
          <w:color w:val="auto"/>
          <w:sz w:val="24"/>
          <w:szCs w:val="24"/>
          <w:highlight w:val="none"/>
          <w:lang w:val="en-US" w:eastAsia="zh-CN"/>
        </w:rPr>
        <w:t xml:space="preserve">信用</w:t>
      </w:r>
      <w:r>
        <w:rPr>
          <w:rFonts w:hint="eastAsia" w:ascii="仿宋" w:hAnsi="仿宋" w:eastAsia="仿宋" w:cs="仿宋"/>
          <w:color w:val="auto"/>
          <w:sz w:val="24"/>
          <w:szCs w:val="24"/>
          <w:highlight w:val="none"/>
        </w:rPr>
        <w:t xml:space="preserve">记录。</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25.1.2符合性审查：依据</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的规定，由评委会从投标文件的有效性、完整性和对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的响应程度进行审查，以确定是否对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的实质性要求作出响应。</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25.1.3未通过资格审查或符合性审查的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将在苏采云系统中告知未通过资格审查或符合性审查的原因，评标结束后，</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将不再告知未通过资格审查和符合性审查的原因。</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25.2在详细评标之前，评委会将首先审查每份投标文件是否实质性响应了</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的要求。实质性响应的投标应该是与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要求的全部条款、条件和规格相符，没有重大偏离或保留的投标。</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规定的实质性要求存在负偏离，或者在实质上与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不一致，而且限制了合同中买方和</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的权利或</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的义务，纠正这些偏离或保留将会对其他实质性响应要求的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25.3如果投标文件实质上没有响应</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的要求，评委会将予以拒绝，</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不得通过修改或撤销不合要求的偏离或保留而使其投标成为实质性响应的投标。</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25.4评委会将对确定为实质性响应的投标进行进一步审核，确定其是否有计算上或累加上的算术错误，修正错误的原则如下：</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（1）投标文件中开标一览表内容与投标文件中相应内容不一致的，以开标一览表为准。</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（2）大写金额和小写金额不一致的，以大写金额为准。</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（3）单价金额小数点或者百分比有明显错位的，以开标一览表的总价为准，并修改单价。</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（4）总价金额与按单价汇总金额不一致的，以单价金额计算结果为准。</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25.5评委会将按上述修正错误的方法调整投标文件中的投标报价，并通过苏采云系统告知</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，调整后的价格应对</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具有约束力。如果</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不接受修正后的价格，则其投标将被拒绝。</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17" w:name="_Toc513029234"/>
      <w:r/>
      <w:bookmarkStart w:id="218" w:name="_Toc20823306"/>
      <w:r/>
      <w:bookmarkStart w:id="219" w:name="_Toc16938550"/>
      <w:r>
        <w:rPr>
          <w:rFonts w:hint="eastAsia" w:ascii="仿宋" w:hAnsi="仿宋" w:eastAsia="仿宋" w:cs="仿宋"/>
          <w:color w:val="auto"/>
          <w:sz w:val="24"/>
          <w:szCs w:val="24"/>
          <w:highlight w:val="none"/>
        </w:rPr>
        <w:t xml:space="preserve">25.6</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在开、评标全过程中应</w:t>
      </w:r>
      <w:r>
        <w:rPr>
          <w:rFonts w:hint="eastAsia" w:ascii="仿宋" w:hAnsi="仿宋" w:eastAsia="仿宋" w:cs="仿宋"/>
          <w:color w:val="auto"/>
          <w:sz w:val="24"/>
          <w:szCs w:val="24"/>
          <w:highlight w:val="none"/>
          <w:lang w:eastAsia="zh-CN"/>
        </w:rPr>
        <w:t xml:space="preserve">保持通信畅通</w:t>
      </w:r>
      <w:r>
        <w:rPr>
          <w:rFonts w:hint="eastAsia" w:ascii="仿宋" w:hAnsi="仿宋" w:eastAsia="仿宋" w:cs="仿宋"/>
          <w:color w:val="auto"/>
          <w:sz w:val="24"/>
          <w:szCs w:val="24"/>
          <w:highlight w:val="none"/>
        </w:rPr>
        <w:t xml:space="preserve">，及时登录苏采云系统查阅、答复相关信息，并安排专人与</w:t>
      </w:r>
      <w:r>
        <w:rPr>
          <w:rFonts w:hint="eastAsia" w:ascii="仿宋" w:hAnsi="仿宋" w:eastAsia="仿宋" w:cs="仿宋"/>
          <w:color w:val="auto"/>
          <w:sz w:val="24"/>
          <w:szCs w:val="24"/>
          <w:highlight w:val="none"/>
          <w:lang w:val="en-US" w:eastAsia="zh-CN"/>
        </w:rPr>
        <w:t xml:space="preserve">采购人、采购代理机构</w:t>
      </w:r>
      <w:r>
        <w:rPr>
          <w:rFonts w:hint="eastAsia" w:ascii="仿宋" w:hAnsi="仿宋" w:eastAsia="仿宋" w:cs="仿宋"/>
          <w:color w:val="auto"/>
          <w:sz w:val="24"/>
          <w:szCs w:val="24"/>
          <w:highlight w:val="none"/>
        </w:rPr>
        <w:t xml:space="preserve">及评标委员会联系。</w:t>
      </w:r>
      <w:bookmarkEnd w:id="217"/>
      <w:r/>
      <w:bookmarkEnd w:id="218"/>
      <w:r/>
      <w:bookmarkEnd w:id="219"/>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20" w:name="_Toc32460"/>
      <w:r>
        <w:rPr>
          <w:rFonts w:hint="eastAsia" w:ascii="仿宋" w:hAnsi="仿宋" w:eastAsia="仿宋" w:cs="仿宋"/>
          <w:color w:val="auto"/>
          <w:sz w:val="24"/>
          <w:szCs w:val="24"/>
          <w:highlight w:val="none"/>
        </w:rPr>
        <w:t xml:space="preserve">26、无效投标条款和废标条款</w:t>
      </w:r>
      <w:bookmarkEnd w:id="220"/>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1" w:name="_Toc513029235"/>
      <w:r/>
      <w:bookmarkStart w:id="222" w:name="_Toc16938551"/>
      <w:r/>
      <w:bookmarkStart w:id="223" w:name="_Toc21117"/>
      <w:r/>
      <w:bookmarkStart w:id="224" w:name="_Toc20823307"/>
      <w:r>
        <w:rPr>
          <w:rFonts w:hint="eastAsia" w:ascii="仿宋" w:hAnsi="仿宋" w:eastAsia="仿宋" w:cs="仿宋"/>
          <w:b/>
          <w:bCs/>
          <w:color w:val="auto"/>
          <w:sz w:val="24"/>
          <w:szCs w:val="24"/>
          <w:highlight w:val="none"/>
        </w:rPr>
        <w:t xml:space="preserve">26.1无效投标条款</w:t>
      </w:r>
      <w:bookmarkEnd w:id="221"/>
      <w:r/>
      <w:bookmarkEnd w:id="222"/>
      <w:r/>
      <w:bookmarkEnd w:id="223"/>
      <w:r/>
      <w:bookmarkEnd w:id="224"/>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在苏采云系统规定的时间内未成功解密电子投标文件的。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26.1.2</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未按照</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要求上传电子投标文件的。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26.1.3同一</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提交两个（含两个）以上不同的投标报价的。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26.1.4</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不具备</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中规定资格要求的。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26.1.5</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的报价超过了采购预算或最高限价的。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26.1.6未通过符合性审查的。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26.1.7不符合</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中规定的实质性要求和条件的（</w:t>
      </w:r>
      <w:r>
        <w:rPr>
          <w:rFonts w:hint="eastAsia" w:ascii="仿宋" w:hAnsi="仿宋" w:eastAsia="仿宋" w:cs="仿宋"/>
          <w:b/>
          <w:bCs/>
          <w:i/>
          <w:color w:val="auto"/>
          <w:sz w:val="24"/>
          <w:szCs w:val="24"/>
          <w:highlight w:val="none"/>
          <w:u w:val="single"/>
        </w:rPr>
        <w:t xml:space="preserve">本</w:t>
      </w:r>
      <w:r>
        <w:rPr>
          <w:rFonts w:hint="eastAsia" w:ascii="仿宋" w:hAnsi="仿宋" w:eastAsia="仿宋" w:cs="仿宋"/>
          <w:b/>
          <w:bCs/>
          <w:i/>
          <w:color w:val="auto"/>
          <w:sz w:val="24"/>
          <w:szCs w:val="24"/>
          <w:highlight w:val="none"/>
          <w:u w:val="single"/>
          <w:lang w:eastAsia="zh-CN"/>
        </w:rPr>
        <w:t xml:space="preserve">采购文件</w:t>
      </w:r>
      <w:r>
        <w:rPr>
          <w:rFonts w:hint="eastAsia" w:ascii="仿宋" w:hAnsi="仿宋" w:eastAsia="仿宋" w:cs="仿宋"/>
          <w:b/>
          <w:bCs/>
          <w:i/>
          <w:color w:val="auto"/>
          <w:sz w:val="24"/>
          <w:szCs w:val="24"/>
          <w:highlight w:val="none"/>
          <w:u w:val="single"/>
        </w:rPr>
        <w:t xml:space="preserve">中斜体且有下划线部分为实质性要求和条件）。</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26.1.8</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存在其他不符合《中华人民共和国政府采购法》第二十二条规定条件的信用记录。</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26.1.9投标文件含有采购人不能接受的附加条件的。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26.1.10</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不能证明其报价合理性的，评</w:t>
      </w:r>
      <w:r>
        <w:rPr>
          <w:rFonts w:hint="eastAsia" w:ascii="仿宋" w:hAnsi="仿宋" w:eastAsia="仿宋" w:cs="仿宋"/>
          <w:b/>
          <w:bCs/>
          <w:color w:val="auto"/>
          <w:sz w:val="24"/>
          <w:szCs w:val="24"/>
          <w:highlight w:val="none"/>
          <w:lang w:val="en-US" w:eastAsia="zh-CN"/>
        </w:rPr>
        <w:t xml:space="preserve">标</w:t>
      </w:r>
      <w:r>
        <w:rPr>
          <w:rFonts w:hint="eastAsia" w:ascii="仿宋" w:hAnsi="仿宋" w:eastAsia="仿宋" w:cs="仿宋"/>
          <w:b/>
          <w:bCs/>
          <w:color w:val="auto"/>
          <w:sz w:val="24"/>
          <w:szCs w:val="24"/>
          <w:highlight w:val="none"/>
        </w:rPr>
        <w:t xml:space="preserve">委员会应当将其作为无效投标处理。</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（一）评审过程中出现下列情形之一的，评标委员会应当启动异常低价投标审查程序：</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1.投标报价低于采购项目预算50% 的，即投标报价&lt;采购项目预算×50%；</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2.投标报价低于采购项目最高限价45% 的，即投标报价&lt;采购项目最高限价×45%；</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3.评标委员会认定的供应商报价过低、有可能影响产品质量或者不能诚信履约的其他情形。</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26.1.11投标文件未按照</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要求加盖CA电子公章的。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26.1.12其他法律、法规及本</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规定的属无效投标的情形。</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5" w:name="_Toc2946"/>
      <w:r>
        <w:rPr>
          <w:rFonts w:hint="eastAsia" w:ascii="仿宋" w:hAnsi="仿宋" w:eastAsia="仿宋" w:cs="仿宋"/>
          <w:b/>
          <w:bCs/>
          <w:color w:val="auto"/>
          <w:sz w:val="24"/>
          <w:szCs w:val="24"/>
          <w:highlight w:val="none"/>
        </w:rPr>
        <w:t xml:space="preserve">26.2废标条款</w:t>
      </w:r>
      <w:bookmarkEnd w:id="225"/>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26.2.1符合专业条件的供应商或者对</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作实质响应的供应商不足三家的。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26.2.2出现影响采购公正的违法、违规行为的。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26.2.3因重大变故，采购任务取消的。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26.2.4评标委员会认定</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存在歧义、重大缺陷导致评审工作无法进行。</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26.2.5因苏采云系统系统故障原因造成开标不成功的。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6" w:name="_Toc11287"/>
      <w:r>
        <w:rPr>
          <w:rFonts w:hint="eastAsia" w:ascii="仿宋" w:hAnsi="仿宋" w:eastAsia="仿宋" w:cs="仿宋"/>
          <w:b/>
          <w:bCs/>
          <w:color w:val="auto"/>
          <w:sz w:val="24"/>
          <w:szCs w:val="24"/>
          <w:highlight w:val="none"/>
        </w:rPr>
        <w:t xml:space="preserve">26.3 投标截止时间结束后参加投标的供应商不足三家的处理：</w:t>
      </w:r>
      <w:bookmarkEnd w:id="226"/>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26.3.1如出现投标截止时间结束后参加投标的供应商或者在评标期间对</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做出实质响应的供应商不足三家情况，按政府采购相关规定执行。</w:t>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27" w:name="_Toc10830"/>
      <w:r/>
      <w:bookmarkStart w:id="228" w:name="_Toc28571"/>
      <w:r/>
      <w:bookmarkStart w:id="229" w:name="_Toc120614219"/>
      <w:r>
        <w:rPr>
          <w:rFonts w:hint="eastAsia" w:ascii="仿宋" w:hAnsi="仿宋" w:eastAsia="仿宋" w:cs="仿宋"/>
          <w:b/>
          <w:color w:val="auto"/>
          <w:sz w:val="24"/>
          <w:szCs w:val="24"/>
          <w:highlight w:val="none"/>
        </w:rPr>
        <w:t xml:space="preserve">六、定标</w:t>
      </w:r>
      <w:bookmarkEnd w:id="227"/>
      <w:r/>
      <w:bookmarkEnd w:id="228"/>
      <w:r/>
      <w:bookmarkEnd w:id="229"/>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0" w:name="_Toc20823310"/>
      <w:r/>
      <w:bookmarkStart w:id="231" w:name="_Toc16938554"/>
      <w:r/>
      <w:bookmarkStart w:id="232" w:name="_Toc513029238"/>
      <w:r/>
      <w:bookmarkStart w:id="233" w:name="_Toc23733"/>
      <w:r>
        <w:rPr>
          <w:rFonts w:hint="eastAsia" w:ascii="仿宋" w:hAnsi="仿宋" w:eastAsia="仿宋" w:cs="仿宋"/>
          <w:color w:val="auto"/>
          <w:sz w:val="24"/>
          <w:szCs w:val="24"/>
          <w:highlight w:val="none"/>
        </w:rPr>
        <w:t xml:space="preserve">27、</w:t>
      </w:r>
      <w:bookmarkEnd w:id="230"/>
      <w:r>
        <w:rPr>
          <w:rFonts w:hint="eastAsia" w:ascii="仿宋" w:hAnsi="仿宋" w:eastAsia="仿宋" w:cs="仿宋"/>
          <w:color w:val="auto"/>
          <w:sz w:val="24"/>
          <w:szCs w:val="24"/>
          <w:highlight w:val="none"/>
        </w:rPr>
        <w:t xml:space="preserve">确定</w:t>
      </w:r>
      <w:bookmarkEnd w:id="231"/>
      <w:r/>
      <w:bookmarkEnd w:id="232"/>
      <w:r>
        <w:rPr>
          <w:rFonts w:hint="eastAsia" w:ascii="仿宋" w:hAnsi="仿宋" w:eastAsia="仿宋" w:cs="仿宋"/>
          <w:color w:val="auto"/>
          <w:sz w:val="24"/>
          <w:szCs w:val="24"/>
          <w:highlight w:val="none"/>
        </w:rPr>
        <w:t xml:space="preserve">中标单位</w:t>
      </w:r>
      <w:bookmarkEnd w:id="233"/>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27.1中标候选人的选取原则和数量见</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第五章规定。 </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27.2采购人应根据评委会推荐的中标候选人确定</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27.3采购人和采购代理机构将在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中国政府采购网”“</w:t>
      </w:r>
      <w:r>
        <w:rPr>
          <w:rFonts w:hint="eastAsia" w:ascii="仿宋" w:hAnsi="仿宋" w:eastAsia="仿宋" w:cs="仿宋"/>
          <w:color w:val="auto"/>
          <w:sz w:val="24"/>
          <w:szCs w:val="24"/>
          <w:highlight w:val="none"/>
        </w:rPr>
        <w:t xml:space="preserve">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盐城市政府采购网”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滨海县人民政府网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发布中标公告，公告期限为1个工作日。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27.4若有充分证据证明，</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出现下列情况之一的，一经查实，将被取消中标资格：</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27.4.1提供虚假材料谋取中标的。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27.4.2向采购人、</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行贿或者提供其他不正当利益的。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27.4.3属于本文件规定的无效条件，但在评标过程中又未被评委会发现的。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27.4.4与采购人或者其他供应商恶意串通的。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27.4.5采取不正当手段诋毁、排挤其他供应商的。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34" w:name="_Toc200451960"/>
      <w:r>
        <w:rPr>
          <w:rFonts w:hint="eastAsia" w:ascii="仿宋" w:hAnsi="仿宋" w:eastAsia="仿宋" w:cs="仿宋"/>
          <w:color w:val="auto"/>
          <w:sz w:val="24"/>
          <w:szCs w:val="24"/>
          <w:highlight w:val="none"/>
        </w:rPr>
        <w:t xml:space="preserve">27.5 有下列情形之一的，视为</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串通投标，投标无效：</w:t>
      </w:r>
      <w:bookmarkEnd w:id="23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27.5.1不同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的投标文件由同一单位或者个人编制。</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27.5.2不同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委托同一单位或者个人办理投标事宜。</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27.5.3不同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的投标文件载明的项目管理成员或者联系人员为同一人。</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27.5.4不同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的投标文件异常一致或者投标报价呈规律性差异。</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5" w:name="_Toc14373"/>
      <w:r>
        <w:rPr>
          <w:rFonts w:hint="eastAsia" w:ascii="仿宋" w:hAnsi="仿宋" w:eastAsia="仿宋" w:cs="仿宋"/>
          <w:color w:val="auto"/>
          <w:sz w:val="24"/>
          <w:szCs w:val="24"/>
          <w:highlight w:val="none"/>
        </w:rPr>
        <w:t xml:space="preserve">28、质疑处理</w:t>
      </w:r>
      <w:bookmarkEnd w:id="235"/>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或采购人提出质疑。上述应知其权益受到损害之日，是指：</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28.2.1对可以质疑的采购文件提出质疑的，为收到采购文件之日或者采购文件公告期限届满之日；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28.2.2对采购过程提出质疑的，为各采购程序环节结束之日；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28.2.3对中标或者成交结果提出质疑的，为中标或者成交结果公告期限届满之日。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仿宋" w:hAnsi="仿宋" w:eastAsia="仿宋" w:cs="仿宋"/>
          <w:color w:val="auto"/>
          <w:sz w:val="24"/>
          <w:szCs w:val="24"/>
          <w:highlight w:val="none"/>
          <w:lang w:val="en-US" w:eastAsia="zh-CN"/>
        </w:rPr>
        <w:t xml:space="preserve">代理机构</w:t>
      </w:r>
      <w:r>
        <w:rPr>
          <w:rFonts w:hint="eastAsia" w:ascii="仿宋" w:hAnsi="仿宋" w:eastAsia="仿宋" w:cs="仿宋"/>
          <w:color w:val="auto"/>
          <w:sz w:val="24"/>
          <w:szCs w:val="24"/>
          <w:highlight w:val="none"/>
        </w:rPr>
        <w:t xml:space="preserve">、采购人将只对供应商第一次质疑作出答复。</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28.3质疑函必须按照本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中《质疑函范本》要求的格式和内容进行填写。供应商如组成联合体参加投标，则《质疑函范本》中要求签字、盖章、加盖公章之处，联合体各方均须按要求签字、盖章、加盖公章。</w:t>
      </w:r>
      <w:r/>
    </w:p>
    <w:p>
      <w:pPr>
        <w:ind w:left="0" w:firstLine="480"/>
        <w:jc w:val="left"/>
        <w:pageBreakBefore w:val="0"/>
        <w:spacing w:line="520" w:lineRule="exact"/>
        <w:widowControl w:val="off"/>
        <w:tabs>
          <w:tab w:val="left" w:pos="13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或采购代理机构提出，由采购人或采购代理机构负责答复。</w:t>
      </w:r>
      <w:r/>
    </w:p>
    <w:p>
      <w:pPr>
        <w:ind w:left="0" w:firstLine="480"/>
        <w:jc w:val="left"/>
        <w:pageBreakBefore w:val="0"/>
        <w:spacing w:line="520" w:lineRule="exact"/>
        <w:widowControl w:val="off"/>
        <w:tabs>
          <w:tab w:val="left" w:pos="1331" w:leader="none"/>
        </w:tabs>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采购人或采购代理机构</w:t>
      </w:r>
      <w:r>
        <w:rPr>
          <w:rFonts w:hint="eastAsia" w:ascii="仿宋" w:hAnsi="仿宋" w:eastAsia="仿宋" w:cs="仿宋"/>
          <w:color w:val="auto"/>
          <w:sz w:val="24"/>
          <w:szCs w:val="24"/>
          <w:highlight w:val="none"/>
          <w:lang w:val="en-US" w:eastAsia="zh-CN" w:bidi="ar-SA"/>
        </w:rPr>
        <w:t xml:space="preserve">只接收以纸质原件形式送达的质疑,</w:t>
      </w:r>
      <w:r>
        <w:rPr>
          <w:rFonts w:hint="eastAsia" w:ascii="仿宋" w:hAnsi="仿宋" w:eastAsia="仿宋" w:cs="仿宋"/>
          <w:color w:val="auto"/>
          <w:sz w:val="24"/>
          <w:szCs w:val="24"/>
          <w:highlight w:val="none"/>
        </w:rPr>
        <w:t xml:space="preserve">采购人或采购代理机构不接受未填写完整快递运单的纸质质疑函快件</w:t>
      </w:r>
      <w:r>
        <w:rPr>
          <w:rFonts w:hint="eastAsia" w:ascii="仿宋" w:hAnsi="仿宋" w:eastAsia="仿宋" w:cs="仿宋"/>
          <w:color w:val="auto"/>
          <w:sz w:val="24"/>
          <w:szCs w:val="24"/>
          <w:highlight w:val="none"/>
          <w:lang w:val="en-US" w:eastAsia="zh-CN" w:bidi="ar-SA"/>
        </w:rPr>
        <w:t xml:space="preserve">。质疑接收地址及联系电话同招标公告中的联系地址及联系电话。</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 以下情形的质疑不予受理</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28.5.1内容不符合《政府采购质疑和投诉办法》第十二条规定的质疑。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28.5.2超出政府采购法定期限的质疑。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28.5.3以传真、电子邮件等方式递交的非原件形式的质疑。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28.5.4未参加投标活动的供应商或在投标活动中自身权益未受到损害的供应商所提出的质疑。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28.5.5供应商组成联合体参加投标，联合体中任何一方或多方未按要求签字、盖章、加盖公章的质疑。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28.6供应商提出书面质疑必须有理、有据，不得捏造事实、提供虚假材料进行恶意质疑。否则，一经查实，采购</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6" w:name="_Toc8336"/>
      <w:r>
        <w:rPr>
          <w:rFonts w:hint="eastAsia" w:ascii="仿宋" w:hAnsi="仿宋" w:eastAsia="仿宋" w:cs="仿宋"/>
          <w:color w:val="auto"/>
          <w:sz w:val="24"/>
          <w:szCs w:val="24"/>
          <w:highlight w:val="none"/>
        </w:rPr>
        <w:t xml:space="preserve">29、中标通知书</w:t>
      </w:r>
      <w:bookmarkEnd w:id="236"/>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29.l中标结果确定后，采购人和采购代理机构将向</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发出中标通知书。请</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自行承担。</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29.2中标通知书将是合同的一个组成部分。对采购人和</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均具有法律效力。中标通知书发出后，采购人改变中标结果的，或者</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放弃中标项目的，应当依法承担法律责任。</w:t>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37" w:name="_Toc22096"/>
      <w:r/>
      <w:bookmarkStart w:id="238" w:name="_Toc513029236"/>
      <w:r/>
      <w:bookmarkStart w:id="239" w:name="_Toc3660"/>
      <w:r/>
      <w:bookmarkStart w:id="240" w:name="_Toc20823308"/>
      <w:r/>
      <w:bookmarkStart w:id="241" w:name="_Toc16938552"/>
      <w:r/>
      <w:bookmarkStart w:id="242" w:name="_Toc120614220"/>
      <w:r>
        <w:rPr>
          <w:rFonts w:hint="eastAsia" w:ascii="仿宋" w:hAnsi="仿宋" w:eastAsia="仿宋" w:cs="仿宋"/>
          <w:b/>
          <w:color w:val="auto"/>
          <w:sz w:val="24"/>
          <w:szCs w:val="24"/>
          <w:highlight w:val="none"/>
        </w:rPr>
        <w:t xml:space="preserve">七、授予合同</w:t>
      </w:r>
      <w:bookmarkEnd w:id="237"/>
      <w:r/>
      <w:bookmarkEnd w:id="238"/>
      <w:r/>
      <w:bookmarkEnd w:id="239"/>
      <w:r/>
      <w:bookmarkEnd w:id="240"/>
      <w:r/>
      <w:bookmarkEnd w:id="241"/>
      <w:r/>
      <w:bookmarkEnd w:id="242"/>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43" w:name="_Toc513029237"/>
      <w:r/>
      <w:bookmarkStart w:id="244" w:name="_Toc16938553"/>
      <w:r/>
      <w:bookmarkStart w:id="245" w:name="_Toc19091"/>
      <w:r/>
      <w:bookmarkStart w:id="246" w:name="_Toc20823309"/>
      <w:r>
        <w:rPr>
          <w:rFonts w:hint="eastAsia" w:ascii="仿宋" w:hAnsi="仿宋" w:eastAsia="仿宋" w:cs="仿宋"/>
          <w:color w:val="auto"/>
          <w:sz w:val="24"/>
          <w:szCs w:val="24"/>
          <w:highlight w:val="none"/>
        </w:rPr>
        <w:t xml:space="preserve">30.签订合同</w:t>
      </w:r>
      <w:bookmarkEnd w:id="243"/>
      <w:r/>
      <w:bookmarkEnd w:id="244"/>
      <w:r/>
      <w:bookmarkEnd w:id="245"/>
      <w:r/>
      <w:bookmarkEnd w:id="246"/>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247" w:name="_Toc22009"/>
      <w:r>
        <w:rPr>
          <w:rFonts w:hint="eastAsia" w:ascii="仿宋" w:hAnsi="仿宋" w:eastAsia="仿宋" w:cs="仿宋"/>
          <w:color w:val="auto"/>
          <w:sz w:val="24"/>
          <w:szCs w:val="24"/>
          <w:highlight w:val="none"/>
        </w:rPr>
        <w:t xml:space="preserve">30.l</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应当在中标通知书发出之日起三十日内，按照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确定的事项与采购人签订政府采购合同。</w:t>
      </w:r>
      <w:bookmarkEnd w:id="24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的投标文件及招标过程中有关澄清、承诺文件均应作为合同附件。</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30.3签订合同后，</w:t>
      </w:r>
      <w:r>
        <w:rPr>
          <w:rFonts w:hint="eastAsia" w:ascii="仿宋" w:hAnsi="仿宋" w:eastAsia="仿宋" w:cs="仿宋"/>
          <w:b/>
          <w:bCs/>
          <w:i/>
          <w:color w:val="auto"/>
          <w:sz w:val="24"/>
          <w:szCs w:val="24"/>
          <w:highlight w:val="none"/>
          <w:u w:val="single"/>
          <w:lang w:eastAsia="zh-CN"/>
        </w:rPr>
        <w:t xml:space="preserve">中标供应商</w:t>
      </w:r>
      <w:r>
        <w:rPr>
          <w:rFonts w:hint="eastAsia" w:ascii="仿宋" w:hAnsi="仿宋" w:eastAsia="仿宋" w:cs="仿宋"/>
          <w:b/>
          <w:bCs/>
          <w:i/>
          <w:color w:val="auto"/>
          <w:sz w:val="24"/>
          <w:szCs w:val="24"/>
          <w:highlight w:val="none"/>
          <w:u w:val="single"/>
        </w:rPr>
        <w:t xml:space="preserve">不得将合同标的进行转包</w:t>
      </w:r>
      <w:r>
        <w:rPr>
          <w:rFonts w:hint="eastAsia" w:ascii="仿宋" w:hAnsi="仿宋" w:eastAsia="仿宋" w:cs="仿宋"/>
          <w:color w:val="auto"/>
          <w:sz w:val="24"/>
          <w:szCs w:val="24"/>
          <w:highlight w:val="none"/>
        </w:rPr>
        <w:t xml:space="preserve">。未经采购人同意，</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也不得采用分包的形式履行合同，否则采购人有权终止合同。转包或分包造成采购人损失的，</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应承担相应赔偿责任。</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48" w:name="_Toc16647"/>
      <w:r>
        <w:rPr>
          <w:rFonts w:hint="eastAsia" w:ascii="仿宋" w:hAnsi="仿宋" w:eastAsia="仿宋" w:cs="仿宋"/>
          <w:color w:val="auto"/>
          <w:sz w:val="24"/>
          <w:szCs w:val="24"/>
          <w:highlight w:val="none"/>
        </w:rPr>
        <w:t xml:space="preserve">31、服务（包含与服务相关的货物）的追加</w:t>
      </w:r>
      <w:bookmarkEnd w:id="248"/>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31.1政府采购合同履行中，采购人需追加与合同标的相同的服务（包含与服务相关的货物），在不改变合同其他条款的前提下，可以与</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协商签订补充合同，但所有补充合同的采购金额不超过原合同金额10%。</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49" w:name="_Toc11853"/>
      <w:r>
        <w:rPr>
          <w:rFonts w:hint="eastAsia" w:ascii="仿宋" w:hAnsi="仿宋" w:eastAsia="仿宋" w:cs="仿宋"/>
          <w:color w:val="auto"/>
          <w:sz w:val="24"/>
          <w:szCs w:val="24"/>
          <w:highlight w:val="none"/>
          <w:lang w:val="en-US" w:eastAsia="zh-CN"/>
        </w:rPr>
        <w:t xml:space="preserve">32.政府采购政策功能落实</w:t>
      </w:r>
      <w:bookmarkEnd w:id="249"/>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250" w:name="_Toc6298"/>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政府采购</w:t>
      </w:r>
      <w:r>
        <w:rPr>
          <w:rFonts w:hint="eastAsia" w:ascii="仿宋" w:hAnsi="仿宋" w:eastAsia="仿宋" w:cs="仿宋"/>
          <w:color w:val="auto"/>
          <w:sz w:val="24"/>
          <w:szCs w:val="24"/>
          <w:highlight w:val="none"/>
          <w:lang w:eastAsia="zh-CN"/>
        </w:rPr>
        <w:t xml:space="preserve">线上合同信用融资</w:t>
      </w:r>
      <w:r>
        <w:rPr>
          <w:rFonts w:hint="eastAsia" w:ascii="仿宋" w:hAnsi="仿宋" w:eastAsia="仿宋" w:cs="仿宋"/>
          <w:color w:val="auto"/>
          <w:sz w:val="24"/>
          <w:szCs w:val="24"/>
          <w:highlight w:val="none"/>
        </w:rPr>
        <w:t xml:space="preserve">政策</w:t>
      </w:r>
      <w:bookmarkEnd w:id="25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仿宋" w:hAnsi="仿宋" w:eastAsia="仿宋" w:cs="仿宋"/>
          <w:color w:val="auto"/>
          <w:sz w:val="24"/>
          <w:szCs w:val="24"/>
          <w:highlight w:val="none"/>
          <w:lang w:val="en-US" w:eastAsia="zh-CN"/>
        </w:rPr>
        <w:t xml:space="preserve">江苏省</w:t>
      </w:r>
      <w:r>
        <w:rPr>
          <w:rFonts w:hint="eastAsia" w:ascii="仿宋" w:hAnsi="仿宋" w:eastAsia="仿宋" w:cs="仿宋"/>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1" w:name="_Toc19208"/>
      <w:r>
        <w:rPr>
          <w:rFonts w:hint="eastAsia" w:ascii="仿宋" w:hAnsi="仿宋" w:eastAsia="仿宋" w:cs="仿宋"/>
          <w:color w:val="auto"/>
          <w:sz w:val="24"/>
          <w:szCs w:val="24"/>
          <w:highlight w:val="none"/>
          <w:lang w:val="en-US" w:eastAsia="zh-CN" w:bidi="ar-SA"/>
        </w:rPr>
        <w:t xml:space="preserve">32.2进口产品</w:t>
      </w:r>
      <w:bookmarkEnd w:id="251"/>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进口产品</w:t>
      </w:r>
      <w:r>
        <w:rPr>
          <w:rFonts w:hint="eastAsia" w:ascii="仿宋" w:hAnsi="仿宋" w:eastAsia="仿宋" w:cs="仿宋"/>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2" w:name="_Toc2220"/>
      <w:r>
        <w:rPr>
          <w:rFonts w:hint="eastAsia" w:ascii="仿宋" w:hAnsi="仿宋" w:eastAsia="仿宋" w:cs="仿宋"/>
          <w:color w:val="auto"/>
          <w:sz w:val="24"/>
          <w:szCs w:val="24"/>
          <w:highlight w:val="none"/>
          <w:lang w:val="en-US" w:eastAsia="zh-CN" w:bidi="ar-SA"/>
        </w:rPr>
        <w:t xml:space="preserve">32.3中小企业、监狱企业及残疾人福利性单位</w:t>
      </w:r>
      <w:bookmarkEnd w:id="252"/>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32.3.1中小企业定义：</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中小企业是</w:t>
      </w:r>
      <w:r>
        <w:rPr>
          <w:rFonts w:hint="eastAsia" w:ascii="仿宋" w:hAnsi="仿宋" w:eastAsia="仿宋" w:cs="仿宋"/>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32.3.2供应商提供的货物、工程或者服务符合下列情形的，享受中小企业扶持政策：</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32.3.2.2在工程采购项目中，工程由中小企业承建，即工程施工单位为中小企业；</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32.3.6残疾人福利单位定义：享受政府采购支持政策的残疾人福利性单位应当同时满足以下条件：</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32.3.6.1安置的残疾人占本单位在职职工人数的比例不低于25%（含25%），并且安置的残疾人人数不少于10 人（含10 人）；</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32.3.6.2依法与安置的每位残疾人签订了一年以上（含一年）的劳动合同或服务协议；</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32.3.7本项目是否专门面向中小企业预留采购份额见第一章《招标公告》。</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32.3.8采购标的对应的中小企业划分标准所属行业见第四章《采购需求》。</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32.3.9小微企业价格评审优惠的政策：见第五章《评标方法和评标标准》。</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2"/>
      </w:pPr>
      <w:r/>
      <w:bookmarkStart w:id="253" w:name="_Toc5666"/>
      <w:r>
        <w:rPr>
          <w:rFonts w:hint="eastAsia" w:ascii="仿宋" w:hAnsi="仿宋" w:eastAsia="仿宋" w:cs="仿宋"/>
          <w:color w:val="auto"/>
          <w:sz w:val="24"/>
          <w:szCs w:val="24"/>
          <w:highlight w:val="none"/>
          <w:lang w:val="en-US" w:eastAsia="zh-CN"/>
        </w:rPr>
        <w:t xml:space="preserve">32.4政府采购节能产品、环境标志产品</w:t>
      </w:r>
      <w:bookmarkEnd w:id="253"/>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32.4.1严格执行政府采购关于支持</w:t>
      </w:r>
      <w:r>
        <w:rPr>
          <w:rFonts w:hint="eastAsia" w:ascii="仿宋" w:hAnsi="仿宋" w:eastAsia="仿宋" w:cs="仿宋"/>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2"/>
      </w:pPr>
      <w:r/>
      <w:bookmarkStart w:id="254" w:name="_Toc2830"/>
      <w:r>
        <w:rPr>
          <w:rFonts w:hint="eastAsia" w:ascii="仿宋" w:hAnsi="仿宋" w:eastAsia="仿宋" w:cs="仿宋"/>
          <w:color w:val="auto"/>
          <w:sz w:val="24"/>
          <w:szCs w:val="24"/>
          <w:highlight w:val="none"/>
          <w:lang w:val="en-US" w:eastAsia="zh-CN"/>
        </w:rPr>
        <w:t xml:space="preserve">32.5绿色包装</w:t>
      </w:r>
      <w:bookmarkEnd w:id="25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5" w:name="_Toc17173"/>
      <w:r>
        <w:rPr>
          <w:rFonts w:hint="eastAsia" w:ascii="仿宋" w:hAnsi="仿宋" w:eastAsia="仿宋" w:cs="仿宋"/>
          <w:color w:val="auto"/>
          <w:sz w:val="24"/>
          <w:szCs w:val="24"/>
          <w:highlight w:val="none"/>
          <w:lang w:val="en-US" w:eastAsia="zh-CN" w:bidi="ar-SA"/>
        </w:rPr>
        <w:t xml:space="preserve">32.6政府采购创新产品</w:t>
      </w:r>
      <w:bookmarkEnd w:id="255"/>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6" w:name="_Toc19083"/>
      <w:r>
        <w:rPr>
          <w:rFonts w:hint="eastAsia" w:ascii="仿宋" w:hAnsi="仿宋" w:eastAsia="仿宋" w:cs="仿宋"/>
          <w:color w:val="auto"/>
          <w:sz w:val="24"/>
          <w:szCs w:val="24"/>
          <w:highlight w:val="none"/>
          <w:lang w:val="en-US" w:eastAsia="zh-CN" w:bidi="ar-SA"/>
        </w:rPr>
        <w:t xml:space="preserve">32.7绿色数据中心政策</w:t>
      </w:r>
      <w:bookmarkEnd w:id="256"/>
      <w:r>
        <w:rPr>
          <w:rFonts w:hint="eastAsia" w:ascii="仿宋" w:hAnsi="仿宋" w:eastAsia="仿宋" w:cs="仿宋"/>
          <w:color w:val="auto"/>
          <w:sz w:val="24"/>
          <w:szCs w:val="24"/>
          <w:highlight w:val="none"/>
          <w:lang w:val="en-US" w:eastAsia="zh-CN" w:bidi="ar-SA"/>
        </w:rPr>
        <w:t xml:space="preserve"> </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仿宋" w:hAnsi="仿宋" w:eastAsia="仿宋" w:cs="仿宋"/>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7" w:name="_Toc2486"/>
      <w:r>
        <w:rPr>
          <w:rFonts w:hint="eastAsia" w:ascii="仿宋" w:hAnsi="仿宋" w:eastAsia="仿宋" w:cs="仿宋"/>
          <w:color w:val="auto"/>
          <w:sz w:val="24"/>
          <w:szCs w:val="24"/>
          <w:highlight w:val="none"/>
          <w:lang w:val="en-US" w:eastAsia="zh-CN" w:bidi="ar-SA"/>
        </w:rPr>
        <w:t xml:space="preserve">32.8履约保证金政策</w:t>
      </w:r>
      <w:bookmarkEnd w:id="25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确需收取履约保证金的，履约保证金的缴纳形式：</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713"/>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58" w:name="_Toc24316"/>
      <w:r>
        <w:rPr>
          <w:rFonts w:hint="eastAsia" w:ascii="仿宋" w:hAnsi="仿宋" w:eastAsia="仿宋" w:cs="仿宋"/>
          <w:color w:val="auto"/>
          <w:sz w:val="24"/>
          <w:szCs w:val="24"/>
          <w:highlight w:val="none"/>
          <w:lang w:val="en-US" w:eastAsia="zh-CN"/>
        </w:rPr>
        <w:t xml:space="preserve">中标单位在签订合同前须向采购人缴纳中标总价5%的履约保证金，在项目结束验收合格后退还。如中标单位被第三方信用服务机构依据标准规范评定为AA级及以上的政府采购供应商（须在签订采购合同前提供信用管理部门备案的第三方信用报告，且信用报告通过“信用盐城网”可查实），采购人将降低履约保证金缴纳金额为中标价的2.5%。</w:t>
      </w:r>
      <w:bookmarkEnd w:id="258"/>
      <w:r/>
      <w:r/>
    </w:p>
    <w:p>
      <w:pPr>
        <w:pStyle w:val="713"/>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59" w:name="_Toc11402"/>
      <w:r>
        <w:rPr>
          <w:rFonts w:hint="eastAsia" w:ascii="仿宋" w:hAnsi="仿宋" w:eastAsia="仿宋" w:cs="仿宋"/>
          <w:color w:val="auto"/>
          <w:sz w:val="24"/>
          <w:szCs w:val="24"/>
          <w:highlight w:val="none"/>
          <w:lang w:val="en-US" w:eastAsia="zh-CN" w:bidi="ar-SA"/>
        </w:rPr>
        <w:t xml:space="preserve">33.</w:t>
      </w:r>
      <w:r>
        <w:rPr>
          <w:rFonts w:hint="eastAsia" w:ascii="仿宋" w:hAnsi="仿宋" w:eastAsia="仿宋" w:cs="仿宋"/>
          <w:color w:val="auto"/>
          <w:sz w:val="24"/>
          <w:szCs w:val="24"/>
          <w:highlight w:val="none"/>
          <w:lang w:val="en-US" w:eastAsia="zh-CN"/>
        </w:rPr>
        <w:t xml:space="preserve">预付款制度</w:t>
      </w:r>
      <w:bookmarkEnd w:id="259"/>
      <w:r/>
      <w:r/>
    </w:p>
    <w:p>
      <w:pPr>
        <w:pStyle w:val="713"/>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本项目落实预付款制度，预付款比例为</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ind w:right="0" w:firstLine="240"/>
        <w:pageBreakBefore w:val="0"/>
        <w:spacing w:line="520" w:lineRule="exact"/>
        <w:tabs>
          <w:tab w:val="left" w:pos="900" w:leader="none"/>
        </w:tabs>
        <w:rPr>
          <w:rFonts w:hint="eastAsia" w:ascii="仿宋" w:hAnsi="仿宋" w:eastAsia="仿宋" w:cs="仿宋"/>
          <w:color w:val="auto"/>
          <w:sz w:val="24"/>
          <w:szCs w:val="21"/>
          <w:highlight w:val="none"/>
          <w:lang w:val="en-US" w:eastAsia="zh-CN"/>
        </w:rPr>
      </w:pPr>
      <w:r/>
      <w:bookmarkStart w:id="260" w:name="_Toc28979"/>
      <w:r/>
      <w:bookmarkStart w:id="261" w:name="_Toc15723"/>
      <w:r/>
      <w:bookmarkStart w:id="262" w:name="_Toc16932_WPSOffice_Level2"/>
      <w:r/>
      <w:bookmarkStart w:id="263" w:name="_Toc30024"/>
      <w:r>
        <w:rPr>
          <w:rFonts w:hint="eastAsia" w:ascii="仿宋" w:hAnsi="仿宋" w:eastAsia="仿宋" w:cs="仿宋"/>
          <w:color w:val="auto"/>
          <w:sz w:val="24"/>
          <w:szCs w:val="21"/>
          <w:highlight w:val="none"/>
          <w:lang w:val="en-US" w:eastAsia="zh-CN"/>
        </w:rPr>
        <w:t xml:space="preserve">★</w:t>
      </w: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en-US" w:eastAsia="zh-CN"/>
        </w:rPr>
        <w:t xml:space="preserve">招标代理服务费</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有关约定如下：</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.1</w:t>
      </w:r>
      <w:r>
        <w:rPr>
          <w:rFonts w:hint="eastAsia" w:ascii="仿宋" w:hAnsi="仿宋" w:eastAsia="仿宋" w:cs="仿宋"/>
          <w:color w:val="auto"/>
          <w:sz w:val="24"/>
          <w:szCs w:val="21"/>
          <w:highlight w:val="none"/>
          <w:lang w:val="en-US" w:eastAsia="zh-CN"/>
        </w:rPr>
        <w:t xml:space="preserve">本采购文件约定：</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en-US" w:eastAsia="zh-CN"/>
        </w:rPr>
        <w:t xml:space="preserve">招标代理服务费</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由中标供应商（中标供应商）代付。</w:t>
      </w:r>
      <w:r>
        <w:rPr>
          <w:rFonts w:hint="eastAsia" w:ascii="仿宋" w:hAnsi="仿宋" w:eastAsia="仿宋" w:cs="仿宋"/>
          <w:color w:val="auto"/>
          <w:sz w:val="24"/>
          <w:szCs w:val="21"/>
          <w:highlight w:val="none"/>
          <w:lang w:val="zh-CN"/>
        </w:rPr>
        <w:t xml:space="preserve">中标单位须在领取中标通知书</w:t>
      </w:r>
      <w:r>
        <w:rPr>
          <w:rFonts w:hint="eastAsia" w:ascii="仿宋" w:hAnsi="仿宋" w:eastAsia="仿宋" w:cs="仿宋"/>
          <w:color w:val="auto"/>
          <w:sz w:val="24"/>
          <w:szCs w:val="21"/>
          <w:highlight w:val="none"/>
          <w:lang w:val="en-US" w:eastAsia="zh-CN"/>
        </w:rPr>
        <w:t xml:space="preserve">前</w:t>
      </w:r>
      <w:r>
        <w:rPr>
          <w:rFonts w:hint="eastAsia" w:ascii="仿宋" w:hAnsi="仿宋" w:eastAsia="仿宋" w:cs="仿宋"/>
          <w:color w:val="auto"/>
          <w:sz w:val="24"/>
          <w:szCs w:val="21"/>
          <w:highlight w:val="none"/>
          <w:lang w:val="zh-CN"/>
        </w:rPr>
        <w:t xml:space="preserve">按本文的规定支付</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zh-CN"/>
        </w:rPr>
        <w:t xml:space="preserve">及相关费用。中标单位如果未按规定缴纳</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zh-CN"/>
        </w:rPr>
        <w:t xml:space="preserve">，将上报主管部门，并保留</w:t>
      </w:r>
      <w:r>
        <w:rPr>
          <w:rFonts w:hint="eastAsia" w:ascii="仿宋" w:hAnsi="仿宋" w:eastAsia="仿宋" w:cs="仿宋"/>
          <w:color w:val="auto"/>
          <w:sz w:val="24"/>
          <w:szCs w:val="21"/>
          <w:highlight w:val="none"/>
          <w:lang w:val="en-US" w:eastAsia="zh-CN"/>
        </w:rPr>
        <w:t xml:space="preserve">对其</w:t>
      </w:r>
      <w:r>
        <w:rPr>
          <w:rFonts w:hint="eastAsia" w:ascii="仿宋" w:hAnsi="仿宋" w:eastAsia="仿宋" w:cs="仿宋"/>
          <w:color w:val="auto"/>
          <w:sz w:val="24"/>
          <w:szCs w:val="21"/>
          <w:highlight w:val="none"/>
          <w:lang w:val="zh-CN"/>
        </w:rPr>
        <w:t xml:space="preserve">诉讼的权利。</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.2 </w:t>
      </w:r>
      <w:r>
        <w:rPr>
          <w:rFonts w:hint="eastAsia" w:ascii="仿宋" w:hAnsi="仿宋" w:eastAsia="仿宋" w:cs="仿宋"/>
          <w:color w:val="auto"/>
          <w:sz w:val="24"/>
          <w:szCs w:val="21"/>
          <w:highlight w:val="none"/>
          <w:lang w:val="en-US" w:eastAsia="zh-CN"/>
        </w:rPr>
        <w:t xml:space="preserve">政府采购代理服务费（招标代理服务费）支付时间：</w:t>
      </w:r>
      <w:r>
        <w:rPr>
          <w:rFonts w:hint="eastAsia" w:ascii="仿宋" w:hAnsi="仿宋" w:eastAsia="仿宋" w:cs="仿宋"/>
          <w:color w:val="auto"/>
          <w:sz w:val="24"/>
          <w:szCs w:val="21"/>
          <w:highlight w:val="none"/>
          <w:lang w:val="zh-CN"/>
        </w:rPr>
        <w:t xml:space="preserve">中标供应商（</w:t>
      </w:r>
      <w:r>
        <w:rPr>
          <w:rFonts w:hint="eastAsia" w:ascii="仿宋" w:hAnsi="仿宋" w:eastAsia="仿宋" w:cs="仿宋"/>
          <w:color w:val="auto"/>
          <w:sz w:val="24"/>
          <w:szCs w:val="21"/>
          <w:highlight w:val="none"/>
          <w:lang w:val="en-US" w:eastAsia="zh-CN"/>
        </w:rPr>
        <w:t xml:space="preserve">中标</w:t>
      </w:r>
      <w:r>
        <w:rPr>
          <w:rFonts w:hint="eastAsia" w:ascii="仿宋" w:hAnsi="仿宋" w:eastAsia="仿宋" w:cs="仿宋"/>
          <w:color w:val="auto"/>
          <w:sz w:val="24"/>
          <w:szCs w:val="21"/>
          <w:highlight w:val="none"/>
          <w:lang w:val="zh-CN"/>
        </w:rPr>
        <w:t xml:space="preserve">供应商）须在领取中标通知书前一次性支付，投标供应商须综合</w:t>
      </w:r>
      <w:r>
        <w:rPr>
          <w:rFonts w:hint="eastAsia" w:ascii="仿宋" w:hAnsi="仿宋" w:eastAsia="仿宋" w:cs="仿宋"/>
          <w:color w:val="auto"/>
          <w:sz w:val="24"/>
          <w:szCs w:val="21"/>
          <w:highlight w:val="none"/>
          <w:lang w:val="en-US" w:eastAsia="zh-CN"/>
        </w:rPr>
        <w:t xml:space="preserve">考虑此部分费用并</w:t>
      </w:r>
      <w:r>
        <w:rPr>
          <w:rFonts w:hint="eastAsia" w:ascii="仿宋" w:hAnsi="仿宋" w:eastAsia="仿宋" w:cs="仿宋"/>
          <w:color w:val="auto"/>
          <w:sz w:val="24"/>
          <w:szCs w:val="21"/>
          <w:highlight w:val="none"/>
          <w:lang w:val="zh-CN"/>
        </w:rPr>
        <w:t xml:space="preserve">纳入投标总报价</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不得单列</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zh-CN"/>
        </w:rPr>
        <w:t xml:space="preserve">，采购人不另行支付。</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政府</w:t>
      </w:r>
      <w:r>
        <w:rPr>
          <w:rFonts w:hint="eastAsia" w:ascii="仿宋" w:hAnsi="仿宋" w:eastAsia="仿宋" w:cs="仿宋"/>
          <w:color w:val="auto"/>
          <w:sz w:val="24"/>
          <w:szCs w:val="21"/>
          <w:highlight w:val="none"/>
          <w:lang w:val="zh-CN"/>
        </w:rPr>
        <w:t xml:space="preserve">采购代理服务费</w:t>
      </w:r>
      <w:r>
        <w:rPr>
          <w:rFonts w:hint="eastAsia" w:ascii="仿宋" w:hAnsi="仿宋" w:eastAsia="仿宋" w:cs="仿宋"/>
          <w:color w:val="auto"/>
          <w:sz w:val="24"/>
          <w:szCs w:val="21"/>
          <w:highlight w:val="none"/>
          <w:lang w:val="en-US" w:eastAsia="zh-CN"/>
        </w:rPr>
        <w:t xml:space="preserve">收费标准（或金额）：（1）服务费计算标准为：《江苏省招标代理服务收费的指导意见》（苏招协[2022]002 号）计算结果的60%收费；（2）服务费计算基数为：中标金额；</w:t>
      </w:r>
      <w:r>
        <w:rPr>
          <w:rFonts w:hint="eastAsia" w:ascii="仿宋" w:hAnsi="仿宋" w:eastAsia="仿宋" w:cs="仿宋"/>
          <w:color w:val="auto"/>
          <w:sz w:val="24"/>
          <w:szCs w:val="21"/>
          <w:highlight w:val="none"/>
          <w:lang w:val="en-US" w:eastAsia="zh-CN" w:bidi="ar-SA"/>
        </w:rPr>
        <w:t xml:space="preserve">（3）</w:t>
      </w:r>
      <w:r>
        <w:rPr>
          <w:rFonts w:hint="eastAsia" w:ascii="仿宋" w:hAnsi="仿宋" w:eastAsia="仿宋" w:cs="仿宋"/>
          <w:color w:val="auto"/>
          <w:sz w:val="24"/>
          <w:szCs w:val="21"/>
          <w:highlight w:val="none"/>
          <w:lang w:val="en-US" w:eastAsia="zh-CN"/>
        </w:rPr>
        <w:t xml:space="preserve">服务费计算类别：服务类。</w:t>
      </w:r>
      <w:r/>
    </w:p>
    <w:p>
      <w:pPr>
        <w:numPr>
          <w:ilvl w:val="0"/>
          <w:numId w:val="0"/>
        </w:num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.4中标供应商未按照上述规定支付采购代理服务费（招标代理服务费）的，采购人将拒绝发放《中标通知书》，供应商务必将此项费用综合考虑纳入报价中。</w:t>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outlineLvl w:val="1"/>
      </w:pPr>
      <w:r/>
      <w:bookmarkStart w:id="264" w:name="_Toc2737"/>
      <w:r>
        <w:rPr>
          <w:rFonts w:hint="eastAsia" w:ascii="仿宋" w:hAnsi="仿宋" w:eastAsia="仿宋" w:cs="仿宋"/>
          <w:color w:val="auto"/>
          <w:sz w:val="24"/>
          <w:szCs w:val="21"/>
          <w:highlight w:val="none"/>
          <w:lang w:val="en-US" w:eastAsia="zh-CN"/>
        </w:rPr>
        <w:t xml:space="preserve">35</w:t>
      </w:r>
      <w:r>
        <w:rPr>
          <w:rFonts w:hint="default" w:ascii="仿宋" w:hAnsi="仿宋" w:eastAsia="仿宋" w:cs="仿宋"/>
          <w:color w:val="auto"/>
          <w:sz w:val="24"/>
          <w:szCs w:val="21"/>
          <w:highlight w:val="none"/>
          <w:lang w:val="zh-CN"/>
        </w:rPr>
        <w:t xml:space="preserve">.监督</w:t>
      </w:r>
      <w:bookmarkEnd w:id="260"/>
      <w:r/>
      <w:bookmarkEnd w:id="261"/>
      <w:r/>
      <w:bookmarkEnd w:id="262"/>
      <w:r/>
      <w:bookmarkEnd w:id="263"/>
      <w:r/>
      <w:bookmarkEnd w:id="264"/>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pPr>
      <w:r/>
      <w:bookmarkStart w:id="265" w:name="_Toc11103"/>
      <w:r/>
      <w:bookmarkStart w:id="266" w:name="_Toc24050"/>
      <w:r/>
      <w:bookmarkStart w:id="267" w:name="_Toc17305_WPSOffice_Level3"/>
      <w:r/>
      <w:bookmarkStart w:id="268" w:name="_Toc13963"/>
      <w:r>
        <w:rPr>
          <w:rFonts w:hint="eastAsia" w:ascii="仿宋" w:hAnsi="仿宋" w:eastAsia="仿宋" w:cs="仿宋"/>
          <w:color w:val="auto"/>
          <w:sz w:val="24"/>
          <w:szCs w:val="21"/>
          <w:highlight w:val="none"/>
          <w:lang w:val="en-US" w:eastAsia="zh-CN"/>
        </w:rPr>
        <w:t xml:space="preserve">35</w:t>
      </w:r>
      <w:r>
        <w:rPr>
          <w:rFonts w:hint="default" w:ascii="仿宋" w:hAnsi="仿宋" w:eastAsia="仿宋" w:cs="仿宋"/>
          <w:color w:val="auto"/>
          <w:sz w:val="24"/>
          <w:szCs w:val="21"/>
          <w:highlight w:val="none"/>
          <w:lang w:val="zh-CN"/>
        </w:rPr>
        <w:t xml:space="preserve">.1有关监督部门将对招投标全过程进行监督。</w:t>
      </w:r>
      <w:bookmarkEnd w:id="265"/>
      <w:r/>
      <w:bookmarkEnd w:id="266"/>
      <w:r/>
      <w:bookmarkEnd w:id="267"/>
      <w:r/>
      <w:bookmarkEnd w:id="268"/>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outlineLvl w:val="1"/>
      </w:pPr>
      <w:r/>
      <w:bookmarkStart w:id="269" w:name="_Toc27140_WPSOffice_Level2"/>
      <w:r/>
      <w:bookmarkStart w:id="270" w:name="_Toc20211"/>
      <w:r/>
      <w:bookmarkStart w:id="271" w:name="_Toc804"/>
      <w:r/>
      <w:bookmarkStart w:id="272" w:name="_Toc6547"/>
      <w:r/>
      <w:bookmarkStart w:id="273" w:name="_Toc14398"/>
      <w:r>
        <w:rPr>
          <w:rFonts w:hint="eastAsia" w:ascii="仿宋" w:hAnsi="仿宋" w:eastAsia="仿宋" w:cs="仿宋"/>
          <w:color w:val="auto"/>
          <w:sz w:val="24"/>
          <w:szCs w:val="21"/>
          <w:highlight w:val="none"/>
          <w:lang w:val="en-US" w:eastAsia="zh-CN"/>
        </w:rPr>
        <w:t xml:space="preserve">36</w:t>
      </w:r>
      <w:r>
        <w:rPr>
          <w:rFonts w:hint="default" w:ascii="仿宋" w:hAnsi="仿宋" w:eastAsia="仿宋" w:cs="仿宋"/>
          <w:color w:val="auto"/>
          <w:sz w:val="24"/>
          <w:szCs w:val="21"/>
          <w:highlight w:val="none"/>
          <w:lang w:val="zh-CN"/>
        </w:rPr>
        <w:t xml:space="preserve">.未尽事宜</w:t>
      </w:r>
      <w:bookmarkEnd w:id="269"/>
      <w:r/>
      <w:bookmarkEnd w:id="270"/>
      <w:r/>
      <w:bookmarkEnd w:id="271"/>
      <w:r/>
      <w:bookmarkEnd w:id="272"/>
      <w:r/>
      <w:bookmarkEnd w:id="273"/>
      <w:r/>
      <w:r/>
    </w:p>
    <w:p>
      <w:pPr>
        <w:ind w:left="0" w:right="0" w:firstLine="480"/>
        <w:jc w:val="both"/>
        <w:pageBreakBefore w:val="0"/>
        <w:spacing w:line="520" w:lineRule="exact"/>
        <w:tabs>
          <w:tab w:val="left" w:pos="900" w:leader="none"/>
        </w:tabs>
        <w:rPr>
          <w:rFonts w:hint="default" w:ascii="仿宋" w:hAnsi="仿宋" w:eastAsia="仿宋" w:cs="仿宋"/>
          <w:color w:val="auto"/>
          <w:sz w:val="24"/>
          <w:szCs w:val="21"/>
          <w:highlight w:val="none"/>
          <w:lang w:val="zh-CN"/>
        </w:rPr>
      </w:pPr>
      <w:r>
        <w:rPr>
          <w:rFonts w:hint="default" w:ascii="仿宋" w:hAnsi="仿宋" w:eastAsia="仿宋" w:cs="仿宋"/>
          <w:color w:val="auto"/>
          <w:sz w:val="24"/>
          <w:szCs w:val="21"/>
          <w:highlight w:val="none"/>
          <w:lang w:val="zh-CN"/>
        </w:rPr>
        <w:t xml:space="preserve">按有关招投标的法律法规及相关法规规定执行。</w:t>
      </w:r>
      <w:r/>
    </w:p>
    <w:p>
      <w:pPr>
        <w:pStyle w:val="713"/>
        <w:jc w:val="both"/>
        <w:spacing w:beforeAutospacing="0" w:afterAutospacing="0"/>
        <w:rPr>
          <w:rFonts w:hint="eastAsia" w:ascii="宋体" w:hAnsi="宋体" w:eastAsia="宋体" w:cs="宋体"/>
          <w:color w:val="auto"/>
          <w:sz w:val="24"/>
          <w:szCs w:val="24"/>
          <w:highlight w:val="none"/>
        </w:rPr>
      </w:pPr>
      <w:r>
        <w:rPr>
          <w:rFonts w:hint="default" w:ascii="Times New Roman" w:hAnsi="Times New Roman" w:eastAsia="宋体" w:cs="Times New Roman"/>
          <w:b/>
          <w:strike/>
          <w:color w:val="auto"/>
          <w:sz w:val="24"/>
          <w:szCs w:val="24"/>
          <w:highlight w:val="none"/>
        </w:rPr>
        <w:br w:type="page" w:clear="all"/>
      </w:r>
      <w:r/>
    </w:p>
    <w:p>
      <w:pPr>
        <w:jc w:val="center"/>
        <w:rPr>
          <w:rFonts w:hint="eastAsia" w:ascii="方正小标宋简体" w:hAnsi="方正小标宋简体" w:eastAsia="方正小标宋简体" w:cs="方正小标宋简体"/>
          <w:color w:val="auto"/>
          <w:sz w:val="44"/>
          <w:szCs w:val="44"/>
          <w:highlight w:val="none"/>
        </w:rPr>
        <w:outlineLvl w:val="0"/>
      </w:pPr>
      <w:r/>
      <w:bookmarkStart w:id="274" w:name="_Toc3194"/>
      <w:r/>
      <w:bookmarkStart w:id="275" w:name="_Toc25097"/>
      <w:r>
        <w:rPr>
          <w:rFonts w:hint="eastAsia" w:ascii="方正小标宋简体" w:hAnsi="方正小标宋简体" w:eastAsia="方正小标宋简体" w:cs="方正小标宋简体"/>
          <w:color w:val="auto"/>
          <w:sz w:val="44"/>
          <w:szCs w:val="44"/>
          <w:highlight w:val="none"/>
        </w:rPr>
        <w:t xml:space="preserve">第三章  合同文本</w:t>
      </w:r>
      <w:bookmarkEnd w:id="274"/>
      <w:r/>
      <w:bookmarkEnd w:id="275"/>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76" w:name="_Toc16938559"/>
      <w:r/>
      <w:bookmarkStart w:id="277" w:name="_Toc20823315"/>
      <w:r/>
      <w:bookmarkStart w:id="278" w:name="_Toc513029243"/>
      <w:r/>
      <w:bookmarkStart w:id="279" w:name="_Toc26134"/>
      <w:r/>
      <w:bookmarkStart w:id="280" w:name="_Toc4301"/>
      <w:r/>
      <w:bookmarkStart w:id="281" w:name="_Hlt16619369"/>
      <w:r/>
      <w:bookmarkStart w:id="282" w:name="_Toc120614281"/>
      <w:r>
        <w:rPr>
          <w:rFonts w:hint="eastAsia" w:ascii="仿宋" w:hAnsi="仿宋" w:eastAsia="仿宋" w:cs="仿宋"/>
          <w:color w:val="auto"/>
          <w:sz w:val="24"/>
          <w:szCs w:val="24"/>
          <w:highlight w:val="none"/>
        </w:rPr>
        <w:t xml:space="preserve">以下为中标后</w:t>
      </w:r>
      <w:r>
        <w:rPr>
          <w:rFonts w:hint="eastAsia" w:ascii="仿宋" w:hAnsi="仿宋" w:eastAsia="仿宋" w:cs="仿宋"/>
          <w:color w:val="auto"/>
          <w:sz w:val="24"/>
          <w:szCs w:val="24"/>
          <w:highlight w:val="none"/>
          <w:lang w:eastAsia="zh-CN"/>
        </w:rPr>
        <w:t xml:space="preserve">签订</w:t>
      </w:r>
      <w:r>
        <w:rPr>
          <w:rFonts w:hint="eastAsia" w:ascii="仿宋" w:hAnsi="仿宋" w:eastAsia="仿宋" w:cs="仿宋"/>
          <w:color w:val="auto"/>
          <w:sz w:val="24"/>
          <w:szCs w:val="24"/>
          <w:highlight w:val="none"/>
        </w:rPr>
        <w:t xml:space="preserve">本项目合同的通用条款，</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不得提出实质性的修改。</w:t>
      </w:r>
      <w:bookmarkEnd w:id="276"/>
      <w:r/>
      <w:bookmarkEnd w:id="277"/>
      <w:r/>
      <w:bookmarkEnd w:id="278"/>
      <w:r/>
      <w:r/>
    </w:p>
    <w:p>
      <w:pPr>
        <w:pStyle w:val="713"/>
        <w:ind w:left="0" w:firstLine="482"/>
        <w:jc w:val="center"/>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3" w:name="_Toc25419"/>
      <w:r/>
      <w:bookmarkStart w:id="284" w:name="_Toc434"/>
      <w:r>
        <w:rPr>
          <w:rFonts w:hint="eastAsia" w:ascii="仿宋" w:hAnsi="仿宋" w:eastAsia="仿宋" w:cs="仿宋"/>
          <w:b/>
          <w:color w:val="auto"/>
          <w:sz w:val="24"/>
          <w:szCs w:val="24"/>
          <w:highlight w:val="none"/>
        </w:rPr>
        <w:t xml:space="preserve">盐城市政府采购合同（服务）（合同编号）</w:t>
      </w:r>
      <w:bookmarkEnd w:id="283"/>
      <w:r/>
      <w:bookmarkEnd w:id="284"/>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b w:val="0"/>
          <w:bCs/>
          <w:color w:val="auto"/>
          <w:sz w:val="24"/>
          <w:szCs w:val="24"/>
          <w:highlight w:val="none"/>
          <w:u w:val="single"/>
          <w:lang w:eastAsia="zh-CN"/>
        </w:rPr>
        <w:t xml:space="preserve">滨海县公安局交通管理大队涉案车辆清拖及保管服务项目</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b w:val="0"/>
          <w:bCs/>
          <w:color w:val="auto"/>
          <w:sz w:val="24"/>
          <w:szCs w:val="24"/>
          <w:highlight w:val="none"/>
          <w:u w:val="single"/>
          <w:lang w:eastAsia="zh-CN"/>
        </w:rPr>
        <w:t xml:space="preserve">JSZC-320922-JSJS-G2026-0004</w:t>
      </w:r>
      <w:r/>
    </w:p>
    <w:p>
      <w:pPr>
        <w:pStyle w:val="713"/>
        <w:ind w:left="0" w:firstLine="480"/>
        <w:jc w:val="both"/>
        <w:keepLines w:val="0"/>
        <w:keepNext w:val="0"/>
        <w:pageBreakBefore w:val="0"/>
        <w:spacing w:beforeAutospacing="0" w:afterAutospacing="0" w:line="52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滨海县公安局</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中标供应商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：_________</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甲方组织并委托</w:t>
      </w:r>
      <w:r>
        <w:rPr>
          <w:rFonts w:hint="eastAsia" w:ascii="仿宋" w:hAnsi="仿宋" w:eastAsia="仿宋" w:cs="仿宋"/>
          <w:b w:val="0"/>
          <w:bCs/>
          <w:color w:val="auto"/>
          <w:sz w:val="24"/>
          <w:szCs w:val="24"/>
          <w:highlight w:val="none"/>
          <w:u w:val="single"/>
        </w:rPr>
        <w:t xml:space="preserve">江苏建世工程咨询有限公司</w:t>
      </w:r>
      <w:r>
        <w:rPr>
          <w:rFonts w:hint="eastAsia" w:ascii="仿宋" w:hAnsi="仿宋" w:eastAsia="仿宋" w:cs="仿宋"/>
          <w:b w:val="0"/>
          <w:bCs/>
          <w:color w:val="auto"/>
          <w:sz w:val="24"/>
          <w:szCs w:val="24"/>
          <w:highlight w:val="none"/>
        </w:rPr>
        <w:t xml:space="preserve">实施的</w:t>
      </w:r>
      <w:r>
        <w:rPr>
          <w:rFonts w:hint="eastAsia" w:ascii="仿宋" w:hAnsi="仿宋" w:eastAsia="仿宋" w:cs="仿宋"/>
          <w:b w:val="0"/>
          <w:bCs/>
          <w:color w:val="auto"/>
          <w:sz w:val="24"/>
          <w:szCs w:val="24"/>
          <w:highlight w:val="none"/>
          <w:u w:val="single"/>
          <w:lang w:eastAsia="zh-CN"/>
        </w:rPr>
        <w:t xml:space="preserve">滨海县公安局交通管理大队涉案车辆清拖及保管服务项目</w:t>
      </w:r>
      <w:r>
        <w:rPr>
          <w:rFonts w:hint="eastAsia" w:ascii="仿宋" w:hAnsi="仿宋" w:eastAsia="仿宋" w:cs="仿宋"/>
          <w:b w:val="0"/>
          <w:bCs/>
          <w:color w:val="auto"/>
          <w:sz w:val="24"/>
          <w:szCs w:val="24"/>
          <w:highlight w:val="none"/>
        </w:rPr>
        <w:t xml:space="preserve">（采购项目编号：</w:t>
      </w:r>
      <w:r>
        <w:rPr>
          <w:rFonts w:hint="eastAsia" w:ascii="仿宋" w:hAnsi="仿宋" w:eastAsia="仿宋" w:cs="仿宋"/>
          <w:b w:val="0"/>
          <w:bCs/>
          <w:color w:val="auto"/>
          <w:sz w:val="24"/>
          <w:szCs w:val="24"/>
          <w:highlight w:val="none"/>
          <w:u w:val="single"/>
          <w:lang w:eastAsia="zh-CN"/>
        </w:rPr>
        <w:t xml:space="preserve">JSZC-320922-JSJS-G2026-0004</w:t>
      </w:r>
      <w:r>
        <w:rPr>
          <w:rFonts w:hint="eastAsia" w:ascii="仿宋" w:hAnsi="仿宋" w:eastAsia="仿宋" w:cs="仿宋"/>
          <w:b w:val="0"/>
          <w:bCs/>
          <w:color w:val="auto"/>
          <w:sz w:val="24"/>
          <w:szCs w:val="24"/>
          <w:highlight w:val="none"/>
        </w:rPr>
        <w:t xml:space="preserve">）招标活动，确认乙方为中标供应商。现依据《中华人民共和国民法典》和其他有关法规，经甲、乙两方协商，就有关事项达成如下合同，双方同意严格执行本合同规定的所有条款。</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5" w:name="_Toc14128"/>
      <w:r/>
      <w:bookmarkStart w:id="286" w:name="_Toc29329"/>
      <w:r>
        <w:rPr>
          <w:rFonts w:hint="eastAsia" w:ascii="仿宋" w:hAnsi="仿宋" w:eastAsia="仿宋" w:cs="仿宋"/>
          <w:b/>
          <w:color w:val="auto"/>
          <w:sz w:val="24"/>
          <w:szCs w:val="24"/>
          <w:highlight w:val="none"/>
        </w:rPr>
        <w:t xml:space="preserve">一、合同内容</w:t>
      </w:r>
      <w:bookmarkEnd w:id="285"/>
      <w:r/>
      <w:bookmarkEnd w:id="286"/>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bookmarkStart w:id="287" w:name="_Toc24720"/>
      <w:r/>
      <w:bookmarkStart w:id="288" w:name="_Toc9650"/>
      <w:r>
        <w:rPr>
          <w:rFonts w:hint="eastAsia" w:ascii="仿宋" w:hAnsi="仿宋" w:eastAsia="仿宋" w:cs="仿宋"/>
          <w:color w:val="auto"/>
          <w:sz w:val="24"/>
          <w:szCs w:val="24"/>
          <w:highlight w:val="none"/>
        </w:rPr>
        <w:t xml:space="preserve">1.1 标的名称：</w:t>
      </w:r>
      <w:r>
        <w:rPr>
          <w:rFonts w:hint="eastAsia" w:ascii="仿宋" w:hAnsi="仿宋" w:eastAsia="仿宋" w:cs="仿宋"/>
          <w:color w:val="auto"/>
          <w:sz w:val="24"/>
          <w:szCs w:val="24"/>
          <w:highlight w:val="none"/>
          <w:u w:val="single"/>
          <w:lang w:eastAsia="zh-CN"/>
        </w:rPr>
        <w:t xml:space="preserve">滨海县公安局交通管理大队涉案车辆清拖及保管服务项目</w:t>
      </w:r>
      <w:r/>
    </w:p>
    <w:p>
      <w:pPr>
        <w:ind w:left="40" w:right="20" w:firstLine="482"/>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1.2</w:t>
      </w:r>
      <w:r>
        <w:rPr>
          <w:rFonts w:hint="eastAsia" w:ascii="仿宋" w:hAnsi="仿宋" w:eastAsia="仿宋" w:cs="仿宋"/>
          <w:b w:val="0"/>
          <w:bCs/>
          <w:color w:val="auto"/>
          <w:sz w:val="24"/>
          <w:szCs w:val="24"/>
          <w:highlight w:val="none"/>
          <w:lang w:val="zh-CN"/>
        </w:rPr>
        <w:t xml:space="preserve">委托停放保管车辆范围：</w:t>
      </w:r>
      <w:r>
        <w:rPr>
          <w:rFonts w:hint="eastAsia" w:ascii="仿宋" w:hAnsi="仿宋" w:eastAsia="仿宋" w:cs="仿宋"/>
          <w:b w:val="0"/>
          <w:bCs/>
          <w:color w:val="auto"/>
          <w:sz w:val="24"/>
          <w:szCs w:val="24"/>
          <w:highlight w:val="none"/>
          <w:u w:val="single"/>
          <w:lang w:val="zh-CN"/>
        </w:rPr>
        <w:t xml:space="preserve">甲方委托乙方停放保管因交通事故、交通违法以及其它法定情形由甲方扣留、扣押、拖移的车辆等</w:t>
      </w:r>
      <w:r>
        <w:rPr>
          <w:rFonts w:hint="eastAsia" w:ascii="仿宋" w:hAnsi="仿宋" w:eastAsia="仿宋" w:cs="仿宋"/>
          <w:b w:val="0"/>
          <w:bCs/>
          <w:color w:val="auto"/>
          <w:sz w:val="24"/>
          <w:szCs w:val="24"/>
          <w:highlight w:val="none"/>
          <w:lang w:val="zh-CN"/>
        </w:rPr>
        <w:t xml:space="preserve">。</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服务期</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1年（自合同签订之日起）</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地点：</w:t>
      </w:r>
      <w:r>
        <w:rPr>
          <w:rFonts w:hint="eastAsia" w:ascii="仿宋" w:hAnsi="仿宋" w:eastAsia="仿宋" w:cs="仿宋"/>
          <w:color w:val="auto"/>
          <w:sz w:val="24"/>
          <w:szCs w:val="24"/>
          <w:highlight w:val="none"/>
          <w:u w:val="single"/>
          <w:lang w:val="en-US" w:eastAsia="zh-CN"/>
        </w:rPr>
        <w:t xml:space="preserve">江苏省盐城市滨海县境内</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b/>
          <w:color w:val="auto"/>
          <w:sz w:val="24"/>
          <w:szCs w:val="24"/>
          <w:highlight w:val="none"/>
        </w:rPr>
        <w:t xml:space="preserve">二、合同金额</w:t>
      </w:r>
      <w:bookmarkEnd w:id="287"/>
      <w:r/>
      <w:bookmarkEnd w:id="288"/>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1.合同价=最高限价*（1-优惠率），最终结算价不得高于预算；最终结算价格如低于预算， 按实计算，结算价=最高单价限价*（1-优惠率）*实际车辆类型的数量，如高于预算，按合同价结算，且投标人不得因此停止提供服务或降低服务质量。</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本合同金额为（大写）：______________圆（_________元）人民币或其他币种。</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bookmarkStart w:id="289" w:name="_Toc32304"/>
      <w:r/>
      <w:bookmarkStart w:id="290" w:name="_Toc2058"/>
      <w:r>
        <w:rPr>
          <w:rFonts w:hint="eastAsia" w:ascii="仿宋" w:hAnsi="仿宋" w:eastAsia="仿宋" w:cs="仿宋"/>
          <w:b/>
          <w:bCs w:val="0"/>
          <w:color w:val="auto"/>
          <w:sz w:val="24"/>
          <w:szCs w:val="24"/>
          <w:highlight w:val="none"/>
        </w:rPr>
        <w:t xml:space="preserve">三、</w:t>
      </w:r>
      <w:bookmarkEnd w:id="289"/>
      <w:r/>
      <w:bookmarkEnd w:id="290"/>
      <w:r>
        <w:rPr>
          <w:rFonts w:hint="eastAsia" w:ascii="仿宋" w:hAnsi="仿宋" w:eastAsia="仿宋" w:cs="仿宋"/>
          <w:b/>
          <w:bCs w:val="0"/>
          <w:color w:val="auto"/>
          <w:sz w:val="24"/>
          <w:szCs w:val="24"/>
          <w:highlight w:val="none"/>
          <w:lang w:val="zh-CN"/>
        </w:rPr>
        <w:t xml:space="preserve">甲方向乙方支付的费用，包括：</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甲方依法扣留、扣押的交通事故车辆的停放保管</w:t>
      </w:r>
      <w:r>
        <w:rPr>
          <w:rFonts w:hint="eastAsia" w:ascii="仿宋" w:hAnsi="仿宋" w:eastAsia="仿宋" w:cs="仿宋"/>
          <w:b w:val="0"/>
          <w:bCs/>
          <w:color w:val="auto"/>
          <w:sz w:val="24"/>
          <w:szCs w:val="24"/>
          <w:highlight w:val="none"/>
        </w:rPr>
        <w:t xml:space="preserve">的场地租赁</w:t>
      </w:r>
      <w:r>
        <w:rPr>
          <w:rFonts w:hint="eastAsia" w:ascii="仿宋" w:hAnsi="仿宋" w:eastAsia="仿宋" w:cs="仿宋"/>
          <w:b w:val="0"/>
          <w:bCs/>
          <w:color w:val="auto"/>
          <w:sz w:val="24"/>
          <w:szCs w:val="24"/>
          <w:highlight w:val="none"/>
          <w:lang w:val="zh-CN"/>
        </w:rPr>
        <w:t xml:space="preserve">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甲方依法扣留、扣押的违停及交通违法车辆的停放保管</w:t>
      </w:r>
      <w:r>
        <w:rPr>
          <w:rFonts w:hint="eastAsia" w:ascii="仿宋" w:hAnsi="仿宋" w:eastAsia="仿宋" w:cs="仿宋"/>
          <w:b w:val="0"/>
          <w:bCs/>
          <w:color w:val="auto"/>
          <w:sz w:val="24"/>
          <w:szCs w:val="24"/>
          <w:highlight w:val="none"/>
        </w:rPr>
        <w:t xml:space="preserve">的场地租赁</w:t>
      </w:r>
      <w:r>
        <w:rPr>
          <w:rFonts w:hint="eastAsia" w:ascii="仿宋" w:hAnsi="仿宋" w:eastAsia="仿宋" w:cs="仿宋"/>
          <w:b w:val="0"/>
          <w:bCs/>
          <w:color w:val="auto"/>
          <w:sz w:val="24"/>
          <w:szCs w:val="24"/>
          <w:highlight w:val="none"/>
          <w:lang w:val="zh-CN"/>
        </w:rPr>
        <w:t xml:space="preserve">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甲方因依法扣留、扣押车辆而产生的拖移费用。 </w:t>
      </w:r>
      <w:r/>
    </w:p>
    <w:p>
      <w:pPr>
        <w:ind w:left="40" w:right="20" w:firstLine="482"/>
        <w:jc w:val="left"/>
        <w:spacing w:line="540" w:lineRule="exact"/>
        <w:rPr>
          <w:rFonts w:hint="eastAsia" w:ascii="仿宋" w:hAnsi="仿宋" w:eastAsia="仿宋" w:cs="仿宋"/>
          <w:b w:val="0"/>
          <w:bCs/>
          <w:color w:val="auto"/>
          <w:sz w:val="24"/>
          <w:szCs w:val="24"/>
          <w:highlight w:val="none"/>
          <w:lang w:val="zh-CN"/>
        </w:rPr>
      </w:pPr>
      <w:r/>
      <w:bookmarkStart w:id="291" w:name="_Toc21013"/>
      <w:r/>
      <w:bookmarkStart w:id="292" w:name="_Toc12840"/>
      <w:r>
        <w:rPr>
          <w:rFonts w:hint="eastAsia" w:ascii="仿宋" w:hAnsi="仿宋" w:eastAsia="仿宋" w:cs="仿宋"/>
          <w:b/>
          <w:color w:val="auto"/>
          <w:sz w:val="24"/>
          <w:szCs w:val="24"/>
          <w:highlight w:val="none"/>
        </w:rPr>
        <w:t xml:space="preserve">四、</w:t>
      </w:r>
      <w:bookmarkEnd w:id="291"/>
      <w:r/>
      <w:bookmarkEnd w:id="292"/>
      <w:r>
        <w:rPr>
          <w:rFonts w:hint="eastAsia" w:ascii="仿宋" w:hAnsi="仿宋" w:eastAsia="仿宋" w:cs="仿宋"/>
          <w:b/>
          <w:bCs w:val="0"/>
          <w:color w:val="auto"/>
          <w:sz w:val="24"/>
          <w:szCs w:val="24"/>
          <w:highlight w:val="none"/>
          <w:lang w:val="zh-CN"/>
        </w:rPr>
        <w:t xml:space="preserve">甲方向乙方支付的费用，不包括：</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lang w:val="zh-CN"/>
        </w:rPr>
        <w:t xml:space="preserve">违法停放车辆被拖移至停车场产生的停放保管费用；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当事人未按交警部门通知要求，逾期领取车辆产生的停放保管费用；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当事人发生交通事故，因排除妨碍而产生的施救费。</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上述费用，乙方应按照规定收费标准，规范向当事人收取。</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bookmarkStart w:id="293" w:name="_Toc25766"/>
      <w:r/>
      <w:bookmarkStart w:id="294" w:name="_Toc28844"/>
      <w:r>
        <w:rPr>
          <w:rFonts w:hint="eastAsia" w:ascii="仿宋" w:hAnsi="仿宋" w:eastAsia="仿宋" w:cs="仿宋"/>
          <w:b/>
          <w:color w:val="auto"/>
          <w:sz w:val="24"/>
          <w:szCs w:val="24"/>
          <w:highlight w:val="none"/>
        </w:rPr>
        <w:t xml:space="preserve">五、</w:t>
      </w:r>
      <w:bookmarkEnd w:id="293"/>
      <w:r/>
      <w:bookmarkEnd w:id="294"/>
      <w:r>
        <w:rPr>
          <w:rFonts w:hint="eastAsia" w:ascii="仿宋" w:hAnsi="仿宋" w:eastAsia="仿宋" w:cs="仿宋"/>
          <w:b/>
          <w:bCs w:val="0"/>
          <w:color w:val="auto"/>
          <w:sz w:val="24"/>
          <w:szCs w:val="24"/>
          <w:highlight w:val="none"/>
          <w:lang w:val="zh-CN"/>
        </w:rPr>
        <w:t xml:space="preserve">费用支付标准及支付方式：</w:t>
      </w:r>
      <w:r/>
    </w:p>
    <w:p>
      <w:pPr>
        <w:ind w:left="40" w:right="20" w:firstLine="480"/>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场地租赁费按固定总价结算，清拖服务费按实结算</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最高单价限价*（1-优惠率）]*实际车辆类型的数量，如高于预算，按合同价结算，且投标人不得因此停止提供服务或降低服务质量</w:t>
      </w:r>
      <w:r>
        <w:rPr>
          <w:rFonts w:hint="eastAsia" w:ascii="仿宋" w:hAnsi="仿宋" w:eastAsia="仿宋" w:cs="仿宋"/>
          <w:b w:val="0"/>
          <w:bCs/>
          <w:color w:val="auto"/>
          <w:sz w:val="24"/>
          <w:szCs w:val="24"/>
          <w:highlight w:val="none"/>
        </w:rPr>
        <w:t xml:space="preserve">。</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2</w:t>
      </w:r>
      <w:bookmarkStart w:id="295" w:name="_Toc28403"/>
      <w:r/>
      <w:bookmarkStart w:id="296" w:name="_Toc17194"/>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eastAsia="zh-CN"/>
        </w:rPr>
        <w:t xml:space="preserve">合同款项的支付方式及进度安排：合同签订后，支付最高限价</w:t>
      </w:r>
      <w:r>
        <w:rPr>
          <w:rFonts w:hint="eastAsia" w:ascii="仿宋" w:hAnsi="仿宋" w:eastAsia="仿宋" w:cs="仿宋"/>
          <w:b w:val="0"/>
          <w:bCs/>
          <w:color w:val="auto"/>
          <w:sz w:val="24"/>
          <w:szCs w:val="24"/>
          <w:highlight w:val="none"/>
        </w:rPr>
        <w:t xml:space="preserve">*（1-投标优惠率）的30%作为预付款；</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进度款结算与支付：中标供应商须与采购人按月核对当期结算金额，采购人按季度支付已确认的累计结算款项。</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尾款结算：项目最后一次结算时，采购人从应付结算总金额中一次性扣除已支付的全部预付款，按扣除后的余额完成最终款项支付，至此双方款项结清。</w:t>
      </w:r>
      <w:r/>
    </w:p>
    <w:p>
      <w:pPr>
        <w:ind w:left="40" w:right="20" w:firstLine="482"/>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注：每次付款前，中标人应依法提供相应的税务发票及其他相关付款凭证。</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rPr>
        <w:t xml:space="preserve">六、</w:t>
      </w:r>
      <w:r>
        <w:rPr>
          <w:rFonts w:hint="eastAsia" w:ascii="仿宋" w:hAnsi="仿宋" w:eastAsia="仿宋" w:cs="仿宋"/>
          <w:b/>
          <w:bCs w:val="0"/>
          <w:color w:val="auto"/>
          <w:sz w:val="24"/>
          <w:szCs w:val="24"/>
          <w:highlight w:val="none"/>
          <w:lang w:val="zh-CN"/>
        </w:rPr>
        <w:t xml:space="preserve">甲乙双方的权利和义务：</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乙方应具备开设停车场的能力，提供有效的营业执照、收费许可证等资质文件，具备一定面积的停车场地，必要的防火、防盗、防水等安全设施，配备抢险施救拖移车辆、设备、人员。</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明确专人做好停放车辆的登记、发还和计费核算工作，保证停车场24小时有专人看守，并确保甲方委托停放保管的车辆有序、完好。如在乙方保管期间发生损坏、缺失、盗用,由乙方负责赔偿，损失金额以物价部门认证的价格或法院裁判确定的价格为准。</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甲方应在法律规定的期限内及时向当事人开具《领取车辆通知书》，乙方凭《领取车辆通知书》核对相关证件后向当事人发还车辆。</w:t>
      </w:r>
      <w:r/>
    </w:p>
    <w:p>
      <w:pPr>
        <w:ind w:left="40" w:right="20" w:firstLine="480"/>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zh-CN"/>
        </w:rPr>
        <w:t xml:space="preserve">4</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依据本协议第二条由甲方负担的拖移、停车保管费用，严禁乙方向扣留、扣押车辆的相关当事人收取。</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甲方应定期对乙方停车情况进行检查、监督，一旦发现乙方有违规收取费用的情况，应督促乙方无条件退费，情节严重的可以中止委托。</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5</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乙方应按照甲方要求将需要公示的内容在显著位置张贴上墙并保持内容清晰完整，接受外界监督。</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6</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乙方妥善保管《领取车辆通知书》并每月填写《扣押车辆停放保管（拖移）费用结算汇总单》，及时按照程序完成相关审批手续。</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lang w:val="zh-CN"/>
        </w:rPr>
        <w:t xml:space="preserve">甲方应书面提醒扣留、扣押、拖移车辆的当事人在收到《领取车辆通知书》后在指定期限内及时到乙方停车场领取车辆，如在指定期限内未及时领取的，乙方可以按规定收取应收取的停车保管费用。</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履约保证金</w:t>
      </w:r>
      <w:bookmarkEnd w:id="295"/>
      <w:r/>
      <w:bookmarkEnd w:id="296"/>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乙方交纳人民币_________元作为本合同的履约保证金。</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rPr>
        <w:t xml:space="preserve">中标单位在签订合同前须向</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缴纳中标总价5%的履约保证金，在项目结束验收合格后退还。如中标单位被第三方信用服务机构依据标准规范评定为AA级及以上的政府采购供应商（须在签订采购合同前提供信用管理部门备案的第三方信用报告，且信用报告通过“信用盐城网”可查实），</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将降低履约保证金缴纳金额为中标价的2.5%。</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2.确需收取履约保证金的，</w:t>
      </w:r>
      <w:r>
        <w:rPr>
          <w:rFonts w:hint="eastAsia" w:ascii="仿宋" w:hAnsi="仿宋" w:eastAsia="仿宋" w:cs="仿宋"/>
          <w:color w:val="auto"/>
          <w:sz w:val="24"/>
          <w:szCs w:val="24"/>
          <w:highlight w:val="none"/>
          <w:lang w:eastAsia="zh-CN"/>
        </w:rPr>
        <w:t xml:space="preserve">履约保证金的缴纳形式：</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供应商应当以支票、汇票、本票或者金融机构、担保机构出具的保函等非现金形式提交</w:t>
      </w:r>
      <w:r>
        <w:rPr>
          <w:rFonts w:hint="eastAsia" w:ascii="仿宋" w:hAnsi="仿宋" w:eastAsia="仿宋" w:cs="仿宋"/>
          <w:color w:val="auto"/>
          <w:sz w:val="24"/>
          <w:szCs w:val="24"/>
          <w:highlight w:val="none"/>
          <w:lang w:eastAsia="zh-CN"/>
        </w:rPr>
        <w:t xml:space="preserve">履约保证金</w:t>
      </w:r>
      <w:r>
        <w:rPr>
          <w:rFonts w:hint="eastAsia" w:ascii="仿宋" w:hAnsi="仿宋" w:eastAsia="仿宋" w:cs="仿宋"/>
          <w:color w:val="auto"/>
          <w:sz w:val="24"/>
          <w:szCs w:val="24"/>
          <w:highlight w:val="none"/>
        </w:rPr>
        <w:t xml:space="preserve">。依据《关于在全省政府采购领域推行电子履约保函（保险）的通知》，鼓励供应商自愿使用</w:t>
      </w:r>
      <w:r>
        <w:rPr>
          <w:rFonts w:hint="eastAsia" w:ascii="仿宋" w:hAnsi="仿宋" w:eastAsia="仿宋" w:cs="仿宋"/>
          <w:color w:val="auto"/>
          <w:sz w:val="24"/>
          <w:szCs w:val="24"/>
          <w:highlight w:val="none"/>
          <w:lang w:eastAsia="zh-CN"/>
        </w:rPr>
        <w:t xml:space="preserve">电子</w:t>
      </w:r>
      <w:r>
        <w:rPr>
          <w:rFonts w:hint="eastAsia" w:ascii="仿宋" w:hAnsi="仿宋" w:eastAsia="仿宋" w:cs="仿宋"/>
          <w:color w:val="auto"/>
          <w:sz w:val="24"/>
          <w:szCs w:val="24"/>
          <w:highlight w:val="none"/>
        </w:rPr>
        <w:t xml:space="preserve">履约保函（保险）代替缴纳履约保证金</w:t>
      </w:r>
      <w:r>
        <w:rPr>
          <w:rFonts w:hint="eastAsia" w:ascii="仿宋" w:hAnsi="仿宋" w:eastAsia="仿宋" w:cs="仿宋"/>
          <w:color w:val="auto"/>
          <w:sz w:val="24"/>
          <w:szCs w:val="24"/>
          <w:highlight w:val="none"/>
          <w:lang w:eastAsia="zh-CN"/>
        </w:rPr>
        <w:t xml:space="preserve">。</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2.2如以履约保函（保险）形式缴纳履约保证金，供应商可通过政府采购电子履约保函（保险）平台（www.jsdzbh.com）在线申请履约保函（保险）。</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合同履行结束后，甲方应及时退还交纳的履约保证金。</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履约保证金的退还：</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.1方式：退还至</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缴纳履约保证金的账户。如为保函，在到期时自行失效。</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.2时间：验收合格且采购人收到发票后30日内。</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.3条件：按合同要求全部履约完成并经采购人验收合格，且采购人收到</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出具的发票。</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.4不予退还情形：</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除不可抗力情况外，</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出现下列情形之一的，其履约保证金，</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将视情节决定不予退还或部分不予退还。</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无正当理由拒绝签订合同的，或者在签订合同时向采购人提出附加条件或者更改合同实质性内容要求的；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不履行与采购人订立的合同的；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所供货物或服务不符合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规定要求的；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采取欺骗、弄虚作假方式投标的或与其它</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串通投标的；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将合同内容转包、违法分包的；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故意捏造事实或伪造证明材料，进行虚假恶意投诉或反映的。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97" w:name="_Toc25111"/>
      <w:r/>
      <w:bookmarkStart w:id="298" w:name="_Toc13672"/>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、合同转包或分包</w:t>
      </w:r>
      <w:bookmarkEnd w:id="297"/>
      <w:r/>
      <w:bookmarkEnd w:id="298"/>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乙方不得将合同标的转包给他人履行。</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乙方不得将合同标的转包给他人履行；未经甲方书面同意，乙方不得将合同标的分包给他人履行，经同意的分包部分不得再次分包。</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乙方如有转包或未经甲方同意的分包行为，甲方有权解除合同。</w:t>
      </w:r>
      <w:r/>
    </w:p>
    <w:p>
      <w:pPr>
        <w:pStyle w:val="683"/>
        <w:ind w:left="0"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outlineLvl w:val="0"/>
        <w:suppressLineNumbers w:val="0"/>
      </w:pPr>
      <w:r/>
      <w:bookmarkStart w:id="299" w:name="_Toc16528"/>
      <w:r/>
      <w:bookmarkStart w:id="300" w:name="_Toc28638"/>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w:t>
      </w:r>
      <w:bookmarkEnd w:id="299"/>
      <w:r/>
      <w:bookmarkEnd w:id="300"/>
      <w:r/>
      <w:bookmarkStart w:id="301" w:name="_Toc26756"/>
      <w:r/>
      <w:bookmarkStart w:id="302" w:name="_Toc25065"/>
      <w:r>
        <w:rPr>
          <w:rFonts w:hint="eastAsia" w:ascii="仿宋" w:hAnsi="仿宋" w:eastAsia="仿宋" w:cs="仿宋"/>
          <w:b/>
          <w:color w:val="auto"/>
          <w:sz w:val="24"/>
          <w:szCs w:val="24"/>
          <w:highlight w:val="none"/>
        </w:rPr>
        <w:t xml:space="preserve">税费</w:t>
      </w:r>
      <w:bookmarkEnd w:id="301"/>
      <w:r/>
      <w:bookmarkEnd w:id="302"/>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本合同执行中相关的一切税费均由乙方负担。</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303" w:name="_Toc1712"/>
      <w:r/>
      <w:bookmarkStart w:id="304" w:name="_Toc3447"/>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w:t>
      </w:r>
      <w:bookmarkEnd w:id="303"/>
      <w:r/>
      <w:bookmarkEnd w:id="304"/>
      <w:r/>
      <w:bookmarkStart w:id="305" w:name="_Toc18970"/>
      <w:r/>
      <w:bookmarkStart w:id="306" w:name="_Toc32346"/>
      <w:r>
        <w:rPr>
          <w:rFonts w:hint="eastAsia" w:ascii="仿宋" w:hAnsi="仿宋" w:eastAsia="仿宋" w:cs="仿宋"/>
          <w:b/>
          <w:color w:val="auto"/>
          <w:sz w:val="24"/>
          <w:szCs w:val="24"/>
          <w:highlight w:val="none"/>
        </w:rPr>
        <w:t xml:space="preserve">违约责任</w:t>
      </w:r>
      <w:bookmarkEnd w:id="305"/>
      <w:r/>
      <w:bookmarkEnd w:id="306"/>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甲方无正当理由拒绝接受乙方提供服务的，甲方向乙方偿付拒绝接受服务合同价款总值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甲方无故逾期验收和办理合同款项支付手续的,甲方应按逾期付款总额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每日向乙方支付违约金。</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的违约金，如造成甲方损失超过违约金的，超出部分由乙方继续承担赔偿责任。 </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乙方所提供服务的标准不符合合同规定及</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规定标准的，甲方有权拒绝接受服务，并可单方面解除合同。</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7" w:name="_Toc24785"/>
      <w:r/>
      <w:bookmarkStart w:id="308" w:name="_Toc17231"/>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、不可抗力事件处理</w:t>
      </w:r>
      <w:bookmarkEnd w:id="307"/>
      <w:r/>
      <w:bookmarkEnd w:id="308"/>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在合同有效期内，任何一方因不可抗力事件导致不能履行合同，则合同履行期可延长，其延长期与不可抗力影响 期相同。</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不可抗力事件发生后，应立即通知对方，并寄送有关权威机构出具的证明。</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不可抗力事件延续120天以上，双方应通过友好协商，确定是否继续履行合同。</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9" w:name="_Toc32760"/>
      <w:r/>
      <w:bookmarkStart w:id="310" w:name="_Toc17217"/>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rPr>
        <w:t xml:space="preserve">、解决争议的方法</w:t>
      </w:r>
      <w:bookmarkEnd w:id="309"/>
      <w:r/>
      <w:bookmarkEnd w:id="310"/>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双方在签订、履行合同中所发生的一切争议，应通过友好协商解决。如协商不成，由甲方住所地人民法院管辖。</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11" w:name="_Toc23819"/>
      <w:r/>
      <w:bookmarkStart w:id="312" w:name="_Toc7910"/>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、合同生效及其</w:t>
      </w:r>
      <w:r>
        <w:rPr>
          <w:rFonts w:hint="eastAsia" w:ascii="仿宋" w:hAnsi="仿宋" w:eastAsia="仿宋" w:cs="仿宋"/>
          <w:b/>
          <w:color w:val="auto"/>
          <w:sz w:val="24"/>
          <w:szCs w:val="24"/>
          <w:highlight w:val="none"/>
          <w:lang w:eastAsia="zh-CN"/>
        </w:rPr>
        <w:t xml:space="preserve">他</w:t>
      </w:r>
      <w:bookmarkEnd w:id="311"/>
      <w:r/>
      <w:bookmarkEnd w:id="312"/>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合同经双方法定代表人或授权委托代表人签字并加盖单位公章后生效。</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本合同未尽事宜，遵照《民法典》、《政府采购法》有关条文执行。</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本合同正本一式两份，具有同等法律效力，甲方、乙方各执一份。</w:t>
      </w:r>
      <w:r/>
    </w:p>
    <w:p>
      <w:pPr>
        <w:pStyle w:val="713"/>
        <w:ind w:left="480" w:hanging="480"/>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甲方：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 </w:t>
      </w:r>
      <w:r/>
    </w:p>
    <w:p>
      <w:pPr>
        <w:pStyle w:val="713"/>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地址：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地址： </w:t>
      </w:r>
      <w:r/>
    </w:p>
    <w:p>
      <w:pPr>
        <w:pStyle w:val="713"/>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w:t>
      </w:r>
      <w:r/>
    </w:p>
    <w:p>
      <w:pPr>
        <w:pStyle w:val="713"/>
        <w:ind w:firstLine="480"/>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联系电话：          </w:t>
      </w:r>
      <w:r/>
    </w:p>
    <w:p>
      <w:pPr>
        <w:pStyle w:val="713"/>
        <w:jc w:val="right"/>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签订日期：      年    月   日</w:t>
      </w:r>
      <w:bookmarkStart w:id="313" w:name="_Toc479757211"/>
      <w:r/>
      <w:bookmarkStart w:id="314" w:name="_Toc16938590"/>
      <w:r/>
      <w:bookmarkStart w:id="315" w:name="_Hlt16619350"/>
      <w:r/>
      <w:bookmarkStart w:id="316" w:name="_Toc120614244"/>
      <w:r/>
      <w:bookmarkStart w:id="317" w:name="_Toc20823346"/>
      <w:r/>
      <w:bookmarkStart w:id="318" w:name="_Toc462564139"/>
      <w:r/>
      <w:r/>
    </w:p>
    <w:p>
      <w:pPr>
        <w:pStyle w:val="713"/>
        <w:ind w:firstLine="480"/>
        <w:jc w:val="center"/>
        <w:keepLines w:val="0"/>
        <w:keepNext w:val="0"/>
        <w:pageBreakBefore w:val="0"/>
        <w:spacing w:before="120" w:beforeAutospacing="0" w:after="120" w:afterAutospacing="0" w:line="240" w:lineRule="auto"/>
        <w:widowControl w:val="off"/>
        <w:rPr>
          <w:rFonts w:hint="eastAsia" w:ascii="方正小标宋简体" w:hAnsi="方正小标宋简体" w:eastAsia="方正小标宋简体" w:cs="方正小标宋简体"/>
          <w:color w:val="auto"/>
          <w:sz w:val="44"/>
          <w:szCs w:val="44"/>
          <w:highlight w:val="none"/>
        </w:rPr>
        <w:outlineLvl w:val="0"/>
      </w:pPr>
      <w:r>
        <w:rPr>
          <w:rFonts w:hint="eastAsia" w:ascii="黑体" w:hAnsi="宋体" w:eastAsia="黑体" w:cs="黑体"/>
          <w:color w:val="auto"/>
          <w:sz w:val="24"/>
          <w:szCs w:val="24"/>
          <w:highlight w:val="none"/>
        </w:rPr>
        <w:br w:type="page" w:clear="all"/>
      </w:r>
      <w:bookmarkStart w:id="319" w:name="_Toc24312"/>
      <w:r/>
      <w:bookmarkStart w:id="320" w:name="_Toc11181"/>
      <w:r>
        <w:rPr>
          <w:rFonts w:hint="eastAsia" w:ascii="方正小标宋简体" w:hAnsi="方正小标宋简体" w:eastAsia="方正小标宋简体" w:cs="方正小标宋简体"/>
          <w:color w:val="auto"/>
          <w:sz w:val="44"/>
          <w:szCs w:val="44"/>
          <w:highlight w:val="none"/>
        </w:rPr>
        <w:t xml:space="preserve"> 第</w:t>
      </w:r>
      <w:bookmarkEnd w:id="313"/>
      <w:r>
        <w:rPr>
          <w:rFonts w:hint="eastAsia" w:ascii="方正小标宋简体" w:hAnsi="方正小标宋简体" w:eastAsia="方正小标宋简体" w:cs="方正小标宋简体"/>
          <w:color w:val="auto"/>
          <w:sz w:val="44"/>
          <w:szCs w:val="44"/>
          <w:highlight w:val="none"/>
        </w:rPr>
        <w:t xml:space="preserve">四章 采购需求</w:t>
      </w:r>
      <w:bookmarkEnd w:id="314"/>
      <w:r/>
      <w:bookmarkEnd w:id="315"/>
      <w:r/>
      <w:bookmarkEnd w:id="316"/>
      <w:r/>
      <w:bookmarkEnd w:id="317"/>
      <w:r/>
      <w:bookmarkEnd w:id="318"/>
      <w:r/>
      <w:bookmarkEnd w:id="319"/>
      <w:r/>
      <w:bookmarkEnd w:id="320"/>
      <w:r/>
      <w:r/>
    </w:p>
    <w:p>
      <w:pPr>
        <w:ind w:left="0" w:firstLine="482"/>
        <w:jc w:val="center"/>
        <w:keepLines w:val="0"/>
        <w:keepNext w:val="0"/>
        <w:pageBreakBefore w:val="0"/>
        <w:spacing w:before="0" w:after="0" w:line="520" w:lineRule="exact"/>
        <w:rPr>
          <w:rFonts w:hint="eastAsia" w:ascii="仿宋" w:hAnsi="仿宋" w:eastAsia="仿宋" w:cs="仿宋"/>
          <w:b/>
          <w:bCs/>
          <w:color w:val="auto"/>
          <w:sz w:val="24"/>
          <w:szCs w:val="24"/>
          <w:highlight w:val="none"/>
          <w:lang w:val="en-US" w:eastAsia="zh-CN" w:bidi="ar-SA"/>
        </w:rPr>
        <w:outlineLvl w:val="1"/>
      </w:pPr>
      <w:r/>
      <w:bookmarkStart w:id="321" w:name="_Toc3556"/>
      <w:r>
        <w:rPr>
          <w:rFonts w:hint="eastAsia" w:ascii="仿宋" w:hAnsi="仿宋" w:eastAsia="仿宋" w:cs="仿宋"/>
          <w:b/>
          <w:bCs/>
          <w:color w:val="auto"/>
          <w:sz w:val="24"/>
          <w:szCs w:val="24"/>
          <w:highlight w:val="none"/>
          <w:lang w:val="en-US" w:eastAsia="zh-CN" w:bidi="ar-SA"/>
        </w:rPr>
        <w:t xml:space="preserve">项目属性:服务类项目</w:t>
      </w:r>
      <w:bookmarkEnd w:id="321"/>
      <w:r/>
      <w:r/>
    </w:p>
    <w:p>
      <w:pPr>
        <w:ind w:left="0" w:firstLine="482"/>
        <w:keepLines w:val="0"/>
        <w:keepNext w:val="0"/>
        <w:pageBreakBefore w:val="0"/>
        <w:spacing w:line="480" w:lineRule="exact"/>
        <w:widowControl w:val="off"/>
        <w:rPr>
          <w:rFonts w:hint="eastAsia" w:ascii="仿宋" w:hAnsi="仿宋" w:eastAsia="仿宋" w:cs="仿宋"/>
          <w:b/>
          <w:bCs/>
          <w:color w:val="auto"/>
          <w:sz w:val="24"/>
          <w:szCs w:val="24"/>
          <w:highlight w:val="none"/>
        </w:rPr>
      </w:pPr>
      <w:r/>
      <w:bookmarkStart w:id="322" w:name="_Toc12569"/>
      <w:r>
        <w:rPr>
          <w:rFonts w:hint="eastAsia" w:ascii="仿宋" w:hAnsi="仿宋" w:eastAsia="仿宋" w:cs="仿宋"/>
          <w:b/>
          <w:bCs/>
          <w:color w:val="auto"/>
          <w:sz w:val="24"/>
          <w:szCs w:val="24"/>
          <w:highlight w:val="none"/>
        </w:rPr>
        <w:t xml:space="preserve">一、项目基本信息</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1.项目名称：滨海县公安局交通管理大队涉案车辆清拖及保管服务</w:t>
      </w:r>
      <w:r>
        <w:rPr>
          <w:rFonts w:hint="eastAsia" w:ascii="仿宋" w:hAnsi="仿宋" w:eastAsia="仿宋" w:cs="仿宋"/>
          <w:color w:val="auto"/>
          <w:sz w:val="24"/>
          <w:szCs w:val="24"/>
          <w:highlight w:val="none"/>
          <w:lang w:val="en-US" w:eastAsia="zh-CN"/>
        </w:rPr>
        <w:t xml:space="preserve">项目</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2.采购标的项目简述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本项目为滨海县公安局交管大队涉案车辆清拖及保管服务项目，需在县内三个区域设立专用停车场，提供涉案及违法车辆清拖、停放保管、事故现场清理等服务（详见采购需求）。</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130</w:t>
      </w:r>
      <w:r>
        <w:rPr>
          <w:rFonts w:hint="eastAsia" w:ascii="仿宋" w:hAnsi="仿宋" w:eastAsia="仿宋" w:cs="仿宋"/>
          <w:color w:val="auto"/>
          <w:sz w:val="24"/>
          <w:szCs w:val="24"/>
          <w:highlight w:val="none"/>
        </w:rPr>
        <w:t xml:space="preserve">万元（其中清拖预算75万元，保管预算55万元）</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.项目地点：滨海县境内</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5.采购标的服务期要求：一年（自合同签订之日起）</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6.付款方式：</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预付款支付：合同签订后，支付最高限价*（1-投标优惠率）的30%作为预付款；</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进度款结算与支付：中标供应商须与采购人按月核对当期结算金额，采购人按季度支付已确认的累计结算款项。</w:t>
      </w:r>
      <w:r/>
    </w:p>
    <w:p>
      <w:pPr>
        <w:ind w:left="0" w:firstLine="480"/>
        <w:keepLines w:val="0"/>
        <w:keepNext w:val="0"/>
        <w:pageBreakBefore w:val="0"/>
        <w:spacing w:line="520" w:lineRule="exact"/>
        <w:widowControl w:val="off"/>
        <w:rPr>
          <w:rFonts w:hint="default"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尾款结算：项目最后一次结算时，采购人从应付结算总金额中一次性扣除已支付的全部预付款，按扣除后的余额完成最终款项支付，至此双方款项结清。</w:t>
      </w:r>
      <w:r/>
    </w:p>
    <w:p>
      <w:pPr>
        <w:ind w:left="0" w:firstLine="482"/>
        <w:jc w:val="both"/>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二、采购需求及服务内容</w:t>
      </w:r>
      <w:r/>
    </w:p>
    <w:p>
      <w:pPr>
        <w:ind w:left="0" w:firstLine="482"/>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（一）</w:t>
      </w:r>
      <w:r>
        <w:rPr>
          <w:rFonts w:hint="default" w:ascii="仿宋" w:hAnsi="仿宋" w:eastAsia="仿宋" w:cs="仿宋"/>
          <w:b/>
          <w:bCs/>
          <w:color w:val="auto"/>
          <w:sz w:val="24"/>
          <w:szCs w:val="24"/>
          <w:highlight w:val="none"/>
          <w:lang w:val="en-US" w:eastAsia="zh-CN"/>
        </w:rPr>
        <w:t xml:space="preserve">停车场硬件要求</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1.提供服务单位需在我县境内设立三个停车场，分别负责对应区域车辆清拖、停放保管工作，具体要求如下：</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-南片区：负责渠南地区以及天场镇、农业园、204国道，场地</w:t>
      </w:r>
      <w:r>
        <w:rPr>
          <w:rFonts w:hint="eastAsia" w:ascii="仿宋" w:hAnsi="仿宋" w:eastAsia="仿宋" w:cs="仿宋"/>
          <w:color w:val="auto"/>
          <w:sz w:val="24"/>
          <w:szCs w:val="24"/>
          <w:highlight w:val="none"/>
          <w:lang w:val="en-US" w:eastAsia="zh-CN"/>
        </w:rPr>
        <w:t xml:space="preserve">须</w:t>
      </w:r>
      <w:r>
        <w:rPr>
          <w:rFonts w:hint="default" w:ascii="仿宋" w:hAnsi="仿宋" w:eastAsia="仿宋" w:cs="仿宋"/>
          <w:color w:val="auto"/>
          <w:sz w:val="24"/>
          <w:szCs w:val="24"/>
          <w:highlight w:val="none"/>
          <w:lang w:val="en-US" w:eastAsia="zh-CN"/>
        </w:rPr>
        <w:t xml:space="preserve">设在通榆镇境内，占地面积至少5亩以上</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-县城地区：场地</w:t>
      </w:r>
      <w:r>
        <w:rPr>
          <w:rFonts w:hint="eastAsia" w:ascii="仿宋" w:hAnsi="仿宋" w:eastAsia="仿宋" w:cs="仿宋"/>
          <w:color w:val="auto"/>
          <w:sz w:val="24"/>
          <w:szCs w:val="24"/>
          <w:highlight w:val="none"/>
          <w:lang w:val="en-US" w:eastAsia="zh-CN"/>
        </w:rPr>
        <w:t xml:space="preserve">须</w:t>
      </w:r>
      <w:r>
        <w:rPr>
          <w:rFonts w:hint="default" w:ascii="仿宋" w:hAnsi="仿宋" w:eastAsia="仿宋" w:cs="仿宋"/>
          <w:color w:val="auto"/>
          <w:sz w:val="24"/>
          <w:szCs w:val="24"/>
          <w:highlight w:val="none"/>
          <w:lang w:val="en-US" w:eastAsia="zh-CN"/>
        </w:rPr>
        <w:t xml:space="preserve">设在县城区域内，占地面积至少10亩以上</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-北片区：负责灌溉渠以北、县城以东（不含县城）的范围，场地</w:t>
      </w:r>
      <w:r>
        <w:rPr>
          <w:rFonts w:hint="eastAsia" w:ascii="仿宋" w:hAnsi="仿宋" w:eastAsia="仿宋" w:cs="仿宋"/>
          <w:color w:val="auto"/>
          <w:sz w:val="24"/>
          <w:szCs w:val="24"/>
          <w:highlight w:val="none"/>
          <w:lang w:val="en-US" w:eastAsia="zh-CN"/>
        </w:rPr>
        <w:t xml:space="preserve">须</w:t>
      </w:r>
      <w:r>
        <w:rPr>
          <w:rFonts w:hint="default" w:ascii="仿宋" w:hAnsi="仿宋" w:eastAsia="仿宋" w:cs="仿宋"/>
          <w:color w:val="auto"/>
          <w:sz w:val="24"/>
          <w:szCs w:val="24"/>
          <w:highlight w:val="none"/>
          <w:lang w:val="en-US" w:eastAsia="zh-CN"/>
        </w:rPr>
        <w:t xml:space="preserve">设在八滩镇境内，占地面积至少5亩以上</w:t>
      </w:r>
      <w:r>
        <w:rPr>
          <w:rFonts w:hint="eastAsia" w:ascii="仿宋" w:hAnsi="仿宋" w:eastAsia="仿宋" w:cs="仿宋"/>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2.每个停车场地必须专门用于停放涉案车辆，实施专管专用全封闭，严禁停放其他车辆</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3.要与外界有必要的安全隔离设施，出入口安装门禁，设置门卫值班室</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4.需建有防盗报警系统、视频监控系统，实现对车辆进出、存放情况进行全时段、全方位监控和取证，视频资料保存时间不少于3个月</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5.应有独立的办公场所和停车场地，并配备与停车场规模相适应的专职管理人员、办公设备等</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6.应配备与停车场规模相适应的专职清拖人员和必要的清拖车辆，同时能提供符合作业需求的吊车</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7.停车场地应为混凝土或沥青地面</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8.应具有保证车辆安全进出停放的照明设施和应急照明设备，以及良好的排水系统</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9.应能实现分类、分区、分期、分中队有序停放涉案车辆，停车场地应划分为大型车、小型车、摩托车、非机动车区域，施划交通标线和停车泊位，并悬挂相应的指示牌；区与区之间须留有消防通道</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10.须安装符合涉案车辆信息管理系统，制定涉案车辆进场、出场、登记、审批、管理等工作流程，并实行对涉案车辆的电子化、信息化管理</w:t>
      </w:r>
      <w:r>
        <w:rPr>
          <w:rFonts w:hint="eastAsia" w:ascii="仿宋" w:hAnsi="仿宋" w:eastAsia="仿宋" w:cs="仿宋"/>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11.应建有与停车场规模相当的消防、防爆设施，制定完善符合消防规定的消防管理制度和工作应急预案</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12.合同履行期间，若中标供应商所提供的停车保管</w:t>
      </w:r>
      <w:r>
        <w:rPr>
          <w:rFonts w:hint="eastAsia" w:ascii="仿宋" w:hAnsi="仿宋" w:eastAsia="仿宋" w:cs="仿宋"/>
          <w:color w:val="auto"/>
          <w:sz w:val="24"/>
          <w:szCs w:val="24"/>
          <w:highlight w:val="none"/>
          <w:lang w:val="en-US" w:eastAsia="zh-CN"/>
        </w:rPr>
        <w:t xml:space="preserve">场地遭遇征收、征用、拆迁或因其他不可抗力/政策调整导致无法继续使用的，中标供应商须在获知相关信息后3个工作日内书面通知采购人，并主动就场地更换事宜与采购人充分沟通、协商。中标供应商应在场地无法使用前完成新场地的选址、确认工作，确保新场地完全符合本采购需求第1至11条及其他相关要求，且实现场地无缝衔接，不得因场地更换导致涉案车辆保管、清拖、管理等工作中断，亦不得影响本项目合同的正常履行。若中标供应商未按上述要求及时处理场地更换事宜，或新场地不符合规定导致合同履行受影响的，采购人有权依据合同约定追究其违约责任。</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（二）清拖能力要求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1、提供服务单位须能根据需求及时清拖（吊运）现场车辆，原则上南片区、北片区需在40分钟内到达，县城地区需在20分钟内到达。</w:t>
      </w:r>
      <w:r>
        <w:rPr>
          <w:rFonts w:hint="eastAsia" w:ascii="仿宋" w:hAnsi="仿宋" w:eastAsia="仿宋" w:cs="仿宋"/>
          <w:color w:val="auto"/>
          <w:sz w:val="24"/>
          <w:szCs w:val="24"/>
          <w:highlight w:val="none"/>
          <w:lang w:val="en-US" w:eastAsia="zh-CN"/>
        </w:rPr>
        <w:t xml:space="preserve">如</w:t>
      </w:r>
      <w:r>
        <w:rPr>
          <w:rFonts w:hint="default" w:ascii="仿宋" w:hAnsi="仿宋" w:eastAsia="仿宋" w:cs="仿宋"/>
          <w:color w:val="auto"/>
          <w:sz w:val="24"/>
          <w:szCs w:val="24"/>
          <w:highlight w:val="none"/>
          <w:lang w:val="en-US" w:eastAsia="zh-CN"/>
        </w:rPr>
        <w:t xml:space="preserve">因特殊情况无法按时抵达现场</w:t>
      </w:r>
      <w:r>
        <w:rPr>
          <w:rFonts w:hint="eastAsia" w:ascii="仿宋" w:hAnsi="仿宋" w:eastAsia="仿宋" w:cs="仿宋"/>
          <w:color w:val="auto"/>
          <w:sz w:val="24"/>
          <w:szCs w:val="24"/>
          <w:highlight w:val="none"/>
          <w:lang w:val="en-US" w:eastAsia="zh-CN"/>
        </w:rPr>
        <w:t xml:space="preserve">的</w:t>
      </w:r>
      <w:r>
        <w:rPr>
          <w:rFonts w:hint="default"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须第一时间与</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沟通，经</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书面或口头同意后，尽快组织开展清拖（吊运）作业。若投标人无正当理由拒不提供清拖（吊运）服务、未能及时组织作业且未取得</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同意，而现场因处置需要须立即清理的，</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有权自行组织车辆清拖（吊运），由此产生的全部费用由</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承担。同时，按以下标准追究投标人责任：首次发生上述情形的，从合同款项中扣除2000元；第二次发生的，从合同款项中扣除5000元，且</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将约谈</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负责人；第三次发生的，</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有权终止本合同。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2、采购人根据实际工作需要，确定清拖（吊运）车辆及相关信息的登记、核对、统计方式和要求，中标供应商须无条件配合采购人，双方基于上述途径确认的清拖服务工作量作为最终结算的依据。</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3、车辆清拖（吊运）及保管过程中发生被清拖车辆及车内物品遗失、损坏等情况的，由中标供应商负责赔偿。</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所有清拖（吊运）、保管服务涉及费用均由采购人按合同约定支付，中标供应商不得向车主及其他相关人收取任何费用，同时不得有其他被投诉查实的严重违规行为。一经发现，除责令投标人全额退还当事人全部款项外，第一次从合同款项中扣除5000元，第二次从合同款项中扣除1万元，并由采购人约谈中标供应商负责人，第三次终止合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5.中标供应商须无条件配合采购人，保管车辆需检验、检测时，中标供应商要及时提供相应的服务。</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6.清拖及吊车服务单价限价标准如下：</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A清拖车辆单价限价表：</w:t>
      </w:r>
      <w:r/>
    </w:p>
    <w:p>
      <w:pPr>
        <w:ind w:left="420"/>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bl>
      <w:tblPr>
        <w:tblStyle w:val="692"/>
        <w:tblW w:w="78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0" w:type="dxa"/>
          <w:right w:w="15" w:type="dxa"/>
          <w:bottom w:w="0" w:type="dxa"/>
        </w:tblCellMar>
        <w:tblLook w:val="04A0" w:firstRow="1" w:lastRow="0" w:firstColumn="1" w:lastColumn="0" w:noHBand="0" w:noVBand="1"/>
      </w:tblPr>
      <w:tblGrid>
        <w:gridCol w:w="3684"/>
        <w:gridCol w:w="4175"/>
      </w:tblGrid>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i w:val="0"/>
                <w:color w:val="auto"/>
                <w:sz w:val="21"/>
                <w:szCs w:val="21"/>
                <w:highlight w:val="none"/>
                <w:u w:val="none"/>
                <w:lang w:eastAsia="zh-CN"/>
              </w:rPr>
            </w:pPr>
            <w:r>
              <w:rPr>
                <w:rFonts w:hint="eastAsia" w:ascii="仿宋" w:hAnsi="仿宋" w:eastAsia="仿宋" w:cs="仿宋"/>
                <w:b/>
                <w:i w:val="0"/>
                <w:color w:val="auto"/>
                <w:sz w:val="21"/>
                <w:szCs w:val="21"/>
                <w:highlight w:val="none"/>
                <w:u w:val="none"/>
                <w:lang w:eastAsia="zh-CN"/>
              </w:rPr>
              <w:t xml:space="preserve">车辆类型</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i w:val="0"/>
                <w:color w:val="auto"/>
                <w:sz w:val="21"/>
                <w:szCs w:val="21"/>
                <w:highlight w:val="none"/>
                <w:u w:val="none"/>
                <w:lang w:eastAsia="zh-CN"/>
              </w:rPr>
            </w:pPr>
            <w:r>
              <w:rPr>
                <w:rFonts w:hint="eastAsia" w:ascii="仿宋" w:hAnsi="仿宋" w:eastAsia="仿宋" w:cs="仿宋"/>
                <w:b/>
                <w:i w:val="0"/>
                <w:color w:val="auto"/>
                <w:sz w:val="21"/>
                <w:szCs w:val="21"/>
                <w:highlight w:val="none"/>
                <w:u w:val="none"/>
                <w:lang w:eastAsia="zh-CN"/>
              </w:rPr>
              <w:t xml:space="preserve">限价（元</w:t>
            </w:r>
            <w:r>
              <w:rPr>
                <w:rFonts w:hint="eastAsia" w:ascii="仿宋" w:hAnsi="仿宋" w:eastAsia="仿宋" w:cs="仿宋"/>
                <w:b/>
                <w:i w:val="0"/>
                <w:color w:val="auto"/>
                <w:sz w:val="21"/>
                <w:szCs w:val="21"/>
                <w:highlight w:val="none"/>
                <w:u w:val="none"/>
                <w:lang w:val="en-US" w:eastAsia="zh-CN"/>
              </w:rPr>
              <w:t xml:space="preserve">/辆</w:t>
            </w:r>
            <w:r>
              <w:rPr>
                <w:rFonts w:hint="eastAsia" w:ascii="仿宋" w:hAnsi="仿宋" w:eastAsia="仿宋" w:cs="仿宋"/>
                <w:b/>
                <w:i w:val="0"/>
                <w:color w:val="auto"/>
                <w:sz w:val="21"/>
                <w:szCs w:val="21"/>
                <w:highlight w:val="none"/>
                <w:u w:val="none"/>
                <w:lang w:eastAsia="zh-CN"/>
              </w:rPr>
              <w:t xml:space="preserve">）</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二轮摩托车（电动自行车）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100</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三四轮电动车（三轮摩托车）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175</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小型汽车（蓝牌货车）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260</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大型汽车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625</w:t>
            </w:r>
            <w:r/>
          </w:p>
        </w:tc>
      </w:tr>
      <w:tr>
        <w:trPr>
          <w:jc w:val="center"/>
          <w:trHeight w:val="700"/>
        </w:trPr>
        <w:tc>
          <w:tcPr>
            <w:gridSpan w:val="2"/>
            <w:tcBorders>
              <w:top w:val="single" w:color="000000" w:sz="4" w:space="0"/>
              <w:left w:val="single" w:color="000000" w:sz="4" w:space="0"/>
              <w:bottom w:val="single" w:color="000000" w:sz="4" w:space="0"/>
              <w:right w:val="single" w:color="000000" w:sz="4" w:space="0"/>
            </w:tcBorders>
            <w:tcW w:w="7859" w:type="dxa"/>
            <w:vAlign w:val="center"/>
            <w:textDirection w:val="lrTb"/>
            <w:noWrap w:val="false"/>
          </w:tcPr>
          <w:p>
            <w:pPr>
              <w:ind w:right="0"/>
              <w:jc w:val="left"/>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bCs/>
                <w:color w:val="auto"/>
                <w:sz w:val="21"/>
                <w:szCs w:val="21"/>
                <w:highlight w:val="none"/>
                <w:lang w:val="en-US" w:eastAsia="zh-CN" w:bidi="ar-SA"/>
              </w:rPr>
              <w:t xml:space="preserve">备注：</w:t>
            </w:r>
            <w:r>
              <w:rPr>
                <w:rFonts w:hint="eastAsia" w:ascii="仿宋" w:hAnsi="仿宋" w:eastAsia="仿宋" w:cs="仿宋"/>
                <w:b w:val="0"/>
                <w:bCs w:val="0"/>
                <w:color w:val="auto"/>
                <w:sz w:val="21"/>
                <w:szCs w:val="21"/>
                <w:highlight w:val="none"/>
                <w:lang w:val="en-US" w:eastAsia="zh-CN" w:bidi="ar-SA"/>
              </w:rPr>
              <w:t xml:space="preserve">一次清拖多部车辆时，第一辆车按最高车型标准全额收费，第二辆以外车辆均以60%收费。</w:t>
            </w:r>
            <w:r/>
          </w:p>
        </w:tc>
      </w:tr>
    </w:tbl>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B吊车单价限价表：</w:t>
      </w:r>
      <w:r/>
    </w:p>
    <w:tbl>
      <w:tblPr>
        <w:tblStyle w:val="692"/>
        <w:tblW w:w="7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5372"/>
        <w:gridCol w:w="1802"/>
      </w:tblGrid>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序号</w:t>
            </w:r>
            <w:r/>
          </w:p>
        </w:tc>
        <w:tc>
          <w:tcPr>
            <w:tcW w:w="5332"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拖吊车型</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吊车价（元/辆）</w:t>
            </w:r>
            <w:r/>
          </w:p>
        </w:tc>
      </w:tr>
      <w:tr>
        <w:trPr>
          <w:jc w:val="center"/>
          <w:trHeight w:val="1253"/>
        </w:trPr>
        <w:tc>
          <w:tcPr>
            <w:tcW w:w="679" w:type="dxa"/>
            <w:vAlign w:val="center"/>
            <w:textDirection w:val="lrTb"/>
            <w:noWrap w:val="false"/>
          </w:tcPr>
          <w:p>
            <w:pPr>
              <w:numPr>
                <w:ilvl w:val="0"/>
                <w:numId w:val="0"/>
              </w:numPr>
              <w:ind w:left="0" w:right="0" w:firstLine="56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7座以下（含7座）小型客车</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小于等于6T轻型货车</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手扶拖拉机</w:t>
            </w:r>
            <w:r/>
          </w:p>
        </w:tc>
        <w:tc>
          <w:tcPr>
            <w:tcW w:w="1788" w:type="dxa"/>
            <w:vAlign w:val="center"/>
            <w:textDirection w:val="lrTb"/>
            <w:noWrap w:val="false"/>
          </w:tcPr>
          <w:p>
            <w:pPr>
              <w:numPr>
                <w:ilvl w:val="0"/>
                <w:numId w:val="0"/>
              </w:numPr>
              <w:ind w:left="0" w:right="0" w:firstLine="56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800</w:t>
            </w:r>
            <w:r/>
          </w:p>
        </w:tc>
      </w:tr>
      <w:tr>
        <w:trPr>
          <w:jc w:val="center"/>
          <w:trHeight w:val="839"/>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中型客车(6m＜车辆长度 ≤9m)</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中型货车(6t＜总质量≤14t)</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1000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大型客车（车辆长度＞9m)</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2200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4</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重型货车（(14t＜总质量≤35t)</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2200</w:t>
            </w:r>
            <w:r/>
          </w:p>
        </w:tc>
      </w:tr>
      <w:tr>
        <w:trPr>
          <w:jc w:val="center"/>
          <w:trHeight w:val="839"/>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5</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重型货车（总质量＞ 35t)（含桥梁登高车、轮式挖机、装载机、压路机）</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3800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6</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三轮电动车、三轮摩托车以及三轮其他车辆</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600</w:t>
            </w:r>
            <w:r/>
          </w:p>
        </w:tc>
      </w:tr>
      <w:tr>
        <w:trPr>
          <w:jc w:val="center"/>
          <w:trHeight w:val="847"/>
        </w:trPr>
        <w:tc>
          <w:tcPr>
            <w:gridSpan w:val="3"/>
            <w:tcW w:w="7799" w:type="dxa"/>
            <w:vAlign w:val="center"/>
            <w:textDirection w:val="lrTb"/>
            <w:noWrap w:val="false"/>
          </w:tcPr>
          <w:p>
            <w:p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备注：</w:t>
            </w:r>
            <w:r>
              <w:rPr>
                <w:rFonts w:hint="eastAsia" w:ascii="仿宋" w:hAnsi="仿宋" w:eastAsia="仿宋" w:cs="仿宋"/>
                <w:b w:val="0"/>
                <w:bCs w:val="0"/>
                <w:color w:val="auto"/>
                <w:sz w:val="21"/>
                <w:szCs w:val="21"/>
                <w:highlight w:val="none"/>
                <w:lang w:val="en-US" w:eastAsia="zh-CN" w:bidi="ar-SA"/>
              </w:rPr>
              <w:t xml:space="preserve">清障过程中涉及需要使用吊车的，由提供服务单位自行联系能提供符合不同作业需求的吊车，其费用由清拖方和保险公司对接。</w:t>
            </w:r>
            <w:r/>
          </w:p>
        </w:tc>
      </w:tr>
    </w:tbl>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（三）清障车辆要求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1、提供服务单位每个停车场需至少配备以下数量清障车辆：</w:t>
      </w:r>
      <w:r/>
    </w:p>
    <w:tbl>
      <w:tblPr>
        <w:tblStyle w:val="692"/>
        <w:tblW w:w="78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112"/>
        <w:gridCol w:w="3746"/>
      </w:tblGrid>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车 型</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数量</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小型专项作业车（清障）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大型专项作业车（清障）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r>
      <w:tr>
        <w:trPr>
          <w:jc w:val="center"/>
          <w:trHeight w:val="1916"/>
        </w:trPr>
        <w:tc>
          <w:tcPr>
            <w:gridSpan w:val="2"/>
            <w:tcBorders>
              <w:top w:val="single" w:color="auto" w:sz="6" w:space="0"/>
              <w:left w:val="single" w:color="auto" w:sz="6" w:space="0"/>
              <w:bottom w:val="single" w:color="auto" w:sz="6" w:space="0"/>
              <w:right w:val="single" w:color="auto" w:sz="6" w:space="0"/>
            </w:tcBorders>
            <w:tcMar>
              <w:left w:w="0" w:type="dxa"/>
              <w:right w:w="0" w:type="dxa"/>
            </w:tcMar>
            <w:tcW w:w="7379" w:type="dxa"/>
            <w:vAlign w:val="center"/>
            <w:textDirection w:val="lrTb"/>
            <w:noWrap w:val="false"/>
          </w:tcPr>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（1）小型专项作业车可清障小（微）型车：小轿车，吉普车，核定乘客人数小于等于9人或车长小于6米的小（微）型客车，总质量小于4.5吨或车长小于6米的轻（微）型货车；</w:t>
            </w:r>
            <w:r/>
          </w:p>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（2）中型专项作业车可清障中型车：核定乘客人数为10—19人或车长大于等于6米小于9米的中型客车，总质量大于等于4.5吨小于12吨或车长大于等于6米小于9米的中型货车；</w:t>
            </w:r>
            <w:r/>
          </w:p>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（3）大型专项作业车可清障大型车：核定乘客人数为20—45人或车长不小于9米的大型客车，总质量不小于12吨或车长不小于9米的货车。</w:t>
            </w:r>
            <w:r/>
          </w:p>
        </w:tc>
      </w:tr>
    </w:tbl>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2、清障车及相关配置要求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车辆必须具有合法、完备的证照，车况良好并配备足够、完好的交通清障辅助设备（包括枕木、反光椎筒、警示带等反光标志、拖车辅助轮、磅秤、千斤顶）及通讯工具。大中型专项作业车（含）以上车型还需增配消防器材、破拆工具等设备，以确保清障能力与通信畅通。救援车辆应当安装标志灯具并喷涂明显的</w:t>
      </w:r>
      <w:r>
        <w:rPr>
          <w:rFonts w:hint="eastAsia" w:ascii="仿宋" w:hAnsi="仿宋" w:eastAsia="仿宋" w:cs="仿宋"/>
          <w:color w:val="auto"/>
          <w:sz w:val="24"/>
          <w:szCs w:val="24"/>
          <w:highlight w:val="none"/>
          <w:lang w:val="en-US" w:eastAsia="zh-CN"/>
        </w:rPr>
        <w:t xml:space="preserve">标识</w:t>
      </w:r>
      <w:r>
        <w:rPr>
          <w:rFonts w:hint="default" w:ascii="仿宋" w:hAnsi="仿宋" w:eastAsia="仿宋" w:cs="仿宋"/>
          <w:color w:val="auto"/>
          <w:sz w:val="24"/>
          <w:szCs w:val="24"/>
          <w:highlight w:val="none"/>
          <w:lang w:val="en-US" w:eastAsia="zh-CN"/>
        </w:rPr>
        <w:t xml:space="preserve">，执行救援任务时，应当开启标志灯具和危险报警闪光灯，并设置必要的安全警戒区。</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（2）车辆必须购买相应的保险，除交强险外，还应购买保险理赔金额不少于300万的第三者责任险、不少于100万的货物险，且保险理赔时限在本项目服务期限内持续有效。</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（3）车辆必须安装全球卫星定位系统（GPS）车载终端，车辆定位数据须保存3个月。</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（4）车辆必须安装行车记录仪，行车记录仪必须配备三个摄像头（前一后二），满足日间、夜晚的记录要求，能清晰摄录将暂扣车辆拖移至停车场并移交完毕的整个过程，摄录数据至少保存45天。</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3、清障作业人员要求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（1）提供服务单位应加强作业人员交通清障操作技能的培训，并应为参加作业人员投保工伤保险或相应的人身意外伤害保险。</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（2）实施清障作业的每辆车，除合格驾驶员外，应配备1名熟悉业务的作业人员，保证交通清障顺利完成。</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（3）清障作业人员必须统一着装，作业时应着“清障救援”字样反光服（背心），不得着警服或类似制式服装，在对不同作业对象开展清障作业时，需严格按国家有关规范流程操作，同时必须听从交警的指挥。</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4、现场作业要求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（1）提供服务单位应按照拖吊车作业规范实施作业，应当配备消防器材、破拆工具以及清扫工具等设备，对被拖吊车辆及相关物品进行检查和清点，按规范流程进行作业等。</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（2）拖车作业人员应服从现场交警的指挥。</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（3）提供服务单位实施清障作业时，必须有交通警察在场或取得委托，并应使用清拖方式，而非驾驶涉事车辆方式清障。</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（4）提供服务单位作业时必须严格遵守道路交通管理规定，不得因作业而影响交通、造成交通堵塞或损坏市政设施。</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5、车上物品处理要求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（1）提供服务单位应按照</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规定的程序及规范处置被拖吊车辆的随车物品，未经现场民警或当事人同意，作业人员不得进入被拖吊车辆的车辆内部（包括驾驶乘坐仓以及车尾箱等）。</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（2）如现场民警要求将涉案货车拖移至称重点或治超点进行称重的，提供服务单位应予以免费服务，并在完成称重后，再将车辆拖移至停车场。</w:t>
      </w:r>
      <w:r/>
    </w:p>
    <w:p>
      <w:pPr>
        <w:ind w:firstLine="482"/>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（四）交通违法车辆的拖吊服务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1、公安机关开展交通整治时，提供服务单位应按采购人要求提供拖、吊车服务。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2、提供服务单位应根据现场民警要求将被拖吊车辆的停放地点及联系方式等，通过文字标示或者其它方式告知当事人。</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3、提供服务单位作业过程中应遵守有关法律法规、部门规章关于拖吊交通违法车辆的规定。</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（五）交通保障服务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1、交通保障服务指各项交通警卫、大型群体性活动以及中心城区重点路段的清障车应急清障准备，以及在此过程中按公安机关要求的巡逻、摆放交通安保设施、拖移车辆的服务。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2、提供服务单位提供备勤服务的清障车应按保障服务需求的指定时间及地点进行备勤，并按要求进行巡逻或拖移车辆。备勤保障车必须在得到结束指令后方可撤离。</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3、交通保障服务按照60元/车/小时计算，一天最高不超过1000元/车。</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（六）其他清障工作</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提供服务单位按现场民警要求提供其他清障服务，包括事故现场处置后即对路面淤泥、油污、血迹、散落物等进行清理并带离。</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三、委托停放保管车辆范围</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停放保管因交通事故、交通违法以及其它法定情形由交警部门扣留、扣押、拖移的车辆。</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四、交警部门应支付的费用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1、甲方依法扣留、扣押的交通违法及交通事故车辆的停放保管费用；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2、甲方因依法扣留、扣押车辆而产生的拖移费用；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3、甲方依法扣留、扣押的除违停以外的其它交通违法车辆的停放保管费用。</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五、由停车场与当事人协商收取的费用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1、违法停放车辆被拖移至停车场产生的停放保管费用；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2、当事人未按交警部门通知要求，逾期领取车辆产生的停放保管费用；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3、当事人发生交通事故，因排除妨碍而产生的施救费。</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六、费用支付标准及支付方式</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预付款支付：合同签订后，支付最高限价*（1-投标优惠率）的30%作为预付款；</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进度款结算与支付：中标供应商须与采购人按月核对当期结算金额，采购人按季度支付已确认的累计结算款项。</w:t>
      </w:r>
      <w:r/>
    </w:p>
    <w:p>
      <w:pPr>
        <w:ind w:left="0" w:firstLine="480"/>
        <w:keepLines w:val="0"/>
        <w:keepNext w:val="0"/>
        <w:pageBreakBefore w:val="0"/>
        <w:spacing w:line="520" w:lineRule="exact"/>
        <w:widowControl w:val="off"/>
        <w:rPr>
          <w:rFonts w:hint="default"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尾款结算：项目最后一次结算时，采购人从应付结算总金额中一次性扣除已支付的全部预付款，按扣除后的余额完成最终款项支付，至此双方款项结清。</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七、服务保障</w:t>
      </w:r>
      <w:bookmarkEnd w:id="322"/>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1、供应商应对照采购文件要求，说明所提供已对采购人的需求做出了实质性的响应，或申明与需求的偏差和例外。</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2、供应商可以在投标文件中提出不同的服务标准和保障承诺，使评标委员会相信替代服务相同于或优于原需求，对于具体参数要求的指标，供应商必须提供具体参数值。</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3、如果发生因供应商工作失职造成安全事故或其他财产损失和人身伤害，均由供应商承担相关经济和法律责任。</w:t>
      </w:r>
      <w:bookmarkStart w:id="323" w:name="_Toc28983"/>
      <w:r/>
      <w:bookmarkEnd w:id="323"/>
      <w:r/>
      <w:bookmarkStart w:id="324" w:name="_Toc48143584"/>
      <w:r/>
      <w:bookmarkEnd w:id="324"/>
      <w:r/>
      <w:bookmarkStart w:id="325" w:name="_Toc28510"/>
      <w:r/>
      <w:bookmarkEnd w:id="325"/>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bookmarkStart w:id="326" w:name="_Toc20520"/>
      <w:r/>
      <w:bookmarkStart w:id="327" w:name="_Toc24142"/>
      <w:r>
        <w:rPr>
          <w:rFonts w:hint="eastAsia" w:ascii="仿宋" w:hAnsi="仿宋" w:eastAsia="仿宋" w:cs="仿宋"/>
          <w:b/>
          <w:bCs/>
          <w:color w:val="auto"/>
          <w:sz w:val="24"/>
          <w:szCs w:val="24"/>
          <w:highlight w:val="none"/>
          <w:lang w:val="en-US" w:eastAsia="zh-CN"/>
        </w:rPr>
        <w:t xml:space="preserve">八、补充说明</w:t>
      </w:r>
      <w:bookmarkEnd w:id="326"/>
      <w:r/>
      <w:bookmarkEnd w:id="327"/>
      <w:r/>
      <w:r/>
    </w:p>
    <w:p>
      <w:p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lang w:val="en-US" w:eastAsia="zh-CN" w:bidi="ar-SA"/>
        </w:rPr>
        <w:outlineLvl w:val="9"/>
      </w:pPr>
      <w:r/>
      <w:bookmarkStart w:id="328" w:name="_Toc18027"/>
      <w:r/>
      <w:bookmarkStart w:id="329" w:name="_Toc16232"/>
      <w:r/>
      <w:bookmarkStart w:id="330" w:name="_Toc24608"/>
      <w:r/>
      <w:bookmarkStart w:id="331" w:name="_Toc18832"/>
      <w:r>
        <w:rPr>
          <w:rFonts w:hint="eastAsia" w:ascii="仿宋" w:hAnsi="仿宋" w:eastAsia="仿宋" w:cs="仿宋"/>
          <w:color w:val="auto"/>
          <w:sz w:val="24"/>
          <w:szCs w:val="24"/>
          <w:highlight w:val="none"/>
          <w:lang w:val="en-US" w:eastAsia="zh-CN" w:bidi="ar-SA"/>
        </w:rPr>
        <w:t xml:space="preserve">投标供应商应当充分利用自身服务水平、技术力量、市场资源等为本项目投标采用合适的硬</w:t>
      </w:r>
      <w:r>
        <w:rPr>
          <w:rFonts w:hint="eastAsia" w:ascii="仿宋" w:hAnsi="仿宋" w:eastAsia="仿宋" w:cs="仿宋"/>
          <w:color w:val="auto"/>
          <w:sz w:val="24"/>
          <w:szCs w:val="24"/>
          <w:highlight w:val="none"/>
          <w:lang w:val="en-US" w:eastAsia="zh-CN" w:bidi="ar-SA"/>
        </w:rPr>
        <w:t xml:space="preserve">件设备、软件系统等，并提供合理科学的建设方案。投标供应商不应当因市场信息了解缺失、自身实力不足、自身市场资源不够丰富等自身因素而向采购人或采购代理机构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失信供应商黑名单》并追偿各类损失直至移交司法机关处置。</w:t>
      </w:r>
      <w:bookmarkEnd w:id="328"/>
      <w:r/>
      <w:bookmarkEnd w:id="329"/>
      <w:r/>
      <w:bookmarkEnd w:id="330"/>
      <w:r/>
      <w:bookmarkEnd w:id="331"/>
      <w:r>
        <w:rPr>
          <w:rFonts w:hint="eastAsia" w:ascii="仿宋" w:hAnsi="仿宋" w:eastAsia="仿宋" w:cs="仿宋"/>
          <w:color w:val="auto"/>
          <w:sz w:val="24"/>
          <w:szCs w:val="24"/>
          <w:highlight w:val="none"/>
          <w:lang w:val="en-US" w:eastAsia="zh-CN" w:bidi="ar-SA"/>
        </w:rPr>
        <w:t xml:space="preserve"> </w:t>
      </w:r>
      <w:r/>
    </w:p>
    <w:p>
      <w:pPr>
        <w:numPr>
          <w:ilvl w:val="0"/>
          <w:numId w:val="1"/>
        </w:num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rPr>
        <w:outlineLvl w:val="9"/>
      </w:pPr>
      <w:r/>
      <w:bookmarkStart w:id="332" w:name="_Toc10743"/>
      <w:r/>
      <w:bookmarkStart w:id="333" w:name="_Toc4379"/>
      <w:r/>
      <w:bookmarkStart w:id="334" w:name="_Toc3536"/>
      <w:r>
        <w:rPr>
          <w:rFonts w:hint="eastAsia" w:ascii="仿宋" w:hAnsi="仿宋" w:eastAsia="仿宋" w:cs="仿宋"/>
          <w:b/>
          <w:bCs/>
          <w:color w:val="auto"/>
          <w:sz w:val="24"/>
          <w:szCs w:val="24"/>
          <w:highlight w:val="none"/>
        </w:rPr>
        <w:t xml:space="preserve">注：中小企业政府采购扶持政策说明</w:t>
      </w:r>
      <w:bookmarkEnd w:id="332"/>
      <w:r/>
      <w:bookmarkEnd w:id="333"/>
      <w:r/>
      <w:bookmarkEnd w:id="334"/>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1.采购标的的所属行业，根据《工业和信息化部、国家统计局、国家发展和改革委员会、财政部关于印发中小企业划型标准规定的通知》（工信部联企业[2011]300号）规定的划分标准填写。</w:t>
      </w:r>
      <w:r/>
    </w:p>
    <w:p>
      <w:pPr>
        <w:ind w:left="0" w:firstLine="480"/>
        <w:jc w:val="both"/>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2.采购标的对应的中小企业划分标准所属行业一览表</w:t>
      </w:r>
      <w:r/>
    </w:p>
    <w:tbl>
      <w:tblPr>
        <w:tblStyle w:val="692"/>
        <w:tblW w:w="9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4569"/>
        <w:gridCol w:w="4640"/>
      </w:tblGrid>
      <w:tr>
        <w:trPr>
          <w:jc w:val="center"/>
          <w:trHeight w:val="54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对应中小企业划分标准所属行业</w:t>
            </w:r>
            <w:r/>
          </w:p>
        </w:tc>
      </w:tr>
      <w:tr>
        <w:trPr>
          <w:jc w:val="center"/>
          <w:trHeight w:val="64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t xml:space="preserve">滨海县公安局交通管理大队涉案车辆清拖及保管服务项目</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其他未列明行业</w:t>
            </w:r>
            <w:r/>
          </w:p>
        </w:tc>
      </w:tr>
    </w:tbl>
    <w:p>
      <w:pPr>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br w:type="page" w:clear="all"/>
      </w:r>
      <w:r/>
    </w:p>
    <w:p>
      <w:pPr>
        <w:jc w:val="center"/>
        <w:rPr>
          <w:rFonts w:hint="eastAsia" w:ascii="方正小标宋简体" w:hAnsi="方正小标宋简体" w:eastAsia="方正小标宋简体" w:cs="方正小标宋简体"/>
          <w:b w:val="0"/>
          <w:bCs w:val="0"/>
          <w:color w:val="auto"/>
          <w:highlight w:val="none"/>
        </w:rPr>
        <w:outlineLvl w:val="0"/>
      </w:pPr>
      <w:r>
        <w:rPr>
          <w:rFonts w:hint="eastAsia" w:ascii="方正小标宋简体" w:hAnsi="方正小标宋简体" w:eastAsia="方正小标宋简体" w:cs="方正小标宋简体"/>
          <w:b w:val="0"/>
          <w:bCs w:val="0"/>
          <w:color w:val="auto"/>
          <w:sz w:val="44"/>
          <w:szCs w:val="44"/>
          <w:highlight w:val="none"/>
        </w:rPr>
        <w:t xml:space="preserve">第五章  评标方法与评标标准</w:t>
      </w:r>
      <w:bookmarkEnd w:id="279"/>
      <w:r/>
      <w:bookmarkEnd w:id="280"/>
      <w:r/>
      <w:r/>
    </w:p>
    <w:p>
      <w:pPr>
        <w:pStyle w:val="713"/>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rPr>
        <w:outlineLvl w:val="0"/>
      </w:pPr>
      <w:r/>
      <w:bookmarkStart w:id="335" w:name="_Toc20042"/>
      <w:r/>
      <w:bookmarkStart w:id="336" w:name="_Toc11696"/>
      <w:r>
        <w:rPr>
          <w:rFonts w:hint="eastAsia" w:ascii="仿宋" w:hAnsi="仿宋" w:eastAsia="仿宋" w:cs="仿宋"/>
          <w:b/>
          <w:bCs/>
          <w:color w:val="auto"/>
          <w:sz w:val="24"/>
          <w:szCs w:val="24"/>
          <w:highlight w:val="none"/>
        </w:rPr>
        <w:t xml:space="preserve">一、定标原则</w:t>
      </w:r>
      <w:bookmarkEnd w:id="335"/>
      <w:r/>
      <w:bookmarkEnd w:id="336"/>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本项目采用</w:t>
      </w:r>
      <w:r>
        <w:rPr>
          <w:rFonts w:hint="eastAsia" w:ascii="仿宋" w:hAnsi="仿宋" w:eastAsia="仿宋" w:cs="仿宋"/>
          <w:bCs/>
          <w:color w:val="auto"/>
          <w:sz w:val="24"/>
          <w:szCs w:val="24"/>
          <w:highlight w:val="none"/>
          <w:u w:val="single"/>
        </w:rPr>
        <w:t xml:space="preserve">综合评分</w:t>
      </w:r>
      <w:r>
        <w:rPr>
          <w:rFonts w:hint="eastAsia" w:ascii="仿宋" w:hAnsi="仿宋" w:eastAsia="仿宋" w:cs="仿宋"/>
          <w:bCs/>
          <w:color w:val="auto"/>
          <w:sz w:val="24"/>
          <w:szCs w:val="24"/>
          <w:highlight w:val="none"/>
        </w:rPr>
        <w:t xml:space="preserve">法</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评标结果按评审后得分由高到低顺序排列。得分相同的，按投标报价由低到高顺序排列。得分且投标报价相同的</w:t>
      </w:r>
      <w:r>
        <w:rPr>
          <w:rFonts w:hint="eastAsia" w:ascii="仿宋" w:hAnsi="仿宋" w:eastAsia="仿宋" w:cs="仿宋"/>
          <w:color w:val="auto"/>
          <w:sz w:val="24"/>
          <w:szCs w:val="24"/>
          <w:highlight w:val="none"/>
          <w:lang w:val="en-US" w:eastAsia="zh-CN"/>
        </w:rPr>
        <w:t xml:space="preserve">并列</w:t>
      </w:r>
      <w:r>
        <w:rPr>
          <w:rFonts w:hint="eastAsia" w:ascii="仿宋" w:hAnsi="仿宋" w:eastAsia="仿宋" w:cs="仿宋"/>
          <w:color w:val="auto"/>
          <w:sz w:val="24"/>
          <w:szCs w:val="24"/>
          <w:highlight w:val="none"/>
        </w:rPr>
        <w:t xml:space="preserve">。投标文件满足</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全部实质性要求，且按照评审因素的量化指标评审得分最高的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为排名第一的中标候选人，本项目选取1名中标候选人。</w:t>
      </w:r>
      <w:r/>
    </w:p>
    <w:p>
      <w:pPr>
        <w:pStyle w:val="713"/>
        <w:ind w:left="0" w:firstLine="482"/>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政府采购政策功能落实</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1、小微型企业价格扣除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专门面向中小企业的项目不进行价格扣除</w:t>
      </w:r>
      <w:r>
        <w:rPr>
          <w:rFonts w:hint="eastAsia" w:ascii="仿宋" w:hAnsi="仿宋" w:eastAsia="仿宋" w:cs="仿宋"/>
          <w:color w:val="auto"/>
          <w:sz w:val="24"/>
          <w:szCs w:val="24"/>
          <w:highlight w:val="none"/>
          <w:lang w:eastAsia="zh-CN"/>
        </w:rPr>
        <w:t xml:space="preserve">）</w:t>
      </w:r>
      <w:r/>
    </w:p>
    <w:p>
      <w:pPr>
        <w:pStyle w:val="870"/>
        <w:ind w:left="0" w:firstLine="480"/>
        <w:keepLines w:val="0"/>
        <w:keepNext w:val="0"/>
        <w:pageBreakBefore w:val="0"/>
        <w:spacing w:before="0" w:after="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（1）本项目若不专门面向中小企业采购，对</w:t>
      </w:r>
      <w:r>
        <w:rPr>
          <w:rFonts w:hint="eastAsia" w:ascii="仿宋" w:hAnsi="仿宋" w:eastAsia="仿宋" w:cs="仿宋"/>
          <w:color w:val="auto"/>
          <w:sz w:val="24"/>
          <w:szCs w:val="24"/>
          <w:highlight w:val="none"/>
          <w:lang w:val="en-US" w:eastAsia="zh-CN"/>
        </w:rPr>
        <w:t xml:space="preserve">符合规定的</w:t>
      </w:r>
      <w:r>
        <w:rPr>
          <w:rFonts w:hint="eastAsia" w:ascii="仿宋" w:hAnsi="仿宋" w:eastAsia="仿宋" w:cs="仿宋"/>
          <w:color w:val="auto"/>
          <w:sz w:val="24"/>
          <w:szCs w:val="24"/>
          <w:highlight w:val="none"/>
        </w:rPr>
        <w:t xml:space="preserve">小型和微型企业</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rPr>
        <w:t xml:space="preserve">给予20%的扣除价格，用扣除后的价格参与评审；若专门面向中小企业采购，不再对小型和微型企业</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rPr>
        <w:t xml:space="preserve">给予价格扣除。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（2）供应商需按照采购文件的要求提供相应的《</w:t>
      </w:r>
      <w:r>
        <w:rPr>
          <w:rFonts w:hint="eastAsia" w:ascii="仿宋" w:hAnsi="仿宋" w:eastAsia="仿宋" w:cs="仿宋"/>
          <w:color w:val="auto"/>
          <w:sz w:val="24"/>
          <w:szCs w:val="24"/>
          <w:highlight w:val="none"/>
          <w:lang w:val="en-US" w:eastAsia="zh-CN"/>
        </w:rPr>
        <w:t xml:space="preserve">中小</w:t>
      </w:r>
      <w:r>
        <w:rPr>
          <w:rFonts w:hint="eastAsia" w:ascii="仿宋" w:hAnsi="仿宋" w:eastAsia="仿宋" w:cs="仿宋"/>
          <w:color w:val="auto"/>
          <w:sz w:val="24"/>
          <w:szCs w:val="24"/>
          <w:highlight w:val="none"/>
        </w:rPr>
        <w:t xml:space="preserve">企业声明函》。</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2、残疾人福利单位价格扣除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（1）本项目对残疾人福利性单位视同小型、微型企业，给予</w:t>
      </w:r>
      <w:r>
        <w:rPr>
          <w:rFonts w:hint="eastAsia" w:ascii="仿宋" w:hAnsi="仿宋" w:eastAsia="仿宋" w:cs="仿宋"/>
          <w:color w:val="auto"/>
          <w:sz w:val="24"/>
          <w:szCs w:val="24"/>
          <w:highlight w:val="none"/>
          <w:u w:val="none"/>
        </w:rPr>
        <w:t xml:space="preserve">20%</w:t>
      </w:r>
      <w:r>
        <w:rPr>
          <w:rFonts w:hint="eastAsia" w:ascii="仿宋" w:hAnsi="仿宋" w:eastAsia="仿宋" w:cs="仿宋"/>
          <w:color w:val="auto"/>
          <w:sz w:val="24"/>
          <w:szCs w:val="24"/>
          <w:highlight w:val="none"/>
          <w:u w:val="none"/>
          <w:lang w:eastAsia="zh-CN"/>
        </w:rPr>
        <w:t xml:space="preserve">的价格扣除。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（2）残疾人福利单位需按照采购文件的要求提供《残疾人福利性单位声明函》。</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（3）残疾人福利单位标准请参照《关于促进残疾人就业政府采购政策的通知》（财库〔2017〕141号）。</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3、监狱和戒毒企业价格扣除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 xml:space="preserve">（1）本项目对监狱和戒毒企业（简称监狱企业）视同小型、微型企业，给予</w:t>
      </w:r>
      <w:r>
        <w:rPr>
          <w:rFonts w:hint="eastAsia" w:ascii="仿宋" w:hAnsi="仿宋" w:eastAsia="仿宋" w:cs="仿宋"/>
          <w:color w:val="auto"/>
          <w:sz w:val="24"/>
          <w:szCs w:val="24"/>
          <w:highlight w:val="none"/>
          <w:u w:val="none"/>
        </w:rPr>
        <w:t xml:space="preserve">20%</w:t>
      </w:r>
      <w:r>
        <w:rPr>
          <w:rFonts w:hint="eastAsia" w:ascii="仿宋" w:hAnsi="仿宋" w:eastAsia="仿宋" w:cs="仿宋"/>
          <w:color w:val="auto"/>
          <w:sz w:val="24"/>
          <w:szCs w:val="24"/>
          <w:highlight w:val="none"/>
          <w:u w:val="none"/>
          <w:lang w:eastAsia="zh-CN"/>
        </w:rPr>
        <w:t xml:space="preserve">的价格扣除。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4、残疾人福利单位、监狱企业属于小型、微型企业的，不重复享受政策。</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仿宋" w:hAnsi="仿宋" w:eastAsia="仿宋" w:cs="仿宋"/>
          <w:color w:val="auto"/>
          <w:sz w:val="24"/>
          <w:szCs w:val="24"/>
          <w:highlight w:val="none"/>
          <w:u w:val="single"/>
        </w:rPr>
        <w:t xml:space="preserve">6%</w:t>
      </w:r>
      <w:r>
        <w:rPr>
          <w:rFonts w:hint="eastAsia" w:ascii="仿宋" w:hAnsi="仿宋" w:eastAsia="仿宋" w:cs="仿宋"/>
          <w:color w:val="auto"/>
          <w:sz w:val="24"/>
          <w:szCs w:val="24"/>
          <w:highlight w:val="none"/>
        </w:rPr>
        <w:t xml:space="preserve">的价格扣除，用扣除后的价格参与评审。</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6、联合体各方均为小型、微型企业（残疾人福利单位、监狱企业）的，联合体享受</w:t>
      </w:r>
      <w:r>
        <w:rPr>
          <w:rFonts w:hint="eastAsia" w:ascii="仿宋" w:hAnsi="仿宋" w:eastAsia="仿宋" w:cs="仿宋"/>
          <w:color w:val="auto"/>
          <w:sz w:val="24"/>
          <w:szCs w:val="24"/>
          <w:highlight w:val="none"/>
          <w:u w:val="single"/>
        </w:rPr>
        <w:t xml:space="preserve">20%</w:t>
      </w:r>
      <w:r>
        <w:rPr>
          <w:rFonts w:hint="eastAsia" w:ascii="仿宋" w:hAnsi="仿宋" w:eastAsia="仿宋" w:cs="仿宋"/>
          <w:color w:val="auto"/>
          <w:sz w:val="24"/>
          <w:szCs w:val="24"/>
          <w:highlight w:val="none"/>
          <w:u w:val="single"/>
          <w:lang w:eastAsia="zh-CN"/>
        </w:rPr>
        <w:t xml:space="preserve">的价格扣除。</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color w:val="auto"/>
          <w:sz w:val="24"/>
          <w:szCs w:val="24"/>
          <w:highlight w:val="none"/>
        </w:rPr>
        <w:t xml:space="preserve">如属政府强制采购产品未提供认证证书的或认证证书提供不全的将视为未实质性响应采购要求</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0"/>
      </w:pPr>
      <w:r/>
      <w:bookmarkStart w:id="337" w:name="_Toc21153"/>
      <w:r/>
      <w:bookmarkStart w:id="338" w:name="_Toc11735"/>
      <w:r>
        <w:rPr>
          <w:rFonts w:hint="eastAsia" w:ascii="宋体" w:hAnsi="宋体" w:eastAsia="宋体" w:cs="宋体"/>
          <w:color w:val="auto"/>
          <w:highlight w:val="none"/>
        </w:rPr>
        <w:t xml:space="preserve"> </w:t>
      </w:r>
      <w:r>
        <w:rPr>
          <w:rFonts w:hint="default" w:ascii="Times New Roman" w:hAnsi="Times New Roman" w:eastAsia="黑体" w:cs="Times New Roman"/>
          <w:color w:val="auto"/>
          <w:sz w:val="24"/>
          <w:szCs w:val="21"/>
          <w:highlight w:val="none"/>
        </w:rPr>
        <w:t xml:space="preserve">二、评标标准</w:t>
      </w:r>
      <w:bookmarkEnd w:id="337"/>
      <w:r/>
      <w:bookmarkEnd w:id="338"/>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评标委员会根据评审标准和无效标书条款对每一份投标文件进行评审，凡有无效标书条款规定情形之一的，作无效标处理。</w:t>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投标报价评审的修正原则：1.大写报价与小写报价不一致的以大写报价为准；2.投标单价合计结果与总价不一致的以单价为准；3.前述原则并列遵循。</w:t>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投标文件的评审按以下顺序进行，上一阶段未通过的不进入下一阶段评审：</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bookmarkStart w:id="339" w:name="_Toc26814"/>
      <w:r>
        <w:rPr>
          <w:rFonts w:hint="default" w:ascii="Times New Roman" w:hAnsi="Times New Roman" w:eastAsia="黑体" w:cs="Times New Roman"/>
          <w:color w:val="auto"/>
          <w:sz w:val="24"/>
          <w:szCs w:val="21"/>
          <w:highlight w:val="none"/>
        </w:rPr>
        <w:t xml:space="preserve">1、初步评审</w:t>
      </w:r>
      <w:bookmarkEnd w:id="339"/>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0" w:name="_Toc28427"/>
      <w:r>
        <w:rPr>
          <w:rFonts w:hint="default" w:ascii="Times New Roman" w:hAnsi="Times New Roman" w:eastAsia="黑体" w:cs="Times New Roman"/>
          <w:color w:val="auto"/>
          <w:sz w:val="24"/>
          <w:szCs w:val="21"/>
          <w:highlight w:val="none"/>
        </w:rPr>
        <w:t xml:space="preserve">1.1资格审查（资格后审）</w:t>
      </w:r>
      <w:bookmarkEnd w:id="340"/>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采购人</w:t>
      </w:r>
      <w:r>
        <w:rPr>
          <w:rFonts w:hint="eastAsia" w:ascii="仿宋" w:hAnsi="仿宋" w:eastAsia="仿宋" w:cs="仿宋"/>
          <w:color w:val="auto"/>
          <w:sz w:val="24"/>
          <w:szCs w:val="21"/>
          <w:highlight w:val="none"/>
        </w:rPr>
        <w:t xml:space="preserve">对所有参加投标的投标供应商的资格对照</w:t>
      </w:r>
      <w:r>
        <w:rPr>
          <w:rFonts w:hint="eastAsia" w:ascii="仿宋" w:hAnsi="仿宋" w:eastAsia="仿宋" w:cs="仿宋"/>
          <w:color w:val="auto"/>
          <w:sz w:val="24"/>
          <w:szCs w:val="21"/>
          <w:highlight w:val="none"/>
          <w:lang w:eastAsia="zh-CN"/>
        </w:rPr>
        <w:t xml:space="preserve">采购文件</w:t>
      </w:r>
      <w:r>
        <w:rPr>
          <w:rFonts w:hint="eastAsia" w:ascii="仿宋" w:hAnsi="仿宋" w:eastAsia="仿宋" w:cs="仿宋"/>
          <w:color w:val="auto"/>
          <w:sz w:val="24"/>
          <w:szCs w:val="21"/>
          <w:highlight w:val="none"/>
        </w:rPr>
        <w:t xml:space="preserve">资格审查的规定要求进行审查，只有通过资格审查的投标供应商方可进行下一阶段的评审。</w:t>
      </w:r>
      <w:r/>
    </w:p>
    <w:p>
      <w:pPr>
        <w:pStyle w:val="7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6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815"/>
        <w:gridCol w:w="2923"/>
      </w:tblGrid>
      <w:tr>
        <w:trPr>
          <w:jc w:val="center"/>
          <w:trHeight w:val="607"/>
          <w:tblHeader/>
        </w:trPr>
        <w:tc>
          <w:tcPr>
            <w:shd w:val="clear" w:color="auto" w:fill="f1f1f1"/>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序号</w:t>
            </w:r>
            <w:r/>
          </w:p>
        </w:tc>
        <w:tc>
          <w:tcPr>
            <w:shd w:val="clear" w:color="auto" w:fill="f1f1f1"/>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审查材料名称</w:t>
            </w:r>
            <w:r/>
          </w:p>
        </w:tc>
        <w:tc>
          <w:tcPr>
            <w:shd w:val="clear" w:color="auto" w:fill="f1f1f1"/>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备注</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1</w:t>
            </w:r>
            <w:r/>
          </w:p>
        </w:tc>
        <w:tc>
          <w:tcPr>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4"/>
                <w:highlight w:val="none"/>
                <w:lang w:val="en-US" w:eastAsia="zh-CN" w:bidi="ar-SA"/>
              </w:rPr>
              <w:t xml:space="preserve">法人或者其他组织的营业执照等证明文件，自然人的身份证明</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2</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上一年度的财务报表或财务审计报告（成立不满一年不需提供，投标人投标时可提供2024或2025年度财务报表，在评标时均予以认可。）</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3</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依法缴纳税收和社会保障资金的相关材料</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提供承诺函或证明材料</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4</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具备履行合同所必需的设备和专业技术能力的书面声明</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提供书面声明，格式附后</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5</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参加政府采购活动前3年内在经营活动中没有重大违法记录的书面声明</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提供书面声明，格式附后</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6</w:t>
            </w:r>
            <w:r/>
          </w:p>
        </w:tc>
        <w:tc>
          <w:tcPr>
            <w:shd w:val="clear" w:color="auto" w:fill="auto"/>
            <w:tcW w:w="4815" w:type="dxa"/>
            <w:vAlign w:val="center"/>
            <w:textDirection w:val="lrTb"/>
            <w:noWrap w:val="false"/>
          </w:tcPr>
          <w:p>
            <w:pPr>
              <w:ind w:firstLine="0"/>
              <w:jc w:val="both"/>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未被“信用中国”网站（www.creditchina.gov.cn）列入失信被执行人、重大税收违法案件当事人名单、政府采购严重失信行为记录名单。</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提供信用中国网页截图或网页打印件</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7</w:t>
            </w:r>
            <w:r/>
          </w:p>
        </w:tc>
        <w:tc>
          <w:tcPr>
            <w:tcW w:w="4815" w:type="dxa"/>
            <w:vAlign w:val="center"/>
            <w:textDirection w:val="lrTb"/>
            <w:noWrap w:val="false"/>
          </w:tcPr>
          <w:p>
            <w:pPr>
              <w:keepLines w:val="0"/>
              <w:keepNext w:val="0"/>
              <w:pageBreakBefore w:val="0"/>
              <w:spacing w:line="520" w:lineRule="exact"/>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招标文件要求提供的其他材料</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8</w:t>
            </w:r>
            <w:r/>
          </w:p>
        </w:tc>
        <w:tc>
          <w:tcPr>
            <w:tcW w:w="4815"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投标供应商认为需要提供的其他资格要求材料</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说明</w:t>
            </w:r>
            <w:r/>
          </w:p>
        </w:tc>
        <w:tc>
          <w:tcPr>
            <w:gridSpan w:val="2"/>
            <w:tcW w:w="7738" w:type="dxa"/>
            <w:vAlign w:val="center"/>
            <w:textDirection w:val="lrTb"/>
            <w:noWrap w:val="false"/>
          </w:tcPr>
          <w:p>
            <w:pPr>
              <w:ind w:firstLine="0"/>
              <w:jc w:val="left"/>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1.投标供应商（申请人）必须按照上述要求提供资格审查材料，否则将会被评标委员会作无效标处理；2.除上述材料及本文件第二章投标供应商须知22条规定的不符合资格审查要求的情形外，评标委员会一般不应判定投标供应商资格审查不通过。</w:t>
            </w:r>
            <w:r/>
          </w:p>
        </w:tc>
      </w:tr>
    </w:tbl>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1" w:name="_Toc15340"/>
      <w:r>
        <w:rPr>
          <w:rFonts w:hint="default" w:ascii="Times New Roman" w:hAnsi="Times New Roman" w:eastAsia="黑体" w:cs="Times New Roman"/>
          <w:color w:val="auto"/>
          <w:sz w:val="24"/>
          <w:szCs w:val="21"/>
          <w:highlight w:val="none"/>
        </w:rPr>
        <w:t xml:space="preserve">1.2形式评审标准</w:t>
      </w:r>
      <w:bookmarkEnd w:id="341"/>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评标委员会参照本文件</w:t>
      </w:r>
      <w:r>
        <w:rPr>
          <w:rFonts w:hint="eastAsia" w:ascii="仿宋" w:hAnsi="仿宋" w:eastAsia="仿宋" w:cs="仿宋"/>
          <w:color w:val="auto"/>
          <w:sz w:val="24"/>
          <w:szCs w:val="21"/>
          <w:highlight w:val="none"/>
          <w:u w:val="single"/>
        </w:rPr>
        <w:t xml:space="preserve">第二章</w:t>
      </w:r>
      <w:r>
        <w:rPr>
          <w:rFonts w:hint="eastAsia" w:ascii="仿宋" w:hAnsi="仿宋" w:eastAsia="仿宋" w:cs="仿宋"/>
          <w:color w:val="auto"/>
          <w:sz w:val="24"/>
          <w:szCs w:val="21"/>
          <w:highlight w:val="none"/>
          <w:u w:val="single"/>
          <w:lang w:eastAsia="zh-CN"/>
        </w:rPr>
        <w:t xml:space="preserve">投标供应商</w:t>
      </w:r>
      <w:r>
        <w:rPr>
          <w:rFonts w:hint="eastAsia" w:ascii="仿宋" w:hAnsi="仿宋" w:eastAsia="仿宋" w:cs="仿宋"/>
          <w:color w:val="auto"/>
          <w:sz w:val="24"/>
          <w:szCs w:val="21"/>
          <w:highlight w:val="none"/>
          <w:u w:val="single"/>
        </w:rPr>
        <w:t xml:space="preserve">须知第</w:t>
      </w:r>
      <w:r>
        <w:rPr>
          <w:rFonts w:hint="eastAsia" w:ascii="仿宋" w:hAnsi="仿宋" w:eastAsia="仿宋" w:cs="仿宋"/>
          <w:color w:val="auto"/>
          <w:sz w:val="24"/>
          <w:szCs w:val="21"/>
          <w:highlight w:val="none"/>
          <w:u w:val="single"/>
          <w:lang w:val="en-US" w:eastAsia="zh-CN"/>
        </w:rPr>
        <w:t xml:space="preserve">26</w:t>
      </w:r>
      <w:r>
        <w:rPr>
          <w:rFonts w:hint="eastAsia" w:ascii="仿宋" w:hAnsi="仿宋" w:eastAsia="仿宋" w:cs="仿宋"/>
          <w:color w:val="auto"/>
          <w:sz w:val="24"/>
          <w:szCs w:val="21"/>
          <w:highlight w:val="none"/>
          <w:u w:val="single"/>
        </w:rPr>
        <w:t xml:space="preserve">.1条“无效投标条款”</w:t>
      </w:r>
      <w:r>
        <w:rPr>
          <w:rFonts w:hint="eastAsia" w:ascii="仿宋" w:hAnsi="仿宋" w:eastAsia="仿宋" w:cs="仿宋"/>
          <w:color w:val="auto"/>
          <w:sz w:val="24"/>
          <w:szCs w:val="21"/>
          <w:highlight w:val="none"/>
        </w:rPr>
        <w:t xml:space="preserve">对投标文件的有效性等进行评审。</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2" w:name="_Toc18657"/>
      <w:r>
        <w:rPr>
          <w:rFonts w:hint="default" w:ascii="Times New Roman" w:hAnsi="Times New Roman" w:eastAsia="黑体" w:cs="Times New Roman"/>
          <w:color w:val="auto"/>
          <w:sz w:val="24"/>
          <w:szCs w:val="21"/>
          <w:highlight w:val="none"/>
        </w:rPr>
        <w:t xml:space="preserve">1.3响应性审查</w:t>
      </w:r>
      <w:bookmarkEnd w:id="342"/>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对</w:t>
      </w:r>
      <w:r>
        <w:rPr>
          <w:rFonts w:hint="eastAsia" w:ascii="仿宋" w:hAnsi="仿宋" w:eastAsia="仿宋" w:cs="仿宋"/>
          <w:color w:val="auto"/>
          <w:sz w:val="24"/>
          <w:szCs w:val="21"/>
          <w:highlight w:val="none"/>
          <w:lang w:eastAsia="zh-CN"/>
        </w:rPr>
        <w:t xml:space="preserve">采购文件</w:t>
      </w:r>
      <w:r>
        <w:rPr>
          <w:rFonts w:hint="default" w:ascii="仿宋" w:hAnsi="仿宋" w:eastAsia="仿宋" w:cs="仿宋"/>
          <w:color w:val="auto"/>
          <w:sz w:val="24"/>
          <w:szCs w:val="21"/>
          <w:highlight w:val="none"/>
        </w:rPr>
        <w:t xml:space="preserve">要求的</w:t>
      </w:r>
      <w:r>
        <w:rPr>
          <w:rFonts w:hint="eastAsia" w:ascii="仿宋" w:hAnsi="仿宋" w:eastAsia="仿宋" w:cs="仿宋"/>
          <w:color w:val="auto"/>
          <w:sz w:val="24"/>
          <w:szCs w:val="21"/>
          <w:highlight w:val="none"/>
          <w:lang w:val="en-US" w:eastAsia="zh-CN"/>
        </w:rPr>
        <w:t xml:space="preserve">服务期</w:t>
      </w:r>
      <w:r>
        <w:rPr>
          <w:rFonts w:hint="default" w:ascii="仿宋" w:hAnsi="仿宋" w:eastAsia="仿宋" w:cs="仿宋"/>
          <w:color w:val="auto"/>
          <w:sz w:val="24"/>
          <w:szCs w:val="21"/>
          <w:highlight w:val="none"/>
        </w:rPr>
        <w:t xml:space="preserve">、质量及质量目标、履约担保、投标有效期、不可竞争费用等实质性要求的响应性进行评审，未响应的按无效标处理。</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bookmarkStart w:id="343" w:name="_Toc20074"/>
      <w:r>
        <w:rPr>
          <w:rFonts w:hint="default" w:ascii="Times New Roman" w:hAnsi="Times New Roman" w:eastAsia="黑体" w:cs="Times New Roman"/>
          <w:color w:val="auto"/>
          <w:sz w:val="24"/>
          <w:szCs w:val="21"/>
          <w:highlight w:val="none"/>
        </w:rPr>
        <w:t xml:space="preserve">2、详细评审</w:t>
      </w:r>
      <w:bookmarkEnd w:id="343"/>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2.1评标委员会对开、清标过程中发现的情况予以评审，被认定为无效标的投标文件不能进入本阶段评审。</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2.2商务性评审</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2.2.1有下列情形之一的，商务性评审不予通过：</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①不可竞争费费率</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如有</w:t>
      </w:r>
      <w:r>
        <w:rPr>
          <w:rFonts w:hint="eastAsia" w:ascii="仿宋" w:hAnsi="仿宋" w:eastAsia="仿宋" w:cs="仿宋"/>
          <w:color w:val="auto"/>
          <w:sz w:val="24"/>
          <w:szCs w:val="21"/>
          <w:highlight w:val="none"/>
          <w:lang w:eastAsia="zh-CN"/>
        </w:rPr>
        <w:t xml:space="preserve">）</w:t>
      </w:r>
      <w:r>
        <w:rPr>
          <w:rFonts w:hint="default" w:ascii="仿宋" w:hAnsi="仿宋" w:eastAsia="仿宋" w:cs="仿宋"/>
          <w:color w:val="auto"/>
          <w:sz w:val="24"/>
          <w:szCs w:val="21"/>
          <w:highlight w:val="none"/>
        </w:rPr>
        <w:t xml:space="preserve">、规费费率</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如有</w:t>
      </w:r>
      <w:r>
        <w:rPr>
          <w:rFonts w:hint="eastAsia" w:ascii="仿宋" w:hAnsi="仿宋" w:eastAsia="仿宋" w:cs="仿宋"/>
          <w:color w:val="auto"/>
          <w:sz w:val="24"/>
          <w:szCs w:val="21"/>
          <w:highlight w:val="none"/>
          <w:lang w:eastAsia="zh-CN"/>
        </w:rPr>
        <w:t xml:space="preserve">）</w:t>
      </w:r>
      <w:r>
        <w:rPr>
          <w:rFonts w:hint="default" w:ascii="仿宋" w:hAnsi="仿宋" w:eastAsia="仿宋" w:cs="仿宋"/>
          <w:color w:val="auto"/>
          <w:sz w:val="24"/>
          <w:szCs w:val="21"/>
          <w:highlight w:val="none"/>
        </w:rPr>
        <w:t xml:space="preserve">、税率不按规定计取的；②投标函中的投标报价（指大写金额）与开标一览表（清单）不一致且无法确认的；③经评标委员会认定投标供应商的投标报价低于成本价的。注：未通过商务性评审的不得推荐为中标候选人。</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★2.2.2供应商（申请人）合理报价注意事项：投标供应商投标报价</w:t>
      </w:r>
      <w:r>
        <w:rPr>
          <w:rFonts w:hint="default" w:ascii="仿宋" w:hAnsi="仿宋" w:eastAsia="仿宋" w:cs="仿宋"/>
          <w:color w:val="auto"/>
          <w:sz w:val="24"/>
          <w:szCs w:val="21"/>
          <w:highlight w:val="none"/>
          <w:lang w:val="en-US" w:eastAsia="zh-CN"/>
        </w:rPr>
        <w:t xml:space="preserve">高于</w:t>
      </w:r>
      <w:r>
        <w:rPr>
          <w:rFonts w:hint="default" w:ascii="仿宋" w:hAnsi="仿宋" w:eastAsia="仿宋" w:cs="仿宋"/>
          <w:color w:val="auto"/>
          <w:sz w:val="24"/>
          <w:szCs w:val="21"/>
          <w:highlight w:val="none"/>
        </w:rPr>
        <w:t xml:space="preserve">采购人设定的最高限价的或低于企业成本价的，视其为不以中标为目的的投标，将作为失信行为予以公示。（投标报价低于成本价：当评标委员会发现某投标供应商的投标报价明显低于其他所有通过初步评审的投标供应商的平均报价时，视为其报价存在不能正常履约的风险，将当场质询其法定代表人或其委托代理人，该投标供应商的法定代表人或委托代理人须当场对投标报价的组成作出合理的书面解释并签署，评标委员会认为其解释合理的，予以认可其报价，否则将作出任何有可能不利于该投标供应商本次投标活动的判断且不作中标候选人推荐。）</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pPr>
      <w:r>
        <w:rPr>
          <w:rFonts w:hint="default" w:ascii="Times New Roman" w:hAnsi="Times New Roman" w:eastAsia="黑体" w:cs="Times New Roman"/>
          <w:color w:val="auto"/>
          <w:sz w:val="24"/>
          <w:szCs w:val="21"/>
          <w:highlight w:val="none"/>
        </w:rPr>
        <w:t xml:space="preserve">2.3评分标准（综合评分表）</w:t>
      </w:r>
      <w:r/>
    </w:p>
    <w:p>
      <w:pPr>
        <w:pStyle w:val="713"/>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default" w:ascii="仿宋" w:hAnsi="仿宋" w:eastAsia="仿宋" w:cs="仿宋"/>
          <w:color w:val="auto"/>
          <w:sz w:val="24"/>
          <w:szCs w:val="21"/>
          <w:highlight w:val="none"/>
        </w:rPr>
        <w:t xml:space="preserve">本项目采用“资格后审”的“综合评分法”确定中标候选人。对通过初步评审的投标文件，评标委员会将按下表评分办法和标准进行评分，总分值为100分。</w:t>
      </w:r>
      <w:r/>
    </w:p>
    <w:tbl>
      <w:tblPr>
        <w:tblStyle w:val="692"/>
        <w:tblW w:w="92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7"/>
        <w:gridCol w:w="837"/>
        <w:gridCol w:w="838"/>
        <w:gridCol w:w="5889"/>
        <w:gridCol w:w="837"/>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ascii="仿宋" w:hAnsi="仿宋" w:eastAsia="仿宋" w:cs="仿宋"/>
                <w:i w:val="0"/>
                <w:iCs w:val="0"/>
                <w:color w:val="auto"/>
                <w:sz w:val="24"/>
                <w:szCs w:val="24"/>
                <w:highlight w:val="none"/>
                <w:u w:val="none"/>
              </w:rPr>
              <w:suppressLineNumbers w:val="0"/>
            </w:pPr>
            <w:r/>
            <w:bookmarkStart w:id="344" w:name="_Toc25351"/>
            <w:r>
              <w:rPr>
                <w:rFonts w:hint="eastAsia" w:ascii="仿宋" w:hAnsi="仿宋" w:eastAsia="仿宋" w:cs="仿宋"/>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分值</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投标报价分采用最低价优先法计算，即通过初步评审的供应商中，以最高优惠率对应的报价为评标基准价，其价格分为满分。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其他供应商价格分计算公式：价格评分 =(1-最高投标优惠率)÷(1-投标优惠率)×10（小数点保留两位）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评标委员会认为投标供应商的报价明显过低，有可能影响服务质量或者不能诚信履约的，将要求其在评标现场合理的时间内提供书面说明，必要时提交相关证明材料；投标供应商不能证明其报价合理性的，评标委员会将其作为无效投标处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商务分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类似服务案例</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投标供应商自2024年1月1日以来为其他单位提供过同类型服务业绩(车辆清拖及保管)的加4分,每服务过一家单位加4分，本项最高得8分。同一服务单位多次服务不重复计分。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注:投标时须提供服务合同或服务结算凭证发票扫描件并加盖投标人公章。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技术分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停车场服务方案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停车场地外围设置指路引导牌及出入口安装照明设备等</w:t>
            </w:r>
            <w:bookmarkStart w:id="405" w:name="_GoBack"/>
            <w:r/>
            <w:bookmarkEnd w:id="405"/>
            <w:r>
              <w:rPr>
                <w:rFonts w:hint="eastAsia" w:ascii="仿宋" w:hAnsi="仿宋" w:eastAsia="仿宋" w:cs="仿宋"/>
                <w:i w:val="0"/>
                <w:iCs w:val="0"/>
                <w:color w:val="auto"/>
                <w:sz w:val="24"/>
                <w:szCs w:val="24"/>
                <w:highlight w:val="none"/>
                <w:u w:val="none"/>
                <w:lang w:val="en-US" w:eastAsia="zh-CN" w:bidi="ar"/>
              </w:rPr>
              <w:t xml:space="preserve">:依据停车场地外围设置指路引导牌及出入口安装照明等设备情况进行评审，投标人须以文字及彩色照片提交场地建设情况。</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优于项目需求的得5分；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满足项目需求的得4分：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轻微偏离项目需求的得3分：</w:t>
            </w:r>
            <w:r/>
          </w:p>
          <w:p>
            <w:pPr>
              <w:numPr>
                <w:ilvl w:val="0"/>
                <w:numId w:val="0"/>
              </w:numPr>
              <w:ind w:left="0" w:firstLine="0"/>
              <w:jc w:val="left"/>
              <w:keepLines w:val="0"/>
              <w:keepNext w:val="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重大偏离或未提供方案的得0分。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2.</w:t>
            </w:r>
            <w:r>
              <w:rPr>
                <w:rFonts w:hint="eastAsia" w:ascii="仿宋" w:hAnsi="仿宋" w:eastAsia="仿宋" w:cs="仿宋"/>
                <w:i w:val="0"/>
                <w:iCs w:val="0"/>
                <w:color w:val="auto"/>
                <w:sz w:val="24"/>
                <w:szCs w:val="24"/>
                <w:highlight w:val="none"/>
                <w:u w:val="none"/>
                <w:lang w:val="en-US" w:eastAsia="zh-CN" w:bidi="ar"/>
              </w:rPr>
              <w:t xml:space="preserve">场地区域划分情况:依据是否按使用方要求完成场地区域划分、实现专场专用评审（场地需划分大型车、小型车、摩托车、非机动车区域，并规范施划交通标线及停车泊位），投标人须以文字及彩色照片提交场地建设情况。</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优于项目需求的得5分；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满足项目需求的得4分：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轻微偏离项目需求的得3分：</w:t>
            </w:r>
            <w:r/>
          </w:p>
          <w:p>
            <w:pPr>
              <w:numPr>
                <w:ilvl w:val="0"/>
                <w:numId w:val="0"/>
              </w:numPr>
              <w:ind w:left="0" w:firstLine="0"/>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重大偏离或未提供方案的得0分。</w:t>
            </w:r>
            <w:r/>
          </w:p>
          <w:p>
            <w:pPr>
              <w:numPr>
                <w:ilvl w:val="0"/>
                <w:numId w:val="0"/>
              </w:numPr>
              <w:ind w:left="0" w:firstLine="0"/>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注：如投标供应商拟提供的场地偏离采购需求要求的范围的，按以下规则评审：</w:t>
            </w:r>
            <w:r/>
          </w:p>
          <w:p>
            <w:pPr>
              <w:numPr>
                <w:ilvl w:val="0"/>
                <w:numId w:val="0"/>
              </w:numPr>
              <w:ind w:left="0" w:firstLine="0"/>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1.三个场地均符合指定选址区域的，按原评分细则进行评审；</w:t>
            </w:r>
            <w:r/>
          </w:p>
          <w:p>
            <w:pPr>
              <w:numPr>
                <w:ilvl w:val="0"/>
                <w:numId w:val="0"/>
              </w:numPr>
              <w:ind w:left="0" w:firstLine="0"/>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2.单个场地偏离指定选址区域的，技术分中“停车场服务方案”项按轻微偏离评定；</w:t>
            </w:r>
            <w:r/>
          </w:p>
          <w:p>
            <w:pPr>
              <w:numPr>
                <w:ilvl w:val="0"/>
                <w:numId w:val="0"/>
              </w:numPr>
              <w:ind w:left="0" w:firstLine="0"/>
              <w:jc w:val="left"/>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3.两个及以上场地偏离指定选址区域的，技术分中 “停车场服务方案” 项按重大偏离评定，该项得 0 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3.</w:t>
            </w:r>
            <w:r>
              <w:rPr>
                <w:rFonts w:hint="eastAsia" w:ascii="仿宋" w:hAnsi="仿宋" w:eastAsia="仿宋" w:cs="仿宋"/>
                <w:i w:val="0"/>
                <w:iCs w:val="0"/>
                <w:color w:val="auto"/>
                <w:sz w:val="24"/>
                <w:szCs w:val="24"/>
                <w:highlight w:val="none"/>
                <w:u w:val="none"/>
                <w:lang w:val="en-US" w:eastAsia="zh-CN" w:bidi="ar"/>
              </w:rPr>
              <w:t xml:space="preserve">停车场监控设备服务方案：包括但不限于①停车区域的进、出口②停放区③接待区等。投标人须针对每条内容进行阐述。</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优于项目需求的得5分；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满足项目需求的得4分：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轻微偏离项目需求的得3分：</w:t>
            </w:r>
            <w:r/>
          </w:p>
          <w:p>
            <w:pPr>
              <w:numPr>
                <w:ilvl w:val="0"/>
                <w:numId w:val="0"/>
              </w:numPr>
              <w:ind w:lef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重大偏离或未提供方案的得0分。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4.</w:t>
            </w:r>
            <w:r>
              <w:rPr>
                <w:rFonts w:hint="eastAsia" w:ascii="仿宋" w:hAnsi="仿宋" w:eastAsia="仿宋" w:cs="仿宋"/>
                <w:i w:val="0"/>
                <w:iCs w:val="0"/>
                <w:color w:val="auto"/>
                <w:sz w:val="24"/>
                <w:szCs w:val="24"/>
                <w:highlight w:val="none"/>
                <w:u w:val="none"/>
                <w:lang w:val="en-US" w:eastAsia="zh-CN" w:bidi="ar"/>
              </w:rPr>
              <w:t xml:space="preserve">服务方案包含但不限于:①人员安排(人员名单及联系电话等)②队伍管理(管理人员名单及联系电话、办公设备等)③规章制度(考勤管理制度、岗位管理制度、档案管理制度等)④服务承诺(车辆进场导引、保管等承诺)，投标人须针对每条内容进行阐述。</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优于项目需求的得5分；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满足项目需求的得4分：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轻微偏离项目需求的得3分：</w:t>
            </w:r>
            <w:r/>
          </w:p>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重大偏离或未提供方案的得0分。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拖车服务方案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5.</w:t>
            </w:r>
            <w:r>
              <w:rPr>
                <w:rFonts w:hint="eastAsia" w:ascii="仿宋" w:hAnsi="仿宋" w:eastAsia="仿宋" w:cs="仿宋"/>
                <w:i w:val="0"/>
                <w:iCs w:val="0"/>
                <w:color w:val="auto"/>
                <w:sz w:val="24"/>
                <w:szCs w:val="24"/>
                <w:highlight w:val="none"/>
                <w:u w:val="none"/>
                <w:lang w:val="en-US" w:eastAsia="zh-CN" w:bidi="ar"/>
              </w:rPr>
              <w:t xml:space="preserve">拖车服务方案：包括但不限于:①人员安排(拖车外勤人员名单及联系电话等)②规章制度(现场拖车制度等)③工作措施(现场拖车、登记车辆信息等工作流程);投标供应商须针对每条内容进行阐述。</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优于项目需求的得5分；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满足项目需求的得4分：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轻微偏离项目需求的得3分：</w:t>
            </w:r>
            <w:r/>
          </w:p>
          <w:p>
            <w:pPr>
              <w:numPr>
                <w:ilvl w:val="0"/>
                <w:numId w:val="0"/>
              </w:numPr>
              <w:ind w:lef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重大偏离或未提供方案的得0分。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应急事件处理预案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6.</w:t>
            </w:r>
            <w:r>
              <w:rPr>
                <w:rFonts w:hint="eastAsia" w:ascii="仿宋" w:hAnsi="仿宋" w:eastAsia="仿宋" w:cs="仿宋"/>
                <w:i w:val="0"/>
                <w:iCs w:val="0"/>
                <w:color w:val="auto"/>
                <w:sz w:val="24"/>
                <w:szCs w:val="24"/>
                <w:highlight w:val="none"/>
                <w:u w:val="none"/>
                <w:lang w:val="en-US" w:eastAsia="zh-CN" w:bidi="ar"/>
              </w:rPr>
              <w:t xml:space="preserve">应急事件处理预案：突发事件、安全管控或特殊状况下的管理预案(包括各环节流程及规范及操作要求;对于简易、一般、重大交通事故分别有合理的救援流程预案、突发紧急情况的应急预案等)。</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优于项目需求的得5分；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满足项目需求的得4分：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轻微偏离项目需求的得3分：</w:t>
            </w:r>
            <w:r/>
          </w:p>
          <w:p>
            <w:pPr>
              <w:numPr>
                <w:ilvl w:val="0"/>
                <w:numId w:val="0"/>
              </w:numPr>
              <w:ind w:lef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重大偏离或未提供方案的得0分。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后续服务保障</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7.</w:t>
            </w:r>
            <w:r>
              <w:rPr>
                <w:rFonts w:hint="eastAsia" w:ascii="仿宋" w:hAnsi="仿宋" w:eastAsia="仿宋" w:cs="仿宋"/>
                <w:i w:val="0"/>
                <w:iCs w:val="0"/>
                <w:color w:val="auto"/>
                <w:sz w:val="24"/>
                <w:szCs w:val="24"/>
                <w:highlight w:val="none"/>
                <w:u w:val="none"/>
                <w:lang w:val="en-US" w:eastAsia="zh-CN" w:bidi="ar"/>
              </w:rPr>
              <w:t xml:space="preserve">后续服务保障：针对本项目制定后续服务方案，方案完善、详细、服务体系完整性、响应速度进行综合评比。</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优于项目需求的得4分；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满足项目需求的得3分：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轻微偏离项目需求的得2分：</w:t>
            </w:r>
            <w:r/>
          </w:p>
          <w:p>
            <w:pPr>
              <w:numPr>
                <w:ilvl w:val="0"/>
                <w:numId w:val="0"/>
              </w:numPr>
              <w:ind w:lef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重大偏离或未提供方案的得0分。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救援设备</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投标人拟投入的服务车辆按下列标准计分；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1.投标供应商配备6辆小型清障车辆且证明材料齐全的得8分，未提供证明材料不得分。其中每具有一辆自有小型清障车的加2分，最多加8分，本小项最高16分。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2.投标供应商配备3辆中型清障车辆且证明材料齐全的得2分，未提供证明材料不得分。其中每具有一辆自有中型清障车的加3分，最多加3分，本小项最高得5分。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3.投标供应商配备3辆大型清障车辆且证明材料齐全的得4分，未提供证明材料不得分。其中每具有一辆自有大型清障车的加5分，最多加5分，本小项最高得9分。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本评审项总分合计30分。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注：1.投标时投标人仅提供承诺，未提供车辆设备证明材料的，本项不计分。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2.车辆设备证明材料包括：</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（1）如为自有车辆的须同时提供：车辆行驶证扫描件。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如为租赁车辆的，须同时提供：①车辆租赁合同原件扫描件。②车辆行驶证扫描件。③车辆所有人身份证明材料（如为个人所有的，提供自然人身份证/如为企业机构等所有的，提供营业执照等法人组织证明材料），有关信息应与车辆行驶证信息一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3.服务车辆承诺详见采购文件格式。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4.上述证明材料扫描件均须加盖投标供应商单位公章。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服务人员配备</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投标人拟配置服务人员按下列标准计分：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1.每配备1名持有B2及以上等级机动车驾驶证，且在本单位连续缴纳社会保险满12个月及以上的服务人员，得2分。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2.每配备1名持有B2及以上等级机动车驾驶证，且在本单位连续缴纳社会保险不满12个月的服务人员，得1分。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本项最高得5分。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注：1.投标时须同时提供：①人员驾驶证扫描件②人员社保证明材料扫描件（须能够反映在本单位连续缴纳社保的时间期限）③人员身份证扫描件。未提供证明材料的不得分。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2.上述证明材料扫描件均须加盖投标供应商单位公章。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停放场地</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投标人拟投入服务场所（停车场场地）按下列标准计分：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1.县城范围：投标人拟设置在县城地区的停放车辆场地设置在县城范围</w:t>
            </w:r>
            <w:r>
              <w:rPr>
                <w:rStyle w:val="876"/>
                <w:color w:val="auto"/>
                <w:highlight w:val="none"/>
                <w:lang w:val="en-US" w:eastAsia="zh-CN" w:bidi="ar"/>
              </w:rPr>
              <w:t xml:space="preserve">（指东海大道，328省道，204国道，327省道，四条路中间区域）</w:t>
            </w:r>
            <w:r>
              <w:rPr>
                <w:rStyle w:val="877"/>
                <w:color w:val="auto"/>
                <w:highlight w:val="none"/>
                <w:lang w:val="en-US" w:eastAsia="zh-CN" w:bidi="ar"/>
              </w:rPr>
              <w:t xml:space="preserve">内且场地硬质化面积满足10亩，得2分；</w:t>
            </w:r>
            <w:r>
              <w:rPr>
                <w:rStyle w:val="877"/>
                <w:color w:val="auto"/>
                <w:highlight w:val="none"/>
                <w:lang w:val="en-US" w:eastAsia="zh-CN" w:bidi="ar"/>
              </w:rPr>
              <w:br/>
            </w:r>
            <w:r>
              <w:rPr>
                <w:rStyle w:val="877"/>
                <w:color w:val="auto"/>
                <w:highlight w:val="none"/>
                <w:lang w:val="en-US" w:eastAsia="zh-CN" w:bidi="ar"/>
              </w:rPr>
              <w:t xml:space="preserve">2.渠南范围：投标人拟设置在渠南地区的停放车辆场地设置在通榆镇境内且场地硬质化面积满足5亩，得1分，在此基础上每增加1亩加1分，加分最高不超2分；本小项最高得3分。</w:t>
            </w:r>
            <w:r>
              <w:rPr>
                <w:rStyle w:val="877"/>
                <w:color w:val="auto"/>
                <w:highlight w:val="none"/>
                <w:lang w:val="en-US" w:eastAsia="zh-CN" w:bidi="ar"/>
              </w:rPr>
              <w:br/>
            </w:r>
            <w:r>
              <w:rPr>
                <w:rStyle w:val="877"/>
                <w:color w:val="auto"/>
                <w:highlight w:val="none"/>
                <w:lang w:val="en-US" w:eastAsia="zh-CN" w:bidi="ar"/>
              </w:rPr>
              <w:t xml:space="preserve">3.渠北范围：投标人拟设置在渠北地区的停放车辆场地设置在八滩镇</w:t>
            </w:r>
            <w:r>
              <w:rPr>
                <w:rStyle w:val="877"/>
                <w:rFonts w:hint="eastAsia"/>
                <w:color w:val="auto"/>
                <w:highlight w:val="none"/>
                <w:lang w:val="en-US" w:eastAsia="zh-CN" w:bidi="ar"/>
              </w:rPr>
              <w:t xml:space="preserve">（不含北八滩渠以南区域）</w:t>
            </w:r>
            <w:r>
              <w:rPr>
                <w:rStyle w:val="877"/>
                <w:color w:val="auto"/>
                <w:highlight w:val="none"/>
                <w:lang w:val="en-US" w:eastAsia="zh-CN" w:bidi="ar"/>
              </w:rPr>
              <w:t xml:space="preserve">境内，且场地硬质化面积满足5亩得1分，在此基础上每增加1亩加1分，加分最高不超2分；本小项最高得3分。</w:t>
            </w:r>
            <w:r>
              <w:rPr>
                <w:rStyle w:val="877"/>
                <w:color w:val="auto"/>
                <w:highlight w:val="none"/>
                <w:lang w:val="en-US" w:eastAsia="zh-CN" w:bidi="ar"/>
              </w:rPr>
              <w:br/>
            </w:r>
            <w:r>
              <w:rPr>
                <w:rStyle w:val="877"/>
                <w:color w:val="auto"/>
                <w:highlight w:val="none"/>
                <w:lang w:val="en-US" w:eastAsia="zh-CN" w:bidi="ar"/>
              </w:rPr>
              <w:t xml:space="preserve">本评审项总分合计8分。</w:t>
            </w:r>
            <w:r>
              <w:rPr>
                <w:rStyle w:val="877"/>
                <w:color w:val="auto"/>
                <w:highlight w:val="none"/>
                <w:lang w:val="en-US" w:eastAsia="zh-CN" w:bidi="ar"/>
              </w:rPr>
              <w:br/>
            </w:r>
            <w:r>
              <w:rPr>
                <w:rStyle w:val="877"/>
                <w:color w:val="auto"/>
                <w:highlight w:val="none"/>
                <w:lang w:val="en-US" w:eastAsia="zh-CN" w:bidi="ar"/>
              </w:rPr>
              <w:t xml:space="preserve">注：1.投标时须提供的证明材料有：①标有尺寸的平面示意图②平面示意图上标明场地具体位置及现场照片③租赁的提供租赁协议及场地产权证明材料④自有的提供场地产权证明材料扫描件，以上缺一不可，否则不得分。</w:t>
            </w:r>
            <w:r>
              <w:rPr>
                <w:rStyle w:val="877"/>
                <w:color w:val="auto"/>
                <w:highlight w:val="none"/>
                <w:lang w:val="en-US" w:eastAsia="zh-CN" w:bidi="ar"/>
              </w:rPr>
              <w:br/>
            </w:r>
            <w:r>
              <w:rPr>
                <w:rStyle w:val="877"/>
                <w:color w:val="auto"/>
                <w:highlight w:val="none"/>
                <w:lang w:val="en-US" w:eastAsia="zh-CN" w:bidi="ar"/>
              </w:rPr>
              <w:t xml:space="preserve">2.上述证明材料扫描件均须加盖投标供应商单位公章。</w:t>
            </w:r>
            <w:r>
              <w:rPr>
                <w:rStyle w:val="877"/>
                <w:color w:val="auto"/>
                <w:highlight w:val="none"/>
                <w:lang w:val="en-US" w:eastAsia="zh-CN" w:bidi="ar"/>
              </w:rPr>
              <w:br/>
            </w:r>
            <w:r>
              <w:rPr>
                <w:rStyle w:val="877"/>
                <w:color w:val="auto"/>
                <w:highlight w:val="none"/>
                <w:lang w:val="en-US" w:eastAsia="zh-CN" w:bidi="ar"/>
              </w:rPr>
              <w:t xml:space="preserve">3.纳入计分的面积只统计提供给采购人实际使用的场地面积，投标人投标时自行在平面图示意图上标注实际使用面积。</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停车场场地硬化情况,水泥场地得5分;沥青场地得3分;其他得1分;本项最高得5分,非硬化场地的不得分。三个区域场地单独评分，以三个场地得分中最低分计入本项最终得分值。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注：投标时提供现场场地彩色照片（标注场地范围、归属区域及经纬度信息等信息）扫描件并加盖投标人公章。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gridSpan w:val="4"/>
            <w:shd w:val="clear" w:color="auto" w:fill="auto"/>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100</w:t>
            </w:r>
            <w:r/>
          </w:p>
        </w:tc>
      </w:tr>
      <w:tr>
        <w:trPr>
          <w:jc w:val="cente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注：①以上证书材料均应在有效期范围，且发证机关网站未公布为暂停（或无效）状态方可有效。</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②上述提及的扫描件或网络打印件材料均须加盖投标供应商公章。</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③上述评分办法中主观分部分均以0.1分为一个计分点。</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④技术方案、服务方案等方案未提供的不得分，或经评标委员会认定内容极差严重偏离采购需求的也不得分。</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⑤评标时，评标委员会专家仅依据投标供应商在投标时提供的材料评审，投标供应商未提供在投标文件中的材料不作为评审依据，投标供应商须根据《采购文件》（采购文件）的评审要求完整、齐全、详尽的准备投标材料供评标专家评审，因投标供应商提供的材料不完整、不齐全、未详尽造成的后果由投标供应商自负。除评标委员会认为可以或应当或要求投标供应商限期补充或澄清的材料外，评标专家有权不再接受投标供应商在投标文件递交截止时间后主动递交的任何补充材料。</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⑥如有未详尽部分，详见《采购文件》（采购文件）。</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⑦本表中要求加盖公章的部分均可加盖投标供应商系统内电子签章，要求提供复印件的均可使用扫描件。</w:t>
            </w:r>
            <w:r/>
          </w:p>
        </w:tc>
      </w:tr>
    </w:tbl>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rPr>
          <w:color w:val="auto"/>
          <w:highlight w:val="none"/>
        </w:rPr>
        <w:t xml:space="preserve"> </w:t>
      </w:r>
      <w:r>
        <w:rPr>
          <w:rFonts w:hint="default" w:ascii="Times New Roman" w:hAnsi="Times New Roman" w:eastAsia="黑体" w:cs="Times New Roman"/>
          <w:color w:val="auto"/>
          <w:sz w:val="24"/>
          <w:szCs w:val="21"/>
          <w:highlight w:val="none"/>
        </w:rPr>
        <w:t xml:space="preserve">3、中标候选人推荐方法：</w:t>
      </w:r>
      <w:bookmarkEnd w:id="344"/>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除符合性（指初步评审中形式评审和响应性审查）、商务性评审未通过的及本文件规定的其他不作中标候选人的情况不得作为中标候选人推荐外，其余按综合评分得分从高到</w:t>
      </w:r>
      <w:r>
        <w:rPr>
          <w:rFonts w:hint="eastAsia" w:ascii="仿宋" w:hAnsi="仿宋" w:eastAsia="仿宋" w:cs="仿宋"/>
          <w:color w:val="auto"/>
          <w:sz w:val="24"/>
          <w:szCs w:val="21"/>
          <w:highlight w:val="none"/>
          <w:lang w:val="en-US" w:eastAsia="zh-CN"/>
        </w:rPr>
        <w:t xml:space="preserve">低</w:t>
      </w:r>
      <w:r>
        <w:rPr>
          <w:rFonts w:hint="default" w:ascii="仿宋" w:hAnsi="仿宋" w:eastAsia="仿宋" w:cs="仿宋"/>
          <w:color w:val="auto"/>
          <w:sz w:val="24"/>
          <w:szCs w:val="21"/>
          <w:highlight w:val="none"/>
        </w:rPr>
        <w:t xml:space="preserve">依次推荐1名中标候选人，如总分得分相同，按报价由低至高顺序排序。如得分最高者不止一个，则得分相同中报价低的为第一中标候选人。如最高得分相同且报价相同者不止一个，则由评标委员会抽签决定第一中标候选人。</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0"/>
      </w:pPr>
      <w:r/>
      <w:bookmarkStart w:id="345" w:name="_Toc22623"/>
      <w:r/>
      <w:bookmarkStart w:id="346" w:name="_Toc30603"/>
      <w:r/>
      <w:bookmarkStart w:id="347" w:name="_Toc16976"/>
      <w:r/>
      <w:bookmarkStart w:id="348" w:name="_Toc17909"/>
      <w:r/>
      <w:bookmarkStart w:id="349" w:name="_Toc30263"/>
      <w:r>
        <w:rPr>
          <w:rFonts w:hint="default" w:ascii="Times New Roman" w:hAnsi="Times New Roman" w:eastAsia="黑体" w:cs="Times New Roman"/>
          <w:color w:val="auto"/>
          <w:sz w:val="24"/>
          <w:szCs w:val="21"/>
          <w:highlight w:val="none"/>
        </w:rPr>
        <w:t xml:space="preserve">三、其它</w:t>
      </w:r>
      <w:bookmarkEnd w:id="345"/>
      <w:r/>
      <w:bookmarkEnd w:id="346"/>
      <w:r/>
      <w:bookmarkEnd w:id="347"/>
      <w:r/>
      <w:bookmarkEnd w:id="348"/>
      <w:r/>
      <w:bookmarkEnd w:id="349"/>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1.在评标过程中，评标委员会如发现投标供应商的投标报价可能低于其个别成本的，应当要求该投标供应商在规定时间内作出书面澄清，并提供相关材料。投标供应商不能合理说明或者不能提供相关证明材料的，由评标委员会认定该投标供应商以低于成本价竞标，其投标报价作无效报价处理。</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在评标过程中，评委会如发现投标供应商的有效投标报价不足3个，使得投标缺乏竞争的，评委会可以决定否决全部投标，采购人应当依照规定重新招标；评委会如发现投标供应商的有效投标报价不足3个但仍具有竞争性的，可以继续评标或采购人选择重新招标。</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3.本评标办法未述及的事宜，由评标委员会依据法律法规处置。</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4.有不符合法律、法规规定，出现《江苏省预防职务犯罪条例》限制情形的，按照规定予以废标处置。</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5.经审查为虚假材料的，按相关法律、法规要求作无效标处理同时上报行政主管部门予以列入黑名单并予以公示不低于6个月。</w:t>
      </w:r>
      <w:r/>
    </w:p>
    <w:p>
      <w:pPr>
        <w:rPr>
          <w:rFonts w:hint="eastAsia" w:ascii="黑体" w:hAnsi="宋体" w:eastAsia="黑体" w:cs="黑体"/>
          <w:color w:val="auto"/>
          <w:sz w:val="44"/>
          <w:szCs w:val="44"/>
          <w:highlight w:val="none"/>
        </w:rPr>
      </w:pPr>
      <w:r/>
      <w:bookmarkStart w:id="350" w:name="_Toc14834"/>
      <w:r>
        <w:rPr>
          <w:rFonts w:hint="eastAsia" w:ascii="黑体" w:hAnsi="宋体" w:eastAsia="黑体" w:cs="黑体"/>
          <w:color w:val="auto"/>
          <w:sz w:val="44"/>
          <w:szCs w:val="44"/>
          <w:highlight w:val="none"/>
        </w:rPr>
        <w:br w:type="page" w:clear="all"/>
      </w:r>
      <w:r/>
    </w:p>
    <w:p>
      <w:pPr>
        <w:pStyle w:val="713"/>
        <w:jc w:val="center"/>
        <w:keepNext/>
        <w:spacing w:beforeAutospacing="0" w:afterAutospacing="0"/>
        <w:rPr>
          <w:color w:val="auto"/>
          <w:highlight w:val="none"/>
        </w:rPr>
        <w:outlineLvl w:val="0"/>
      </w:pPr>
      <w:r/>
      <w:bookmarkStart w:id="351" w:name="_Toc18305"/>
      <w:r>
        <w:rPr>
          <w:rFonts w:hint="eastAsia" w:ascii="黑体" w:hAnsi="宋体" w:eastAsia="黑体" w:cs="黑体"/>
          <w:color w:val="auto"/>
          <w:sz w:val="44"/>
          <w:szCs w:val="44"/>
          <w:highlight w:val="none"/>
        </w:rPr>
        <w:t xml:space="preserve">第六章  投标文件格式</w:t>
      </w:r>
      <w:bookmarkEnd w:id="350"/>
      <w:r/>
      <w:bookmarkEnd w:id="351"/>
      <w:r>
        <w:rPr>
          <w:rFonts w:hint="eastAsia" w:ascii="黑体" w:hAnsi="宋体" w:eastAsia="黑体" w:cs="黑体"/>
          <w:color w:val="auto"/>
          <w:sz w:val="44"/>
          <w:szCs w:val="44"/>
          <w:highlight w:val="none"/>
        </w:rPr>
        <w:t xml:space="preserve"> </w:t>
      </w:r>
      <w:r/>
    </w:p>
    <w:p>
      <w:pPr>
        <w:pStyle w:val="713"/>
        <w:jc w:val="center"/>
        <w:spacing w:beforeAutospacing="0" w:afterAutospacing="0"/>
        <w:rPr>
          <w:rFonts w:hint="eastAsia" w:ascii="宋体" w:hAnsi="宋体" w:eastAsia="宋体" w:cs="宋体"/>
          <w:b/>
          <w:color w:val="auto"/>
          <w:sz w:val="72"/>
          <w:szCs w:val="72"/>
          <w:highlight w:val="none"/>
        </w:rPr>
      </w:pPr>
      <w:r/>
      <w:bookmarkStart w:id="352" w:name="_Toc26554094"/>
      <w:r/>
      <w:bookmarkEnd w:id="352"/>
      <w:r/>
      <w:bookmarkStart w:id="353" w:name="_Hlt26671244"/>
      <w:r/>
      <w:bookmarkEnd w:id="353"/>
      <w:r/>
      <w:bookmarkStart w:id="354" w:name="_Hlt26955039"/>
      <w:r/>
      <w:bookmarkEnd w:id="354"/>
      <w:r/>
      <w:bookmarkStart w:id="355" w:name="_Toc120614282"/>
      <w:r/>
      <w:bookmarkStart w:id="356" w:name="_Toc49090576"/>
      <w:r/>
      <w:r/>
    </w:p>
    <w:p>
      <w:pPr>
        <w:pStyle w:val="71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spacing w:beforeAutospacing="0" w:afterAutospacing="0"/>
        <w:rPr>
          <w:color w:val="auto"/>
          <w:highlight w:val="none"/>
        </w:rPr>
        <w:outlineLvl w:val="0"/>
      </w:pPr>
      <w:r/>
      <w:bookmarkStart w:id="357" w:name="_Toc2196"/>
      <w:r/>
      <w:bookmarkStart w:id="358" w:name="_Toc31039"/>
      <w:r>
        <w:rPr>
          <w:rFonts w:hint="eastAsia" w:ascii="宋体" w:hAnsi="宋体" w:eastAsia="宋体" w:cs="宋体"/>
          <w:b/>
          <w:color w:val="auto"/>
          <w:sz w:val="72"/>
          <w:szCs w:val="72"/>
          <w:highlight w:val="none"/>
        </w:rPr>
        <w:t xml:space="preserve">投  标  文  件</w:t>
      </w:r>
      <w:bookmarkEnd w:id="357"/>
      <w:r/>
      <w:bookmarkEnd w:id="358"/>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t xml:space="preserve"> </w:t>
      </w:r>
      <w:r/>
    </w:p>
    <w:p>
      <w:pPr>
        <w:pStyle w:val="71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1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1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投标供应商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rPr>
        <w:t xml:space="preserve">（加盖CA电子公章）        </w:t>
      </w:r>
      <w:r/>
    </w:p>
    <w:p>
      <w:pPr>
        <w:pStyle w:val="71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3"/>
        <w:jc w:val="center"/>
        <w:spacing w:beforeAutospacing="0" w:afterAutospacing="0" w:line="0" w:lineRule="atLeast"/>
        <w:rPr>
          <w:color w:val="auto"/>
          <w:highlight w:val="none"/>
        </w:rPr>
      </w:pPr>
      <w:r>
        <w:rPr>
          <w:color w:val="auto"/>
          <w:highlight w:val="none"/>
        </w:rPr>
        <w:t xml:space="preserve"> </w:t>
      </w:r>
      <w:r/>
    </w:p>
    <w:p>
      <w:pPr>
        <w:pStyle w:val="713"/>
        <w:jc w:val="both"/>
        <w:spacing w:beforeAutospacing="0" w:afterAutospacing="0" w:line="0" w:lineRule="atLeast"/>
        <w:rPr>
          <w:color w:val="auto"/>
          <w:highlight w:val="none"/>
        </w:rPr>
      </w:pPr>
      <w:r>
        <w:rPr>
          <w:color w:val="auto"/>
          <w:highlight w:val="none"/>
        </w:rPr>
        <w:t xml:space="preserve"> </w:t>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13"/>
        <w:ind w:left="0" w:firstLine="480"/>
        <w:jc w:val="center"/>
        <w:keepLines w:val="0"/>
        <w:keepNext w:val="0"/>
        <w:pageBreakBefore w:val="0"/>
        <w:spacing w:beforeAutospacing="0" w:afterAutospacing="0" w:line="520" w:lineRule="exact"/>
        <w:rPr>
          <w:color w:val="auto"/>
          <w:highlight w:val="none"/>
        </w:rPr>
      </w:pPr>
      <w:r>
        <w:rPr>
          <w:color w:val="auto"/>
          <w:highlight w:val="none"/>
        </w:rPr>
        <w:t xml:space="preserve"> </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52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二、上一年度的财务状况报告（至少提供资产负债表、利润表、现金流量表，投标供应商成立不满一年无需提供，投标人投标时可提供2024或2025年度财务报表，在评标时均予以认可。）</w:t>
      </w:r>
      <w:r/>
    </w:p>
    <w:p>
      <w:pPr>
        <w:pStyle w:val="713"/>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713"/>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highlight w:val="none"/>
          <w:u w:val="none"/>
          <w:lang w:eastAsia="zh-CN"/>
        </w:rPr>
        <w:t xml:space="preserve">投标供应商</w:t>
      </w:r>
      <w:r>
        <w:rPr>
          <w:rFonts w:hint="eastAsia" w:ascii="宋体" w:hAnsi="宋体" w:eastAsia="宋体" w:cs="宋体"/>
          <w:i w:val="0"/>
          <w:iCs/>
          <w:color w:val="auto"/>
          <w:highlight w:val="none"/>
          <w:u w:val="none"/>
        </w:rPr>
        <w:t xml:space="preserve">依法享受缓缴、免缴税收、社会保障资金的提供证明材料）</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713"/>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 xml:space="preserve">六</w:t>
      </w:r>
      <w:r>
        <w:rPr>
          <w:rFonts w:hint="eastAsia" w:ascii="宋体" w:hAnsi="宋体" w:eastAsia="宋体" w:cs="宋体"/>
          <w:i w:val="0"/>
          <w:iCs/>
          <w:color w:val="auto"/>
          <w:highlight w:val="none"/>
          <w:u w:val="none"/>
          <w:lang w:eastAsia="zh-CN"/>
        </w:rPr>
        <w:t xml:space="preserve">、未被“信用中国”网站（www.creditchina.gov.cn）列入失信被执行人、重大税收违法案件当事人名单、政府采购严重失信行为记录名单。</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特定资格要求的证明文件（如果本项目设置特定资格要求，则需要提供）</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、法人授权书</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、投标函</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、残疾人福利性单位声明函</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信用</w:t>
      </w:r>
      <w:r>
        <w:rPr>
          <w:rFonts w:hint="eastAsia" w:ascii="宋体" w:hAnsi="宋体" w:eastAsia="宋体" w:cs="宋体"/>
          <w:i w:val="0"/>
          <w:iCs/>
          <w:color w:val="auto"/>
          <w:highlight w:val="none"/>
          <w:u w:val="none"/>
        </w:rPr>
        <w:t xml:space="preserve">商务要求响应及偏离表</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开标一览表</w:t>
      </w:r>
      <w:r/>
    </w:p>
    <w:p>
      <w:pPr>
        <w:ind w:left="0" w:firstLine="480"/>
        <w:keepLines w:val="0"/>
        <w:keepNext w:val="0"/>
        <w:pageBreakBefore w:val="0"/>
        <w:spacing w:line="520" w:lineRule="exact"/>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四</w:t>
      </w:r>
      <w:r>
        <w:rPr>
          <w:rFonts w:hint="eastAsia" w:ascii="宋体" w:hAnsi="宋体" w:eastAsia="宋体" w:cs="宋体"/>
          <w:i w:val="0"/>
          <w:iCs/>
          <w:color w:val="auto"/>
          <w:sz w:val="24"/>
          <w:highlight w:val="none"/>
          <w:u w:val="none"/>
        </w:rPr>
        <w:t xml:space="preserve">、技术方案、服务承诺、培训承诺等</w:t>
      </w:r>
      <w:r/>
    </w:p>
    <w:p>
      <w:pPr>
        <w:pStyle w:val="713"/>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、盐城市政府采购事前信用承诺书</w:t>
      </w:r>
      <w:r/>
    </w:p>
    <w:p>
      <w:pPr>
        <w:pStyle w:val="713"/>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十六、承诺书</w:t>
      </w:r>
      <w:r/>
    </w:p>
    <w:p>
      <w:pPr>
        <w:pStyle w:val="71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bookmarkStart w:id="359" w:name="_Toc15879"/>
      <w:r/>
      <w:bookmarkStart w:id="360" w:name="_Toc24735"/>
      <w:r>
        <w:rPr>
          <w:rFonts w:hint="eastAsia" w:ascii="黑体" w:hAnsi="宋体" w:eastAsia="黑体" w:cs="黑体"/>
          <w:i/>
          <w:color w:val="auto"/>
          <w:sz w:val="32"/>
          <w:szCs w:val="32"/>
          <w:highlight w:val="none"/>
          <w:u w:val="single"/>
        </w:rPr>
        <w:br w:type="page" w:clear="all"/>
      </w:r>
      <w:r/>
    </w:p>
    <w:p>
      <w:pPr>
        <w:pStyle w:val="713"/>
        <w:ind w:firstLine="480"/>
        <w:jc w:val="center"/>
        <w:spacing w:beforeAutospacing="0" w:afterAutospacing="0" w:line="0" w:lineRule="atLeast"/>
        <w:rPr>
          <w:color w:val="auto"/>
          <w:highlight w:val="none"/>
        </w:rPr>
        <w:outlineLvl w:val="0"/>
      </w:pPr>
      <w:r>
        <w:rPr>
          <w:rFonts w:hint="eastAsia" w:ascii="黑体" w:hAnsi="宋体" w:eastAsia="黑体" w:cs="黑体"/>
          <w:i/>
          <w:color w:val="auto"/>
          <w:sz w:val="32"/>
          <w:szCs w:val="32"/>
          <w:highlight w:val="none"/>
          <w:u w:val="single"/>
        </w:rPr>
        <w:t xml:space="preserve">一、法人或者其他组织的营业执照等证明文件，自然人的身份证明</w:t>
      </w:r>
      <w:bookmarkEnd w:id="359"/>
      <w:r/>
      <w:bookmarkEnd w:id="360"/>
      <w:r/>
      <w:r/>
    </w:p>
    <w:p>
      <w:pPr>
        <w:pStyle w:val="713"/>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3"/>
        <w:jc w:val="center"/>
        <w:spacing w:beforeAutospacing="0" w:afterAutospacing="0"/>
        <w:rPr>
          <w:rFonts w:hint="eastAsia" w:eastAsia="黑体"/>
          <w:color w:val="auto"/>
          <w:highlight w:val="none"/>
          <w:lang w:val="en-US" w:eastAsia="zh-CN"/>
        </w:rPr>
        <w:outlineLvl w:val="0"/>
      </w:pPr>
      <w:r/>
      <w:bookmarkStart w:id="361" w:name="_Toc11362"/>
      <w:r/>
      <w:bookmarkStart w:id="362" w:name="_Toc13269"/>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bookmarkEnd w:id="361"/>
      <w:r/>
      <w:bookmarkEnd w:id="362"/>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（至少提供资产负债表、利润表、现金流量表，投标供应商成立不满一年无需提供）</w:t>
      </w:r>
      <w:r/>
    </w:p>
    <w:p>
      <w:pPr>
        <w:pStyle w:val="713"/>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3"/>
        <w:jc w:val="center"/>
        <w:spacing w:beforeAutospacing="0" w:afterAutospacing="0"/>
        <w:rPr>
          <w:color w:val="auto"/>
          <w:highlight w:val="none"/>
        </w:rPr>
        <w:outlineLvl w:val="0"/>
      </w:pPr>
      <w:r/>
      <w:bookmarkStart w:id="363" w:name="_Toc24939"/>
      <w:r/>
      <w:bookmarkStart w:id="364" w:name="_Toc7270"/>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bookmarkEnd w:id="363"/>
      <w:r/>
      <w:bookmarkEnd w:id="364"/>
      <w:r/>
      <w:r/>
    </w:p>
    <w:p>
      <w:pPr>
        <w:pStyle w:val="713"/>
        <w:ind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713"/>
        <w:ind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主要设备有：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pStyle w:val="713"/>
        <w:ind w:firstLine="560"/>
        <w:jc w:val="both"/>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主要专业技术能力有：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3"/>
        <w:jc w:val="center"/>
        <w:spacing w:beforeAutospacing="0" w:afterAutospacing="0"/>
        <w:rPr>
          <w:color w:val="auto"/>
          <w:highlight w:val="none"/>
        </w:rPr>
        <w:outlineLvl w:val="0"/>
      </w:pPr>
      <w:r/>
      <w:bookmarkStart w:id="365" w:name="_Toc1958"/>
      <w:r/>
      <w:bookmarkStart w:id="366" w:name="_Toc30554"/>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bookmarkEnd w:id="365"/>
      <w:r/>
      <w:bookmarkEnd w:id="366"/>
      <w:r/>
      <w:r/>
    </w:p>
    <w:p>
      <w:pPr>
        <w:pStyle w:val="713"/>
        <w:ind w:firstLine="480"/>
        <w:jc w:val="both"/>
        <w:spacing w:beforeAutospacing="0" w:afterAutospacing="0"/>
        <w:rPr>
          <w:color w:val="auto"/>
          <w:highlight w:val="none"/>
        </w:rPr>
      </w:pPr>
      <w:r/>
      <w:bookmarkStart w:id="367"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依法享受缓缴、免缴税收、社会保障资金的提供证明材料。</w:t>
      </w:r>
      <w:bookmarkEnd w:id="367"/>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3"/>
        <w:jc w:val="both"/>
        <w:spacing w:beforeAutospacing="0" w:afterAutospacing="0"/>
        <w:rPr>
          <w:color w:val="auto"/>
          <w:highlight w:val="none"/>
        </w:rPr>
        <w:outlineLvl w:val="0"/>
      </w:pPr>
      <w:r/>
      <w:bookmarkStart w:id="368" w:name="_Toc13927"/>
      <w:r/>
      <w:bookmarkStart w:id="369" w:name="_Toc13421"/>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bookmarkEnd w:id="368"/>
      <w:r/>
      <w:bookmarkEnd w:id="369"/>
      <w:r/>
      <w:r/>
    </w:p>
    <w:p>
      <w:pPr>
        <w:pStyle w:val="713"/>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713"/>
        <w:jc w:val="both"/>
        <w:spacing w:beforeAutospacing="0" w:afterAutospacing="0" w:line="0" w:lineRule="atLeast"/>
        <w:rPr>
          <w:color w:val="auto"/>
          <w:sz w:val="28"/>
          <w:szCs w:val="28"/>
          <w:highlight w:val="none"/>
        </w:rPr>
      </w:pPr>
      <w:r>
        <w:rPr>
          <w:rFonts w:hint="eastAsia" w:ascii="宋体" w:hAnsi="宋体" w:eastAsia="宋体" w:cs="宋体"/>
          <w:b/>
          <w:color w:val="auto"/>
          <w:highlight w:val="none"/>
        </w:rPr>
        <w:t xml:space="preserve">  </w:t>
      </w:r>
      <w:r>
        <w:rPr>
          <w:rFonts w:hint="eastAsia" w:ascii="宋体" w:hAnsi="宋体" w:eastAsia="宋体" w:cs="宋体"/>
          <w:b/>
          <w:color w:val="auto"/>
          <w:sz w:val="28"/>
          <w:szCs w:val="28"/>
          <w:highlight w:val="none"/>
        </w:rPr>
        <w:t xml:space="preserve">  </w:t>
      </w:r>
      <w:r>
        <w:rPr>
          <w:rFonts w:hint="eastAsia" w:ascii="宋体" w:hAnsi="宋体" w:eastAsia="宋体" w:cs="宋体"/>
          <w:color w:val="auto"/>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3"/>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3"/>
        <w:jc w:val="center"/>
        <w:spacing w:beforeAutospacing="0" w:afterAutospacing="0"/>
        <w:rPr>
          <w:rFonts w:hint="eastAsia" w:ascii="黑体" w:hAnsi="宋体" w:eastAsia="黑体" w:cs="黑体"/>
          <w:i/>
          <w:color w:val="auto"/>
          <w:sz w:val="32"/>
          <w:szCs w:val="32"/>
          <w:highlight w:val="none"/>
          <w:u w:val="single"/>
          <w:lang w:val="en-US" w:eastAsia="zh-CN"/>
        </w:rPr>
        <w:outlineLvl w:val="0"/>
      </w:pPr>
      <w:r/>
      <w:bookmarkStart w:id="370" w:name="_Toc16688"/>
      <w:r/>
      <w:bookmarkStart w:id="371" w:name="_Toc8165"/>
      <w:r>
        <w:rPr>
          <w:rFonts w:hint="eastAsia" w:ascii="黑体" w:hAnsi="宋体" w:eastAsia="黑体" w:cs="黑体"/>
          <w:i/>
          <w:color w:val="auto"/>
          <w:sz w:val="32"/>
          <w:szCs w:val="32"/>
          <w:highlight w:val="none"/>
          <w:u w:val="single"/>
          <w:lang w:val="en-US" w:eastAsia="zh-CN"/>
        </w:rPr>
        <w:t xml:space="preserve">六、未被“信用中国”网站（www.creditchina.gov.cn）列入失信被执行人、重大税收违法案件当事人名单、政府采购严重失信行为记录名单。</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3"/>
        <w:jc w:val="center"/>
        <w:spacing w:beforeAutospacing="0" w:afterAutospacing="0"/>
        <w:rPr>
          <w:color w:val="auto"/>
          <w:highlight w:val="none"/>
        </w:rPr>
        <w:outlineLvl w:val="0"/>
      </w:pPr>
      <w:r>
        <w:rPr>
          <w:rFonts w:hint="eastAsia" w:ascii="黑体" w:hAnsi="宋体" w:eastAsia="黑体" w:cs="黑体"/>
          <w:i/>
          <w:color w:val="auto"/>
          <w:sz w:val="32"/>
          <w:szCs w:val="32"/>
          <w:highlight w:val="none"/>
          <w:u w:val="single"/>
          <w:lang w:val="en-US" w:eastAsia="zh-CN"/>
        </w:rPr>
        <w:t xml:space="preserve">七、</w:t>
      </w:r>
      <w:r>
        <w:rPr>
          <w:rFonts w:hint="eastAsia" w:ascii="黑体" w:hAnsi="宋体" w:eastAsia="黑体" w:cs="黑体"/>
          <w:i/>
          <w:color w:val="auto"/>
          <w:sz w:val="32"/>
          <w:szCs w:val="32"/>
          <w:highlight w:val="none"/>
          <w:u w:val="single"/>
        </w:rPr>
        <w:t xml:space="preserve">特定资格要求的证明文件</w:t>
      </w:r>
      <w:bookmarkEnd w:id="370"/>
      <w:r/>
      <w:bookmarkEnd w:id="371"/>
      <w:r/>
      <w:r/>
    </w:p>
    <w:p>
      <w:pPr>
        <w:pStyle w:val="713"/>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13"/>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3"/>
        <w:jc w:val="center"/>
        <w:spacing w:beforeAutospacing="0" w:afterAutospacing="0"/>
        <w:rPr>
          <w:color w:val="auto"/>
          <w:highlight w:val="none"/>
        </w:rPr>
        <w:outlineLvl w:val="0"/>
      </w:pPr>
      <w:r/>
      <w:bookmarkStart w:id="372" w:name="_Toc13287"/>
      <w:r/>
      <w:bookmarkStart w:id="373" w:name="_Toc1422"/>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、法人授权书</w:t>
      </w:r>
      <w:bookmarkEnd w:id="372"/>
      <w:r/>
      <w:bookmarkEnd w:id="373"/>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本授权书声明：____________（</w:t>
      </w:r>
      <w:r>
        <w:rPr>
          <w:rFonts w:hint="eastAsia" w:ascii="Times New Roman" w:hAnsi="Times New Roman"/>
          <w:color w:val="auto"/>
          <w:sz w:val="28"/>
          <w:szCs w:val="28"/>
          <w:highlight w:val="none"/>
          <w:lang w:eastAsia="zh-CN"/>
        </w:rPr>
        <w:t xml:space="preserve">投标供应商</w:t>
      </w:r>
      <w:r>
        <w:rPr>
          <w:rFonts w:ascii="Times New Roman" w:hAnsi="Times New Roman"/>
          <w:color w:val="auto"/>
          <w:sz w:val="28"/>
          <w:szCs w:val="28"/>
          <w:highlight w:val="none"/>
        </w:rPr>
        <w:t xml:space="preserve">名称）授权________________（被授权人的姓名）为我方就JSZC-</w:t>
      </w:r>
      <w:r>
        <w:rPr>
          <w:rFonts w:ascii="Times New Roman" w:hAnsi="Times New Roman"/>
          <w:color w:val="auto"/>
          <w:sz w:val="28"/>
          <w:szCs w:val="28"/>
          <w:highlight w:val="none"/>
          <w:u w:val="single"/>
        </w:rPr>
        <w:t xml:space="preserve">        </w:t>
      </w:r>
      <w:r>
        <w:rPr>
          <w:rFonts w:ascii="Times New Roman" w:hAnsi="Times New Roman"/>
          <w:color w:val="auto"/>
          <w:sz w:val="28"/>
          <w:szCs w:val="28"/>
          <w:highlight w:val="none"/>
        </w:rPr>
        <w:t xml:space="preserve">号项目采购活动的合法代理人，以本单位名义全权处理一切与该项目采购有关的事务。</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本授权书于______年____月____日起生效，特此声明。</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被授权人身份证号码：</w:t>
      </w:r>
      <w:r>
        <w:rPr>
          <w:rFonts w:ascii="Times New Roman" w:hAnsi="Times New Roman"/>
          <w:color w:val="auto"/>
          <w:sz w:val="28"/>
          <w:szCs w:val="28"/>
          <w:highlight w:val="none"/>
          <w:u w:val="single"/>
        </w:rPr>
        <w:t xml:space="preserve">                              </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被授权人联系电话：（手机）</w:t>
      </w:r>
      <w:r>
        <w:rPr>
          <w:rFonts w:ascii="Times New Roman" w:hAnsi="Times New Roman"/>
          <w:color w:val="auto"/>
          <w:sz w:val="28"/>
          <w:szCs w:val="28"/>
          <w:highlight w:val="none"/>
          <w:u w:val="single"/>
        </w:rPr>
        <w:t xml:space="preserve">                          </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授权单位名称：</w:t>
      </w:r>
      <w:r>
        <w:rPr>
          <w:rFonts w:ascii="Times New Roman" w:hAnsi="Times New Roman"/>
          <w:color w:val="auto"/>
          <w:sz w:val="28"/>
          <w:szCs w:val="28"/>
          <w:highlight w:val="none"/>
          <w:u w:val="single"/>
        </w:rPr>
        <w:t xml:space="preserve">（加盖CA电子公章）</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单位地址：</w:t>
      </w:r>
      <w:r>
        <w:rPr>
          <w:rFonts w:ascii="Times New Roman" w:hAnsi="Times New Roman"/>
          <w:color w:val="auto"/>
          <w:sz w:val="28"/>
          <w:szCs w:val="28"/>
          <w:highlight w:val="none"/>
          <w:u w:val="single"/>
        </w:rPr>
        <w:t xml:space="preserve">                                         </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日期：</w:t>
      </w:r>
      <w:bookmarkStart w:id="374" w:name="_Hlt26671380"/>
      <w:r/>
      <w:bookmarkStart w:id="375" w:name="_Hlt26955070"/>
      <w:r/>
      <w:bookmarkStart w:id="376" w:name="_格式3__银行出具的资信证明"/>
      <w:r>
        <w:rPr>
          <w:rFonts w:ascii="Times New Roman" w:hAnsi="Times New Roman"/>
          <w:color w:val="auto"/>
          <w:sz w:val="28"/>
          <w:szCs w:val="28"/>
          <w:highlight w:val="none"/>
          <w:u w:val="single"/>
        </w:rPr>
        <w:t xml:space="preserve">                                         </w:t>
      </w:r>
      <w:r/>
    </w:p>
    <w:p>
      <w:pPr>
        <w:pStyle w:val="713"/>
        <w:ind w:firstLine="420"/>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line="0" w:lineRule="atLeast"/>
        <w:rPr>
          <w:color w:val="auto"/>
          <w:highlight w:val="none"/>
        </w:rPr>
      </w:pPr>
      <w:r>
        <w:rPr>
          <w:color w:val="auto"/>
          <w:highlight w:val="none"/>
        </w:rPr>
        <w:t xml:space="preserve"> </w:t>
      </w:r>
      <w:r/>
    </w:p>
    <w:p>
      <w:pPr>
        <w:pStyle w:val="713"/>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outlineLvl w:val="0"/>
      </w:pPr>
      <w:r>
        <w:rPr>
          <w:rFonts w:hint="eastAsia" w:ascii="宋体" w:hAnsi="宋体" w:eastAsia="宋体" w:cs="宋体"/>
          <w:b/>
          <w:color w:val="auto"/>
          <w:highlight w:val="none"/>
        </w:rPr>
        <w:br w:type="page" w:clear="all"/>
      </w:r>
      <w:bookmarkStart w:id="377" w:name="_Toc31002"/>
      <w:r/>
      <w:bookmarkStart w:id="378" w:name="_Toc19630"/>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、投标函</w:t>
      </w:r>
      <w:bookmarkEnd w:id="377"/>
      <w:r/>
      <w:bookmarkEnd w:id="378"/>
      <w:r/>
      <w:r/>
    </w:p>
    <w:p>
      <w:pPr>
        <w:pStyle w:val="713"/>
        <w:ind w:left="0" w:firstLine="560"/>
        <w:keepLines w:val="0"/>
        <w:keepNext w:val="0"/>
        <w:pageBreakBefore w:val="0"/>
        <w:spacing w:beforeAutospacing="0" w:afterAutospacing="0" w:line="336" w:lineRule="auto"/>
        <w:widowControl w:val="off"/>
        <w:rPr>
          <w:rFonts w:hint="eastAsia" w:eastAsia="宋体"/>
          <w:color w:val="auto"/>
          <w:sz w:val="28"/>
          <w:szCs w:val="28"/>
          <w:highlight w:val="none"/>
          <w:u w:val="single"/>
          <w:lang w:eastAsia="zh-CN"/>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lang w:eastAsia="zh-CN"/>
        </w:rPr>
        <w:t xml:space="preserve">（</w:t>
      </w:r>
      <w:r>
        <w:rPr>
          <w:rFonts w:hint="eastAsia" w:ascii="宋体" w:hAnsi="宋体" w:eastAsia="宋体" w:cs="宋体"/>
          <w:color w:val="auto"/>
          <w:sz w:val="28"/>
          <w:szCs w:val="28"/>
          <w:highlight w:val="none"/>
          <w:u w:val="single"/>
          <w:lang w:val="en-US" w:eastAsia="zh-CN"/>
        </w:rPr>
        <w:t xml:space="preserve">采购人名称</w:t>
      </w:r>
      <w:r>
        <w:rPr>
          <w:rFonts w:hint="eastAsia" w:ascii="宋体" w:hAnsi="宋体" w:eastAsia="宋体" w:cs="宋体"/>
          <w:color w:val="auto"/>
          <w:sz w:val="28"/>
          <w:szCs w:val="28"/>
          <w:highlight w:val="none"/>
          <w:u w:val="single"/>
          <w:lang w:eastAsia="zh-CN"/>
        </w:rPr>
        <w:t xml:space="preserve">）</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根据贵方的</w:t>
      </w:r>
      <w:r>
        <w:rPr>
          <w:rFonts w:hint="eastAsia" w:ascii="宋体" w:hAnsi="宋体" w:eastAsia="宋体" w:cs="宋体"/>
          <w:color w:val="auto"/>
          <w:sz w:val="28"/>
          <w:szCs w:val="28"/>
          <w:highlight w:val="none"/>
          <w:lang w:eastAsia="zh-CN"/>
        </w:rPr>
        <w:t xml:space="preserve">JSZC-320922-JSJS-G2026-0004</w:t>
      </w:r>
      <w:r>
        <w:rPr>
          <w:rFonts w:hint="eastAsia" w:ascii="宋体" w:hAnsi="宋体" w:eastAsia="宋体" w:cs="宋体"/>
          <w:color w:val="auto"/>
          <w:sz w:val="28"/>
          <w:szCs w:val="28"/>
          <w:highlight w:val="none"/>
        </w:rPr>
        <w:t xml:space="preserve">号</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，正式授权下述签字人______(姓名)代表我方______________（</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的名称），全权处理本次项目投标的有关事宜。</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据此函，__________签字人兹宣布同意如下：</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1.按</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规定的各项要求，向买方提供所需服务（包含与服务相关的货物）。</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2.我们完全理解贵方不一定将合同授予最低报价的</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3.我们已详细审核全部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及其有效补充文件，我们知道必须放弃提出含糊不清或误解问题的权利。</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4.我们同意从规定的开标日期起遵循本投标文件，并在规定的投标有效期期满之前均具有约束力。</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5.同意向贵方提供贵方可能另外要求的与投标有关的任何证据或资料，并保证我方已提供和将要提供的文件是真实的、准确的。</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6.一旦我方中标,我方将根据</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的规定，严格履行合同的责任和义务,并保证在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规定的时间完成项目，交付买方验收、使用。</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7.与本投标有关的正式通讯地址为：</w:t>
      </w:r>
      <w:r/>
    </w:p>
    <w:p>
      <w:pPr>
        <w:pStyle w:val="713"/>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地          址：</w:t>
      </w:r>
      <w:r/>
    </w:p>
    <w:p>
      <w:pPr>
        <w:pStyle w:val="713"/>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邮          编：</w:t>
      </w:r>
      <w:r/>
    </w:p>
    <w:p>
      <w:pPr>
        <w:pStyle w:val="713"/>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电          话：</w:t>
      </w:r>
      <w:r/>
    </w:p>
    <w:p>
      <w:pPr>
        <w:pStyle w:val="713"/>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传          真：</w:t>
      </w:r>
      <w:r/>
    </w:p>
    <w:p>
      <w:pPr>
        <w:pStyle w:val="713"/>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开户行：</w:t>
      </w:r>
      <w:r/>
    </w:p>
    <w:p>
      <w:pPr>
        <w:pStyle w:val="713"/>
        <w:ind w:left="0" w:firstLine="560"/>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          号： </w:t>
      </w:r>
      <w:r/>
    </w:p>
    <w:p>
      <w:pPr>
        <w:pStyle w:val="713"/>
        <w:ind w:left="0" w:firstLine="560"/>
        <w:jc w:val="right"/>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日  期：________年____月____日</w:t>
      </w:r>
      <w:r/>
    </w:p>
    <w:p>
      <w:pPr>
        <w:rPr>
          <w:rFonts w:hint="eastAsia" w:ascii="黑体" w:hAnsi="宋体" w:eastAsia="黑体" w:cs="黑体"/>
          <w:b/>
          <w:color w:val="auto"/>
          <w:sz w:val="32"/>
          <w:szCs w:val="32"/>
          <w:highlight w:val="none"/>
          <w:lang w:val="en-US" w:eastAsia="zh-CN"/>
        </w:rPr>
      </w:pPr>
      <w:r/>
      <w:bookmarkStart w:id="379" w:name="_Toc3526"/>
      <w:r>
        <w:rPr>
          <w:rFonts w:hint="eastAsia" w:ascii="黑体" w:hAnsi="宋体" w:eastAsia="黑体" w:cs="黑体"/>
          <w:b/>
          <w:color w:val="auto"/>
          <w:sz w:val="32"/>
          <w:szCs w:val="32"/>
          <w:highlight w:val="none"/>
          <w:lang w:val="en-US" w:eastAsia="zh-CN"/>
        </w:rPr>
        <w:br w:type="page" w:clear="all"/>
      </w:r>
      <w:r/>
    </w:p>
    <w:p>
      <w:pPr>
        <w:pStyle w:val="713"/>
        <w:jc w:val="center"/>
        <w:spacing w:beforeAutospacing="0" w:afterAutospacing="0" w:line="0" w:lineRule="atLeast"/>
        <w:rPr>
          <w:color w:val="auto"/>
          <w:highlight w:val="none"/>
        </w:rPr>
        <w:outlineLvl w:val="0"/>
      </w:pPr>
      <w:r/>
      <w:bookmarkStart w:id="380" w:name="_Toc32273"/>
      <w:r>
        <w:rPr>
          <w:rFonts w:hint="eastAsia" w:ascii="黑体" w:hAnsi="宋体" w:eastAsia="黑体" w:cs="黑体"/>
          <w:b/>
          <w:color w:val="auto"/>
          <w:sz w:val="32"/>
          <w:szCs w:val="32"/>
          <w:highlight w:val="none"/>
          <w:lang w:val="en-US" w:eastAsia="zh-CN"/>
        </w:rPr>
        <w:t xml:space="preserve">十、中小</w:t>
      </w:r>
      <w:r>
        <w:rPr>
          <w:rFonts w:hint="eastAsia" w:ascii="黑体" w:hAnsi="宋体" w:eastAsia="黑体" w:cs="黑体"/>
          <w:b/>
          <w:color w:val="auto"/>
          <w:sz w:val="32"/>
          <w:szCs w:val="32"/>
          <w:highlight w:val="none"/>
        </w:rPr>
        <w:t xml:space="preserve">企业声明函（服务）</w:t>
      </w:r>
      <w:bookmarkEnd w:id="379"/>
      <w:r/>
      <w:bookmarkEnd w:id="380"/>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13"/>
        <w:ind w:right="720"/>
        <w:jc w:val="both"/>
        <w:spacing w:beforeAutospacing="0" w:afterAutospacing="0" w:line="0" w:lineRule="atLeast"/>
        <w:rPr>
          <w:color w:val="auto"/>
          <w:highlight w:val="none"/>
        </w:rPr>
      </w:pPr>
      <w:r>
        <w:rPr>
          <w:color w:val="auto"/>
          <w:highlight w:val="none"/>
        </w:rPr>
        <w:t xml:space="preserve"> </w:t>
      </w:r>
      <w:r/>
    </w:p>
    <w:p>
      <w:pPr>
        <w:pStyle w:val="713"/>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13"/>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13"/>
        <w:ind w:firstLine="24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13"/>
        <w:jc w:val="center"/>
        <w:spacing w:beforeAutospacing="0" w:afterAutospacing="0" w:line="0" w:lineRule="atLeast"/>
        <w:rPr>
          <w:color w:val="auto"/>
          <w:highlight w:val="none"/>
        </w:rPr>
        <w:outlineLvl w:val="0"/>
      </w:pPr>
      <w:r>
        <w:rPr>
          <w:rFonts w:hint="eastAsia" w:ascii="黑体" w:hAnsi="宋体" w:eastAsia="黑体" w:cs="黑体"/>
          <w:b/>
          <w:color w:val="auto"/>
          <w:sz w:val="32"/>
          <w:szCs w:val="32"/>
          <w:highlight w:val="none"/>
        </w:rPr>
        <w:br w:type="page" w:clear="all"/>
      </w:r>
      <w:bookmarkStart w:id="381" w:name="_Toc11046"/>
      <w:r/>
      <w:bookmarkStart w:id="382" w:name="_Toc19283"/>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w:t>
      </w:r>
      <w:bookmarkEnd w:id="381"/>
      <w:r/>
      <w:bookmarkEnd w:id="382"/>
      <w:r/>
      <w:r/>
    </w:p>
    <w:p>
      <w:pPr>
        <w:pStyle w:val="713"/>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lang w:eastAsia="zh-CN"/>
        </w:rPr>
        <w:t xml:space="preserve">〔2017〕141号</w:t>
      </w:r>
      <w:r>
        <w:rPr>
          <w:rFonts w:hint="eastAsia" w:ascii="宋体" w:hAnsi="宋体" w:eastAsia="宋体" w:cs="宋体"/>
          <w:color w:val="auto"/>
          <w:sz w:val="28"/>
          <w:szCs w:val="28"/>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项目（分包号：</w:t>
      </w:r>
      <w:r>
        <w:rPr>
          <w:rFonts w:hint="eastAsia" w:ascii="宋体" w:hAnsi="宋体" w:eastAsia="宋体" w:cs="宋体"/>
          <w:color w:val="auto"/>
          <w:sz w:val="28"/>
          <w:szCs w:val="28"/>
          <w:highlight w:val="none"/>
          <w:lang w:eastAsia="zh-CN"/>
        </w:rPr>
        <w:t xml:space="preserve">JSZC-320922-JSJS-G2026-0004</w:t>
      </w:r>
      <w:r>
        <w:rPr>
          <w:rFonts w:hint="eastAsia" w:ascii="宋体" w:hAnsi="宋体" w:eastAsia="宋体" w:cs="宋体"/>
          <w:color w:val="auto"/>
          <w:sz w:val="28"/>
          <w:szCs w:val="28"/>
          <w:highlight w:val="none"/>
        </w:rPr>
        <w:t xml:space="preserve">）采购活动由本单位提供服务。</w:t>
      </w:r>
      <w:r/>
    </w:p>
    <w:p>
      <w:pPr>
        <w:pStyle w:val="713"/>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本单位对上述声明的真实性负责。如有虚假，将依法承担相应责任。</w:t>
      </w:r>
      <w:r/>
    </w:p>
    <w:p>
      <w:pPr>
        <w:pStyle w:val="713"/>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713"/>
        <w:ind w:right="0" w:firstLine="560"/>
        <w:jc w:val="both"/>
        <w:keepLines w:val="0"/>
        <w:keepNext w:val="0"/>
        <w:pageBreakBefore w:val="0"/>
        <w:spacing w:beforeAutospacing="0" w:afterAutospacing="0" w:line="360" w:lineRule="auto"/>
        <w:widowControl w:val="off"/>
        <w:rPr>
          <w:rFonts w:hint="eastAsia" w:eastAsia="宋体"/>
          <w:color w:val="auto"/>
          <w:sz w:val="28"/>
          <w:szCs w:val="28"/>
          <w:highlight w:val="none"/>
          <w:lang w:eastAsia="zh-CN"/>
        </w:rPr>
      </w:pPr>
      <w:r>
        <w:rPr>
          <w:rFonts w:hint="eastAsia" w:ascii="宋体" w:hAnsi="宋体" w:eastAsia="宋体" w:cs="宋体"/>
          <w:color w:val="auto"/>
          <w:sz w:val="28"/>
          <w:szCs w:val="28"/>
          <w:highlight w:val="none"/>
        </w:rPr>
        <w:t xml:space="preserve">备注：1、供应商如不提供此声明函，价格将不做相应扣除</w:t>
      </w:r>
      <w:r>
        <w:rPr>
          <w:rFonts w:hint="eastAsia" w:ascii="宋体" w:hAnsi="宋体" w:eastAsia="宋体" w:cs="宋体"/>
          <w:color w:val="auto"/>
          <w:sz w:val="28"/>
          <w:szCs w:val="28"/>
          <w:highlight w:val="none"/>
          <w:lang w:eastAsia="zh-CN"/>
        </w:rPr>
        <w:t xml:space="preserve">（如项目全面面向中小企业，则资格审查不通过）。</w:t>
      </w:r>
      <w:r/>
    </w:p>
    <w:p>
      <w:pPr>
        <w:pStyle w:val="713"/>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eastAsia="zh-CN"/>
        </w:rPr>
        <w:t xml:space="preserve">中标供应商</w:t>
      </w:r>
      <w:r>
        <w:rPr>
          <w:rFonts w:hint="eastAsia" w:ascii="宋体" w:hAnsi="宋体" w:eastAsia="宋体" w:cs="宋体"/>
          <w:color w:val="auto"/>
          <w:sz w:val="28"/>
          <w:szCs w:val="28"/>
          <w:highlight w:val="none"/>
        </w:rPr>
        <w:t xml:space="preserve">为残疾人福利单位的，此声明函将随中标结果同时公告，接受社会监督</w:t>
      </w:r>
      <w:r/>
    </w:p>
    <w:p>
      <w:pPr>
        <w:pStyle w:val="713"/>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713"/>
        <w:ind w:right="0" w:firstLine="64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ascii="仿宋_GB2312" w:eastAsia="仿宋_GB2312" w:cs="仿宋_GB2312"/>
          <w:color w:val="auto"/>
          <w:sz w:val="32"/>
          <w:szCs w:val="32"/>
          <w:highlight w:val="none"/>
        </w:rPr>
        <w:t xml:space="preserve">             </w:t>
      </w:r>
      <w:r>
        <w:rPr>
          <w:rFonts w:hint="eastAsia" w:ascii="宋体" w:hAnsi="宋体" w:eastAsia="宋体" w:cs="宋体"/>
          <w:color w:val="auto"/>
          <w:sz w:val="28"/>
          <w:szCs w:val="28"/>
          <w:highlight w:val="none"/>
        </w:rPr>
        <w:t xml:space="preserve">          供应商全称（加盖CA电子公章）：</w:t>
      </w:r>
      <w:r/>
    </w:p>
    <w:p>
      <w:pPr>
        <w:pStyle w:val="713"/>
        <w:ind w:right="0" w:firstLine="56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hint="eastAsia" w:ascii="宋体" w:hAnsi="宋体" w:eastAsia="宋体" w:cs="宋体"/>
          <w:color w:val="auto"/>
          <w:sz w:val="28"/>
          <w:szCs w:val="28"/>
          <w:highlight w:val="none"/>
        </w:rPr>
        <w:t xml:space="preserve">        日  期：</w:t>
      </w:r>
      <w:r/>
    </w:p>
    <w:p>
      <w:pPr>
        <w:pStyle w:val="713"/>
        <w:jc w:val="center"/>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13"/>
        <w:jc w:val="center"/>
        <w:spacing w:beforeAutospacing="0" w:afterAutospacing="0"/>
        <w:rPr>
          <w:rFonts w:hint="eastAsia" w:ascii="黑体" w:hAnsi="宋体" w:eastAsia="黑体" w:cs="黑体"/>
          <w:b/>
          <w:color w:val="auto"/>
          <w:sz w:val="32"/>
          <w:szCs w:val="32"/>
          <w:highlight w:val="none"/>
        </w:rPr>
      </w:pPr>
      <w:r/>
      <w:bookmarkStart w:id="383" w:name="_Toc7740"/>
      <w:r/>
      <w:bookmarkStart w:id="384" w:name="_Toc26702"/>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w:t>
      </w:r>
      <w:bookmarkEnd w:id="383"/>
      <w:r/>
      <w:bookmarkEnd w:id="384"/>
      <w:r/>
      <w:bookmarkStart w:id="385" w:name="_Toc25957"/>
      <w:r/>
      <w:bookmarkStart w:id="386" w:name="_Toc17047"/>
      <w:r/>
      <w:bookmarkStart w:id="387" w:name="_Hlt26955054"/>
      <w:r>
        <w:rPr>
          <w:rFonts w:hint="eastAsia" w:ascii="黑体" w:hAnsi="宋体" w:eastAsia="黑体" w:cs="黑体"/>
          <w:b/>
          <w:color w:val="auto"/>
          <w:sz w:val="32"/>
          <w:szCs w:val="32"/>
          <w:highlight w:val="none"/>
        </w:rPr>
        <w:t xml:space="preserve">商务要求响应及偏离表</w:t>
      </w:r>
      <w:r/>
    </w:p>
    <w:p>
      <w:pPr>
        <w:pStyle w:val="713"/>
        <w:numPr>
          <w:ilvl w:val="0"/>
          <w:numId w:val="0"/>
        </w:numPr>
        <w:jc w:val="center"/>
        <w:spacing w:beforeAutospacing="0" w:afterAutospacing="0"/>
        <w:rPr>
          <w:color w:val="auto"/>
          <w:highlight w:val="none"/>
        </w:rPr>
        <w:outlineLvl w:val="0"/>
      </w:pPr>
      <w:r>
        <w:rPr>
          <w:rFonts w:hint="eastAsia" w:ascii="黑体" w:hAnsi="宋体" w:eastAsia="黑体" w:cs="黑体"/>
          <w:b/>
          <w:color w:val="auto"/>
          <w:sz w:val="32"/>
          <w:szCs w:val="32"/>
          <w:highlight w:val="none"/>
        </w:rPr>
        <w:t xml:space="preserve">（分包号：</w:t>
      </w:r>
      <w:r>
        <w:rPr>
          <w:rFonts w:hint="eastAsia" w:ascii="黑体" w:hAnsi="宋体" w:eastAsia="黑体" w:cs="黑体"/>
          <w:b/>
          <w:color w:val="auto"/>
          <w:sz w:val="32"/>
          <w:szCs w:val="32"/>
          <w:highlight w:val="none"/>
          <w:lang w:eastAsia="zh-CN"/>
        </w:rPr>
        <w:t xml:space="preserve">JSZC-320922-JSJS-G2026-0004</w:t>
      </w:r>
      <w:r>
        <w:rPr>
          <w:rFonts w:hint="eastAsia" w:ascii="黑体" w:hAnsi="宋体" w:eastAsia="黑体" w:cs="黑体"/>
          <w:b/>
          <w:color w:val="auto"/>
          <w:sz w:val="32"/>
          <w:szCs w:val="32"/>
          <w:highlight w:val="none"/>
        </w:rPr>
        <w:t xml:space="preserve">）</w:t>
      </w:r>
      <w:bookmarkEnd w:id="385"/>
      <w:r/>
      <w:bookmarkEnd w:id="386"/>
      <w:r/>
      <w:r/>
    </w:p>
    <w:tbl>
      <w:tblPr>
        <w:tblStyle w:val="692"/>
        <w:tblW w:w="959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8"/>
        <w:gridCol w:w="2370"/>
        <w:gridCol w:w="2370"/>
        <w:gridCol w:w="2368"/>
        <w:gridCol w:w="1621"/>
      </w:tblGrid>
      <w:tr>
        <w:trPr>
          <w:jc w:val="center"/>
          <w:trHeight w:val="1391"/>
        </w:trPr>
        <w:tc>
          <w:tcPr>
            <w:shd w:val="clear" w:color="auto" w:fill="auto"/>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采购文件要求</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投标响应情况</w:t>
            </w:r>
            <w:r/>
          </w:p>
        </w:tc>
        <w:tc>
          <w:tcPr>
            <w:shd w:val="clear" w:color="auto" w:fill="auto"/>
            <w:tcW w:w="2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超出、符合或偏离</w:t>
            </w:r>
            <w:r/>
          </w:p>
        </w:tc>
        <w:tc>
          <w:tcPr>
            <w:shd w:val="clear" w:color="auto" w:fill="auto"/>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证明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材料</w:t>
            </w:r>
            <w:r/>
          </w:p>
        </w:tc>
      </w:tr>
      <w:tr>
        <w:trPr>
          <w:jc w:val="center"/>
          <w:trHeight w:val="357"/>
        </w:trPr>
        <w:tc>
          <w:tcPr>
            <w:shd w:val="clear" w:color="auto" w:fill="auto"/>
            <w:tcW w:w="868" w:type="dxa"/>
            <w:vAlign w:val="center"/>
            <w:textDirection w:val="lrTb"/>
            <w:noWrap w:val="false"/>
          </w:tcPr>
          <w:p>
            <w:pPr>
              <w:jc w:val="center"/>
              <w:rPr>
                <w:rFonts w:hint="eastAsia" w:ascii="Calibri" w:hAnsi="Calibri" w:eastAsia="宋体" w:cs="Calibri"/>
                <w:i w:val="0"/>
                <w:iCs w:val="0"/>
                <w:color w:val="auto"/>
                <w:sz w:val="24"/>
                <w:szCs w:val="24"/>
                <w:highlight w:val="none"/>
                <w:u w:val="none"/>
              </w:rPr>
            </w:pPr>
            <w:r>
              <w:rPr>
                <w:rFonts w:hint="eastAsia"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70"/>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bl>
    <w:p>
      <w:pPr>
        <w:pStyle w:val="713"/>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rPr>
          <w:color w:val="auto"/>
          <w:highlight w:val="none"/>
        </w:rPr>
      </w:pPr>
      <w:r>
        <w:rPr>
          <w:color w:val="auto"/>
          <w:highlight w:val="none"/>
        </w:rPr>
        <w:t xml:space="preserve"> </w:t>
      </w:r>
      <w:bookmarkStart w:id="388" w:name="_格式2__法定代表人授权书"/>
      <w:r/>
      <w:bookmarkStart w:id="389" w:name="_Hlt26671374"/>
      <w:r/>
      <w:bookmarkStart w:id="390" w:name="_Toc462564146"/>
      <w:r/>
      <w:bookmarkStart w:id="391" w:name="_Hlt26609389"/>
      <w:r/>
      <w:bookmarkStart w:id="392" w:name="_Hlt26955066"/>
      <w:r/>
      <w:r/>
    </w:p>
    <w:p>
      <w:pPr>
        <w:rPr>
          <w:color w:val="auto"/>
          <w:highlight w:val="none"/>
        </w:rPr>
      </w:pPr>
      <w:r>
        <w:rPr>
          <w:color w:val="auto"/>
          <w:highlight w:val="none"/>
        </w:rPr>
        <w:br w:type="page" w:clear="all"/>
      </w:r>
      <w:r/>
    </w:p>
    <w:p>
      <w:pPr>
        <w:pStyle w:val="713"/>
        <w:jc w:val="center"/>
        <w:spacing w:beforeAutospacing="0" w:afterAutospacing="0"/>
        <w:rPr>
          <w:color w:val="auto"/>
          <w:highlight w:val="none"/>
        </w:rPr>
        <w:outlineLvl w:val="0"/>
      </w:pPr>
      <w:r/>
      <w:bookmarkStart w:id="393" w:name="_Toc29953"/>
      <w:r/>
      <w:bookmarkStart w:id="394" w:name="_Toc10070"/>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bookmarkEnd w:id="393"/>
      <w:r/>
      <w:bookmarkEnd w:id="394"/>
      <w:r/>
      <w:r/>
    </w:p>
    <w:p>
      <w:pPr>
        <w:pStyle w:val="713"/>
        <w:ind w:firstLine="480"/>
        <w:jc w:val="both"/>
        <w:spacing w:beforeAutospacing="0" w:afterAutospacing="0"/>
        <w:rPr>
          <w:color w:val="auto"/>
          <w:highlight w:val="none"/>
        </w:rPr>
      </w:pP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全称（加盖CA电子签章）：</w:t>
      </w:r>
      <w:r/>
    </w:p>
    <w:p>
      <w:pPr>
        <w:pStyle w:val="713"/>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1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13"/>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p>
      <w:pPr>
        <w:pStyle w:val="713"/>
        <w:jc w:val="both"/>
        <w:spacing w:beforeAutospacing="0" w:afterAutospacing="0"/>
        <w:rPr>
          <w:color w:val="auto"/>
          <w:highlight w:val="none"/>
        </w:rPr>
      </w:pPr>
      <w:r>
        <w:rPr>
          <w:color w:val="auto"/>
          <w:highlight w:val="none"/>
        </w:rPr>
        <w:t xml:space="preserve"> </w:t>
      </w:r>
      <w:r/>
    </w:p>
    <w:tbl>
      <w:tblPr>
        <w:tblStyle w:val="692"/>
        <w:tblW w:w="9439" w:type="dxa"/>
        <w:tblInd w:w="4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6"/>
        <w:gridCol w:w="7183"/>
      </w:tblGrid>
      <w:tr>
        <w:trPr>
          <w:trHeight w:val="753"/>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投标优惠率</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84"/>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其他说明</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清拖费用</w:t>
            </w:r>
            <w:r>
              <w:rPr>
                <w:rFonts w:hint="eastAsia" w:ascii="宋体" w:hAnsi="宋体" w:eastAsia="宋体" w:cs="宋体"/>
                <w:color w:val="auto"/>
                <w:sz w:val="24"/>
                <w:szCs w:val="24"/>
                <w:highlight w:val="none"/>
              </w:rPr>
              <w:t xml:space="preserve">最终结算价格=最高单价限价*（1-优惠率）*实际车辆类型的数量，最终结算时按实际发生量据实结算，</w:t>
            </w:r>
            <w:r>
              <w:rPr>
                <w:rFonts w:hint="eastAsia" w:ascii="宋体" w:hAnsi="宋体" w:eastAsia="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rPr>
              <w:t xml:space="preserve">不超过75万元。</w:t>
            </w:r>
            <w:r/>
          </w:p>
        </w:tc>
      </w:tr>
    </w:tbl>
    <w:p>
      <w:pPr>
        <w:pStyle w:val="713"/>
        <w:jc w:val="both"/>
        <w:spacing w:beforeAutospacing="0" w:afterAutospacing="0"/>
        <w:rPr>
          <w:color w:val="auto"/>
          <w:highlight w:val="none"/>
        </w:rPr>
      </w:pPr>
      <w:r>
        <w:rPr>
          <w:color w:val="auto"/>
          <w:highlight w:val="none"/>
        </w:rPr>
      </w:r>
      <w:r/>
    </w:p>
    <w:p>
      <w:pPr>
        <w:pStyle w:val="713"/>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right"/>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3"/>
        <w:ind w:firstLine="48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jc w:val="center"/>
        <w:spacing w:before="50" w:after="50"/>
        <w:widowControl/>
        <w:rPr>
          <w:rFonts w:ascii="宋体" w:hAnsi="宋体" w:eastAsia="宋体" w:cs="宋体"/>
          <w:b/>
          <w:bCs/>
          <w:color w:val="auto"/>
          <w:sz w:val="24"/>
          <w:highlight w:val="none"/>
        </w:rPr>
        <w:outlineLvl w:val="0"/>
      </w:pPr>
      <w:r/>
      <w:bookmarkStart w:id="395" w:name="_Toc28642"/>
      <w:r/>
      <w:bookmarkStart w:id="396" w:name="_Toc10118"/>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、技术方案、服务承诺、培训承诺等</w:t>
      </w:r>
      <w:bookmarkEnd w:id="395"/>
      <w:r/>
      <w:bookmarkEnd w:id="396"/>
      <w:r/>
      <w:r/>
    </w:p>
    <w:p>
      <w:pPr>
        <w:pStyle w:val="713"/>
        <w:jc w:val="both"/>
        <w:spacing w:beforeAutospacing="0" w:afterAutospacing="0"/>
        <w:tabs>
          <w:tab w:val="left" w:pos="2160" w:leader="none"/>
        </w:tabs>
        <w:rPr>
          <w:color w:val="auto"/>
          <w:highlight w:val="none"/>
        </w:rPr>
      </w:pPr>
      <w:r>
        <w:rPr>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99" w:lineRule="atLeast"/>
        <w:widowControl/>
        <w:rPr>
          <w:rFonts w:ascii="宋体" w:hAnsi="宋体" w:eastAsia="宋体" w:cs="宋体"/>
          <w:b/>
          <w:bCs/>
          <w:color w:val="auto"/>
          <w:sz w:val="24"/>
          <w:highlight w:val="none"/>
        </w:rPr>
        <w:outlineLvl w:val="0"/>
      </w:pPr>
      <w:r/>
      <w:bookmarkStart w:id="397" w:name="_Toc2903"/>
      <w:r/>
      <w:bookmarkStart w:id="398" w:name="_Toc14808"/>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、盐城市政府采购事前信用承诺书</w:t>
      </w:r>
      <w:bookmarkEnd w:id="397"/>
      <w:r/>
      <w:bookmarkEnd w:id="398"/>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52"/>
      <w:r/>
      <w:bookmarkEnd w:id="76"/>
      <w:r/>
      <w:bookmarkEnd w:id="135"/>
      <w:r/>
      <w:bookmarkEnd w:id="136"/>
      <w:r/>
      <w:bookmarkEnd w:id="137"/>
      <w:r/>
      <w:bookmarkEnd w:id="141"/>
      <w:r/>
      <w:bookmarkEnd w:id="142"/>
      <w:r/>
      <w:bookmarkEnd w:id="143"/>
      <w:r/>
      <w:bookmarkEnd w:id="145"/>
      <w:r/>
      <w:bookmarkEnd w:id="146"/>
      <w:r/>
      <w:bookmarkEnd w:id="147"/>
      <w:r/>
      <w:bookmarkEnd w:id="148"/>
      <w:r/>
      <w:bookmarkEnd w:id="149"/>
      <w:r/>
      <w:bookmarkEnd w:id="150"/>
      <w:r/>
      <w:bookmarkEnd w:id="151"/>
      <w:r/>
      <w:bookmarkEnd w:id="152"/>
      <w:r/>
      <w:bookmarkEnd w:id="153"/>
      <w:r/>
      <w:bookmarkEnd w:id="154"/>
      <w:r/>
      <w:bookmarkEnd w:id="161"/>
      <w:r/>
      <w:bookmarkEnd w:id="162"/>
      <w:r/>
      <w:bookmarkEnd w:id="163"/>
      <w:r/>
      <w:bookmarkEnd w:id="171"/>
      <w:r/>
      <w:bookmarkEnd w:id="172"/>
      <w:r/>
      <w:bookmarkEnd w:id="181"/>
      <w:r/>
      <w:bookmarkEnd w:id="281"/>
      <w:r/>
      <w:bookmarkEnd w:id="282"/>
      <w:r/>
      <w:bookmarkEnd w:id="355"/>
      <w:r/>
      <w:bookmarkEnd w:id="356"/>
      <w:r/>
      <w:bookmarkEnd w:id="374"/>
      <w:r/>
      <w:bookmarkEnd w:id="375"/>
      <w:r/>
      <w:bookmarkEnd w:id="376"/>
      <w:r/>
      <w:bookmarkEnd w:id="387"/>
      <w:r/>
      <w:bookmarkEnd w:id="388"/>
      <w:r/>
      <w:bookmarkEnd w:id="389"/>
      <w:r/>
      <w:bookmarkEnd w:id="390"/>
      <w:r/>
      <w:bookmarkEnd w:id="391"/>
      <w:r/>
      <w:bookmarkEnd w:id="392"/>
      <w:r/>
      <w:r/>
    </w:p>
    <w:p>
      <w:pPr>
        <w:pStyle w:val="713"/>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520" w:lineRule="exact"/>
        <w:widowControl w:val="off"/>
        <w:rPr>
          <w:rFonts w:hint="eastAsia" w:ascii="仿宋" w:hAnsi="仿宋" w:eastAsia="仿宋" w:cs="仿宋"/>
          <w:color w:val="auto"/>
          <w:sz w:val="48"/>
          <w:szCs w:val="48"/>
          <w:highlight w:val="none"/>
        </w:rPr>
      </w:pPr>
      <w:r/>
      <w:bookmarkStart w:id="399" w:name="_Toc23410"/>
      <w:r/>
      <w:bookmarkStart w:id="400" w:name="_Toc3422"/>
      <w:r>
        <w:rPr>
          <w:rFonts w:hint="eastAsia" w:ascii="宋体" w:hAnsi="宋体" w:eastAsia="宋体" w:cs="宋体"/>
          <w:b/>
          <w:color w:val="auto"/>
          <w:sz w:val="32"/>
          <w:szCs w:val="32"/>
          <w:highlight w:val="none"/>
          <w:lang w:val="en-US" w:eastAsia="zh-CN"/>
        </w:rPr>
        <w:t xml:space="preserve">十六、承诺书</w:t>
      </w:r>
      <w:r/>
    </w:p>
    <w:p>
      <w:pPr>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滨海县公安局</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作为滨海县公安局交通管理大队涉案车辆清拖及保管服务项目的投标单位，自愿参与本项目投标，并就本项目采购需求中相关要求郑重作出如下承诺，我方将严格履行本承诺内容，若违反承诺，自愿承担相应违约责任，接受采购人依据采购文件及合同约定作出的处理：</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承诺严格按照项目采购需求，在滨海县境内设立三个专用停车场，分别负责对应区域的车辆清拖、停放保管工作，具体落实如下：南片区负责渠南地区以及天场镇、农业园、204国道范围，场地设在通榆镇境内，占地面积不低于5亩；县城地区场地设在县城区域内，占地面积不低于10亩；北片区负责灌溉渠以北、县城以东（不含县城）范围，场地设在八滩镇境内，占地面积不低于5亩。</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承诺严格按照项目采购需求，为各专用停车场安装符合要求的涉案车辆信息管理系统，制定完善的涉案车辆进场、出场、登记、审批、管理等工作流程，对涉案车辆实行规范化的电子化、信息化管理，确保该管理要求落地执行。</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承诺严格按照项目采购需求，为每个专用停车场配备足额且符合规格的清障车辆，即每个停车场均配备小型专项作业车（清障）2辆、中型专项作业车（清障）1辆、大型专项作业车（清障）1辆，保障各片区清拖作业的顺利开展。</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本承诺书自我方签字盖章之日起生效，作为投标文件的组成部分，与投标文件具有同等法律效力。</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投标人（盖章）：____________________</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法定代表人/授权代表人（签字）：____________________</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日期：______年____月____日</w:t>
      </w:r>
      <w:r/>
    </w:p>
    <w:p>
      <w:pPr>
        <w:pStyle w:val="713"/>
        <w:jc w:val="center"/>
        <w:spacing w:beforeAutospacing="0" w:afterAutospacing="0"/>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3"/>
        <w:jc w:val="center"/>
        <w:spacing w:beforeAutospacing="0" w:afterAutospacing="0"/>
        <w:rPr>
          <w:rFonts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质疑函范本</w:t>
      </w:r>
      <w:bookmarkEnd w:id="399"/>
      <w:r/>
      <w:bookmarkEnd w:id="400"/>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1" w:name="_Toc12043"/>
      <w:r>
        <w:rPr>
          <w:rFonts w:hint="eastAsia" w:ascii="宋体" w:hAnsi="宋体" w:eastAsia="宋体" w:cs="宋体"/>
          <w:color w:val="auto"/>
          <w:highlight w:val="none"/>
        </w:rPr>
        <w:t xml:space="preserve">一、质疑供应商基本信息</w:t>
      </w:r>
      <w:bookmarkEnd w:id="401"/>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2" w:name="_Toc9195"/>
      <w:r>
        <w:rPr>
          <w:rFonts w:hint="eastAsia" w:ascii="宋体" w:hAnsi="宋体" w:eastAsia="宋体" w:cs="宋体"/>
          <w:color w:val="auto"/>
          <w:highlight w:val="none"/>
        </w:rPr>
        <w:t xml:space="preserve">二、质疑项目基本情况</w:t>
      </w:r>
      <w:bookmarkEnd w:id="402"/>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3" w:name="_Toc1025"/>
      <w:r>
        <w:rPr>
          <w:rFonts w:hint="eastAsia" w:ascii="宋体" w:hAnsi="宋体" w:eastAsia="宋体" w:cs="宋体"/>
          <w:color w:val="auto"/>
          <w:highlight w:val="none"/>
        </w:rPr>
        <w:t xml:space="preserve">三、质疑事项具体内容</w:t>
      </w:r>
      <w:bookmarkEnd w:id="403"/>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3"/>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4" w:name="_Toc588"/>
      <w:r>
        <w:rPr>
          <w:rFonts w:hint="eastAsia" w:ascii="宋体" w:hAnsi="宋体" w:eastAsia="宋体" w:cs="宋体"/>
          <w:color w:val="auto"/>
          <w:highlight w:val="none"/>
        </w:rPr>
        <w:t xml:space="preserve">四、与质疑事项相关的质疑请求</w:t>
      </w:r>
      <w:bookmarkEnd w:id="404"/>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楷体_GB2312">
    <w:panose1 w:val="02010609060101010101"/>
  </w:font>
  <w:font w:name="黑体">
    <w:panose1 w:val="020106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2">
    <w:name w:val="Heading 1"/>
    <w:basedOn w:val="681"/>
    <w:next w:val="681"/>
    <w:link w:val="722"/>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4">
    <w:name w:val="Heading 3"/>
    <w:basedOn w:val="681"/>
    <w:next w:val="681"/>
    <w:link w:val="724"/>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25"/>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26"/>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27"/>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29"/>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30"/>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pPr>
      <w:ind w:left="1701" w:right="0" w:firstLine="0"/>
      <w:spacing w:after="57"/>
    </w:pPr>
  </w:style>
  <w:style w:type="paragraph" w:styleId="694">
    <w:name w:val="Caption"/>
    <w:basedOn w:val="681"/>
    <w:next w:val="68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5">
    <w:name w:val="annotation text"/>
    <w:basedOn w:val="681"/>
    <w:uiPriority w:val="0"/>
    <w:qFormat/>
    <w:pPr>
      <w:jc w:val="left"/>
    </w:pPr>
  </w:style>
  <w:style w:type="paragraph" w:styleId="696">
    <w:name w:val="Body Text"/>
    <w:basedOn w:val="681"/>
    <w:uiPriority w:val="0"/>
    <w:semiHidden/>
    <w:qFormat/>
    <w:rPr>
      <w:rFonts w:ascii="仿宋" w:hAnsi="仿宋" w:eastAsia="仿宋" w:cs="仿宋"/>
      <w:sz w:val="31"/>
      <w:szCs w:val="31"/>
      <w:lang w:val="en-US" w:eastAsia="en-US" w:bidi="ar-SA"/>
    </w:rPr>
  </w:style>
  <w:style w:type="paragraph" w:styleId="697">
    <w:name w:val="Body Text Indent"/>
    <w:basedOn w:val="681"/>
    <w:next w:val="698"/>
    <w:uiPriority w:val="0"/>
    <w:qFormat/>
    <w:pPr>
      <w:ind w:firstLine="615"/>
    </w:pPr>
    <w:rPr>
      <w:rFonts w:eastAsia="仿宋_GB2312"/>
      <w:sz w:val="32"/>
      <w:szCs w:val="20"/>
      <w:u w:val="single"/>
    </w:rPr>
  </w:style>
  <w:style w:type="paragraph" w:styleId="698">
    <w:name w:val="envelope return"/>
    <w:basedOn w:val="681"/>
    <w:uiPriority w:val="0"/>
    <w:qFormat/>
    <w:rPr>
      <w:rFonts w:ascii="Arial" w:hAnsi="Arial"/>
    </w:rPr>
  </w:style>
  <w:style w:type="paragraph" w:styleId="699">
    <w:name w:val="toc 5"/>
    <w:basedOn w:val="681"/>
    <w:next w:val="681"/>
    <w:uiPriority w:val="39"/>
    <w:unhideWhenUsed/>
    <w:qFormat/>
    <w:pPr>
      <w:ind w:left="1134" w:right="0" w:firstLine="0"/>
      <w:spacing w:after="57"/>
    </w:pPr>
  </w:style>
  <w:style w:type="paragraph" w:styleId="700">
    <w:name w:val="toc 3"/>
    <w:basedOn w:val="681"/>
    <w:next w:val="681"/>
    <w:uiPriority w:val="0"/>
    <w:qFormat/>
    <w:pPr>
      <w:ind w:left="840"/>
    </w:pPr>
  </w:style>
  <w:style w:type="paragraph" w:styleId="701">
    <w:name w:val="toc 8"/>
    <w:basedOn w:val="681"/>
    <w:next w:val="681"/>
    <w:uiPriority w:val="39"/>
    <w:unhideWhenUsed/>
    <w:qFormat/>
    <w:pPr>
      <w:ind w:left="1984" w:right="0" w:firstLine="0"/>
      <w:spacing w:after="57"/>
    </w:pPr>
  </w:style>
  <w:style w:type="paragraph" w:styleId="702">
    <w:name w:val="endnote text"/>
    <w:basedOn w:val="681"/>
    <w:link w:val="868"/>
    <w:uiPriority w:val="99"/>
    <w:semiHidden/>
    <w:unhideWhenUsed/>
    <w:qFormat/>
    <w:pPr>
      <w:spacing w:after="0" w:line="240" w:lineRule="auto"/>
    </w:pPr>
    <w:rPr>
      <w:sz w:val="20"/>
    </w:rPr>
  </w:style>
  <w:style w:type="paragraph" w:styleId="703">
    <w:name w:val="Footer"/>
    <w:basedOn w:val="681"/>
    <w:link w:val="873"/>
    <w:uiPriority w:val="0"/>
    <w:qFormat/>
    <w:pPr>
      <w:jc w:val="left"/>
      <w:tabs>
        <w:tab w:val="center" w:pos="4153" w:leader="none"/>
        <w:tab w:val="right" w:pos="8306" w:leader="none"/>
      </w:tabs>
    </w:pPr>
    <w:rPr>
      <w:sz w:val="18"/>
      <w:szCs w:val="18"/>
    </w:rPr>
  </w:style>
  <w:style w:type="paragraph" w:styleId="704">
    <w:name w:val="Header"/>
    <w:basedOn w:val="681"/>
    <w:link w:val="872"/>
    <w:uiPriority w:val="0"/>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81"/>
    <w:next w:val="681"/>
    <w:uiPriority w:val="0"/>
    <w:qFormat/>
  </w:style>
  <w:style w:type="paragraph" w:styleId="706">
    <w:name w:val="toc 4"/>
    <w:basedOn w:val="681"/>
    <w:next w:val="681"/>
    <w:uiPriority w:val="39"/>
    <w:unhideWhenUsed/>
    <w:qFormat/>
    <w:pPr>
      <w:ind w:left="850" w:right="0" w:firstLine="0"/>
      <w:spacing w:after="57"/>
    </w:pPr>
  </w:style>
  <w:style w:type="paragraph" w:styleId="707">
    <w:name w:val="Subtitle"/>
    <w:basedOn w:val="681"/>
    <w:next w:val="681"/>
    <w:link w:val="734"/>
    <w:uiPriority w:val="11"/>
    <w:qFormat/>
    <w:pPr>
      <w:spacing w:before="200" w:after="200"/>
    </w:pPr>
    <w:rPr>
      <w:sz w:val="24"/>
      <w:szCs w:val="24"/>
    </w:rPr>
  </w:style>
  <w:style w:type="paragraph" w:styleId="708">
    <w:name w:val="footnote text"/>
    <w:basedOn w:val="681"/>
    <w:link w:val="867"/>
    <w:uiPriority w:val="99"/>
    <w:semiHidden/>
    <w:unhideWhenUsed/>
    <w:qFormat/>
    <w:pPr>
      <w:spacing w:after="40" w:line="240" w:lineRule="auto"/>
    </w:pPr>
    <w:rPr>
      <w:sz w:val="18"/>
    </w:rPr>
  </w:style>
  <w:style w:type="paragraph" w:styleId="709">
    <w:name w:val="toc 6"/>
    <w:basedOn w:val="681"/>
    <w:next w:val="681"/>
    <w:uiPriority w:val="39"/>
    <w:unhideWhenUsed/>
    <w:qFormat/>
    <w:pPr>
      <w:ind w:left="1417" w:right="0" w:firstLine="0"/>
      <w:spacing w:after="57"/>
    </w:pPr>
  </w:style>
  <w:style w:type="paragraph" w:styleId="710">
    <w:name w:val="table of figures"/>
    <w:basedOn w:val="681"/>
    <w:next w:val="681"/>
    <w:uiPriority w:val="99"/>
    <w:unhideWhenUsed/>
    <w:qFormat/>
    <w:pPr>
      <w:spacing w:after="0" w:afterAutospacing="0"/>
    </w:pPr>
  </w:style>
  <w:style w:type="paragraph" w:styleId="711">
    <w:name w:val="toc 2"/>
    <w:basedOn w:val="681"/>
    <w:next w:val="681"/>
    <w:uiPriority w:val="0"/>
    <w:qFormat/>
    <w:pPr>
      <w:ind w:left="420"/>
    </w:pPr>
  </w:style>
  <w:style w:type="paragraph" w:styleId="712">
    <w:name w:val="toc 9"/>
    <w:basedOn w:val="681"/>
    <w:next w:val="681"/>
    <w:uiPriority w:val="39"/>
    <w:unhideWhenUsed/>
    <w:qFormat/>
    <w:pPr>
      <w:ind w:left="2268" w:right="0" w:firstLine="0"/>
      <w:spacing w:after="57"/>
    </w:pPr>
  </w:style>
  <w:style w:type="paragraph" w:styleId="713">
    <w:name w:val="Normal (Web)"/>
    <w:basedOn w:val="681"/>
    <w:uiPriority w:val="0"/>
    <w:qFormat/>
    <w:pPr>
      <w:jc w:val="left"/>
      <w:spacing w:beforeAutospacing="1" w:afterAutospacing="1"/>
    </w:pPr>
    <w:rPr>
      <w:rFonts w:cs="Times New Roman"/>
      <w:sz w:val="24"/>
    </w:rPr>
  </w:style>
  <w:style w:type="paragraph" w:styleId="714">
    <w:name w:val="Title"/>
    <w:basedOn w:val="681"/>
    <w:next w:val="681"/>
    <w:link w:val="733"/>
    <w:uiPriority w:val="10"/>
    <w:qFormat/>
    <w:pPr>
      <w:contextualSpacing/>
      <w:spacing w:before="300" w:after="200"/>
    </w:pPr>
    <w:rPr>
      <w:sz w:val="48"/>
      <w:szCs w:val="48"/>
    </w:rPr>
  </w:style>
  <w:style w:type="paragraph" w:styleId="715">
    <w:name w:val="Body Text First Indent"/>
    <w:basedOn w:val="681"/>
    <w:uiPriority w:val="0"/>
    <w:qFormat/>
    <w:pPr>
      <w:ind w:firstLine="420"/>
    </w:pPr>
    <w:rPr>
      <w:rFonts w:ascii="楷体_GB2312" w:hAnsi="Times New Roman" w:eastAsia="楷体_GB2312"/>
      <w:sz w:val="32"/>
      <w:szCs w:val="20"/>
    </w:rPr>
  </w:style>
  <w:style w:type="paragraph" w:styleId="716">
    <w:name w:val="Body Text First Indent 2"/>
    <w:basedOn w:val="697"/>
    <w:uiPriority w:val="0"/>
    <w:qFormat/>
    <w:pPr>
      <w:ind w:firstLine="420"/>
    </w:pPr>
  </w:style>
  <w:style w:type="table" w:styleId="717">
    <w:name w:val="Table Grid"/>
    <w:basedOn w:val="69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91"/>
    <w:uiPriority w:val="0"/>
    <w:qFormat/>
    <w:rPr>
      <w:b/>
    </w:rPr>
  </w:style>
  <w:style w:type="character" w:styleId="719">
    <w:name w:val="endnote reference"/>
    <w:basedOn w:val="691"/>
    <w:uiPriority w:val="99"/>
    <w:semiHidden/>
    <w:unhideWhenUsed/>
    <w:qFormat/>
    <w:rPr>
      <w:vertAlign w:val="superscript"/>
    </w:rPr>
  </w:style>
  <w:style w:type="character" w:styleId="720">
    <w:name w:val="Hyperlink"/>
    <w:uiPriority w:val="99"/>
    <w:unhideWhenUsed/>
    <w:qFormat/>
    <w:rPr>
      <w:color w:val="0563c1" w:themeColor="hyperlink"/>
      <w:u w:val="single"/>
      <w14:textFill>
        <w14:solidFill>
          <w14:schemeClr w14:val="hlink"/>
        </w14:solidFill>
      </w14:textFill>
    </w:rPr>
  </w:style>
  <w:style w:type="character" w:styleId="721">
    <w:name w:val="footnote reference"/>
    <w:basedOn w:val="691"/>
    <w:uiPriority w:val="99"/>
    <w:unhideWhenUsed/>
    <w:qFormat/>
    <w:rPr>
      <w:vertAlign w:val="superscript"/>
    </w:rPr>
  </w:style>
  <w:style w:type="character" w:styleId="722" w:customStyle="1">
    <w:name w:val="Heading 1 Char"/>
    <w:basedOn w:val="691"/>
    <w:link w:val="682"/>
    <w:uiPriority w:val="9"/>
    <w:qFormat/>
    <w:rPr>
      <w:rFonts w:ascii="Arial" w:hAnsi="Arial" w:eastAsia="Arial" w:cs="Arial"/>
      <w:sz w:val="40"/>
      <w:szCs w:val="40"/>
    </w:rPr>
  </w:style>
  <w:style w:type="character" w:styleId="723" w:customStyle="1">
    <w:name w:val="Heading 2 Char"/>
    <w:basedOn w:val="691"/>
    <w:uiPriority w:val="9"/>
    <w:qFormat/>
    <w:rPr>
      <w:rFonts w:ascii="Arial" w:hAnsi="Arial" w:eastAsia="Arial" w:cs="Arial"/>
      <w:sz w:val="34"/>
    </w:rPr>
  </w:style>
  <w:style w:type="character" w:styleId="724" w:customStyle="1">
    <w:name w:val="Heading 3 Char"/>
    <w:basedOn w:val="691"/>
    <w:link w:val="684"/>
    <w:uiPriority w:val="9"/>
    <w:qFormat/>
    <w:rPr>
      <w:rFonts w:ascii="Arial" w:hAnsi="Arial" w:eastAsia="Arial" w:cs="Arial"/>
      <w:sz w:val="30"/>
      <w:szCs w:val="30"/>
    </w:rPr>
  </w:style>
  <w:style w:type="character" w:styleId="725" w:customStyle="1">
    <w:name w:val="Heading 4 Char"/>
    <w:basedOn w:val="691"/>
    <w:link w:val="685"/>
    <w:uiPriority w:val="9"/>
    <w:qFormat/>
    <w:rPr>
      <w:rFonts w:ascii="Arial" w:hAnsi="Arial" w:eastAsia="Arial" w:cs="Arial"/>
      <w:b/>
      <w:bCs/>
      <w:sz w:val="26"/>
      <w:szCs w:val="26"/>
    </w:rPr>
  </w:style>
  <w:style w:type="character" w:styleId="726" w:customStyle="1">
    <w:name w:val="Heading 5 Char"/>
    <w:basedOn w:val="691"/>
    <w:link w:val="686"/>
    <w:uiPriority w:val="9"/>
    <w:qFormat/>
    <w:rPr>
      <w:rFonts w:ascii="Arial" w:hAnsi="Arial" w:eastAsia="Arial" w:cs="Arial"/>
      <w:b/>
      <w:bCs/>
      <w:sz w:val="24"/>
      <w:szCs w:val="24"/>
    </w:rPr>
  </w:style>
  <w:style w:type="character" w:styleId="727" w:customStyle="1">
    <w:name w:val="Heading 6 Char"/>
    <w:basedOn w:val="691"/>
    <w:link w:val="687"/>
    <w:uiPriority w:val="9"/>
    <w:qFormat/>
    <w:rPr>
      <w:rFonts w:ascii="Arial" w:hAnsi="Arial" w:eastAsia="Arial" w:cs="Arial"/>
      <w:b/>
      <w:bCs/>
      <w:sz w:val="22"/>
      <w:szCs w:val="22"/>
    </w:rPr>
  </w:style>
  <w:style w:type="character" w:styleId="728" w:customStyle="1">
    <w:name w:val="Heading 7 Char"/>
    <w:basedOn w:val="691"/>
    <w:link w:val="688"/>
    <w:uiPriority w:val="9"/>
    <w:qFormat/>
    <w:rPr>
      <w:rFonts w:ascii="Arial" w:hAnsi="Arial" w:eastAsia="Arial" w:cs="Arial"/>
      <w:b/>
      <w:bCs/>
      <w:i/>
      <w:iCs/>
      <w:sz w:val="22"/>
      <w:szCs w:val="22"/>
    </w:rPr>
  </w:style>
  <w:style w:type="character" w:styleId="729" w:customStyle="1">
    <w:name w:val="Heading 8 Char"/>
    <w:basedOn w:val="691"/>
    <w:link w:val="689"/>
    <w:uiPriority w:val="9"/>
    <w:qFormat/>
    <w:rPr>
      <w:rFonts w:ascii="Arial" w:hAnsi="Arial" w:eastAsia="Arial" w:cs="Arial"/>
      <w:i/>
      <w:iCs/>
      <w:sz w:val="22"/>
      <w:szCs w:val="22"/>
    </w:rPr>
  </w:style>
  <w:style w:type="character" w:styleId="730" w:customStyle="1">
    <w:name w:val="Heading 9 Char"/>
    <w:basedOn w:val="691"/>
    <w:link w:val="690"/>
    <w:uiPriority w:val="9"/>
    <w:qFormat/>
    <w:rPr>
      <w:rFonts w:ascii="Arial" w:hAnsi="Arial" w:eastAsia="Arial" w:cs="Arial"/>
      <w:i/>
      <w:iCs/>
      <w:sz w:val="21"/>
      <w:szCs w:val="21"/>
    </w:rPr>
  </w:style>
  <w:style w:type="paragraph" w:styleId="731">
    <w:name w:val="List Paragraph"/>
    <w:basedOn w:val="681"/>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basedOn w:val="691"/>
    <w:link w:val="714"/>
    <w:uiPriority w:val="10"/>
    <w:qFormat/>
    <w:rPr>
      <w:sz w:val="48"/>
      <w:szCs w:val="48"/>
    </w:rPr>
  </w:style>
  <w:style w:type="character" w:styleId="734" w:customStyle="1">
    <w:name w:val="Subtitle Char"/>
    <w:basedOn w:val="691"/>
    <w:link w:val="707"/>
    <w:uiPriority w:val="11"/>
    <w:qFormat/>
    <w:rPr>
      <w:sz w:val="24"/>
      <w:szCs w:val="24"/>
    </w:rPr>
  </w:style>
  <w:style w:type="paragraph" w:styleId="735">
    <w:name w:val="Quote"/>
    <w:basedOn w:val="681"/>
    <w:next w:val="681"/>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1"/>
    <w:next w:val="681"/>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basedOn w:val="691"/>
    <w:uiPriority w:val="99"/>
    <w:qFormat/>
  </w:style>
  <w:style w:type="character" w:styleId="740" w:customStyle="1">
    <w:name w:val="Footer Char"/>
    <w:basedOn w:val="691"/>
    <w:uiPriority w:val="99"/>
    <w:qFormat/>
  </w:style>
  <w:style w:type="character" w:styleId="741" w:customStyle="1">
    <w:name w:val="Caption Char"/>
    <w:uiPriority w:val="99"/>
    <w:qFormat/>
  </w:style>
  <w:style w:type="table" w:styleId="742" w:customStyle="1">
    <w:name w:val="Table Grid Light"/>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9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9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92"/>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92"/>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92"/>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92"/>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9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92"/>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92"/>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92"/>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92"/>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92"/>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92"/>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Grid Table 3"/>
    <w:basedOn w:val="69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92"/>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92"/>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92"/>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92"/>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92"/>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92"/>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9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92"/>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92"/>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92"/>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92"/>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92"/>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92"/>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Grid Table 5 Dark"/>
    <w:basedOn w:val="69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9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9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9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9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9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9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Grid Table 6 Colorful"/>
    <w:basedOn w:val="69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92"/>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92"/>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92"/>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92"/>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92"/>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9" w:customStyle="1">
    <w:name w:val="Grid Table 6 Colorful - Accent 6"/>
    <w:basedOn w:val="692"/>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7 Colorful"/>
    <w:basedOn w:val="69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92"/>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92"/>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92"/>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92"/>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92"/>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92"/>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92"/>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92"/>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92"/>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92"/>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92"/>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92"/>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92"/>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w:basedOn w:val="69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92"/>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92"/>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9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92"/>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92"/>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92"/>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List Table 3"/>
    <w:basedOn w:val="69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92"/>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92"/>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92"/>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92"/>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92"/>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92"/>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List Table 4"/>
    <w:basedOn w:val="69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92"/>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92"/>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92"/>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92"/>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92"/>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92"/>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List Table 5 Dark"/>
    <w:basedOn w:val="69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92"/>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92"/>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92"/>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92"/>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92"/>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92"/>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9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92"/>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4" w:customStyle="1">
    <w:name w:val="List Table 6 Colorful - Accent 2"/>
    <w:basedOn w:val="692"/>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5" w:customStyle="1">
    <w:name w:val="List Table 6 Colorful - Accent 3"/>
    <w:basedOn w:val="692"/>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6" w:customStyle="1">
    <w:name w:val="List Table 6 Colorful - Accent 4"/>
    <w:basedOn w:val="692"/>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7" w:customStyle="1">
    <w:name w:val="List Table 6 Colorful - Accent 5"/>
    <w:basedOn w:val="692"/>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8" w:customStyle="1">
    <w:name w:val="List Table 6 Colorful - Accent 6"/>
    <w:basedOn w:val="692"/>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9" w:customStyle="1">
    <w:name w:val="List Table 7 Colorful"/>
    <w:basedOn w:val="692"/>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92"/>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92"/>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92"/>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92"/>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92"/>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92"/>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9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9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9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9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9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9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9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92"/>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92"/>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92"/>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92"/>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92"/>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92"/>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92"/>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92"/>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92"/>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92"/>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92"/>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92"/>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92"/>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92"/>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Footnote Text Char"/>
    <w:link w:val="708"/>
    <w:uiPriority w:val="99"/>
    <w:rPr>
      <w:sz w:val="18"/>
    </w:rPr>
  </w:style>
  <w:style w:type="character" w:styleId="868" w:customStyle="1">
    <w:name w:val="Endnote Text Char"/>
    <w:link w:val="702"/>
    <w:uiPriority w:val="99"/>
    <w:rPr>
      <w:sz w:val="20"/>
    </w:rPr>
  </w:style>
  <w:style w:type="paragraph" w:styleId="869" w:customStyle="1">
    <w:name w:val="TOC Heading"/>
    <w:uiPriority w:val="39"/>
    <w:unhideWhenUsed/>
    <w:rPr>
      <w:rFonts w:hint="default" w:ascii="Times New Roman" w:hAnsi="Times New Roman" w:eastAsia="宋体" w:cs="Times New Roman"/>
    </w:rPr>
  </w:style>
  <w:style w:type="paragraph" w:styleId="870" w:customStyle="1">
    <w:name w:val="普通正文"/>
    <w:basedOn w:val="681"/>
    <w:uiPriority w:val="0"/>
    <w:qFormat/>
    <w:pPr>
      <w:ind w:firstLine="480"/>
      <w:jc w:val="left"/>
      <w:spacing w:before="120" w:after="120" w:line="360" w:lineRule="auto"/>
    </w:pPr>
    <w:rPr>
      <w:rFonts w:ascii="Arial" w:hAnsi="Arial" w:eastAsia="等线" w:cs="Arial"/>
      <w:sz w:val="24"/>
      <w:szCs w:val="24"/>
    </w:rPr>
  </w:style>
  <w:style w:type="paragraph" w:styleId="871" w:customStyle="1">
    <w:name w:val="Default"/>
    <w:basedOn w:val="681"/>
    <w:uiPriority w:val="0"/>
    <w:semiHidden/>
    <w:qFormat/>
    <w:pPr>
      <w:jc w:val="left"/>
    </w:pPr>
    <w:rPr>
      <w:rFonts w:ascii="宋体" w:hAnsi="Calibri" w:cs="宋体"/>
      <w:color w:val="000000"/>
      <w:sz w:val="24"/>
    </w:rPr>
  </w:style>
  <w:style w:type="character" w:styleId="872" w:customStyle="1">
    <w:name w:val="页眉 Char"/>
    <w:basedOn w:val="691"/>
    <w:link w:val="704"/>
    <w:uiPriority w:val="0"/>
    <w:qFormat/>
    <w:rPr>
      <w:rFonts w:asciiTheme="minorHAnsi" w:hAnsiTheme="minorHAnsi" w:eastAsiaTheme="minorEastAsia" w:cstheme="minorBidi"/>
      <w:sz w:val="18"/>
      <w:szCs w:val="18"/>
    </w:rPr>
  </w:style>
  <w:style w:type="character" w:styleId="873" w:customStyle="1">
    <w:name w:val="页脚 Char"/>
    <w:basedOn w:val="691"/>
    <w:link w:val="703"/>
    <w:uiPriority w:val="0"/>
    <w:qFormat/>
    <w:rPr>
      <w:rFonts w:asciiTheme="minorHAnsi" w:hAnsiTheme="minorHAnsi" w:eastAsiaTheme="minorEastAsia" w:cstheme="minorBidi"/>
      <w:sz w:val="18"/>
      <w:szCs w:val="18"/>
    </w:rPr>
  </w:style>
  <w:style w:type="paragraph" w:styleId="874" w:customStyle="1">
    <w:name w:val="正文首行缩进 21"/>
    <w:basedOn w:val="875"/>
    <w:uiPriority w:val="0"/>
    <w:qFormat/>
    <w:pPr>
      <w:ind w:firstLine="420"/>
    </w:pPr>
  </w:style>
  <w:style w:type="paragraph" w:styleId="875" w:customStyle="1">
    <w:name w:val="正文文本缩进1"/>
    <w:basedOn w:val="681"/>
    <w:uiPriority w:val="0"/>
    <w:qFormat/>
    <w:pPr>
      <w:ind w:left="420"/>
      <w:spacing w:after="120"/>
    </w:pPr>
  </w:style>
  <w:style w:type="character" w:styleId="876" w:customStyle="1">
    <w:name w:val="font31"/>
    <w:basedOn w:val="691"/>
    <w:uiPriority w:val="0"/>
    <w:qFormat/>
    <w:rPr>
      <w:rFonts w:hint="eastAsia" w:ascii="仿宋" w:hAnsi="仿宋" w:eastAsia="仿宋" w:cs="仿宋"/>
      <w:color w:val="ff0000"/>
      <w:sz w:val="24"/>
      <w:szCs w:val="24"/>
      <w:u w:val="none"/>
    </w:rPr>
  </w:style>
  <w:style w:type="character" w:styleId="877" w:customStyle="1">
    <w:name w:val="font11"/>
    <w:basedOn w:val="691"/>
    <w:uiPriority w:val="0"/>
    <w:qFormat/>
    <w:rPr>
      <w:rFonts w:hint="eastAsia" w:ascii="仿宋" w:hAnsi="仿宋" w:eastAsia="仿宋" w:cs="仿宋"/>
      <w:color w:val="000000"/>
      <w:sz w:val="24"/>
      <w:szCs w:val="24"/>
      <w:u w:val="none"/>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徐鹏程</cp:lastModifiedBy>
  <cp:revision>276</cp:revision>
  <dcterms:created xsi:type="dcterms:W3CDTF">2014-10-29T12:08:00Z</dcterms:created>
  <dcterms:modified xsi:type="dcterms:W3CDTF">2026-05-21T08:24:41Z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5A92258C061D4B8FB42D83E3D6ABB166_13</vt:lpwstr>
  </property>
  <property fmtid="{D5CDD505-2E9C-101B-9397-08002B2CF9AE}" pid="4" name="KSOTemplateDocerSaveRecord">
    <vt:lpwstr>eyJoZGlkIjoiNGM1NmM1NjU1MjI4ZWE5YjVkZTMyYmNkMjQ1ODFjZTgiLCJ1c2VySWQiOiIyNTM2MDI3NDcifQ==</vt:lpwstr>
  </property>
</Properties>
</file>