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left="660"/>
        <w:spacing w:line="360" w:lineRule="auto"/>
        <w:rPr>
          <w:rFonts w:ascii="Arial" w:hAnsi="Arial"/>
          <w:bCs/>
          <w:color w:val="000000"/>
          <w:sz w:val="30"/>
          <w:highlight w:val="none"/>
        </w:rPr>
      </w:pPr>
      <w:r>
        <w:rPr>
          <w:rFonts w:ascii="Arial" w:hAnsi="Arial"/>
          <w:bCs/>
          <w:color w:val="000000"/>
          <w:sz w:val="30"/>
          <w:highlight w:val="none"/>
        </w:rPr>
      </w:r>
      <w:r/>
    </w:p>
    <w:p>
      <w:pPr>
        <w:pStyle w:val="847"/>
        <w:ind w:left="660"/>
        <w:spacing w:line="360" w:lineRule="auto"/>
        <w:rPr>
          <w:rFonts w:ascii="Arial" w:hAnsi="Arial"/>
          <w:bCs/>
          <w:color w:val="000000"/>
          <w:sz w:val="30"/>
          <w:highlight w:val="none"/>
        </w:rPr>
      </w:pPr>
      <w:r>
        <w:rPr>
          <w:rFonts w:ascii="Arial" w:hAnsi="Arial"/>
          <w:bCs/>
          <w:color w:val="000000"/>
          <w:sz w:val="30"/>
          <w:highlight w:val="none"/>
        </w:rPr>
      </w:r>
      <w:r/>
    </w:p>
    <w:p>
      <w:pPr>
        <w:pStyle w:val="847"/>
        <w:jc w:val="center"/>
        <w:spacing w:line="360" w:lineRule="auto"/>
        <w:rPr>
          <w:rFonts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无锡市政府采购项目</w:t>
      </w:r>
      <w:r>
        <w:rPr>
          <w:rFonts w:ascii="宋体" w:hAnsi="宋体" w:eastAsia="宋体" w:cs="宋体"/>
          <w:b/>
          <w:color w:val="000000"/>
          <w:sz w:val="52"/>
          <w:szCs w:val="52"/>
          <w:highlight w:val="none"/>
        </w:rPr>
      </w:r>
      <w:r/>
    </w:p>
    <w:p>
      <w:pPr>
        <w:pStyle w:val="847"/>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rPr>
          <w:rFonts w:ascii="Arial" w:hAnsi="Arial"/>
          <w:b/>
          <w:bCs/>
          <w:color w:val="000000"/>
          <w:sz w:val="30"/>
          <w:highlight w:val="none"/>
        </w:rPr>
      </w:r>
      <w:r/>
    </w:p>
    <w:p>
      <w:pPr>
        <w:pStyle w:val="847"/>
        <w:spacing w:line="360" w:lineRule="auto"/>
        <w:rPr>
          <w:rFonts w:ascii="Arial" w:hAnsi="Arial"/>
          <w:b/>
          <w:bCs/>
          <w:color w:val="000000"/>
          <w:sz w:val="30"/>
          <w:highlight w:val="none"/>
        </w:rPr>
      </w:pPr>
      <w:r>
        <w:rPr>
          <w:rFonts w:ascii="Arial" w:hAnsi="Arial"/>
          <w:b/>
          <w:bCs/>
          <w:color w:val="000000"/>
          <w:sz w:val="30"/>
          <w:highlight w:val="none"/>
        </w:rPr>
      </w:r>
      <w:r/>
    </w:p>
    <w:p>
      <w:pPr>
        <w:pStyle w:val="847"/>
        <w:jc w:val="center"/>
        <w:spacing w:line="360" w:lineRule="auto"/>
        <w:rPr>
          <w:rFonts w:ascii="Arial" w:hAnsi="Arial"/>
          <w:b/>
          <w:bCs/>
          <w:color w:val="000000"/>
          <w:spacing w:val="20"/>
          <w:sz w:val="52"/>
          <w:szCs w:val="52"/>
          <w:highlight w:val="none"/>
        </w:rPr>
      </w:pPr>
      <w:r>
        <w:rPr>
          <w:rFonts w:hint="eastAsia" w:ascii="Arial" w:hAnsi="Arial"/>
          <w:b/>
          <w:bCs/>
          <w:color w:val="000000"/>
          <w:spacing w:val="20"/>
          <w:sz w:val="52"/>
          <w:szCs w:val="52"/>
          <w:highlight w:val="none"/>
        </w:rPr>
        <w:t xml:space="preserve">公开</w:t>
      </w:r>
      <w:r>
        <w:rPr>
          <w:rFonts w:ascii="Arial" w:hAnsi="Arial"/>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000000"/>
          <w:spacing w:val="20"/>
          <w:sz w:val="52"/>
          <w:szCs w:val="52"/>
          <w:highlight w:val="none"/>
        </w:rPr>
        <w:t xml:space="preserve">招标文件</w:t>
      </w:r>
      <w:r>
        <w:rPr>
          <w:rFonts w:ascii="Arial" w:hAnsi="Arial"/>
          <w:b/>
          <w:bCs/>
          <w:color w:val="000000"/>
          <w:spacing w:val="20"/>
          <w:sz w:val="52"/>
          <w:szCs w:val="52"/>
          <w:highlight w:val="none"/>
        </w:rPr>
      </w:r>
      <w:r/>
    </w:p>
    <w:p>
      <w:pPr>
        <w:pStyle w:val="1288"/>
        <w:ind w:firstLine="0"/>
        <w:jc w:val="center"/>
        <w:rPr>
          <w:b/>
          <w:bCs/>
          <w:color w:val="000000"/>
          <w:sz w:val="30"/>
          <w:highlight w:val="none"/>
        </w:rPr>
      </w:pPr>
      <w:r>
        <w:rPr>
          <w:rFonts w:hint="eastAsia" w:ascii="宋体" w:hAnsi="宋体" w:cs="宋体"/>
          <w:bCs/>
          <w:color w:val="000000"/>
          <w:spacing w:val="20"/>
          <w:sz w:val="52"/>
          <w:szCs w:val="52"/>
          <w:highlight w:val="none"/>
        </w:rPr>
        <w:t xml:space="preserve">（暗标）</w:t>
      </w:r>
      <w:r>
        <w:rPr>
          <w:b/>
          <w:bCs/>
          <w:color w:val="000000"/>
          <w:sz w:val="30"/>
          <w:highlight w:val="none"/>
        </w:rPr>
      </w:r>
      <w:r/>
    </w:p>
    <w:p>
      <w:pPr>
        <w:pStyle w:val="847"/>
        <w:spacing w:line="360" w:lineRule="auto"/>
        <w:rPr>
          <w:rFonts w:ascii="Arial" w:hAnsi="Arial"/>
          <w:b/>
          <w:bCs/>
          <w:color w:val="000000"/>
          <w:sz w:val="30"/>
          <w:highlight w:val="none"/>
        </w:rPr>
      </w:pPr>
      <w:r>
        <w:rPr>
          <w:rFonts w:ascii="Arial" w:hAnsi="Arial"/>
          <w:b/>
          <w:bCs/>
          <w:color w:val="000000"/>
          <w:sz w:val="30"/>
          <w:highlight w:val="none"/>
        </w:rPr>
      </w:r>
      <w:r/>
    </w:p>
    <w:p>
      <w:pPr>
        <w:pStyle w:val="847"/>
        <w:spacing w:line="360" w:lineRule="auto"/>
        <w:rPr>
          <w:rFonts w:ascii="Arial" w:hAnsi="Arial"/>
          <w:b/>
          <w:bCs/>
          <w:color w:val="000000"/>
          <w:sz w:val="30"/>
          <w:highlight w:val="none"/>
        </w:rPr>
      </w:pPr>
      <w:r>
        <w:rPr>
          <w:rFonts w:ascii="Arial" w:hAnsi="Arial"/>
          <w:b/>
          <w:bCs/>
          <w:color w:val="000000"/>
          <w:sz w:val="30"/>
          <w:highlight w:val="none"/>
        </w:rPr>
      </w:r>
      <w:r/>
    </w:p>
    <w:p>
      <w:pPr>
        <w:pStyle w:val="847"/>
        <w:spacing w:line="360" w:lineRule="auto"/>
        <w:rPr>
          <w:rFonts w:ascii="Arial" w:hAnsi="Arial"/>
          <w:b/>
          <w:bCs/>
          <w:color w:val="000000"/>
          <w:sz w:val="30"/>
          <w:highlight w:val="none"/>
        </w:rPr>
      </w:pPr>
      <w:r>
        <w:rPr>
          <w:rFonts w:ascii="Arial" w:hAnsi="Arial"/>
          <w:b/>
          <w:bCs/>
          <w:color w:val="000000"/>
          <w:sz w:val="30"/>
          <w:highlight w:val="none"/>
        </w:rPr>
      </w:r>
      <w:r/>
    </w:p>
    <w:p>
      <w:pPr>
        <w:pStyle w:val="847"/>
        <w:ind w:firstLine="1500"/>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w:t>
      </w:r>
      <w:r>
        <w:rPr>
          <w:rFonts w:hint="eastAsia" w:ascii="宋体" w:hAnsi="宋体" w:eastAsia="宋体" w:cs="宋体"/>
          <w:bCs/>
          <w:color w:val="000000"/>
          <w:sz w:val="30"/>
          <w:szCs w:val="30"/>
          <w:highlight w:val="none"/>
        </w:rPr>
        <w:t xml:space="preserve">购项目编号：</w:t>
      </w:r>
      <w:r>
        <w:rPr>
          <w:rFonts w:hint="eastAsia" w:ascii="宋体" w:hAnsi="宋体" w:eastAsia="宋体" w:cs="宋体"/>
          <w:bCs/>
          <w:color w:val="000000"/>
          <w:sz w:val="30"/>
          <w:szCs w:val="30"/>
          <w:highlight w:val="none"/>
          <w:lang w:eastAsia="zh-CN"/>
        </w:rPr>
        <w:t xml:space="preserve">JSZC-320200-PXGJ-G2026-0029</w:t>
      </w:r>
      <w:r>
        <w:rPr>
          <w:rFonts w:hint="eastAsia" w:ascii="Arial" w:hAnsi="Arial" w:eastAsia="宋体"/>
          <w:bCs/>
          <w:color w:val="000000"/>
          <w:sz w:val="30"/>
          <w:szCs w:val="30"/>
          <w:highlight w:val="none"/>
          <w:lang w:eastAsia="zh-CN"/>
        </w:rPr>
      </w:r>
      <w:r/>
    </w:p>
    <w:p>
      <w:pPr>
        <w:pStyle w:val="847"/>
        <w:ind w:firstLine="1500"/>
        <w:spacing w:line="360" w:lineRule="auto"/>
        <w:rPr>
          <w:rFonts w:ascii="Arial" w:hAnsi="Arial" w:eastAsia="宋体"/>
          <w:bCs/>
          <w:color w:val="000000"/>
          <w:sz w:val="30"/>
          <w:szCs w:val="30"/>
          <w:highlight w:val="none"/>
        </w:rPr>
      </w:pPr>
      <w:r>
        <w:rPr>
          <w:rFonts w:hint="eastAsia" w:ascii="Arial" w:hAnsi="Arial"/>
          <w:bCs/>
          <w:color w:val="000000"/>
          <w:sz w:val="30"/>
          <w:szCs w:val="30"/>
          <w:highlight w:val="none"/>
        </w:rPr>
        <w:t xml:space="preserve">采购项目名称：</w:t>
      </w:r>
      <w:r>
        <w:rPr>
          <w:rFonts w:hint="eastAsia" w:ascii="Arial" w:hAnsi="Arial" w:eastAsia="宋体"/>
          <w:bCs/>
          <w:color w:val="000000"/>
          <w:sz w:val="30"/>
          <w:szCs w:val="30"/>
          <w:highlight w:val="none"/>
        </w:rPr>
      </w:r>
      <w:r>
        <w:rPr>
          <w:rFonts w:hint="eastAsia" w:ascii="宋体" w:hAnsi="宋体" w:cs="宋体"/>
          <w:bCs/>
          <w:color w:val="000000"/>
          <w:sz w:val="30"/>
          <w:szCs w:val="30"/>
          <w:highlight w:val="none"/>
        </w:rPr>
        <w:t xml:space="preserve">无锡市人民</w:t>
      </w:r>
      <w:r>
        <w:rPr>
          <w:rFonts w:hint="eastAsia" w:ascii="宋体" w:hAnsi="宋体" w:eastAsia="宋体" w:cs="宋体"/>
          <w:bCs/>
          <w:color w:val="000000"/>
          <w:sz w:val="30"/>
          <w:szCs w:val="30"/>
          <w:highlight w:val="none"/>
        </w:rPr>
        <w:t xml:space="preserve">医院</w:t>
      </w:r>
      <w:r/>
      <w:r>
        <w:rPr>
          <w:rFonts w:hint="eastAsia" w:ascii="Arial" w:hAnsi="Arial" w:eastAsia="宋体"/>
          <w:bCs/>
          <w:color w:val="000000"/>
          <w:sz w:val="30"/>
          <w:szCs w:val="30"/>
          <w:highlight w:val="none"/>
        </w:rPr>
        <w:t xml:space="preserve">病理临床检测项目</w:t>
      </w:r>
      <w:r>
        <w:rPr>
          <w:rFonts w:ascii="Arial" w:hAnsi="Arial" w:eastAsia="宋体"/>
          <w:bCs/>
          <w:color w:val="000000"/>
          <w:sz w:val="30"/>
          <w:szCs w:val="30"/>
          <w:highlight w:val="none"/>
        </w:rPr>
      </w:r>
      <w:r/>
    </w:p>
    <w:p>
      <w:pPr>
        <w:pStyle w:val="847"/>
        <w:ind w:firstLine="1500"/>
        <w:spacing w:line="360" w:lineRule="auto"/>
        <w:rPr>
          <w:rFonts w:ascii="宋体" w:hAnsi="宋体" w:eastAsia="宋体" w:cs="宋体"/>
          <w:bCs/>
          <w:color w:val="000000"/>
          <w:sz w:val="30"/>
          <w:szCs w:val="30"/>
          <w:highlight w:val="none"/>
        </w:rPr>
      </w:pPr>
      <w:r>
        <w:rPr>
          <w:rFonts w:hint="eastAsia" w:ascii="宋体" w:hAnsi="宋体" w:cs="宋体"/>
          <w:bCs/>
          <w:color w:val="000000"/>
          <w:sz w:val="30"/>
          <w:szCs w:val="30"/>
          <w:highlight w:val="none"/>
        </w:rPr>
        <w:t xml:space="preserve">采   购   人：无锡市人民</w:t>
      </w:r>
      <w:r>
        <w:rPr>
          <w:rFonts w:hint="eastAsia" w:ascii="宋体" w:hAnsi="宋体" w:eastAsia="宋体" w:cs="宋体"/>
          <w:bCs/>
          <w:color w:val="000000"/>
          <w:sz w:val="30"/>
          <w:szCs w:val="30"/>
          <w:highlight w:val="none"/>
        </w:rPr>
        <w:t xml:space="preserve">医院</w:t>
      </w:r>
      <w:r>
        <w:rPr>
          <w:rFonts w:ascii="宋体" w:hAnsi="宋体" w:eastAsia="宋体" w:cs="宋体"/>
          <w:bCs/>
          <w:color w:val="000000"/>
          <w:sz w:val="30"/>
          <w:szCs w:val="30"/>
          <w:highlight w:val="none"/>
        </w:rPr>
      </w:r>
      <w:r/>
    </w:p>
    <w:p>
      <w:pPr>
        <w:pStyle w:val="847"/>
        <w:ind w:firstLine="1500"/>
        <w:spacing w:line="360" w:lineRule="auto"/>
        <w:rPr>
          <w:rFonts w:ascii="Arial" w:hAnsi="Arial" w:eastAsia="宋体"/>
          <w:bCs/>
          <w:color w:val="000000"/>
          <w:sz w:val="30"/>
          <w:szCs w:val="30"/>
          <w:highlight w:val="none"/>
        </w:rPr>
      </w:pPr>
      <w:r>
        <w:rPr>
          <w:rFonts w:hint="eastAsia" w:ascii="Arial" w:hAnsi="Arial" w:eastAsia="宋体"/>
          <w:bCs/>
          <w:color w:val="000000"/>
          <w:sz w:val="30"/>
          <w:szCs w:val="30"/>
          <w:highlight w:val="none"/>
        </w:rPr>
        <w:t xml:space="preserve">采购代理机构：普信国际工程咨询有限公司</w:t>
      </w:r>
      <w:r>
        <w:rPr>
          <w:rFonts w:ascii="Arial" w:hAnsi="Arial" w:eastAsia="宋体"/>
          <w:bCs/>
          <w:color w:val="000000"/>
          <w:sz w:val="30"/>
          <w:szCs w:val="30"/>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0"/>
          <w:highlight w:val="none"/>
        </w:rPr>
      </w:pPr>
      <w:r>
        <w:rPr>
          <w:rFonts w:ascii="Arial" w:hAnsi="Arial"/>
          <w:bCs/>
          <w:color w:val="000000"/>
          <w:sz w:val="30"/>
          <w:highlight w:val="none"/>
        </w:rPr>
      </w:r>
      <w:r/>
    </w:p>
    <w:p>
      <w:pPr>
        <w:pStyle w:val="847"/>
        <w:spacing w:line="360" w:lineRule="auto"/>
        <w:rPr>
          <w:rFonts w:ascii="Arial" w:hAnsi="Arial"/>
          <w:bCs/>
          <w:color w:val="000000"/>
          <w:sz w:val="30"/>
          <w:highlight w:val="none"/>
        </w:rPr>
      </w:pPr>
      <w:r>
        <w:rPr>
          <w:rFonts w:ascii="Arial" w:hAnsi="Arial"/>
          <w:bCs/>
          <w:color w:val="000000"/>
          <w:sz w:val="30"/>
          <w:highlight w:val="none"/>
        </w:rPr>
      </w:r>
      <w:r/>
    </w:p>
    <w:p>
      <w:pPr>
        <w:pStyle w:val="847"/>
        <w:spacing w:line="360" w:lineRule="auto"/>
        <w:rPr>
          <w:rFonts w:ascii="Arial" w:hAnsi="Arial"/>
          <w:bCs/>
          <w:color w:val="000000"/>
          <w:sz w:val="30"/>
          <w:highlight w:val="none"/>
        </w:rPr>
      </w:pPr>
      <w:r>
        <w:rPr>
          <w:rFonts w:ascii="Arial" w:hAnsi="Arial"/>
          <w:bCs/>
          <w:color w:val="000000"/>
          <w:sz w:val="30"/>
          <w:highlight w:val="none"/>
        </w:rPr>
      </w:r>
      <w:r/>
    </w:p>
    <w:p>
      <w:pPr>
        <w:pStyle w:val="847"/>
        <w:spacing w:line="360" w:lineRule="auto"/>
        <w:rPr>
          <w:rFonts w:ascii="Arial" w:hAnsi="Arial"/>
          <w:bCs/>
          <w:color w:val="000000"/>
          <w:sz w:val="30"/>
          <w:highlight w:val="none"/>
        </w:rPr>
      </w:pPr>
      <w:r>
        <w:rPr>
          <w:rFonts w:ascii="Arial" w:hAnsi="Arial"/>
          <w:bCs/>
          <w:color w:val="000000"/>
          <w:sz w:val="30"/>
          <w:highlight w:val="none"/>
        </w:rPr>
      </w:r>
      <w:r/>
    </w:p>
    <w:p>
      <w:pPr>
        <w:pStyle w:val="847"/>
        <w:jc w:val="center"/>
        <w:spacing w:line="360" w:lineRule="auto"/>
        <w:rPr>
          <w:rFonts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四</w:t>
      </w:r>
      <w:r>
        <w:rPr>
          <w:rFonts w:hint="eastAsia" w:ascii="宋体" w:hAnsi="宋体" w:eastAsia="宋体" w:cs="宋体"/>
          <w:bCs/>
          <w:color w:val="000000"/>
          <w:sz w:val="44"/>
          <w:szCs w:val="44"/>
          <w:highlight w:val="none"/>
        </w:rPr>
        <w:t xml:space="preserve">月</w:t>
      </w:r>
      <w:r>
        <w:rPr>
          <w:rFonts w:ascii="宋体" w:hAnsi="宋体" w:eastAsia="宋体" w:cs="宋体"/>
          <w:bCs/>
          <w:color w:val="000000"/>
          <w:sz w:val="44"/>
          <w:szCs w:val="44"/>
          <w:highlight w:val="none"/>
        </w:rPr>
      </w:r>
      <w:r/>
    </w:p>
    <w:p>
      <w:pPr>
        <w:pStyle w:val="847"/>
        <w:spacing w:line="360" w:lineRule="auto"/>
        <w:rPr>
          <w:rStyle w:val="998"/>
          <w:rFonts w:ascii="Arial" w:hAnsi="Arial"/>
          <w:bCs/>
          <w:color w:val="000000"/>
          <w:sz w:val="48"/>
          <w:highlight w:val="none"/>
        </w:rPr>
      </w:pPr>
      <w:r>
        <w:rPr>
          <w:rStyle w:val="998"/>
          <w:rFonts w:ascii="Arial" w:hAnsi="Arial"/>
          <w:bCs/>
          <w:color w:val="000000"/>
          <w:sz w:val="48"/>
          <w:highlight w:val="none"/>
        </w:rPr>
      </w:r>
      <w:r/>
    </w:p>
    <w:p>
      <w:pPr>
        <w:pStyle w:val="847"/>
        <w:jc w:val="center"/>
        <w:spacing w:line="360" w:lineRule="auto"/>
        <w:rPr>
          <w:rStyle w:val="998"/>
          <w:rFonts w:ascii="Arial" w:hAnsi="Arial"/>
          <w:bCs/>
          <w:color w:val="000000"/>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Style w:val="998"/>
          <w:rFonts w:ascii="Arial" w:hAnsi="Arial"/>
          <w:bCs/>
          <w:color w:val="000000"/>
          <w:sz w:val="48"/>
          <w:highlight w:val="none"/>
          <w:u w:val="none"/>
        </w:rPr>
      </w:r>
      <w:r/>
    </w:p>
    <w:p>
      <w:pPr>
        <w:pStyle w:val="1288"/>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847"/>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eastAsia="宋体"/>
          <w:color w:val="000000"/>
          <w:sz w:val="30"/>
          <w:szCs w:val="30"/>
          <w:highlight w:val="none"/>
        </w:rPr>
        <w:t xml:space="preserve">函</w:t>
      </w:r>
      <w:r>
        <w:rPr>
          <w:rFonts w:ascii="宋体" w:hAnsi="宋体"/>
          <w:color w:val="000000"/>
          <w:sz w:val="30"/>
          <w:szCs w:val="30"/>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847"/>
        <w:numPr>
          <w:ilvl w:val="0"/>
          <w:numId w:val="8"/>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847"/>
        <w:spacing w:line="360" w:lineRule="auto"/>
        <w:rPr>
          <w:rFonts w:ascii="Arial" w:hAnsi="Arial"/>
          <w:bCs/>
          <w:color w:val="000000"/>
          <w:sz w:val="28"/>
          <w:szCs w:val="28"/>
          <w:highlight w:val="none"/>
        </w:rPr>
      </w:pPr>
      <w:r>
        <w:rPr>
          <w:rFonts w:ascii="Arial" w:hAnsi="Arial"/>
          <w:bCs/>
          <w:color w:val="000000"/>
          <w:sz w:val="28"/>
          <w:szCs w:val="28"/>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eastAsia="宋体"/>
          <w:bCs/>
          <w:color w:val="000000"/>
          <w:sz w:val="32"/>
          <w:highlight w:val="none"/>
        </w:rPr>
      </w:pPr>
      <w:r>
        <w:rPr>
          <w:rFonts w:hint="eastAsia" w:ascii="Arial" w:hAnsi="Arial" w:eastAsia="宋体"/>
          <w:bCs/>
          <w:color w:val="000000"/>
          <w:sz w:val="32"/>
          <w:highlight w:val="none"/>
        </w:rPr>
        <w:t xml:space="preserve">  </w:t>
      </w:r>
      <w:r>
        <w:rPr>
          <w:rFonts w:ascii="Arial" w:hAnsi="Arial" w:eastAsia="宋体"/>
          <w:bCs/>
          <w:color w:val="000000"/>
          <w:sz w:val="32"/>
          <w:highlight w:val="none"/>
        </w:rPr>
      </w:r>
      <w:r/>
    </w:p>
    <w:p>
      <w:pPr>
        <w:pStyle w:val="847"/>
        <w:spacing w:line="360" w:lineRule="auto"/>
        <w:rPr>
          <w:rFonts w:ascii="Arial" w:hAnsi="Arial"/>
          <w:color w:val="000000"/>
          <w:sz w:val="32"/>
          <w:szCs w:val="32"/>
          <w:highlight w:val="none"/>
        </w:rPr>
      </w:pPr>
      <w:r>
        <w:rPr>
          <w:rFonts w:ascii="Arial" w:hAnsi="Arial"/>
          <w:color w:val="000000"/>
          <w:sz w:val="32"/>
          <w:szCs w:val="32"/>
          <w:highlight w:val="none"/>
        </w:rPr>
      </w:r>
      <w:r/>
    </w:p>
    <w:p>
      <w:pPr>
        <w:pStyle w:val="847"/>
        <w:spacing w:line="360" w:lineRule="auto"/>
        <w:rPr>
          <w:rFonts w:ascii="Arial" w:hAnsi="Arial"/>
          <w:color w:val="000000"/>
          <w:sz w:val="32"/>
          <w:szCs w:val="32"/>
          <w:highlight w:val="none"/>
        </w:rPr>
      </w:pPr>
      <w:r>
        <w:rPr>
          <w:rFonts w:ascii="Arial" w:hAnsi="Arial"/>
          <w:color w:val="000000"/>
          <w:sz w:val="32"/>
          <w:szCs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973"/>
        <w:ind w:firstLine="0"/>
        <w:jc w:val="both"/>
        <w:spacing w:line="360" w:lineRule="auto"/>
        <w:rPr>
          <w:color w:val="000000"/>
          <w:highlight w:val="none"/>
        </w:rPr>
      </w:pPr>
      <w:r/>
      <w:bookmarkStart w:id="0" w:name="报价方须知前附表"/>
      <w:r/>
      <w:bookmarkEnd w:id="0"/>
      <w:r>
        <w:rPr>
          <w:color w:val="000000"/>
          <w:highlight w:val="none"/>
        </w:rPr>
      </w:r>
      <w:r/>
    </w:p>
    <w:p>
      <w:pPr>
        <w:pStyle w:val="847"/>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pStyle w:val="847"/>
        <w:rPr>
          <w:rFonts w:ascii="Arial" w:hAnsi="Arial"/>
          <w:b/>
          <w:bCs/>
          <w:color w:val="000000"/>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000000"/>
          <w:sz w:val="28"/>
          <w:szCs w:val="28"/>
          <w:highlight w:val="none"/>
        </w:rPr>
      </w:r>
      <w:r/>
    </w:p>
    <w:p>
      <w:pPr>
        <w:pStyle w:val="847"/>
        <w:rPr>
          <w:rFonts w:ascii="Arial" w:hAnsi="Arial"/>
          <w:b/>
          <w:bCs/>
          <w:color w:val="000000"/>
          <w:sz w:val="28"/>
          <w:szCs w:val="28"/>
          <w:highlight w:val="none"/>
        </w:rPr>
      </w:pPr>
      <w:r>
        <w:rPr>
          <w:rFonts w:ascii="Arial" w:hAnsi="Arial"/>
          <w:b/>
          <w:bCs/>
          <w:color w:val="000000"/>
          <w:sz w:val="28"/>
          <w:szCs w:val="28"/>
          <w:highlight w:val="none"/>
        </w:rPr>
      </w:r>
      <w:r/>
    </w:p>
    <w:p>
      <w:pPr>
        <w:pStyle w:val="847"/>
        <w:jc w:val="center"/>
        <w:spacing w:line="360" w:lineRule="auto"/>
        <w:rPr>
          <w:rFonts w:ascii="Arial" w:hAnsi="Arial"/>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rPr>
          <w:rFonts w:ascii="Arial" w:hAnsi="Arial"/>
          <w:b/>
          <w:bCs/>
          <w:color w:val="000000"/>
          <w:sz w:val="28"/>
          <w:szCs w:val="28"/>
          <w:highlight w:val="none"/>
        </w:rPr>
      </w:r>
      <w:r/>
    </w:p>
    <w:p>
      <w:pPr>
        <w:pStyle w:val="847"/>
        <w:ind w:firstLine="480"/>
        <w:spacing w:line="360" w:lineRule="auto"/>
        <w:rPr>
          <w:rFonts w:ascii="Arial" w:hAnsi="Arial"/>
          <w:bCs/>
          <w:color w:val="000000"/>
          <w:sz w:val="24"/>
          <w:szCs w:val="24"/>
          <w:highlight w:val="none"/>
        </w:rPr>
      </w:pPr>
      <w:r>
        <w:rPr>
          <w:rFonts w:hint="eastAsia" w:ascii="Arial" w:hAnsi="Arial" w:eastAsia="宋体"/>
          <w:bCs/>
          <w:color w:val="000000"/>
          <w:sz w:val="24"/>
          <w:szCs w:val="24"/>
          <w:highlight w:val="none"/>
          <w:u w:val="single"/>
        </w:rPr>
        <w:t xml:space="preserve">普信国际工程咨询有限公司</w:t>
      </w:r>
      <w:r>
        <w:rPr>
          <w:rFonts w:hint="eastAsia" w:ascii="Arial" w:hAnsi="Arial"/>
          <w:bCs/>
          <w:color w:val="000000"/>
          <w:sz w:val="24"/>
          <w:szCs w:val="24"/>
          <w:highlight w:val="none"/>
        </w:rPr>
        <w:t xml:space="preserve">受</w:t>
      </w:r>
      <w:r>
        <w:rPr>
          <w:rFonts w:hint="eastAsia" w:ascii="Arial" w:hAnsi="Arial"/>
          <w:bCs/>
          <w:color w:val="000000"/>
          <w:sz w:val="24"/>
          <w:szCs w:val="24"/>
          <w:highlight w:val="none"/>
          <w:u w:val="single"/>
        </w:rPr>
        <w:t xml:space="preserve">无锡市人民医院</w:t>
      </w:r>
      <w:r>
        <w:rPr>
          <w:rFonts w:hint="eastAsia" w:ascii="Arial" w:hAnsi="Arial"/>
          <w:bCs/>
          <w:color w:val="000000"/>
          <w:sz w:val="24"/>
          <w:szCs w:val="24"/>
          <w:highlight w:val="none"/>
        </w:rPr>
        <w:t xml:space="preserve">的委托，对</w:t>
      </w:r>
      <w:r>
        <w:rPr>
          <w:rFonts w:hint="eastAsia" w:ascii="Arial" w:hAnsi="Arial" w:eastAsia="宋体"/>
          <w:bCs/>
          <w:color w:val="000000"/>
          <w:sz w:val="24"/>
          <w:szCs w:val="24"/>
          <w:highlight w:val="none"/>
          <w:u w:val="single"/>
        </w:rPr>
        <w:t xml:space="preserve">病理临床检测项目</w:t>
      </w:r>
      <w:r>
        <w:rPr>
          <w:rFonts w:hint="eastAsia" w:ascii="Arial" w:hAnsi="Arial"/>
          <w:bCs/>
          <w:color w:val="000000"/>
          <w:sz w:val="24"/>
          <w:szCs w:val="24"/>
          <w:highlight w:val="none"/>
        </w:rPr>
        <w:t xml:space="preserve">进行公开招标采购，欢迎符合相关条件的供应商参加投标。</w:t>
      </w:r>
      <w:r>
        <w:rPr>
          <w:rFonts w:ascii="Arial" w:hAnsi="Arial"/>
          <w:bCs/>
          <w:color w:val="000000"/>
          <w:sz w:val="24"/>
          <w:szCs w:val="24"/>
          <w:highlight w:val="none"/>
        </w:rPr>
      </w:r>
      <w:r/>
    </w:p>
    <w:p>
      <w:pPr>
        <w:pStyle w:val="847"/>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ind w:firstLine="480"/>
        <w:spacing w:line="360" w:lineRule="auto"/>
        <w:rPr>
          <w:rFonts w:ascii="宋体" w:hAnsi="宋体"/>
          <w:color w:val="000000"/>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eastAsia="宋体"/>
          <w:color w:val="000000"/>
          <w:sz w:val="24"/>
          <w:szCs w:val="24"/>
          <w:highlight w:val="none"/>
          <w:u w:val="single"/>
        </w:rPr>
      </w:r>
      <w:r>
        <w:rPr>
          <w:rFonts w:hint="eastAsia" w:ascii="宋体" w:hAnsi="宋体" w:eastAsia="宋体"/>
          <w:color w:val="000000"/>
          <w:sz w:val="24"/>
          <w:szCs w:val="24"/>
          <w:highlight w:val="none"/>
          <w:u w:val="single"/>
        </w:rPr>
        <w:t xml:space="preserve">无锡市人民</w:t>
      </w:r>
      <w:r>
        <w:rPr>
          <w:rFonts w:hint="eastAsia" w:ascii="宋体" w:hAnsi="宋体" w:eastAsia="宋体"/>
          <w:color w:val="000000"/>
          <w:sz w:val="24"/>
          <w:szCs w:val="24"/>
          <w:highlight w:val="none"/>
          <w:u w:val="single"/>
        </w:rPr>
        <w:t xml:space="preserve">医院</w:t>
      </w:r>
      <w:r>
        <w:rPr>
          <w:rFonts w:hint="eastAsia" w:ascii="宋体" w:hAnsi="宋体" w:eastAsia="宋体"/>
          <w:color w:val="000000"/>
          <w:sz w:val="24"/>
          <w:szCs w:val="24"/>
          <w:highlight w:val="none"/>
          <w:u w:val="single"/>
        </w:rPr>
        <w:t xml:space="preserve">病理临床检测项目</w:t>
      </w:r>
      <w:r>
        <w:rPr>
          <w:rFonts w:hint="eastAsia" w:ascii="宋体" w:hAnsi="宋体"/>
          <w:color w:val="000000"/>
          <w:sz w:val="24"/>
          <w:szCs w:val="24"/>
          <w:highlight w:val="none"/>
        </w:rPr>
        <w:t xml:space="preserve">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27</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47"/>
        <w:ind w:firstLine="241"/>
        <w:spacing w:line="360" w:lineRule="auto"/>
        <w:rPr>
          <w:rFonts w:ascii="Arial" w:hAnsi="Arial"/>
          <w:b/>
          <w:bCs/>
          <w:color w:val="000000"/>
          <w:sz w:val="24"/>
          <w:szCs w:val="24"/>
          <w:highlight w:val="none"/>
        </w:rPr>
      </w:pPr>
      <w:r>
        <w:rPr>
          <w:rFonts w:hint="eastAsia" w:ascii="Arial" w:hAnsi="Arial"/>
          <w:b/>
          <w:bCs/>
          <w:color w:val="000000"/>
          <w:sz w:val="24"/>
          <w:szCs w:val="24"/>
          <w:highlight w:val="none"/>
        </w:rPr>
        <w:t xml:space="preserve">（一）</w:t>
      </w:r>
      <w:r>
        <w:rPr>
          <w:rFonts w:hint="eastAsia" w:ascii="Arial" w:hAnsi="Arial" w:cs="宋体"/>
          <w:b/>
          <w:color w:val="000000"/>
          <w:sz w:val="24"/>
          <w:szCs w:val="24"/>
          <w:highlight w:val="none"/>
        </w:rPr>
        <w:t xml:space="preserve">招标项目信息</w:t>
      </w:r>
      <w:r>
        <w:rPr>
          <w:rFonts w:ascii="Arial" w:hAnsi="Arial"/>
          <w:b/>
          <w:bCs/>
          <w:color w:val="000000"/>
          <w:sz w:val="24"/>
          <w:szCs w:val="24"/>
          <w:highlight w:val="none"/>
        </w:rPr>
      </w:r>
      <w:r/>
    </w:p>
    <w:p>
      <w:pPr>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1.项目名称：</w:t>
      </w:r>
      <w:r>
        <w:rPr>
          <w:rFonts w:hint="eastAsia" w:ascii="Arial" w:hAnsi="Arial" w:eastAsia="宋体" w:cs="宋体"/>
          <w:color w:val="000000"/>
          <w:sz w:val="24"/>
          <w:szCs w:val="24"/>
          <w:highlight w:val="none"/>
        </w:rPr>
        <w:t xml:space="preserve">无锡市人民</w:t>
      </w:r>
      <w:r>
        <w:rPr>
          <w:rFonts w:hint="eastAsia" w:ascii="Arial" w:hAnsi="Arial" w:eastAsia="宋体" w:cs="宋体"/>
          <w:color w:val="000000"/>
          <w:sz w:val="24"/>
          <w:szCs w:val="24"/>
          <w:highlight w:val="none"/>
        </w:rPr>
        <w:t xml:space="preserve">医院</w:t>
      </w:r>
      <w:r>
        <w:rPr>
          <w:rFonts w:hint="eastAsia" w:ascii="Arial" w:hAnsi="Arial" w:eastAsia="宋体" w:cs="宋体"/>
          <w:color w:val="000000"/>
          <w:sz w:val="24"/>
          <w:szCs w:val="24"/>
          <w:highlight w:val="none"/>
        </w:rPr>
        <w:t xml:space="preserve">病理临床检测项目</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Arial" w:hAnsi="Arial" w:cs="宋体"/>
          <w:color w:val="000000"/>
          <w:sz w:val="24"/>
          <w:szCs w:val="24"/>
          <w:highlight w:val="none"/>
        </w:rPr>
        <w:t xml:space="preserve">2.项目编号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JSZC-320200-PXGJ-G2026-0029</w:t>
      </w:r>
      <w:r>
        <w:rPr>
          <w:rFonts w:hint="eastAsia" w:ascii="宋体" w:hAnsi="宋体" w:eastAsia="宋体" w:cs="宋体"/>
          <w:color w:val="000000"/>
          <w:sz w:val="24"/>
          <w:szCs w:val="24"/>
          <w:highlight w:val="none"/>
          <w:lang w:eastAsia="zh-CN"/>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3.项目预算金额：</w:t>
      </w:r>
      <w:r>
        <w:rPr>
          <w:rFonts w:hint="eastAsia" w:ascii="宋体" w:hAnsi="宋体" w:eastAsia="宋体" w:cs="宋体"/>
          <w:color w:val="000000"/>
          <w:sz w:val="24"/>
          <w:szCs w:val="24"/>
          <w:highlight w:val="none"/>
        </w:rPr>
        <w:t xml:space="preserve">1030万元；</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eastAsia="宋体" w:cs="宋体"/>
          <w:color w:val="000000"/>
          <w:sz w:val="24"/>
          <w:szCs w:val="24"/>
          <w:highlight w:val="none"/>
        </w:rPr>
        <w:t xml:space="preserve">4</w:t>
      </w:r>
      <w:r>
        <w:rPr>
          <w:rFonts w:hint="eastAsia" w:ascii="Arial" w:hAnsi="Arial" w:cs="宋体"/>
          <w:color w:val="000000"/>
          <w:sz w:val="24"/>
          <w:szCs w:val="24"/>
          <w:highlight w:val="none"/>
        </w:rPr>
        <w:t xml:space="preserve">.采购需求：</w:t>
      </w:r>
      <w:r>
        <w:rPr>
          <w:rFonts w:hint="eastAsia" w:ascii="宋体" w:hAnsi="宋体" w:cs="宋体"/>
          <w:color w:val="000000"/>
          <w:sz w:val="24"/>
          <w:szCs w:val="24"/>
          <w:highlight w:val="none"/>
        </w:rPr>
        <w:t xml:space="preserve">详见招标文件</w:t>
      </w:r>
      <w:r>
        <w:rPr>
          <w:rFonts w:hint="eastAsia" w:ascii="宋体" w:hAnsi="宋体" w:cs="宋体"/>
          <w:b/>
          <w:bCs/>
          <w:color w:val="000000"/>
          <w:sz w:val="24"/>
          <w:szCs w:val="24"/>
          <w:highlight w:val="none"/>
        </w:rPr>
        <w:t xml:space="preserve">第四章《采购需求》</w:t>
      </w:r>
      <w:r>
        <w:rPr>
          <w:rFonts w:hint="eastAsia" w:ascii="Arial" w:hAnsi="Arial"/>
          <w:color w:val="000000"/>
          <w:sz w:val="24"/>
          <w:highlight w:val="none"/>
        </w:rPr>
        <w:t xml:space="preserve">；</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olor w:val="000000"/>
          <w:sz w:val="24"/>
          <w:szCs w:val="24"/>
          <w:highlight w:val="none"/>
          <w:lang w:val="en-US" w:eastAsia="zh-CN"/>
        </w:rPr>
      </w:pPr>
      <w:r>
        <w:rPr>
          <w:rFonts w:hint="eastAsia" w:ascii="Arial" w:hAnsi="Arial" w:eastAsia="宋体" w:cs="宋体"/>
          <w:color w:val="000000"/>
          <w:sz w:val="24"/>
          <w:szCs w:val="24"/>
          <w:highlight w:val="none"/>
        </w:rPr>
        <w:t xml:space="preserve">5</w:t>
      </w:r>
      <w:r>
        <w:rPr>
          <w:rFonts w:hint="eastAsia" w:ascii="Arial" w:hAnsi="Arial" w:cs="宋体"/>
          <w:color w:val="000000"/>
          <w:sz w:val="24"/>
          <w:szCs w:val="24"/>
          <w:highlight w:val="none"/>
        </w:rPr>
        <w:t xml:space="preserve">.</w:t>
      </w:r>
      <w:r>
        <w:rPr>
          <w:rFonts w:hint="eastAsia" w:ascii="Arial" w:hAnsi="Arial" w:eastAsia="宋体"/>
          <w:color w:val="000000"/>
          <w:sz w:val="24"/>
          <w:szCs w:val="24"/>
          <w:highlight w:val="none"/>
        </w:rPr>
        <w:t xml:space="preserve">服务期限：</w:t>
      </w:r>
      <w:r>
        <w:rPr>
          <w:rFonts w:hint="eastAsia" w:ascii="宋体" w:hAnsi="宋体" w:cs="宋体"/>
          <w:color w:val="000000"/>
          <w:sz w:val="24"/>
          <w:szCs w:val="24"/>
          <w:highlight w:val="none"/>
        </w:rPr>
        <w:t xml:space="preserve">1年；</w:t>
      </w:r>
      <w:r>
        <w:rPr>
          <w:rFonts w:hint="eastAsia" w:ascii="宋体" w:hAnsi="宋体" w:cs="宋体"/>
          <w:color w:val="000000"/>
          <w:sz w:val="24"/>
          <w:szCs w:val="24"/>
          <w:highlight w:val="none"/>
        </w:rPr>
        <w:t xml:space="preserve">服务期满或累计服务费达到预算限额，其中任意一项最先达到即为本项目完成。</w:t>
      </w:r>
      <w:r>
        <w:rPr>
          <w:rFonts w:hint="eastAsia" w:ascii="宋体" w:hAnsi="宋体" w:eastAsia="宋体" w:cs="宋体"/>
          <w:color w:val="000000"/>
          <w:sz w:val="24"/>
          <w:szCs w:val="24"/>
          <w:highlight w:val="none"/>
          <w:lang w:val="en-US" w:eastAsia="zh-CN"/>
        </w:rPr>
        <w:t xml:space="preserve">达到预算金额后采购方不再支付中标单位费用。</w:t>
      </w:r>
      <w:r>
        <w:rPr>
          <w:rFonts w:ascii="Arial" w:hAnsi="Arial" w:eastAsia="宋体"/>
          <w:color w:val="000000"/>
          <w:sz w:val="24"/>
          <w:szCs w:val="24"/>
          <w:highlight w:val="none"/>
          <w:lang w:val="en-US" w:eastAsia="zh-CN"/>
        </w:rPr>
      </w:r>
      <w:r/>
    </w:p>
    <w:p>
      <w:pPr>
        <w:pStyle w:val="847"/>
        <w:ind w:firstLine="480"/>
        <w:jc w:val="left"/>
        <w:spacing w:line="360" w:lineRule="auto"/>
        <w:shd w:val="clear" w:color="auto" w:fill="ffffff"/>
        <w:widowControl/>
        <w:rPr>
          <w:rFonts w:ascii="仿宋" w:hAnsi="仿宋" w:eastAsia="仿宋" w:cs="仿宋"/>
          <w:color w:val="000000"/>
          <w:sz w:val="18"/>
          <w:szCs w:val="18"/>
          <w:highlight w:val="none"/>
          <w:shd w:val="clear" w:color="auto" w:fill="ffffff"/>
        </w:rPr>
      </w:pPr>
      <w:r>
        <w:rPr>
          <w:rFonts w:hint="eastAsia" w:ascii="Arial" w:hAnsi="Arial" w:eastAsia="宋体" w:cs="宋体"/>
          <w:color w:val="000000"/>
          <w:sz w:val="24"/>
          <w:szCs w:val="24"/>
          <w:highlight w:val="none"/>
        </w:rPr>
        <w:t xml:space="preserve">6</w:t>
      </w:r>
      <w:r>
        <w:rPr>
          <w:rFonts w:hint="eastAsia" w:ascii="Arial" w:hAnsi="Arial" w:cs="宋体"/>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ascii="仿宋" w:hAnsi="仿宋" w:eastAsia="仿宋" w:cs="仿宋"/>
          <w:color w:val="000000"/>
          <w:sz w:val="18"/>
          <w:szCs w:val="18"/>
          <w:highlight w:val="none"/>
          <w:shd w:val="clear" w:color="auto" w:fill="ffffff"/>
        </w:rPr>
      </w:r>
      <w:r/>
    </w:p>
    <w:p>
      <w:pPr>
        <w:pStyle w:val="847"/>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Arial" w:hAnsi="Arial" w:eastAsia="宋体" w:cs="宋体"/>
          <w:color w:val="000000"/>
          <w:sz w:val="24"/>
          <w:szCs w:val="24"/>
          <w:highlight w:val="none"/>
        </w:rPr>
        <w:t xml:space="preserve">7</w:t>
      </w:r>
      <w:r>
        <w:rPr>
          <w:rFonts w:hint="eastAsia" w:ascii="Arial" w:hAnsi="Arial" w:cs="宋体"/>
          <w:color w:val="000000"/>
          <w:sz w:val="24"/>
          <w:szCs w:val="24"/>
          <w:highlight w:val="none"/>
        </w:rPr>
        <w:t xml:space="preserve">.本项目</w:t>
      </w:r>
      <w:r>
        <w:rPr>
          <w:rFonts w:hint="eastAsia" w:ascii="Arial" w:hAnsi="Arial" w:cs="宋体"/>
          <w:b/>
          <w:bCs/>
          <w:color w:val="000000"/>
          <w:sz w:val="24"/>
          <w:szCs w:val="24"/>
          <w:highlight w:val="none"/>
          <w:u w:val="single"/>
        </w:rPr>
        <w:t xml:space="preserve">不接受 </w:t>
      </w:r>
      <w:r>
        <w:rPr>
          <w:rFonts w:hint="eastAsia" w:ascii="Arial" w:hAnsi="Arial" w:cs="宋体"/>
          <w:color w:val="000000"/>
          <w:sz w:val="24"/>
          <w:szCs w:val="24"/>
          <w:highlight w:val="none"/>
        </w:rPr>
        <w:t xml:space="preserve">联合投标。</w:t>
      </w:r>
      <w:r>
        <w:rPr>
          <w:rFonts w:hint="eastAsia" w:ascii="Arial" w:hAnsi="Arial" w:cs="宋体"/>
          <w:color w:val="000000"/>
          <w:sz w:val="24"/>
          <w:szCs w:val="24"/>
          <w:highlight w:val="none"/>
        </w:rPr>
      </w:r>
      <w:r/>
    </w:p>
    <w:p>
      <w:pPr>
        <w:pStyle w:val="847"/>
        <w:ind w:firstLine="480"/>
        <w:jc w:val="left"/>
        <w:spacing w:line="360" w:lineRule="auto"/>
        <w:shd w:val="clear" w:color="auto" w:fill="ffffff"/>
        <w:widowControl/>
        <w:rPr>
          <w:rFonts w:hint="eastAsia" w:ascii="Arial" w:hAnsi="Arial" w:eastAsia="宋体" w:cs="宋体"/>
          <w:color w:val="000000"/>
          <w:sz w:val="24"/>
          <w:szCs w:val="24"/>
          <w:highlight w:val="none"/>
          <w:lang w:val="en-US" w:eastAsia="zh-CN"/>
        </w:rPr>
      </w:pPr>
      <w:r>
        <w:rPr>
          <w:rFonts w:hint="eastAsia" w:ascii="Arial" w:hAnsi="Arial" w:eastAsia="宋体" w:cs="宋体"/>
          <w:color w:val="000000"/>
          <w:sz w:val="24"/>
          <w:szCs w:val="24"/>
          <w:highlight w:val="none"/>
          <w:lang w:val="en-US" w:eastAsia="zh-CN"/>
        </w:rPr>
        <w:t xml:space="preserve">8</w:t>
      </w:r>
      <w:r>
        <w:rPr>
          <w:rFonts w:hint="eastAsia" w:ascii="Arial" w:hAnsi="Arial" w:eastAsia="宋体" w:cs="宋体"/>
          <w:color w:val="000000"/>
          <w:sz w:val="24"/>
          <w:szCs w:val="24"/>
          <w:highlight w:val="none"/>
        </w:rPr>
        <w:t xml:space="preserve">.本项目非专门面向中小微企业</w:t>
      </w:r>
      <w:r>
        <w:rPr>
          <w:rFonts w:hint="eastAsia" w:ascii="Arial" w:hAnsi="Arial" w:eastAsia="宋体" w:cs="宋体"/>
          <w:color w:val="000000"/>
          <w:sz w:val="24"/>
          <w:szCs w:val="24"/>
          <w:highlight w:val="none"/>
          <w:lang w:eastAsia="zh-CN"/>
        </w:rPr>
        <w:t xml:space="preserve">。</w:t>
      </w:r>
      <w:r>
        <w:rPr>
          <w:rFonts w:hint="eastAsia" w:ascii="Arial" w:hAnsi="Arial" w:eastAsia="宋体" w:cs="宋体"/>
          <w:color w:val="000000"/>
          <w:sz w:val="24"/>
          <w:szCs w:val="24"/>
          <w:highlight w:val="none"/>
          <w:lang w:val="en-US" w:eastAsia="zh-CN"/>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eastAsia="宋体" w:cs="宋体"/>
          <w:color w:val="000000"/>
          <w:sz w:val="24"/>
          <w:szCs w:val="24"/>
          <w:highlight w:val="none"/>
          <w:lang w:val="en-US" w:eastAsia="zh-CN"/>
        </w:rPr>
        <w:t xml:space="preserve">9</w:t>
      </w:r>
      <w:r>
        <w:rPr>
          <w:rFonts w:hint="eastAsia" w:ascii="Arial" w:hAnsi="Arial" w:eastAsia="宋体" w:cs="宋体"/>
          <w:color w:val="000000"/>
          <w:sz w:val="24"/>
          <w:szCs w:val="24"/>
          <w:highlight w:val="none"/>
        </w:rPr>
        <w:t xml:space="preserve">.本项目无需缴纳履约保证金。 </w:t>
      </w:r>
      <w:r>
        <w:rPr>
          <w:rFonts w:ascii="Arial" w:hAnsi="Arial" w:eastAsia="宋体" w:cs="宋体"/>
          <w:color w:val="000000"/>
          <w:sz w:val="24"/>
          <w:szCs w:val="24"/>
          <w:highlight w:val="none"/>
        </w:rPr>
      </w:r>
      <w:r/>
    </w:p>
    <w:p>
      <w:pPr>
        <w:pStyle w:val="847"/>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（二）投标人资格要求</w:t>
      </w:r>
      <w:r>
        <w:rPr>
          <w:rFonts w:ascii="Arial" w:hAnsi="Arial" w:cs="宋体"/>
          <w:b/>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2.1中小企业政策：无；</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查询，无被列入失信被执行人、</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847"/>
        <w:ind w:firstLine="482"/>
        <w:jc w:val="left"/>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本项目的特定资格要求：</w:t>
      </w:r>
      <w:r>
        <w:rPr>
          <w:rFonts w:ascii="宋体" w:hAnsi="宋体"/>
          <w:color w:val="000000"/>
          <w:sz w:val="24"/>
          <w:szCs w:val="24"/>
          <w:highlight w:val="none"/>
        </w:rPr>
      </w:r>
      <w:r/>
    </w:p>
    <w:p>
      <w:pPr>
        <w:pStyle w:val="847"/>
        <w:ind w:firstLine="482"/>
        <w:jc w:val="left"/>
        <w:spacing w:line="360" w:lineRule="auto"/>
        <w:shd w:val="clear" w:color="auto" w:fill="ffffff"/>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供应商具备有效期内的《医疗机构执业许可证》，所列“诊疗科目”能承担本项目的服务内容</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采购包1必须包含病理专业及肿瘤相关专业、采购包2</w:t>
      </w:r>
      <w:r>
        <w:rPr>
          <w:rFonts w:hint="eastAsia" w:ascii="宋体" w:hAnsi="宋体" w:eastAsia="宋体"/>
          <w:color w:val="000000"/>
          <w:sz w:val="24"/>
          <w:szCs w:val="24"/>
          <w:highlight w:val="none"/>
        </w:rPr>
        <w:t xml:space="preserve">须包含临床细胞分子遗传学专业</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采购包3必须包含病理专业及肾脏相关专业）</w:t>
      </w:r>
      <w:r>
        <w:rPr>
          <w:rFonts w:hint="eastAsia" w:ascii="宋体" w:hAnsi="宋体"/>
          <w:color w:val="000000"/>
          <w:sz w:val="24"/>
          <w:szCs w:val="24"/>
          <w:highlight w:val="none"/>
        </w:rPr>
        <w:t xml:space="preserve">；</w:t>
      </w:r>
      <w:r>
        <w:rPr>
          <w:rFonts w:ascii="宋体" w:hAnsi="宋体" w:eastAsia="宋体"/>
          <w:color w:val="000000"/>
          <w:sz w:val="24"/>
          <w:szCs w:val="24"/>
          <w:highlight w:val="none"/>
          <w:lang w:val="en-US" w:eastAsia="zh-CN"/>
        </w:rPr>
      </w:r>
      <w:r/>
    </w:p>
    <w:p>
      <w:pPr>
        <w:pStyle w:val="847"/>
        <w:ind w:firstLine="482"/>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供应商具有有效期内由国家（省级）卫健委</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临床检验中心颁发的临床基因扩增检验实验室的《技术验收合格证书》</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47"/>
        <w:ind w:firstLine="482"/>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供应商具有有效期内的二级及以上生物安全实验室证书或生物安全实验室备案证书；</w:t>
      </w:r>
      <w:r>
        <w:rPr>
          <w:rFonts w:hint="eastAsia" w:ascii="宋体" w:hAnsi="宋体"/>
          <w:color w:val="000000"/>
          <w:sz w:val="24"/>
          <w:szCs w:val="24"/>
          <w:highlight w:val="none"/>
        </w:rPr>
      </w:r>
      <w:r/>
    </w:p>
    <w:p>
      <w:pPr>
        <w:pStyle w:val="847"/>
        <w:ind w:firstLine="482"/>
        <w:jc w:val="left"/>
        <w:spacing w:line="360" w:lineRule="auto"/>
        <w:shd w:val="clear" w:color="auto" w:fill="ffffff"/>
        <w:widowControl/>
        <w:rPr>
          <w:rFonts w:hint="eastAsia" w:ascii="宋体" w:hAnsi="宋体"/>
          <w:color w:val="000000"/>
          <w:sz w:val="24"/>
          <w:szCs w:val="24"/>
          <w:highlight w:val="none"/>
          <w:u w:val="none"/>
        </w:rPr>
      </w:pPr>
      <w:r>
        <w:rPr>
          <w:rFonts w:hint="eastAsia" w:ascii="宋体" w:hAnsi="宋体" w:eastAsia="宋体"/>
          <w:color w:val="000000"/>
          <w:sz w:val="24"/>
          <w:szCs w:val="24"/>
          <w:highlight w:val="none"/>
          <w:u w:val="none"/>
          <w:lang w:val="en-US" w:eastAsia="zh-CN"/>
        </w:rPr>
        <w:t xml:space="preserve">4）因服务项目涉及中国公民样本信息及隐私，供应商不得为外资企业（提供承诺书，承诺书格式自拟）</w:t>
      </w:r>
      <w:r>
        <w:rPr>
          <w:rFonts w:hint="eastAsia" w:ascii="宋体" w:hAnsi="宋体"/>
          <w:color w:val="000000"/>
          <w:sz w:val="24"/>
          <w:szCs w:val="24"/>
          <w:highlight w:val="none"/>
          <w:u w:val="none"/>
        </w:rPr>
      </w:r>
      <w:r/>
    </w:p>
    <w:p>
      <w:pPr>
        <w:pStyle w:val="847"/>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（三）获取采购文件的时间期限</w:t>
      </w:r>
      <w:r>
        <w:rPr>
          <w:rFonts w:ascii="Arial" w:hAnsi="Arial" w:cs="宋体"/>
          <w:b/>
          <w:color w:val="000000"/>
          <w:sz w:val="24"/>
          <w:szCs w:val="24"/>
          <w:highlight w:val="none"/>
        </w:rPr>
      </w:r>
      <w:r/>
    </w:p>
    <w:p>
      <w:pPr>
        <w:pStyle w:val="847"/>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rPr>
          <w:rFonts w:ascii="宋体" w:hAnsi="宋体" w:cs="宋体"/>
          <w:color w:val="000000"/>
          <w:sz w:val="24"/>
          <w:szCs w:val="24"/>
          <w:highlight w:val="none"/>
        </w:rPr>
      </w:r>
      <w:r/>
    </w:p>
    <w:p>
      <w:pPr>
        <w:pStyle w:val="847"/>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ascii="宋体" w:hAnsi="宋体"/>
          <w:bCs/>
          <w:color w:val="000000"/>
          <w:sz w:val="24"/>
          <w:szCs w:val="24"/>
          <w:highlight w:val="none"/>
        </w:rPr>
      </w:r>
      <w:r/>
    </w:p>
    <w:p>
      <w:pPr>
        <w:pStyle w:val="847"/>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w:t>
      </w:r>
      <w:r>
        <w:rPr>
          <w:rFonts w:ascii="宋体" w:hAnsi="宋体" w:eastAsia="宋体" w:cs="宋体"/>
          <w:color w:val="000000"/>
          <w:sz w:val="24"/>
          <w:szCs w:val="24"/>
          <w:highlight w:val="none"/>
        </w:rPr>
        <w:t xml:space="preserve">http://jszfcg.jsczt.cn/</w:t>
      </w:r>
      <w:r>
        <w:rPr>
          <w:rFonts w:hint="eastAsia" w:ascii="宋体" w:hAnsi="宋体"/>
          <w:bCs/>
          <w:color w:val="000000"/>
          <w:sz w:val="24"/>
          <w:szCs w:val="24"/>
          <w:highlight w:val="none"/>
        </w:rPr>
        <w:t xml:space="preserve">）获取。在招标文件有效获取期限内，从“江苏省政府采购（苏采云）平台”获取的招标文件，视为依法获取的招标文件。</w:t>
      </w:r>
      <w:r>
        <w:rPr>
          <w:rFonts w:ascii="宋体" w:hAnsi="宋体"/>
          <w:bCs/>
          <w:color w:val="000000"/>
          <w:sz w:val="24"/>
          <w:szCs w:val="24"/>
          <w:highlight w:val="none"/>
        </w:rPr>
      </w:r>
      <w:r/>
    </w:p>
    <w:p>
      <w:pPr>
        <w:pStyle w:val="847"/>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47"/>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（四）提交投标文件截止时间、开标时间和地点</w:t>
      </w:r>
      <w:r>
        <w:rPr>
          <w:rFonts w:ascii="Arial" w:hAnsi="Arial" w:cs="宋体"/>
          <w:b/>
          <w:color w:val="000000"/>
          <w:sz w:val="24"/>
          <w:szCs w:val="24"/>
          <w:highlight w:val="none"/>
        </w:rPr>
      </w:r>
      <w:r/>
    </w:p>
    <w:p>
      <w:pPr>
        <w:pStyle w:val="847"/>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1.时间：</w:t>
      </w:r>
      <w:r>
        <w:rPr>
          <w:rFonts w:hint="eastAsia" w:ascii="宋体" w:hAnsi="宋体"/>
          <w:b/>
          <w:bCs/>
          <w:color w:val="000000"/>
          <w:sz w:val="24"/>
          <w:szCs w:val="24"/>
          <w:highlight w:val="none"/>
        </w:rPr>
        <w:t xml:space="preserve">202</w:t>
      </w:r>
      <w:r>
        <w:rPr>
          <w:rFonts w:hint="eastAsia" w:ascii="宋体" w:hAnsi="宋体" w:eastAsia="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年</w:t>
      </w:r>
      <w:r>
        <w:rPr>
          <w:rFonts w:hint="eastAsia" w:ascii="宋体" w:hAnsi="宋体" w:eastAsia="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月</w:t>
      </w:r>
      <w:r>
        <w:rPr>
          <w:rFonts w:hint="eastAsia" w:ascii="宋体" w:hAnsi="宋体" w:eastAsia="宋体"/>
          <w:b/>
          <w:bCs/>
          <w:color w:val="000000"/>
          <w:sz w:val="24"/>
          <w:szCs w:val="24"/>
          <w:highlight w:val="none"/>
          <w:lang w:val="en-US" w:eastAsia="zh-CN"/>
        </w:rPr>
        <w:t xml:space="preserve">27</w:t>
      </w:r>
      <w:r>
        <w:rPr>
          <w:rFonts w:hint="eastAsia" w:ascii="宋体" w:hAnsi="宋体"/>
          <w:b/>
          <w:bCs/>
          <w:color w:val="000000"/>
          <w:sz w:val="24"/>
          <w:szCs w:val="24"/>
          <w:highlight w:val="none"/>
        </w:rPr>
        <w:t xml:space="preserve">日</w:t>
      </w:r>
      <w:r>
        <w:rPr>
          <w:rFonts w:hint="eastAsia" w:ascii="宋体" w:hAnsi="宋体" w:eastAsia="宋体"/>
          <w:b/>
          <w:bCs/>
          <w:color w:val="000000"/>
          <w:sz w:val="24"/>
          <w:szCs w:val="24"/>
          <w:highlight w:val="none"/>
        </w:rPr>
        <w:t xml:space="preserve">13</w:t>
      </w:r>
      <w:r>
        <w:rPr>
          <w:rFonts w:hint="eastAsia" w:ascii="宋体" w:hAnsi="宋体"/>
          <w:b/>
          <w:bCs/>
          <w:color w:val="000000"/>
          <w:sz w:val="24"/>
          <w:szCs w:val="24"/>
          <w:highlight w:val="none"/>
        </w:rPr>
        <w:t xml:space="preserve">点</w:t>
      </w:r>
      <w:r>
        <w:rPr>
          <w:rFonts w:hint="eastAsia" w:ascii="宋体" w:hAnsi="宋体" w:eastAsia="宋体"/>
          <w:b/>
          <w:bCs/>
          <w:color w:val="000000"/>
          <w:sz w:val="24"/>
          <w:szCs w:val="24"/>
          <w:highlight w:val="none"/>
        </w:rPr>
        <w:t xml:space="preserve">3</w:t>
      </w:r>
      <w:r>
        <w:rPr>
          <w:rFonts w:hint="eastAsia" w:ascii="宋体" w:hAnsi="宋体"/>
          <w:b/>
          <w:bCs/>
          <w:color w:val="000000"/>
          <w:sz w:val="24"/>
          <w:szCs w:val="24"/>
          <w:highlight w:val="none"/>
        </w:rPr>
        <w:t xml:space="preserve">0分</w:t>
      </w:r>
      <w:r>
        <w:rPr>
          <w:rFonts w:hint="eastAsia" w:ascii="Arial" w:hAnsi="Arial"/>
          <w:bCs/>
          <w:color w:val="000000"/>
          <w:sz w:val="24"/>
          <w:szCs w:val="24"/>
          <w:highlight w:val="none"/>
        </w:rPr>
        <w:t xml:space="preserve">（北京时间），截止时间后上传的任何投标文件恕不接受。</w:t>
      </w:r>
      <w:r>
        <w:rPr>
          <w:rFonts w:ascii="Arial" w:hAnsi="Arial"/>
          <w:bCs/>
          <w:color w:val="000000"/>
          <w:sz w:val="24"/>
          <w:szCs w:val="24"/>
          <w:highlight w:val="none"/>
        </w:rPr>
      </w:r>
      <w:r/>
    </w:p>
    <w:p>
      <w:pPr>
        <w:pStyle w:val="847"/>
        <w:ind w:firstLine="480"/>
        <w:spacing w:line="360" w:lineRule="auto"/>
        <w:rPr>
          <w:rFonts w:ascii="Arial" w:hAnsi="Arial"/>
          <w:bCs/>
          <w:color w:val="000000"/>
          <w:sz w:val="24"/>
          <w:szCs w:val="24"/>
          <w:highlight w:val="none"/>
        </w:rPr>
      </w:pPr>
      <w:r>
        <w:rPr>
          <w:rFonts w:hint="eastAsia" w:ascii="Arial" w:hAnsi="Arial"/>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Arial" w:hAnsi="Arial"/>
          <w:bCs/>
          <w:color w:val="000000"/>
          <w:sz w:val="24"/>
          <w:szCs w:val="24"/>
          <w:highlight w:val="none"/>
        </w:rPr>
      </w:r>
      <w:r/>
    </w:p>
    <w:p>
      <w:pPr>
        <w:pStyle w:val="1070"/>
        <w:ind w:firstLine="452"/>
        <w:keepLines w:val="0"/>
        <w:keepNext w:val="0"/>
        <w:spacing w:before="0" w:after="0" w:line="360" w:lineRule="auto"/>
        <w:rPr>
          <w:rFonts w:ascii="Arial" w:hAnsi="Arial" w:eastAsia="Arial" w:cs="宋体"/>
          <w:bCs w:val="0"/>
          <w:color w:val="000000"/>
          <w:sz w:val="24"/>
          <w:szCs w:val="24"/>
          <w:highlight w:val="none"/>
          <w:lang w:eastAsia="zh-CN"/>
        </w:rPr>
      </w:pPr>
      <w:r>
        <w:rPr>
          <w:rFonts w:hint="eastAsia" w:ascii="Arial" w:hAnsi="Arial" w:eastAsia="Arial" w:cs="宋体"/>
          <w:bCs w:val="0"/>
          <w:color w:val="000000"/>
          <w:sz w:val="24"/>
          <w:szCs w:val="24"/>
          <w:highlight w:val="none"/>
          <w:lang w:eastAsia="zh-CN"/>
        </w:rPr>
        <w:t xml:space="preserve">（五）公告期限</w:t>
      </w:r>
      <w:r>
        <w:rPr>
          <w:rFonts w:ascii="Arial" w:hAnsi="Arial" w:eastAsia="Arial" w:cs="宋体"/>
          <w:bCs w:val="0"/>
          <w:color w:val="000000"/>
          <w:sz w:val="24"/>
          <w:szCs w:val="24"/>
          <w:highlight w:val="none"/>
          <w:lang w:eastAsia="zh-CN"/>
        </w:rPr>
      </w:r>
      <w:r/>
    </w:p>
    <w:p>
      <w:pPr>
        <w:pStyle w:val="84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47"/>
        <w:ind w:firstLine="48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84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47"/>
        <w:ind w:firstLine="482"/>
        <w:spacing w:line="360" w:lineRule="auto"/>
        <w:rPr>
          <w:rFonts w:ascii="Arial" w:hAnsi="Arial"/>
          <w:b/>
          <w:bCs/>
          <w:color w:val="000000"/>
          <w:sz w:val="24"/>
          <w:szCs w:val="24"/>
          <w:highlight w:val="none"/>
        </w:rPr>
      </w:pPr>
      <w:r>
        <w:rPr>
          <w:rFonts w:hint="eastAsia" w:ascii="Arial" w:hAnsi="Arial" w:cs="宋体"/>
          <w:b/>
          <w:color w:val="000000"/>
          <w:sz w:val="24"/>
          <w:szCs w:val="24"/>
          <w:highlight w:val="none"/>
        </w:rPr>
        <w:t xml:space="preserve">（七）</w:t>
      </w:r>
      <w:r>
        <w:rPr>
          <w:rFonts w:hint="eastAsia" w:ascii="Arial" w:hAnsi="Arial"/>
          <w:b/>
          <w:bCs/>
          <w:color w:val="000000"/>
          <w:sz w:val="24"/>
          <w:szCs w:val="24"/>
          <w:highlight w:val="none"/>
        </w:rPr>
        <w:t xml:space="preserve">本次招标联系方式</w:t>
      </w:r>
      <w:r>
        <w:rPr>
          <w:rFonts w:ascii="Arial" w:hAnsi="Arial"/>
          <w:b/>
          <w:bCs/>
          <w:color w:val="000000"/>
          <w:sz w:val="24"/>
          <w:szCs w:val="24"/>
          <w:highlight w:val="none"/>
        </w:rPr>
      </w:r>
      <w:r/>
    </w:p>
    <w:p>
      <w:pPr>
        <w:pStyle w:val="847"/>
        <w:ind w:firstLine="480"/>
        <w:spacing w:line="360" w:lineRule="auto"/>
        <w:rPr>
          <w:rFonts w:ascii="Arial" w:hAnsi="Arial" w:cs="宋体"/>
          <w:color w:val="000000"/>
          <w:sz w:val="24"/>
          <w:szCs w:val="24"/>
          <w:highlight w:val="none"/>
        </w:rPr>
      </w:pPr>
      <w:r>
        <w:rPr>
          <w:rFonts w:hint="eastAsia" w:ascii="Arial" w:hAnsi="Arial" w:cs="宋体"/>
          <w:color w:val="000000"/>
          <w:sz w:val="24"/>
          <w:szCs w:val="24"/>
          <w:highlight w:val="none"/>
        </w:rPr>
        <w:t xml:space="preserve">1.</w:t>
      </w:r>
      <w:r>
        <w:rPr>
          <w:rFonts w:hint="eastAsia" w:ascii="Arial" w:hAnsi="Arial" w:eastAsia="宋体" w:cs="宋体"/>
          <w:color w:val="000000"/>
          <w:sz w:val="24"/>
          <w:szCs w:val="24"/>
          <w:highlight w:val="none"/>
        </w:rPr>
        <w:t xml:space="preserve">采购代理机构</w:t>
      </w:r>
      <w:r>
        <w:rPr>
          <w:rFonts w:hint="eastAsia" w:ascii="Arial" w:hAnsi="Arial" w:cs="宋体"/>
          <w:color w:val="000000"/>
          <w:sz w:val="24"/>
          <w:szCs w:val="24"/>
          <w:highlight w:val="none"/>
        </w:rPr>
        <w:t xml:space="preserve">：</w:t>
      </w:r>
      <w:r>
        <w:rPr>
          <w:rFonts w:ascii="Arial" w:hAnsi="Arial" w:cs="宋体"/>
          <w:color w:val="000000"/>
          <w:sz w:val="24"/>
          <w:szCs w:val="24"/>
          <w:highlight w:val="none"/>
        </w:rPr>
      </w:r>
      <w:r/>
    </w:p>
    <w:p>
      <w:pPr>
        <w:pStyle w:val="847"/>
        <w:ind w:firstLine="480"/>
        <w:spacing w:line="360" w:lineRule="auto"/>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普信国际工程咨询有限公司</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项目联系人</w:t>
      </w:r>
      <w:r>
        <w:rPr>
          <w:rFonts w:hint="eastAsia" w:ascii="Arial" w:hAnsi="Arial" w:eastAsia="宋体" w:cs="宋体"/>
          <w:color w:val="000000"/>
          <w:sz w:val="24"/>
          <w:szCs w:val="24"/>
          <w:highlight w:val="none"/>
        </w:rPr>
        <w:t xml:space="preserve">：</w:t>
      </w:r>
      <w:r>
        <w:rPr>
          <w:rFonts w:hint="eastAsia" w:ascii="宋体" w:hAnsi="宋体" w:eastAsia="宋体" w:cs="宋体"/>
          <w:color w:val="000000"/>
          <w:sz w:val="24"/>
          <w:highlight w:val="none"/>
        </w:rPr>
        <w:t xml:space="preserve">施晓旻（项目负责人）、张玲玲</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电话：</w:t>
      </w:r>
      <w:r>
        <w:rPr>
          <w:rFonts w:hint="eastAsia" w:ascii="宋体" w:hAnsi="宋体" w:eastAsia="宋体" w:cs="宋体"/>
          <w:color w:val="000000"/>
          <w:sz w:val="24"/>
          <w:highlight w:val="none"/>
        </w:rPr>
        <w:t xml:space="preserve">13914269285、15651504035</w:t>
      </w:r>
      <w:r>
        <w:rPr>
          <w:rFonts w:hint="eastAsia" w:ascii="宋体" w:hAnsi="宋体" w:eastAsia="宋体" w:cs="宋体"/>
          <w:bCs/>
          <w:color w:val="000000"/>
          <w:sz w:val="24"/>
          <w:highlight w:val="none"/>
        </w:rPr>
        <w:t xml:space="preserve">  </w:t>
      </w:r>
      <w:r>
        <w:rPr>
          <w:rFonts w:hint="eastAsia" w:ascii="Arial" w:hAnsi="Arial" w:cs="宋体"/>
          <w:color w:val="000000"/>
          <w:sz w:val="24"/>
          <w:szCs w:val="24"/>
          <w:highlight w:val="none"/>
        </w:rPr>
        <w:t xml:space="preserve">             </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地址</w:t>
      </w:r>
      <w:r>
        <w:rPr>
          <w:rFonts w:hint="eastAsia" w:ascii="Arial" w:hAnsi="Arial" w:eastAsia="宋体" w:cs="宋体"/>
          <w:color w:val="000000"/>
          <w:sz w:val="24"/>
          <w:szCs w:val="24"/>
          <w:highlight w:val="none"/>
        </w:rPr>
        <w:t xml:space="preserve">：</w:t>
      </w:r>
      <w:r>
        <w:rPr>
          <w:rFonts w:hint="eastAsia" w:ascii="Arial" w:hAnsi="Arial" w:cs="宋体"/>
          <w:color w:val="000000"/>
          <w:sz w:val="24"/>
          <w:szCs w:val="24"/>
          <w:highlight w:val="none"/>
        </w:rPr>
        <w:t xml:space="preserve">无锡市蠡湖大道2018号普信COPO 2号楼2楼213</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邮箱：</w:t>
      </w:r>
      <w:r>
        <w:rPr>
          <w:rFonts w:hint="eastAsia" w:ascii="Arial" w:hAnsi="Arial" w:eastAsia="宋体" w:cs="宋体"/>
          <w:color w:val="000000"/>
          <w:sz w:val="24"/>
          <w:szCs w:val="24"/>
          <w:highlight w:val="none"/>
        </w:rPr>
        <w:t xml:space="preserve">wxpx2b@163.com</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ascii="Arial" w:hAnsi="Arial" w:cs="宋体"/>
          <w:color w:val="000000"/>
          <w:sz w:val="24"/>
          <w:szCs w:val="24"/>
          <w:highlight w:val="none"/>
        </w:rPr>
      </w:pPr>
      <w:r>
        <w:rPr>
          <w:rFonts w:hint="eastAsia" w:ascii="Arial" w:hAnsi="Arial" w:cs="宋体"/>
          <w:color w:val="000000"/>
          <w:sz w:val="24"/>
          <w:szCs w:val="24"/>
          <w:highlight w:val="none"/>
        </w:rPr>
        <w:t xml:space="preserve">2.采购人：</w:t>
      </w:r>
      <w:r>
        <w:rPr>
          <w:rFonts w:ascii="Arial" w:hAnsi="Arial"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名称：</w:t>
      </w:r>
      <w:r>
        <w:rPr>
          <w:rFonts w:hint="eastAsia" w:ascii="Arial" w:hAnsi="Arial" w:eastAsia="宋体" w:cs="宋体"/>
          <w:color w:val="000000"/>
          <w:sz w:val="24"/>
          <w:szCs w:val="24"/>
          <w:highlight w:val="none"/>
        </w:rPr>
        <w:t xml:space="preserve">无锡市人民医院</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联系人：倪老师</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联系电话：0510-85351831</w:t>
      </w:r>
      <w:r>
        <w:rPr>
          <w:rFonts w:ascii="Arial" w:hAnsi="Arial" w:eastAsia="宋体" w:cs="宋体"/>
          <w:color w:val="000000"/>
          <w:sz w:val="24"/>
          <w:szCs w:val="24"/>
          <w:highlight w:val="none"/>
        </w:rPr>
      </w:r>
      <w:r/>
    </w:p>
    <w:p>
      <w:pPr>
        <w:pStyle w:val="847"/>
        <w:ind w:firstLine="480"/>
        <w:jc w:val="left"/>
        <w:spacing w:line="360" w:lineRule="auto"/>
        <w:shd w:val="clear" w:color="auto" w:fill="ffffff"/>
        <w:widowControl/>
        <w:rPr>
          <w:rFonts w:ascii="Arial" w:hAnsi="Arial" w:eastAsia="宋体" w:cs="宋体"/>
          <w:color w:val="000000"/>
          <w:sz w:val="24"/>
          <w:szCs w:val="24"/>
          <w:highlight w:val="none"/>
        </w:rPr>
      </w:pPr>
      <w:r>
        <w:rPr>
          <w:rFonts w:hint="eastAsia" w:ascii="Arial" w:hAnsi="Arial" w:cs="宋体"/>
          <w:color w:val="000000"/>
          <w:sz w:val="24"/>
          <w:szCs w:val="24"/>
          <w:highlight w:val="none"/>
        </w:rPr>
        <w:t xml:space="preserve">联系地址</w:t>
      </w:r>
      <w:r>
        <w:rPr>
          <w:rFonts w:hint="eastAsia" w:ascii="Arial" w:hAnsi="Arial" w:eastAsia="宋体" w:cs="宋体"/>
          <w:color w:val="000000"/>
          <w:sz w:val="24"/>
          <w:szCs w:val="24"/>
          <w:highlight w:val="none"/>
        </w:rPr>
        <w:t xml:space="preserve">：无锡市梁溪区清扬路</w:t>
      </w:r>
      <w:r>
        <w:rPr>
          <w:rFonts w:ascii="Arial" w:hAnsi="Arial" w:eastAsia="宋体" w:cs="宋体"/>
          <w:color w:val="000000"/>
          <w:sz w:val="24"/>
          <w:szCs w:val="24"/>
          <w:highlight w:val="none"/>
        </w:rPr>
        <w:t xml:space="preserve">299</w:t>
      </w:r>
      <w:r>
        <w:rPr>
          <w:rFonts w:hint="eastAsia" w:ascii="Arial" w:hAnsi="Arial" w:eastAsia="宋体" w:cs="宋体"/>
          <w:color w:val="000000"/>
          <w:sz w:val="24"/>
          <w:szCs w:val="24"/>
          <w:highlight w:val="none"/>
        </w:rPr>
        <w:t xml:space="preserve">号</w:t>
      </w:r>
      <w:r>
        <w:rPr>
          <w:rFonts w:ascii="Arial" w:hAnsi="Arial" w:eastAsia="宋体" w:cs="宋体"/>
          <w:color w:val="000000"/>
          <w:sz w:val="24"/>
          <w:szCs w:val="24"/>
          <w:highlight w:val="none"/>
        </w:rPr>
      </w:r>
      <w:r/>
    </w:p>
    <w:p>
      <w:pPr>
        <w:pStyle w:val="847"/>
        <w:ind w:firstLine="482"/>
        <w:jc w:val="left"/>
        <w:spacing w:line="360" w:lineRule="auto"/>
        <w:shd w:val="clear" w:color="auto" w:fill="ffffff"/>
        <w:widowControl/>
        <w:rPr>
          <w:rFonts w:ascii="Arial" w:hAnsi="Arial" w:cs="宋体"/>
          <w:b/>
          <w:color w:val="000000"/>
          <w:sz w:val="24"/>
          <w:szCs w:val="24"/>
          <w:highlight w:val="none"/>
        </w:rPr>
      </w:pPr>
      <w:r>
        <w:rPr>
          <w:rFonts w:hint="eastAsia" w:ascii="Arial" w:hAnsi="Arial" w:cs="宋体"/>
          <w:b/>
          <w:color w:val="000000"/>
          <w:sz w:val="24"/>
          <w:szCs w:val="24"/>
          <w:highlight w:val="none"/>
        </w:rPr>
        <w:t xml:space="preserve">（八）其他</w:t>
      </w:r>
      <w:r>
        <w:rPr>
          <w:rFonts w:ascii="Arial" w:hAnsi="Arial" w:cs="宋体"/>
          <w:b/>
          <w:color w:val="000000"/>
          <w:sz w:val="24"/>
          <w:szCs w:val="24"/>
          <w:highlight w:val="none"/>
        </w:rPr>
      </w:r>
      <w:r/>
    </w:p>
    <w:p>
      <w:pPr>
        <w:pStyle w:val="847"/>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eastAsia="宋体"/>
          <w:bCs/>
          <w:color w:val="000000"/>
          <w:sz w:val="24"/>
          <w:szCs w:val="24"/>
          <w:highlight w:val="none"/>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847"/>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847"/>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847"/>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rPr>
          <w:rFonts w:ascii="宋体" w:hAnsi="宋体"/>
          <w:bCs/>
          <w:color w:val="000000"/>
          <w:sz w:val="24"/>
          <w:szCs w:val="24"/>
          <w:highlight w:val="none"/>
        </w:rPr>
      </w:r>
      <w:r/>
    </w:p>
    <w:p>
      <w:pPr>
        <w:pStyle w:val="847"/>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847"/>
        <w:ind w:firstLine="480"/>
        <w:jc w:val="left"/>
        <w:spacing w:line="360" w:lineRule="auto"/>
        <w:shd w:val="clear" w:color="auto" w:fill="ffffff"/>
        <w:widowControl/>
        <w:rPr>
          <w:rFonts w:ascii="Arial" w:hAnsi="Arial" w:cs="宋体"/>
          <w:bCs/>
          <w:color w:val="000000"/>
          <w:sz w:val="24"/>
          <w:szCs w:val="24"/>
          <w:highlight w:val="none"/>
        </w:rPr>
      </w:pPr>
      <w:r>
        <w:rPr>
          <w:rFonts w:hint="eastAsia" w:ascii="Arial" w:hAnsi="Arial" w:cs="宋体"/>
          <w:bCs/>
          <w:color w:val="000000"/>
          <w:sz w:val="24"/>
          <w:szCs w:val="24"/>
          <w:highlight w:val="none"/>
        </w:rPr>
        <w:t xml:space="preserve">（五）其他事项</w:t>
      </w:r>
      <w:r>
        <w:rPr>
          <w:rFonts w:ascii="Arial" w:hAnsi="Arial" w:cs="宋体"/>
          <w:bCs/>
          <w:color w:val="000000"/>
          <w:sz w:val="24"/>
          <w:szCs w:val="24"/>
          <w:highlight w:val="none"/>
        </w:rPr>
      </w:r>
      <w:r/>
    </w:p>
    <w:p>
      <w:pPr>
        <w:pStyle w:val="847"/>
        <w:ind w:firstLine="720"/>
        <w:spacing w:line="360" w:lineRule="auto"/>
        <w:rPr>
          <w:rFonts w:ascii="Arial" w:hAnsi="Arial" w:eastAsia="宋体"/>
          <w:color w:val="000000"/>
          <w:sz w:val="24"/>
          <w:szCs w:val="24"/>
          <w:highlight w:val="none"/>
        </w:rPr>
      </w:pPr>
      <w:r>
        <w:rPr>
          <w:rFonts w:hint="eastAsia" w:ascii="Arial" w:hAnsi="Arial"/>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rPr>
        <w:t xml:space="preserve">。</w:t>
      </w:r>
      <w:r>
        <w:rPr>
          <w:rFonts w:ascii="Arial" w:hAnsi="Arial" w:eastAsia="宋体"/>
          <w:color w:val="000000"/>
          <w:sz w:val="24"/>
          <w:szCs w:val="24"/>
          <w:highlight w:val="none"/>
        </w:rPr>
      </w:r>
      <w:r/>
    </w:p>
    <w:p>
      <w:pPr>
        <w:pStyle w:val="847"/>
        <w:ind w:firstLine="720"/>
        <w:spacing w:line="360" w:lineRule="auto"/>
        <w:rPr>
          <w:rFonts w:ascii="Arial" w:hAnsi="Arial" w:eastAsia="宋体"/>
          <w:color w:val="000000"/>
          <w:sz w:val="24"/>
          <w:szCs w:val="24"/>
          <w:highlight w:val="none"/>
          <w:lang w:val="en-US" w:eastAsia="zh-CN"/>
        </w:rPr>
      </w:pPr>
      <w:r>
        <w:rPr>
          <w:rFonts w:hint="eastAsia" w:ascii="Arial" w:hAnsi="Arial" w:eastAsia="宋体"/>
          <w:color w:val="000000"/>
          <w:sz w:val="24"/>
          <w:szCs w:val="24"/>
          <w:highlight w:val="none"/>
        </w:rPr>
        <w:t xml:space="preserve">2）</w:t>
      </w:r>
      <w:r>
        <w:rPr>
          <w:rFonts w:hint="eastAsia" w:ascii="Arial" w:hAnsi="Arial"/>
          <w:color w:val="000000"/>
          <w:sz w:val="24"/>
          <w:szCs w:val="24"/>
          <w:highlight w:val="none"/>
        </w:rPr>
        <w:t xml:space="preserve">纸质投标文件：本项目为不见面开标，</w:t>
      </w:r>
      <w:r>
        <w:rPr>
          <w:rFonts w:hint="eastAsia" w:ascii="Arial" w:hAnsi="Arial" w:eastAsia="宋体"/>
          <w:color w:val="000000"/>
          <w:sz w:val="24"/>
          <w:szCs w:val="24"/>
          <w:highlight w:val="none"/>
        </w:rPr>
        <w:t xml:space="preserve">投标</w:t>
      </w:r>
      <w:r>
        <w:rPr>
          <w:rFonts w:hint="eastAsia" w:ascii="Arial" w:hAnsi="Arial"/>
          <w:color w:val="000000"/>
          <w:sz w:val="24"/>
          <w:szCs w:val="24"/>
          <w:highlight w:val="none"/>
        </w:rPr>
        <w:t xml:space="preserve">人无需递交纸质投标文件至现场，</w:t>
      </w:r>
      <w:r>
        <w:rPr>
          <w:rFonts w:hint="eastAsia" w:ascii="Arial" w:hAnsi="Arial"/>
          <w:b/>
          <w:color w:val="000000"/>
          <w:sz w:val="24"/>
          <w:szCs w:val="24"/>
          <w:highlight w:val="none"/>
        </w:rPr>
        <w:t xml:space="preserve">中标后中标供应商向</w:t>
      </w:r>
      <w:r>
        <w:rPr>
          <w:rFonts w:hint="eastAsia" w:ascii="Arial" w:hAnsi="Arial" w:eastAsia="宋体"/>
          <w:b/>
          <w:color w:val="000000"/>
          <w:sz w:val="24"/>
          <w:szCs w:val="24"/>
          <w:highlight w:val="none"/>
        </w:rPr>
        <w:t xml:space="preserve">采购代理机构</w:t>
      </w:r>
      <w:r>
        <w:rPr>
          <w:rFonts w:hint="eastAsia" w:ascii="Arial" w:hAnsi="Arial"/>
          <w:b/>
          <w:color w:val="000000"/>
          <w:sz w:val="24"/>
          <w:szCs w:val="24"/>
          <w:highlight w:val="none"/>
        </w:rPr>
        <w:t xml:space="preserve">提供与电子投标文件完全一致的纸质投标文件（2份：一正、一副）。</w:t>
      </w:r>
      <w:r>
        <w:rPr>
          <w:rFonts w:hint="eastAsia" w:ascii="Arial" w:hAnsi="Arial" w:eastAsia="宋体"/>
          <w:b/>
          <w:color w:val="000000"/>
          <w:sz w:val="24"/>
          <w:szCs w:val="24"/>
          <w:highlight w:val="none"/>
          <w:lang w:val="en-US" w:eastAsia="zh-CN"/>
        </w:rPr>
        <w:t xml:space="preserve">若最终纸质投标文件与电子投标文件不一致，以系统中提交的电子投标文件为准。</w:t>
      </w:r>
      <w:r>
        <w:rPr>
          <w:rFonts w:ascii="Arial" w:hAnsi="Arial" w:eastAsia="宋体"/>
          <w:color w:val="000000"/>
          <w:sz w:val="24"/>
          <w:szCs w:val="24"/>
          <w:highlight w:val="none"/>
          <w:lang w:val="en-US" w:eastAsia="zh-CN"/>
        </w:rPr>
      </w:r>
      <w:r/>
    </w:p>
    <w:p>
      <w:pPr>
        <w:pStyle w:val="847"/>
        <w:ind w:firstLine="720"/>
        <w:spacing w:line="360" w:lineRule="auto"/>
        <w:rPr>
          <w:rFonts w:ascii="Arial" w:hAnsi="Arial"/>
          <w:color w:val="000000"/>
          <w:sz w:val="24"/>
          <w:szCs w:val="24"/>
          <w:highlight w:val="none"/>
        </w:rPr>
      </w:pPr>
      <w:r>
        <w:rPr>
          <w:rFonts w:hint="eastAsia" w:ascii="Arial" w:hAnsi="Arial" w:eastAsia="宋体"/>
          <w:color w:val="000000"/>
          <w:sz w:val="24"/>
          <w:szCs w:val="24"/>
          <w:highlight w:val="none"/>
        </w:rPr>
        <w:t xml:space="preserve">3</w:t>
      </w:r>
      <w:r>
        <w:rPr>
          <w:rFonts w:hint="eastAsia" w:ascii="Arial" w:hAnsi="Arial"/>
          <w:color w:val="000000"/>
          <w:sz w:val="24"/>
          <w:szCs w:val="24"/>
          <w:highlight w:val="none"/>
        </w:rPr>
        <w:t xml:space="preserve">）供应商请仔细阅读供应商注册流程和招标文件中关于电子开评标等相关事项，如有问题可发送邮件或电话咨询。</w:t>
      </w:r>
      <w:bookmarkStart w:id="1" w:name="_Toc120614211"/>
      <w:r>
        <w:rPr>
          <w:rFonts w:ascii="Arial" w:hAnsi="Arial"/>
          <w:color w:val="000000"/>
          <w:sz w:val="24"/>
          <w:szCs w:val="24"/>
          <w:highlight w:val="none"/>
        </w:rPr>
      </w:r>
      <w:r/>
    </w:p>
    <w:p>
      <w:pPr>
        <w:pStyle w:val="847"/>
        <w:ind w:firstLine="720"/>
        <w:spacing w:line="360" w:lineRule="auto"/>
        <w:rPr>
          <w:rFonts w:ascii="宋体" w:hAnsi="宋体" w:eastAsia="宋体" w:cs="宋体"/>
          <w:color w:val="000000"/>
          <w:sz w:val="24"/>
          <w:szCs w:val="24"/>
          <w:highlight w:val="none"/>
        </w:rPr>
      </w:pPr>
      <w:r>
        <w:rPr>
          <w:rFonts w:hint="eastAsia" w:ascii="Arial" w:hAnsi="Arial" w:eastAsia="宋体"/>
          <w:color w:val="000000"/>
          <w:sz w:val="24"/>
          <w:szCs w:val="24"/>
          <w:highlight w:val="none"/>
        </w:rPr>
        <w:t xml:space="preserve">4）</w:t>
      </w:r>
      <w:r>
        <w:rPr>
          <w:rFonts w:hint="eastAsia" w:ascii="宋体" w:hAnsi="宋体" w:eastAsia="宋体" w:cs="宋体"/>
          <w:color w:val="000000"/>
          <w:sz w:val="24"/>
          <w:szCs w:val="24"/>
          <w:highlight w:val="none"/>
        </w:rPr>
        <w:t xml:space="preserve">本招标文件中涉及的盖章部分均可使用CA签章。</w:t>
      </w:r>
      <w:r>
        <w:rPr>
          <w:rFonts w:ascii="宋体" w:hAnsi="宋体" w:eastAsia="宋体" w:cs="宋体"/>
          <w:color w:val="000000"/>
          <w:sz w:val="24"/>
          <w:szCs w:val="24"/>
          <w:highlight w:val="none"/>
        </w:rPr>
      </w:r>
      <w:r/>
    </w:p>
    <w:p>
      <w:pPr>
        <w:pStyle w:val="847"/>
        <w:ind w:firstLine="720"/>
        <w:spacing w:line="360" w:lineRule="auto"/>
        <w:rPr>
          <w:rFonts w:ascii="Arial" w:hAnsi="Arial" w:eastAsia="宋体"/>
          <w:color w:val="000000"/>
          <w:sz w:val="24"/>
          <w:szCs w:val="24"/>
          <w:highlight w:val="none"/>
        </w:rPr>
      </w:pPr>
      <w:r>
        <w:rPr>
          <w:rFonts w:ascii="Arial" w:hAnsi="Arial" w:eastAsia="宋体"/>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ind w:firstLine="720"/>
        <w:spacing w:line="360" w:lineRule="auto"/>
        <w:rPr>
          <w:rFonts w:ascii="Arial" w:hAnsi="Arial"/>
          <w:color w:val="000000"/>
          <w:sz w:val="24"/>
          <w:szCs w:val="24"/>
          <w:highlight w:val="none"/>
        </w:rPr>
      </w:pPr>
      <w:r>
        <w:rPr>
          <w:rFonts w:ascii="Arial" w:hAnsi="Arial"/>
          <w:color w:val="000000"/>
          <w:sz w:val="24"/>
          <w:szCs w:val="24"/>
          <w:highlight w:val="none"/>
        </w:rPr>
      </w:r>
      <w:r/>
    </w:p>
    <w:p>
      <w:pPr>
        <w:pStyle w:val="847"/>
        <w:jc w:val="center"/>
        <w:spacing w:line="360" w:lineRule="auto"/>
        <w:widowControl/>
        <w:rPr>
          <w:color w:val="000000"/>
          <w:highlight w:val="none"/>
        </w:rPr>
      </w:pPr>
      <w:r>
        <w:rPr>
          <w:color w:val="000000"/>
          <w:highlight w:val="none"/>
        </w:rPr>
      </w:r>
      <w:r/>
    </w:p>
    <w:p>
      <w:pPr>
        <w:pStyle w:val="847"/>
        <w:rPr>
          <w:rFonts w:ascii="黑体" w:hAnsi="黑体" w:eastAsia="黑体"/>
          <w:color w:val="000000"/>
          <w:sz w:val="36"/>
          <w:szCs w:val="36"/>
          <w:highlight w:val="none"/>
        </w:rPr>
      </w:pPr>
      <w:r>
        <w:rPr>
          <w:rFonts w:hint="eastAsia" w:ascii="黑体" w:hAnsi="黑体" w:eastAsia="黑体"/>
          <w:color w:val="000000"/>
          <w:sz w:val="36"/>
          <w:szCs w:val="36"/>
          <w:highlight w:val="none"/>
        </w:rPr>
        <w:br w:type="page" w:clear="all"/>
      </w:r>
      <w:r>
        <w:rPr>
          <w:rFonts w:ascii="黑体" w:hAnsi="黑体" w:eastAsia="黑体"/>
          <w:color w:val="000000"/>
          <w:sz w:val="36"/>
          <w:szCs w:val="36"/>
          <w:highlight w:val="none"/>
        </w:rPr>
      </w:r>
      <w:r/>
    </w:p>
    <w:p>
      <w:pPr>
        <w:pStyle w:val="847"/>
        <w:jc w:val="center"/>
        <w:spacing w:line="360" w:lineRule="auto"/>
        <w:widowControl/>
        <w:rPr>
          <w:color w:val="000000"/>
          <w:highlight w:val="none"/>
        </w:rPr>
      </w:pPr>
      <w:r>
        <w:rPr>
          <w:rFonts w:hint="eastAsia" w:ascii="黑体" w:hAnsi="黑体" w:eastAsia="黑体"/>
          <w:color w:val="000000"/>
          <w:sz w:val="36"/>
          <w:szCs w:val="36"/>
          <w:highlight w:val="none"/>
        </w:rPr>
        <w:t xml:space="preserve">第二章  </w:t>
      </w:r>
      <w:bookmarkEnd w:id="1"/>
      <w:r/>
      <w:bookmarkStart w:id="2" w:name="_Toc16938518"/>
      <w:r/>
      <w:bookmarkStart w:id="3" w:name="_Toc513029202"/>
      <w:r/>
      <w:bookmarkStart w:id="4" w:name="_Toc20823274"/>
      <w:r/>
      <w:bookmarkStart w:id="5" w:name="_Toc120614213"/>
      <w:r>
        <w:rPr>
          <w:rFonts w:hint="eastAsia" w:ascii="黑体" w:hAnsi="黑体" w:eastAsia="黑体"/>
          <w:color w:val="000000"/>
          <w:sz w:val="36"/>
          <w:szCs w:val="36"/>
          <w:highlight w:val="none"/>
        </w:rPr>
        <w:t xml:space="preserve">投标人须知</w:t>
      </w:r>
      <w:bookmarkEnd w:id="2"/>
      <w:r/>
      <w:bookmarkEnd w:id="3"/>
      <w:r/>
      <w:bookmarkEnd w:id="4"/>
      <w:r/>
      <w:bookmarkEnd w:id="5"/>
      <w:r>
        <w:rPr>
          <w:color w:val="000000"/>
          <w:highlight w:val="none"/>
        </w:rPr>
      </w:r>
      <w:r/>
    </w:p>
    <w:p>
      <w:pPr>
        <w:pStyle w:val="1070"/>
        <w:ind w:firstLine="452"/>
        <w:keepLines w:val="0"/>
        <w:keepNext w:val="0"/>
        <w:spacing w:before="0" w:after="0" w:line="360" w:lineRule="auto"/>
        <w:rPr>
          <w:color w:val="000000"/>
          <w:sz w:val="30"/>
          <w:szCs w:val="30"/>
          <w:highlight w:val="none"/>
          <w:lang w:eastAsia="zh-CN"/>
        </w:rPr>
      </w:pPr>
      <w:r/>
      <w:bookmarkStart w:id="6" w:name="_Toc513029203"/>
      <w:r/>
      <w:bookmarkStart w:id="7" w:name="_Toc20823275"/>
      <w:r/>
      <w:bookmarkStart w:id="8" w:name="_Toc120614214"/>
      <w:r/>
      <w:bookmarkStart w:id="9" w:name="_Toc16938519"/>
      <w:r>
        <w:rPr>
          <w:rFonts w:hint="eastAsia"/>
          <w:color w:val="000000"/>
          <w:sz w:val="30"/>
          <w:szCs w:val="30"/>
          <w:highlight w:val="none"/>
          <w:lang w:eastAsia="zh-CN"/>
        </w:rPr>
        <w:t xml:space="preserve">一、总则</w:t>
      </w:r>
      <w:bookmarkEnd w:id="6"/>
      <w:r/>
      <w:bookmarkEnd w:id="7"/>
      <w:r/>
      <w:bookmarkEnd w:id="8"/>
      <w:r/>
      <w:bookmarkEnd w:id="9"/>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16938520"/>
      <w:r/>
      <w:bookmarkStart w:id="12" w:name="_Toc20823276"/>
      <w:r/>
      <w:bookmarkStart w:id="13" w:name="_Toc513029204"/>
      <w:r>
        <w:rPr>
          <w:rFonts w:hint="eastAsia" w:ascii="宋体" w:hAnsi="宋体" w:eastAsia="宋体"/>
          <w:bCs w:val="0"/>
          <w:color w:val="000000"/>
          <w:highlight w:val="none"/>
          <w:lang w:eastAsia="zh-CN"/>
        </w:rPr>
        <w:t xml:space="preserve">1.招标方式</w:t>
      </w:r>
      <w:bookmarkEnd w:id="11"/>
      <w:r/>
      <w:bookmarkEnd w:id="12"/>
      <w:r/>
      <w:bookmarkEnd w:id="13"/>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4" w:name="_Toc513029205"/>
      <w:r/>
      <w:bookmarkStart w:id="15" w:name="_Toc16938521"/>
      <w:r/>
      <w:bookmarkStart w:id="16" w:name="_Toc20823277"/>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7" w:name="_Toc513029206"/>
      <w:r/>
      <w:bookmarkStart w:id="18" w:name="_Toc16938522"/>
      <w:r/>
      <w:bookmarkStart w:id="19" w:name="_Toc20823278"/>
      <w:r>
        <w:rPr>
          <w:rFonts w:hint="eastAsia" w:ascii="宋体" w:hAnsi="宋体" w:eastAsia="宋体"/>
          <w:bCs w:val="0"/>
          <w:color w:val="000000"/>
          <w:highlight w:val="none"/>
          <w:lang w:eastAsia="zh-CN"/>
        </w:rPr>
        <w:t xml:space="preserve">3.适用法律</w:t>
      </w:r>
      <w:bookmarkEnd w:id="17"/>
      <w:r/>
      <w:bookmarkEnd w:id="18"/>
      <w:r/>
      <w:bookmarkEnd w:id="19"/>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20" w:name="_Toc16938523"/>
      <w:r/>
      <w:bookmarkStart w:id="21" w:name="_Toc462564067"/>
      <w:r/>
      <w:bookmarkStart w:id="22" w:name="_Toc513029207"/>
      <w:r/>
      <w:bookmarkStart w:id="23" w:name="_Toc20823279"/>
      <w:r>
        <w:rPr>
          <w:rFonts w:hint="eastAsia" w:ascii="宋体" w:hAnsi="宋体" w:eastAsia="宋体"/>
          <w:bCs w:val="0"/>
          <w:color w:val="000000"/>
          <w:highlight w:val="none"/>
          <w:lang w:eastAsia="zh-CN"/>
        </w:rPr>
        <w:t xml:space="preserve">4.投标费用</w:t>
      </w:r>
      <w:bookmarkEnd w:id="20"/>
      <w:r/>
      <w:bookmarkEnd w:id="21"/>
      <w:r/>
      <w:bookmarkEnd w:id="22"/>
      <w:r/>
      <w:bookmarkEnd w:id="23"/>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rPr>
        <w:t xml:space="preserve">普信国际工程咨询有限公司</w:t>
      </w:r>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rPr>
        <w:t xml:space="preserve">中标人</w:t>
      </w:r>
      <w:r>
        <w:rPr>
          <w:rFonts w:hint="eastAsia" w:ascii="宋体" w:hAnsi="宋体"/>
          <w:color w:val="000000"/>
          <w:sz w:val="24"/>
          <w:highlight w:val="none"/>
        </w:rPr>
        <w:t xml:space="preserve">支付</w:t>
      </w:r>
      <w:r>
        <w:rPr>
          <w:rFonts w:ascii="宋体" w:hAnsi="宋体" w:eastAsia="宋体" w:cs="宋体"/>
          <w:bCs/>
          <w:color w:val="000000"/>
          <w:sz w:val="24"/>
          <w:highlight w:val="none"/>
        </w:rPr>
        <w:t xml:space="preserve">。</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1070"/>
        <w:ind w:firstLine="452"/>
        <w:keepLines w:val="0"/>
        <w:keepNext w:val="0"/>
        <w:spacing w:before="0" w:after="0" w:line="360" w:lineRule="auto"/>
        <w:rPr>
          <w:color w:val="000000"/>
          <w:sz w:val="30"/>
          <w:szCs w:val="30"/>
          <w:highlight w:val="none"/>
          <w:lang w:eastAsia="zh-CN"/>
        </w:rPr>
      </w:pPr>
      <w:r/>
      <w:bookmarkStart w:id="24" w:name="_Toc513029209"/>
      <w:r/>
      <w:bookmarkStart w:id="25" w:name="_Toc20823281"/>
      <w:r/>
      <w:bookmarkStart w:id="26" w:name="_Toc16938525"/>
      <w:r/>
      <w:bookmarkStart w:id="27" w:name="_Toc120614215"/>
      <w:r>
        <w:rPr>
          <w:rFonts w:hint="eastAsia"/>
          <w:color w:val="000000"/>
          <w:sz w:val="30"/>
          <w:szCs w:val="30"/>
          <w:highlight w:val="none"/>
          <w:lang w:eastAsia="zh-CN"/>
        </w:rPr>
        <w:t xml:space="preserve">二、招标文件</w:t>
      </w:r>
      <w:bookmarkEnd w:id="24"/>
      <w:r/>
      <w:bookmarkEnd w:id="25"/>
      <w:r/>
      <w:bookmarkEnd w:id="26"/>
      <w:r/>
      <w:bookmarkEnd w:id="27"/>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28" w:name="_Toc20823282"/>
      <w:r/>
      <w:bookmarkStart w:id="29" w:name="_Toc16938526"/>
      <w:r/>
      <w:bookmarkStart w:id="30" w:name="_Toc513029210"/>
      <w:r>
        <w:rPr>
          <w:rFonts w:hint="eastAsia" w:ascii="宋体" w:hAnsi="宋体" w:eastAsia="宋体"/>
          <w:bCs w:val="0"/>
          <w:color w:val="000000"/>
          <w:highlight w:val="none"/>
          <w:lang w:eastAsia="zh-CN"/>
        </w:rPr>
        <w:t xml:space="preserve">6.招标文件构成</w:t>
      </w:r>
      <w:bookmarkEnd w:id="28"/>
      <w:r/>
      <w:bookmarkEnd w:id="29"/>
      <w:r/>
      <w:bookmarkEnd w:id="30"/>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84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邀请</w:t>
      </w:r>
      <w:r>
        <w:rPr>
          <w:rFonts w:hint="eastAsia" w:ascii="宋体" w:hAnsi="宋体" w:eastAsia="宋体"/>
          <w:color w:val="000000"/>
          <w:sz w:val="24"/>
          <w:szCs w:val="24"/>
          <w:highlight w:val="none"/>
        </w:rPr>
        <w:t xml:space="preserve">函</w:t>
      </w:r>
      <w:r>
        <w:rPr>
          <w:rFonts w:ascii="宋体" w:hAnsi="宋体" w:eastAsia="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rPr>
        <w:t xml:space="preserve">投标人须知</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rPr>
        <w:t xml:space="preserve">合同文本</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rPr>
        <w:t xml:space="preserve">采购需求</w:t>
      </w:r>
      <w:r>
        <w:rPr>
          <w:rFonts w:ascii="宋体" w:hAnsi="宋体"/>
          <w:color w:val="000000"/>
          <w:sz w:val="24"/>
          <w:szCs w:val="24"/>
          <w:highlight w:val="none"/>
        </w:rPr>
      </w:r>
      <w:r/>
    </w:p>
    <w:p>
      <w:pPr>
        <w:pStyle w:val="847"/>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投标文件内容与格式</w:t>
      </w:r>
      <w:r>
        <w:rPr>
          <w:rFonts w:ascii="宋体" w:hAnsi="宋体"/>
          <w:color w:val="000000"/>
          <w:sz w:val="24"/>
          <w:szCs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联系解决。</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31" w:name="_Toc20823283"/>
      <w:r/>
      <w:bookmarkStart w:id="32" w:name="_Toc462564070"/>
      <w:r/>
      <w:bookmarkStart w:id="33" w:name="_Toc16938527"/>
      <w:r/>
      <w:bookmarkStart w:id="34" w:name="_Toc513029211"/>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以书面形式提出。</w:t>
      </w:r>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35" w:name="_Toc20823284"/>
      <w:r/>
      <w:bookmarkStart w:id="36" w:name="_Toc16938528"/>
      <w:r/>
      <w:bookmarkStart w:id="37" w:name="_Toc513029212"/>
      <w:r/>
      <w:bookmarkStart w:id="38" w:name="_Toc462564071"/>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eastAsia="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1070"/>
        <w:ind w:firstLine="452"/>
        <w:keepLines w:val="0"/>
        <w:keepNext w:val="0"/>
        <w:spacing w:before="0" w:after="0" w:line="360" w:lineRule="auto"/>
        <w:rPr>
          <w:color w:val="000000"/>
          <w:sz w:val="30"/>
          <w:szCs w:val="30"/>
          <w:highlight w:val="none"/>
          <w:lang w:eastAsia="zh-CN"/>
        </w:rPr>
      </w:pPr>
      <w:r/>
      <w:bookmarkStart w:id="39" w:name="_Toc16938529"/>
      <w:r/>
      <w:bookmarkStart w:id="40" w:name="_Toc462564072"/>
      <w:r/>
      <w:bookmarkStart w:id="41" w:name="_Toc120614216"/>
      <w:r/>
      <w:bookmarkStart w:id="42" w:name="_Toc513029213"/>
      <w:r/>
      <w:bookmarkStart w:id="43" w:name="_Toc20823285"/>
      <w:r>
        <w:rPr>
          <w:rFonts w:hint="eastAsia"/>
          <w:color w:val="000000"/>
          <w:sz w:val="30"/>
          <w:szCs w:val="30"/>
          <w:highlight w:val="none"/>
          <w:lang w:eastAsia="zh-CN"/>
        </w:rPr>
        <w:t xml:space="preserve">三、投标文件的编制</w:t>
      </w:r>
      <w:bookmarkEnd w:id="39"/>
      <w:r/>
      <w:bookmarkEnd w:id="40"/>
      <w:r/>
      <w:bookmarkEnd w:id="41"/>
      <w:r/>
      <w:bookmarkEnd w:id="42"/>
      <w:r/>
      <w:bookmarkEnd w:id="43"/>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44" w:name="_Toc20823286"/>
      <w:r/>
      <w:bookmarkStart w:id="45" w:name="_Toc462564073"/>
      <w:r/>
      <w:bookmarkStart w:id="46" w:name="_Toc513029214"/>
      <w:r/>
      <w:bookmarkStart w:id="47" w:name="_Toc16938530"/>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48" w:name="_Toc20823287"/>
      <w:r/>
      <w:bookmarkStart w:id="49" w:name="_Toc462564074"/>
      <w:r/>
      <w:bookmarkStart w:id="50" w:name="_Toc16938531"/>
      <w:r/>
      <w:bookmarkStart w:id="51" w:name="_Toc513029215"/>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847"/>
        <w:ind w:firstLine="480"/>
        <w:spacing w:line="360" w:lineRule="auto"/>
        <w:rPr>
          <w:rFonts w:eastAsia="华文中宋"/>
          <w:color w:val="000000"/>
          <w:highlight w:val="none"/>
          <w:lang w:val="en-US" w:eastAsia="zh-CN"/>
        </w:rPr>
      </w:pPr>
      <w:r>
        <w:rPr>
          <w:rFonts w:hint="eastAsia" w:ascii="宋体" w:hAnsi="宋体"/>
          <w:color w:val="000000"/>
          <w:sz w:val="24"/>
          <w:highlight w:val="none"/>
        </w:rPr>
        <w:t xml:space="preserve">10.3如标书制作工具中格式和内容与招标文件不一致的，请以招标文件为准。</w:t>
      </w:r>
      <w:r>
        <w:rPr>
          <w:rFonts w:eastAsia="华文中宋"/>
          <w:color w:val="000000"/>
          <w:highlight w:val="none"/>
          <w:lang w:val="en-US" w:eastAsia="zh-CN"/>
        </w:rPr>
      </w:r>
      <w:r/>
    </w:p>
    <w:p>
      <w:pPr>
        <w:pStyle w:val="847"/>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ascii="宋体" w:hAnsi="宋体" w:eastAsia="宋体" w:cs="宋体"/>
          <w:b/>
          <w:color w:val="000000"/>
          <w:sz w:val="24"/>
          <w:highlight w:val="none"/>
          <w:u w:val="single"/>
        </w:rPr>
      </w:r>
      <w:r/>
    </w:p>
    <w:p>
      <w:pPr>
        <w:pStyle w:val="847"/>
        <w:ind w:firstLine="482"/>
        <w:spacing w:line="360" w:lineRule="auto"/>
        <w:rPr>
          <w:rFonts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不得有体现投标人身份的内容是指：</w:t>
      </w:r>
      <w:r>
        <w:rPr>
          <w:rFonts w:ascii="宋体" w:hAnsi="宋体" w:eastAsia="宋体" w:cs="宋体"/>
          <w:b/>
          <w:color w:val="000000"/>
          <w:sz w:val="24"/>
          <w:highlight w:val="none"/>
          <w:u w:val="single"/>
        </w:rPr>
      </w:r>
      <w:r/>
    </w:p>
    <w:p>
      <w:pPr>
        <w:pStyle w:val="847"/>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10.4.1技术部分不得出现能够体现投标人身份、名称的相关描述、材料、文件等内容；</w:t>
      </w:r>
      <w:r>
        <w:rPr>
          <w:rFonts w:ascii="宋体" w:hAnsi="宋体" w:eastAsia="宋体" w:cs="宋体"/>
          <w:b/>
          <w:color w:val="000000"/>
          <w:sz w:val="24"/>
          <w:highlight w:val="none"/>
        </w:rPr>
      </w:r>
      <w:r/>
    </w:p>
    <w:p>
      <w:pPr>
        <w:pStyle w:val="847"/>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10.4.2技术部分不得更改，不得在其中涂改、标注或做任何可以辨认投标人及所属人员身份的名称、印章、商标等标记；</w:t>
      </w:r>
      <w:r>
        <w:rPr>
          <w:rFonts w:ascii="宋体" w:hAnsi="宋体" w:eastAsia="宋体" w:cs="宋体"/>
          <w:b/>
          <w:color w:val="000000"/>
          <w:sz w:val="24"/>
          <w:highlight w:val="none"/>
        </w:rPr>
      </w:r>
      <w:r/>
    </w:p>
    <w:p>
      <w:pPr>
        <w:pStyle w:val="847"/>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10.4.3技术部分应当版面整洁、字迹清楚、不许批注或进行底纹、阴影、水印等特殊设置，不得采用任何不符合常规、有别于其他投标人的特殊做法；</w:t>
      </w:r>
      <w:r>
        <w:rPr>
          <w:rFonts w:ascii="宋体" w:hAnsi="宋体" w:eastAsia="宋体" w:cs="宋体"/>
          <w:b/>
          <w:color w:val="000000"/>
          <w:sz w:val="24"/>
          <w:highlight w:val="none"/>
        </w:rPr>
      </w:r>
      <w:r/>
    </w:p>
    <w:p>
      <w:pPr>
        <w:pStyle w:val="847"/>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10.4.4不得有其他体现投标人身份的内容。</w:t>
      </w:r>
      <w:r>
        <w:rPr>
          <w:rFonts w:ascii="宋体" w:hAnsi="宋体" w:eastAsia="宋体" w:cs="宋体"/>
          <w:b/>
          <w:color w:val="000000"/>
          <w:sz w:val="24"/>
          <w:highlight w:val="none"/>
        </w:rPr>
      </w:r>
      <w:r/>
    </w:p>
    <w:p>
      <w:pPr>
        <w:pStyle w:val="847"/>
        <w:ind w:firstLine="480"/>
        <w:spacing w:line="360" w:lineRule="auto"/>
        <w:rPr>
          <w:color w:val="000000"/>
          <w:highlight w:val="none"/>
        </w:rPr>
      </w:pPr>
      <w:r>
        <w:rPr>
          <w:rFonts w:hint="eastAsia" w:ascii="宋体" w:hAnsi="宋体" w:eastAsia="宋体" w:cs="宋体"/>
          <w:b/>
          <w:color w:val="000000"/>
          <w:sz w:val="24"/>
          <w:szCs w:val="24"/>
          <w:highlight w:val="none"/>
        </w:rPr>
        <w:t xml:space="preserve">10.5暗标排版要求：（含标题等所有文字）字体为黑色、小四号宋体，不得出现手写，不得设置页眉，页脚；如有表格，表格中字体用宋体字，字号不作限制。如有图片可为彩色，图片不得出现能显示企业特征或其他提示性的标记或标识。</w:t>
      </w:r>
      <w:r>
        <w:rPr>
          <w:color w:val="000000"/>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52" w:name="_Hlt26954838"/>
      <w:r/>
      <w:bookmarkEnd w:id="52"/>
      <w:r/>
      <w:bookmarkStart w:id="53" w:name="_Hlt26670360"/>
      <w:r/>
      <w:bookmarkEnd w:id="53"/>
      <w:r/>
      <w:bookmarkStart w:id="54" w:name="_Hlt26668975"/>
      <w:r/>
      <w:bookmarkEnd w:id="54"/>
      <w:r/>
      <w:bookmarkStart w:id="55" w:name="_Toc14577354"/>
      <w:r/>
      <w:bookmarkStart w:id="56" w:name="_Toc513029216"/>
      <w:r/>
      <w:bookmarkStart w:id="57" w:name="_Toc513029219"/>
      <w:r/>
      <w:bookmarkStart w:id="58" w:name="_Toc14577357"/>
      <w:r/>
      <w:bookmarkStart w:id="59" w:name="_Toc49090507"/>
      <w:r/>
      <w:bookmarkStart w:id="60" w:name="_Toc49090509"/>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bookmarkStart w:id="61" w:name="_Toc14577355"/>
      <w:r/>
      <w:bookmarkStart w:id="62" w:name="_Toc49090508"/>
      <w:r>
        <w:rPr>
          <w:rFonts w:hint="eastAsia" w:ascii="宋体" w:hAnsi="宋体"/>
          <w:bCs/>
          <w:color w:val="000000"/>
          <w:sz w:val="24"/>
          <w:highlight w:val="none"/>
        </w:rPr>
        <w:t xml:space="preserve">11.1投标人应按照</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w:t>
      </w:r>
      <w:r>
        <w:rPr>
          <w:rFonts w:hint="eastAsia" w:ascii="宋体" w:hAnsi="宋体" w:eastAsia="宋体"/>
          <w:bCs/>
          <w:color w:val="000000"/>
          <w:sz w:val="24"/>
          <w:highlight w:val="none"/>
        </w:rPr>
        <w:t xml:space="preserve">件的</w:t>
      </w:r>
      <w:r>
        <w:rPr>
          <w:rFonts w:hint="eastAsia" w:ascii="宋体" w:hAnsi="宋体"/>
          <w:bCs/>
          <w:color w:val="000000"/>
          <w:sz w:val="24"/>
          <w:highlight w:val="none"/>
        </w:rPr>
        <w:t xml:space="preserve">规定。</w:t>
      </w:r>
      <w:r>
        <w:rPr>
          <w:rFonts w:ascii="宋体" w:hAnsi="宋体"/>
          <w:bCs/>
          <w:color w:val="000000"/>
          <w:sz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63" w:name="_Toc49090510"/>
      <w:r/>
      <w:bookmarkStart w:id="64" w:name="_Toc14577359"/>
      <w:r>
        <w:rPr>
          <w:rFonts w:hint="eastAsia" w:ascii="宋体" w:hAnsi="宋体" w:eastAsia="宋体"/>
          <w:bCs w:val="0"/>
          <w:color w:val="000000"/>
          <w:highlight w:val="none"/>
          <w:lang w:eastAsia="zh-CN"/>
        </w:rPr>
        <w:t xml:space="preserve">12.投标函、承诺书和开标一览表</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rPr>
          <w:rFonts w:ascii="宋体" w:hAnsi="宋体"/>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67" w:name="_Hlt26954842"/>
      <w:r/>
      <w:bookmarkEnd w:id="67"/>
      <w:r/>
      <w:bookmarkStart w:id="68" w:name="_Hlt26668983"/>
      <w:r/>
      <w:bookmarkEnd w:id="68"/>
      <w:r/>
      <w:bookmarkStart w:id="69" w:name="_Hlt26670425"/>
      <w:r/>
      <w:bookmarkEnd w:id="69"/>
      <w:r/>
      <w:bookmarkStart w:id="70" w:name="_Hlt26670482"/>
      <w:r/>
      <w:bookmarkEnd w:id="70"/>
      <w:r/>
      <w:bookmarkStart w:id="71" w:name="_Hlt26670403"/>
      <w:r/>
      <w:bookmarkEnd w:id="71"/>
      <w:r/>
      <w:bookmarkStart w:id="72" w:name="_Hlt26954846"/>
      <w:r/>
      <w:bookmarkEnd w:id="72"/>
      <w:r/>
      <w:bookmarkStart w:id="73" w:name="_Hlt26954848"/>
      <w:r/>
      <w:bookmarkEnd w:id="73"/>
      <w:r/>
      <w:bookmarkStart w:id="74" w:name="_Hlt26670486"/>
      <w:r/>
      <w:bookmarkEnd w:id="74"/>
      <w:r/>
      <w:bookmarkStart w:id="75" w:name="_Hlt26954844"/>
      <w:r/>
      <w:bookmarkEnd w:id="75"/>
      <w:r/>
      <w:bookmarkStart w:id="76" w:name="_Hlt26954731"/>
      <w:r/>
      <w:bookmarkEnd w:id="76"/>
      <w:r>
        <w:rPr>
          <w:rFonts w:hint="eastAsia" w:ascii="宋体" w:hAnsi="宋体" w:eastAsia="宋体"/>
          <w:bCs w:val="0"/>
          <w:color w:val="000000"/>
          <w:highlight w:val="none"/>
          <w:lang w:eastAsia="zh-CN"/>
        </w:rPr>
        <w:t xml:space="preserve">14.投标偏离表</w:t>
      </w:r>
      <w:r>
        <w:rPr>
          <w:rFonts w:ascii="宋体" w:hAnsi="宋体" w:eastAsia="宋体"/>
          <w:bCs w:val="0"/>
          <w:color w:val="000000"/>
          <w:highlight w:val="none"/>
          <w:lang w:eastAsia="zh-CN"/>
        </w:rPr>
      </w:r>
      <w:r/>
    </w:p>
    <w:p>
      <w:pPr>
        <w:pStyle w:val="847"/>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77" w:name="_Hlt26954850"/>
      <w:r/>
      <w:bookmarkEnd w:id="77"/>
      <w:r/>
      <w:bookmarkStart w:id="78" w:name="_Hlt26670489"/>
      <w:r/>
      <w:bookmarkEnd w:id="78"/>
      <w:r/>
      <w:bookmarkStart w:id="79" w:name="_Hlt26954734"/>
      <w:r/>
      <w:bookmarkEnd w:id="79"/>
      <w:r/>
      <w:bookmarkStart w:id="80" w:name="_Toc14577360"/>
      <w:r/>
      <w:bookmarkStart w:id="81" w:name="_Toc49090511"/>
      <w:r>
        <w:rPr>
          <w:rFonts w:hint="eastAsia" w:ascii="宋体" w:hAnsi="宋体" w:eastAsia="宋体"/>
          <w:bCs w:val="0"/>
          <w:color w:val="000000"/>
          <w:highlight w:val="none"/>
          <w:lang w:eastAsia="zh-CN"/>
        </w:rPr>
        <w:t xml:space="preserve">15.投标有效期</w:t>
      </w:r>
      <w:bookmarkEnd w:id="80"/>
      <w:r/>
      <w:bookmarkEnd w:id="81"/>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1070"/>
        <w:ind w:firstLine="452"/>
        <w:keepLines w:val="0"/>
        <w:keepNext w:val="0"/>
        <w:spacing w:before="0" w:after="0" w:line="360" w:lineRule="auto"/>
        <w:rPr>
          <w:color w:val="000000"/>
          <w:sz w:val="30"/>
          <w:szCs w:val="30"/>
          <w:highlight w:val="none"/>
          <w:lang w:eastAsia="zh-CN"/>
        </w:rPr>
      </w:pPr>
      <w:r/>
      <w:bookmarkStart w:id="82" w:name="_Hlt26954739"/>
      <w:r/>
      <w:bookmarkEnd w:id="82"/>
      <w:r/>
      <w:bookmarkStart w:id="83" w:name="_Hlt26954852"/>
      <w:r/>
      <w:bookmarkEnd w:id="83"/>
      <w:r/>
      <w:bookmarkStart w:id="84" w:name="_Toc16938540"/>
      <w:r/>
      <w:bookmarkStart w:id="85" w:name="_Toc513029224"/>
      <w:r/>
      <w:bookmarkStart w:id="86" w:name="_Toc120614217"/>
      <w:r/>
      <w:bookmarkStart w:id="87" w:name="_Toc20823296"/>
      <w:r>
        <w:rPr>
          <w:rFonts w:hint="eastAsia"/>
          <w:color w:val="000000"/>
          <w:sz w:val="30"/>
          <w:szCs w:val="30"/>
          <w:highlight w:val="none"/>
          <w:lang w:eastAsia="zh-CN"/>
        </w:rPr>
        <w:t xml:space="preserve">四、投标文件的递交</w:t>
      </w:r>
      <w:bookmarkEnd w:id="84"/>
      <w:r/>
      <w:bookmarkEnd w:id="85"/>
      <w:r/>
      <w:bookmarkEnd w:id="86"/>
      <w:r/>
      <w:bookmarkEnd w:id="87"/>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88" w:name="_Toc20823297"/>
      <w:r/>
      <w:bookmarkStart w:id="89" w:name="_Toc462564084"/>
      <w:r/>
      <w:bookmarkStart w:id="90" w:name="_Toc16938541"/>
      <w:r/>
      <w:bookmarkStart w:id="91" w:name="_Toc513029225"/>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1302"/>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16938542"/>
      <w:r/>
      <w:bookmarkStart w:id="93" w:name="_Toc513029226"/>
      <w:r/>
      <w:bookmarkStart w:id="94" w:name="_Toc20823298"/>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w:t>
      </w:r>
      <w:r>
        <w:rPr>
          <w:rFonts w:hint="eastAsia" w:ascii="宋体" w:hAnsi="宋体" w:eastAsia="宋体"/>
          <w:bCs/>
          <w:color w:val="000000"/>
          <w:sz w:val="24"/>
          <w:highlight w:val="none"/>
        </w:rPr>
        <w:t xml:space="preserve">充分考虑</w:t>
      </w:r>
      <w:r>
        <w:rPr>
          <w:rFonts w:hint="eastAsia" w:ascii="宋体" w:hAnsi="宋体"/>
          <w:bCs/>
          <w:color w:val="000000"/>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bCs/>
          <w:color w:val="000000"/>
          <w:sz w:val="24"/>
          <w:highlight w:val="none"/>
          <w:lang w:eastAsia="zh-CN"/>
        </w:rPr>
        <w:t xml:space="preserve">作</w:t>
      </w:r>
      <w:r>
        <w:rPr>
          <w:rFonts w:hint="eastAsia" w:ascii="宋体" w:hAnsi="宋体"/>
          <w:bCs/>
          <w:color w:val="000000"/>
          <w:sz w:val="24"/>
          <w:highlight w:val="none"/>
        </w:rPr>
        <w:t xml:space="preserve">无效投标处理。</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95" w:name="_Toc20823299"/>
      <w:r/>
      <w:bookmarkStart w:id="96" w:name="_Toc16938543"/>
      <w:r/>
      <w:bookmarkStart w:id="97" w:name="_Toc513029227"/>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拒绝接收在其规定的投标截止时间后上传的任何投标文件。</w:t>
      </w:r>
      <w:r>
        <w:rPr>
          <w:rFonts w:ascii="宋体" w:hAnsi="宋体"/>
          <w:bCs/>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98" w:name="_Toc513029228"/>
      <w:r/>
      <w:bookmarkStart w:id="99" w:name="_Toc20823300"/>
      <w:r/>
      <w:bookmarkStart w:id="100" w:name="_Toc16938544"/>
      <w:r>
        <w:rPr>
          <w:rFonts w:hint="eastAsia" w:ascii="宋体" w:hAnsi="宋体" w:eastAsia="宋体"/>
          <w:bCs w:val="0"/>
          <w:color w:val="000000"/>
          <w:highlight w:val="none"/>
          <w:lang w:eastAsia="zh-CN"/>
        </w:rPr>
        <w:t xml:space="preserve">20.投标文件的撤回和修改</w:t>
      </w:r>
      <w:bookmarkEnd w:id="98"/>
      <w:r/>
      <w:bookmarkEnd w:id="99"/>
      <w:r/>
      <w:bookmarkEnd w:id="100"/>
      <w:r>
        <w:rPr>
          <w:rFonts w:ascii="宋体" w:hAnsi="宋体" w:eastAsia="宋体"/>
          <w:bCs w:val="0"/>
          <w:color w:val="000000"/>
          <w:highlight w:val="none"/>
          <w:lang w:eastAsia="zh-CN"/>
        </w:rPr>
      </w:r>
      <w:r/>
    </w:p>
    <w:p>
      <w:pPr>
        <w:pStyle w:val="84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20.1投标文件的撤回</w:t>
      </w:r>
      <w:r>
        <w:rPr>
          <w:rFonts w:ascii="宋体" w:hAnsi="宋体" w:eastAsia="宋体" w:cs="宋体"/>
          <w:color w:val="000000"/>
          <w:sz w:val="24"/>
          <w:highlight w:val="none"/>
        </w:rPr>
      </w:r>
      <w:r/>
    </w:p>
    <w:p>
      <w:pPr>
        <w:pStyle w:val="84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21.1.1电子投标文件的撤回</w:t>
      </w:r>
      <w:r>
        <w:rPr>
          <w:rFonts w:ascii="宋体" w:hAnsi="宋体" w:eastAsia="宋体" w:cs="宋体"/>
          <w:color w:val="000000"/>
          <w:sz w:val="24"/>
          <w:highlight w:val="none"/>
        </w:rPr>
      </w:r>
      <w:r/>
    </w:p>
    <w:p>
      <w:pPr>
        <w:pStyle w:val="84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ascii="宋体" w:hAnsi="宋体" w:eastAsia="宋体" w:cs="宋体"/>
          <w:color w:val="000000"/>
          <w:sz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20.2投标文件的修改</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20.2.1投标人可在投标截止时间前，对其电子投标文件进行修改，具体操作方法见《操作手册》。</w:t>
      </w:r>
      <w:r>
        <w:rPr>
          <w:rFonts w:ascii="宋体" w:hAnsi="宋体" w:eastAsia="宋体" w:cs="宋体"/>
          <w:color w:val="000000"/>
          <w:sz w:val="24"/>
          <w:highlight w:val="none"/>
        </w:rPr>
      </w:r>
      <w:r/>
    </w:p>
    <w:p>
      <w:pPr>
        <w:pStyle w:val="847"/>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在投标截止时间之后，投标人不得对其电子投标文件作任何修改。</w:t>
      </w:r>
      <w:r>
        <w:rPr>
          <w:rFonts w:ascii="宋体" w:hAnsi="宋体" w:eastAsia="宋体" w:cs="宋体"/>
          <w:bCs/>
          <w:color w:val="000000"/>
          <w:sz w:val="24"/>
          <w:highlight w:val="none"/>
        </w:rPr>
      </w:r>
      <w:r/>
    </w:p>
    <w:p>
      <w:pPr>
        <w:pStyle w:val="847"/>
        <w:ind w:firstLine="480"/>
        <w:spacing w:line="360" w:lineRule="auto"/>
        <w:rPr>
          <w:rFonts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在投标截止时间至招标文件中规定的投标有效期满之间的这段时间内，投标人不得撤回其投标。</w:t>
      </w:r>
      <w:r>
        <w:rPr>
          <w:rFonts w:ascii="宋体" w:hAnsi="宋体" w:eastAsia="宋体" w:cs="宋体"/>
          <w:bCs/>
          <w:color w:val="000000"/>
          <w:sz w:val="24"/>
          <w:highlight w:val="none"/>
        </w:rPr>
      </w:r>
      <w:r/>
    </w:p>
    <w:p>
      <w:pPr>
        <w:pStyle w:val="1070"/>
        <w:ind w:firstLine="452"/>
        <w:keepLines w:val="0"/>
        <w:keepNext w:val="0"/>
        <w:spacing w:before="0" w:after="0" w:line="360" w:lineRule="auto"/>
        <w:rPr>
          <w:color w:val="000000"/>
          <w:sz w:val="30"/>
          <w:szCs w:val="30"/>
          <w:highlight w:val="none"/>
          <w:lang w:eastAsia="zh-CN"/>
        </w:rPr>
      </w:pPr>
      <w:r/>
      <w:bookmarkStart w:id="101" w:name="_Toc16938545"/>
      <w:r/>
      <w:bookmarkStart w:id="102" w:name="_Toc513029229"/>
      <w:r/>
      <w:bookmarkStart w:id="103" w:name="_Toc20823301"/>
      <w:r/>
      <w:bookmarkStart w:id="104" w:name="_Toc120614218"/>
      <w:r>
        <w:rPr>
          <w:rFonts w:hint="eastAsia"/>
          <w:color w:val="000000"/>
          <w:sz w:val="30"/>
          <w:szCs w:val="30"/>
          <w:highlight w:val="none"/>
          <w:lang w:eastAsia="zh-CN"/>
        </w:rPr>
        <w:t xml:space="preserve">五、开标与评标</w:t>
      </w:r>
      <w:bookmarkEnd w:id="101"/>
      <w:r/>
      <w:bookmarkEnd w:id="102"/>
      <w:r/>
      <w:bookmarkEnd w:id="103"/>
      <w:r/>
      <w:bookmarkEnd w:id="104"/>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05" w:name="_Toc16938546"/>
      <w:r/>
      <w:bookmarkStart w:id="106" w:name="_Toc513029230"/>
      <w:r/>
      <w:bookmarkStart w:id="107" w:name="_Toc20823302"/>
      <w:r>
        <w:rPr>
          <w:rFonts w:hint="eastAsia" w:ascii="宋体" w:hAnsi="宋体" w:eastAsia="宋体"/>
          <w:bCs w:val="0"/>
          <w:color w:val="000000"/>
          <w:highlight w:val="none"/>
          <w:lang w:eastAsia="zh-CN"/>
        </w:rPr>
        <w:t xml:space="preserve">21.开标</w:t>
      </w:r>
      <w:bookmarkEnd w:id="105"/>
      <w:r/>
      <w:bookmarkEnd w:id="106"/>
      <w:r/>
      <w:bookmarkEnd w:id="107"/>
      <w:r>
        <w:rPr>
          <w:rFonts w:ascii="宋体" w:hAnsi="宋体" w:eastAsia="宋体"/>
          <w:bCs w:val="0"/>
          <w:color w:val="000000"/>
          <w:highlight w:val="none"/>
          <w:lang w:eastAsia="zh-CN"/>
        </w:rPr>
      </w:r>
      <w:r/>
    </w:p>
    <w:p>
      <w:pPr>
        <w:pStyle w:val="847"/>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eastAsia="宋体"/>
          <w:color w:val="000000"/>
          <w:sz w:val="24"/>
          <w:highlight w:val="none"/>
        </w:rPr>
        <w:t xml:space="preserve">涉及的</w:t>
      </w:r>
      <w:r>
        <w:rPr>
          <w:rFonts w:hint="eastAsia" w:ascii="宋体" w:hAnsi="宋体"/>
          <w:color w:val="000000"/>
          <w:sz w:val="24"/>
          <w:highlight w:val="none"/>
        </w:rPr>
        <w:t xml:space="preserve">投标文件解密、开标结果确认等工作，应按照《操作手册》规定执行。</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08" w:name="_Toc20823303"/>
      <w:r/>
      <w:bookmarkStart w:id="109" w:name="_Toc513029231"/>
      <w:r/>
      <w:bookmarkStart w:id="110" w:name="_Toc16938547"/>
      <w:r>
        <w:rPr>
          <w:rFonts w:hint="eastAsia" w:ascii="宋体" w:hAnsi="宋体" w:eastAsia="宋体"/>
          <w:bCs w:val="0"/>
          <w:color w:val="000000"/>
          <w:highlight w:val="none"/>
          <w:lang w:eastAsia="zh-CN"/>
        </w:rPr>
        <w:t xml:space="preserve">22.评标委员会</w:t>
      </w:r>
      <w:r>
        <w:rPr>
          <w:rFonts w:ascii="宋体" w:hAnsi="宋体" w:eastAsia="宋体"/>
          <w:bCs w:val="0"/>
          <w:color w:val="000000"/>
          <w:highlight w:val="none"/>
          <w:lang w:eastAsia="zh-CN"/>
        </w:rPr>
      </w:r>
      <w:r/>
    </w:p>
    <w:p>
      <w:pPr>
        <w:pStyle w:val="847"/>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将立即组织评标委员会（以下简称评委会）进行评标。</w:t>
      </w:r>
      <w:r>
        <w:rPr>
          <w:rFonts w:ascii="宋体" w:hAnsi="宋体"/>
          <w:b/>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eastAsia="宋体"/>
          <w:bCs/>
          <w:color w:val="000000"/>
          <w:sz w:val="24"/>
          <w:highlight w:val="none"/>
        </w:rPr>
        <w:t xml:space="preserve">采购代理机构</w:t>
      </w:r>
      <w:r>
        <w:rPr>
          <w:rFonts w:hint="eastAsia" w:ascii="宋体" w:hAnsi="宋体"/>
          <w:bCs/>
          <w:color w:val="000000"/>
          <w:sz w:val="24"/>
          <w:highlight w:val="none"/>
        </w:rPr>
        <w:t xml:space="preserve">均不得向投标人或与评标无关的其他人员透露。</w:t>
      </w:r>
      <w:r>
        <w:rPr>
          <w:rFonts w:ascii="宋体" w:hAnsi="宋体"/>
          <w:bCs/>
          <w:color w:val="000000"/>
          <w:sz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11" w:name="_Toc20823304"/>
      <w:r/>
      <w:bookmarkStart w:id="112" w:name="_Toc16938548"/>
      <w:r/>
      <w:bookmarkStart w:id="113" w:name="_Toc513029232"/>
      <w:r>
        <w:rPr>
          <w:rFonts w:hint="eastAsia" w:ascii="宋体" w:hAnsi="宋体" w:eastAsia="宋体"/>
          <w:bCs w:val="0"/>
          <w:color w:val="000000"/>
          <w:highlight w:val="none"/>
          <w:lang w:eastAsia="zh-CN"/>
        </w:rPr>
        <w:t xml:space="preserve">24.投标文件的澄清</w:t>
      </w:r>
      <w:bookmarkEnd w:id="111"/>
      <w:r/>
      <w:bookmarkEnd w:id="112"/>
      <w:r/>
      <w:bookmarkEnd w:id="113"/>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eastAsia="宋体"/>
          <w:color w:val="000000"/>
          <w:sz w:val="24"/>
          <w:szCs w:val="24"/>
          <w:highlight w:val="none"/>
        </w:rPr>
        <w:t xml:space="preserve">作出</w:t>
      </w:r>
      <w:r>
        <w:rPr>
          <w:rFonts w:hint="eastAsia" w:ascii="宋体" w:hAnsi="宋体"/>
          <w:color w:val="000000"/>
          <w:sz w:val="24"/>
          <w:szCs w:val="24"/>
          <w:highlight w:val="none"/>
        </w:rPr>
        <w:t xml:space="preserve">澄清、说明和补正，其风险由投标人自行承担。</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14" w:name="_Toc16938549"/>
      <w:r/>
      <w:bookmarkStart w:id="115" w:name="_Toc513029233"/>
      <w:r/>
      <w:bookmarkStart w:id="116" w:name="_Toc20823305"/>
      <w:r>
        <w:rPr>
          <w:rFonts w:hint="eastAsia" w:ascii="宋体" w:hAnsi="宋体" w:eastAsia="宋体"/>
          <w:bCs w:val="0"/>
          <w:color w:val="000000"/>
          <w:highlight w:val="none"/>
          <w:lang w:eastAsia="zh-CN"/>
        </w:rPr>
        <w:t xml:space="preserve">25.对投标文件的初审</w:t>
      </w:r>
      <w:bookmarkEnd w:id="114"/>
      <w:r/>
      <w:bookmarkEnd w:id="115"/>
      <w:r/>
      <w:bookmarkEnd w:id="116"/>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ascii="宋体" w:hAnsi="宋体"/>
          <w:bCs/>
          <w:color w:val="000000"/>
          <w:sz w:val="24"/>
          <w:highlight w:val="none"/>
        </w:rPr>
      </w:r>
      <w:r/>
    </w:p>
    <w:p>
      <w:pPr>
        <w:pStyle w:val="847"/>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www.ccgp.gov.cn</w:t>
      </w:r>
      <w:r>
        <w:rPr>
          <w:rFonts w:hint="eastAsia" w:ascii="宋体" w:hAnsi="宋体" w:eastAsia="宋体" w:cs="宋体"/>
          <w:color w:val="000000"/>
          <w:sz w:val="24"/>
          <w:szCs w:val="24"/>
          <w:highlight w:val="none"/>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eastAsia="宋体" w:cs="宋体"/>
          <w:color w:val="000000"/>
          <w:sz w:val="24"/>
          <w:szCs w:val="24"/>
          <w:highlight w:val="none"/>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000000"/>
          <w:sz w:val="24"/>
          <w:highlight w:val="none"/>
        </w:rPr>
        <w:t xml:space="preserve">，</w:t>
      </w:r>
      <w:r>
        <w:rPr>
          <w:rFonts w:hint="eastAsia" w:ascii="宋体" w:hAnsi="宋体"/>
          <w:bCs/>
          <w:color w:val="000000"/>
          <w:sz w:val="24"/>
          <w:highlight w:val="none"/>
        </w:rPr>
        <w:t xml:space="preserve">联合体成员存在不良信用记录的，视同联合体存在不良应用记录。</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000000"/>
          <w:sz w:val="24"/>
          <w:highlight w:val="none"/>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000000"/>
          <w:sz w:val="24"/>
          <w:highlight w:val="none"/>
        </w:rPr>
        <w:t xml:space="preserve">不符</w:t>
      </w:r>
      <w:r>
        <w:rPr>
          <w:rFonts w:hint="eastAsia" w:ascii="宋体" w:hAnsi="宋体"/>
          <w:color w:val="000000"/>
          <w:sz w:val="24"/>
          <w:highlight w:val="none"/>
        </w:rPr>
        <w:t xml:space="preserve">合要求的偏离或保留而使其投标成为实质性响应的投标。</w:t>
      </w:r>
      <w:r>
        <w:rPr>
          <w:rFonts w:ascii="宋体" w:hAnsi="宋体"/>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（1）</w:t>
      </w:r>
      <w:r>
        <w:rPr>
          <w:rFonts w:hint="eastAsia" w:ascii="宋体" w:hAnsi="宋体"/>
          <w:bCs/>
          <w:color w:val="000000"/>
          <w:sz w:val="24"/>
          <w:highlight w:val="none"/>
        </w:rPr>
        <w:t xml:space="preserve">投标文件中开标一览表内容与投标文件中相应内容不一致的，以开标一览表为准。</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（2）</w:t>
      </w:r>
      <w:r>
        <w:rPr>
          <w:rFonts w:hint="eastAsia" w:ascii="宋体" w:hAnsi="宋体"/>
          <w:bCs/>
          <w:color w:val="000000"/>
          <w:sz w:val="24"/>
          <w:highlight w:val="none"/>
        </w:rPr>
        <w:t xml:space="preserve">大写金额和小写金额不一致的，以大写金额为准。</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（3）</w:t>
      </w:r>
      <w:r>
        <w:rPr>
          <w:rFonts w:hint="eastAsia" w:ascii="宋体" w:hAnsi="宋体"/>
          <w:bCs/>
          <w:color w:val="000000"/>
          <w:sz w:val="24"/>
          <w:highlight w:val="none"/>
        </w:rPr>
        <w:t xml:space="preserve">单价金额小数点或者百分比有明显错位的，以开标一览表的总价为准，并修改单价。</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eastAsia="宋体"/>
          <w:bCs/>
          <w:color w:val="000000"/>
          <w:sz w:val="24"/>
          <w:highlight w:val="none"/>
        </w:rPr>
        <w:t xml:space="preserve">（4）</w:t>
      </w:r>
      <w:r>
        <w:rPr>
          <w:rFonts w:hint="eastAsia" w:ascii="宋体" w:hAnsi="宋体"/>
          <w:bCs/>
          <w:color w:val="000000"/>
          <w:sz w:val="24"/>
          <w:highlight w:val="none"/>
        </w:rPr>
        <w:t xml:space="preserve">总价金额与按单价汇总金额不一致的，以单价金额计算结果为准。</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847"/>
        <w:ind w:firstLine="420"/>
        <w:spacing w:line="360" w:lineRule="auto"/>
        <w:rPr>
          <w:rFonts w:hint="eastAsia" w:ascii="宋体" w:hAnsi="宋体"/>
          <w:color w:val="000000"/>
          <w:sz w:val="24"/>
          <w:highlight w:val="none"/>
        </w:rPr>
      </w:pPr>
      <w:r/>
      <w:bookmarkStart w:id="117" w:name="_Toc513029234"/>
      <w:r/>
      <w:bookmarkStart w:id="118" w:name="_Toc20823306"/>
      <w:r/>
      <w:bookmarkStart w:id="119" w:name="_Toc16938550"/>
      <w:r>
        <w:rPr>
          <w:rFonts w:hint="eastAsia" w:ascii="宋体" w:hAnsi="宋体"/>
          <w:color w:val="000000"/>
          <w:sz w:val="24"/>
          <w:highlight w:val="none"/>
        </w:rPr>
        <w:t xml:space="preserve">25.6投标人在开、评标全过程中应</w:t>
      </w:r>
      <w:r>
        <w:rPr>
          <w:rFonts w:hint="eastAsia" w:ascii="宋体" w:hAnsi="宋体" w:eastAsia="宋体"/>
          <w:color w:val="000000"/>
          <w:sz w:val="24"/>
          <w:highlight w:val="none"/>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全部通过符合性审查供应商投标（响应）报价平均值×50%； </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通过符合性审查的次低报价供应商投标（响应）报价×50%； </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3.投标（响应）报价低于采购项目最高限价45%的，即投标（响应）报价</w:t>
      </w:r>
      <w:r>
        <w:rPr>
          <w:rFonts w:hint="eastAsia" w:ascii="宋体" w:hAnsi="宋体" w:eastAsia="宋体"/>
          <w:b/>
          <w:color w:val="000000"/>
          <w:sz w:val="24"/>
          <w:highlight w:val="none"/>
          <w:lang w:eastAsia="zh-CN"/>
        </w:rPr>
        <w:t xml:space="preserve">〈</w:t>
      </w:r>
      <w:r>
        <w:rPr>
          <w:rFonts w:hint="eastAsia" w:ascii="宋体" w:hAnsi="宋体"/>
          <w:b/>
          <w:color w:val="000000"/>
          <w:sz w:val="24"/>
          <w:highlight w:val="none"/>
        </w:rPr>
        <w:t xml:space="preserve">采购项目最高限价×45%； </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b/>
          <w:color w:val="000000"/>
          <w:sz w:val="24"/>
          <w:highlight w:val="none"/>
        </w:rPr>
      </w:r>
      <w:r/>
    </w:p>
    <w:p>
      <w:pPr>
        <w:pStyle w:val="847"/>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color w:val="000000"/>
          <w:sz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rPr>
          <w:rFonts w:ascii="宋体" w:hAnsi="宋体" w:eastAsia="宋体"/>
          <w:bCs w:val="0"/>
          <w:color w:val="000000"/>
          <w:highlight w:val="none"/>
          <w:lang w:eastAsia="zh-CN"/>
        </w:rPr>
      </w:r>
      <w:r/>
    </w:p>
    <w:p>
      <w:pPr>
        <w:pStyle w:val="847"/>
        <w:ind w:left="479"/>
        <w:spacing w:line="360" w:lineRule="auto"/>
        <w:rPr>
          <w:rFonts w:ascii="宋体" w:hAnsi="宋体"/>
          <w:bCs/>
          <w:color w:val="000000"/>
          <w:sz w:val="24"/>
          <w:highlight w:val="none"/>
        </w:rPr>
      </w:pPr>
      <w:r/>
      <w:bookmarkStart w:id="120" w:name="_Toc16938551"/>
      <w:r/>
      <w:bookmarkStart w:id="121" w:name="_Toc513029235"/>
      <w:r/>
      <w:bookmarkStart w:id="122" w:name="_Toc20823307"/>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www.ccgp.gov.cn</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列入失信被执行人或</w:t>
      </w:r>
      <w:r>
        <w:rPr>
          <w:rFonts w:hint="eastAsia" w:ascii="宋体" w:hAnsi="宋体" w:eastAsia="宋体"/>
          <w:color w:val="000000"/>
          <w:sz w:val="24"/>
          <w:szCs w:val="24"/>
          <w:highlight w:val="none"/>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eastAsia="宋体"/>
          <w:bCs/>
          <w:color w:val="000000"/>
          <w:sz w:val="24"/>
          <w:szCs w:val="24"/>
          <w:highlight w:val="none"/>
          <w:lang w:eastAsia="zh-CN"/>
        </w:rPr>
        <w:t xml:space="preserve">）在</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rPr>
          <w:rFonts w:ascii="宋体" w:hAnsi="宋体"/>
          <w:bCs/>
          <w:color w:val="000000"/>
          <w:sz w:val="24"/>
          <w:highlight w:val="none"/>
          <w:shd w:val="clear" w:color="ffffff" w:fill="d9d9d9"/>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w:t>
      </w:r>
      <w:r>
        <w:rPr>
          <w:rFonts w:hint="eastAsia" w:ascii="宋体" w:hAnsi="宋体" w:eastAsia="宋体"/>
          <w:bCs/>
          <w:color w:val="000000"/>
          <w:sz w:val="24"/>
          <w:szCs w:val="24"/>
          <w:highlight w:val="none"/>
        </w:rPr>
        <w:t xml:space="preserve">的其他</w:t>
      </w:r>
      <w:r>
        <w:rPr>
          <w:rFonts w:hint="eastAsia" w:ascii="宋体" w:hAnsi="宋体"/>
          <w:bCs/>
          <w:color w:val="000000"/>
          <w:sz w:val="24"/>
          <w:szCs w:val="24"/>
          <w:highlight w:val="none"/>
        </w:rPr>
        <w:t xml:space="preserve">实质性要求和条件的</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eastAsia="宋体"/>
          <w:bCs/>
          <w:color w:val="000000"/>
          <w:sz w:val="24"/>
          <w:highlight w:val="none"/>
        </w:rPr>
        <w:t xml:space="preserve">法律法规</w:t>
      </w:r>
      <w:r>
        <w:rPr>
          <w:rFonts w:hint="eastAsia" w:ascii="宋体" w:hAnsi="宋体"/>
          <w:bCs/>
          <w:color w:val="000000"/>
          <w:sz w:val="24"/>
          <w:highlight w:val="none"/>
        </w:rPr>
        <w:t xml:space="preserve">及本招标文件规定的属无效投标的情形。</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847"/>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847"/>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26.4技术标（暗标）中出现该报价供应商单位名称、简称、人员姓名、Logo、商标、电话号码等任何标识标记及其他暗示性标志的；</w:t>
      </w:r>
      <w:r>
        <w:rPr>
          <w:rFonts w:ascii="宋体" w:hAnsi="宋体"/>
          <w:b/>
          <w:color w:val="000000"/>
          <w:sz w:val="24"/>
          <w:highlight w:val="none"/>
        </w:rPr>
      </w:r>
      <w:r/>
    </w:p>
    <w:p>
      <w:pPr>
        <w:pStyle w:val="847"/>
        <w:ind w:left="479"/>
        <w:spacing w:line="360" w:lineRule="auto"/>
        <w:rPr>
          <w:rFonts w:ascii="宋体" w:hAnsi="宋体"/>
          <w:b/>
          <w:color w:val="000000"/>
          <w:sz w:val="24"/>
          <w:highlight w:val="none"/>
        </w:rPr>
      </w:pPr>
      <w:r>
        <w:rPr>
          <w:rFonts w:hint="eastAsia" w:ascii="宋体" w:hAnsi="宋体"/>
          <w:b/>
          <w:color w:val="000000"/>
          <w:sz w:val="24"/>
          <w:highlight w:val="none"/>
        </w:rPr>
        <w:t xml:space="preserve">26.5商务标（明标）和技术标（暗标），其中某一标被本项目评委确认为无效响应文件的；</w:t>
      </w:r>
      <w:r>
        <w:rPr>
          <w:rFonts w:ascii="宋体" w:hAnsi="宋体"/>
          <w:b/>
          <w:color w:val="000000"/>
          <w:sz w:val="24"/>
          <w:highlight w:val="none"/>
        </w:rPr>
      </w:r>
      <w:r/>
    </w:p>
    <w:p>
      <w:pPr>
        <w:pStyle w:val="847"/>
        <w:ind w:left="479"/>
        <w:spacing w:line="360" w:lineRule="auto"/>
        <w:rPr>
          <w:color w:val="000000"/>
          <w:highlight w:val="none"/>
        </w:rPr>
      </w:pPr>
      <w:r>
        <w:rPr>
          <w:rFonts w:hint="eastAsia" w:ascii="宋体" w:hAnsi="宋体"/>
          <w:b/>
          <w:color w:val="000000"/>
          <w:sz w:val="24"/>
          <w:highlight w:val="none"/>
        </w:rPr>
        <w:t xml:space="preserve">26.6暗标未按要求编制，编制粗糙、格式混乱、条理不清的；</w:t>
      </w:r>
      <w:r>
        <w:rPr>
          <w:color w:val="000000"/>
          <w:highlight w:val="none"/>
        </w:rPr>
      </w:r>
      <w:r/>
    </w:p>
    <w:p>
      <w:pPr>
        <w:pStyle w:val="1070"/>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20823310"/>
      <w:r/>
      <w:bookmarkStart w:id="126" w:name="_Toc16938554"/>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rPr>
          <w:rFonts w:ascii="宋体" w:hAnsi="宋体" w:eastAsia="宋体"/>
          <w:bCs w:val="0"/>
          <w:color w:val="000000"/>
          <w:highlight w:val="none"/>
          <w:lang w:eastAsia="zh-CN"/>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rPr>
          <w:rFonts w:ascii="宋体" w:hAnsi="宋体"/>
          <w:bCs/>
          <w:color w:val="000000"/>
          <w:sz w:val="24"/>
          <w:highlight w:val="none"/>
        </w:rPr>
      </w:r>
      <w:r/>
    </w:p>
    <w:p>
      <w:pPr>
        <w:pStyle w:val="84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ascii="宋体" w:hAnsi="宋体"/>
          <w:bCs/>
          <w:color w:val="000000"/>
          <w:sz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将在“无锡政府采购网”“江苏政府采购网”发布中标公告，公告期限为1个工作日。</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行贿或者提供其他不正当利益的。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000000"/>
          <w:sz w:val="24"/>
          <w:szCs w:val="24"/>
          <w:highlight w:val="none"/>
        </w:rPr>
        <w:t xml:space="preserve">等</w:t>
      </w:r>
      <w:r>
        <w:rPr>
          <w:rFonts w:hint="eastAsia" w:ascii="宋体" w:hAnsi="宋体"/>
          <w:color w:val="000000"/>
          <w:sz w:val="24"/>
          <w:szCs w:val="24"/>
          <w:highlight w:val="none"/>
        </w:rPr>
        <w:t xml:space="preserve">请向采购</w:t>
      </w:r>
      <w:r>
        <w:rPr>
          <w:rFonts w:hint="eastAsia" w:ascii="宋体" w:hAnsi="宋体" w:eastAsia="宋体"/>
          <w:color w:val="000000"/>
          <w:sz w:val="24"/>
          <w:szCs w:val="24"/>
          <w:highlight w:val="none"/>
        </w:rPr>
        <w:t xml:space="preserve">代理机构或采购人</w:t>
      </w:r>
      <w:r>
        <w:rPr>
          <w:rFonts w:hint="eastAsia" w:ascii="宋体" w:hAnsi="宋体"/>
          <w:color w:val="000000"/>
          <w:sz w:val="24"/>
          <w:szCs w:val="24"/>
          <w:highlight w:val="none"/>
        </w:rPr>
        <w:t xml:space="preserve">提出，由</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负责答复。</w:t>
      </w:r>
      <w:r>
        <w:rPr>
          <w:rFonts w:ascii="宋体" w:hAnsi="宋体"/>
          <w:color w:val="000000"/>
          <w:sz w:val="24"/>
          <w:szCs w:val="24"/>
          <w:highlight w:val="none"/>
          <w:shd w:val="clear" w:color="ffffff" w:fill="d9d9d9"/>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只接收以纸质原件形式送达的质疑</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不接受未填写快递运单的快件）。</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联系人、联系方式、通信地址见招标文件第一章。</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847"/>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rPr>
        <w:t xml:space="preserve">因未及时下载而造成的不利后果由中标人自行承担。</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highlight w:val="none"/>
        </w:rPr>
      </w:r>
      <w:r/>
    </w:p>
    <w:p>
      <w:pPr>
        <w:pStyle w:val="1070"/>
        <w:ind w:firstLine="452"/>
        <w:keepLines w:val="0"/>
        <w:keepNext w:val="0"/>
        <w:spacing w:before="0" w:after="0" w:line="360" w:lineRule="auto"/>
        <w:rPr>
          <w:color w:val="000000"/>
          <w:sz w:val="30"/>
          <w:szCs w:val="30"/>
          <w:highlight w:val="none"/>
          <w:lang w:eastAsia="zh-CN"/>
        </w:rPr>
      </w:pPr>
      <w:r/>
      <w:bookmarkStart w:id="128" w:name="_Toc20823308"/>
      <w:r/>
      <w:bookmarkStart w:id="129" w:name="_Toc513029236"/>
      <w:r/>
      <w:bookmarkStart w:id="130" w:name="_Toc120614220"/>
      <w:r/>
      <w:bookmarkStart w:id="131" w:name="_Toc16938552"/>
      <w:r>
        <w:rPr>
          <w:rFonts w:hint="eastAsia"/>
          <w:color w:val="000000"/>
          <w:sz w:val="30"/>
          <w:szCs w:val="30"/>
          <w:highlight w:val="none"/>
          <w:lang w:eastAsia="zh-CN"/>
        </w:rPr>
        <w:t xml:space="preserve">七、授予合同</w:t>
      </w:r>
      <w:bookmarkEnd w:id="128"/>
      <w:r/>
      <w:bookmarkEnd w:id="129"/>
      <w:r/>
      <w:bookmarkEnd w:id="130"/>
      <w:r/>
      <w:bookmarkEnd w:id="131"/>
      <w:r>
        <w:rPr>
          <w:color w:val="000000"/>
          <w:sz w:val="30"/>
          <w:szCs w:val="30"/>
          <w:highlight w:val="none"/>
          <w:lang w:eastAsia="zh-CN"/>
        </w:rPr>
      </w:r>
      <w:r/>
    </w:p>
    <w:p>
      <w:pPr>
        <w:pStyle w:val="1220"/>
        <w:ind w:firstLine="422"/>
        <w:keepLines w:val="0"/>
        <w:keepNext w:val="0"/>
        <w:spacing w:before="0" w:after="0" w:line="360" w:lineRule="auto"/>
        <w:rPr>
          <w:rFonts w:ascii="宋体" w:hAnsi="宋体" w:eastAsia="宋体"/>
          <w:bCs w:val="0"/>
          <w:color w:val="000000"/>
          <w:highlight w:val="none"/>
          <w:lang w:eastAsia="zh-CN"/>
        </w:rPr>
      </w:pPr>
      <w:r/>
      <w:bookmarkStart w:id="132" w:name="_Toc16938553"/>
      <w:r/>
      <w:bookmarkStart w:id="133" w:name="_Toc20823309"/>
      <w:r/>
      <w:bookmarkStart w:id="134" w:name="_Toc513029237"/>
      <w:r>
        <w:rPr>
          <w:rFonts w:hint="eastAsia" w:ascii="宋体" w:hAnsi="宋体" w:eastAsia="宋体"/>
          <w:bCs w:val="0"/>
          <w:color w:val="000000"/>
          <w:highlight w:val="none"/>
          <w:lang w:eastAsia="zh-CN"/>
        </w:rPr>
        <w:t xml:space="preserve">30.签订合同</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eastAsia="宋体"/>
          <w:color w:val="000000"/>
          <w:sz w:val="24"/>
          <w:szCs w:val="24"/>
          <w:highlight w:val="none"/>
        </w:rPr>
        <w:t xml:space="preserve">采购代理机构</w:t>
      </w:r>
      <w:r>
        <w:rPr>
          <w:rFonts w:hint="eastAsia" w:ascii="宋体" w:hAnsi="宋体"/>
          <w:color w:val="000000"/>
          <w:sz w:val="24"/>
          <w:szCs w:val="24"/>
          <w:highlight w:val="none"/>
        </w:rPr>
        <w:t xml:space="preserve">将根据具体情况提请政府采购管理部门作出相应处理。</w:t>
      </w:r>
      <w:r>
        <w:rPr>
          <w:rFonts w:ascii="宋体" w:hAnsi="宋体"/>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olor w:val="000000"/>
          <w:sz w:val="24"/>
          <w:szCs w:val="24"/>
          <w:highlight w:val="none"/>
        </w:rPr>
      </w:r>
      <w:r/>
    </w:p>
    <w:p>
      <w:pPr>
        <w:pStyle w:val="1220"/>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rPr>
          <w:rFonts w:ascii="宋体" w:hAnsi="宋体" w:eastAsia="宋体"/>
          <w:bCs w:val="0"/>
          <w:color w:val="000000"/>
          <w:highlight w:val="none"/>
          <w:lang w:eastAsia="zh-CN"/>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000000"/>
          <w:sz w:val="24"/>
          <w:szCs w:val="24"/>
          <w:highlight w:val="none"/>
        </w:rPr>
        <w:t xml:space="preserve">额的</w:t>
      </w:r>
      <w:r>
        <w:rPr>
          <w:rFonts w:hint="eastAsia" w:ascii="宋体" w:hAnsi="宋体"/>
          <w:color w:val="000000"/>
          <w:sz w:val="24"/>
          <w:szCs w:val="24"/>
          <w:highlight w:val="none"/>
        </w:rPr>
        <w:t xml:space="preserve">10%。</w:t>
      </w:r>
      <w:r>
        <w:rPr>
          <w:rFonts w:ascii="宋体" w:hAnsi="宋体"/>
          <w:color w:val="000000"/>
          <w:sz w:val="24"/>
          <w:szCs w:val="24"/>
          <w:highlight w:val="none"/>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bookmarkEnd w:id="132"/>
      <w:r/>
      <w:bookmarkEnd w:id="133"/>
      <w:r/>
      <w:bookmarkEnd w:id="134"/>
      <w:r>
        <w:rPr>
          <w:rFonts w:ascii="黑体" w:eastAsia="黑体"/>
          <w:color w:val="000000"/>
          <w:sz w:val="36"/>
          <w:szCs w:val="36"/>
          <w:highlight w:val="none"/>
          <w:lang w:eastAsia="zh-CN"/>
        </w:rPr>
      </w:r>
      <w:r/>
    </w:p>
    <w:p>
      <w:pPr>
        <w:pStyle w:val="1218"/>
        <w:jc w:val="center"/>
        <w:spacing w:line="360" w:lineRule="auto"/>
        <w:rPr>
          <w:rFonts w:ascii="黑体" w:eastAsia="黑体"/>
          <w:color w:val="000000"/>
          <w:sz w:val="36"/>
          <w:szCs w:val="36"/>
          <w:highlight w:val="none"/>
          <w:lang w:eastAsia="zh-CN"/>
        </w:rPr>
      </w:pPr>
      <w:r>
        <w:rPr>
          <w:rFonts w:ascii="黑体" w:eastAsia="黑体"/>
          <w:color w:val="000000"/>
          <w:sz w:val="36"/>
          <w:szCs w:val="36"/>
          <w:highlight w:val="none"/>
          <w:lang w:eastAsia="zh-CN"/>
        </w:rPr>
      </w:r>
      <w:r/>
    </w:p>
    <w:p>
      <w:pPr>
        <w:pStyle w:val="1218"/>
        <w:ind w:firstLine="0"/>
        <w:spacing w:line="360" w:lineRule="auto"/>
        <w:rPr>
          <w:rFonts w:ascii="黑体" w:eastAsia="黑体"/>
          <w:bCs/>
          <w:color w:val="000000"/>
          <w:sz w:val="36"/>
          <w:szCs w:val="36"/>
          <w:highlight w:val="none"/>
          <w:lang w:eastAsia="zh-CN"/>
        </w:rPr>
      </w:pPr>
      <w:r/>
      <w:bookmarkStart w:id="135" w:name="_Toc513029242"/>
      <w:r/>
      <w:bookmarkStart w:id="136" w:name="_Toc20823314"/>
      <w:r/>
      <w:bookmarkStart w:id="137" w:name="_Toc120614221"/>
      <w:r/>
      <w:bookmarkStart w:id="138" w:name="_Toc479757207"/>
      <w:r/>
      <w:bookmarkStart w:id="139" w:name="_Toc16938558"/>
      <w:r>
        <w:rPr>
          <w:rFonts w:ascii="黑体" w:eastAsia="黑体"/>
          <w:bCs/>
          <w:color w:val="000000"/>
          <w:sz w:val="36"/>
          <w:szCs w:val="36"/>
          <w:highlight w:val="none"/>
          <w:lang w:eastAsia="zh-CN"/>
        </w:rPr>
      </w:r>
      <w:r/>
    </w:p>
    <w:p>
      <w:pPr>
        <w:pStyle w:val="847"/>
        <w:rPr>
          <w:rFonts w:ascii="黑体" w:eastAsia="黑体"/>
          <w:bCs/>
          <w:color w:val="000000"/>
          <w:sz w:val="36"/>
          <w:szCs w:val="36"/>
          <w:highlight w:val="none"/>
        </w:rPr>
      </w:pPr>
      <w:r>
        <w:rPr>
          <w:rFonts w:hint="eastAsia" w:ascii="黑体" w:eastAsia="黑体"/>
          <w:bCs/>
          <w:color w:val="000000"/>
          <w:sz w:val="36"/>
          <w:szCs w:val="36"/>
          <w:highlight w:val="none"/>
        </w:rPr>
        <w:br w:type="page" w:clear="all"/>
      </w:r>
      <w:bookmarkEnd w:id="135"/>
      <w:r/>
      <w:bookmarkEnd w:id="136"/>
      <w:r/>
      <w:bookmarkEnd w:id="137"/>
      <w:r/>
      <w:bookmarkEnd w:id="138"/>
      <w:r/>
      <w:bookmarkEnd w:id="139"/>
      <w:r>
        <w:rPr>
          <w:rFonts w:ascii="黑体" w:eastAsia="黑体"/>
          <w:bCs/>
          <w:color w:val="000000"/>
          <w:sz w:val="36"/>
          <w:szCs w:val="36"/>
          <w:highlight w:val="none"/>
        </w:rPr>
      </w:r>
      <w:r/>
    </w:p>
    <w:p>
      <w:pPr>
        <w:pStyle w:val="1218"/>
        <w:numPr>
          <w:ilvl w:val="0"/>
          <w:numId w:val="9"/>
        </w:numPr>
        <w:ind w:firstLine="0"/>
        <w:jc w:val="center"/>
        <w:spacing w:line="360" w:lineRule="auto"/>
        <w:rPr>
          <w:rFonts w:ascii="黑体" w:eastAsia="黑体"/>
          <w:bCs/>
          <w:color w:val="000000"/>
          <w:sz w:val="36"/>
          <w:szCs w:val="36"/>
          <w:highlight w:val="none"/>
          <w:lang w:eastAsia="zh-CN"/>
        </w:rPr>
      </w:pPr>
      <w:r/>
      <w:bookmarkStart w:id="140" w:name="_Toc20823315"/>
      <w:r/>
      <w:bookmarkStart w:id="141" w:name="_Toc513029243"/>
      <w:r/>
      <w:bookmarkStart w:id="142" w:name="_Toc16938559"/>
      <w:r>
        <w:rPr>
          <w:rFonts w:hint="eastAsia" w:ascii="黑体" w:eastAsia="黑体"/>
          <w:bCs/>
          <w:color w:val="000000"/>
          <w:sz w:val="36"/>
          <w:szCs w:val="36"/>
          <w:highlight w:val="none"/>
          <w:lang w:eastAsia="zh-CN"/>
        </w:rPr>
        <w:t xml:space="preserve"> 合同文本</w:t>
      </w:r>
      <w:bookmarkEnd w:id="140"/>
      <w:r/>
      <w:bookmarkEnd w:id="141"/>
      <w:r/>
      <w:bookmarkEnd w:id="142"/>
      <w:r>
        <w:rPr>
          <w:rFonts w:ascii="黑体" w:eastAsia="黑体"/>
          <w:bCs/>
          <w:color w:val="000000"/>
          <w:sz w:val="36"/>
          <w:szCs w:val="36"/>
          <w:highlight w:val="none"/>
          <w:lang w:eastAsia="zh-CN"/>
        </w:rPr>
      </w:r>
      <w:r/>
    </w:p>
    <w:p>
      <w:pPr>
        <w:pStyle w:val="847"/>
        <w:ind w:left="560" w:right="1519"/>
        <w:spacing w:before="98" w:line="202" w:lineRule="auto"/>
        <w:rPr>
          <w:rFonts w:ascii="宋体" w:hAnsi="宋体" w:eastAsia="宋体" w:cs="宋体"/>
          <w:color w:val="000000"/>
          <w:sz w:val="24"/>
          <w:szCs w:val="24"/>
          <w:highlight w:val="none"/>
        </w:rPr>
      </w:pPr>
      <w:r/>
      <w:bookmarkStart w:id="143" w:name="_Hlt16619350"/>
      <w:r/>
      <w:bookmarkStart w:id="144" w:name="_Toc16938590"/>
      <w:r/>
      <w:bookmarkStart w:id="145" w:name="_Toc120614244"/>
      <w:r/>
      <w:bookmarkStart w:id="146" w:name="_Toc20823346"/>
      <w:r>
        <w:rPr>
          <w:rFonts w:hint="eastAsia" w:ascii="宋体" w:hAnsi="宋体" w:eastAsia="宋体" w:cs="宋体"/>
          <w:color w:val="000000"/>
          <w:position w:val="2"/>
          <w:sz w:val="24"/>
          <w:szCs w:val="24"/>
          <w:highlight w:val="none"/>
        </w:rPr>
        <w:t xml:space="preserve">甲方： </w:t>
      </w:r>
      <w:r>
        <w:rPr>
          <w:rFonts w:hint="eastAsia" w:ascii="宋体" w:hAnsi="宋体" w:eastAsia="宋体" w:cs="宋体"/>
          <w:color w:val="000000"/>
          <w:position w:val="2"/>
          <w:sz w:val="24"/>
          <w:szCs w:val="24"/>
          <w:highlight w:val="none"/>
          <w:u w:val="single"/>
        </w:rPr>
        <w:t xml:space="preserve">            </w:t>
      </w:r>
      <w:r>
        <w:rPr>
          <w:rFonts w:hint="eastAsia" w:ascii="宋体" w:hAnsi="宋体" w:eastAsia="宋体" w:cs="宋体"/>
          <w:color w:val="000000"/>
          <w:spacing w:val="-128"/>
          <w:position w:val="2"/>
          <w:sz w:val="24"/>
          <w:szCs w:val="24"/>
          <w:highlight w:val="none"/>
        </w:rPr>
        <w:t xml:space="preserve"> ，</w:t>
      </w:r>
      <w:r>
        <w:rPr>
          <w:rFonts w:hint="eastAsia" w:ascii="宋体" w:hAnsi="宋体" w:eastAsia="宋体" w:cs="宋体"/>
          <w:color w:val="000000"/>
          <w:position w:val="-1"/>
          <w:sz w:val="24"/>
          <w:szCs w:val="24"/>
          <w:highlight w:val="none"/>
        </w:rPr>
        <w:t xml:space="preserve">统</w:t>
      </w:r>
      <w:r>
        <w:rPr>
          <w:rFonts w:hint="eastAsia" w:ascii="宋体" w:hAnsi="宋体" w:eastAsia="宋体" w:cs="宋体"/>
          <w:color w:val="000000"/>
          <w:spacing w:val="-75"/>
          <w:position w:val="-1"/>
          <w:sz w:val="24"/>
          <w:szCs w:val="24"/>
          <w:highlight w:val="none"/>
        </w:rPr>
        <w:t xml:space="preserve"> </w:t>
      </w:r>
      <w:r>
        <w:rPr>
          <w:rFonts w:hint="eastAsia" w:ascii="宋体" w:hAnsi="宋体" w:eastAsia="宋体" w:cs="宋体"/>
          <w:color w:val="000000"/>
          <w:position w:val="-1"/>
          <w:sz w:val="24"/>
          <w:szCs w:val="24"/>
          <w:highlight w:val="none"/>
        </w:rPr>
        <w:t xml:space="preserve">一</w:t>
      </w:r>
      <w:r>
        <w:rPr>
          <w:rFonts w:hint="eastAsia" w:ascii="宋体" w:hAnsi="宋体" w:eastAsia="宋体" w:cs="宋体"/>
          <w:color w:val="000000"/>
          <w:spacing w:val="-78"/>
          <w:position w:val="-1"/>
          <w:sz w:val="24"/>
          <w:szCs w:val="24"/>
          <w:highlight w:val="none"/>
        </w:rPr>
        <w:t xml:space="preserve"> </w:t>
      </w:r>
      <w:r>
        <w:rPr>
          <w:rFonts w:hint="eastAsia" w:ascii="宋体" w:hAnsi="宋体" w:eastAsia="宋体" w:cs="宋体"/>
          <w:color w:val="000000"/>
          <w:position w:val="-1"/>
          <w:sz w:val="24"/>
          <w:szCs w:val="24"/>
          <w:highlight w:val="none"/>
        </w:rPr>
        <w:t xml:space="preserve">社会信用代码： </w:t>
      </w:r>
      <w:r>
        <w:rPr>
          <w:rFonts w:hint="eastAsia" w:ascii="宋体" w:hAnsi="宋体" w:eastAsia="宋体" w:cs="宋体"/>
          <w:color w:val="000000"/>
          <w:position w:val="-1"/>
          <w:sz w:val="24"/>
          <w:szCs w:val="24"/>
          <w:highlight w:val="none"/>
          <w:u w:val="single"/>
        </w:rPr>
        <w:t xml:space="preserve">        </w:t>
      </w:r>
      <w:r>
        <w:rPr>
          <w:rFonts w:hint="eastAsia" w:ascii="宋体" w:hAnsi="宋体" w:eastAsia="宋体" w:cs="宋体"/>
          <w:color w:val="000000"/>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4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847"/>
        <w:ind w:left="560" w:right="1499"/>
        <w:spacing w:before="34" w:line="213" w:lineRule="auto"/>
        <w:rPr>
          <w:rFonts w:ascii="宋体" w:hAnsi="宋体" w:eastAsia="宋体" w:cs="宋体"/>
          <w:color w:val="000000"/>
          <w:sz w:val="24"/>
          <w:szCs w:val="24"/>
          <w:highlight w:val="none"/>
        </w:rPr>
      </w:pPr>
      <w:r>
        <w:rPr>
          <w:rFonts w:hint="eastAsia" w:ascii="宋体" w:hAnsi="宋体" w:eastAsia="宋体" w:cs="宋体"/>
          <w:color w:val="000000"/>
          <w:position w:val="3"/>
          <w:sz w:val="24"/>
          <w:szCs w:val="24"/>
          <w:highlight w:val="none"/>
        </w:rPr>
        <w:t xml:space="preserve">乙方： </w:t>
      </w:r>
      <w:r>
        <w:rPr>
          <w:rFonts w:hint="eastAsia" w:ascii="宋体" w:hAnsi="宋体" w:eastAsia="宋体" w:cs="宋体"/>
          <w:color w:val="000000"/>
          <w:position w:val="3"/>
          <w:sz w:val="24"/>
          <w:szCs w:val="24"/>
          <w:highlight w:val="none"/>
          <w:u w:val="single"/>
        </w:rPr>
        <w:t xml:space="preserve">            </w:t>
      </w:r>
      <w:r>
        <w:rPr>
          <w:rFonts w:hint="eastAsia" w:ascii="宋体" w:hAnsi="宋体" w:eastAsia="宋体" w:cs="宋体"/>
          <w:color w:val="000000"/>
          <w:spacing w:val="-110"/>
          <w:position w:val="3"/>
          <w:sz w:val="24"/>
          <w:szCs w:val="24"/>
          <w:highlight w:val="none"/>
        </w:rPr>
        <w:t xml:space="preserve"> ，</w:t>
      </w:r>
      <w:r>
        <w:rPr>
          <w:rFonts w:hint="eastAsia" w:ascii="宋体" w:hAnsi="宋体" w:eastAsia="宋体" w:cs="宋体"/>
          <w:color w:val="000000"/>
          <w:position w:val="-1"/>
          <w:sz w:val="24"/>
          <w:szCs w:val="24"/>
          <w:highlight w:val="none"/>
        </w:rPr>
        <w:t xml:space="preserve">统一社会信用代码：</w:t>
      </w:r>
      <w:r>
        <w:rPr>
          <w:rFonts w:hint="eastAsia" w:ascii="宋体" w:hAnsi="宋体" w:eastAsia="宋体" w:cs="宋体"/>
          <w:color w:val="000000"/>
          <w:spacing w:val="-41"/>
          <w:position w:val="-1"/>
          <w:sz w:val="24"/>
          <w:szCs w:val="24"/>
          <w:highlight w:val="none"/>
        </w:rPr>
        <w:t xml:space="preserve"> </w:t>
      </w:r>
      <w:r>
        <w:rPr>
          <w:rFonts w:hint="eastAsia" w:ascii="宋体" w:hAnsi="宋体" w:eastAsia="宋体" w:cs="宋体"/>
          <w:color w:val="000000"/>
          <w:spacing w:val="5"/>
          <w:position w:val="-1"/>
          <w:sz w:val="24"/>
          <w:szCs w:val="24"/>
          <w:highlight w:val="none"/>
          <w:u w:val="single"/>
        </w:rPr>
        <w:t xml:space="preserve">       </w:t>
      </w:r>
      <w:r>
        <w:rPr>
          <w:rFonts w:hint="eastAsia" w:ascii="宋体" w:hAnsi="宋体" w:eastAsia="宋体" w:cs="宋体"/>
          <w:color w:val="000000"/>
          <w:spacing w:val="5"/>
          <w:position w:val="-1"/>
          <w:sz w:val="24"/>
          <w:szCs w:val="24"/>
          <w:highlight w:val="non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pacing w:val="-3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859"/>
        <w:spacing w:line="284"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position w:val="2"/>
          <w:sz w:val="24"/>
          <w:szCs w:val="24"/>
          <w:highlight w:val="none"/>
        </w:rPr>
        <w:t xml:space="preserve">鉴于乙方具备提供</w:t>
      </w:r>
      <w:r>
        <w:rPr>
          <w:rFonts w:hint="eastAsia" w:ascii="宋体" w:hAnsi="宋体" w:eastAsia="宋体" w:cs="宋体"/>
          <w:color w:val="000000"/>
          <w:spacing w:val="17"/>
          <w:position w:val="1"/>
          <w:sz w:val="24"/>
          <w:szCs w:val="24"/>
          <w:highlight w:val="none"/>
        </w:rPr>
        <w:t xml:space="preserve"> </w:t>
      </w:r>
      <w:r>
        <w:rPr>
          <w:rFonts w:hint="eastAsia" w:ascii="宋体" w:hAnsi="宋体" w:eastAsia="宋体" w:cs="宋体"/>
          <w:color w:val="000000"/>
          <w:spacing w:val="17"/>
          <w:position w:val="1"/>
          <w:sz w:val="24"/>
          <w:szCs w:val="24"/>
          <w:highlight w:val="none"/>
          <w:u w:val="single"/>
        </w:rPr>
        <w:t xml:space="preserve">       </w:t>
      </w:r>
      <w:r>
        <w:rPr>
          <w:rFonts w:hint="eastAsia" w:ascii="宋体" w:hAnsi="宋体" w:eastAsia="宋体" w:cs="宋体"/>
          <w:color w:val="000000"/>
          <w:sz w:val="24"/>
          <w:szCs w:val="24"/>
          <w:highlight w:val="none"/>
        </w:rPr>
        <w:t xml:space="preserve">检测技术服务的资格、技术条件和能力， 甲、乙双方经友好协商，在真实、充分地表达各自意愿的基础上，就乙方为甲方提供检测服务等相关事宜达成一致，以资共同遵守。</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一、委托内容</w:t>
      </w:r>
      <w:r>
        <w:rPr>
          <w:rFonts w:ascii="宋体" w:hAnsi="宋体" w:eastAsia="宋体" w:cs="宋体"/>
          <w:b/>
          <w:bCs/>
          <w:color w:val="000000"/>
          <w:sz w:val="24"/>
          <w:szCs w:val="24"/>
          <w:highlight w:val="none"/>
        </w:rPr>
      </w:r>
      <w:r/>
    </w:p>
    <w:p>
      <w:pPr>
        <w:pStyle w:val="847"/>
        <w:ind w:left="660"/>
        <w:spacing w:before="11"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甲、乙双方经友好协商，乙方向甲方提供以</w:t>
      </w:r>
      <w:r>
        <w:rPr>
          <w:rFonts w:hint="eastAsia" w:ascii="宋体" w:hAnsi="宋体" w:eastAsia="宋体" w:cs="宋体"/>
          <w:color w:val="000000"/>
          <w:spacing w:val="-1"/>
          <w:sz w:val="24"/>
          <w:szCs w:val="24"/>
          <w:highlight w:val="none"/>
        </w:rPr>
        <w:t xml:space="preserve">下检测服务：</w:t>
      </w:r>
      <w:r>
        <w:rPr>
          <w:rFonts w:ascii="宋体" w:hAnsi="宋体" w:eastAsia="宋体" w:cs="宋体"/>
          <w:color w:val="000000"/>
          <w:sz w:val="24"/>
          <w:szCs w:val="24"/>
          <w:highlight w:val="none"/>
        </w:rPr>
      </w:r>
      <w:r/>
    </w:p>
    <w:tbl>
      <w:tblPr>
        <w:tblStyle w:val="1317"/>
        <w:tblW w:w="8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vAlign w:val="top"/>
            <w:textDirection w:val="lrTb"/>
            <w:noWrap w:val="false"/>
          </w:tcPr>
          <w:p>
            <w:pPr>
              <w:pStyle w:val="847"/>
              <w:ind w:left="465"/>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检测项目</w:t>
            </w:r>
            <w:r>
              <w:rPr>
                <w:rFonts w:ascii="宋体" w:hAnsi="宋体" w:eastAsia="宋体" w:cs="宋体"/>
                <w:color w:val="000000"/>
                <w:sz w:val="24"/>
                <w:szCs w:val="24"/>
                <w:highlight w:val="none"/>
              </w:rPr>
            </w:r>
            <w:r/>
          </w:p>
        </w:tc>
        <w:tc>
          <w:tcPr>
            <w:tcW w:w="2077" w:type="dxa"/>
            <w:vAlign w:val="top"/>
            <w:textDirection w:val="lrTb"/>
            <w:noWrap w:val="false"/>
          </w:tcPr>
          <w:p>
            <w:pPr>
              <w:pStyle w:val="847"/>
              <w:ind w:left="492"/>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收费标准</w:t>
            </w:r>
            <w:r>
              <w:rPr>
                <w:rFonts w:ascii="宋体" w:hAnsi="宋体" w:eastAsia="宋体" w:cs="宋体"/>
                <w:color w:val="000000"/>
                <w:sz w:val="24"/>
                <w:szCs w:val="24"/>
                <w:highlight w:val="none"/>
              </w:rPr>
            </w:r>
            <w:r/>
          </w:p>
        </w:tc>
        <w:tc>
          <w:tcPr>
            <w:tcW w:w="2068" w:type="dxa"/>
            <w:vAlign w:val="top"/>
            <w:textDirection w:val="lrTb"/>
            <w:noWrap w:val="false"/>
          </w:tcPr>
          <w:p>
            <w:pPr>
              <w:pStyle w:val="847"/>
              <w:ind w:left="475"/>
              <w:spacing w:before="53" w:line="204"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结算价格</w:t>
            </w:r>
            <w:r>
              <w:rPr>
                <w:rFonts w:ascii="宋体" w:hAnsi="宋体" w:eastAsia="宋体" w:cs="宋体"/>
                <w:color w:val="000000"/>
                <w:sz w:val="24"/>
                <w:szCs w:val="24"/>
                <w:highlight w:val="none"/>
              </w:rPr>
            </w:r>
            <w:r/>
          </w:p>
        </w:tc>
        <w:tc>
          <w:tcPr>
            <w:tcW w:w="2083" w:type="dxa"/>
            <w:vAlign w:val="top"/>
            <w:textDirection w:val="lrTb"/>
            <w:noWrap w:val="false"/>
          </w:tcPr>
          <w:p>
            <w:pPr>
              <w:pStyle w:val="847"/>
              <w:ind w:left="477"/>
              <w:spacing w:before="56" w:line="202" w:lineRule="auto"/>
              <w:rPr>
                <w:rFonts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检测周期</w:t>
            </w:r>
            <w:r>
              <w:rPr>
                <w:rFonts w:ascii="宋体" w:hAnsi="宋体" w:eastAsia="宋体" w:cs="宋体"/>
                <w:color w:val="000000"/>
                <w:sz w:val="24"/>
                <w:szCs w:val="24"/>
                <w:highlight w:val="none"/>
              </w:rPr>
            </w:r>
            <w:r/>
          </w:p>
        </w:tc>
      </w:tr>
      <w:tr>
        <w:trPr>
          <w:trHeight w:val="357"/>
        </w:trPr>
        <w:tc>
          <w:tcPr>
            <w:tcW w:w="2072"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57"/>
        </w:trPr>
        <w:tc>
          <w:tcPr>
            <w:tcW w:w="2072"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53"/>
        </w:trPr>
        <w:tc>
          <w:tcPr>
            <w:tcW w:w="2072"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77"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68"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83" w:type="dxa"/>
            <w:vAlign w:val="top"/>
            <w:textDirection w:val="lrTb"/>
            <w:noWrap w:val="false"/>
          </w:tcPr>
          <w:p>
            <w:pPr>
              <w:pStyle w:val="84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检测周期是自乙方接收到合格样本至出具检测报告的时间。</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在合同期内如遇到政策性收费价格下调，结算价格等比例下调。</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二、双方权利与义务</w:t>
      </w:r>
      <w:r>
        <w:rPr>
          <w:rFonts w:ascii="宋体" w:hAnsi="宋体" w:eastAsia="宋体" w:cs="宋体"/>
          <w:b/>
          <w:bCs/>
          <w:color w:val="000000"/>
          <w:sz w:val="24"/>
          <w:szCs w:val="24"/>
          <w:highlight w:val="none"/>
        </w:rPr>
      </w:r>
      <w:r/>
    </w:p>
    <w:p>
      <w:pPr>
        <w:pStyle w:val="847"/>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（一）甲方权利和义务</w:t>
      </w:r>
      <w:r>
        <w:rPr>
          <w:rFonts w:ascii="宋体" w:hAnsi="宋体" w:eastAsia="宋体" w:cs="宋体"/>
          <w:b/>
          <w:bCs/>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1.受检者咨询：甲方负责告知受检者及家属关于检测项目的相关必要 信息及各种检测技术的局限性，并对受检者给予咨询解答工作，安排和指导受检者在接受检测前签署相关的知情同意书。</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2.样本采集和前期处理：甲方负责样本采集并保证样本的合法性、合格性。甲方应当在约定的检测项目要求的规定时间内，按照规定的方式对 其所采集的标本进行符合规范的前期处理和存储。</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3.样本递送：甲方负责向乙方提供样本及每份样本的</w:t>
      </w:r>
      <w:r>
        <w:rPr>
          <w:rFonts w:hint="eastAsia" w:ascii="宋体" w:hAnsi="宋体" w:eastAsia="宋体" w:cs="宋体"/>
          <w:b/>
          <w:bCs/>
          <w:color w:val="000000"/>
          <w:sz w:val="24"/>
          <w:szCs w:val="24"/>
          <w:highlight w:val="none"/>
        </w:rPr>
        <w:t xml:space="preserve">检测申请单、知情同意书</w:t>
      </w:r>
      <w:r>
        <w:rPr>
          <w:rFonts w:hint="eastAsia" w:ascii="宋体" w:hAnsi="宋体" w:eastAsia="宋体" w:cs="宋体"/>
          <w:color w:val="000000"/>
          <w:sz w:val="24"/>
          <w:szCs w:val="24"/>
          <w:highlight w:val="none"/>
        </w:rPr>
        <w:t xml:space="preserve">，并确保样本、申请单、知情同意书中</w:t>
      </w:r>
      <w:r>
        <w:rPr>
          <w:rFonts w:hint="eastAsia" w:ascii="宋体" w:hAnsi="宋体" w:eastAsia="宋体" w:cs="宋体"/>
          <w:b/>
          <w:bCs/>
          <w:color w:val="000000"/>
          <w:sz w:val="24"/>
          <w:szCs w:val="24"/>
          <w:highlight w:val="none"/>
        </w:rPr>
        <w:t xml:space="preserve">受检者信息一致</w:t>
      </w:r>
      <w:r>
        <w:rPr>
          <w:rFonts w:hint="eastAsia" w:ascii="宋体" w:hAnsi="宋体" w:eastAsia="宋体" w:cs="宋体"/>
          <w:color w:val="000000"/>
          <w:sz w:val="24"/>
          <w:szCs w:val="24"/>
          <w:highlight w:val="none"/>
        </w:rPr>
        <w:t xml:space="preserve">，受检者和送检医生均需签字。甲方根据双方约定的方式将上述资料和样本递送至乙方，同时提供签字确认的交接单。</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4.报告接收与发放：甲方应及时接收乙方所发放的检测报告单，根据检测结果及解释向受检者提供合理的医学建议。</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6.检测收费：甲方每</w:t>
      </w:r>
      <w:r>
        <w:rPr>
          <w:rFonts w:hint="eastAsia" w:ascii="宋体" w:hAnsi="宋体" w:eastAsia="宋体" w:cs="宋体"/>
          <w:color w:val="000000"/>
          <w:sz w:val="24"/>
          <w:szCs w:val="24"/>
          <w:highlight w:val="none"/>
          <w:u w:val="single"/>
        </w:rPr>
        <w:t xml:space="preserve">         （定期）</w:t>
      </w:r>
      <w:r>
        <w:rPr>
          <w:rFonts w:hint="eastAsia" w:ascii="宋体" w:hAnsi="宋体" w:eastAsia="宋体" w:cs="宋体"/>
          <w:color w:val="000000"/>
          <w:sz w:val="24"/>
          <w:szCs w:val="24"/>
          <w:highlight w:val="none"/>
        </w:rPr>
        <w:t xml:space="preserve">统计一次，并及时和乙方提供 的对账单核对，准时结算检测费用。</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7.甲方对乙方有</w:t>
      </w:r>
      <w:r>
        <w:rPr>
          <w:rFonts w:hint="eastAsia" w:ascii="宋体" w:hAnsi="宋体" w:eastAsia="宋体" w:cs="宋体"/>
          <w:color w:val="000000"/>
          <w:sz w:val="24"/>
          <w:szCs w:val="24"/>
          <w:highlight w:val="none"/>
          <w:lang w:eastAsia="zh-CN"/>
        </w:rPr>
        <w:t xml:space="preserve">监管权力</w:t>
      </w:r>
      <w:r>
        <w:rPr>
          <w:rFonts w:hint="eastAsia" w:ascii="宋体" w:hAnsi="宋体" w:eastAsia="宋体" w:cs="宋体"/>
          <w:color w:val="000000"/>
          <w:sz w:val="24"/>
          <w:szCs w:val="24"/>
          <w:highlight w:val="none"/>
        </w:rPr>
        <w:t xml:space="preserve">，对乙方实验室以及提供的检测服务内容、质量进行定期或不定期质控监督。</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8.其他：</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847"/>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（二）乙方权利和义务</w:t>
      </w:r>
      <w:r>
        <w:rPr>
          <w:rFonts w:ascii="宋体" w:hAnsi="宋体" w:eastAsia="宋体" w:cs="宋体"/>
          <w:b/>
          <w:bCs/>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 信息或重采样本、补签字等。</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（1）乙方严格按照相关标准开展本合同委托检测工作，不得转包、分包，保证工作全过程的公正性、科学性、准确性、可追溯性，并严格保 障受检者个人隐私及数据安全，所涉及检测内容及结果不外泄。</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（2）乙方检测时使用的设备必须在检定合格有效期内，环境符合标 准检测要求。</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（3）乙方对标本的全程管理符合检测需求和生物安全的要求。</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（4）乙方保证检验过程中的质量控制。</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（5）乙方根据行业标准保留检测后的标本以备复检。由于标本量不  够导致无法复检的，乙方不负责复检。检测后的标本保存期不少于7天，检测报告保存期同病历保管要求。</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（6）乙方仅对来样负责。乙方必须按照甲方委托书要求内容进行测 试，出具检测报告。报告内容必须真实、准确，保证与所测试的原始数据一致。</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（8）检验结果的信息化，乙方应根据甲方的需求具体落实并承担因 此而发生的费用。</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（9）乙方专业的技术人员负责向甲方解释各项检测方法、质控标准、结果。</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（10）配合甲方不定期对样本运输、检测流程、检验结果及检验质量的监督检查。</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无法出具检测报告的情况，乙方需第一时间通知甲方。若出现检测项目危急值或双方约定的其他异常结果报告，乙方应立即电话通知甲方，并及时出具相应的纸质和电子报告。</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5.实验数据及样本回收：乙方应按检测周期将所有检测项目的原始实验数据（包括但不限于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等）返还甲方，血液或DNA 样本需返回甲方或按国家有关要求保存。</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三、受检样本的交接</w:t>
      </w:r>
      <w:r>
        <w:rPr>
          <w:rFonts w:ascii="宋体" w:hAnsi="宋体" w:eastAsia="宋体" w:cs="宋体"/>
          <w:b/>
          <w:bCs/>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（一）交接时间：乙方应在甲方通知后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小时内接收甲方递送的样本和资料。</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（二）交接地点：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（三）交接时甲方应保证包装符合运输和保存的要求；乙方接收或者在甲方通知后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小时，视为乙方已接收。</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（四）乙方应当在交接时应对样本及以下资料进行核对：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（五）受检样本由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方自行或者指定的具有样本运输条件和资质的物流进行运输，并由该方承担相关费用。</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color w:val="000000"/>
          <w:sz w:val="24"/>
          <w:szCs w:val="24"/>
          <w:highlight w:val="none"/>
        </w:rPr>
        <w:outlineLvl w:val="0"/>
      </w:pPr>
      <w:r>
        <w:rPr>
          <w:rFonts w:hint="eastAsia" w:ascii="宋体" w:hAnsi="宋体" w:eastAsia="宋体" w:cs="宋体"/>
          <w:b/>
          <w:bCs/>
          <w:color w:val="000000"/>
          <w:spacing w:val="-11"/>
          <w:sz w:val="24"/>
          <w:szCs w:val="24"/>
          <w:highlight w:val="none"/>
        </w:rPr>
        <w:t xml:space="preserve">四、费用结算</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（一）结算规则：乙方每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周期）以甲方收费凭证与乙方收到的样本数量作为统计业务量的依据，乙方将统计量同时发送至甲方。双方核对无误后，甲方在收到乙方开具的相应税务发票后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工作日内，按 “业务量×结算价格”向乙方结算该周期内的检测费用。</w:t>
      </w:r>
      <w:r>
        <w:rPr>
          <w:rFonts w:ascii="宋体" w:hAnsi="宋体" w:eastAsia="宋体" w:cs="宋体"/>
          <w:color w:val="000000"/>
          <w:sz w:val="24"/>
          <w:szCs w:val="24"/>
          <w:highlight w:val="none"/>
        </w:rPr>
      </w:r>
      <w:r/>
    </w:p>
    <w:p>
      <w:pPr>
        <w:pStyle w:val="847"/>
        <w:ind w:left="680"/>
        <w:spacing w:before="15" w:line="360" w:lineRule="auto"/>
        <w:rPr>
          <w:rFonts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（二）乙方收款信息：</w:t>
      </w:r>
      <w:r>
        <w:rPr>
          <w:rFonts w:ascii="宋体" w:hAnsi="宋体" w:eastAsia="宋体" w:cs="宋体"/>
          <w:color w:val="000000"/>
          <w:sz w:val="24"/>
          <w:szCs w:val="24"/>
          <w:highlight w:val="none"/>
        </w:rPr>
      </w:r>
      <w:r/>
    </w:p>
    <w:p>
      <w:pPr>
        <w:pStyle w:val="847"/>
        <w:ind w:left="569"/>
        <w:spacing w:before="5" w:line="360" w:lineRule="auto"/>
        <w:rPr>
          <w:rFonts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户名：</w:t>
      </w:r>
      <w:r>
        <w:rPr>
          <w:rFonts w:hint="eastAsia" w:ascii="宋体" w:hAnsi="宋体" w:eastAsia="宋体" w:cs="宋体"/>
          <w:color w:val="000000"/>
          <w:spacing w:val="-10"/>
          <w:sz w:val="24"/>
          <w:szCs w:val="24"/>
          <w:highlight w:val="none"/>
          <w:u w:val="single"/>
        </w:rPr>
        <w:t xml:space="preserve">                    </w:t>
      </w:r>
      <w:r>
        <w:rPr>
          <w:rFonts w:hint="eastAsia" w:ascii="宋体" w:hAnsi="宋体" w:eastAsia="宋体" w:cs="宋体"/>
          <w:color w:val="000000"/>
          <w:spacing w:val="-11"/>
          <w:sz w:val="24"/>
          <w:szCs w:val="24"/>
          <w:highlight w:val="none"/>
          <w:u w:val="single"/>
        </w:rPr>
        <w:t xml:space="preserve">  </w:t>
      </w:r>
      <w:r>
        <w:rPr>
          <w:rFonts w:ascii="宋体" w:hAnsi="宋体" w:eastAsia="宋体" w:cs="宋体"/>
          <w:color w:val="000000"/>
          <w:sz w:val="24"/>
          <w:szCs w:val="24"/>
          <w:highlight w:val="none"/>
        </w:rPr>
      </w:r>
      <w:r/>
    </w:p>
    <w:p>
      <w:pPr>
        <w:pStyle w:val="847"/>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税号：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rPr>
          <w:rFonts w:ascii="宋体" w:hAnsi="宋体" w:eastAsia="宋体" w:cs="宋体"/>
          <w:color w:val="000000"/>
          <w:spacing w:val="12"/>
          <w:sz w:val="24"/>
          <w:szCs w:val="24"/>
          <w:highlight w:val="none"/>
        </w:rPr>
      </w:r>
      <w:r/>
    </w:p>
    <w:p>
      <w:pPr>
        <w:pStyle w:val="847"/>
        <w:ind w:left="569" w:right="3907"/>
        <w:spacing w:before="32" w:line="360" w:lineRule="auto"/>
        <w:rPr>
          <w:rFonts w:ascii="宋体" w:hAnsi="宋体" w:eastAsia="宋体" w:cs="宋体"/>
          <w:color w:val="000000"/>
          <w:spacing w:val="4"/>
          <w:sz w:val="24"/>
          <w:szCs w:val="24"/>
          <w:highlight w:val="none"/>
        </w:rPr>
      </w:pPr>
      <w:r>
        <w:rPr>
          <w:rFonts w:hint="eastAsia" w:ascii="宋体" w:hAnsi="宋体" w:eastAsia="宋体" w:cs="宋体"/>
          <w:color w:val="000000"/>
          <w:spacing w:val="-13"/>
          <w:sz w:val="24"/>
          <w:szCs w:val="24"/>
          <w:highlight w:val="none"/>
        </w:rPr>
        <w:t xml:space="preserve">开户行：</w:t>
      </w:r>
      <w:r>
        <w:rPr>
          <w:rFonts w:hint="eastAsia" w:ascii="宋体" w:hAnsi="宋体" w:eastAsia="宋体" w:cs="宋体"/>
          <w:color w:val="000000"/>
          <w:spacing w:val="3"/>
          <w:sz w:val="24"/>
          <w:szCs w:val="24"/>
          <w:highlight w:val="none"/>
          <w:u w:val="single"/>
        </w:rPr>
        <w:t xml:space="preserve">                      </w:t>
      </w:r>
      <w:r>
        <w:rPr>
          <w:rFonts w:hint="eastAsia" w:ascii="宋体" w:hAnsi="宋体" w:eastAsia="宋体" w:cs="宋体"/>
          <w:color w:val="000000"/>
          <w:spacing w:val="4"/>
          <w:sz w:val="24"/>
          <w:szCs w:val="24"/>
          <w:highlight w:val="none"/>
        </w:rPr>
        <w:t xml:space="preserve"> </w:t>
      </w:r>
      <w:r>
        <w:rPr>
          <w:rFonts w:ascii="宋体" w:hAnsi="宋体" w:eastAsia="宋体" w:cs="宋体"/>
          <w:color w:val="000000"/>
          <w:spacing w:val="4"/>
          <w:sz w:val="24"/>
          <w:szCs w:val="24"/>
          <w:highlight w:val="none"/>
        </w:rPr>
      </w:r>
      <w:r/>
    </w:p>
    <w:p>
      <w:pPr>
        <w:pStyle w:val="847"/>
        <w:ind w:left="569" w:right="3907"/>
        <w:spacing w:before="32" w:line="360" w:lineRule="auto"/>
        <w:rPr>
          <w:rFonts w:ascii="宋体" w:hAnsi="宋体" w:eastAsia="宋体" w:cs="宋体"/>
          <w:color w:val="000000"/>
          <w:spacing w:val="12"/>
          <w:sz w:val="24"/>
          <w:szCs w:val="24"/>
          <w:highlight w:val="none"/>
        </w:rPr>
      </w:pPr>
      <w:r>
        <w:rPr>
          <w:rFonts w:hint="eastAsia" w:ascii="宋体" w:hAnsi="宋体" w:eastAsia="宋体" w:cs="宋体"/>
          <w:color w:val="000000"/>
          <w:spacing w:val="-14"/>
          <w:sz w:val="24"/>
          <w:szCs w:val="24"/>
          <w:highlight w:val="none"/>
        </w:rPr>
        <w:t xml:space="preserve">账号：</w:t>
      </w:r>
      <w:r>
        <w:rPr>
          <w:rFonts w:hint="eastAsia" w:ascii="宋体" w:hAnsi="宋体" w:eastAsia="宋体" w:cs="宋体"/>
          <w:color w:val="000000"/>
          <w:spacing w:val="2"/>
          <w:sz w:val="24"/>
          <w:szCs w:val="24"/>
          <w:highlight w:val="none"/>
          <w:u w:val="single"/>
        </w:rPr>
        <w:t xml:space="preserve">                        </w:t>
      </w:r>
      <w:r>
        <w:rPr>
          <w:rFonts w:hint="eastAsia" w:ascii="宋体" w:hAnsi="宋体" w:eastAsia="宋体" w:cs="宋体"/>
          <w:color w:val="000000"/>
          <w:spacing w:val="12"/>
          <w:sz w:val="24"/>
          <w:szCs w:val="24"/>
          <w:highlight w:val="none"/>
        </w:rPr>
        <w:t xml:space="preserve"> </w:t>
      </w:r>
      <w:r>
        <w:rPr>
          <w:rFonts w:ascii="宋体" w:hAnsi="宋体" w:eastAsia="宋体" w:cs="宋体"/>
          <w:color w:val="000000"/>
          <w:spacing w:val="12"/>
          <w:sz w:val="24"/>
          <w:szCs w:val="24"/>
          <w:highlight w:val="none"/>
        </w:rPr>
      </w:r>
      <w:r/>
    </w:p>
    <w:p>
      <w:pPr>
        <w:pStyle w:val="847"/>
        <w:ind w:left="569" w:right="3907"/>
        <w:spacing w:before="32" w:line="360" w:lineRule="auto"/>
        <w:rPr>
          <w:rFonts w:ascii="宋体" w:hAnsi="宋体" w:eastAsia="宋体" w:cs="宋体"/>
          <w:color w:val="000000"/>
          <w:sz w:val="24"/>
          <w:szCs w:val="24"/>
          <w:highlight w:val="none"/>
          <w:u w:val="single"/>
        </w:rPr>
      </w:pPr>
      <w:r>
        <w:rPr>
          <w:rFonts w:hint="eastAsia" w:ascii="宋体" w:hAnsi="宋体" w:eastAsia="宋体" w:cs="宋体"/>
          <w:color w:val="000000"/>
          <w:spacing w:val="-7"/>
          <w:sz w:val="24"/>
          <w:szCs w:val="24"/>
          <w:highlight w:val="none"/>
        </w:rPr>
        <w:t xml:space="preserve">地址：</w:t>
      </w:r>
      <w:r>
        <w:rPr>
          <w:rFonts w:hint="eastAsia" w:ascii="宋体" w:hAnsi="宋体" w:eastAsia="宋体" w:cs="宋体"/>
          <w:color w:val="000000"/>
          <w:spacing w:val="-25"/>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（三）禁止现金交易，甲方将款项打入上述账号，即视为完成付款。</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五、保密义务</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（二）双方只能向因职责所需而需要了解上述保密资料的工作人员透 露保密资料，且该工作人员经双方协商授权确定，并应与授权的工作人员签订《保密合同》以防止未经授权向第三人披露。</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（三）双方保证对受检者所有信息保密，除非该信息已经由受检者主动公开。</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（四）除征得甲方事先书面同意外，乙方不得将检测信息用于科研、宣传。</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（五）本协议规定的保密义务不因本协议的终止、中止而失效，除非相关资料依法成为公开信息。</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六、违约责任</w:t>
      </w:r>
      <w:r>
        <w:rPr>
          <w:rFonts w:ascii="宋体" w:hAnsi="宋体" w:eastAsia="宋体" w:cs="宋体"/>
          <w:b/>
          <w:bCs/>
          <w:color w:val="000000"/>
          <w:spacing w:val="-11"/>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（一）延期责任</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 /份承担违约责任。</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可抗拒的客观因素导致项目延误或协议不能继续履行时，双方均不承担责任。受到不可抗力影响的一方应当及时书面通知另一方，并出具证明材料。不可抗力包括地震、洪水、战争、军事行动、法律或政府政策等相关因素。</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（二）检测结果的争议</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1.乙方保证对甲方送检的合格样本收费（包括完整的临床申请单及受检者知情同意书）按照甲方申请的检测方法进行检测并对检测结果的质量承担责任。</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2.乙方保证在技术检测范围内完成全部检测内容。但是乙方在相应知情同意书上已标注的所用检测技术仍然不能全面覆盖生物复杂性的具体 情形，乙方不承担责任。</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定办公室指定的单位用相应技术方法进行验证并组织专家论证，若确定为乙方检测结果不准确而造成的临床诊断失误，乙方承担相应责任。</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纷由乙方负责（不因甲方接受检测结果而免除乙方责任），如因乙方提供的知情同意书不全面并由此造成的医疗纠纷由乙方自行承担。</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（三）违反保密义务</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color w:val="000000"/>
          <w:sz w:val="24"/>
          <w:szCs w:val="24"/>
          <w:highlight w:val="none"/>
          <w:u w:val="single"/>
        </w:rPr>
        <w:t xml:space="preserve">       万元</w:t>
      </w:r>
      <w:r>
        <w:rPr>
          <w:rFonts w:hint="eastAsia" w:ascii="宋体" w:hAnsi="宋体" w:eastAsia="宋体" w:cs="宋体"/>
          <w:color w:val="000000"/>
          <w:sz w:val="24"/>
          <w:szCs w:val="24"/>
          <w:highlight w:val="none"/>
        </w:rPr>
        <w:t xml:space="preserve">作为违约金。因违反保密条款引发侵权责任诉讼或赔偿事项的由违约方承担侵权法律责任。</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（四）禁止转包、分包</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万元/次承担违约责任。</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（五）检测不准确、不真实的责任承担</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如乙方出具的检测报告不准确或不真实，导致甲方对外承担包括但不 限于民事赔偿、行政处罚等责任，应由乙方承担甲方经济损失等全部责任，并按最终经济损失的</w:t>
      </w:r>
      <w:r>
        <w:rPr>
          <w:rFonts w:hint="eastAsia" w:ascii="宋体" w:hAnsi="宋体" w:eastAsia="宋体" w:cs="宋体"/>
          <w:color w:val="000000"/>
          <w:sz w:val="24"/>
          <w:szCs w:val="24"/>
          <w:highlight w:val="none"/>
          <w:u w:val="single"/>
        </w:rPr>
        <w:t xml:space="preserve">   ( 比 例 )  </w:t>
      </w:r>
      <w:r>
        <w:rPr>
          <w:rFonts w:hint="eastAsia" w:ascii="宋体" w:hAnsi="宋体" w:eastAsia="宋体" w:cs="宋体"/>
          <w:color w:val="000000"/>
          <w:sz w:val="24"/>
          <w:szCs w:val="24"/>
          <w:highlight w:val="none"/>
        </w:rPr>
        <w:t xml:space="preserve"> 向甲方支付违约金。</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七、协议履行</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为甲方项目联系人。</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乙方指定（</w:t>
      </w:r>
      <w:r>
        <w:rPr>
          <w:rFonts w:hint="eastAsia" w:ascii="宋体" w:hAnsi="宋体" w:eastAsia="宋体" w:cs="宋体"/>
          <w:color w:val="000000"/>
          <w:sz w:val="24"/>
          <w:szCs w:val="24"/>
          <w:highlight w:val="none"/>
          <w:u w:val="single"/>
        </w:rPr>
        <w:t xml:space="preserve">科室、职务、姓名、联系电话、电子邮箱等）</w:t>
      </w:r>
      <w:r>
        <w:rPr>
          <w:rFonts w:hint="eastAsia" w:ascii="宋体" w:hAnsi="宋体" w:eastAsia="宋体" w:cs="宋体"/>
          <w:color w:val="000000"/>
          <w:sz w:val="24"/>
          <w:szCs w:val="24"/>
          <w:highlight w:val="none"/>
        </w:rPr>
        <w:t xml:space="preserve">为乙方项目联系人。</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一方变更项目联系人的，应当及时并以书面形式通知对方。未及时通知并影响本协议履行或造成损失的，未及时通知一方应承担相应的责任。</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八、协议终止</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如乙方在检测过程中出现以下情形，甲方有权终止合作：</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1.因包括但不限于操作不规范或不符合技术规范等原因，导致检测结果不准确，达     次或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2.未能按照合同约定的时间和质量要求完成检测，不能及时提供检测 结果达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次或    份，不可抗力除外。</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3.实验室不诚信，出现欺诈行为，包括但不限于篡改室内质控数据、受检者检验数据等。</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4.实验室管理不善，出现生物安全隐患。</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5.泄露受检者信息造成不良后果或者泄露信息达到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人次。</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7.发生其他违反有关法律法规规定的情形。</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九、廉洁条款</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为进一步加强医疗卫生行风建设，规范医疗卫生机构购销行为，有效 防范商业贿赂行为，营造公平交易、诚实守信的购销环境，特约定以下廉 洁条款，以资合同各方共同遵守：</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1.合同各方按照《中华人民共和国民法典》及廉洁条款约定履行。</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3.甲方严禁利用任何途径和方式，为乙方统计医师个人及临床科室有关产品用量信息，或为乙方统计提供便利。</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4.乙方不得以回扣、宴请等方式影响甲方工作人员采购或使用产品的选择权，不得在学术活动中提供旅游、超标准支付食宿费用。</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5.乙方指定销售代表必须在工作时间到甲方指定地点联系商谈，不得到住院部、门诊部、医技科室等推销，不得借故到甲方相关领导、部门负 责人及相关工作人员非办公场所访谈并提供任何好处费等。</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6.乙方承诺其公司法定代表人、实际控制人或者股东中无甲方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级以上干部，且无医院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级以上干部配偶、子女、子女配偶、子女配偶的父母，或者与其同城生活来往密切、有借贷关系或照护关系的亲属等。</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7.乙方如违反本廉洁条款，一经发现，甲方有权终止本合同，并向上级主管部门报告。如乙方被列入商业贿赂不良记录，则严格按照国家相关规定处理。</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8.本廉洁条款在合同履行过程中，合同各方均需严格遵守。</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十、争议解决与文件送达</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（一）双方因履行本合同发生争议，应首先通过友好协商解决；协商不成时，可以选择以下第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种途径解决：</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方住所地人民法院裁决。 2.提交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仲裁委员会裁决。</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rFonts w:ascii="宋体" w:hAnsi="宋体" w:eastAsia="宋体" w:cs="宋体"/>
          <w:color w:val="000000"/>
          <w:sz w:val="24"/>
          <w:szCs w:val="24"/>
          <w:highlight w:val="none"/>
        </w:rPr>
      </w:r>
      <w:r/>
    </w:p>
    <w:p>
      <w:pPr>
        <w:pStyle w:val="847"/>
        <w:ind w:left="574"/>
        <w:spacing w:before="14" w:line="360" w:lineRule="auto"/>
        <w:rPr>
          <w:rFonts w:ascii="宋体" w:hAnsi="宋体" w:eastAsia="宋体" w:cs="宋体"/>
          <w:b/>
          <w:bCs/>
          <w:color w:val="000000"/>
          <w:spacing w:val="-11"/>
          <w:sz w:val="24"/>
          <w:szCs w:val="24"/>
          <w:highlight w:val="none"/>
        </w:rPr>
        <w:outlineLvl w:val="0"/>
      </w:pPr>
      <w:r>
        <w:rPr>
          <w:rFonts w:hint="eastAsia" w:ascii="宋体" w:hAnsi="宋体" w:eastAsia="宋体" w:cs="宋体"/>
          <w:b/>
          <w:bCs/>
          <w:color w:val="000000"/>
          <w:spacing w:val="-11"/>
          <w:sz w:val="24"/>
          <w:szCs w:val="24"/>
          <w:highlight w:val="none"/>
        </w:rPr>
        <w:t xml:space="preserve">十一、其他</w:t>
      </w:r>
      <w:r>
        <w:rPr>
          <w:rFonts w:ascii="宋体" w:hAnsi="宋体" w:eastAsia="宋体" w:cs="宋体"/>
          <w:b/>
          <w:bCs/>
          <w:color w:val="000000"/>
          <w:spacing w:val="-11"/>
          <w:sz w:val="24"/>
          <w:szCs w:val="24"/>
          <w:highlight w:val="none"/>
        </w:rPr>
      </w:r>
      <w:r/>
    </w:p>
    <w:p>
      <w:pPr>
        <w:pStyle w:val="847"/>
        <w:ind w:firstLine="560"/>
        <w:spacing w:before="98"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（一）本协议经双方签字盖章后生效，合作期限自</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 始至</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color w:val="000000"/>
          <w:sz w:val="24"/>
          <w:szCs w:val="24"/>
          <w:highlight w:val="none"/>
        </w:rPr>
        <w:t xml:space="preserve">止，合作期限为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年。合作期满</w:t>
      </w:r>
      <w:r>
        <w:rPr>
          <w:rFonts w:hint="eastAsia" w:ascii="宋体" w:hAnsi="宋体" w:eastAsia="宋体" w:cs="宋体"/>
          <w:color w:val="000000"/>
          <w:sz w:val="24"/>
          <w:szCs w:val="24"/>
          <w:highlight w:val="none"/>
          <w:lang w:val="en-US" w:eastAsia="zh-CN"/>
        </w:rPr>
        <w:t xml:space="preserve">或达到预算金额</w:t>
      </w:r>
      <w:r>
        <w:rPr>
          <w:rFonts w:hint="eastAsia" w:ascii="宋体" w:hAnsi="宋体" w:eastAsia="宋体" w:cs="宋体"/>
          <w:color w:val="000000"/>
          <w:sz w:val="24"/>
          <w:szCs w:val="24"/>
          <w:highlight w:val="none"/>
        </w:rPr>
        <w:t xml:space="preserve">，本协议自动失效。</w:t>
      </w:r>
      <w:r>
        <w:rPr>
          <w:rFonts w:hint="eastAsia" w:ascii="宋体" w:hAnsi="宋体" w:eastAsia="宋体" w:cs="宋体"/>
          <w:color w:val="000000"/>
          <w:sz w:val="24"/>
          <w:szCs w:val="24"/>
          <w:highlight w:val="none"/>
          <w:lang w:val="en-US" w:eastAsia="zh-CN"/>
        </w:rPr>
        <w:t xml:space="preserve">甲方不再支付任何费用。</w:t>
      </w:r>
      <w:r>
        <w:rPr>
          <w:rFonts w:ascii="宋体" w:hAnsi="宋体" w:eastAsia="宋体" w:cs="宋体"/>
          <w:color w:val="000000"/>
          <w:sz w:val="24"/>
          <w:szCs w:val="24"/>
          <w:highlight w:val="none"/>
          <w:lang w:val="en-US" w:eastAsia="zh-CN"/>
        </w:rPr>
      </w:r>
      <w:r/>
    </w:p>
    <w:p>
      <w:pPr>
        <w:pStyle w:val="847"/>
        <w:ind w:firstLine="560"/>
        <w:spacing w:before="98"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（二）本协议一式陆份，甲乙双方各持叁份，具有同等法律效力。未尽事宜，另行签订补充协议，补充协议与本协议不一致的，以补充协议为准。</w:t>
      </w:r>
      <w:r>
        <w:rPr>
          <w:rFonts w:hint="eastAsia" w:ascii="宋体" w:hAnsi="宋体" w:eastAsia="宋体" w:cs="宋体"/>
          <w:color w:val="000000"/>
          <w:sz w:val="24"/>
          <w:szCs w:val="24"/>
          <w:highlight w:val="none"/>
        </w:rPr>
      </w:r>
      <w:r/>
    </w:p>
    <w:p>
      <w:pPr>
        <w:pStyle w:val="847"/>
        <w:ind w:right="68" w:firstLine="420"/>
        <w:spacing w:before="25"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（三）本合同期限届满后，甲方支付达到预算金额或完成检测量视为合作完成，随后终止合作。</w:t>
      </w:r>
      <w:r>
        <w:rPr>
          <w:rFonts w:ascii="宋体" w:hAnsi="宋体" w:eastAsia="宋体" w:cs="宋体"/>
          <w:color w:val="000000"/>
          <w:sz w:val="24"/>
          <w:highlight w:val="none"/>
          <w:lang w:val="en-US" w:eastAsia="zh-CN"/>
        </w:rPr>
      </w:r>
      <w:r/>
    </w:p>
    <w:p>
      <w:pPr>
        <w:pStyle w:val="896"/>
        <w:rPr>
          <w:color w:val="000000"/>
          <w:highlight w:val="none"/>
        </w:rPr>
      </w:pPr>
      <w:r>
        <w:rPr>
          <w:color w:val="000000"/>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法定代表人（委托人）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47"/>
        <w:ind w:firstLine="560"/>
        <w:spacing w:before="98"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847"/>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ascii="黑体" w:eastAsia="黑体"/>
          <w:bCs/>
          <w:color w:val="000000"/>
          <w:sz w:val="36"/>
          <w:szCs w:val="36"/>
          <w:highlight w:val="none"/>
        </w:rPr>
      </w:r>
      <w:r/>
    </w:p>
    <w:p>
      <w:pPr>
        <w:pStyle w:val="847"/>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43"/>
      <w:r>
        <w:rPr>
          <w:rFonts w:hint="eastAsia" w:ascii="黑体" w:eastAsia="黑体"/>
          <w:bCs/>
          <w:color w:val="000000"/>
          <w:sz w:val="36"/>
          <w:szCs w:val="36"/>
          <w:highlight w:val="none"/>
        </w:rPr>
        <w:t xml:space="preserve">四章 采购需求</w:t>
      </w:r>
      <w:bookmarkEnd w:id="144"/>
      <w:r/>
      <w:bookmarkEnd w:id="145"/>
      <w:r/>
      <w:bookmarkEnd w:id="146"/>
      <w:r>
        <w:rPr>
          <w:rFonts w:hAnsi="宋体"/>
          <w:color w:val="000000"/>
          <w:sz w:val="36"/>
          <w:szCs w:val="36"/>
          <w:highlight w:val="none"/>
        </w:rPr>
      </w:r>
      <w:r/>
    </w:p>
    <w:p>
      <w:pPr>
        <w:pStyle w:val="847"/>
        <w:ind w:firstLine="480"/>
        <w:jc w:val="left"/>
        <w:spacing w:line="360" w:lineRule="auto"/>
        <w:rPr>
          <w:rFonts w:ascii="宋体" w:hAnsi="宋体" w:eastAsia="宋体" w:cs="宋体"/>
          <w:color w:val="000000"/>
          <w:sz w:val="24"/>
          <w:szCs w:val="24"/>
          <w:highlight w:val="none"/>
        </w:rPr>
      </w:pPr>
      <w:r/>
      <w:bookmarkStart w:id="147" w:name="_Toc26554093"/>
      <w:r/>
      <w:bookmarkStart w:id="148" w:name="_Toc120614281"/>
      <w:r/>
      <w:bookmarkStart w:id="149" w:name="_Toc49090575"/>
      <w:r>
        <w:rPr>
          <w:rFonts w:hint="eastAsia" w:ascii="宋体" w:hAnsi="宋体" w:eastAsia="宋体" w:cs="宋体"/>
          <w:color w:val="000000"/>
          <w:sz w:val="24"/>
          <w:szCs w:val="24"/>
          <w:highlight w:val="none"/>
        </w:rPr>
        <w:t xml:space="preserve">本项目属性：服务类项目</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b/>
          <w:color w:val="000000"/>
          <w:sz w:val="24"/>
          <w:highlight w:val="none"/>
        </w:rPr>
      </w:pPr>
      <w:r>
        <w:rPr>
          <w:rFonts w:hint="eastAsia" w:ascii="宋体" w:hAnsi="宋体" w:eastAsia="宋体" w:cs="宋体"/>
          <w:bCs/>
          <w:color w:val="000000"/>
          <w:sz w:val="24"/>
          <w:szCs w:val="24"/>
          <w:highlight w:val="none"/>
        </w:rPr>
        <w:t xml:space="preserve">本项目标的物所属行业：</w:t>
      </w:r>
      <w:r>
        <w:rPr>
          <w:rFonts w:hint="eastAsia" w:ascii="宋体" w:hAnsi="宋体" w:eastAsia="宋体" w:cs="宋体"/>
          <w:color w:val="000000"/>
          <w:sz w:val="24"/>
          <w:szCs w:val="24"/>
          <w:highlight w:val="none"/>
        </w:rPr>
        <w:t xml:space="preserve">其他未列明行业</w:t>
      </w:r>
      <w:r>
        <w:rPr>
          <w:rFonts w:ascii="宋体" w:hAnsi="宋体" w:eastAsia="宋体" w:cs="宋体"/>
          <w:b/>
          <w:color w:val="000000"/>
          <w:sz w:val="24"/>
          <w:highlight w:val="none"/>
        </w:rPr>
      </w:r>
      <w:r/>
    </w:p>
    <w:p>
      <w:pPr>
        <w:pStyle w:val="847"/>
        <w:numPr>
          <w:ilvl w:val="0"/>
          <w:numId w:val="10"/>
        </w:numPr>
        <w:ind w:firstLine="480"/>
        <w:spacing w:line="360" w:lineRule="auto"/>
        <w:tabs>
          <w:tab w:val="left" w:pos="525" w:leader="none"/>
          <w:tab w:val="left" w:pos="630" w:leader="none"/>
          <w:tab w:val="left" w:pos="735" w:leader="none"/>
          <w:tab w:val="left" w:pos="945" w:leader="none"/>
        </w:tabs>
        <w:rPr>
          <w:rFonts w:ascii="宋体" w:hAnsi="宋体"/>
          <w:b/>
          <w:color w:val="000000"/>
          <w:sz w:val="30"/>
          <w:szCs w:val="30"/>
          <w:highlight w:val="none"/>
        </w:rPr>
      </w:pPr>
      <w:r>
        <w:rPr>
          <w:rFonts w:hint="eastAsia" w:ascii="宋体" w:hAnsi="宋体"/>
          <w:b/>
          <w:color w:val="000000"/>
          <w:sz w:val="30"/>
          <w:szCs w:val="30"/>
          <w:highlight w:val="none"/>
        </w:rPr>
        <w:t xml:space="preserve"> 技术需求：项目配置、技术参数等</w:t>
      </w:r>
      <w:r>
        <w:rPr>
          <w:rFonts w:ascii="宋体" w:hAnsi="宋体"/>
          <w:b/>
          <w:color w:val="000000"/>
          <w:sz w:val="30"/>
          <w:szCs w:val="30"/>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w:t>
      </w:r>
      <w:r>
        <w:rPr>
          <w:rFonts w:hint="eastAsia" w:ascii="宋体" w:hAnsi="宋体" w:eastAsia="宋体"/>
          <w:b/>
          <w:color w:val="000000"/>
          <w:sz w:val="24"/>
          <w:szCs w:val="24"/>
          <w:highlight w:val="none"/>
        </w:rPr>
        <w:t xml:space="preserve">检测项目</w:t>
      </w:r>
      <w:r>
        <w:rPr>
          <w:rFonts w:ascii="宋体" w:hAnsi="宋体" w:eastAsia="宋体"/>
          <w:b/>
          <w:color w:val="000000"/>
          <w:sz w:val="24"/>
          <w:szCs w:val="24"/>
          <w:highlight w:val="none"/>
        </w:rPr>
      </w:r>
      <w:r/>
    </w:p>
    <w:tbl>
      <w:tblPr>
        <w:tblW w:w="5232" w:type="pct"/>
        <w:tblInd w:w="-1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9"/>
        <w:gridCol w:w="1009"/>
        <w:gridCol w:w="59"/>
        <w:gridCol w:w="950"/>
        <w:gridCol w:w="118"/>
        <w:gridCol w:w="891"/>
        <w:gridCol w:w="177"/>
        <w:gridCol w:w="1068"/>
        <w:gridCol w:w="240"/>
        <w:gridCol w:w="828"/>
        <w:gridCol w:w="181"/>
        <w:gridCol w:w="887"/>
        <w:gridCol w:w="123"/>
        <w:gridCol w:w="946"/>
        <w:gridCol w:w="63"/>
        <w:gridCol w:w="1009"/>
        <w:gridCol w:w="1050"/>
      </w:tblGrid>
      <w:tr>
        <w:trPr>
          <w:trHeight w:val="900"/>
        </w:trPr>
        <w:tc>
          <w:tcPr>
            <w:tcW w:w="475" w:type="dxa"/>
            <w:vAlign w:val="center"/>
            <w:textDirection w:val="lrTb"/>
            <w:noWrap/>
          </w:tcPr>
          <w:p>
            <w:pPr>
              <w:pStyle w:val="847"/>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75"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外送检验项目名称</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单价（元）</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w:t>
            </w:r>
            <w:r>
              <w:rPr>
                <w:rFonts w:hint="eastAsia" w:ascii="宋体" w:hAnsi="宋体" w:eastAsia="宋体" w:cs="宋体"/>
                <w:i w:val="0"/>
                <w:iCs w:val="0"/>
                <w:color w:val="000000"/>
                <w:sz w:val="24"/>
                <w:szCs w:val="24"/>
                <w:highlight w:val="none"/>
                <w:u w:val="none"/>
              </w:rPr>
            </w:r>
            <w:r/>
          </w:p>
        </w:tc>
        <w:tc>
          <w:tcPr>
            <w:gridSpan w:val="3"/>
            <w:tcW w:w="1485"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收费编码</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方法学</w:t>
            </w:r>
            <w:r>
              <w:rPr>
                <w:rFonts w:hint="eastAsia" w:ascii="宋体" w:hAnsi="宋体" w:eastAsia="宋体" w:cs="宋体"/>
                <w:i w:val="0"/>
                <w:iCs w:val="0"/>
                <w:color w:val="000000"/>
                <w:sz w:val="24"/>
                <w:szCs w:val="24"/>
                <w:highlight w:val="none"/>
                <w:u w:val="none"/>
              </w:rPr>
            </w:r>
            <w:r/>
          </w:p>
        </w:tc>
        <w:tc>
          <w:tcPr>
            <w:gridSpan w:val="2"/>
            <w:tcW w:w="1010"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市场计价单位</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标本类型</w:t>
            </w:r>
            <w:r>
              <w:rPr>
                <w:rFonts w:hint="eastAsia" w:ascii="宋体" w:hAnsi="宋体" w:eastAsia="宋体" w:cs="宋体"/>
                <w:i w:val="0"/>
                <w:iCs w:val="0"/>
                <w:color w:val="000000"/>
                <w:sz w:val="24"/>
                <w:szCs w:val="24"/>
                <w:highlight w:val="none"/>
                <w:u w:val="none"/>
              </w:rPr>
            </w:r>
            <w:r/>
          </w:p>
        </w:tc>
        <w:tc>
          <w:tcPr>
            <w:tcW w:w="475"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预计年标本量</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金额预算</w:t>
            </w:r>
            <w:r>
              <w:rPr>
                <w:rFonts w:hint="eastAsia" w:ascii="宋体" w:hAnsi="宋体" w:eastAsia="宋体" w:cs="宋体"/>
                <w:i w:val="0"/>
                <w:iCs w:val="0"/>
                <w:color w:val="000000"/>
                <w:sz w:val="22"/>
                <w:szCs w:val="22"/>
                <w:highlight w:val="none"/>
                <w:u w:val="none"/>
              </w:rPr>
            </w:r>
            <w:r/>
          </w:p>
        </w:tc>
      </w:tr>
      <w:tr>
        <w:trPr>
          <w:trHeight w:val="315"/>
        </w:trPr>
        <w:tc>
          <w:tcPr>
            <w:gridSpan w:val="17"/>
            <w:tcW w:w="10608" w:type="dxa"/>
            <w:vAlign w:val="bottom"/>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rPr>
                <w:rFonts w:ascii="宋体" w:hAnsi="宋体" w:eastAsia="宋体" w:cs="宋体"/>
                <w:i w:val="0"/>
                <w:iCs w:val="0"/>
                <w:color w:val="000000"/>
                <w:sz w:val="24"/>
                <w:szCs w:val="24"/>
                <w:highlight w:val="none"/>
                <w:u w:val="none"/>
                <w:lang w:val="en-US"/>
              </w:rPr>
            </w:r>
            <w:r/>
          </w:p>
        </w:tc>
      </w:tr>
      <w:tr>
        <w:trPr>
          <w:trHeight w:val="1800"/>
        </w:trPr>
        <w:tc>
          <w:tcPr>
            <w:tcW w:w="475" w:type="dxa"/>
            <w:vAlign w:val="bottom"/>
            <w:textDirection w:val="lrTb"/>
            <w:noWrap/>
          </w:tcPr>
          <w:p>
            <w:pPr>
              <w:pStyle w:val="847"/>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卵巢癌BRCA1基因和BRCA2基因突变检测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2800</w:t>
            </w:r>
            <w:r>
              <w:rPr>
                <w:rFonts w:ascii="宋体" w:hAnsi="宋体" w:eastAsia="宋体" w:cs="宋体"/>
                <w:i w:val="0"/>
                <w:iCs w:val="0"/>
                <w:color w:val="000000"/>
                <w:sz w:val="24"/>
                <w:szCs w:val="24"/>
                <w:highlight w:val="none"/>
                <w:u w:val="none"/>
                <w:lang w:val="en-US" w:eastAsia="zh-CN"/>
              </w:rPr>
            </w:r>
            <w:r/>
          </w:p>
        </w:tc>
        <w:tc>
          <w:tcPr>
            <w:gridSpan w:val="3"/>
            <w:tcW w:w="1485" w:type="dxa"/>
            <w:vAlign w:val="bottom"/>
            <w:textDirection w:val="lrTb"/>
            <w:noWrap/>
          </w:tcPr>
          <w:p>
            <w:pPr>
              <w:pStyle w:val="847"/>
              <w:jc w:val="righ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组织，血</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75</w:t>
            </w:r>
            <w:r>
              <w:rPr>
                <w:rFonts w:ascii="宋体" w:hAnsi="宋体" w:eastAsia="宋体" w:cs="宋体"/>
                <w:i w:val="0"/>
                <w:iCs w:val="0"/>
                <w:color w:val="000000"/>
                <w:sz w:val="24"/>
                <w:szCs w:val="24"/>
                <w:highlight w:val="none"/>
                <w:u w:val="none"/>
                <w:lang w:val="en-US" w:eastAsia="zh-CN"/>
              </w:rPr>
            </w:r>
            <w:r/>
          </w:p>
        </w:tc>
        <w:tc>
          <w:tcPr>
            <w:tcW w:w="494"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w:t>
            </w:r>
            <w:r>
              <w:rPr>
                <w:rFonts w:hint="eastAsia" w:ascii="宋体" w:hAnsi="宋体" w:eastAsia="宋体" w:cs="宋体"/>
                <w:i w:val="0"/>
                <w:iCs w:val="0"/>
                <w:color w:val="000000"/>
                <w:sz w:val="22"/>
                <w:szCs w:val="22"/>
                <w:highlight w:val="none"/>
                <w:u w:val="none"/>
              </w:rPr>
            </w:r>
            <w:r/>
          </w:p>
        </w:tc>
      </w:tr>
      <w:tr>
        <w:trPr>
          <w:trHeight w:val="12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乳腺癌PIK3CA基因突变检测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w:t>
            </w:r>
            <w:r>
              <w:rPr>
                <w:rFonts w:hint="eastAsia" w:ascii="宋体" w:hAnsi="宋体" w:eastAsia="宋体" w:cs="宋体"/>
                <w:i w:val="0"/>
                <w:iCs w:val="0"/>
                <w:color w:val="000000"/>
                <w:sz w:val="22"/>
                <w:szCs w:val="22"/>
                <w:highlight w:val="none"/>
                <w:u w:val="none"/>
              </w:rPr>
            </w:r>
            <w:r/>
          </w:p>
        </w:tc>
      </w:tr>
      <w:tr>
        <w:trPr>
          <w:trHeight w:val="1455"/>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肺癌EGFR/ALK/ROS1</w:t>
            </w:r>
            <w:r>
              <w:rPr>
                <w:rFonts w:hint="eastAsia" w:ascii="宋体" w:hAnsi="宋体" w:eastAsia="宋体" w:cs="宋体"/>
                <w:i w:val="0"/>
                <w:iCs w:val="0"/>
                <w:color w:val="000000"/>
                <w:sz w:val="24"/>
                <w:szCs w:val="24"/>
                <w:highlight w:val="none"/>
                <w:u w:val="none"/>
                <w:lang w:val="en-US" w:eastAsia="zh-CN" w:bidi="ar"/>
              </w:rPr>
              <w:t xml:space="preserve">/MET</w:t>
            </w:r>
            <w:r>
              <w:rPr>
                <w:rFonts w:hint="eastAsia" w:ascii="宋体" w:hAnsi="宋体" w:eastAsia="宋体" w:cs="宋体"/>
                <w:i w:val="0"/>
                <w:iCs w:val="0"/>
                <w:color w:val="000000"/>
                <w:sz w:val="24"/>
                <w:szCs w:val="24"/>
                <w:highlight w:val="none"/>
                <w:u w:val="none"/>
                <w:lang w:val="en-US" w:eastAsia="zh-CN" w:bidi="ar"/>
              </w:rPr>
              <w:t xml:space="preserve">基因突变联合检测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494"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2100000</w:t>
            </w:r>
            <w:r>
              <w:rPr>
                <w:rFonts w:hint="eastAsia" w:ascii="宋体" w:hAnsi="宋体" w:eastAsia="宋体" w:cs="宋体"/>
                <w:i w:val="0"/>
                <w:iCs w:val="0"/>
                <w:color w:val="000000"/>
                <w:sz w:val="22"/>
                <w:szCs w:val="22"/>
                <w:highlight w:val="none"/>
                <w:u w:val="none"/>
              </w:rPr>
            </w:r>
            <w:r/>
          </w:p>
        </w:tc>
      </w:tr>
      <w:tr>
        <w:trPr>
          <w:trHeight w:val="27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肺癌基因突变联合检测（EGFR\ALK\ROS1\KRAS\BRAF）</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3400</w:t>
            </w:r>
            <w:r>
              <w:rPr>
                <w:rFonts w:ascii="宋体" w:hAnsi="宋体" w:eastAsia="宋体" w:cs="宋体"/>
                <w:i w:val="0"/>
                <w:iCs w:val="0"/>
                <w:color w:val="000000"/>
                <w:sz w:val="24"/>
                <w:szCs w:val="24"/>
                <w:highlight w:val="none"/>
                <w:u w:val="none"/>
                <w:lang w:val="en-US" w:eastAsia="zh-CN"/>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肺癌EGFR突变基因检测试剂盒（血，多重荧光PCR法）</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肺癌基因突变联合检测（10基因）</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肺癌基因突变联合检测（6基因）</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8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肺癌基因突变联合检测试剂盒（8基因）</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肺癌TMB（肿瘤突变负荷）检测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17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肠癌基因突变联合检测（10基因）</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494"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4200000</w:t>
            </w:r>
            <w:r>
              <w:rPr>
                <w:rFonts w:hint="eastAsia" w:ascii="宋体" w:hAnsi="宋体" w:eastAsia="宋体" w:cs="宋体"/>
                <w:i w:val="0"/>
                <w:iCs w:val="0"/>
                <w:color w:val="000000"/>
                <w:sz w:val="22"/>
                <w:szCs w:val="22"/>
                <w:highlight w:val="none"/>
                <w:u w:val="none"/>
              </w:rPr>
            </w:r>
            <w:r/>
          </w:p>
        </w:tc>
      </w:tr>
      <w:tr>
        <w:trPr>
          <w:trHeight w:val="18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肠癌基因突变联合检测试剂盒（8基因）</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270700007</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肠癌KRAS/NRAS/PIK3CA/BRAF基因突变联合检测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157"/>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肠癌KRAS/NRAS/BRAF基因突变联合检测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肿瘤微卫星不稳定性（MSI）检测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270700003</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一代测序法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240000</w:t>
            </w:r>
            <w:r>
              <w:rPr>
                <w:rFonts w:hint="eastAsia" w:ascii="宋体" w:hAnsi="宋体" w:eastAsia="宋体" w:cs="宋体"/>
                <w:i w:val="0"/>
                <w:iCs w:val="0"/>
                <w:color w:val="000000"/>
                <w:sz w:val="22"/>
                <w:szCs w:val="22"/>
                <w:highlight w:val="none"/>
                <w:u w:val="none"/>
              </w:rPr>
            </w:r>
            <w:r/>
          </w:p>
        </w:tc>
      </w:tr>
      <w:tr>
        <w:trPr>
          <w:trHeight w:val="12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胶质瘤IDH1基因突变检测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rPr>
                <w:rFonts w:ascii="宋体" w:hAnsi="宋体" w:eastAsia="宋体" w:cs="宋体"/>
                <w:i w:val="0"/>
                <w:iCs w:val="0"/>
                <w:color w:val="000000"/>
                <w:sz w:val="24"/>
                <w:szCs w:val="24"/>
                <w:highlight w:val="none"/>
                <w:u w:val="none"/>
                <w:lang w:val="en-US" w:eastAsia="zh-CN"/>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rPr>
                <w:rFonts w:hint="eastAsia" w:ascii="宋体" w:hAnsi="宋体" w:eastAsia="宋体" w:cs="宋体"/>
                <w:i w:val="0"/>
                <w:iCs w:val="0"/>
                <w:color w:val="000000"/>
                <w:sz w:val="22"/>
                <w:szCs w:val="22"/>
                <w:highlight w:val="none"/>
                <w:u w:val="none"/>
              </w:rPr>
            </w:r>
            <w:r/>
          </w:p>
        </w:tc>
      </w:tr>
      <w:tr>
        <w:trPr>
          <w:trHeight w:val="15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胶质瘤TERT基因启动子突变检测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400（加收200/位点）</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400</w:t>
            </w:r>
            <w:r>
              <w:rPr>
                <w:rFonts w:ascii="宋体" w:hAnsi="宋体" w:eastAsia="宋体" w:cs="宋体"/>
                <w:i w:val="0"/>
                <w:iCs w:val="0"/>
                <w:color w:val="000000"/>
                <w:sz w:val="24"/>
                <w:szCs w:val="24"/>
                <w:highlight w:val="none"/>
                <w:u w:val="none"/>
                <w:lang w:val="en-US" w:eastAsia="zh-CN"/>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270700006</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荧光PCR法</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36000</w:t>
            </w:r>
            <w:r>
              <w:rPr>
                <w:rFonts w:hint="eastAsia" w:ascii="宋体" w:hAnsi="宋体" w:eastAsia="宋体" w:cs="宋体"/>
                <w:i w:val="0"/>
                <w:iCs w:val="0"/>
                <w:color w:val="000000"/>
                <w:sz w:val="22"/>
                <w:szCs w:val="22"/>
                <w:highlight w:val="none"/>
                <w:u w:val="none"/>
              </w:rPr>
            </w:r>
            <w:r/>
          </w:p>
        </w:tc>
      </w:tr>
      <w:tr>
        <w:trPr>
          <w:trHeight w:val="315"/>
        </w:trPr>
        <w:tc>
          <w:tcPr>
            <w:gridSpan w:val="17"/>
            <w:tcW w:w="10608" w:type="dxa"/>
            <w:vAlign w:val="bottom"/>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采购包2</w:t>
            </w:r>
            <w:r>
              <w:rPr>
                <w:rFonts w:ascii="宋体" w:hAnsi="宋体" w:eastAsia="宋体" w:cs="宋体"/>
                <w:i w:val="0"/>
                <w:iCs w:val="0"/>
                <w:color w:val="000000"/>
                <w:sz w:val="24"/>
                <w:szCs w:val="24"/>
                <w:highlight w:val="none"/>
                <w:u w:val="none"/>
                <w:lang w:val="en-US" w:eastAsia="zh-CN"/>
              </w:rPr>
            </w:r>
            <w:r/>
          </w:p>
        </w:tc>
      </w:tr>
      <w:tr>
        <w:trPr>
          <w:trHeight w:val="12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病原微生物靶向测序（tNGS）</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rPr>
                <w:rFonts w:hint="eastAsia" w:ascii="宋体" w:hAnsi="宋体" w:eastAsia="宋体" w:cs="宋体"/>
                <w:i w:val="0"/>
                <w:iCs w:val="0"/>
                <w:color w:val="000000"/>
                <w:sz w:val="24"/>
                <w:szCs w:val="24"/>
                <w:highlight w:val="none"/>
                <w:u w:val="none"/>
              </w:rPr>
            </w:r>
            <w:r/>
          </w:p>
        </w:tc>
        <w:tc>
          <w:tcPr>
            <w:tcW w:w="475" w:type="dxa"/>
            <w:vAlign w:val="bottom"/>
            <w:textDirection w:val="lrTb"/>
            <w:noWrap/>
          </w:tcPr>
          <w:p>
            <w:pPr>
              <w:pStyle w:val="84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494" w:type="dxa"/>
            <w:vAlign w:val="center"/>
            <w:textDirection w:val="lrTb"/>
            <w:noWrap/>
          </w:tcPr>
          <w:p>
            <w:pPr>
              <w:pStyle w:val="847"/>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960000</w:t>
            </w:r>
            <w:r>
              <w:rPr>
                <w:rFonts w:hint="eastAsia" w:ascii="宋体" w:hAnsi="宋体" w:eastAsia="宋体" w:cs="宋体"/>
                <w:i w:val="0"/>
                <w:iCs w:val="0"/>
                <w:color w:val="000000"/>
                <w:sz w:val="22"/>
                <w:szCs w:val="22"/>
                <w:highlight w:val="none"/>
                <w:u w:val="none"/>
              </w:rPr>
            </w:r>
            <w:r/>
          </w:p>
        </w:tc>
      </w:tr>
      <w:tr>
        <w:trPr>
          <w:trHeight w:val="112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475"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病原微生物宏基因检测（DNA）</w:t>
            </w:r>
            <w:r>
              <w:rPr>
                <w:rFonts w:hint="eastAsia" w:ascii="宋体" w:hAnsi="宋体" w:eastAsia="宋体" w:cs="宋体"/>
                <w:i w:val="0"/>
                <w:iCs w:val="0"/>
                <w:color w:val="000000"/>
                <w:sz w:val="22"/>
                <w:szCs w:val="22"/>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rPr>
                <w:rFonts w:hint="eastAsia" w:ascii="宋体" w:hAnsi="宋体" w:eastAsia="宋体" w:cs="宋体"/>
                <w:i w:val="0"/>
                <w:iCs w:val="0"/>
                <w:color w:val="000000"/>
                <w:sz w:val="22"/>
                <w:szCs w:val="22"/>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rPr>
                <w:rFonts w:hint="eastAsia" w:ascii="宋体" w:hAnsi="宋体" w:eastAsia="宋体" w:cs="宋体"/>
                <w:i w:val="0"/>
                <w:iCs w:val="0"/>
                <w:color w:val="000000"/>
                <w:sz w:val="24"/>
                <w:szCs w:val="24"/>
                <w:highlight w:val="none"/>
                <w:u w:val="none"/>
              </w:rPr>
            </w:r>
            <w:r/>
          </w:p>
        </w:tc>
        <w:tc>
          <w:tcPr>
            <w:tcW w:w="475" w:type="dxa"/>
            <w:vAlign w:val="center"/>
            <w:vMerge w:val="restart"/>
            <w:textDirection w:val="lrTb"/>
            <w:noWrap/>
          </w:tcPr>
          <w:p>
            <w:pPr>
              <w:pStyle w:val="847"/>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rPr>
            </w:r>
            <w:r/>
          </w:p>
        </w:tc>
        <w:tc>
          <w:tcPr>
            <w:tcW w:w="494"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1080000</w:t>
            </w:r>
            <w:r>
              <w:rPr>
                <w:rFonts w:hint="eastAsia" w:ascii="宋体" w:hAnsi="宋体" w:eastAsia="宋体" w:cs="宋体"/>
                <w:i w:val="0"/>
                <w:iCs w:val="0"/>
                <w:color w:val="000000"/>
                <w:sz w:val="22"/>
                <w:szCs w:val="22"/>
                <w:highlight w:val="none"/>
                <w:u w:val="none"/>
              </w:rPr>
            </w:r>
            <w:r/>
          </w:p>
        </w:tc>
      </w:tr>
      <w:tr>
        <w:trPr>
          <w:trHeight w:val="168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475" w:type="dxa"/>
            <w:vAlign w:val="center"/>
            <w:textDirection w:val="lrTb"/>
            <w:noWrap w:val="false"/>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病原微生物宏基因检测（DNA+RNA）</w:t>
            </w:r>
            <w:r>
              <w:rPr>
                <w:rFonts w:hint="eastAsia" w:ascii="宋体" w:hAnsi="宋体" w:eastAsia="宋体" w:cs="宋体"/>
                <w:i w:val="0"/>
                <w:iCs w:val="0"/>
                <w:color w:val="000000"/>
                <w:sz w:val="22"/>
                <w:szCs w:val="22"/>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gridSpan w:val="2"/>
            <w:tcW w:w="100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5400</w:t>
            </w:r>
            <w:r>
              <w:rPr>
                <w:rFonts w:hint="eastAsia" w:ascii="宋体" w:hAnsi="宋体" w:eastAsia="宋体" w:cs="宋体"/>
                <w:i w:val="0"/>
                <w:iCs w:val="0"/>
                <w:color w:val="000000"/>
                <w:sz w:val="22"/>
                <w:szCs w:val="22"/>
                <w:highlight w:val="none"/>
                <w:u w:val="none"/>
              </w:rPr>
            </w:r>
            <w:r/>
          </w:p>
        </w:tc>
        <w:tc>
          <w:tcPr>
            <w:gridSpan w:val="3"/>
            <w:tcW w:w="148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250403065-a</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NGS</w:t>
            </w:r>
            <w:r>
              <w:rPr>
                <w:rFonts w:hint="eastAsia" w:ascii="宋体" w:hAnsi="宋体" w:eastAsia="宋体" w:cs="宋体"/>
                <w:i w:val="0"/>
                <w:iCs w:val="0"/>
                <w:color w:val="000000"/>
                <w:sz w:val="24"/>
                <w:szCs w:val="24"/>
                <w:highlight w:val="none"/>
                <w:u w:val="none"/>
              </w:rPr>
            </w:r>
            <w:r/>
          </w:p>
        </w:tc>
        <w:tc>
          <w:tcPr>
            <w:gridSpan w:val="2"/>
            <w:tcW w:w="1010"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一例</w:t>
            </w:r>
            <w:r>
              <w:rPr>
                <w:rFonts w:hint="eastAsia" w:ascii="宋体" w:hAnsi="宋体" w:eastAsia="宋体" w:cs="宋体"/>
                <w:i w:val="0"/>
                <w:iCs w:val="0"/>
                <w:color w:val="000000"/>
                <w:sz w:val="24"/>
                <w:szCs w:val="24"/>
                <w:highlight w:val="none"/>
                <w:u w:val="none"/>
              </w:rPr>
            </w:r>
            <w:r/>
          </w:p>
        </w:tc>
        <w:tc>
          <w:tcPr>
            <w:gridSpan w:val="2"/>
            <w:tcW w:w="1009" w:type="dxa"/>
            <w:vAlign w:val="bottom"/>
            <w:textDirection w:val="lrTb"/>
            <w:noWrap w:val="false"/>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组织、体液</w:t>
            </w:r>
            <w:r>
              <w:rPr>
                <w:rFonts w:hint="eastAsia" w:ascii="宋体" w:hAnsi="宋体" w:eastAsia="宋体" w:cs="宋体"/>
                <w:i w:val="0"/>
                <w:iCs w:val="0"/>
                <w:color w:val="000000"/>
                <w:sz w:val="24"/>
                <w:szCs w:val="24"/>
                <w:highlight w:val="none"/>
                <w:u w:val="none"/>
              </w:rPr>
            </w:r>
            <w:r/>
          </w:p>
        </w:tc>
        <w:tc>
          <w:tcPr>
            <w:tcW w:w="475" w:type="dxa"/>
            <w:vAlign w:val="center"/>
            <w:vMerge w:val="continue"/>
            <w:textDirection w:val="lrTb"/>
            <w:noWrap/>
          </w:tcPr>
          <w:p>
            <w:pPr>
              <w:pStyle w:val="847"/>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00"/>
        </w:trPr>
        <w:tc>
          <w:tcPr>
            <w:tcW w:w="475"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gridSpan w:val="15"/>
            <w:tcW w:w="854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其他零散病原体检测项目</w:t>
            </w:r>
            <w:r>
              <w:rPr>
                <w:rFonts w:hint="eastAsia" w:ascii="宋体" w:hAnsi="宋体" w:eastAsia="宋体" w:cs="宋体"/>
                <w:i w:val="0"/>
                <w:iCs w:val="0"/>
                <w:color w:val="000000"/>
                <w:sz w:val="22"/>
                <w:szCs w:val="22"/>
                <w:highlight w:val="none"/>
                <w:u w:val="none"/>
              </w:rPr>
            </w:r>
            <w:r/>
          </w:p>
        </w:tc>
        <w:tc>
          <w:tcPr>
            <w:tcW w:w="494" w:type="dxa"/>
            <w:vAlign w:val="center"/>
            <w:textDirection w:val="lrTb"/>
            <w:noWrap/>
          </w:tcPr>
          <w:p>
            <w:pPr>
              <w:pStyle w:val="847"/>
              <w:jc w:val="right"/>
              <w:keepLines w:val="0"/>
              <w:keepNext w:val="0"/>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446000</w:t>
            </w:r>
            <w:r>
              <w:rPr>
                <w:rFonts w:ascii="宋体" w:hAnsi="宋体" w:eastAsia="宋体" w:cs="宋体"/>
                <w:i w:val="0"/>
                <w:iCs w:val="0"/>
                <w:color w:val="000000"/>
                <w:sz w:val="22"/>
                <w:szCs w:val="22"/>
                <w:highlight w:val="none"/>
                <w:u w:val="none"/>
                <w:lang w:val="en-US"/>
              </w:rPr>
            </w:r>
            <w:r/>
          </w:p>
        </w:tc>
      </w:tr>
      <w:tr>
        <w:trPr>
          <w:trHeight w:val="300"/>
        </w:trPr>
        <w:tc>
          <w:tcPr>
            <w:gridSpan w:val="17"/>
            <w:tcW w:w="10608" w:type="dxa"/>
            <w:vAlign w:val="bottom"/>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采购包3</w:t>
            </w:r>
            <w:r>
              <w:rPr>
                <w:rFonts w:hint="eastAsia" w:ascii="宋体" w:hAnsi="宋体" w:eastAsia="宋体" w:cs="宋体"/>
                <w:i w:val="0"/>
                <w:iCs w:val="0"/>
                <w:color w:val="000000"/>
                <w:sz w:val="24"/>
                <w:szCs w:val="24"/>
                <w:highlight w:val="none"/>
                <w:u w:val="none"/>
                <w:lang w:val="en-US" w:eastAsia="zh-CN"/>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穿刺组织活检检查与诊断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rPr>
                <w:rFonts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390</w:t>
            </w:r>
            <w:r>
              <w:rPr>
                <w:rFonts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270300001-b</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例（2个蜡块）</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restart"/>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380</w:t>
            </w:r>
            <w:r>
              <w:rPr>
                <w:rFonts w:ascii="宋体" w:hAnsi="宋体" w:eastAsia="宋体" w:cs="宋体"/>
                <w:i w:val="0"/>
                <w:iCs w:val="0"/>
                <w:color w:val="000000"/>
                <w:sz w:val="22"/>
                <w:szCs w:val="22"/>
                <w:highlight w:val="none"/>
                <w:u w:val="none"/>
                <w:lang w:val="en-US" w:eastAsia="zh-CN" w:bidi="ar"/>
              </w:rPr>
            </w:r>
            <w:r/>
          </w:p>
        </w:tc>
        <w:tc>
          <w:tcPr>
            <w:tcW w:w="494"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950000</w:t>
            </w: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冰冻切片检查与诊断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270400001</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快速石蜡切片检查与诊断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270400002</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特殊染色及酶组织化学染色诊断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270500001</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rPr>
                <w:rFonts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免疫荧光染色诊断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270500003</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每个标本，每种染色；根据病种加收</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普通透射电镜检查与诊断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270600001</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全自动染色封片加收</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2703-b</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每个蜡块</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病理体视学检查与图像分析</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270800001</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显微摄影术</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270800003</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每个视野</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病理图文报告</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270800004</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全自动免疫组织化学染色快速诊断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150*N</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270500002-a</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上机当天出报告</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每个标本，每种染色</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w:t>
            </w:r>
            <w:r>
              <w:rPr>
                <w:rFonts w:hint="eastAsia" w:ascii="宋体" w:hAnsi="宋体" w:eastAsia="宋体" w:cs="宋体"/>
                <w:i w:val="0"/>
                <w:iCs w:val="0"/>
                <w:color w:val="000000"/>
                <w:sz w:val="22"/>
                <w:szCs w:val="22"/>
                <w:highlight w:val="none"/>
                <w:u w:val="none"/>
                <w:lang w:val="en-US" w:eastAsia="zh-CN" w:bidi="ar"/>
              </w:rPr>
            </w:r>
            <w:r/>
          </w:p>
        </w:tc>
      </w:tr>
      <w:tr>
        <w:trPr>
          <w:trHeight w:val="300"/>
        </w:trPr>
        <w:tc>
          <w:tcPr>
            <w:tcW w:w="475" w:type="dxa"/>
            <w:vAlign w:val="center"/>
            <w:textDirection w:val="lrTb"/>
            <w:noWrap/>
          </w:tcPr>
          <w:p>
            <w:pPr>
              <w:pStyle w:val="84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ascii="宋体" w:hAnsi="宋体" w:eastAsia="宋体" w:cs="宋体"/>
                <w:i w:val="0"/>
                <w:iCs w:val="0"/>
                <w:color w:val="000000"/>
                <w:sz w:val="24"/>
                <w:szCs w:val="24"/>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免疫电镜检查与诊断</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lang w:val="en-US" w:eastAsia="zh-CN" w:bidi="ar"/>
              </w:rPr>
            </w:r>
            <w:r/>
          </w:p>
        </w:tc>
        <w:tc>
          <w:tcPr>
            <w:tcW w:w="503"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270600002</w:t>
            </w: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1068"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每个标本</w:t>
            </w:r>
            <w:r>
              <w:rPr>
                <w:rFonts w:hint="eastAsia" w:ascii="宋体" w:hAnsi="宋体" w:eastAsia="宋体" w:cs="宋体"/>
                <w:i w:val="0"/>
                <w:iCs w:val="0"/>
                <w:color w:val="000000"/>
                <w:sz w:val="22"/>
                <w:szCs w:val="22"/>
                <w:highlight w:val="none"/>
                <w:u w:val="none"/>
                <w:lang w:val="en-US" w:eastAsia="zh-CN" w:bidi="ar"/>
              </w:rPr>
            </w:r>
            <w:r/>
          </w:p>
        </w:tc>
        <w:tc>
          <w:tcPr>
            <w:gridSpan w:val="2"/>
            <w:tcW w:w="1069" w:type="dxa"/>
            <w:vAlign w:val="center"/>
            <w:textDirection w:val="lrTb"/>
            <w:noWrap/>
          </w:tcPr>
          <w:p>
            <w:pPr>
              <w:pStyle w:val="847"/>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肾组织</w:t>
            </w:r>
            <w:r>
              <w:rPr>
                <w:rFonts w:hint="eastAsia" w:ascii="宋体" w:hAnsi="宋体" w:eastAsia="宋体" w:cs="宋体"/>
                <w:i w:val="0"/>
                <w:iCs w:val="0"/>
                <w:color w:val="000000"/>
                <w:sz w:val="22"/>
                <w:szCs w:val="22"/>
                <w:highlight w:val="none"/>
                <w:u w:val="none"/>
                <w:lang w:val="en-US" w:eastAsia="zh-CN" w:bidi="ar"/>
              </w:rPr>
            </w:r>
            <w:r/>
          </w:p>
        </w:tc>
        <w:tc>
          <w:tcPr>
            <w:gridSpan w:val="2"/>
            <w:tcW w:w="1072"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494" w:type="dxa"/>
            <w:vAlign w:val="center"/>
            <w:vMerge w:val="continue"/>
            <w:textDirection w:val="lrTb"/>
            <w:noWrap/>
          </w:tcPr>
          <w:p>
            <w:pPr>
              <w:pStyle w:val="847"/>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r>
    </w:tbl>
    <w:p>
      <w:pPr>
        <w:pStyle w:val="847"/>
        <w:rPr>
          <w:rFonts w:hAnsi="宋体"/>
          <w:bCs/>
          <w:color w:val="000000"/>
          <w:szCs w:val="24"/>
          <w:highlight w:val="none"/>
        </w:rPr>
      </w:pPr>
      <w:r>
        <w:rPr>
          <w:rFonts w:hAnsi="宋体"/>
          <w:bCs/>
          <w:color w:val="000000"/>
          <w:szCs w:val="24"/>
          <w:highlight w:val="none"/>
        </w:rPr>
      </w:r>
      <w:r/>
    </w:p>
    <w:p>
      <w:pPr>
        <w:pStyle w:val="847"/>
        <w:spacing w:line="360" w:lineRule="auto"/>
        <w:tabs>
          <w:tab w:val="left" w:pos="357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1.服务团队架构</w:t>
      </w:r>
      <w:r>
        <w:rPr>
          <w:rFonts w:ascii="宋体" w:hAnsi="宋体" w:eastAsia="宋体" w:cs="宋体"/>
          <w:bCs/>
          <w:color w:val="000000"/>
          <w:sz w:val="24"/>
          <w:szCs w:val="24"/>
          <w:highlight w:val="none"/>
        </w:rPr>
      </w:r>
      <w:r/>
    </w:p>
    <w:p>
      <w:pPr>
        <w:pStyle w:val="847"/>
        <w:spacing w:line="360" w:lineRule="auto"/>
        <w:tabs>
          <w:tab w:val="left" w:pos="357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投标人应合理配备投入本项目的全职人员，职责明确，服务团队至少要求如下：</w:t>
      </w:r>
      <w:r>
        <w:rPr>
          <w:rFonts w:ascii="宋体" w:hAnsi="宋体" w:eastAsia="宋体" w:cs="宋体"/>
          <w:color w:val="000000"/>
          <w:sz w:val="24"/>
          <w:szCs w:val="24"/>
          <w:highlight w:val="none"/>
        </w:rPr>
      </w:r>
      <w:r/>
    </w:p>
    <w:tbl>
      <w:tblPr>
        <w:tblW w:w="4976" w:type="pct"/>
        <w:jc w:val="center"/>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3281"/>
        <w:gridCol w:w="5835"/>
      </w:tblGrid>
      <w:tr>
        <w:trPr>
          <w:trHeight w:val="501"/>
        </w:trPr>
        <w:tc>
          <w:tcPr>
            <w:tcW w:w="48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W w:w="1626"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w:t>
            </w:r>
            <w:r>
              <w:rPr>
                <w:rFonts w:ascii="宋体" w:hAnsi="宋体" w:eastAsia="宋体" w:cs="宋体"/>
                <w:color w:val="000000"/>
                <w:sz w:val="24"/>
                <w:szCs w:val="24"/>
                <w:highlight w:val="none"/>
              </w:rPr>
            </w:r>
            <w:r/>
          </w:p>
        </w:tc>
        <w:tc>
          <w:tcPr>
            <w:tcW w:w="289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rPr>
                <w:rFonts w:ascii="宋体" w:hAnsi="宋体" w:eastAsia="宋体" w:cs="宋体"/>
                <w:color w:val="000000"/>
                <w:sz w:val="24"/>
                <w:szCs w:val="24"/>
                <w:highlight w:val="none"/>
              </w:rPr>
            </w:r>
            <w:r/>
          </w:p>
        </w:tc>
      </w:tr>
      <w:tr>
        <w:trPr>
          <w:trHeight w:val="501"/>
        </w:trPr>
        <w:tc>
          <w:tcPr>
            <w:tcW w:w="48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1626"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PCR实验人员</w:t>
            </w:r>
            <w:r>
              <w:rPr>
                <w:rFonts w:ascii="宋体" w:hAnsi="宋体" w:eastAsia="宋体" w:cs="宋体"/>
                <w:color w:val="000000"/>
                <w:sz w:val="24"/>
                <w:szCs w:val="24"/>
                <w:highlight w:val="none"/>
              </w:rPr>
            </w:r>
            <w:r/>
          </w:p>
        </w:tc>
        <w:tc>
          <w:tcPr>
            <w:tcW w:w="289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具备医学或生物相关背景且持有PCR上岗证</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相应上岗证</w:t>
            </w:r>
            <w:r>
              <w:rPr>
                <w:rFonts w:ascii="宋体" w:hAnsi="宋体" w:eastAsia="宋体" w:cs="宋体"/>
                <w:color w:val="000000"/>
                <w:sz w:val="24"/>
                <w:szCs w:val="24"/>
                <w:highlight w:val="none"/>
              </w:rPr>
            </w:r>
            <w:r/>
          </w:p>
        </w:tc>
      </w:tr>
      <w:tr>
        <w:trPr>
          <w:trHeight w:val="501"/>
        </w:trPr>
        <w:tc>
          <w:tcPr>
            <w:tcW w:w="48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1626"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检验师</w:t>
            </w:r>
            <w:r>
              <w:rPr>
                <w:rFonts w:ascii="宋体" w:hAnsi="宋体" w:eastAsia="宋体" w:cs="宋体"/>
                <w:color w:val="000000"/>
                <w:sz w:val="24"/>
                <w:szCs w:val="24"/>
                <w:highlight w:val="none"/>
              </w:rPr>
            </w:r>
            <w:r/>
          </w:p>
        </w:tc>
        <w:tc>
          <w:tcPr>
            <w:tcW w:w="2892" w:type="dxa"/>
            <w:vAlign w:val="center"/>
            <w:textDirection w:val="lrTb"/>
            <w:noWrap w:val="false"/>
          </w:tcPr>
          <w:p>
            <w:pPr>
              <w:pStyle w:val="84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同时具备检验技师系列职称和PCR上岗证</w:t>
            </w:r>
            <w:r>
              <w:rPr>
                <w:rFonts w:hint="eastAsia" w:ascii="宋体" w:hAnsi="宋体" w:eastAsia="宋体" w:cs="宋体"/>
                <w:color w:val="000000"/>
                <w:sz w:val="24"/>
                <w:szCs w:val="24"/>
                <w:highlight w:val="none"/>
                <w:lang w:val="en-US" w:eastAsia="zh-CN"/>
              </w:rPr>
              <w:t xml:space="preserve">或相应上岗证（仅限采购包2）</w:t>
            </w:r>
            <w:r>
              <w:rPr>
                <w:rFonts w:ascii="宋体" w:hAnsi="宋体" w:eastAsia="宋体" w:cs="宋体"/>
                <w:color w:val="000000"/>
                <w:sz w:val="24"/>
                <w:szCs w:val="24"/>
                <w:highlight w:val="none"/>
                <w:lang w:val="en-US" w:eastAsia="zh-CN"/>
              </w:rPr>
            </w:r>
            <w:r/>
          </w:p>
        </w:tc>
      </w:tr>
      <w:tr>
        <w:trPr>
          <w:trHeight w:val="501"/>
        </w:trPr>
        <w:tc>
          <w:tcPr>
            <w:tcW w:w="48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1626"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生物信息和报告解读人员</w:t>
            </w:r>
            <w:r>
              <w:rPr>
                <w:rFonts w:ascii="宋体" w:hAnsi="宋体" w:eastAsia="宋体" w:cs="宋体"/>
                <w:color w:val="000000"/>
                <w:sz w:val="24"/>
                <w:szCs w:val="24"/>
                <w:highlight w:val="none"/>
              </w:rPr>
            </w:r>
            <w:r/>
          </w:p>
        </w:tc>
        <w:tc>
          <w:tcPr>
            <w:tcW w:w="2892" w:type="dxa"/>
            <w:vAlign w:val="center"/>
            <w:textDirection w:val="lrTb"/>
            <w:noWrap w:val="false"/>
          </w:tcPr>
          <w:p>
            <w:pPr>
              <w:pStyle w:val="84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生物信息学专业（生物信息学专业人员不少于1人）或遗传学或医学相关专业证书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采购包1、采购包2）</w:t>
            </w:r>
            <w:r>
              <w:rPr>
                <w:rFonts w:ascii="宋体" w:hAnsi="宋体" w:eastAsia="宋体" w:cs="宋体"/>
                <w:color w:val="000000"/>
                <w:sz w:val="24"/>
                <w:szCs w:val="24"/>
                <w:highlight w:val="none"/>
                <w:lang w:val="en-US" w:eastAsia="zh-CN"/>
              </w:rPr>
            </w:r>
            <w:r/>
          </w:p>
        </w:tc>
      </w:tr>
      <w:tr>
        <w:trPr>
          <w:trHeight w:val="501"/>
        </w:trPr>
        <w:tc>
          <w:tcPr>
            <w:tcW w:w="482"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1626" w:type="dxa"/>
            <w:vAlign w:val="center"/>
            <w:textDirection w:val="lrTb"/>
            <w:noWrap w:val="false"/>
          </w:tcPr>
          <w:p>
            <w:pPr>
              <w:pStyle w:val="847"/>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病理</w:t>
            </w:r>
            <w:r>
              <w:rPr>
                <w:rFonts w:hint="eastAsia" w:ascii="宋体" w:hAnsi="宋体" w:eastAsia="宋体" w:cs="宋体"/>
                <w:color w:val="000000"/>
                <w:sz w:val="24"/>
                <w:szCs w:val="24"/>
                <w:highlight w:val="none"/>
                <w:lang w:val="en-US" w:eastAsia="zh-CN"/>
              </w:rPr>
              <w:t xml:space="preserve">/检验</w:t>
            </w:r>
            <w:r>
              <w:rPr>
                <w:rFonts w:hint="eastAsia" w:ascii="宋体" w:hAnsi="宋体" w:eastAsia="宋体" w:cs="宋体"/>
                <w:color w:val="000000"/>
                <w:sz w:val="24"/>
                <w:szCs w:val="24"/>
                <w:highlight w:val="none"/>
              </w:rPr>
              <w:t xml:space="preserve">医师</w:t>
            </w:r>
            <w:r>
              <w:rPr>
                <w:rFonts w:ascii="宋体" w:hAnsi="宋体" w:eastAsia="宋体" w:cs="宋体"/>
                <w:color w:val="000000"/>
                <w:sz w:val="24"/>
                <w:szCs w:val="24"/>
                <w:highlight w:val="none"/>
              </w:rPr>
            </w:r>
            <w:r/>
          </w:p>
        </w:tc>
        <w:tc>
          <w:tcPr>
            <w:tcW w:w="2892" w:type="dxa"/>
            <w:vAlign w:val="center"/>
            <w:textDirection w:val="lrTb"/>
            <w:noWrap w:val="false"/>
          </w:tcPr>
          <w:p>
            <w:pPr>
              <w:pStyle w:val="84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具备执业医师证书及职称证书（执业地点为该检测机构）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采购包1和采购包3为病理医师，包2为检验医师）</w:t>
            </w:r>
            <w:r>
              <w:rPr>
                <w:rFonts w:ascii="宋体" w:hAnsi="宋体" w:eastAsia="宋体" w:cs="宋体"/>
                <w:color w:val="000000"/>
                <w:sz w:val="24"/>
                <w:szCs w:val="24"/>
                <w:highlight w:val="none"/>
                <w:lang w:val="en-US" w:eastAsia="zh-CN"/>
              </w:rPr>
            </w:r>
            <w:r/>
          </w:p>
        </w:tc>
      </w:tr>
    </w:tbl>
    <w:p>
      <w:pPr>
        <w:pStyle w:val="847"/>
        <w:rPr>
          <w:rFonts w:hAnsi="宋体"/>
          <w:color w:val="000000"/>
          <w:szCs w:val="24"/>
          <w:highlight w:val="none"/>
        </w:rPr>
      </w:pPr>
      <w:r>
        <w:rPr>
          <w:rFonts w:hAnsi="宋体"/>
          <w:color w:val="000000"/>
          <w:szCs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2.</w:t>
      </w:r>
      <w:r>
        <w:rPr>
          <w:rFonts w:hint="eastAsia" w:ascii="宋体" w:hAnsi="宋体" w:eastAsia="宋体"/>
          <w:b/>
          <w:color w:val="000000"/>
          <w:sz w:val="24"/>
          <w:szCs w:val="24"/>
          <w:highlight w:val="none"/>
        </w:rPr>
        <w:t xml:space="preserve">服务人员要求</w:t>
      </w:r>
      <w:r>
        <w:rPr>
          <w:rFonts w:ascii="宋体" w:hAnsi="宋体" w:eastAsia="宋体"/>
          <w:b/>
          <w:color w:val="000000"/>
          <w:sz w:val="24"/>
          <w:szCs w:val="24"/>
          <w:highlight w:val="none"/>
        </w:rPr>
      </w:r>
      <w:r/>
    </w:p>
    <w:p>
      <w:pPr>
        <w:pStyle w:val="847"/>
        <w:ind w:firstLine="480"/>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rPr>
        <w:t xml:space="preserve">具备执业医师证书及职称证书的医师（执业地点为该检测机构）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采购包1和采购包3为病理医师/采购包2为检验医师）</w:t>
      </w:r>
      <w:r>
        <w:rPr>
          <w:rFonts w:hint="eastAsia" w:ascii="宋体" w:hAnsi="宋体" w:eastAsia="宋体" w:cs="宋体"/>
          <w:color w:val="000000"/>
          <w:sz w:val="24"/>
          <w:szCs w:val="24"/>
          <w:highlight w:val="none"/>
        </w:rPr>
        <w:t xml:space="preserve">，具备资格证的检验士或检验师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仅限采购包2）</w:t>
      </w:r>
      <w:r>
        <w:rPr>
          <w:rFonts w:hint="eastAsia" w:ascii="宋体" w:hAnsi="宋体" w:eastAsia="宋体" w:cs="宋体"/>
          <w:color w:val="000000"/>
          <w:sz w:val="24"/>
          <w:szCs w:val="24"/>
          <w:highlight w:val="none"/>
        </w:rPr>
        <w:t xml:space="preserve">，具备PCR上岗证的操作人员（其中同时具备检验技师系列职称和PCR上岗证的人员不少于3人），具备生物信息学专业（生物信息学专业人员不少于1人）或遗传学或医学相关专业证书的生物信息和报告解读人员；相关人员具有继续医学教育的证明材料</w:t>
      </w:r>
      <w:r>
        <w:rPr>
          <w:rFonts w:hint="eastAsia" w:eastAsia="宋体"/>
          <w:color w:val="000000"/>
          <w:highlight w:val="none"/>
          <w:lang w:eastAsia="zh-CN"/>
        </w:rPr>
        <w:t xml:space="preserve">。</w:t>
      </w:r>
      <w:r>
        <w:rPr>
          <w:rFonts w:hint="eastAsia" w:eastAsia="宋体"/>
          <w:color w:val="000000"/>
          <w:highlight w:val="none"/>
          <w:lang w:eastAsia="zh-CN"/>
        </w:rPr>
      </w:r>
      <w:r/>
    </w:p>
    <w:p>
      <w:pPr>
        <w:pStyle w:val="847"/>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3-5内容需全部满足，若不满足，做无效标处理。</w:t>
      </w:r>
      <w:r>
        <w:rPr>
          <w:rFonts w:ascii="宋体" w:hAnsi="宋体" w:eastAsia="宋体" w:cs="宋体"/>
          <w:b/>
          <w:bCs/>
          <w:color w:val="000000"/>
          <w:sz w:val="24"/>
          <w:szCs w:val="24"/>
          <w:highlight w:val="none"/>
          <w:lang w:val="en-US" w:eastAsia="zh-CN"/>
        </w:rPr>
      </w:r>
      <w:r/>
    </w:p>
    <w:p>
      <w:pPr>
        <w:pStyle w:val="847"/>
        <w:numPr>
          <w:ilvl w:val="0"/>
          <w:numId w:val="11"/>
        </w:numPr>
        <w:spacing w:line="360" w:lineRule="auto"/>
        <w:tabs>
          <w:tab w:val="left" w:pos="525" w:leader="none"/>
          <w:tab w:val="left" w:pos="630" w:leader="none"/>
          <w:tab w:val="left" w:pos="735" w:leader="none"/>
          <w:tab w:val="left" w:pos="945"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服务内容与要求</w:t>
      </w:r>
      <w:r>
        <w:rPr>
          <w:rFonts w:hint="eastAsia" w:ascii="宋体" w:hAnsi="宋体" w:eastAsia="宋体"/>
          <w:b/>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3.1服务要求：</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以项目为类别进行应标，考虑到检测项目性质，不要求涵盖全部检验项目，其中肿瘤实体基因一个类别、病原微生物宏基因检测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肾脏病理检测</w:t>
      </w:r>
      <w:r>
        <w:rPr>
          <w:rFonts w:hint="eastAsia" w:ascii="宋体" w:hAnsi="宋体" w:eastAsia="宋体" w:cs="宋体"/>
          <w:color w:val="000000"/>
          <w:sz w:val="24"/>
          <w:szCs w:val="24"/>
          <w:highlight w:val="none"/>
        </w:rPr>
        <w:t xml:space="preserve">作为单独一个类别进行应标。</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3.1.1检测机构自接收标本起，5个工作日内出具相应报告（以具体检测项目为准），报告应包含检测结果、质控信息和解读等。检测全过程需质控且可溯源，具体要求如下：</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（1）供应商能够建立标本送检沟通群（包含院方代表、供应商代表、检测人员、生信分析、报告组等涉及送检人员），异常情况第一时间反馈。 </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（2）标本接收：检测机构接收后，及时记录扫码。（我院负责标本采集、信息脱敏、转运）；</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（3）标本病理质控：对标本进行病理质控，画出肿瘤区域，判断是否合格，拍照留存备查。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仅适用采购包1）</w:t>
      </w:r>
      <w:r>
        <w:rPr>
          <w:rFonts w:ascii="宋体" w:hAnsi="宋体" w:eastAsia="宋体" w:cs="宋体"/>
          <w:color w:val="000000"/>
          <w:sz w:val="24"/>
          <w:szCs w:val="24"/>
          <w:highlight w:val="none"/>
          <w:lang w:val="en-US" w:eastAsia="zh-CN"/>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（4）核酸提取：记录提取试剂盒名称、批号，核酸质控结果数据备查。（我院对质控结果进行监督审核）</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（5）建库扩增流程：记录建库扩增流程中每一个质控节点备查。（我院对质控节点进行监督审核）</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（6）测序：记录上机测序时间、测序仪器型号、测序试剂批号备查。</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（7）数据：记录计算机软件的名字和版本号备查。各项数据需保存备查或按院方要求返回医院。PCR试剂盒DNA浓度2ng/uL，DNA总量＞30ng/uL,RNA总量＞100ng/uL；NGS测序质控数据要求：Q30≥80%；比对率≥90%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采购包1、采购包2采用NGS测序法均需满足；其中采购包1的比对率指的是</w:t>
      </w:r>
      <w:r>
        <w:rPr>
          <w:rFonts w:ascii="宋体" w:hAnsi="宋体" w:eastAsia="宋体" w:cs="宋体"/>
          <w:color w:val="000000"/>
          <w:sz w:val="24"/>
          <w:szCs w:val="24"/>
          <w:highlight w:val="none"/>
        </w:rPr>
        <w:t xml:space="preserve">人类基因组</w:t>
      </w:r>
      <w:r>
        <w:rPr>
          <w:rFonts w:hint="eastAsia" w:ascii="宋体" w:hAnsi="宋体" w:eastAsia="宋体" w:cs="宋体"/>
          <w:color w:val="000000"/>
          <w:sz w:val="24"/>
          <w:szCs w:val="24"/>
          <w:highlight w:val="none"/>
          <w:lang w:val="en-US" w:eastAsia="zh-CN"/>
        </w:rPr>
        <w:t xml:space="preserve">比对率；采购包2的比对率指的是病原体参考基因组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；有效测序深度体细胞突变：FFPE ≥500Ｘ、血浆≥1000</w:t>
      </w:r>
      <w:r>
        <w:rPr>
          <w:rFonts w:hint="eastAsia" w:ascii="宋体" w:hAnsi="宋体" w:eastAsia="宋体" w:cs="宋体"/>
          <w:color w:val="000000"/>
          <w:sz w:val="24"/>
          <w:szCs w:val="24"/>
          <w:highlight w:val="none"/>
        </w:rPr>
        <w:t xml:space="preserve">Ｘ</w:t>
      </w:r>
      <w:r>
        <w:rPr>
          <w:rFonts w:hint="eastAsia" w:ascii="宋体" w:hAnsi="宋体" w:eastAsia="宋体" w:cs="宋体"/>
          <w:color w:val="000000"/>
          <w:sz w:val="24"/>
          <w:szCs w:val="24"/>
          <w:highlight w:val="none"/>
        </w:rPr>
        <w:t xml:space="preserve">；胚系突变：≥100</w:t>
      </w:r>
      <w:r>
        <w:rPr>
          <w:rFonts w:hint="eastAsia" w:ascii="宋体" w:hAnsi="宋体" w:eastAsia="宋体" w:cs="宋体"/>
          <w:color w:val="000000"/>
          <w:sz w:val="24"/>
          <w:szCs w:val="24"/>
          <w:highlight w:val="none"/>
        </w:rPr>
        <w:t xml:space="preserve">Ｘ</w:t>
      </w:r>
      <w:r>
        <w:rPr>
          <w:rFonts w:hint="eastAsia" w:ascii="宋体" w:hAnsi="宋体" w:eastAsia="宋体" w:cs="宋体"/>
          <w:color w:val="000000"/>
          <w:sz w:val="24"/>
          <w:szCs w:val="24"/>
          <w:highlight w:val="none"/>
        </w:rPr>
        <w:t xml:space="preserve">；覆盖均一性≥80%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采购包1肿瘤采用NGS测序法需满足，采购包2不涉及）</w:t>
      </w:r>
      <w:r>
        <w:rPr>
          <w:rFonts w:hint="eastAsia" w:ascii="宋体" w:hAnsi="宋体" w:eastAsia="宋体" w:cs="宋体"/>
          <w:color w:val="000000"/>
          <w:sz w:val="24"/>
          <w:szCs w:val="24"/>
          <w:highlight w:val="none"/>
        </w:rPr>
        <w:t xml:space="preserve">。（我院对质控数据、检测结果进行监督审核）</w:t>
      </w:r>
      <w:r>
        <w:rPr>
          <w:rFonts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（8）质控：</w:t>
      </w: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肿瘤实体基因</w:t>
      </w:r>
      <w:r>
        <w:rPr>
          <w:rFonts w:hint="eastAsia" w:ascii="宋体" w:hAnsi="宋体" w:eastAsia="宋体" w:cs="宋体"/>
          <w:color w:val="000000"/>
          <w:sz w:val="24"/>
          <w:szCs w:val="24"/>
          <w:highlight w:val="none"/>
        </w:rPr>
        <w:t xml:space="preserve">测序质控数据要求：对肿瘤细胞含量、DNA总量和纯度、预文库总量、核酸降解程度等湿实验质控参数；碱基测序质量Q30、比对率、有效测序深度、GC含量等干实验质控参数均进行过性能验证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7"/>
        <w:ind w:firstLine="480"/>
        <w:spacing w:line="360" w:lineRule="auto"/>
        <w:rPr>
          <w:rFonts w:hint="eastAsia" w:eastAsia="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NGS法检测</w:t>
      </w:r>
      <w:r>
        <w:rPr>
          <w:rFonts w:hint="eastAsia" w:ascii="宋体" w:hAnsi="宋体" w:eastAsia="宋体" w:cs="宋体"/>
          <w:color w:val="000000"/>
          <w:sz w:val="24"/>
          <w:szCs w:val="24"/>
          <w:highlight w:val="none"/>
        </w:rPr>
        <w:t xml:space="preserve">满足院方</w:t>
      </w:r>
      <w:r>
        <w:rPr>
          <w:rFonts w:hint="eastAsia" w:ascii="宋体" w:hAnsi="宋体" w:eastAsia="宋体" w:cs="宋体"/>
          <w:color w:val="000000"/>
          <w:sz w:val="24"/>
          <w:szCs w:val="24"/>
          <w:highlight w:val="none"/>
          <w:lang w:val="en-US" w:eastAsia="zh-CN"/>
        </w:rPr>
        <w:t xml:space="preserve">病原体</w:t>
      </w:r>
      <w:r>
        <w:rPr>
          <w:rFonts w:hint="eastAsia" w:ascii="宋体" w:hAnsi="宋体" w:eastAsia="宋体" w:cs="宋体"/>
          <w:color w:val="000000"/>
          <w:sz w:val="24"/>
          <w:szCs w:val="24"/>
          <w:highlight w:val="none"/>
        </w:rPr>
        <w:t xml:space="preserve">测序质控数据要求：</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DNA总量和纯度、预文库总量、核酸降解程度等湿实验质控参数；碱基测序质量Q30、比对率等干实验质控参数均进行过性能验证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包2）</w:t>
      </w:r>
      <w:r>
        <w:rPr>
          <w:rFonts w:hint="eastAsia" w:ascii="宋体" w:hAnsi="宋体" w:eastAsia="宋体" w:cs="宋体"/>
          <w:color w:val="000000"/>
          <w:sz w:val="24"/>
          <w:szCs w:val="24"/>
          <w:highlight w:val="none"/>
        </w:rPr>
        <w:t xml:space="preserve">。</w:t>
      </w:r>
      <w:r>
        <w:rPr>
          <w:rFonts w:hint="eastAsia" w:eastAsia="宋体"/>
          <w:color w:val="000000"/>
          <w:highlight w:val="none"/>
          <w:lang w:val="en-US" w:eastAsia="zh-CN"/>
        </w:rPr>
      </w:r>
      <w:r/>
    </w:p>
    <w:p>
      <w:pPr>
        <w:pStyle w:val="896"/>
        <w:rPr>
          <w:rFonts w:eastAsia="楷体_GB2312"/>
          <w:color w:val="000000"/>
          <w:highlight w:val="none"/>
          <w:lang w:val="en-US" w:eastAsia="zh-CN"/>
        </w:rPr>
      </w:pPr>
      <w:r>
        <w:rPr>
          <w:rFonts w:hint="eastAsia"/>
          <w:color w:val="000000"/>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（8）采购包3不涉及。</w:t>
      </w:r>
      <w:r>
        <w:rPr>
          <w:rFonts w:eastAsia="楷体_GB2312"/>
          <w:color w:val="000000"/>
          <w:highlight w:val="none"/>
          <w:lang w:val="en-US" w:eastAsia="zh-CN"/>
        </w:rPr>
      </w:r>
      <w:r/>
    </w:p>
    <w:p>
      <w:pPr>
        <w:pStyle w:val="84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（9）报告：按照院方要求编辑报告内容，并匹配院方信息系统。（我院对报告进行编辑、审核和发放）</w:t>
      </w:r>
      <w:r>
        <w:rPr>
          <w:rFonts w:hint="eastAsia" w:ascii="宋体" w:hAnsi="宋体" w:eastAsia="宋体" w:cs="宋体"/>
          <w:color w:val="000000"/>
          <w:sz w:val="24"/>
          <w:szCs w:val="24"/>
          <w:highlight w:val="none"/>
          <w:lang w:eastAsia="zh-CN"/>
        </w:rPr>
        <w:t xml:space="preserve">；投标供应商应拥有与医院信息系统的对接经验，需提供相应佐证材料。佐证材料应包括但不限于以下内容：1、对接医院信息；2、对接医院对接项目内容；3、对接医院证明材料；4、详实的信息对接方案（具体应包括如何获取患者基本信息、申请信息，如何回传检测样本原始数据、中间数据、结果数据等检验数据，如何提供经认证的最终PDF等）。</w:t>
      </w:r>
      <w:r>
        <w:rPr>
          <w:rFonts w:hint="eastAsia" w:ascii="宋体" w:hAnsi="宋体" w:eastAsia="宋体" w:cs="宋体"/>
          <w:color w:val="000000"/>
          <w:sz w:val="24"/>
          <w:szCs w:val="24"/>
          <w:highlight w:val="none"/>
          <w:lang w:eastAsia="zh-CN"/>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有能力提供免费的物流服务，能提供相应的样本接收手册等技术指导文件。由专职物流人员至院方指定地点按照样本类型分别对常温样本及冷藏样本进行分类，检查样本状态是否存在漏液、污染等情况，检查无问题后装入样本运转箱。根据标本转运要求，进行冷链和常温物流运输，且符合《GBT28577-2012冷链物流分类与基本要求》与生物安全要求，确保运输过程的样品质量和环境安全。</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★投标人具有符合生物安全管理标准的样本储存条件，具备低温冷冻保存条件，能够按院方要求妥善保管、追溯及销毁检验后样本；实验剩余送检标本按院方要求每三个月返样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3.1.3为保证我院基因检测的数据、样本安全等，检测机构应具备信息系统安全保护措施。我院对基因检测外送机构实现联网化监管，各机构应支持医院基因检测监管信息平台开通使用及维护。</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★供应商数据保存存放必须在国内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投标供应商需满足以下“2要求5保证”：</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（1）要求与医院签订数据安全保密协议，严禁将数据泄露给其他机构和个人，并按照医院要求定期对数据进行转移和销毁。</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（2）要求对接触我院基因检测的相关人员进行备案登记，并保持人员信息及时更新。</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（3）支持配备带有智能锁的样本转运箱2台，支持与基因检测监管信息平台对接，开箱上传数据，保证样本运输安全。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rPr>
          <w:rFonts w:ascii="宋体" w:hAnsi="宋体" w:eastAsia="宋体" w:cs="宋体"/>
          <w:color w:val="000000"/>
          <w:sz w:val="24"/>
          <w:szCs w:val="24"/>
          <w:highlight w:val="none"/>
          <w:lang w:val="en-US" w:eastAsia="zh-CN"/>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（4）支持配备扫码枪，在样本签收，样本提取，建库扩增，上机，样本销毁时进行扫码操作，保证样本全流程监管。</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（5）支持在基因检测监管信息平台进行报告编辑提交，保证报告时限要求。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仅适用于采购包1）</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（6）支持在基因检测监管信息平台提交检测数据，数据文件定期以移动硬盘形式提交到院方，保证检测数据安全。</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（7）接受医院以飞检的形式进行基因检测数据质控，保证检测数据的可靠性。</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3.1.4检测机构使用的基因参考数据库及文献至少3个月更新一次。</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3.1.5委托送检期间，检测机构应协助院方进行科研成果转化及相应的实验室建设。</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 检测样本、数据及相应转化成果等产权归属医院。</w:t>
      </w:r>
      <w:r>
        <w:rPr>
          <w:rFonts w:ascii="宋体" w:hAnsi="宋体" w:eastAsia="宋体" w:cs="宋体"/>
          <w:color w:val="000000"/>
          <w:sz w:val="24"/>
          <w:szCs w:val="24"/>
          <w:highlight w:val="none"/>
        </w:rPr>
      </w:r>
      <w:r/>
    </w:p>
    <w:p>
      <w:pPr>
        <w:pStyle w:val="847"/>
        <w:ind w:firstLine="480"/>
        <w:spacing w:line="360" w:lineRule="auto"/>
        <w:rPr>
          <w:color w:val="000000"/>
          <w:highlight w:val="none"/>
        </w:rPr>
      </w:pPr>
      <w:r>
        <w:rPr>
          <w:rFonts w:hint="eastAsia" w:ascii="宋体" w:hAnsi="宋体" w:eastAsia="宋体" w:cs="宋体"/>
          <w:color w:val="000000"/>
          <w:sz w:val="24"/>
          <w:szCs w:val="24"/>
          <w:highlight w:val="none"/>
        </w:rPr>
        <w:t xml:space="preserve">3.1.7检测实验室具备开展工作的环境与设施、定期开展安全风险评估、清洁卫生及安全</w:t>
      </w:r>
      <w:r>
        <w:rPr>
          <w:rFonts w:hint="eastAsia" w:ascii="宋体" w:hAnsi="宋体" w:eastAsia="宋体" w:cs="宋体"/>
          <w:color w:val="000000"/>
          <w:sz w:val="24"/>
          <w:szCs w:val="24"/>
          <w:highlight w:val="none"/>
          <w:lang w:eastAsia="zh-CN"/>
        </w:rPr>
        <w:t xml:space="preserve">要求</w:t>
      </w:r>
      <w:r>
        <w:rPr>
          <w:rFonts w:hint="eastAsia" w:ascii="宋体" w:hAnsi="宋体" w:eastAsia="宋体" w:cs="宋体"/>
          <w:color w:val="000000"/>
          <w:sz w:val="24"/>
          <w:szCs w:val="24"/>
          <w:highlight w:val="none"/>
        </w:rPr>
        <w:t xml:space="preserve">符合有关标准、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具有完整的设备、试剂及耗材的管理程序。</w:t>
      </w:r>
      <w:r>
        <w:rPr>
          <w:color w:val="000000"/>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3.1.8 检测实验室应该有完整的室内质量控制文件体系、规范的作业指导书（SOP）、试剂、校准物、质控物、仪器和方法等符合标本检测的需要、有文件规定校准物和质控物使用的频率并且具有失控情况处理程序；定期维护分析设备并有维护记录；定期对质控结果进行分析并留存数据</w:t>
      </w:r>
      <w:r>
        <w:rPr>
          <w:rFonts w:ascii="宋体" w:hAnsi="宋体" w:eastAsia="宋体" w:cs="宋体"/>
          <w:color w:val="000000"/>
          <w:sz w:val="24"/>
          <w:szCs w:val="24"/>
          <w:highlight w:val="none"/>
        </w:rPr>
      </w:r>
      <w:r/>
    </w:p>
    <w:p>
      <w:pPr>
        <w:pStyle w:val="847"/>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3.1.9 需求所涵盖的项目室间质评合格，如无室间质评项目，需将标本送其他实验室进行实验室间比对进行评价。</w:t>
      </w:r>
      <w:r>
        <w:rPr>
          <w:rFonts w:hint="eastAsia" w:ascii="宋体" w:hAnsi="宋体" w:eastAsia="宋体" w:cs="宋体"/>
          <w:b/>
          <w:bCs/>
          <w:color w:val="000000"/>
          <w:sz w:val="24"/>
          <w:szCs w:val="24"/>
          <w:highlight w:val="none"/>
          <w:lang w:val="en-US" w:eastAsia="zh-CN"/>
        </w:rPr>
        <w:t xml:space="preserve">投标时提供</w:t>
      </w:r>
      <w:r>
        <w:rPr>
          <w:rFonts w:hint="eastAsia" w:ascii="宋体" w:hAnsi="宋体" w:eastAsia="宋体" w:cs="宋体"/>
          <w:b/>
          <w:bCs/>
          <w:color w:val="000000"/>
          <w:sz w:val="24"/>
          <w:szCs w:val="24"/>
          <w:highlight w:val="none"/>
        </w:rPr>
        <w:t xml:space="preserve">需要提供国家、省临检中心等机构提供的证明材料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若投标时不提供，作无效标处理。</w:t>
      </w:r>
      <w:r>
        <w:rPr>
          <w:rFonts w:ascii="宋体" w:hAnsi="宋体" w:eastAsia="宋体" w:cs="宋体"/>
          <w:b/>
          <w:bCs/>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3.2.0 在有特殊紧急需求时，满足特事特办的原则，能满足加急检测、运输的需要。</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咨询服务是否在 24 小时内均可获得</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有危急值的报告程序与流程，涉及危急值时，需要及时以各种方式，第一时间联系招标人，因报告时限导致存在的医疗质量问题，将由投标人承担责任。</w:t>
      </w:r>
      <w:r>
        <w:rPr>
          <w:rFonts w:ascii="宋体" w:hAnsi="宋体" w:eastAsia="宋体" w:cs="宋体"/>
          <w:color w:val="000000"/>
          <w:sz w:val="24"/>
          <w:szCs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4.</w:t>
      </w:r>
      <w:r>
        <w:rPr>
          <w:rFonts w:hint="eastAsia" w:ascii="宋体" w:hAnsi="宋体" w:eastAsia="宋体"/>
          <w:b/>
          <w:color w:val="000000"/>
          <w:sz w:val="24"/>
          <w:szCs w:val="24"/>
          <w:highlight w:val="none"/>
        </w:rPr>
        <w:t xml:space="preserve">考核内容与方法</w:t>
      </w:r>
      <w:r>
        <w:rPr>
          <w:rFonts w:ascii="宋体" w:hAnsi="宋体" w:eastAsia="宋体"/>
          <w:b/>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4.1委托送检合作期间，检测机构必须参加临床检验中心等机构组织的室间质评活动。对没有室间质评的项目应采用替代评价方案（如实验室间比对）。</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4.2检测项目均按日或检测批次进行室内质控，按月或季度提供室内质量控制报表，其内容包括但不限于质控检测数据、评判标准、质控分析、失控报告、整改措施。要求提供相关技术文档或SOP，并加盖公章。</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4.3检测机构不定期接受院方飞行检查。检查内容包括但不限于所有原始数据、操作流程和操作记录资料，质控数据，样本保存溯源记录。</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规定时间内出具检测报告，报告结果无重大差错。</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4.5具备科研产出。</w:t>
      </w:r>
      <w:r>
        <w:rPr>
          <w:rFonts w:ascii="宋体" w:hAnsi="宋体" w:eastAsia="宋体" w:cs="宋体"/>
          <w:color w:val="000000"/>
          <w:sz w:val="24"/>
          <w:szCs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5.</w:t>
      </w:r>
      <w:r>
        <w:rPr>
          <w:rFonts w:hint="eastAsia" w:ascii="宋体" w:hAnsi="宋体" w:eastAsia="宋体"/>
          <w:b/>
          <w:color w:val="000000"/>
          <w:sz w:val="24"/>
          <w:szCs w:val="24"/>
          <w:highlight w:val="none"/>
        </w:rPr>
        <w:t xml:space="preserve">考核结果运用</w:t>
      </w:r>
      <w:r>
        <w:rPr>
          <w:rFonts w:ascii="宋体" w:hAnsi="宋体" w:eastAsia="宋体"/>
          <w:b/>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5.1委托送检合作期间，检测机构参加国家临床检验中心等机构组织的室间质评活动结果不合格，院方有权提前终止合作。</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检测机构无法反馈质控报告、质控报告不合格或质控报告作假，院方有权提前终止合作。</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检测机构不配合院方飞行检查或飞行检查不合格，院方有权提前终止合作。</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5.4院方对检验结果有异议，检测机构应及时免费复查。为避免医疗纠纷，必要时，免费为患者提供相关支持性检验项目的检验。</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赔偿责任：由于检测机构原因造成医疗质量、差错事故、检验报告签发延迟、危急值报告、生产安全、环境安全、信息保密、样本保存等方面的投诉及赔偿责任全部由投标人承担。</w:t>
      </w:r>
      <w:r>
        <w:rPr>
          <w:rFonts w:ascii="宋体" w:hAnsi="宋体" w:eastAsia="宋体" w:cs="宋体"/>
          <w:color w:val="000000"/>
          <w:sz w:val="24"/>
          <w:szCs w:val="24"/>
          <w:highlight w:val="none"/>
        </w:rPr>
      </w:r>
      <w:r/>
    </w:p>
    <w:p>
      <w:pPr>
        <w:pStyle w:val="847"/>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以下有关说明：其中6-1</w:t>
      </w:r>
      <w:r>
        <w:rPr>
          <w:rFonts w:hint="eastAsia" w:ascii="宋体" w:hAnsi="宋体" w:eastAsia="宋体" w:cs="宋体"/>
          <w:b/>
          <w:bCs/>
          <w:color w:val="000000"/>
          <w:sz w:val="24"/>
          <w:szCs w:val="24"/>
          <w:highlight w:val="none"/>
          <w:lang w:val="en-US" w:eastAsia="zh-CN"/>
        </w:rPr>
        <w:t xml:space="preserve">4为采购包1</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15为采购包2；</w:t>
      </w:r>
      <w:r>
        <w:rPr>
          <w:rFonts w:ascii="宋体" w:hAnsi="宋体" w:eastAsia="宋体" w:cs="宋体"/>
          <w:b/>
          <w:bCs/>
          <w:color w:val="000000"/>
          <w:sz w:val="24"/>
          <w:szCs w:val="24"/>
          <w:highlight w:val="none"/>
          <w:lang w:val="en-US" w:eastAsia="zh-CN"/>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6.</w:t>
      </w:r>
      <w:r>
        <w:rPr>
          <w:rFonts w:hint="eastAsia" w:ascii="宋体" w:hAnsi="宋体" w:eastAsia="宋体"/>
          <w:b/>
          <w:color w:val="000000"/>
          <w:sz w:val="24"/>
          <w:szCs w:val="24"/>
          <w:highlight w:val="none"/>
        </w:rPr>
        <w:t xml:space="preserve">卵巢癌BRCA1基因和BRCA2基因突变检测（NGS）</w:t>
      </w:r>
      <w:r>
        <w:rPr>
          <w:rFonts w:ascii="宋体" w:hAnsi="宋体" w:eastAsia="宋体"/>
          <w:b/>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★2.可用于卵巢癌患者进行帕米帕利胶囊治疗的伴随诊断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需履行审批的适应症）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84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4.样本类型：</w:t>
      </w:r>
      <w:r>
        <w:rPr>
          <w:rFonts w:hint="eastAsia" w:ascii="宋体" w:hAnsi="宋体" w:eastAsia="宋体" w:cs="宋体"/>
          <w:color w:val="000000"/>
          <w:sz w:val="24"/>
          <w:szCs w:val="24"/>
          <w:highlight w:val="none"/>
          <w:lang w:val="en-US" w:eastAsia="zh-CN"/>
        </w:rPr>
        <w:t xml:space="preserve">组织、</w:t>
      </w:r>
      <w:r>
        <w:rPr>
          <w:rFonts w:hint="eastAsia" w:ascii="宋体" w:hAnsi="宋体" w:eastAsia="宋体" w:cs="宋体"/>
          <w:color w:val="000000"/>
          <w:sz w:val="24"/>
          <w:szCs w:val="24"/>
          <w:highlight w:val="none"/>
        </w:rPr>
        <w:t xml:space="preserve">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★5.可以检测50 ng DNA样品中含量低至25%的BRCA1基因或BRCA2基因突变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7.</w:t>
      </w:r>
      <w:r>
        <w:rPr>
          <w:rFonts w:hint="eastAsia" w:ascii="宋体" w:hAnsi="宋体" w:eastAsia="宋体"/>
          <w:b/>
          <w:color w:val="000000"/>
          <w:sz w:val="24"/>
          <w:szCs w:val="24"/>
          <w:highlight w:val="none"/>
        </w:rPr>
        <w:t xml:space="preserve">乳腺癌PIK3CA基因突变检测（荧光PCR）</w:t>
      </w:r>
      <w:r>
        <w:rPr>
          <w:rFonts w:ascii="宋体" w:hAnsi="宋体" w:eastAsia="宋体"/>
          <w:b/>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★1.用于体外定性检测乳腺癌石蜡包埋组织（FFPE）样本DNA中人类PIK3CA基因的热点突变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3.样本类型及时限：石蜡包埋组织、3年以内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★4.试剂盒中的H1047R、H1047L、E545D 3种突变均可以检出10ng DNA样品中含量低至1%的基因突变，E542K和E545K可以检出10ng DNA样品中含量低至2%的基因突变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5.可以耐受10ng野生型人类基因组DNA，无非特异</w:t>
      </w:r>
      <w:r>
        <w:rPr>
          <w:rFonts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6.适用于市场上大部分机型和开放型耗材</w:t>
      </w:r>
      <w:r>
        <w:rPr>
          <w:rFonts w:hint="eastAsia" w:ascii="宋体" w:hAnsi="宋体" w:eastAsia="宋体" w:cs="宋体"/>
          <w:color w:val="000000"/>
          <w:sz w:val="24"/>
          <w:szCs w:val="24"/>
          <w:highlight w:val="none"/>
          <w:lang w:eastAsia="zh-CN"/>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8.</w:t>
      </w:r>
      <w:r>
        <w:rPr>
          <w:rFonts w:hint="eastAsia" w:ascii="宋体" w:hAnsi="宋体" w:eastAsia="宋体"/>
          <w:b/>
          <w:color w:val="000000"/>
          <w:sz w:val="24"/>
          <w:szCs w:val="24"/>
          <w:highlight w:val="none"/>
        </w:rPr>
        <w:t xml:space="preserve">肺癌突变基因检测（荧光PCR 法） </w:t>
      </w:r>
      <w:r>
        <w:rPr>
          <w:rFonts w:ascii="宋体" w:hAnsi="宋体" w:eastAsia="宋体"/>
          <w:b/>
          <w:color w:val="000000"/>
          <w:sz w:val="24"/>
          <w:szCs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★1.用于体外定性检测非小细胞癌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患者组织DNA/RNA样本中人类EGFR、ALK、ROS1、KRAS、BRAF突变基因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★4.样本类型及时限：FFPE样本、2年以内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5.试剂盒覆盖范围内的所有突变类型间不存在交叉反应</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6.与核酸序列同源性较高的野生型、其他常见突变类型和其他常见突变基因之间均无交叉反应7.融合扩增体系均可以耐受500 ng/uL及以下的野生型RNA，突变扩增体系均可以耐受10ng及以下的野生型DNA</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★8.本试剂盒对7.5~15ng FFPE样本DNA中含有1%的基因突变和0.09~4.5ug FEPE样本RNA中含有450拷贝的基因融合装甲RNA均可准确检出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9.试剂融化后无浑浊，无沉淀</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10.适用于市场上大部分机型和开放型耗材</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9.</w:t>
      </w: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rPr>
          <w:rFonts w:ascii="宋体" w:hAnsi="宋体" w:eastAsia="宋体"/>
          <w:b/>
          <w:color w:val="000000"/>
          <w:sz w:val="24"/>
          <w:szCs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1.检测基因数：＜100个；</w:t>
      </w:r>
      <w:r>
        <w:rPr>
          <w:rFonts w:ascii="宋体" w:hAnsi="宋体" w:cs="宋体"/>
          <w:color w:val="000000"/>
          <w:sz w:val="24"/>
          <w:highlight w:val="none"/>
        </w:rPr>
      </w:r>
      <w:r/>
    </w:p>
    <w:p>
      <w:pPr>
        <w:pStyle w:val="8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一次检测，至少包含覆盖点突变、插入缺失、融合变异类型；</w:t>
      </w:r>
      <w:r>
        <w:rPr>
          <w:rFonts w:hint="eastAsia"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定性检测非小细胞肺癌（NSCLC）患者经福尔马林固定的石蜡包埋（FFPE）组织标本，至少可检测EGFR、ALK、ROS1、BRAF的多种变异。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 产品已获得NMPA批准上市，可提供</w:t>
      </w:r>
      <w:r>
        <w:rPr>
          <w:rFonts w:hint="eastAsia" w:ascii="宋体" w:hAnsi="宋体" w:eastAsia="宋体" w:cs="宋体"/>
          <w:color w:val="000000"/>
          <w:sz w:val="24"/>
          <w:highlight w:val="none"/>
          <w:lang w:eastAsia="zh-CN"/>
        </w:rPr>
        <w:t xml:space="preserve">Ⅲ类</w:t>
      </w:r>
      <w:r>
        <w:rPr>
          <w:rFonts w:hint="eastAsia" w:ascii="宋体" w:hAnsi="宋体" w:cs="宋体"/>
          <w:color w:val="000000"/>
          <w:sz w:val="24"/>
          <w:highlight w:val="none"/>
        </w:rPr>
        <w:t xml:space="preserve">医疗器械注册证书；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cs="宋体"/>
          <w:color w:val="000000"/>
          <w:sz w:val="24"/>
          <w:highlight w:val="none"/>
        </w:rPr>
        <w:t xml:space="preserve">.伴随诊断药物：获批伴随诊断药物≥3 种，提供伴随诊断药物表；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rPr>
        <w:t xml:space="preserve">.最低检出限满足：EGFR、BRAF、KRAS、HER2、ROS1 基因突变最低检测限≤1%，ALK基因融合最低检测限≤2.5%，可提供说明书证明；</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rPr>
        <w:t xml:space="preserve">.可检测30ng片段化DNA样本中含量低至1%的基因突变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cs="宋体"/>
          <w:color w:val="000000"/>
          <w:sz w:val="24"/>
          <w:highlight w:val="none"/>
        </w:rPr>
        <w:t xml:space="preserve">.样本类型及时限：非小细胞肺癌的FFPE样本、18个月以内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10.</w:t>
      </w:r>
      <w:r>
        <w:rPr>
          <w:rFonts w:hint="eastAsia" w:ascii="宋体" w:hAnsi="宋体" w:eastAsia="宋体"/>
          <w:b/>
          <w:color w:val="000000"/>
          <w:sz w:val="24"/>
          <w:szCs w:val="24"/>
          <w:highlight w:val="none"/>
        </w:rPr>
        <w:t xml:space="preserve">肺癌TMB（肿瘤突变负荷）检测（NGS法）</w:t>
      </w:r>
      <w:r>
        <w:rPr>
          <w:rFonts w:ascii="宋体" w:hAnsi="宋体" w:eastAsia="宋体"/>
          <w:b/>
          <w:color w:val="000000"/>
          <w:sz w:val="24"/>
          <w:szCs w:val="24"/>
          <w:highlight w:val="none"/>
        </w:rPr>
      </w:r>
      <w:r/>
    </w:p>
    <w:p>
      <w:pPr>
        <w:pStyle w:val="8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1.检测基因数：＞400个</w:t>
      </w:r>
      <w:r>
        <w:rPr>
          <w:rFonts w:hint="eastAsia"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检测涵盖与肿瘤机理及靶向治疗相关的总基因数≥400个，包含其中≥340个基因的全外显子区，可在DNA水平上一次性检出基因的不同变异类型，包括点突变、插入缺失、基因重排（融合）、拷贝数变异和大片段重排等；</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 检测覆盖免疫治疗相关基因，至少包含：IFNGR1、JAK1/2、STK11、B2M、DNMT3A、MDM2/4、TP53、POLD1、POLE 等</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★4.可检测微卫星不稳定MSI状态，具有MSI检测相关专利证书；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★5.可检测肿瘤突变负荷（TMB），并与WES 检测具有可比性，拥有大样本量免疫治疗疗效验证的TMB 数据；基于液体活检，结合药物临床试验疗效分析验证bTMB 对免疫治疗疗效的验证；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★6.质控指标：Q30碱基占比≥85%，序列比对至参考基因组比例≥95%，平均测序深度≥700X。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 优先选择已获得NMPA批准上市试剂盒开展检测服务。</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11.</w:t>
      </w:r>
      <w:r>
        <w:rPr>
          <w:rFonts w:hint="eastAsia" w:ascii="宋体" w:hAnsi="宋体" w:eastAsia="宋体"/>
          <w:b/>
          <w:color w:val="000000"/>
          <w:sz w:val="24"/>
          <w:szCs w:val="24"/>
          <w:highlight w:val="none"/>
        </w:rPr>
        <w:t xml:space="preserve">肠癌基因突变联合检测（NGS 法）</w:t>
      </w:r>
      <w:r>
        <w:rPr>
          <w:rFonts w:ascii="宋体" w:hAnsi="宋体" w:eastAsia="宋体"/>
          <w:b/>
          <w:color w:val="000000"/>
          <w:sz w:val="24"/>
          <w:szCs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★1.可测序检测KRAS、NRAS、BRAF等基因突变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★2.临床注册适用范围可用于结直肠癌肿瘤基因检测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★3.可用于靶向药的伴随诊断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★5.样本类型及时限：结直肠癌的FFPE样本、18个月以内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★6.可检测30ng片段化DNA样本中含量低至1%的基因突变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12.</w:t>
      </w:r>
      <w:r>
        <w:rPr>
          <w:rFonts w:hint="eastAsia" w:ascii="宋体" w:hAnsi="宋体" w:eastAsia="宋体"/>
          <w:b/>
          <w:color w:val="000000"/>
          <w:sz w:val="24"/>
          <w:szCs w:val="24"/>
          <w:highlight w:val="none"/>
        </w:rPr>
        <w:t xml:space="preserve">肠癌基因突变联合检测（荧光PCR法）</w:t>
      </w:r>
      <w:r>
        <w:rPr>
          <w:rFonts w:ascii="宋体" w:hAnsi="宋体" w:eastAsia="宋体"/>
          <w:b/>
          <w:color w:val="000000"/>
          <w:sz w:val="24"/>
          <w:szCs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定性检测结直肠癌患者样本DNA中人类KRAS基因第2、3、4外显子上12种体细胞热点突变、人类NRAS基因第2和3外显子上3种热点体细胞突变、人类PIK3CA基因20号外显子的H1047R热点体细胞突变和人类BRAF基因15号外显子的V600E热点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★3.方法学：荧光PCR法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★4.样本类型及时限：石蜡包埋组织、3年以内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★5.可以检出10ng DNA样品中含量低至1%的KRAS/NRAS/PIK3CA/BRAF基因突变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6.10ng野生型人类基因组DNA无非特异反应</w:t>
      </w:r>
      <w:r>
        <w:rPr>
          <w:rFonts w:hint="eastAsia"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7.试剂盒与HRAS基因之间无交叉反应</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8.试剂融化后无浑浊，无沉淀</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9.适用于市场上大部分机型和开放型耗材</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13.</w:t>
      </w:r>
      <w:r>
        <w:rPr>
          <w:rFonts w:hint="eastAsia" w:ascii="宋体" w:hAnsi="宋体" w:eastAsia="宋体"/>
          <w:b/>
          <w:color w:val="000000"/>
          <w:sz w:val="24"/>
          <w:szCs w:val="24"/>
          <w:highlight w:val="none"/>
        </w:rPr>
        <w:t xml:space="preserve">肿瘤微卫星不稳定性（MSI）检测</w:t>
      </w:r>
      <w:r>
        <w:rPr>
          <w:rFonts w:ascii="宋体" w:hAnsi="宋体" w:eastAsia="宋体"/>
          <w:b/>
          <w:color w:val="000000"/>
          <w:sz w:val="24"/>
          <w:szCs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★1.用于体外定性检测实体瘤患者福尔马林固定石蜡包埋</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FFPE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组织样本DNA的微卫星不稳定性</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MSI</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状态，可用于替雷利珠单抗的伴随诊断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★3.对照样本包含癌旁组织样本和血液样本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★4.试剂盒规格≤24测试/盒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rPr>
          <w:rFonts w:ascii="宋体" w:hAnsi="宋体" w:cs="宋体"/>
          <w:color w:val="000000"/>
          <w:sz w:val="24"/>
          <w:highlight w:val="none"/>
        </w:rPr>
      </w:r>
      <w:r/>
    </w:p>
    <w:p>
      <w:pPr>
        <w:pStyle w:val="847"/>
        <w:spacing w:line="360" w:lineRule="auto"/>
        <w:rPr>
          <w:color w:val="000000"/>
          <w:highlight w:val="none"/>
        </w:rPr>
      </w:pPr>
      <w:r>
        <w:rPr>
          <w:rFonts w:hint="eastAsia" w:ascii="宋体" w:hAnsi="宋体" w:cs="宋体"/>
          <w:color w:val="000000"/>
          <w:sz w:val="24"/>
          <w:highlight w:val="none"/>
        </w:rPr>
        <w:t xml:space="preserve">6.在 25ng反应总DNA浓度背景下，本试剂盒对肿瘤 DNA含 量不低于30%的检测限参考品可以准确检出，结果均为 MSI-H且相应不稳定标志物均能检出</w:t>
      </w:r>
      <w:r>
        <w:rPr>
          <w:color w:val="000000"/>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lang w:eastAsia="zh-CN"/>
        </w:rPr>
        <w:t xml:space="preserve">14.</w:t>
      </w:r>
      <w:r>
        <w:rPr>
          <w:rFonts w:hint="eastAsia" w:ascii="宋体" w:hAnsi="宋体" w:eastAsia="宋体"/>
          <w:b/>
          <w:color w:val="000000"/>
          <w:sz w:val="24"/>
          <w:szCs w:val="24"/>
          <w:highlight w:val="none"/>
        </w:rPr>
        <w:t xml:space="preserve">肺癌EGFR突变基因检测试剂盒（血，多重荧光PCR法）</w:t>
      </w:r>
      <w:r>
        <w:rPr>
          <w:rFonts w:ascii="宋体" w:hAnsi="宋体" w:eastAsia="宋体"/>
          <w:b/>
          <w:color w:val="000000"/>
          <w:sz w:val="24"/>
          <w:szCs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★1.用于体外定性检测晚期非小细胞肺癌</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NSCLC</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患者血浆DNA样本中人类EGFR突变基因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★2.其中19外显子缺失、L858R突变用于盐酸埃克替尼片的伴随诊断检测，T790M突变用于甲磺酸奥希替尼片的伴随诊断检测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★3.试剂盒获得三类医疗器械注册证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★4.样本类型：外周血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p>
      <w:pPr>
        <w:pStyle w:val="847"/>
        <w:numPr>
          <w:ilvl w:val="0"/>
          <w:numId w:val="12"/>
        </w:numPr>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rPr>
          <w:rFonts w:hint="eastAsia" w:ascii="宋体" w:hAnsi="宋体" w:cs="宋体"/>
          <w:color w:val="000000"/>
          <w:sz w:val="24"/>
          <w:highlight w:val="none"/>
        </w:rPr>
      </w:r>
      <w:r/>
    </w:p>
    <w:p>
      <w:pPr>
        <w:pStyle w:val="847"/>
        <w:numPr>
          <w:ilvl w:val="0"/>
          <w:numId w:val="0"/>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6.适用于市场上大部分机型和开放型耗材</w:t>
      </w:r>
      <w:r>
        <w:rPr>
          <w:rFonts w:ascii="宋体" w:hAnsi="宋体" w:cs="宋体"/>
          <w:color w:val="000000"/>
          <w:sz w:val="24"/>
          <w:highlight w:val="none"/>
        </w:rPr>
      </w:r>
      <w:r/>
    </w:p>
    <w:p>
      <w:pPr>
        <w:pStyle w:val="847"/>
        <w:spacing w:line="360" w:lineRule="auto"/>
        <w:tabs>
          <w:tab w:val="left" w:pos="525" w:leader="none"/>
          <w:tab w:val="left" w:pos="630" w:leader="none"/>
          <w:tab w:val="left" w:pos="735" w:leader="none"/>
          <w:tab w:val="left" w:pos="945" w:leader="none"/>
        </w:tabs>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eastAsia="zh-CN"/>
        </w:rPr>
        <w:t xml:space="preserve">15.</w:t>
      </w:r>
      <w:r>
        <w:rPr>
          <w:rFonts w:hint="eastAsia" w:ascii="宋体" w:hAnsi="宋体" w:eastAsia="宋体"/>
          <w:b/>
          <w:color w:val="000000"/>
          <w:sz w:val="24"/>
          <w:szCs w:val="24"/>
          <w:highlight w:val="none"/>
        </w:rPr>
        <w:t xml:space="preserve">病原微生物宏基因组测序（体液、组织，NGS法）</w:t>
      </w:r>
      <w:r>
        <w:rPr>
          <w:rFonts w:ascii="宋体" w:hAnsi="宋体" w:eastAsia="宋体"/>
          <w:b/>
          <w:color w:val="000000"/>
          <w:sz w:val="24"/>
          <w:szCs w:val="24"/>
          <w:highlight w:val="none"/>
          <w:lang w:val="en-US" w:eastAsia="zh-CN"/>
        </w:rPr>
      </w:r>
      <w:r/>
    </w:p>
    <w:p>
      <w:pPr>
        <w:pStyle w:val="847"/>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★1.从收取标本开始</w:t>
      </w:r>
      <w:r>
        <w:rPr>
          <w:rFonts w:hint="eastAsia" w:ascii="宋体" w:hAnsi="宋体" w:eastAsia="宋体" w:cs="宋体"/>
          <w:color w:val="000000"/>
          <w:sz w:val="24"/>
          <w:highlight w:val="none"/>
          <w:lang w:val="en-US" w:eastAsia="zh-CN"/>
        </w:rPr>
        <w:t xml:space="preserve">48</w:t>
      </w:r>
      <w:r>
        <w:rPr>
          <w:rFonts w:hint="eastAsia" w:ascii="宋体" w:hAnsi="宋体" w:cs="宋体"/>
          <w:color w:val="000000"/>
          <w:sz w:val="24"/>
          <w:highlight w:val="none"/>
        </w:rPr>
        <w:t xml:space="preserve">小时内出具报告；</w:t>
      </w:r>
      <w:r>
        <w:rPr>
          <w:rFonts w:hint="eastAsia" w:ascii="宋体" w:hAnsi="宋体" w:eastAsia="宋体" w:cs="宋体"/>
          <w:color w:val="000000"/>
          <w:sz w:val="24"/>
          <w:highlight w:val="none"/>
          <w:lang w:val="en-US" w:eastAsia="zh-CN"/>
        </w:rPr>
        <w:t xml:space="preserve">涵盖mNGS、tNGS、NGS（DNA+RNA）</w:t>
      </w:r>
      <w:r>
        <w:rPr>
          <w:rFonts w:hint="eastAsia" w:ascii="宋体" w:hAnsi="宋体" w:cs="宋体"/>
          <w:color w:val="000000"/>
          <w:sz w:val="24"/>
          <w:highlight w:val="none"/>
        </w:rPr>
        <w:t xml:space="preserve">并提供支持文件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出报告要线上和电话同步提醒、自动推送类似于危急值或者企业微信推送，提信息化要求；提供给患者同步提醒医生；全部打包回来）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highlight w:val="none"/>
          <w:lang w:val="en-US" w:eastAsia="zh-CN"/>
        </w:rPr>
      </w:r>
      <w:r/>
    </w:p>
    <w:p>
      <w:pPr>
        <w:pStyle w:val="8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★2.基于二代测序平台，采用目前最主流的边合成边测序（SBS）或探针锚定聚合（cPAS）原理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且有控制污染的措施</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rPr>
      </w:r>
      <w:r/>
    </w:p>
    <w:p>
      <w:pPr>
        <w:pStyle w:val="847"/>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3.如果与临床结果严重不符，免费提供一次取样重检及复核的测验；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lang w:val="en-US" w:eastAsia="zh-CN"/>
        </w:rPr>
      </w:r>
      <w:r/>
    </w:p>
    <w:p>
      <w:pPr>
        <w:pStyle w:val="847"/>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rPr>
        <w:t xml:space="preserve">.种属鉴定准确性＞99%，可以提供微生物原始序列以供复核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针对处于临界值、可疑的结果，实施交叉检验（如采用PCR法）以确保正确性。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提供承诺书，承诺书格式自拟</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highlight w:val="none"/>
          <w:lang w:val="en-US" w:eastAsia="zh-CN"/>
        </w:rPr>
      </w:r>
      <w:r/>
    </w:p>
    <w:p>
      <w:pPr>
        <w:pStyle w:val="847"/>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投标人拥有国家药品监督管理局颁发的二类或以上医疗器械注册证的病原微生物分析软件，且检测范围包括已知临床重要致病细菌、支原体、衣原体、立克次氏体、螺旋体、病毒、真菌、寄生虫，并提供证书。</w:t>
      </w:r>
      <w:r>
        <w:rPr>
          <w:rFonts w:hint="eastAsia" w:ascii="宋体" w:hAnsi="宋体" w:eastAsia="宋体" w:cs="宋体"/>
          <w:color w:val="000000"/>
          <w:sz w:val="24"/>
          <w:highlight w:val="none"/>
          <w:lang w:val="en-US" w:eastAsia="zh-CN"/>
        </w:rPr>
        <w:t xml:space="preserve">承诺采用符合国家规定的试剂盒开展相关检测工作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提供承诺书，承诺书格式自</w:t>
      </w:r>
      <w:r>
        <w:rPr>
          <w:rFonts w:hint="eastAsia" w:ascii="宋体" w:hAnsi="宋体" w:eastAsia="宋体" w:cs="宋体"/>
          <w:color w:val="000000"/>
          <w:sz w:val="24"/>
          <w:highlight w:val="none"/>
          <w:lang w:val="en-US" w:eastAsia="zh-CN"/>
        </w:rPr>
        <w:t xml:space="preserve">拟）</w:t>
      </w:r>
      <w:r>
        <w:rPr>
          <w:rFonts w:ascii="宋体" w:hAnsi="宋体" w:eastAsia="宋体" w:cs="宋体"/>
          <w:color w:val="000000"/>
          <w:sz w:val="24"/>
          <w:highlight w:val="none"/>
          <w:lang w:val="en-US" w:eastAsia="zh-CN"/>
        </w:rPr>
      </w:r>
      <w:r/>
    </w:p>
    <w:p>
      <w:pPr>
        <w:pStyle w:val="847"/>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注：★为实质性要求。若未按照要求提供资料，作无效标处理。若中标后发现与投标时承诺不一致，采购人有权取消其中标资格并追究其责任。</w:t>
      </w:r>
      <w:r>
        <w:rPr>
          <w:rFonts w:ascii="宋体" w:hAnsi="宋体" w:eastAsia="宋体" w:cs="宋体"/>
          <w:color w:val="000000"/>
          <w:sz w:val="24"/>
          <w:highlight w:val="none"/>
          <w:lang w:val="en-US" w:eastAsia="zh-CN"/>
        </w:rPr>
      </w:r>
      <w:r/>
    </w:p>
    <w:p>
      <w:pPr>
        <w:pStyle w:val="847"/>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eastAsia="宋体" w:cs="宋体"/>
          <w:b/>
          <w:color w:val="000000"/>
          <w:sz w:val="24"/>
          <w:szCs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rPr>
          <w:rFonts w:ascii="宋体" w:hAnsi="宋体" w:eastAsia="宋体" w:cs="宋体"/>
          <w:b/>
          <w:color w:val="000000"/>
          <w:sz w:val="24"/>
          <w:szCs w:val="24"/>
          <w:highlight w:val="none"/>
        </w:rPr>
      </w:r>
      <w:r/>
    </w:p>
    <w:p>
      <w:pPr>
        <w:pStyle w:val="847"/>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rPr>
          <w:rFonts w:ascii="宋体" w:hAnsi="宋体" w:eastAsia="宋体" w:cs="宋体"/>
          <w:b/>
          <w:color w:val="000000"/>
          <w:sz w:val="24"/>
          <w:szCs w:val="24"/>
          <w:highlight w:val="none"/>
        </w:rPr>
      </w:r>
      <w:r/>
    </w:p>
    <w:p>
      <w:pPr>
        <w:pStyle w:val="847"/>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第二部分  政府采购政策（包括但不限于下列具体政策要求）</w:t>
      </w:r>
      <w:r>
        <w:rPr>
          <w:rFonts w:ascii="宋体" w:hAnsi="宋体" w:eastAsia="宋体" w:cs="宋体"/>
          <w:b/>
          <w:bCs/>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bCs/>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eastAsia="宋体" w:cs="宋体"/>
          <w:bCs/>
          <w:color w:val="000000"/>
          <w:sz w:val="24"/>
          <w:szCs w:val="24"/>
          <w:highlight w:val="none"/>
        </w:rPr>
      </w:r>
      <w:r/>
    </w:p>
    <w:p>
      <w:pPr>
        <w:pStyle w:val="847"/>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hAnsi="宋体" w:eastAsia="宋体" w:cs="宋体"/>
          <w:bCs/>
          <w:color w:val="000000"/>
          <w:sz w:val="24"/>
          <w:szCs w:val="24"/>
          <w:highlight w:val="none"/>
        </w:rPr>
      </w:r>
      <w:r/>
    </w:p>
    <w:p>
      <w:pPr>
        <w:pStyle w:val="847"/>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hAnsi="宋体" w:eastAsia="宋体" w:cs="宋体"/>
          <w:bCs/>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bCs/>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rPr>
          <w:rFonts w:ascii="宋体" w:hAnsi="宋体" w:eastAsia="宋体" w:cs="宋体"/>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eastAsia="宋体" w:cs="宋体"/>
          <w:color w:val="000000"/>
          <w:sz w:val="24"/>
          <w:szCs w:val="24"/>
          <w:highlight w:val="none"/>
        </w:rPr>
      </w:r>
      <w:r/>
    </w:p>
    <w:p>
      <w:pPr>
        <w:pStyle w:val="847"/>
        <w:numPr>
          <w:ilvl w:val="1"/>
          <w:numId w:val="13"/>
        </w:numPr>
        <w:ind w:left="0" w:firstLine="525"/>
        <w:spacing w:line="360" w:lineRule="auto"/>
        <w:tabs>
          <w:tab w:val="left" w:pos="525" w:leader="none"/>
          <w:tab w:val="left" w:pos="780" w:leader="none"/>
          <w:tab w:val="left" w:pos="945" w:leader="none"/>
        </w:tabs>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eastAsia="宋体" w:cs="宋体"/>
          <w:color w:val="000000"/>
          <w:sz w:val="24"/>
          <w:szCs w:val="24"/>
          <w:highlight w:val="none"/>
        </w:rPr>
      </w:r>
      <w:r/>
    </w:p>
    <w:p>
      <w:pPr>
        <w:pStyle w:val="847"/>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eastAsia="宋体" w:cs="宋体"/>
          <w:bCs/>
          <w:color w:val="000000"/>
          <w:sz w:val="24"/>
          <w:szCs w:val="24"/>
          <w:highlight w:val="none"/>
        </w:rPr>
      </w:r>
      <w:r/>
    </w:p>
    <w:p>
      <w:pPr>
        <w:pStyle w:val="847"/>
        <w:numPr>
          <w:ilvl w:val="1"/>
          <w:numId w:val="13"/>
        </w:numPr>
        <w:ind w:left="0" w:firstLine="480"/>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rPr>
          <w:rFonts w:ascii="宋体" w:hAnsi="宋体" w:eastAsia="宋体" w:cs="宋体"/>
          <w:bCs/>
          <w:color w:val="000000"/>
          <w:sz w:val="24"/>
          <w:szCs w:val="24"/>
          <w:highlight w:val="none"/>
        </w:rPr>
      </w:r>
      <w:r/>
    </w:p>
    <w:p>
      <w:pPr>
        <w:pStyle w:val="847"/>
        <w:numPr>
          <w:ilvl w:val="1"/>
          <w:numId w:val="13"/>
        </w:numPr>
        <w:ind w:left="0" w:firstLine="480"/>
        <w:spacing w:line="360" w:lineRule="auto"/>
        <w:tabs>
          <w:tab w:val="left" w:pos="525" w:leader="none"/>
          <w:tab w:val="left" w:pos="780" w:leader="none"/>
          <w:tab w:val="left" w:pos="945"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bCs/>
          <w:color w:val="000000"/>
          <w:sz w:val="24"/>
          <w:szCs w:val="24"/>
          <w:highlight w:val="none"/>
        </w:rPr>
      </w:r>
      <w:r/>
    </w:p>
    <w:p>
      <w:pPr>
        <w:pStyle w:val="847"/>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bCs/>
          <w:color w:val="000000"/>
          <w:sz w:val="24"/>
          <w:szCs w:val="24"/>
          <w:highlight w:val="none"/>
          <w:lang w:val="en"/>
        </w:rPr>
      </w:r>
      <w:r/>
    </w:p>
    <w:p>
      <w:pPr>
        <w:pStyle w:val="847"/>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rPr>
          <w:rFonts w:ascii="宋体" w:hAnsi="宋体" w:eastAsia="宋体" w:cs="宋体"/>
          <w:bCs/>
          <w:color w:val="000000"/>
          <w:sz w:val="24"/>
          <w:szCs w:val="24"/>
          <w:highlight w:val="none"/>
          <w:lang w:val="en"/>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ascii="黑体" w:hAnsi="黑体" w:eastAsia="黑体"/>
          <w:b/>
          <w:bCs/>
          <w:color w:val="000000"/>
          <w:sz w:val="36"/>
          <w:szCs w:val="36"/>
          <w:highlight w:val="none"/>
        </w:rPr>
      </w:r>
      <w:r/>
    </w:p>
    <w:p>
      <w:pPr>
        <w:pStyle w:val="847"/>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ascii="黑体" w:hAnsi="黑体" w:eastAsia="黑体"/>
          <w:bCs/>
          <w:color w:val="000000"/>
          <w:sz w:val="36"/>
          <w:szCs w:val="36"/>
          <w:highlight w:val="none"/>
        </w:rPr>
      </w:r>
      <w:r/>
    </w:p>
    <w:p>
      <w:pPr>
        <w:pStyle w:val="847"/>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ascii="黑体" w:hAnsi="黑体" w:eastAsia="黑体"/>
          <w:b/>
          <w:bCs/>
          <w:color w:val="000000"/>
          <w:sz w:val="36"/>
          <w:szCs w:val="36"/>
          <w:highlight w:val="none"/>
        </w:rPr>
      </w:r>
      <w:r/>
    </w:p>
    <w:p>
      <w:pPr>
        <w:pStyle w:val="1288"/>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rPr>
          <w:rFonts w:cs="Arial"/>
          <w:b/>
          <w:color w:val="000000"/>
          <w:sz w:val="30"/>
          <w:szCs w:val="30"/>
          <w:highlight w:val="none"/>
        </w:rPr>
      </w:r>
      <w:r/>
    </w:p>
    <w:p>
      <w:pPr>
        <w:pStyle w:val="1288"/>
        <w:spacing w:before="0" w:after="0"/>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288"/>
        <w:spacing w:before="0" w:after="0"/>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288"/>
        <w:spacing w:before="0" w:after="0"/>
        <w:rPr>
          <w:rStyle w:val="1003"/>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003"/>
          <w:rFonts w:ascii="Times New Roman" w:hAnsi="Times New Roman"/>
          <w:color w:val="000000"/>
          <w:highlight w:val="none"/>
        </w:rPr>
      </w:r>
      <w:r/>
    </w:p>
    <w:p>
      <w:pPr>
        <w:pStyle w:val="1288"/>
        <w:spacing w:before="0" w:after="0"/>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1288"/>
        <w:spacing w:before="0" w:after="0"/>
        <w:rPr>
          <w:rFonts w:ascii="宋体" w:hAnsi="宋体" w:eastAsia="宋体"/>
          <w:b/>
          <w:bCs w:val="0"/>
          <w:color w:val="000000"/>
          <w:highlight w:val="none"/>
          <w:lang w:val="en-US" w:eastAsia="zh-CN"/>
        </w:rPr>
      </w:pPr>
      <w:r>
        <w:rPr>
          <w:rFonts w:hint="eastAsia" w:ascii="宋体" w:hAnsi="宋体"/>
          <w:b/>
          <w:bCs w:val="0"/>
          <w:color w:val="000000"/>
          <w:highlight w:val="none"/>
          <w:lang w:val="en-US" w:eastAsia="zh-CN"/>
        </w:rPr>
        <w:t xml:space="preserve">本项目共分3个采购包，兼投不兼中，若同时投三个采购包，得分均为第一，则按顺序，先中采购包1，后续采购包由此采购包排名下一位自动替补。</w:t>
      </w:r>
      <w:r>
        <w:rPr>
          <w:rFonts w:ascii="宋体" w:hAnsi="宋体" w:eastAsia="宋体"/>
          <w:b/>
          <w:bCs w:val="0"/>
          <w:color w:val="000000"/>
          <w:highlight w:val="none"/>
          <w:lang w:val="en-US" w:eastAsia="zh-CN"/>
        </w:rPr>
      </w:r>
      <w:r/>
    </w:p>
    <w:p>
      <w:pPr>
        <w:pStyle w:val="847"/>
        <w:ind w:firstLine="600"/>
        <w:jc w:val="left"/>
        <w:spacing w:line="360" w:lineRule="auto"/>
        <w:widowControl/>
        <w:rPr>
          <w:rFonts w:cs="Arial"/>
          <w:b/>
          <w:color w:val="000000"/>
          <w:sz w:val="30"/>
          <w:szCs w:val="30"/>
          <w:highlight w:val="none"/>
        </w:rPr>
      </w:pPr>
      <w:r>
        <w:rPr>
          <w:rFonts w:hint="eastAsia" w:cs="Arial"/>
          <w:b/>
          <w:color w:val="000000"/>
          <w:sz w:val="30"/>
          <w:szCs w:val="30"/>
          <w:highlight w:val="none"/>
        </w:rPr>
        <w:t xml:space="preserve">第二部分评标标准</w:t>
      </w:r>
      <w:r>
        <w:rPr>
          <w:rFonts w:cs="Arial"/>
          <w:b/>
          <w:color w:val="000000"/>
          <w:sz w:val="30"/>
          <w:szCs w:val="30"/>
          <w:highlight w:val="none"/>
        </w:rPr>
      </w:r>
      <w:r/>
    </w:p>
    <w:p>
      <w:pPr>
        <w:pStyle w:val="1288"/>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847"/>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出具的属于监狱企业的证明文件扫描件。</w:t>
      </w:r>
      <w:r>
        <w:rPr>
          <w:rFonts w:ascii="宋体" w:hAnsi="宋体"/>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847"/>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47"/>
        <w:ind w:firstLine="480"/>
        <w:jc w:val="left"/>
        <w:spacing w:line="360" w:lineRule="auto"/>
        <w:rPr>
          <w:rFonts w:ascii="宋体" w:hAnsi="宋体" w:eastAsia="宋体"/>
          <w:b/>
          <w:color w:val="000000"/>
          <w:sz w:val="28"/>
          <w:szCs w:val="28"/>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eastAsia="宋体"/>
          <w:b/>
          <w:color w:val="000000"/>
          <w:sz w:val="28"/>
          <w:szCs w:val="28"/>
          <w:highlight w:val="none"/>
        </w:rPr>
      </w:r>
      <w:r/>
    </w:p>
    <w:p>
      <w:pPr>
        <w:pStyle w:val="1288"/>
        <w:ind w:left="60" w:firstLine="360"/>
        <w:spacing w:before="0" w:after="0"/>
        <w:rPr>
          <w:rFonts w:ascii="宋体" w:hAnsi="宋体"/>
          <w:b/>
          <w:color w:val="000000"/>
          <w:sz w:val="28"/>
          <w:szCs w:val="28"/>
          <w:highlight w:val="none"/>
        </w:rPr>
      </w:pPr>
      <w:r>
        <w:rPr>
          <w:rFonts w:ascii="宋体" w:hAnsi="宋体"/>
          <w:b/>
          <w:color w:val="000000"/>
          <w:sz w:val="28"/>
          <w:szCs w:val="28"/>
          <w:highlight w:val="none"/>
        </w:rPr>
      </w:r>
      <w:r/>
    </w:p>
    <w:p>
      <w:pPr>
        <w:pStyle w:val="847"/>
        <w:rPr>
          <w:rFonts w:ascii="宋体" w:hAnsi="宋体" w:eastAsia="宋体"/>
          <w:b/>
          <w:color w:val="000000"/>
          <w:sz w:val="28"/>
          <w:szCs w:val="28"/>
          <w:highlight w:val="none"/>
        </w:rPr>
      </w:pPr>
      <w:r>
        <w:rPr>
          <w:rFonts w:hint="eastAsia" w:ascii="宋体" w:hAnsi="宋体" w:eastAsia="宋体"/>
          <w:b/>
          <w:color w:val="000000"/>
          <w:sz w:val="28"/>
          <w:szCs w:val="28"/>
          <w:highlight w:val="none"/>
        </w:rPr>
        <w:br w:type="page" w:clear="all"/>
      </w:r>
      <w:r>
        <w:rPr>
          <w:rFonts w:ascii="宋体" w:hAnsi="宋体" w:eastAsia="宋体"/>
          <w:b/>
          <w:color w:val="000000"/>
          <w:sz w:val="28"/>
          <w:szCs w:val="28"/>
          <w:highlight w:val="none"/>
        </w:rPr>
      </w:r>
      <w:r/>
    </w:p>
    <w:p>
      <w:pPr>
        <w:pStyle w:val="1288"/>
        <w:ind w:left="60" w:firstLine="360"/>
        <w:spacing w:before="0" w:after="0"/>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二、评分标准</w:t>
      </w:r>
      <w:r>
        <w:rPr>
          <w:rFonts w:ascii="宋体" w:hAnsi="宋体" w:cs="宋体"/>
          <w:b/>
          <w:color w:val="000000"/>
          <w:sz w:val="28"/>
          <w:szCs w:val="28"/>
          <w:highlight w:val="none"/>
        </w:rPr>
      </w:r>
      <w:r/>
    </w:p>
    <w:p>
      <w:pPr>
        <w:pStyle w:val="1288"/>
        <w:ind w:firstLine="422"/>
        <w:spacing w:before="0" w:after="0"/>
        <w:rPr>
          <w:rFonts w:hint="eastAsia" w:ascii="宋体" w:hAnsi="宋体" w:cs="宋体"/>
          <w:b/>
          <w:color w:val="000000"/>
          <w:highlight w:val="none"/>
          <w:u w:val="single"/>
        </w:rPr>
      </w:pPr>
      <w:r>
        <w:rPr>
          <w:rFonts w:hint="eastAsia" w:ascii="宋体" w:hAnsi="宋体" w:cs="宋体"/>
          <w:b/>
          <w:color w:val="000000"/>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cs="宋体"/>
          <w:b/>
          <w:color w:val="000000"/>
          <w:highlight w:val="none"/>
          <w:u w:val="single"/>
        </w:rPr>
      </w:r>
      <w:r/>
    </w:p>
    <w:p>
      <w:pPr>
        <w:pStyle w:val="1288"/>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t xml:space="preserve">采购包1</w:t>
      </w:r>
      <w:r>
        <w:rPr>
          <w:rFonts w:ascii="宋体" w:hAnsi="宋体" w:eastAsia="宋体" w:cs="宋体"/>
          <w:b/>
          <w:color w:val="000000"/>
          <w:highlight w:val="none"/>
          <w:u w:val="single"/>
          <w:lang w:val="en-US" w:eastAsia="zh-CN"/>
        </w:rPr>
      </w:r>
      <w:r/>
    </w:p>
    <w:p>
      <w:pPr>
        <w:pStyle w:val="851"/>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rPr>
          <w:rFonts w:ascii="宋体" w:hAnsi="宋体" w:eastAsia="宋体" w:cs="宋体"/>
          <w:b w:val="0"/>
          <w:color w:val="000000"/>
          <w:sz w:val="24"/>
          <w:szCs w:val="24"/>
          <w:highlight w:val="none"/>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rPr>
          <w:rFonts w:ascii="宋体" w:hAnsi="宋体" w:eastAsia="宋体" w:cs="宋体"/>
          <w:bCs/>
          <w:color w:val="000000"/>
          <w:sz w:val="24"/>
          <w:szCs w:val="20"/>
          <w:highlight w:val="none"/>
          <w:lang w:val="zh-CN"/>
        </w:rPr>
      </w:r>
      <w:r/>
    </w:p>
    <w:p>
      <w:pPr>
        <w:pStyle w:val="847"/>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rPr>
          <w:rFonts w:ascii="宋体" w:hAnsi="宋体" w:eastAsia="宋体" w:cs="宋体"/>
          <w:bCs/>
          <w:color w:val="000000"/>
          <w:sz w:val="24"/>
          <w:szCs w:val="20"/>
          <w:highlight w:val="none"/>
          <w:lang w:val="zh-CN"/>
        </w:rPr>
      </w:r>
      <w:r/>
    </w:p>
    <w:p>
      <w:pPr>
        <w:pStyle w:val="847"/>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rPr>
          <w:rFonts w:ascii="宋体" w:hAnsi="宋体" w:eastAsia="宋体" w:cs="宋体"/>
          <w:bCs/>
          <w:color w:val="000000"/>
          <w:sz w:val="24"/>
          <w:szCs w:val="20"/>
          <w:highlight w:val="none"/>
          <w:lang w:val="zh-CN"/>
        </w:rPr>
      </w:r>
      <w:r/>
    </w:p>
    <w:p>
      <w:pPr>
        <w:pStyle w:val="851"/>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二、商务标（25分）</w:t>
      </w:r>
      <w:r>
        <w:rPr>
          <w:rFonts w:ascii="宋体" w:hAnsi="宋体" w:eastAsia="宋体" w:cs="宋体"/>
          <w:b w:val="0"/>
          <w:bCs/>
          <w:color w:val="000000"/>
          <w:sz w:val="24"/>
          <w:szCs w:val="20"/>
          <w:highlight w:val="none"/>
          <w:lang w:val="en-US"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2）项目拟配人员（2分）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①在满足招标文件要求下，每多提供一名具有检验技师、病理技师、检验医师、病理医师职称和PCR上岗证书，有一个得0.5分，本项最多得1分。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tabs>
          <w:tab w:val="center" w:pos="49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投标偏离</w:t>
      </w: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r>
      <w:r/>
    </w:p>
    <w:p>
      <w:pPr>
        <w:pStyle w:val="847"/>
        <w:ind w:left="0"/>
        <w:keepLines w:val="0"/>
        <w:keepNext w:val="0"/>
        <w:pageBreakBefore w:val="0"/>
        <w:spacing w:line="360" w:lineRule="auto"/>
        <w:widowControl w:val="off"/>
        <w:tabs>
          <w:tab w:val="left" w:pos="0" w:leader="none"/>
        </w:tabs>
        <w:rPr>
          <w:rFonts w:ascii="宋体" w:hAnsi="宋体"/>
          <w:color w:val="000000"/>
          <w:sz w:val="24"/>
          <w:highlight w:val="none"/>
        </w:rPr>
      </w:pPr>
      <w:r>
        <w:rPr>
          <w:rFonts w:hint="eastAsia" w:ascii="宋体" w:hAnsi="宋体"/>
          <w:color w:val="000000"/>
          <w:sz w:val="24"/>
          <w:highlight w:val="none"/>
        </w:rPr>
        <w:t xml:space="preserve">投标人必须如实地在《投标偏离表》中逐条标明满足与否，并对其真实性负责。</w:t>
      </w:r>
      <w:r>
        <w:rPr>
          <w:rFonts w:hint="eastAsia" w:ascii="宋体" w:hAnsi="宋体"/>
          <w:color w:val="000000"/>
          <w:sz w:val="24"/>
          <w:highlight w:val="none"/>
          <w:lang w:val="en-US" w:eastAsia="zh-CN"/>
        </w:rPr>
        <w:t xml:space="preserve">按照技术参数中要求提供材料，不提供或提供的不符合要求不得分。</w:t>
      </w:r>
      <w:r>
        <w:rPr>
          <w:rFonts w:ascii="宋体" w:hAnsi="宋体"/>
          <w:color w:val="000000"/>
          <w:sz w:val="24"/>
          <w:highlight w:val="none"/>
        </w:rPr>
      </w:r>
      <w:r/>
    </w:p>
    <w:tbl>
      <w:tblPr>
        <w:tblW w:w="9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111"/>
        <w:gridCol w:w="4110"/>
      </w:tblGrid>
      <w:tr>
        <w:trPr>
          <w:trHeight w:val="642"/>
        </w:trPr>
        <w:tc>
          <w:tcPr>
            <w:gridSpan w:val="3"/>
            <w:tcW w:w="9067" w:type="dxa"/>
            <w:vAlign w:val="center"/>
            <w:textDirection w:val="lrTb"/>
            <w:noWrap w:val="false"/>
          </w:tcPr>
          <w:p>
            <w:pPr>
              <w:pStyle w:val="847"/>
              <w:jc w:val="center"/>
              <w:spacing w:line="600" w:lineRule="auto"/>
              <w:rPr>
                <w:rFonts w:ascii="宋体" w:hAnsi="宋体" w:cs="宋体"/>
                <w:color w:val="000000"/>
                <w:sz w:val="24"/>
                <w:highlight w:val="none"/>
              </w:rPr>
            </w:pPr>
            <w:r/>
            <w:bookmarkStart w:id="150" w:name="_Hlk153819517"/>
            <w:r>
              <w:rPr>
                <w:rFonts w:hint="eastAsia" w:ascii="宋体" w:hAnsi="宋体"/>
                <w:color w:val="000000"/>
                <w:sz w:val="24"/>
                <w:highlight w:val="none"/>
              </w:rPr>
              <w:t xml:space="preserve">技术参数评分一览表</w:t>
            </w:r>
            <w:r>
              <w:rPr>
                <w:rFonts w:ascii="宋体" w:hAnsi="宋体" w:cs="宋体"/>
                <w:color w:val="000000"/>
                <w:sz w:val="24"/>
                <w:highlight w:val="none"/>
              </w:rPr>
            </w:r>
            <w:r/>
          </w:p>
        </w:tc>
      </w:tr>
      <w:tr>
        <w:trPr>
          <w:trHeight w:val="642"/>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4111"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技术参数</w:t>
            </w:r>
            <w:r>
              <w:rPr>
                <w:rFonts w:ascii="宋体" w:hAnsi="宋体" w:cs="宋体"/>
                <w:color w:val="000000"/>
                <w:sz w:val="24"/>
                <w:highlight w:val="none"/>
              </w:rPr>
            </w:r>
            <w:r/>
          </w:p>
        </w:tc>
        <w:tc>
          <w:tcPr>
            <w:tcW w:w="4110"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技术评分标准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卵巢癌BRCA1基因和BRCA2基因突变检测（NGS）</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olor w:val="000000"/>
                <w:sz w:val="24"/>
                <w:highlight w:val="none"/>
              </w:rPr>
              <w:t xml:space="preserve">用于体外定性检测上皮性卵巢癌患者外周血样本DNA中BRCA1基因和BRCA2基因全编码区（包括BRCA1基因（NM_007294.3）外显子2、3、5～24，BRCA2基因（NM000059.3）外显子2～27）及外显子-内含子连接区、UTR区（非翻译区）和启动子区的点突变和插入缺失突变</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乳腺癌PIK3CA基因突变检测（荧光PCR）</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olor w:val="000000"/>
                <w:sz w:val="24"/>
                <w:highlight w:val="none"/>
              </w:rPr>
              <w:t xml:space="preserve">可以耐受10ng野生型人类基因组DNA，无非特异（提供承诺书及佐证材料</w:t>
            </w:r>
            <w:r>
              <w:rPr>
                <w:rFonts w:hint="eastAsia" w:ascii="宋体" w:hAnsi="宋体" w:eastAsia="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olor w:val="000000"/>
                <w:sz w:val="24"/>
                <w:highlight w:val="none"/>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111" w:type="dxa"/>
            <w:vAlign w:val="center"/>
            <w:textDirection w:val="lrTb"/>
            <w:noWrap w:val="false"/>
          </w:tcPr>
          <w:p>
            <w:pPr>
              <w:pStyle w:val="847"/>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肺癌突变基因检测（荧光PCR 法） </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4111" w:type="dxa"/>
            <w:vAlign w:val="center"/>
            <w:textDirection w:val="lrTb"/>
            <w:noWrap w:val="false"/>
          </w:tcPr>
          <w:p>
            <w:pPr>
              <w:pStyle w:val="847"/>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试剂盒覆盖范围内的所有突变类型间不存在交叉反应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4111" w:type="dxa"/>
            <w:vAlign w:val="center"/>
            <w:textDirection w:val="lrTb"/>
            <w:noWrap w:val="false"/>
          </w:tcPr>
          <w:p>
            <w:pPr>
              <w:pStyle w:val="847"/>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与核酸序列同源性较高的野生型、其他常见突变类型和其他常见突变基因之间均无交叉反应</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融合扩增体系均可以耐受500 ng/uL及以下的野生型RNA，突变扩增体系均可以耐受10ng及以下的野生型DNA</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szCs w:val="21"/>
                <w:highlight w:val="none"/>
                <w:lang w:eastAsia="zh-CN"/>
              </w:rPr>
            </w:r>
            <w:r/>
          </w:p>
        </w:tc>
        <w:tc>
          <w:tcPr>
            <w:tcW w:w="4111" w:type="dxa"/>
            <w:vAlign w:val="center"/>
            <w:textDirection w:val="lrTb"/>
            <w:noWrap w:val="false"/>
          </w:tcPr>
          <w:p>
            <w:pPr>
              <w:pStyle w:val="847"/>
              <w:spacing w:line="360" w:lineRule="auto"/>
              <w:rPr>
                <w:rFonts w:hint="eastAsia" w:ascii="宋体" w:hAnsi="宋体" w:eastAsia="宋体" w:cs="Times New Roman"/>
                <w:color w:val="000000"/>
                <w:sz w:val="24"/>
                <w:szCs w:val="21"/>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rPr>
            </w:r>
            <w:r/>
          </w:p>
        </w:tc>
        <w:tc>
          <w:tcPr>
            <w:tcW w:w="4110" w:type="dxa"/>
            <w:vAlign w:val="center"/>
            <w:textDirection w:val="lrTb"/>
            <w:noWrap w:val="false"/>
          </w:tcPr>
          <w:p>
            <w:pPr>
              <w:pStyle w:val="847"/>
              <w:jc w:val="left"/>
              <w:spacing w:line="600" w:lineRule="auto"/>
              <w:rPr>
                <w:rFonts w:hint="eastAsia" w:ascii="宋体" w:hAnsi="宋体" w:eastAsia="宋体" w:cs="宋体"/>
                <w:color w:val="000000"/>
                <w:sz w:val="24"/>
                <w:szCs w:val="21"/>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hint="eastAsia" w:ascii="宋体" w:hAnsi="宋体" w:eastAsia="宋体" w:cs="宋体"/>
                <w:color w:val="000000"/>
                <w:sz w:val="24"/>
                <w:szCs w:val="21"/>
                <w:highlight w:val="none"/>
              </w:rPr>
            </w:r>
            <w:r/>
          </w:p>
        </w:tc>
      </w:tr>
      <w:tr>
        <w:trPr/>
        <w:tc>
          <w:tcPr>
            <w:gridSpan w:val="3"/>
            <w:tcW w:w="9067"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eastAsia="宋体"/>
                <w:b/>
                <w:color w:val="000000"/>
                <w:sz w:val="24"/>
                <w:szCs w:val="24"/>
                <w:highlight w:val="none"/>
              </w:rPr>
              <w:t xml:space="preserve">肺癌基因突变联合检测 </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NGS法）</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检测基因数：＜100个；</w:t>
            </w:r>
            <w:r>
              <w:rPr>
                <w:rFonts w:hint="eastAsia" w:ascii="宋体" w:hAnsi="宋体" w:cs="宋体"/>
                <w:color w:val="000000"/>
                <w:sz w:val="24"/>
                <w:highlight w:val="none"/>
              </w:rPr>
              <w:t xml:space="preserve">（提供承诺书）</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4111" w:type="dxa"/>
            <w:vAlign w:val="center"/>
            <w:textDirection w:val="lrTb"/>
            <w:noWrap w:val="false"/>
          </w:tcPr>
          <w:p>
            <w:pPr>
              <w:pStyle w:val="84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一次检测，至少包含覆盖点突变、插入缺失、融合变异类型；</w:t>
            </w:r>
            <w:r>
              <w:rPr>
                <w:rFonts w:hint="eastAsia" w:ascii="宋体" w:hAnsi="宋体" w:cs="宋体"/>
                <w:color w:val="000000"/>
                <w:sz w:val="24"/>
                <w:highlight w:val="none"/>
              </w:rPr>
              <w:t xml:space="preserve">（提供承诺书）</w:t>
            </w:r>
            <w:r>
              <w:rPr>
                <w:rFonts w:hint="eastAsia"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hint="eastAsia"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肺癌TMB（肿瘤突变负荷）检测（NGS法）</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1</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检测基因数：＞400个；</w:t>
            </w:r>
            <w:r>
              <w:rPr>
                <w:rFonts w:hint="eastAsia" w:ascii="宋体" w:hAnsi="宋体" w:cs="宋体"/>
                <w:color w:val="000000"/>
                <w:sz w:val="24"/>
                <w:highlight w:val="none"/>
              </w:rPr>
              <w:t xml:space="preserve">（提供承诺书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承诺书格式自拟</w:t>
            </w:r>
            <w:r>
              <w:rPr>
                <w:rFonts w:hint="eastAsia" w:ascii="宋体" w:hAnsi="宋体" w:cs="宋体"/>
                <w:color w:val="000000"/>
                <w:sz w:val="24"/>
                <w:highlight w:val="none"/>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2</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检测涵盖与肿瘤机理及靶向治疗相关的总基因数≥400个，包含其中≥340个基因的全外显子区，可在DNA水平上一次性检出基因的不同变异类型，包括点突变、插入缺失、基因重排（融合）、拷贝数变异和大片段重排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检测覆盖免疫治疗相关基因，至少包含：IFNGR1、JAK1/2、STK11、B2M、DNMT3A、MDM2/4、TP53、POLD1、POLE 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优先选择已获得NMPA批准上市试剂盒开展检测服务。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肠癌基因突变联合检测（荧光PCR法）</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10ng野生型人类基因组DNA无非特异反应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6</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试剂盒与HRAS基因之间无交叉反应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7</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olor w:val="000000"/>
                <w:sz w:val="24"/>
                <w:highlight w:val="none"/>
              </w:rPr>
            </w:pPr>
            <w:r>
              <w:rPr>
                <w:rFonts w:hint="eastAsia" w:ascii="宋体" w:hAnsi="宋体" w:cs="宋体"/>
                <w:color w:val="000000"/>
                <w:sz w:val="24"/>
                <w:highlight w:val="none"/>
              </w:rPr>
              <w:t xml:space="preserve">试剂融化后无浑浊，无沉淀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8</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肿瘤微卫星不稳定性（MSI）检测</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9</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试剂盒</w:t>
            </w:r>
            <w:r>
              <w:rPr>
                <w:rFonts w:hint="eastAsia" w:ascii="宋体" w:hAnsi="宋体" w:eastAsia="宋体" w:cs="宋体"/>
                <w:color w:val="000000"/>
                <w:sz w:val="24"/>
                <w:highlight w:val="none"/>
                <w:lang w:eastAsia="zh-CN"/>
              </w:rPr>
              <w:t xml:space="preserve">有效期</w:t>
            </w:r>
            <w:r>
              <w:rPr>
                <w:rFonts w:hint="eastAsia" w:ascii="宋体" w:hAnsi="宋体" w:cs="宋体"/>
                <w:color w:val="000000"/>
                <w:sz w:val="24"/>
                <w:highlight w:val="none"/>
              </w:rPr>
              <w:t xml:space="preserve">为12个月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ascii="宋体" w:hAnsi="宋体" w:cs="宋体"/>
                <w:color w:val="000000"/>
                <w:sz w:val="24"/>
                <w:highlight w:val="none"/>
              </w:rPr>
              <w:t xml:space="preserve">20</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 25ng反应总DNA浓度背景下，本试剂盒对肿瘤 DNA含 量不低于30%的检测限参考品可以准确检出，结果均为 MSI-H且相应不稳定标志物均能检出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gridSpan w:val="3"/>
            <w:tcW w:w="9067" w:type="dxa"/>
            <w:vAlign w:val="center"/>
            <w:textDirection w:val="lrTb"/>
            <w:noWrap w:val="false"/>
          </w:tcPr>
          <w:p>
            <w:pPr>
              <w:pStyle w:val="847"/>
              <w:jc w:val="left"/>
              <w:spacing w:line="600" w:lineRule="auto"/>
              <w:rPr>
                <w:rFonts w:hint="eastAsia" w:ascii="宋体" w:hAnsi="宋体" w:cs="宋体"/>
                <w:color w:val="000000"/>
                <w:sz w:val="24"/>
                <w:highlight w:val="none"/>
              </w:rPr>
            </w:pPr>
            <w:r>
              <w:rPr>
                <w:rFonts w:hint="eastAsia" w:ascii="宋体" w:hAnsi="宋体" w:eastAsia="宋体"/>
                <w:b/>
                <w:color w:val="000000"/>
                <w:sz w:val="24"/>
                <w:szCs w:val="24"/>
                <w:highlight w:val="none"/>
              </w:rPr>
              <w:t xml:space="preserve">肺癌EGFR突变基因检测试剂盒（血，多重荧光PCR法）</w:t>
            </w:r>
            <w:r>
              <w:rPr>
                <w:rFonts w:hint="eastAsia"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在试剂盒规定的检测条件及扩增体系中，试剂盒能够涵盖的所有突变类型的最低检出浓度为</w:t>
            </w:r>
            <w:r>
              <w:rPr>
                <w:rFonts w:hint="eastAsia" w:ascii="宋体" w:hAnsi="宋体" w:eastAsia="宋体" w:cs="宋体"/>
                <w:color w:val="000000"/>
                <w:sz w:val="24"/>
                <w:highlight w:val="none"/>
                <w:lang w:eastAsia="zh-CN"/>
              </w:rPr>
              <w:t xml:space="preserve">0.2%～0.8%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r>
        <w:trPr/>
        <w:tc>
          <w:tcPr>
            <w:tcW w:w="846" w:type="dxa"/>
            <w:vAlign w:val="center"/>
            <w:textDirection w:val="lrTb"/>
            <w:noWrap w:val="false"/>
          </w:tcPr>
          <w:p>
            <w:pPr>
              <w:pStyle w:val="847"/>
              <w:jc w:val="center"/>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ascii="宋体" w:hAnsi="宋体" w:cs="宋体"/>
                <w:color w:val="000000"/>
                <w:sz w:val="24"/>
                <w:highlight w:val="none"/>
              </w:rPr>
            </w:r>
            <w:r/>
          </w:p>
        </w:tc>
        <w:tc>
          <w:tcPr>
            <w:tcW w:w="4111" w:type="dxa"/>
            <w:vAlign w:val="center"/>
            <w:textDirection w:val="lrTb"/>
            <w:noWrap w:val="false"/>
          </w:tcPr>
          <w:p>
            <w:pPr>
              <w:pStyle w:val="84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适用于市场上大部分机型和开放型耗材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提供承诺书及佐证材料，</w:t>
            </w:r>
            <w:r>
              <w:rPr>
                <w:rFonts w:hint="eastAsia" w:ascii="宋体" w:hAnsi="宋体" w:eastAsia="宋体" w:cs="宋体"/>
                <w:color w:val="000000"/>
                <w:sz w:val="24"/>
                <w:highlight w:val="none"/>
                <w:lang w:val="en-US" w:eastAsia="zh-CN"/>
              </w:rPr>
              <w:t xml:space="preserve">承诺书格式自拟</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highlight w:val="none"/>
              </w:rPr>
            </w:r>
            <w:r/>
          </w:p>
        </w:tc>
        <w:tc>
          <w:tcPr>
            <w:tcW w:w="4110" w:type="dxa"/>
            <w:vAlign w:val="center"/>
            <w:textDirection w:val="lrTb"/>
            <w:noWrap w:val="false"/>
          </w:tcPr>
          <w:p>
            <w:pPr>
              <w:pStyle w:val="847"/>
              <w:jc w:val="left"/>
              <w:spacing w:line="600" w:lineRule="auto"/>
              <w:rPr>
                <w:rFonts w:ascii="宋体" w:hAnsi="宋体" w:cs="宋体"/>
                <w:color w:val="000000"/>
                <w:sz w:val="24"/>
                <w:highlight w:val="none"/>
              </w:rPr>
            </w:pPr>
            <w:r>
              <w:rPr>
                <w:rFonts w:hint="eastAsia" w:ascii="宋体" w:hAnsi="宋体" w:cs="宋体"/>
                <w:color w:val="000000"/>
                <w:sz w:val="24"/>
                <w:highlight w:val="none"/>
              </w:rPr>
              <w:t xml:space="preserve">满足得</w:t>
            </w:r>
            <w:r>
              <w:rPr>
                <w:rFonts w:hint="eastAsia" w:ascii="宋体" w:hAnsi="宋体" w:cs="宋体"/>
                <w:color w:val="000000"/>
                <w:sz w:val="24"/>
                <w:highlight w:val="none"/>
                <w:lang w:val="en-US" w:eastAsia="zh-CN"/>
              </w:rPr>
              <w:t xml:space="preserve">0.4</w:t>
            </w:r>
            <w:r>
              <w:rPr>
                <w:rFonts w:hint="eastAsia" w:ascii="宋体" w:hAnsi="宋体" w:cs="宋体"/>
                <w:color w:val="000000"/>
                <w:sz w:val="24"/>
                <w:highlight w:val="none"/>
              </w:rPr>
              <w:t xml:space="preserve">分，</w:t>
            </w:r>
            <w:r>
              <w:rPr>
                <w:rFonts w:hint="eastAsia" w:ascii="宋体" w:hAnsi="宋体"/>
                <w:color w:val="000000"/>
                <w:sz w:val="24"/>
                <w:highlight w:val="none"/>
              </w:rPr>
              <w:t xml:space="preserve">不满足不得分</w:t>
            </w:r>
            <w:r>
              <w:rPr>
                <w:rFonts w:ascii="宋体" w:hAnsi="宋体" w:cs="宋体"/>
                <w:color w:val="000000"/>
                <w:sz w:val="24"/>
                <w:highlight w:val="none"/>
              </w:rPr>
            </w:r>
            <w:r/>
          </w:p>
        </w:tc>
      </w:tr>
    </w:tbl>
    <w:p>
      <w:pPr>
        <w:pStyle w:val="896"/>
        <w:rPr>
          <w:color w:val="000000"/>
          <w:highlight w:val="none"/>
          <w:lang w:val="en-US" w:eastAsia="zh-CN"/>
        </w:rPr>
      </w:pPr>
      <w:r/>
      <w:bookmarkEnd w:id="150"/>
      <w:r>
        <w:rPr>
          <w:color w:val="000000"/>
          <w:highlight w:val="none"/>
          <w:lang w:val="en-US" w:eastAsia="zh-CN"/>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w:t>
      </w:r>
      <w:r>
        <w:rPr>
          <w:rFonts w:hint="eastAsia" w:ascii="宋体" w:hAnsi="宋体" w:eastAsia="宋体" w:cs="宋体"/>
          <w:color w:val="000000"/>
          <w:sz w:val="24"/>
          <w:szCs w:val="24"/>
          <w:highlight w:val="none"/>
        </w:rPr>
        <w:t xml:space="preserve">均不得分。</w:t>
      </w:r>
      <w:r>
        <w:rPr>
          <w:rFonts w:hint="eastAsia" w:ascii="宋体" w:hAnsi="宋体" w:eastAsia="宋体" w:cs="宋体"/>
          <w:color w:val="000000"/>
          <w:sz w:val="24"/>
          <w:szCs w:val="24"/>
          <w:highlight w:val="none"/>
          <w:lang w:val="en-US" w:eastAsia="zh-CN"/>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投标供应商具有ISO 15189实验室认可证书，其中，认可的检验能力范围表中符合本项目检验能力数量与本项目预外送检测总数的覆盖率达到100%的得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90%—100%</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80%—90%</w:t>
      </w:r>
      <w:r>
        <w:rPr>
          <w:rFonts w:hint="eastAsia" w:ascii="宋体" w:hAnsi="宋体" w:eastAsia="宋体" w:cs="宋体"/>
          <w:color w:val="000000"/>
          <w:sz w:val="24"/>
          <w:szCs w:val="24"/>
          <w:highlight w:val="none"/>
        </w:rPr>
        <w:t xml:space="preserve">的得2分，</w:t>
      </w:r>
      <w:r>
        <w:rPr>
          <w:rFonts w:hint="eastAsia" w:ascii="宋体" w:hAnsi="宋体" w:eastAsia="宋体" w:cs="宋体"/>
          <w:color w:val="000000"/>
          <w:sz w:val="24"/>
          <w:szCs w:val="24"/>
          <w:highlight w:val="none"/>
          <w:lang w:eastAsia="zh-CN"/>
        </w:rPr>
        <w:t xml:space="preserve">70%—80%</w:t>
      </w:r>
      <w:r>
        <w:rPr>
          <w:rFonts w:hint="eastAsia" w:ascii="宋体" w:hAnsi="宋体" w:eastAsia="宋体" w:cs="宋体"/>
          <w:color w:val="000000"/>
          <w:sz w:val="24"/>
          <w:szCs w:val="24"/>
          <w:highlight w:val="none"/>
        </w:rPr>
        <w:t xml:space="preserve">的得1分，低于70%不得分。本项最高得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分。投标时须提供对应的检验能力范围表复印件扫描上传至投标系统中并加盖公章，未提供或提供不符合要求不得分。</w:t>
      </w:r>
      <w:r>
        <w:rPr>
          <w:rFonts w:hint="eastAsia" w:ascii="宋体" w:hAnsi="宋体" w:eastAsia="宋体" w:cs="宋体"/>
          <w:color w:val="000000"/>
          <w:sz w:val="24"/>
          <w:szCs w:val="24"/>
          <w:highlight w:val="none"/>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rPr>
          <w:rFonts w:hint="eastAsia"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lang w:val="en-US" w:eastAsia="zh-CN"/>
        </w:rPr>
        <w:t xml:space="preserve">投标人为国家基因检测技术应用推广示范中心得2分，不是不得分；投标人具备高通量基因测序能力，获得省级或以上国家卫生主管部门批复的《高通量基因测序技术临床应用试点单位》得1分；</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rPr>
          <w:rFonts w:hint="eastAsia" w:ascii="宋体" w:hAnsi="宋体" w:eastAsia="宋体" w:cs="宋体"/>
          <w:b w:val="0"/>
          <w:bCs/>
          <w:color w:val="000000"/>
          <w:sz w:val="24"/>
          <w:szCs w:val="20"/>
          <w:highlight w:val="none"/>
          <w:lang w:val="zh-CN" w:eastAsia="zh-CN" w:bidi="ar-SA"/>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47"/>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rPr>
          <w:rFonts w:ascii="宋体" w:hAnsi="宋体" w:eastAsia="宋体" w:cs="宋体"/>
          <w:bCs/>
          <w:color w:val="000000"/>
          <w:sz w:val="24"/>
          <w:szCs w:val="24"/>
          <w:highlight w:val="none"/>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spacing w:before="0" w:after="0"/>
        <w:rPr>
          <w:rFonts w:ascii="宋体" w:hAnsi="宋体" w:eastAsia="宋体" w:cs="宋体"/>
          <w:b/>
          <w:color w:val="000000"/>
          <w:highlight w:val="none"/>
          <w:u w:val="single"/>
          <w:lang w:val="en-US" w:eastAsia="zh-CN"/>
        </w:rPr>
      </w:pPr>
      <w:r>
        <w:rPr>
          <w:rFonts w:hint="eastAsia" w:ascii="宋体" w:hAnsi="宋体" w:cs="宋体"/>
          <w:b/>
          <w:color w:val="000000"/>
          <w:highlight w:val="none"/>
          <w:u w:val="single"/>
          <w:lang w:val="en-US" w:eastAsia="zh-CN"/>
        </w:rPr>
        <w:br w:type="page" w:clear="all"/>
      </w:r>
      <w:r>
        <w:rPr>
          <w:rFonts w:hint="eastAsia" w:ascii="宋体" w:hAnsi="宋体" w:cs="宋体"/>
          <w:b/>
          <w:color w:val="000000"/>
          <w:highlight w:val="none"/>
          <w:u w:val="single"/>
          <w:lang w:val="en-US" w:eastAsia="zh-CN"/>
        </w:rPr>
        <w:t xml:space="preserve">采购包2</w:t>
      </w:r>
      <w:r>
        <w:rPr>
          <w:rFonts w:ascii="宋体" w:hAnsi="宋体" w:eastAsia="宋体" w:cs="宋体"/>
          <w:b/>
          <w:color w:val="000000"/>
          <w:highlight w:val="none"/>
          <w:u w:val="single"/>
          <w:lang w:val="en-US" w:eastAsia="zh-CN"/>
        </w:rPr>
      </w:r>
      <w:r/>
    </w:p>
    <w:p>
      <w:pPr>
        <w:pStyle w:val="851"/>
        <w:numPr>
          <w:ilvl w:val="0"/>
          <w:numId w:val="14"/>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价格分（25分）</w:t>
      </w:r>
      <w:r>
        <w:rPr>
          <w:rFonts w:ascii="宋体" w:hAnsi="宋体" w:eastAsia="宋体" w:cs="宋体"/>
          <w:b w:val="0"/>
          <w:color w:val="000000"/>
          <w:sz w:val="24"/>
          <w:szCs w:val="24"/>
          <w:highlight w:val="none"/>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rPr>
          <w:rFonts w:ascii="宋体" w:hAnsi="宋体" w:eastAsia="宋体" w:cs="宋体"/>
          <w:bCs/>
          <w:color w:val="000000"/>
          <w:sz w:val="24"/>
          <w:szCs w:val="20"/>
          <w:highlight w:val="none"/>
          <w:lang w:val="zh-CN"/>
        </w:rPr>
      </w:r>
      <w:r/>
    </w:p>
    <w:p>
      <w:pPr>
        <w:pStyle w:val="847"/>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rPr>
          <w:rFonts w:ascii="宋体" w:hAnsi="宋体" w:eastAsia="宋体" w:cs="宋体"/>
          <w:bCs/>
          <w:color w:val="000000"/>
          <w:sz w:val="24"/>
          <w:szCs w:val="20"/>
          <w:highlight w:val="none"/>
          <w:lang w:val="zh-CN"/>
        </w:rPr>
      </w:r>
      <w:r/>
    </w:p>
    <w:p>
      <w:pPr>
        <w:pStyle w:val="847"/>
        <w:ind w:firstLine="480"/>
        <w:pageBreakBefore w:val="0"/>
        <w:spacing w:line="360" w:lineRule="auto"/>
        <w:widowControl w:val="off"/>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rPr>
          <w:rFonts w:ascii="宋体" w:hAnsi="宋体" w:eastAsia="宋体" w:cs="宋体"/>
          <w:bCs/>
          <w:color w:val="000000"/>
          <w:sz w:val="24"/>
          <w:szCs w:val="20"/>
          <w:highlight w:val="none"/>
          <w:lang w:val="zh-CN"/>
        </w:rPr>
      </w:r>
      <w:r/>
    </w:p>
    <w:p>
      <w:pPr>
        <w:pStyle w:val="851"/>
        <w:pageBreakBefore w:val="0"/>
        <w:spacing w:before="0" w:after="0" w:line="360" w:lineRule="auto"/>
        <w:widowControl w:val="off"/>
        <w:rPr>
          <w:rFonts w:ascii="宋体" w:hAnsi="宋体" w:eastAsia="宋体" w:cs="宋体"/>
          <w:b w:val="0"/>
          <w:bCs/>
          <w:color w:val="000000"/>
          <w:sz w:val="24"/>
          <w:szCs w:val="20"/>
          <w:highlight w:val="none"/>
          <w:lang w:val="en-US" w:eastAsia="zh-CN" w:bidi="ar-SA"/>
        </w:rPr>
      </w:pPr>
      <w:r>
        <w:rPr>
          <w:rFonts w:hint="eastAsia" w:ascii="宋体" w:hAnsi="宋体" w:eastAsia="宋体" w:cs="宋体"/>
          <w:b w:val="0"/>
          <w:bCs/>
          <w:color w:val="000000"/>
          <w:sz w:val="24"/>
          <w:szCs w:val="20"/>
          <w:highlight w:val="none"/>
          <w:lang w:val="zh-CN" w:eastAsia="zh-CN" w:bidi="ar-SA"/>
        </w:rPr>
        <w:t xml:space="preserve">二、商务标（</w:t>
      </w:r>
      <w:r>
        <w:rPr>
          <w:rFonts w:hint="eastAsia" w:ascii="宋体" w:hAnsi="宋体" w:eastAsia="宋体" w:cs="宋体"/>
          <w:b w:val="0"/>
          <w:bCs/>
          <w:color w:val="000000"/>
          <w:sz w:val="24"/>
          <w:szCs w:val="20"/>
          <w:highlight w:val="none"/>
          <w:lang w:val="en-US" w:eastAsia="zh-CN" w:bidi="ar-SA"/>
        </w:rPr>
        <w:t xml:space="preserve">25</w:t>
      </w:r>
      <w:r>
        <w:rPr>
          <w:rFonts w:hint="eastAsia" w:ascii="宋体" w:hAnsi="宋体" w:eastAsia="宋体" w:cs="宋体"/>
          <w:b w:val="0"/>
          <w:bCs/>
          <w:color w:val="000000"/>
          <w:sz w:val="24"/>
          <w:szCs w:val="20"/>
          <w:highlight w:val="none"/>
          <w:lang w:val="zh-CN" w:eastAsia="zh-CN" w:bidi="ar-SA"/>
        </w:rPr>
        <w:t xml:space="preserve">分）</w:t>
      </w:r>
      <w:r>
        <w:rPr>
          <w:rFonts w:ascii="宋体" w:hAnsi="宋体" w:eastAsia="宋体" w:cs="宋体"/>
          <w:b w:val="0"/>
          <w:bCs/>
          <w:color w:val="000000"/>
          <w:sz w:val="24"/>
          <w:szCs w:val="20"/>
          <w:highlight w:val="none"/>
          <w:lang w:val="en-US"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1）企业业绩（2分）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投标供应商202</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年1月1日（以合同签订时间为准）至投标截止日有类似项目的业绩，每有一个得1分，满分2分。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注：合同须甲乙双方加盖公章并能反映合同订立单位、签订时间等内容，否则不计分；同一合同甲方业绩不重复计分。提供证明材料扫描上传至投标系统中并加盖公章，不提供或提供不符合要求均不得分。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2）项目拟配人员（</w:t>
      </w:r>
      <w:r>
        <w:rPr>
          <w:rFonts w:hint="eastAsia" w:ascii="宋体" w:hAnsi="宋体" w:eastAsia="宋体" w:cs="宋体"/>
          <w:b w:val="0"/>
          <w:bCs/>
          <w:color w:val="000000"/>
          <w:sz w:val="24"/>
          <w:szCs w:val="20"/>
          <w:highlight w:val="none"/>
          <w:lang w:val="en-US" w:eastAsia="zh-CN" w:bidi="ar-SA"/>
        </w:rPr>
        <w:t xml:space="preserve">4</w:t>
      </w:r>
      <w:r>
        <w:rPr>
          <w:rFonts w:hint="eastAsia" w:ascii="宋体" w:hAnsi="宋体" w:eastAsia="宋体" w:cs="宋体"/>
          <w:b w:val="0"/>
          <w:bCs/>
          <w:color w:val="000000"/>
          <w:sz w:val="24"/>
          <w:szCs w:val="20"/>
          <w:highlight w:val="none"/>
          <w:lang w:val="zh-CN" w:eastAsia="zh-CN" w:bidi="ar-SA"/>
        </w:rPr>
        <w:t xml:space="preserve">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b w:val="0"/>
          <w:bCs/>
          <w:color w:val="000000"/>
          <w:sz w:val="24"/>
          <w:szCs w:val="20"/>
          <w:highlight w:val="none"/>
          <w:lang w:val="zh-CN" w:eastAsia="zh-CN" w:bidi="ar-SA"/>
        </w:rPr>
        <w:t xml:space="preserve">①在满足招标文件要求下，每多提供一名具有检验技师系列、病理技师、检验医师、病理医师序列职称和PCR上岗证书，有一个得</w:t>
      </w:r>
      <w:r>
        <w:rPr>
          <w:rFonts w:hint="eastAsia" w:ascii="宋体" w:hAnsi="宋体" w:eastAsia="宋体" w:cs="宋体"/>
          <w:b w:val="0"/>
          <w:bCs/>
          <w:color w:val="000000"/>
          <w:sz w:val="24"/>
          <w:szCs w:val="20"/>
          <w:highlight w:val="none"/>
          <w:lang w:val="en-US" w:eastAsia="zh-CN" w:bidi="ar-SA"/>
        </w:rPr>
        <w:t xml:space="preserve">1</w:t>
      </w:r>
      <w:r>
        <w:rPr>
          <w:rFonts w:hint="eastAsia" w:ascii="宋体" w:hAnsi="宋体" w:eastAsia="宋体" w:cs="宋体"/>
          <w:b w:val="0"/>
          <w:bCs/>
          <w:color w:val="000000"/>
          <w:sz w:val="24"/>
          <w:szCs w:val="20"/>
          <w:highlight w:val="none"/>
          <w:lang w:val="zh-CN" w:eastAsia="zh-CN" w:bidi="ar-SA"/>
        </w:rPr>
        <w:t xml:space="preserve">分，本项最多得</w:t>
      </w:r>
      <w:r>
        <w:rPr>
          <w:rFonts w:hint="eastAsia" w:ascii="宋体" w:hAnsi="宋体" w:eastAsia="宋体" w:cs="宋体"/>
          <w:b w:val="0"/>
          <w:bCs/>
          <w:color w:val="000000"/>
          <w:sz w:val="24"/>
          <w:szCs w:val="20"/>
          <w:highlight w:val="none"/>
          <w:lang w:val="en-US" w:eastAsia="zh-CN" w:bidi="ar-SA"/>
        </w:rPr>
        <w:t xml:space="preserve">2</w:t>
      </w:r>
      <w:r>
        <w:rPr>
          <w:rFonts w:hint="eastAsia" w:ascii="宋体" w:hAnsi="宋体" w:eastAsia="宋体" w:cs="宋体"/>
          <w:b w:val="0"/>
          <w:bCs/>
          <w:color w:val="000000"/>
          <w:sz w:val="24"/>
          <w:szCs w:val="20"/>
          <w:highlight w:val="none"/>
          <w:lang w:val="zh-CN" w:eastAsia="zh-CN" w:bidi="ar-SA"/>
        </w:rPr>
        <w:t xml:space="preserve">分。</w:t>
      </w:r>
      <w:r>
        <w:rPr>
          <w:rFonts w:hint="eastAsia" w:ascii="宋体" w:hAnsi="宋体" w:eastAsia="宋体" w:cs="宋体"/>
          <w:b w:val="0"/>
          <w:bCs/>
          <w:color w:val="000000"/>
          <w:sz w:val="24"/>
          <w:szCs w:val="20"/>
          <w:highlight w:val="none"/>
          <w:lang w:val="zh-CN" w:eastAsia="zh-CN" w:bidi="ar-SA"/>
        </w:rPr>
      </w:r>
      <w:r/>
    </w:p>
    <w:p>
      <w:pPr>
        <w:pStyle w:val="859"/>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b w:val="0"/>
          <w:bCs/>
          <w:color w:val="000000"/>
          <w:sz w:val="24"/>
          <w:szCs w:val="20"/>
          <w:highlight w:val="none"/>
          <w:lang w:val="zh-CN" w:eastAsia="zh-CN" w:bidi="ar-SA"/>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b w:val="0"/>
          <w:bCs/>
          <w:color w:val="000000"/>
          <w:sz w:val="24"/>
          <w:szCs w:val="20"/>
          <w:highlight w:val="none"/>
          <w:lang w:val="zh-CN" w:eastAsia="zh-CN" w:bidi="ar-SA"/>
        </w:rPr>
        <w:t xml:space="preserve">提供证明材料扫描上传至投标系统中并加盖公章，不提供或提供不符合要求均不得分。</w:t>
      </w:r>
      <w:r>
        <w:rPr>
          <w:rFonts w:hint="eastAsia" w:ascii="宋体" w:hAnsi="宋体" w:eastAsia="宋体" w:cs="宋体"/>
          <w:b w:val="0"/>
          <w:bCs/>
          <w:color w:val="000000"/>
          <w:sz w:val="24"/>
          <w:szCs w:val="20"/>
          <w:highlight w:val="none"/>
          <w:lang w:val="zh-CN" w:eastAsia="zh-CN" w:bidi="ar-SA"/>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报告时间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color w:val="000000"/>
          <w:highlight w:val="none"/>
          <w:lang w:val="en-US" w:eastAsia="zh-CN"/>
        </w:rPr>
      </w:pPr>
      <w:r>
        <w:rPr>
          <w:rFonts w:hint="eastAsia" w:ascii="宋体" w:hAnsi="宋体" w:cs="宋体"/>
          <w:color w:val="000000"/>
          <w:sz w:val="24"/>
          <w:highlight w:val="none"/>
        </w:rPr>
        <w:t xml:space="preserve">从收取标本开始</w:t>
      </w:r>
      <w:r>
        <w:rPr>
          <w:rFonts w:hint="eastAsia" w:ascii="宋体" w:hAnsi="宋体" w:eastAsia="宋体" w:cs="宋体"/>
          <w:color w:val="000000"/>
          <w:sz w:val="24"/>
          <w:highlight w:val="none"/>
          <w:lang w:val="en-US" w:eastAsia="zh-CN"/>
        </w:rPr>
        <w:t xml:space="preserve">算起</w:t>
      </w:r>
      <w:r>
        <w:rPr>
          <w:rFonts w:hint="eastAsia" w:ascii="宋体" w:hAnsi="宋体" w:cs="宋体"/>
          <w:color w:val="000000"/>
          <w:sz w:val="24"/>
          <w:highlight w:val="none"/>
        </w:rPr>
        <w:t xml:space="preserve">出具报告</w:t>
      </w:r>
      <w:r>
        <w:rPr>
          <w:rFonts w:hint="eastAsia" w:ascii="宋体" w:hAnsi="宋体" w:eastAsia="宋体" w:cs="宋体"/>
          <w:color w:val="000000"/>
          <w:sz w:val="24"/>
          <w:highlight w:val="none"/>
          <w:lang w:val="en-US" w:eastAsia="zh-CN"/>
        </w:rPr>
        <w:t xml:space="preserve">时间</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涵盖mNGS、tNGS、NGS（DNA+RNA）</w:t>
      </w:r>
      <w:r>
        <w:rPr>
          <w:rFonts w:hint="eastAsia" w:ascii="宋体" w:hAnsi="宋体" w:cs="宋体"/>
          <w:color w:val="000000"/>
          <w:sz w:val="24"/>
          <w:highlight w:val="none"/>
        </w:rPr>
        <w:t xml:space="preserve">并提供支持文件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承诺出具报告时间在24小时得5分；36小时得2分；36小时以上48小时以下1分</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出报告要线上和电话同步提醒、自动推送类似于危急值或者企业微信推送，提信息化要求；提供给患者同步提醒医生；全部打包回来）。</w:t>
      </w:r>
      <w:r>
        <w:rPr>
          <w:rFonts w:hint="eastAsia" w:ascii="宋体" w:hAnsi="宋体" w:eastAsia="宋体" w:cs="宋体"/>
          <w:color w:val="000000"/>
          <w:sz w:val="24"/>
          <w:szCs w:val="24"/>
          <w:highlight w:val="none"/>
        </w:rPr>
        <w:t xml:space="preserve">投标时须提供</w:t>
      </w:r>
      <w:r>
        <w:rPr>
          <w:rFonts w:hint="eastAsia" w:ascii="宋体" w:hAnsi="宋体" w:eastAsia="宋体" w:cs="宋体"/>
          <w:color w:val="000000"/>
          <w:sz w:val="24"/>
          <w:szCs w:val="24"/>
          <w:highlight w:val="none"/>
          <w:lang w:val="en-US" w:eastAsia="zh-CN"/>
        </w:rPr>
        <w:t xml:space="preserve">承诺书（承诺书格式自拟）</w:t>
      </w:r>
      <w:r>
        <w:rPr>
          <w:rFonts w:hint="eastAsia" w:ascii="宋体" w:hAnsi="宋体" w:eastAsia="宋体" w:cs="宋体"/>
          <w:color w:val="000000"/>
          <w:sz w:val="24"/>
          <w:szCs w:val="24"/>
          <w:highlight w:val="none"/>
        </w:rPr>
        <w:t xml:space="preserve">扫描上传至投标系统中并加盖公章，不提供或提供不全</w:t>
      </w:r>
      <w:r>
        <w:rPr>
          <w:rFonts w:hint="eastAsia" w:ascii="宋体" w:hAnsi="宋体" w:eastAsia="宋体" w:cs="宋体"/>
          <w:color w:val="000000"/>
          <w:sz w:val="24"/>
          <w:szCs w:val="24"/>
          <w:highlight w:val="none"/>
        </w:rPr>
        <w:t xml:space="preserve">均不得分。</w:t>
      </w:r>
      <w:r>
        <w:rPr>
          <w:color w:val="000000"/>
          <w:highlight w:val="none"/>
          <w:lang w:val="en-US" w:eastAsia="zh-CN"/>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）运输能力（2分）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承诺有明确的措施保证标本运输全流程信息安全（此为必达项），承诺书格式自拟，</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w:t>
      </w:r>
      <w:r>
        <w:rPr>
          <w:rFonts w:hint="eastAsia" w:ascii="宋体" w:hAnsi="宋体" w:eastAsia="宋体" w:cs="宋体"/>
          <w:color w:val="000000"/>
          <w:sz w:val="24"/>
          <w:szCs w:val="24"/>
          <w:highlight w:val="none"/>
        </w:rPr>
        <w:t xml:space="preserve">均不得分。</w:t>
      </w:r>
      <w:r>
        <w:rPr>
          <w:rFonts w:hint="eastAsia" w:ascii="宋体" w:hAnsi="宋体" w:eastAsia="宋体" w:cs="宋体"/>
          <w:color w:val="000000"/>
          <w:sz w:val="24"/>
          <w:szCs w:val="24"/>
          <w:highlight w:val="none"/>
          <w:lang w:val="en-US" w:eastAsia="zh-CN"/>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 xml:space="preserve">投标供应商具有ISO 15189实验室认可证书，其中，认可的检验能力范围表中符合本项目检验能力数量与本项目预外送检测总数的覆盖率达到100%的得6分，</w:t>
      </w:r>
      <w:r>
        <w:rPr>
          <w:rFonts w:hint="eastAsia" w:ascii="宋体" w:hAnsi="宋体" w:eastAsia="宋体" w:cs="宋体"/>
          <w:strike w:val="0"/>
          <w:color w:val="000000"/>
          <w:sz w:val="24"/>
          <w:szCs w:val="24"/>
          <w:highlight w:val="none"/>
          <w:lang w:eastAsia="zh-CN"/>
        </w:rPr>
        <w:t xml:space="preserve">90%—100%</w:t>
      </w:r>
      <w:r>
        <w:rPr>
          <w:rFonts w:hint="eastAsia" w:ascii="宋体" w:hAnsi="宋体" w:eastAsia="宋体" w:cs="宋体"/>
          <w:strike w:val="0"/>
          <w:color w:val="000000"/>
          <w:sz w:val="24"/>
          <w:szCs w:val="24"/>
          <w:highlight w:val="none"/>
        </w:rPr>
        <w:t xml:space="preserve">的得4分，</w:t>
      </w:r>
      <w:r>
        <w:rPr>
          <w:rFonts w:hint="eastAsia" w:ascii="宋体" w:hAnsi="宋体" w:eastAsia="宋体" w:cs="宋体"/>
          <w:strike w:val="0"/>
          <w:color w:val="000000"/>
          <w:sz w:val="24"/>
          <w:szCs w:val="24"/>
          <w:highlight w:val="none"/>
          <w:lang w:eastAsia="zh-CN"/>
        </w:rPr>
        <w:t xml:space="preserve">80%—90%</w:t>
      </w:r>
      <w:r>
        <w:rPr>
          <w:rFonts w:hint="eastAsia" w:ascii="宋体" w:hAnsi="宋体" w:eastAsia="宋体" w:cs="宋体"/>
          <w:strike w:val="0"/>
          <w:color w:val="000000"/>
          <w:sz w:val="24"/>
          <w:szCs w:val="24"/>
          <w:highlight w:val="none"/>
        </w:rPr>
        <w:t xml:space="preserve">的得2分，</w:t>
      </w:r>
      <w:r>
        <w:rPr>
          <w:rFonts w:hint="eastAsia" w:ascii="宋体" w:hAnsi="宋体" w:eastAsia="宋体" w:cs="宋体"/>
          <w:strike w:val="0"/>
          <w:color w:val="000000"/>
          <w:sz w:val="24"/>
          <w:szCs w:val="24"/>
          <w:highlight w:val="none"/>
          <w:lang w:eastAsia="zh-CN"/>
        </w:rPr>
        <w:t xml:space="preserve">70%—80%</w:t>
      </w:r>
      <w:r>
        <w:rPr>
          <w:rFonts w:hint="eastAsia" w:ascii="宋体" w:hAnsi="宋体" w:eastAsia="宋体" w:cs="宋体"/>
          <w:strike w:val="0"/>
          <w:color w:val="000000"/>
          <w:sz w:val="24"/>
          <w:szCs w:val="24"/>
          <w:highlight w:val="none"/>
        </w:rPr>
        <w:t xml:space="preserve">的得1分，低于70%不得分。本项最高得6分。投标时须提供对应的检验能力范围表复印件扫描上传至投标系统中并加盖公章，未提供或提供不符合要求不得分。</w:t>
      </w:r>
      <w:r>
        <w:rPr>
          <w:rFonts w:hint="eastAsia" w:ascii="宋体" w:hAnsi="宋体" w:eastAsia="宋体" w:cs="宋体"/>
          <w:strike w:val="0"/>
          <w:color w:val="000000"/>
          <w:sz w:val="24"/>
          <w:szCs w:val="24"/>
          <w:highlight w:val="none"/>
          <w:lang w:eastAsia="zh-CN"/>
        </w:rPr>
      </w:r>
      <w:r/>
    </w:p>
    <w:p>
      <w:pPr>
        <w:pStyle w:val="847"/>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847"/>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投标供应商参与国家、省级的感染相关宏基因组高通量测序室间质量评价项目（包括预研），提供自2023年以来的相关室间质评合规证书，有即得分，没有不得分，</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提供在感染相关宏基因高通量测序检测生物信息学室间质评项目，合格通过NGS平台有即得分，没有不得分，得1分</w:t>
      </w:r>
      <w:r>
        <w:rPr>
          <w:rFonts w:hint="eastAsia" w:ascii="宋体" w:hAnsi="宋体" w:eastAsia="宋体" w:cs="宋体"/>
          <w:color w:val="000000"/>
          <w:sz w:val="24"/>
          <w:szCs w:val="24"/>
          <w:highlight w:val="none"/>
        </w:rPr>
        <w:t xml:space="preserve">。提供证明材料扫描上传至投标系统中并加盖公章，不提供或提供不符合要求均不得分。</w:t>
      </w:r>
      <w:r>
        <w:rPr>
          <w:rFonts w:hint="eastAsia" w:ascii="宋体" w:hAnsi="宋体" w:eastAsia="宋体" w:cs="宋体"/>
          <w:color w:val="000000"/>
          <w:sz w:val="24"/>
          <w:szCs w:val="24"/>
          <w:highlight w:val="none"/>
        </w:rPr>
      </w:r>
      <w:r/>
    </w:p>
    <w:p>
      <w:pPr>
        <w:pStyle w:val="847"/>
        <w:ind w:firstLine="480"/>
        <w:pageBreakBefore w:val="0"/>
        <w:spacing w:line="360" w:lineRule="auto"/>
        <w:widowControl w:val="off"/>
        <w:rPr>
          <w:rFonts w:hint="eastAsia"/>
          <w:color w:val="000000"/>
          <w:highlight w:val="none"/>
        </w:rPr>
      </w:pPr>
      <w:r>
        <w:rPr>
          <w:rFonts w:hint="eastAsia" w:ascii="宋体" w:hAnsi="宋体" w:eastAsia="宋体" w:cs="宋体"/>
          <w:color w:val="000000"/>
          <w:sz w:val="24"/>
          <w:highlight w:val="none"/>
          <w:lang w:val="en-US" w:eastAsia="zh-CN"/>
        </w:rPr>
        <w:t xml:space="preserve">7）投标单位</w:t>
      </w:r>
      <w:r>
        <w:rPr>
          <w:rFonts w:hint="eastAsia" w:ascii="宋体" w:hAnsi="宋体" w:cs="宋体"/>
          <w:color w:val="000000"/>
          <w:sz w:val="24"/>
          <w:highlight w:val="none"/>
        </w:rPr>
        <w:t xml:space="preserve">企业参加过国家级科技部项目并有成果交付，提供成果证明。</w:t>
      </w:r>
      <w:r>
        <w:rPr>
          <w:rFonts w:hint="eastAsia" w:ascii="宋体" w:hAnsi="宋体" w:eastAsia="宋体" w:cs="宋体"/>
          <w:color w:val="000000"/>
          <w:sz w:val="24"/>
          <w:highlight w:val="none"/>
          <w:lang w:val="en-US" w:eastAsia="zh-CN"/>
        </w:rPr>
        <w:t xml:space="preserve">此项得1分。</w:t>
      </w:r>
      <w:r>
        <w:rPr>
          <w:rFonts w:hint="eastAsia" w:ascii="宋体" w:hAnsi="宋体" w:eastAsia="宋体" w:cs="宋体"/>
          <w:color w:val="000000"/>
          <w:sz w:val="24"/>
          <w:szCs w:val="24"/>
          <w:highlight w:val="none"/>
        </w:rPr>
        <w:t xml:space="preserve">提供证明材料扫描上传至投标系统中并加盖公章，不提供或提供不符合要求均不得分。</w:t>
      </w:r>
      <w:r>
        <w:rPr>
          <w:rFonts w:hint="eastAsia"/>
          <w:color w:val="000000"/>
          <w:highlight w:val="none"/>
        </w:rPr>
      </w:r>
      <w:r/>
    </w:p>
    <w:p>
      <w:pPr>
        <w:pStyle w:val="847"/>
        <w:ind w:firstLine="48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847"/>
        <w:ind w:firstLine="480"/>
        <w:pageBreakBefore w:val="0"/>
        <w:spacing w:line="360" w:lineRule="auto"/>
        <w:widowControl w:val="off"/>
        <w:rPr>
          <w:rFonts w:hint="eastAsia"/>
          <w:color w:val="000000"/>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rPr>
          <w:rFonts w:hint="eastAsia"/>
          <w:color w:val="000000"/>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三、技术标（5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lang w:val="en-US" w:eastAsia="zh-CN"/>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分）：包括突发事件（结果异议、报告丢失、标本丢失、医院急诊项目服务、提供特急标本优先加急特事特办服务等）处理机制、预案、协调措施等。内容详细可行、具有针对性、措施严谨；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分）：提供供应商为医院相关人员拟做的操作、科研、学术等相关培训实施方案，内容详细可行、具有针对性、措施严谨；</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rPr>
          <w:rFonts w:ascii="宋体" w:hAnsi="宋体" w:eastAsia="宋体" w:cs="宋体"/>
          <w:color w:val="000000"/>
          <w:sz w:val="24"/>
          <w:szCs w:val="24"/>
          <w:highlight w:val="none"/>
        </w:rPr>
      </w:r>
      <w:r/>
    </w:p>
    <w:p>
      <w:pPr>
        <w:pStyle w:val="992"/>
        <w:ind w:left="0" w:firstLine="480"/>
        <w:pageBreakBefore w:val="0"/>
        <w:spacing w:after="0"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47"/>
        <w:ind w:firstLine="48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000000"/>
          <w:sz w:val="24"/>
          <w:szCs w:val="24"/>
          <w:highlight w:val="none"/>
          <w:lang w:eastAsia="zh-CN"/>
        </w:rPr>
        <w:t xml:space="preserve">属于</w:t>
      </w:r>
      <w:r>
        <w:rPr>
          <w:rFonts w:hint="eastAsia" w:ascii="宋体" w:hAnsi="宋体" w:eastAsia="宋体" w:cs="宋体"/>
          <w:bCs/>
          <w:color w:val="000000"/>
          <w:sz w:val="24"/>
          <w:szCs w:val="24"/>
          <w:highlight w:val="none"/>
        </w:rPr>
        <w:t xml:space="preserve">采购人。未列入本评分细则的其他条件不作为评分内容。</w:t>
      </w:r>
      <w:r>
        <w:rPr>
          <w:rFonts w:ascii="宋体" w:hAnsi="宋体" w:eastAsia="宋体" w:cs="宋体"/>
          <w:bCs/>
          <w:color w:val="000000"/>
          <w:sz w:val="24"/>
          <w:szCs w:val="24"/>
          <w:highlight w:val="none"/>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firstLine="422"/>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ind w:left="0" w:firstLine="0"/>
        <w:rPr>
          <w:rFonts w:hint="eastAsia" w:ascii="宋体" w:hAnsi="宋体" w:eastAsia="宋体" w:cs="宋体"/>
          <w:b/>
          <w:bCs w:val="0"/>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p>
    <w:p>
      <w:pPr>
        <w:pStyle w:val="1288"/>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r>
      <w:r>
        <w:rPr>
          <w:rFonts w:hint="eastAsia" w:ascii="宋体" w:hAnsi="宋体" w:eastAsia="宋体" w:cs="宋体"/>
          <w:b/>
          <w:bCs w:val="0"/>
          <w:color w:val="000000"/>
          <w:sz w:val="24"/>
          <w:szCs w:val="24"/>
          <w:highlight w:val="none"/>
          <w:u w:val="single"/>
          <w:lang w:val="en-US" w:eastAsia="zh-CN"/>
        </w:rPr>
      </w:r>
      <w:r/>
    </w:p>
    <w:p>
      <w:pPr>
        <w:pStyle w:val="1288"/>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val="0"/>
          <w:color w:val="000000"/>
          <w:sz w:val="24"/>
          <w:szCs w:val="24"/>
          <w:highlight w:val="none"/>
          <w:u w:val="single"/>
          <w:lang w:val="en-US" w:eastAsia="zh-CN"/>
        </w:rPr>
        <w:t xml:space="preserve">采购包3</w:t>
      </w:r>
      <w:r>
        <w:rPr>
          <w:rFonts w:hint="eastAsia" w:ascii="宋体" w:hAnsi="宋体" w:eastAsia="宋体" w:cs="宋体"/>
          <w:b/>
          <w:bCs w:val="0"/>
          <w:color w:val="000000"/>
          <w:sz w:val="24"/>
          <w:szCs w:val="24"/>
          <w:highlight w:val="none"/>
          <w:u w:val="single"/>
          <w:lang w:val="en-US" w:eastAsia="zh-CN"/>
        </w:rPr>
      </w:r>
      <w:r/>
    </w:p>
    <w:p>
      <w:pPr>
        <w:pStyle w:val="851"/>
        <w:numPr>
          <w:ilvl w:val="0"/>
          <w:numId w:val="0"/>
        </w:numPr>
        <w:spacing w:before="0" w:after="0" w:line="360" w:lineRule="auto"/>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一、</w:t>
      </w:r>
      <w:r>
        <w:rPr>
          <w:rFonts w:hint="eastAsia" w:ascii="宋体" w:hAnsi="宋体" w:eastAsia="宋体" w:cs="宋体"/>
          <w:b w:val="0"/>
          <w:color w:val="000000"/>
          <w:sz w:val="24"/>
          <w:szCs w:val="24"/>
          <w:highlight w:val="none"/>
        </w:rPr>
        <w:t xml:space="preserve">价格分（25分）</w:t>
      </w:r>
      <w:r>
        <w:rPr>
          <w:rFonts w:ascii="宋体" w:hAnsi="宋体" w:eastAsia="宋体" w:cs="宋体"/>
          <w:b w:val="0"/>
          <w:color w:val="000000"/>
          <w:sz w:val="24"/>
          <w:szCs w:val="24"/>
          <w:highlight w:val="none"/>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参与机构应根据外送检验检测项目清单中的限价标准，进行整体优惠率报价，评审时以优惠率作为投标报价，假设单价为100元，优惠率为1%则结算时该单价为（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-1%）*100=99元，优惠率为2%则结算时该单价为（</w:t>
      </w:r>
      <w:r>
        <w:rPr>
          <w:rFonts w:hint="eastAsia" w:ascii="宋体" w:hAnsi="宋体" w:eastAsia="宋体" w:cs="宋体"/>
          <w:bCs/>
          <w:color w:val="000000"/>
          <w:sz w:val="24"/>
          <w:szCs w:val="20"/>
          <w:highlight w:val="none"/>
        </w:rPr>
        <w:t xml:space="preserve">1</w:t>
      </w:r>
      <w:r>
        <w:rPr>
          <w:rFonts w:hint="eastAsia" w:ascii="宋体" w:hAnsi="宋体" w:eastAsia="宋体" w:cs="宋体"/>
          <w:bCs/>
          <w:color w:val="000000"/>
          <w:sz w:val="24"/>
          <w:szCs w:val="20"/>
          <w:highlight w:val="none"/>
          <w:lang w:val="zh-CN"/>
        </w:rPr>
        <w:t xml:space="preserve">-2%）*100=98元，以此类推；整体优惠率只允许有一个，并且在合同履行过程中是固定不变的；任何有选择的报价将不予接受，并按无效响应处理。</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苏采云平台以优惠率报价的价格分计算公式如下：</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优惠率评审价计算公式：（1－优惠率报价）*报价扣除率+优惠率报价</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优惠率价格分计算公式：（1－最高优惠率评审价）/（1－优惠率评审价）*价格分最高分。</w:t>
      </w:r>
      <w:r>
        <w:rPr>
          <w:rFonts w:ascii="宋体" w:hAnsi="宋体" w:eastAsia="宋体" w:cs="宋体"/>
          <w:bCs/>
          <w:color w:val="000000"/>
          <w:sz w:val="24"/>
          <w:szCs w:val="20"/>
          <w:highlight w:val="none"/>
          <w:lang w:val="zh-CN"/>
        </w:rPr>
      </w:r>
      <w:r/>
    </w:p>
    <w:p>
      <w:pPr>
        <w:pStyle w:val="847"/>
        <w:ind w:firstLine="480"/>
        <w:spacing w:line="360" w:lineRule="auto"/>
        <w:tabs>
          <w:tab w:val="left" w:pos="945" w:leader="none"/>
        </w:tabs>
        <w:rPr>
          <w:rFonts w:ascii="宋体" w:hAnsi="宋体" w:eastAsia="宋体" w:cs="宋体"/>
          <w:bCs/>
          <w:color w:val="000000"/>
          <w:sz w:val="24"/>
          <w:szCs w:val="20"/>
          <w:highlight w:val="none"/>
          <w:lang w:val="zh-CN"/>
        </w:rPr>
      </w:pPr>
      <w:r>
        <w:rPr>
          <w:rFonts w:hint="eastAsia" w:ascii="宋体" w:hAnsi="宋体" w:eastAsia="宋体" w:cs="宋体"/>
          <w:bCs/>
          <w:color w:val="000000"/>
          <w:sz w:val="24"/>
          <w:szCs w:val="20"/>
          <w:highlight w:val="none"/>
          <w:lang w:val="zh-CN"/>
        </w:rPr>
        <w:t xml:space="preserve">关于价格扣除详见本章第二部分“一、落实政府采购政策的价格调整”。</w:t>
      </w:r>
      <w:r>
        <w:rPr>
          <w:rFonts w:ascii="宋体" w:hAnsi="宋体" w:eastAsia="宋体" w:cs="宋体"/>
          <w:bCs/>
          <w:color w:val="000000"/>
          <w:sz w:val="24"/>
          <w:szCs w:val="20"/>
          <w:highlight w:val="none"/>
          <w:lang w:val="zh-CN"/>
        </w:rPr>
      </w:r>
      <w:r/>
    </w:p>
    <w:p>
      <w:pPr>
        <w:pStyle w:val="851"/>
        <w:spacing w:before="0" w:after="0" w:line="360" w:lineRule="auto"/>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二、商务标（25分）</w:t>
      </w:r>
      <w:r>
        <w:rPr>
          <w:rFonts w:ascii="宋体" w:hAnsi="宋体" w:eastAsia="宋体" w:cs="宋体"/>
          <w:b w:val="0"/>
          <w:color w:val="000000"/>
          <w:sz w:val="24"/>
          <w:szCs w:val="24"/>
          <w:highlight w:val="none"/>
          <w:lang w:val="en-US" w:eastAsia="zh-CN"/>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1）企业业绩（2分）</w:t>
      </w:r>
      <w:r>
        <w:rPr>
          <w:rFonts w:ascii="宋体" w:hAnsi="宋体" w:eastAsia="宋体" w:cs="宋体"/>
          <w:color w:val="000000"/>
          <w:sz w:val="24"/>
          <w:szCs w:val="24"/>
          <w:highlight w:val="none"/>
        </w:rPr>
      </w:r>
      <w:r/>
    </w:p>
    <w:p>
      <w:pPr>
        <w:pStyle w:val="84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年1月1日（以合同签订时间为准）至投标截止日有类似项目的业绩，每有一个得1分，满分2分。</w:t>
      </w:r>
      <w:r>
        <w:rPr>
          <w:rFonts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投标时提供合同复印件加盖公章，且合同须甲乙双方加盖公章并能反映合同订立单位、签订时间等内容，否则不计分；同一合同甲方业绩不重复计分。提供证明材料扫描上传至投标系统中并加盖公章，不提供或提供不符合要求均不得分。</w:t>
      </w:r>
      <w:r>
        <w:rPr>
          <w:rFonts w:hint="eastAsia" w:ascii="宋体" w:hAnsi="宋体" w:eastAsia="宋体" w:cs="宋体"/>
          <w:color w:val="000000"/>
          <w:sz w:val="24"/>
          <w:szCs w:val="24"/>
          <w:highlight w:val="none"/>
          <w:lang w:bidi="ar"/>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设备配置（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自有：实验室自有肾脏病理光镜、荧光镜、电镜完整平台（权属归投标单位/全资子公司），上传仪器购买发票/权属证明/固定资产凭证（任选其一）扫描件并加盖公章，得2分。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合规租赁：租赁核心设备满足期限≥履约期、独立使用、运维保障，上传租赁合同+出租方权属证明+付款凭证+运维承诺函并加盖公章，得1分。</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rPr>
          <w:rFonts w:hint="eastAsia" w:ascii="宋体" w:hAnsi="宋体" w:eastAsia="宋体" w:cs="宋体"/>
          <w:color w:val="000000"/>
          <w:sz w:val="24"/>
          <w:szCs w:val="24"/>
          <w:highlight w:val="none"/>
          <w:lang w:bidi="ar"/>
        </w:rPr>
      </w:r>
      <w:r/>
    </w:p>
    <w:p>
      <w:pPr>
        <w:pStyle w:val="84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3）投标单位具有</w:t>
      </w:r>
      <w:r>
        <w:rPr>
          <w:rFonts w:hint="eastAsia" w:ascii="宋体" w:hAnsi="宋体" w:eastAsia="宋体" w:cs="宋体"/>
          <w:color w:val="000000"/>
          <w:sz w:val="24"/>
          <w:szCs w:val="24"/>
          <w:highlight w:val="none"/>
        </w:rPr>
        <w:t xml:space="preserve">CAP认证</w:t>
      </w:r>
      <w:r>
        <w:rPr>
          <w:rFonts w:hint="eastAsia" w:ascii="宋体" w:hAnsi="宋体" w:eastAsia="宋体" w:cs="宋体"/>
          <w:color w:val="000000"/>
          <w:sz w:val="24"/>
          <w:szCs w:val="24"/>
          <w:highlight w:val="none"/>
          <w:lang w:val="en-US" w:eastAsia="zh-CN"/>
        </w:rPr>
        <w:t xml:space="preserve">证书，得2分。</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rPr>
          <w:rFonts w:hint="eastAsia" w:ascii="宋体" w:hAnsi="宋体" w:eastAsia="宋体" w:cs="宋体"/>
          <w:color w:val="000000"/>
          <w:sz w:val="24"/>
          <w:szCs w:val="24"/>
          <w:highlight w:val="none"/>
          <w:lang w:bidi="ar"/>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4）投标单位</w:t>
      </w:r>
      <w:r>
        <w:rPr>
          <w:rFonts w:hint="eastAsia" w:ascii="宋体" w:hAnsi="宋体" w:eastAsia="宋体" w:cs="宋体"/>
          <w:color w:val="000000"/>
          <w:sz w:val="24"/>
          <w:szCs w:val="24"/>
          <w:highlight w:val="none"/>
        </w:rPr>
        <w:t xml:space="preserve">提供专家会诊服务，以报告为证。</w:t>
      </w:r>
      <w:r>
        <w:rPr>
          <w:rFonts w:hint="eastAsia" w:ascii="宋体" w:hAnsi="宋体" w:eastAsia="宋体" w:cs="宋体"/>
          <w:color w:val="000000"/>
          <w:sz w:val="24"/>
          <w:szCs w:val="24"/>
          <w:highlight w:val="none"/>
          <w:lang w:eastAsia="zh-CN"/>
        </w:rPr>
        <w:t xml:space="preserve">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）项目拟配人员（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①在满足招标文件要求下，每多提供一名具有检验技师系列、病理技师、检验医师、病理医师序列职称和PCR上岗证书，有一个得0.5分，本项最多得1分。</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②在满足招标文件要求下，每多提供一名生物信息学专业人员，有一个得0.5分，本项最多得1分。</w:t>
      </w:r>
      <w:r>
        <w:rPr>
          <w:rFonts w:hint="eastAsia" w:ascii="宋体" w:hAnsi="宋体" w:eastAsia="宋体" w:cs="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肾脏病理诊断医生</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84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提供上述人员相关证书和与企业签订的劳动合同或由有关部门出具的近六个月（不含投标当月）任意一个月的社保缴费证明（新成立的企业若不满足六个月（不含投标当月），提供成立之后相关人员的相关月份的社保缴费证明）。</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rPr>
          <w:rFonts w:hint="eastAsia" w:ascii="宋体" w:hAnsi="宋体" w:eastAsia="宋体" w:cs="宋体"/>
          <w:color w:val="000000"/>
          <w:sz w:val="24"/>
          <w:szCs w:val="24"/>
          <w:highlight w:val="none"/>
          <w:lang w:bidi="ar"/>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）室间质评（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7"/>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投标供应商提供</w:t>
      </w:r>
      <w:r>
        <w:rPr>
          <w:rFonts w:hint="eastAsia" w:ascii="宋体" w:hAnsi="宋体" w:eastAsia="宋体" w:cs="宋体"/>
          <w:color w:val="000000"/>
          <w:sz w:val="24"/>
          <w:szCs w:val="24"/>
          <w:highlight w:val="none"/>
          <w:lang w:val="en-US" w:eastAsia="zh-CN"/>
        </w:rPr>
        <w:t xml:space="preserve">2023年1月1日至投标截止日期前</w:t>
      </w:r>
      <w:r>
        <w:rPr>
          <w:rFonts w:hint="eastAsia" w:ascii="宋体" w:hAnsi="宋体" w:eastAsia="宋体" w:cs="宋体"/>
          <w:color w:val="000000"/>
          <w:sz w:val="24"/>
          <w:szCs w:val="24"/>
          <w:highlight w:val="none"/>
        </w:rPr>
        <w:t xml:space="preserve">肾脏病理室间质评文件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时间以质评文件上时间为准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，提供2份得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分，提供1份得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分，不提供者得0分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bidi="ar"/>
        </w:rPr>
        <w:t xml:space="preserve">提供证明材料扫描上传至投标系统中并加盖公章，不提供或提供不符合要求均不得分。</w:t>
      </w:r>
      <w:r>
        <w:rPr>
          <w:rFonts w:hint="eastAsia" w:ascii="宋体" w:hAnsi="宋体" w:eastAsia="宋体" w:cs="宋体"/>
          <w:color w:val="000000"/>
          <w:sz w:val="24"/>
          <w:szCs w:val="24"/>
          <w:highlight w:val="none"/>
          <w:lang w:bidi="ar"/>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）运输能力（2分）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物流/冷链运输能力，提供《道路运输经营许可证》（经营范围包含“货物专用运输（冷藏保鲜）”）得2分。若委托第三方物流/冷链运输团队的，需提供和第三方物流/冷链运输团队的委托协议，以及第三方物流/冷链运输团队的《道路运输经营许可证》（经营范围包含“货物专用运输（冷藏保鲜）”），得1分。</w:t>
      </w:r>
      <w:r>
        <w:rPr>
          <w:rFonts w:hint="eastAsia" w:ascii="宋体" w:hAnsi="宋体" w:eastAsia="宋体" w:cs="宋体"/>
          <w:color w:val="000000"/>
          <w:sz w:val="24"/>
          <w:szCs w:val="24"/>
          <w:highlight w:val="none"/>
          <w:lang w:val="en-US" w:eastAsia="zh-CN"/>
        </w:rPr>
        <w:t xml:space="preserve">承诺有明确的措施保证标本运输全流程信息安全（此为必达项），</w:t>
      </w:r>
      <w:r>
        <w:rPr>
          <w:rFonts w:hint="eastAsia" w:ascii="宋体" w:hAnsi="宋体" w:eastAsia="宋体" w:cs="宋体"/>
          <w:color w:val="000000"/>
          <w:sz w:val="24"/>
          <w:szCs w:val="24"/>
          <w:highlight w:val="none"/>
        </w:rPr>
        <w:t xml:space="preserve">投标时须提供证明材料</w:t>
      </w:r>
      <w:r>
        <w:rPr>
          <w:rFonts w:hint="eastAsia" w:ascii="宋体" w:hAnsi="宋体" w:eastAsia="宋体" w:cs="宋体"/>
          <w:color w:val="000000"/>
          <w:sz w:val="24"/>
          <w:szCs w:val="24"/>
          <w:highlight w:val="none"/>
          <w:lang w:val="en-US" w:eastAsia="zh-CN"/>
        </w:rPr>
        <w:t xml:space="preserve">及承诺书</w:t>
      </w:r>
      <w:r>
        <w:rPr>
          <w:rFonts w:hint="eastAsia" w:ascii="宋体" w:hAnsi="宋体" w:eastAsia="宋体" w:cs="宋体"/>
          <w:color w:val="000000"/>
          <w:sz w:val="24"/>
          <w:szCs w:val="24"/>
          <w:highlight w:val="none"/>
        </w:rPr>
        <w:t xml:space="preserve">扫描上传至投标系统中并加盖公章，不提供或提供不全</w:t>
      </w:r>
      <w:r>
        <w:rPr>
          <w:rFonts w:hint="eastAsia" w:ascii="宋体" w:hAnsi="宋体" w:eastAsia="宋体" w:cs="宋体"/>
          <w:color w:val="000000"/>
          <w:sz w:val="24"/>
          <w:szCs w:val="24"/>
          <w:highlight w:val="none"/>
        </w:rPr>
        <w:t xml:space="preserve">均不得分。</w:t>
      </w:r>
      <w:r>
        <w:rPr>
          <w:rFonts w:hint="eastAsia" w:ascii="宋体" w:hAnsi="宋体" w:eastAsia="宋体" w:cs="宋体"/>
          <w:color w:val="000000"/>
          <w:sz w:val="24"/>
          <w:szCs w:val="24"/>
          <w:highlight w:val="none"/>
          <w:lang w:val="en-US" w:eastAsia="zh-CN"/>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）实验室检测能力（</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rPr>
        <w:t xml:space="preserve">提供肾脏病理领域科研和技术创新成果，提供SCI 3篇及以上（包括文章、撰书、证书等）得3分，SCI 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3篇得2分，中文核心期刊最多得1分，其他及不提供者得0分。要求肾脏病理实验室病理医生实名参与，作者+机构名称，以文章为证。</w:t>
      </w:r>
      <w:r>
        <w:rPr>
          <w:rFonts w:hint="eastAsia" w:ascii="宋体" w:hAnsi="宋体" w:eastAsia="宋体" w:cs="宋体"/>
          <w:color w:val="000000"/>
          <w:sz w:val="24"/>
          <w:szCs w:val="24"/>
          <w:highlight w:val="none"/>
        </w:rPr>
        <w:t xml:space="preserve">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eastAsia="宋体"/>
          <w:color w:val="000000"/>
          <w:sz w:val="24"/>
          <w:highlight w:val="none"/>
        </w:rPr>
        <w:t xml:space="preserve">②</w:t>
      </w:r>
      <w:r>
        <w:rPr>
          <w:rFonts w:hint="eastAsia" w:ascii="宋体" w:hAnsi="宋体" w:eastAsia="宋体" w:cs="宋体"/>
          <w:color w:val="000000"/>
          <w:sz w:val="24"/>
          <w:szCs w:val="24"/>
          <w:highlight w:val="none"/>
        </w:rPr>
        <w:t xml:space="preserve">疑难、无需加做会诊的情况下，肾穿病理项目的电镜免疫荧光报告全部在收样后36小时内出具报告。符合得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rPr>
        <w:t xml:space="preserve">投标时提供相关</w:t>
      </w:r>
      <w:r>
        <w:rPr>
          <w:rFonts w:hint="eastAsia" w:ascii="宋体" w:hAnsi="宋体" w:eastAsia="宋体" w:cs="宋体"/>
          <w:color w:val="000000"/>
          <w:sz w:val="24"/>
          <w:szCs w:val="24"/>
          <w:highlight w:val="none"/>
          <w:lang w:val="en-US" w:eastAsia="zh-CN"/>
        </w:rPr>
        <w:t xml:space="preserve">证明材料</w:t>
      </w:r>
      <w:r>
        <w:rPr>
          <w:rFonts w:hint="eastAsia" w:ascii="宋体" w:hAnsi="宋体" w:eastAsia="宋体" w:cs="宋体"/>
          <w:color w:val="000000"/>
          <w:sz w:val="24"/>
          <w:szCs w:val="24"/>
          <w:highlight w:val="none"/>
          <w:lang w:bidi="ar"/>
        </w:rPr>
        <w:t xml:space="preserve">扫描件上传至投标系统中</w:t>
      </w:r>
      <w:r>
        <w:rPr>
          <w:rFonts w:hint="eastAsia" w:ascii="宋体" w:hAnsi="宋体" w:eastAsia="宋体" w:cs="宋体"/>
          <w:bCs/>
          <w:color w:val="000000"/>
          <w:sz w:val="24"/>
          <w:szCs w:val="24"/>
          <w:highlight w:val="none"/>
        </w:rPr>
        <w:t xml:space="preserve">并加盖公章</w:t>
      </w:r>
      <w:r>
        <w:rPr>
          <w:rFonts w:hint="eastAsia" w:ascii="宋体" w:hAnsi="宋体" w:eastAsia="宋体" w:cs="宋体"/>
          <w:color w:val="000000"/>
          <w:sz w:val="24"/>
          <w:szCs w:val="24"/>
          <w:highlight w:val="none"/>
        </w:rPr>
        <w:t xml:space="preserve">，不符合要求不得分。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eastAsia="宋体"/>
          <w:color w:val="000000"/>
          <w:sz w:val="24"/>
          <w:highlight w:val="none"/>
        </w:rPr>
        <w:t xml:space="preserve">③</w:t>
      </w:r>
      <w:r>
        <w:rPr>
          <w:rFonts w:hint="eastAsia" w:ascii="宋体" w:hAnsi="宋体" w:eastAsia="宋体" w:cs="宋体"/>
          <w:color w:val="000000"/>
          <w:sz w:val="24"/>
          <w:szCs w:val="24"/>
          <w:highlight w:val="none"/>
          <w:lang w:eastAsia="zh-CN"/>
        </w:rPr>
        <w:t xml:space="preserve">提供基于肾脏病理组织样本的疑难及罕见肾脏病诊断支持，包括质谱分型、免疫电镜、病原NGS等服务能力，以既往真实报告为参考。</w:t>
      </w:r>
      <w:r>
        <w:rPr>
          <w:rFonts w:hint="eastAsia" w:ascii="宋体" w:hAnsi="宋体" w:eastAsia="宋体" w:cs="宋体"/>
          <w:color w:val="000000"/>
          <w:sz w:val="24"/>
          <w:szCs w:val="24"/>
          <w:highlight w:val="none"/>
        </w:rPr>
        <w:t xml:space="preserve">符合得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分，不符合不得分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）服务承诺（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投标供应商承诺样品的采集、存储、转运及销毁应符合国家及行业的相关标准。承诺书格式自拟，不提供或提供不符合要求则不得分。</w:t>
      </w:r>
      <w:r>
        <w:rPr>
          <w:rFonts w:hint="eastAsia"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三、技术标（50分）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设备配备情况方案（7分）：投标供应商拟为本项目所投入服务的设备设施（包括但不仅限于荧光定量PCR平台、NGS测序平台等）</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2.</w:t>
      </w:r>
      <w:r>
        <w:rPr>
          <w:rFonts w:hint="eastAsia" w:ascii="宋体" w:hAnsi="宋体" w:eastAsia="宋体" w:cs="宋体"/>
          <w:color w:val="000000"/>
          <w:sz w:val="24"/>
          <w:szCs w:val="24"/>
          <w:highlight w:val="none"/>
        </w:rPr>
        <w:t xml:space="preserve">检测服务方案（7分）：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方案详细完整，针对性强，思路合理得7分；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3.</w:t>
      </w:r>
      <w:r>
        <w:rPr>
          <w:rFonts w:hint="eastAsia" w:ascii="宋体" w:hAnsi="宋体" w:eastAsia="宋体" w:cs="宋体"/>
          <w:color w:val="000000"/>
          <w:sz w:val="24"/>
          <w:szCs w:val="24"/>
          <w:highlight w:val="none"/>
        </w:rPr>
        <w:t xml:space="preserve">信息化服务方案（6分）：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4.</w:t>
      </w:r>
      <w:r>
        <w:rPr>
          <w:rFonts w:hint="eastAsia" w:ascii="宋体" w:hAnsi="宋体" w:eastAsia="宋体" w:cs="宋体"/>
          <w:color w:val="000000"/>
          <w:sz w:val="24"/>
          <w:szCs w:val="24"/>
          <w:highlight w:val="none"/>
        </w:rPr>
        <w:t xml:space="preserve">检测程序规范性保证措施（6分）：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5.</w:t>
      </w:r>
      <w:r>
        <w:rPr>
          <w:rFonts w:hint="eastAsia" w:ascii="宋体" w:hAnsi="宋体" w:eastAsia="宋体" w:cs="宋体"/>
          <w:color w:val="000000"/>
          <w:sz w:val="24"/>
          <w:szCs w:val="24"/>
          <w:highlight w:val="none"/>
        </w:rPr>
        <w:t xml:space="preserve">突发事件处理机制、预案、协调措施（6分）：包括突发事件（结果异议、报告丢失、标本丢失、医院急诊项目服务、提供特急标本优先加急特事特办服务等）处理机制、预案、协调措施等。内容详细可行、具有针对性、措施严谨；</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质量保障措施（6分）：包括但不仅限于投标人为保证服务质量所作的内控相关管理规定，以及为确保相关数据安全</w:t>
      </w:r>
      <w:r>
        <w:rPr>
          <w:rFonts w:hint="eastAsia" w:ascii="宋体" w:hAnsi="宋体" w:eastAsia="宋体" w:cs="宋体"/>
          <w:color w:val="000000"/>
          <w:sz w:val="24"/>
          <w:szCs w:val="24"/>
          <w:highlight w:val="none"/>
          <w:lang w:eastAsia="zh-CN"/>
        </w:rPr>
        <w:t xml:space="preserve">所做的</w:t>
      </w:r>
      <w:r>
        <w:rPr>
          <w:rFonts w:hint="eastAsia" w:ascii="宋体" w:hAnsi="宋体" w:eastAsia="宋体" w:cs="宋体"/>
          <w:color w:val="000000"/>
          <w:sz w:val="24"/>
          <w:szCs w:val="24"/>
          <w:highlight w:val="none"/>
        </w:rPr>
        <w:t xml:space="preserve">相关内控制度等，内容详细可行、具有针对性、措施严谨；</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措施详细完整，针对性强、可操作性强，思路合理得6分；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措施简单，针对性、可操作性一般，思路可行性不高得4分；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措施可操作性差，思路不尽合理得2分；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措施无可操作性，思路不合理或未提供执行方案，不得分。 </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培训方案（6分）：提供供应商为医院相关人员拟做的操作、科研、学术等相关培训实施方案，内容详细可行、具有针对性、措施严谨；</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方案详细完整，针对性强，思路合理得6分；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方案较详细完整，针对性较强，思路较合理得4分；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方案简单，针对性一般，思路可行性不高得2分；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方案无可操作性，思路不合理或未提供执行方案，不得分。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出具检测报告具体时间（6分）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出具检测报告时间迅速，时间安排与采购需求贴合度高且条理清晰的该条得6分，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出具检测报告时间较快且合理、时间安排基本满足采购需求且有逻辑性的得4分，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出具检测报告时间较慢，且时间安排存在瑕疵的得2分，</w:t>
      </w:r>
      <w:r>
        <w:rPr>
          <w:rFonts w:ascii="宋体" w:hAnsi="宋体" w:eastAsia="宋体" w:cs="宋体"/>
          <w:color w:val="000000"/>
          <w:sz w:val="24"/>
          <w:szCs w:val="24"/>
          <w:highlight w:val="none"/>
        </w:rPr>
      </w:r>
      <w:r/>
    </w:p>
    <w:p>
      <w:pPr>
        <w:pStyle w:val="992"/>
        <w:ind w:left="0" w:firstLine="480"/>
        <w:spacing w:after="0" w:line="360" w:lineRule="auto"/>
        <w:rPr>
          <w:rFonts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无检验方案或存在逻辑错误、前后矛盾，或存在违反现行相关规范的不得分</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47"/>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rPr>
          <w:rFonts w:ascii="宋体" w:hAnsi="宋体" w:eastAsia="宋体" w:cs="宋体"/>
          <w:bCs/>
          <w:color w:val="000000"/>
          <w:sz w:val="24"/>
          <w:szCs w:val="24"/>
          <w:highlight w:val="none"/>
        </w:rPr>
      </w:r>
      <w:r/>
    </w:p>
    <w:p>
      <w:pPr>
        <w:pStyle w:val="847"/>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47"/>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ascii="黑体" w:eastAsia="黑体"/>
          <w:bCs/>
          <w:color w:val="000000"/>
          <w:sz w:val="36"/>
          <w:szCs w:val="36"/>
          <w:highlight w:val="none"/>
        </w:rPr>
      </w:r>
      <w:r/>
    </w:p>
    <w:p>
      <w:pPr>
        <w:pStyle w:val="847"/>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7"/>
      <w:r/>
      <w:bookmarkEnd w:id="148"/>
      <w:r/>
      <w:bookmarkEnd w:id="149"/>
      <w:r>
        <w:rPr>
          <w:rFonts w:hint="eastAsia" w:ascii="黑体" w:eastAsia="黑体"/>
          <w:bCs/>
          <w:color w:val="000000"/>
          <w:sz w:val="36"/>
          <w:szCs w:val="36"/>
          <w:highlight w:val="none"/>
        </w:rPr>
        <w:t xml:space="preserve">投标文件内容与格式</w:t>
      </w:r>
      <w:r>
        <w:rPr>
          <w:rFonts w:ascii="黑体" w:eastAsia="黑体"/>
          <w:bCs/>
          <w:color w:val="000000"/>
          <w:sz w:val="36"/>
          <w:szCs w:val="36"/>
          <w:highlight w:val="none"/>
        </w:rPr>
      </w:r>
      <w:r/>
    </w:p>
    <w:p>
      <w:pPr>
        <w:pStyle w:val="1288"/>
        <w:ind w:firstLine="602"/>
        <w:spacing w:before="0" w:after="0"/>
        <w:rPr>
          <w:rFonts w:cs="Arial"/>
          <w:b/>
          <w:color w:val="000000"/>
          <w:sz w:val="30"/>
          <w:szCs w:val="30"/>
          <w:highlight w:val="none"/>
        </w:rPr>
      </w:pPr>
      <w:r/>
      <w:bookmarkStart w:id="151" w:name="_Hlt26671244"/>
      <w:r/>
      <w:bookmarkEnd w:id="151"/>
      <w:r/>
      <w:bookmarkStart w:id="152" w:name="_Hlt26955039"/>
      <w:r/>
      <w:bookmarkEnd w:id="152"/>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1288"/>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288"/>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1288"/>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2449" w:type="dxa"/>
            <w:vAlign w:val="center"/>
            <w:textDirection w:val="lrTb"/>
            <w:noWrap w:val="false"/>
          </w:tcPr>
          <w:p>
            <w:pPr>
              <w:pStyle w:val="1288"/>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ascii="宋体" w:hAnsi="宋体" w:cs="宋体"/>
                <w:color w:val="000000"/>
                <w:highlight w:val="none"/>
              </w:rPr>
            </w:r>
            <w:r/>
          </w:p>
        </w:tc>
        <w:tc>
          <w:tcPr>
            <w:tcW w:w="2449" w:type="dxa"/>
            <w:vAlign w:val="center"/>
            <w:vMerge w:val="restart"/>
            <w:textDirection w:val="lrTb"/>
            <w:noWrap w:val="false"/>
          </w:tcPr>
          <w:p>
            <w:pPr>
              <w:pStyle w:val="1288"/>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847"/>
              <w:spacing w:line="360" w:lineRule="auto"/>
              <w:tabs>
                <w:tab w:val="left" w:pos="420" w:leader="none"/>
                <w:tab w:val="left" w:pos="945" w:leader="none"/>
                <w:tab w:val="left" w:pos="1155" w:leader="none"/>
              </w:tabs>
              <w:rPr>
                <w:rFonts w:ascii="宋体" w:hAnsi="宋体" w:cs="宋体"/>
                <w:color w:val="000000"/>
                <w:highlight w:val="none"/>
              </w:rPr>
            </w:pP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具有与本企业签订的劳动合同或供应商为其缴纳的由相关部门出具的近</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个月中任意一个月份（不含投标当月）的社保缴费证明（新成立的企业若不满足</w:t>
            </w:r>
            <w:r>
              <w:rPr>
                <w:rFonts w:hint="eastAsia" w:ascii="宋体" w:hAnsi="宋体" w:eastAsia="宋体" w:cs="宋体"/>
                <w:bCs/>
                <w:color w:val="000000"/>
                <w:sz w:val="24"/>
                <w:highlight w:val="none"/>
              </w:rPr>
              <w:t xml:space="preserve">六</w:t>
            </w:r>
            <w:r>
              <w:rPr>
                <w:rFonts w:hint="eastAsia" w:ascii="宋体" w:hAnsi="宋体" w:cs="宋体"/>
                <w:bCs/>
                <w:color w:val="000000"/>
                <w:sz w:val="24"/>
                <w:highlight w:val="none"/>
              </w:rPr>
              <w:t xml:space="preserve">个月，提供成立之后</w:t>
            </w:r>
            <w:r>
              <w:rPr>
                <w:rFonts w:hint="eastAsia" w:ascii="宋体" w:hAnsi="宋体" w:eastAsia="宋体" w:cs="宋体"/>
                <w:bCs/>
                <w:color w:val="000000"/>
                <w:sz w:val="24"/>
                <w:highlight w:val="none"/>
              </w:rPr>
              <w:t xml:space="preserve">被授权人</w:t>
            </w:r>
            <w:r>
              <w:rPr>
                <w:rFonts w:hint="eastAsia" w:ascii="宋体" w:hAnsi="宋体" w:cs="宋体"/>
                <w:bCs/>
                <w:color w:val="000000"/>
                <w:sz w:val="24"/>
                <w:highlight w:val="none"/>
              </w:rPr>
              <w:t xml:space="preserve">相关月份的社保缴费证明）；</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003"/>
                <w:rFonts w:hint="eastAsia" w:ascii="宋体" w:hAnsi="宋体" w:cs="宋体"/>
                <w:color w:val="000000"/>
                <w:highlight w:val="none"/>
              </w:rPr>
              <w:t xml:space="preserve">。</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2449" w:type="dxa"/>
            <w:vAlign w:val="center"/>
            <w:vMerge w:val="continue"/>
            <w:textDirection w:val="lrTb"/>
            <w:noWrap w:val="false"/>
          </w:tcPr>
          <w:p>
            <w:pPr>
              <w:pStyle w:val="1288"/>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1288"/>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6104" w:type="dxa"/>
            <w:vAlign w:val="center"/>
            <w:textDirection w:val="lrTb"/>
            <w:noWrap w:val="false"/>
          </w:tcPr>
          <w:p>
            <w:pPr>
              <w:pStyle w:val="1288"/>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ascii="宋体" w:hAnsi="宋体" w:cs="宋体"/>
                <w:color w:val="000000"/>
                <w:highlight w:val="none"/>
              </w:rPr>
            </w:r>
            <w:r/>
          </w:p>
        </w:tc>
        <w:tc>
          <w:tcPr>
            <w:tcW w:w="2449" w:type="dxa"/>
            <w:vAlign w:val="center"/>
            <w:textDirection w:val="lrTb"/>
            <w:noWrap w:val="false"/>
          </w:tcPr>
          <w:p>
            <w:pPr>
              <w:pStyle w:val="1288"/>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1288"/>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tcW w:w="6104" w:type="dxa"/>
            <w:vAlign w:val="center"/>
            <w:textDirection w:val="lrTb"/>
            <w:noWrap w:val="false"/>
          </w:tcPr>
          <w:p>
            <w:pPr>
              <w:pStyle w:val="1288"/>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ascii="宋体" w:hAnsi="宋体" w:cs="宋体"/>
                <w:bCs/>
                <w:color w:val="000000"/>
                <w:highlight w:val="none"/>
              </w:rPr>
            </w:r>
            <w:r/>
          </w:p>
        </w:tc>
        <w:tc>
          <w:tcPr>
            <w:tcW w:w="2449" w:type="dxa"/>
            <w:vAlign w:val="center"/>
            <w:textDirection w:val="lrTb"/>
            <w:noWrap w:val="false"/>
          </w:tcPr>
          <w:p>
            <w:pPr>
              <w:pStyle w:val="1288"/>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r>
        <w:trPr>
          <w:trHeight w:val="632"/>
        </w:trPr>
        <w:tc>
          <w:tcPr>
            <w:tcW w:w="719" w:type="dxa"/>
            <w:vAlign w:val="center"/>
            <w:textDirection w:val="lrTb"/>
            <w:noWrap w:val="false"/>
          </w:tcPr>
          <w:p>
            <w:pPr>
              <w:pStyle w:val="1288"/>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rPr>
                <w:rFonts w:ascii="宋体" w:hAnsi="宋体" w:cs="宋体"/>
                <w:bCs/>
                <w:color w:val="000000"/>
                <w:highlight w:val="none"/>
              </w:rPr>
            </w:r>
            <w:r/>
          </w:p>
        </w:tc>
        <w:tc>
          <w:tcPr>
            <w:gridSpan w:val="2"/>
            <w:tcW w:w="8553" w:type="dxa"/>
            <w:vAlign w:val="center"/>
            <w:textDirection w:val="lrTb"/>
            <w:noWrap w:val="false"/>
          </w:tcPr>
          <w:p>
            <w:pPr>
              <w:pStyle w:val="1288"/>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ascii="宋体" w:hAnsi="宋体" w:cs="宋体"/>
                <w:color w:val="000000"/>
                <w:highlight w:val="none"/>
              </w:rPr>
            </w:r>
            <w:r/>
          </w:p>
        </w:tc>
      </w:tr>
    </w:tbl>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847"/>
        <w:numPr>
          <w:ilvl w:val="0"/>
          <w:numId w:val="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lang w:val="en-US" w:eastAsia="zh-CN"/>
        </w:rPr>
        <w:t xml:space="preserve">其中第3项</w:t>
      </w:r>
      <w:r>
        <w:rPr>
          <w:rFonts w:hint="eastAsia" w:ascii="宋体" w:hAnsi="宋体"/>
          <w:color w:val="000000"/>
          <w:sz w:val="24"/>
          <w:szCs w:val="24"/>
          <w:highlight w:val="none"/>
        </w:rPr>
        <w:t xml:space="preserve">若</w:t>
      </w:r>
      <w:r>
        <w:rPr>
          <w:rFonts w:hint="eastAsia" w:ascii="宋体" w:hAnsi="宋体" w:cs="宋体"/>
          <w:bCs/>
          <w:color w:val="000000"/>
          <w:highlight w:val="none"/>
        </w:rPr>
        <w:t xml:space="preserve">被授权人</w:t>
      </w:r>
      <w:r>
        <w:rPr>
          <w:rFonts w:hint="eastAsia" w:ascii="宋体" w:hAnsi="宋体" w:cs="宋体"/>
          <w:bCs/>
          <w:color w:val="000000"/>
          <w:highlight w:val="none"/>
          <w:lang w:val="en-US" w:eastAsia="zh-CN"/>
        </w:rPr>
        <w:t xml:space="preserve">为</w:t>
      </w:r>
      <w:r>
        <w:rPr>
          <w:rFonts w:hint="eastAsia" w:ascii="宋体" w:hAnsi="宋体"/>
          <w:color w:val="000000"/>
          <w:sz w:val="24"/>
          <w:szCs w:val="24"/>
          <w:highlight w:val="none"/>
        </w:rPr>
        <w:t xml:space="preserve">法定代表人或负责人或经营者（法定代表人或负责人或经营者姓名必须与营业执照上的一致）亲自参加投标不需提供有关法定代表人的劳动合同和社保证明，只需提供身份证明与营业执照即可。</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847"/>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847"/>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rPr>
          <w:rFonts w:ascii="宋体" w:hAnsi="宋体"/>
          <w:color w:val="000000"/>
          <w:sz w:val="24"/>
          <w:szCs w:val="24"/>
          <w:highlight w:val="none"/>
        </w:rPr>
      </w:r>
      <w:r/>
    </w:p>
    <w:p>
      <w:pPr>
        <w:pStyle w:val="847"/>
        <w:numPr>
          <w:ilvl w:val="0"/>
          <w:numId w:val="15"/>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847"/>
        <w:ind w:firstLine="480"/>
        <w:spacing w:line="360" w:lineRule="auto"/>
        <w:rPr>
          <w:b/>
          <w:bCs/>
          <w:color w:val="000000"/>
          <w:sz w:val="28"/>
          <w:szCs w:val="28"/>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rPr>
          <w:b/>
          <w:bCs/>
          <w:color w:val="000000"/>
          <w:sz w:val="28"/>
          <w:szCs w:val="28"/>
          <w:highlight w:val="none"/>
        </w:rPr>
      </w:r>
      <w:r/>
    </w:p>
    <w:p>
      <w:pPr>
        <w:pStyle w:val="847"/>
        <w:spacing w:line="360" w:lineRule="auto"/>
        <w:rPr>
          <w:b/>
          <w:bCs/>
          <w:color w:val="000000"/>
          <w:sz w:val="28"/>
          <w:szCs w:val="28"/>
          <w:highlight w:val="none"/>
        </w:rPr>
      </w:pPr>
      <w:r>
        <w:rPr>
          <w:rFonts w:hint="eastAsia"/>
          <w:b/>
          <w:color w:val="000000"/>
          <w:sz w:val="28"/>
          <w:szCs w:val="28"/>
          <w:highlight w:val="none"/>
        </w:rPr>
        <w:t xml:space="preserve">二、符合性证明文件及其他证明文件</w:t>
      </w:r>
      <w:r>
        <w:rPr>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88"/>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88"/>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88"/>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8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8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88"/>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8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8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88"/>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88"/>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8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textDirection w:val="lrTb"/>
            <w:noWrap w:val="false"/>
          </w:tcPr>
          <w:p>
            <w:pPr>
              <w:pStyle w:val="1288"/>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88"/>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28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88"/>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88"/>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288"/>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88"/>
              <w:ind w:firstLine="0"/>
              <w:jc w:val="center"/>
              <w:spacing w:before="0" w:after="0" w:line="240" w:lineRule="auto"/>
              <w:rPr>
                <w:rFonts w:cs="Arial"/>
                <w:color w:val="000000"/>
                <w:highlight w:val="none"/>
              </w:rPr>
            </w:pPr>
            <w:r>
              <w:rPr>
                <w:rFonts w:cs="Arial"/>
                <w:color w:val="000000"/>
                <w:highlight w:val="none"/>
              </w:rPr>
            </w:r>
            <w:r/>
          </w:p>
        </w:tc>
      </w:tr>
    </w:tbl>
    <w:p>
      <w:pPr>
        <w:pStyle w:val="847"/>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847"/>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847"/>
        <w:numPr>
          <w:ilvl w:val="0"/>
          <w:numId w:val="16"/>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rPr>
          <w:rFonts w:ascii="宋体" w:hAnsi="宋体" w:cs="宋体"/>
          <w:color w:val="000000"/>
          <w:sz w:val="24"/>
          <w:szCs w:val="24"/>
          <w:highlight w:val="none"/>
        </w:rPr>
      </w:r>
      <w:r/>
    </w:p>
    <w:p>
      <w:pPr>
        <w:pStyle w:val="847"/>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rPr>
          <w:rFonts w:cs="Arial"/>
          <w:b/>
          <w:color w:val="000000"/>
          <w:sz w:val="30"/>
          <w:szCs w:val="30"/>
          <w:highlight w:val="none"/>
        </w:rPr>
      </w:r>
      <w:r/>
    </w:p>
    <w:p>
      <w:pPr>
        <w:pStyle w:val="1288"/>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847"/>
        <w:jc w:val="left"/>
        <w:spacing w:line="360" w:lineRule="auto"/>
        <w:widowControl/>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spacing w:line="360" w:lineRule="auto"/>
        <w:rPr>
          <w:rFonts w:ascii="Arial" w:hAnsi="Arial"/>
          <w:bCs/>
          <w:color w:val="000000"/>
          <w:sz w:val="32"/>
          <w:highlight w:val="none"/>
        </w:rPr>
      </w:pPr>
      <w:r>
        <w:rPr>
          <w:rFonts w:ascii="Arial" w:hAnsi="Arial"/>
          <w:bCs/>
          <w:color w:val="000000"/>
          <w:sz w:val="32"/>
          <w:highlight w:val="none"/>
        </w:rPr>
      </w:r>
      <w:r/>
    </w:p>
    <w:p>
      <w:pPr>
        <w:pStyle w:val="847"/>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投</w:t>
      </w:r>
      <w:r>
        <w:rPr>
          <w:rFonts w:ascii="Arial" w:hAnsi="Arial"/>
          <w:bCs/>
          <w:color w:val="000000"/>
          <w:sz w:val="52"/>
          <w:szCs w:val="52"/>
          <w:highlight w:val="none"/>
        </w:rPr>
      </w:r>
      <w:r/>
    </w:p>
    <w:p>
      <w:pPr>
        <w:pStyle w:val="847"/>
        <w:jc w:val="center"/>
        <w:spacing w:line="360" w:lineRule="auto"/>
        <w:rPr>
          <w:rFonts w:ascii="Arial" w:hAnsi="Arial"/>
          <w:bCs/>
          <w:color w:val="000000"/>
          <w:sz w:val="72"/>
          <w:highlight w:val="none"/>
        </w:rPr>
      </w:pPr>
      <w:r>
        <w:rPr>
          <w:rFonts w:ascii="Arial" w:hAnsi="Arial"/>
          <w:bCs/>
          <w:color w:val="000000"/>
          <w:sz w:val="72"/>
          <w:highlight w:val="none"/>
        </w:rPr>
      </w:r>
      <w:r/>
    </w:p>
    <w:p>
      <w:pPr>
        <w:pStyle w:val="847"/>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标</w:t>
      </w:r>
      <w:r>
        <w:rPr>
          <w:rFonts w:ascii="Arial" w:hAnsi="Arial"/>
          <w:bCs/>
          <w:color w:val="000000"/>
          <w:sz w:val="52"/>
          <w:szCs w:val="52"/>
          <w:highlight w:val="none"/>
        </w:rPr>
      </w:r>
      <w:r/>
    </w:p>
    <w:p>
      <w:pPr>
        <w:pStyle w:val="847"/>
        <w:jc w:val="center"/>
        <w:spacing w:line="360" w:lineRule="auto"/>
        <w:rPr>
          <w:rFonts w:ascii="Arial" w:hAnsi="Arial"/>
          <w:bCs/>
          <w:color w:val="000000"/>
          <w:sz w:val="72"/>
          <w:highlight w:val="none"/>
        </w:rPr>
      </w:pPr>
      <w:r>
        <w:rPr>
          <w:rFonts w:ascii="Arial" w:hAnsi="Arial"/>
          <w:bCs/>
          <w:color w:val="000000"/>
          <w:sz w:val="72"/>
          <w:highlight w:val="none"/>
        </w:rPr>
      </w:r>
      <w:r/>
    </w:p>
    <w:p>
      <w:pPr>
        <w:pStyle w:val="847"/>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文</w:t>
      </w:r>
      <w:r>
        <w:rPr>
          <w:rFonts w:ascii="Arial" w:hAnsi="Arial"/>
          <w:bCs/>
          <w:color w:val="000000"/>
          <w:sz w:val="52"/>
          <w:szCs w:val="52"/>
          <w:highlight w:val="none"/>
        </w:rPr>
      </w:r>
      <w:r/>
    </w:p>
    <w:p>
      <w:pPr>
        <w:pStyle w:val="847"/>
        <w:jc w:val="center"/>
        <w:spacing w:line="360" w:lineRule="auto"/>
        <w:rPr>
          <w:rFonts w:ascii="Arial" w:hAnsi="Arial"/>
          <w:bCs/>
          <w:color w:val="000000"/>
          <w:sz w:val="52"/>
          <w:szCs w:val="52"/>
          <w:highlight w:val="none"/>
        </w:rPr>
      </w:pPr>
      <w:r>
        <w:rPr>
          <w:rFonts w:ascii="Arial" w:hAnsi="Arial"/>
          <w:bCs/>
          <w:color w:val="000000"/>
          <w:sz w:val="52"/>
          <w:szCs w:val="52"/>
          <w:highlight w:val="none"/>
        </w:rPr>
      </w:r>
      <w:r/>
    </w:p>
    <w:p>
      <w:pPr>
        <w:pStyle w:val="847"/>
        <w:jc w:val="center"/>
        <w:spacing w:line="360" w:lineRule="auto"/>
        <w:rPr>
          <w:rFonts w:ascii="Arial" w:hAnsi="Arial"/>
          <w:bCs/>
          <w:color w:val="000000"/>
          <w:sz w:val="52"/>
          <w:szCs w:val="52"/>
          <w:highlight w:val="none"/>
        </w:rPr>
      </w:pPr>
      <w:r>
        <w:rPr>
          <w:rFonts w:hint="eastAsia" w:ascii="Arial" w:hAnsi="Arial"/>
          <w:bCs/>
          <w:color w:val="000000"/>
          <w:sz w:val="52"/>
          <w:szCs w:val="52"/>
          <w:highlight w:val="none"/>
        </w:rPr>
        <w:t xml:space="preserve">件</w:t>
      </w:r>
      <w:r>
        <w:rPr>
          <w:rFonts w:ascii="Arial" w:hAnsi="Arial"/>
          <w:bCs/>
          <w:color w:val="000000"/>
          <w:sz w:val="52"/>
          <w:szCs w:val="52"/>
          <w:highlight w:val="none"/>
        </w:rPr>
      </w:r>
      <w:r/>
    </w:p>
    <w:p>
      <w:pPr>
        <w:pStyle w:val="847"/>
        <w:spacing w:line="360" w:lineRule="auto"/>
        <w:rPr>
          <w:rFonts w:ascii="Arial" w:hAnsi="Arial"/>
          <w:bCs/>
          <w:color w:val="000000"/>
          <w:sz w:val="28"/>
          <w:highlight w:val="none"/>
        </w:rPr>
      </w:pPr>
      <w:r>
        <w:rPr>
          <w:rFonts w:ascii="Arial" w:hAnsi="Arial"/>
          <w:bCs/>
          <w:color w:val="000000"/>
          <w:sz w:val="28"/>
          <w:highlight w:val="none"/>
        </w:rPr>
      </w:r>
      <w:r/>
    </w:p>
    <w:p>
      <w:pPr>
        <w:pStyle w:val="847"/>
        <w:ind w:firstLine="2715"/>
        <w:spacing w:line="360" w:lineRule="auto"/>
        <w:rPr>
          <w:rFonts w:ascii="Arial" w:hAnsi="Arial"/>
          <w:bCs/>
          <w:color w:val="000000"/>
          <w:sz w:val="28"/>
          <w:szCs w:val="28"/>
          <w:highlight w:val="none"/>
        </w:rPr>
      </w:pPr>
      <w:r/>
      <w:bookmarkStart w:id="153" w:name="_Hlk165208193"/>
      <w:r>
        <w:rPr>
          <w:rFonts w:hint="eastAsia" w:ascii="Arial" w:hAnsi="Arial"/>
          <w:bCs/>
          <w:color w:val="000000"/>
          <w:sz w:val="28"/>
          <w:szCs w:val="28"/>
          <w:highlight w:val="none"/>
        </w:rPr>
        <w:t xml:space="preserve">采购项目编号： </w:t>
      </w:r>
      <w:r>
        <w:rPr>
          <w:rFonts w:ascii="Arial" w:hAnsi="Arial"/>
          <w:bCs/>
          <w:color w:val="000000"/>
          <w:sz w:val="28"/>
          <w:szCs w:val="28"/>
          <w:highlight w:val="none"/>
        </w:rPr>
      </w:r>
      <w:r/>
    </w:p>
    <w:p>
      <w:pPr>
        <w:pStyle w:val="847"/>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采购项目名称： </w:t>
      </w:r>
      <w:r>
        <w:rPr>
          <w:rFonts w:ascii="Arial" w:hAnsi="Arial"/>
          <w:bCs/>
          <w:color w:val="000000"/>
          <w:sz w:val="28"/>
          <w:szCs w:val="28"/>
          <w:highlight w:val="none"/>
        </w:rPr>
      </w:r>
      <w:r/>
    </w:p>
    <w:p>
      <w:pPr>
        <w:pStyle w:val="847"/>
        <w:ind w:firstLine="2703"/>
        <w:spacing w:line="360" w:lineRule="auto"/>
        <w:rPr>
          <w:rFonts w:ascii="Arial" w:hAnsi="Arial"/>
          <w:bCs/>
          <w:color w:val="000000"/>
          <w:sz w:val="28"/>
          <w:szCs w:val="28"/>
          <w:highlight w:val="none"/>
        </w:rPr>
      </w:pPr>
      <w:r>
        <w:rPr>
          <w:rFonts w:hint="eastAsia" w:ascii="Arial" w:hAnsi="Arial"/>
          <w:bCs/>
          <w:color w:val="000000"/>
          <w:sz w:val="28"/>
          <w:szCs w:val="28"/>
          <w:highlight w:val="none"/>
        </w:rPr>
        <w:t xml:space="preserve">投标人： </w:t>
      </w:r>
      <w:r>
        <w:rPr>
          <w:rFonts w:ascii="Arial" w:hAnsi="Arial"/>
          <w:bCs/>
          <w:color w:val="000000"/>
          <w:sz w:val="28"/>
          <w:szCs w:val="28"/>
          <w:highlight w:val="none"/>
        </w:rPr>
      </w:r>
      <w:r/>
    </w:p>
    <w:p>
      <w:pPr>
        <w:pStyle w:val="847"/>
        <w:jc w:val="center"/>
        <w:spacing w:line="360" w:lineRule="auto"/>
        <w:rPr>
          <w:rFonts w:ascii="Arial" w:hAnsi="Arial"/>
          <w:bCs/>
          <w:color w:val="000000"/>
          <w:sz w:val="36"/>
          <w:szCs w:val="36"/>
          <w:highlight w:val="none"/>
        </w:rPr>
      </w:pPr>
      <w:r>
        <w:rPr>
          <w:rFonts w:ascii="Arial" w:hAnsi="Arial"/>
          <w:bCs/>
          <w:color w:val="000000"/>
          <w:sz w:val="36"/>
          <w:szCs w:val="36"/>
          <w:highlight w:val="none"/>
        </w:rPr>
      </w:r>
      <w:r/>
    </w:p>
    <w:p>
      <w:pPr>
        <w:pStyle w:val="847"/>
        <w:jc w:val="center"/>
        <w:spacing w:line="360" w:lineRule="auto"/>
        <w:rPr>
          <w:rFonts w:ascii="Arial" w:hAnsi="Arial"/>
          <w:bCs/>
          <w:color w:val="000000"/>
          <w:sz w:val="40"/>
          <w:szCs w:val="40"/>
          <w:highlight w:val="none"/>
        </w:rPr>
      </w:pPr>
      <w:r>
        <w:rPr>
          <w:rFonts w:ascii="Arial" w:hAnsi="Arial"/>
          <w:bCs/>
          <w:color w:val="000000"/>
          <w:sz w:val="40"/>
          <w:szCs w:val="40"/>
          <w:highlight w:val="none"/>
        </w:rPr>
      </w:r>
      <w:r/>
    </w:p>
    <w:p>
      <w:pPr>
        <w:pStyle w:val="847"/>
        <w:jc w:val="center"/>
        <w:spacing w:line="360" w:lineRule="auto"/>
        <w:rPr>
          <w:rFonts w:ascii="Arial" w:hAnsi="Arial"/>
          <w:bCs/>
          <w:color w:val="000000"/>
          <w:sz w:val="28"/>
          <w:szCs w:val="28"/>
          <w:highlight w:val="none"/>
        </w:rPr>
        <w:outlineLvl w:val="0"/>
      </w:pPr>
      <w:r>
        <w:rPr>
          <w:rFonts w:hint="eastAsia" w:ascii="Arial" w:hAnsi="Arial"/>
          <w:bCs/>
          <w:color w:val="000000"/>
          <w:sz w:val="28"/>
          <w:szCs w:val="28"/>
          <w:highlight w:val="none"/>
        </w:rPr>
        <w:t xml:space="preserve">20   年   月</w:t>
      </w:r>
      <w:bookmarkEnd w:id="153"/>
      <w:r>
        <w:rPr>
          <w:rFonts w:ascii="Arial" w:hAnsi="Arial"/>
          <w:bCs/>
          <w:color w:val="000000"/>
          <w:sz w:val="28"/>
          <w:szCs w:val="28"/>
          <w:highlight w:val="none"/>
        </w:rPr>
      </w:r>
      <w:r/>
    </w:p>
    <w:p>
      <w:pPr>
        <w:pStyle w:val="847"/>
        <w:spacing w:line="360" w:lineRule="auto"/>
        <w:rPr>
          <w:rFonts w:ascii="Arial" w:hAnsi="Arial"/>
          <w:bCs/>
          <w:color w:val="000000"/>
          <w:sz w:val="24"/>
          <w:szCs w:val="24"/>
          <w:highlight w:val="none"/>
        </w:rPr>
        <w:outlineLvl w:val="0"/>
      </w:pPr>
      <w:r>
        <w:rPr>
          <w:rFonts w:ascii="Arial" w:hAnsi="Arial"/>
          <w:bCs/>
          <w:color w:val="000000"/>
          <w:sz w:val="24"/>
          <w:szCs w:val="24"/>
          <w:highlight w:val="none"/>
        </w:rPr>
      </w:r>
      <w:r/>
    </w:p>
    <w:p>
      <w:pPr>
        <w:pStyle w:val="847"/>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pStyle w:val="847"/>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pStyle w:val="847"/>
        <w:spacing w:line="360" w:lineRule="auto"/>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二、授权委托书（给定格式）：</w:t>
      </w:r>
      <w:r>
        <w:rPr>
          <w:rFonts w:ascii="宋体" w:hAnsi="宋体" w:cs="宋体"/>
          <w:b/>
          <w:bCs/>
          <w:color w:val="000000"/>
          <w:sz w:val="28"/>
          <w:szCs w:val="28"/>
          <w:highlight w:val="none"/>
        </w:rPr>
      </w:r>
      <w:r/>
    </w:p>
    <w:p>
      <w:pPr>
        <w:pStyle w:val="84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47"/>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1287"/>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rPr>
        <w:t xml:space="preserve">项目，兹授权：</w:t>
      </w:r>
      <w:r>
        <w:rPr>
          <w:rFonts w:ascii="宋体" w:hAnsi="宋体" w:cs="宋体"/>
          <w:color w:val="000000"/>
          <w:sz w:val="24"/>
          <w:szCs w:val="24"/>
          <w:highlight w:val="none"/>
        </w:rPr>
      </w:r>
      <w:r/>
    </w:p>
    <w:p>
      <w:pPr>
        <w:pStyle w:val="1287"/>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87"/>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287"/>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rPr>
          <w:rFonts w:ascii="宋体" w:hAnsi="宋体" w:cs="宋体"/>
          <w:color w:val="000000"/>
          <w:sz w:val="24"/>
          <w:szCs w:val="24"/>
          <w:highlight w:val="none"/>
        </w:rPr>
      </w:r>
      <w:r/>
    </w:p>
    <w:p>
      <w:pPr>
        <w:pStyle w:val="1287"/>
        <w:ind w:firstLine="480"/>
        <w:spacing w:line="360" w:lineRule="auto"/>
        <w:tabs>
          <w:tab w:val="left" w:pos="360" w:leader="none"/>
        </w:tabs>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rPr>
          <w:rFonts w:ascii="宋体" w:hAnsi="宋体" w:cs="宋体"/>
          <w:bCs/>
          <w:color w:val="000000"/>
          <w:sz w:val="24"/>
          <w:szCs w:val="24"/>
          <w:highlight w:val="none"/>
        </w:rPr>
      </w:r>
      <w:r/>
    </w:p>
    <w:p>
      <w:pPr>
        <w:pStyle w:val="1287"/>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rPr>
          <w:rFonts w:ascii="宋体" w:hAnsi="宋体" w:cs="宋体"/>
          <w:color w:val="000000"/>
          <w:sz w:val="24"/>
          <w:szCs w:val="24"/>
          <w:highlight w:val="none"/>
        </w:rPr>
      </w:r>
      <w:r/>
    </w:p>
    <w:p>
      <w:pPr>
        <w:pStyle w:val="1287"/>
        <w:ind w:firstLine="0"/>
        <w:spacing w:line="360" w:lineRule="auto"/>
        <w:tabs>
          <w:tab w:val="left" w:pos="360" w:leader="none"/>
        </w:tabs>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1287"/>
        <w:ind w:firstLine="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1287"/>
        <w:ind w:firstLine="0"/>
        <w:spacing w:line="360" w:lineRule="auto"/>
        <w:tabs>
          <w:tab w:val="left" w:pos="360" w:leader="none"/>
        </w:tabs>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rPr>
          <w:rFonts w:ascii="宋体" w:hAnsi="宋体" w:cs="宋体"/>
          <w:color w:val="000000"/>
          <w:sz w:val="24"/>
          <w:szCs w:val="24"/>
          <w:highlight w:val="none"/>
        </w:rPr>
      </w:r>
      <w:r/>
    </w:p>
    <w:p>
      <w:pPr>
        <w:pStyle w:val="1287"/>
        <w:ind w:firstLine="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ascii="宋体" w:hAnsi="宋体" w:cs="宋体"/>
          <w:color w:val="000000"/>
          <w:sz w:val="24"/>
          <w:szCs w:val="24"/>
          <w:highlight w:val="none"/>
        </w:rPr>
      </w:r>
      <w:r/>
    </w:p>
    <w:p>
      <w:pPr>
        <w:pStyle w:val="1287"/>
        <w:numPr>
          <w:ilvl w:val="0"/>
          <w:numId w:val="17"/>
        </w:numPr>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若投标人为事业单位或其他组织或分支机构，则法定代表人处的签字人可为单位负责人。</w:t>
      </w:r>
      <w:r>
        <w:rPr>
          <w:rFonts w:ascii="宋体" w:hAnsi="宋体" w:cs="宋体"/>
          <w:color w:val="000000"/>
          <w:sz w:val="24"/>
          <w:szCs w:val="24"/>
          <w:highlight w:val="none"/>
        </w:rPr>
      </w:r>
      <w:r/>
    </w:p>
    <w:p>
      <w:pPr>
        <w:pStyle w:val="1287"/>
        <w:numPr>
          <w:ilvl w:val="0"/>
          <w:numId w:val="17"/>
        </w:numPr>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rPr>
          <w:rFonts w:ascii="宋体" w:hAnsi="宋体" w:cs="宋体"/>
          <w:color w:val="000000"/>
          <w:sz w:val="24"/>
          <w:szCs w:val="24"/>
          <w:highlight w:val="none"/>
        </w:rPr>
      </w:r>
      <w:r/>
    </w:p>
    <w:p>
      <w:pPr>
        <w:pStyle w:val="1287"/>
        <w:numPr>
          <w:ilvl w:val="0"/>
          <w:numId w:val="17"/>
        </w:numPr>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rPr>
          <w:rFonts w:ascii="宋体" w:hAnsi="宋体" w:cs="宋体"/>
          <w:color w:val="000000"/>
          <w:sz w:val="24"/>
          <w:szCs w:val="24"/>
          <w:highlight w:val="none"/>
        </w:rPr>
      </w:r>
      <w:r/>
    </w:p>
    <w:p>
      <w:pPr>
        <w:pStyle w:val="1287"/>
        <w:numPr>
          <w:ilvl w:val="0"/>
          <w:numId w:val="17"/>
        </w:numPr>
        <w:ind w:firstLine="480"/>
        <w:spacing w:line="360" w:lineRule="auto"/>
        <w:tabs>
          <w:tab w:val="left" w:pos="360" w:leader="none"/>
        </w:tabs>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可在中国大陆有效居留的许可证明。</w:t>
      </w:r>
      <w:r>
        <w:rPr>
          <w:rFonts w:ascii="宋体" w:hAnsi="宋体" w:cs="宋体"/>
          <w:color w:val="000000"/>
          <w:sz w:val="24"/>
          <w:szCs w:val="24"/>
          <w:highlight w:val="none"/>
        </w:rPr>
      </w:r>
      <w:r/>
    </w:p>
    <w:p>
      <w:pPr>
        <w:pStyle w:val="1287"/>
        <w:ind w:firstLine="0"/>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847"/>
        <w:jc w:val="center"/>
        <w:rPr>
          <w:rFonts w:ascii="黑体" w:eastAsia="黑体"/>
          <w:bCs/>
          <w:color w:val="000000"/>
          <w:sz w:val="28"/>
          <w:szCs w:val="28"/>
          <w:highlight w:val="none"/>
        </w:rPr>
        <w:outlineLvl w:val="0"/>
      </w:pPr>
      <w:r/>
      <w:bookmarkStart w:id="154" w:name="报价方关于资格的声明函（格式）"/>
      <w:r/>
      <w:bookmarkEnd w:id="154"/>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847"/>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847"/>
        <w:spacing w:line="480" w:lineRule="auto"/>
        <w:rPr>
          <w:rFonts w:ascii="宋体"/>
          <w:bCs/>
          <w:color w:val="000000"/>
          <w:sz w:val="24"/>
          <w:szCs w:val="24"/>
          <w:highlight w:val="none"/>
        </w:rPr>
      </w:pP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4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84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84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84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847"/>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847"/>
        <w:spacing w:line="480" w:lineRule="auto"/>
        <w:rPr>
          <w:rFonts w:ascii="宋体"/>
          <w:bCs/>
          <w:color w:val="000000"/>
          <w:sz w:val="24"/>
          <w:szCs w:val="24"/>
          <w:highlight w:val="none"/>
        </w:rPr>
      </w:pPr>
      <w:r>
        <w:rPr>
          <w:rFonts w:ascii="宋体"/>
          <w:bCs/>
          <w:color w:val="000000"/>
          <w:sz w:val="24"/>
          <w:szCs w:val="24"/>
          <w:highlight w:val="none"/>
        </w:rPr>
      </w:r>
      <w:r/>
    </w:p>
    <w:p>
      <w:pPr>
        <w:pStyle w:val="84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847"/>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rPr>
        <w:t xml:space="preserve"> </w:t>
      </w:r>
      <w:r>
        <w:rPr>
          <w:rFonts w:hAnsi="宋体" w:cs="宋体"/>
          <w:color w:val="000000"/>
          <w:sz w:val="24"/>
          <w:highlight w:val="none"/>
        </w:rPr>
      </w:r>
      <w:r/>
    </w:p>
    <w:p>
      <w:pPr>
        <w:pStyle w:val="847"/>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847"/>
        <w:spacing w:line="360" w:lineRule="auto"/>
        <w:rPr>
          <w:rFonts w:ascii="宋体" w:hAnsi="宋体" w:eastAsia="宋体" w:cs="宋体"/>
          <w:bCs/>
          <w:color w:val="000000"/>
          <w:highlight w:val="none"/>
        </w:rPr>
      </w:pPr>
      <w:r>
        <w:rPr>
          <w:rFonts w:ascii="宋体" w:hAnsi="宋体" w:eastAsia="宋体" w:cs="宋体"/>
          <w:bCs/>
          <w:color w:val="000000"/>
          <w:highlight w:val="none"/>
        </w:rPr>
      </w:r>
      <w:r/>
    </w:p>
    <w:p>
      <w:pPr>
        <w:pStyle w:val="847"/>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847"/>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47"/>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企业名称（签章）：</w:t>
      </w:r>
      <w:r>
        <w:rPr>
          <w:rFonts w:ascii="宋体" w:hAnsi="宋体"/>
          <w:bCs/>
          <w:color w:val="000000"/>
          <w:sz w:val="24"/>
          <w:szCs w:val="24"/>
          <w:highlight w:val="none"/>
        </w:rPr>
      </w:r>
      <w:r/>
    </w:p>
    <w:p>
      <w:pPr>
        <w:pStyle w:val="847"/>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47"/>
        <w:ind w:firstLine="420"/>
        <w:spacing w:line="360" w:lineRule="auto"/>
        <w:rPr>
          <w:color w:val="000000"/>
          <w:highlight w:val="none"/>
        </w:rPr>
      </w:pPr>
      <w:r>
        <w:rPr>
          <w:color w:val="000000"/>
          <w:highlight w:val="none"/>
        </w:rPr>
      </w:r>
      <w:r/>
    </w:p>
    <w:p>
      <w:pPr>
        <w:pStyle w:val="847"/>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847"/>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847"/>
        <w:ind w:firstLine="420"/>
        <w:spacing w:line="360" w:lineRule="auto"/>
        <w:rPr>
          <w:color w:val="000000"/>
          <w:highlight w:val="none"/>
        </w:rPr>
      </w:pPr>
      <w:r>
        <w:rPr>
          <w:rFonts w:hint="eastAsia"/>
          <w:color w:val="000000"/>
          <w:highlight w:val="none"/>
        </w:rPr>
        <w:t xml:space="preserve">（3）中标人的《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847"/>
        <w:spacing w:line="360" w:lineRule="auto"/>
        <w:rPr>
          <w:b/>
          <w:bCs/>
          <w:color w:val="000000"/>
          <w:sz w:val="28"/>
          <w:szCs w:val="28"/>
          <w:highlight w:val="none"/>
        </w:rPr>
      </w:pPr>
      <w:r>
        <w:rPr>
          <w:b/>
          <w:bCs/>
          <w:color w:val="000000"/>
          <w:sz w:val="28"/>
          <w:szCs w:val="28"/>
          <w:highlight w:val="none"/>
        </w:rPr>
      </w:r>
      <w:r/>
    </w:p>
    <w:p>
      <w:pPr>
        <w:pStyle w:val="847"/>
        <w:spacing w:line="360" w:lineRule="auto"/>
        <w:rPr>
          <w:b/>
          <w:bCs/>
          <w:color w:val="000000"/>
          <w:sz w:val="28"/>
          <w:szCs w:val="28"/>
          <w:highlight w:val="none"/>
        </w:rPr>
      </w:pPr>
      <w:r>
        <w:rPr>
          <w:b/>
          <w:bCs/>
          <w:color w:val="000000"/>
          <w:sz w:val="28"/>
          <w:szCs w:val="28"/>
          <w:highlight w:val="none"/>
        </w:rPr>
      </w:r>
      <w:r/>
    </w:p>
    <w:p>
      <w:pPr>
        <w:pStyle w:val="847"/>
        <w:spacing w:line="360" w:lineRule="auto"/>
        <w:rPr>
          <w:b/>
          <w:bCs/>
          <w:color w:val="000000"/>
          <w:sz w:val="28"/>
          <w:szCs w:val="28"/>
          <w:highlight w:val="none"/>
        </w:rPr>
      </w:pPr>
      <w:r>
        <w:rPr>
          <w:b/>
          <w:bCs/>
          <w:color w:val="000000"/>
          <w:sz w:val="28"/>
          <w:szCs w:val="28"/>
          <w:highlight w:val="none"/>
        </w:rPr>
      </w:r>
      <w:r/>
    </w:p>
    <w:p>
      <w:pPr>
        <w:pStyle w:val="847"/>
        <w:spacing w:line="360" w:lineRule="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847"/>
        <w:spacing w:line="360" w:lineRule="auto"/>
        <w:rPr>
          <w:rFonts w:ascii="宋体" w:hAnsi="宋体" w:cs="宋体"/>
          <w:b/>
          <w:bCs/>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bCs/>
          <w:color w:val="000000"/>
          <w:sz w:val="28"/>
          <w:szCs w:val="28"/>
          <w:highlight w:val="none"/>
        </w:rPr>
      </w:r>
      <w:r/>
    </w:p>
    <w:p>
      <w:pPr>
        <w:pStyle w:val="847"/>
        <w:ind w:firstLine="482"/>
        <w:spacing w:line="360" w:lineRule="auto"/>
        <w:rPr>
          <w:rFonts w:ascii="Arial" w:hAnsi="Arial"/>
          <w:b/>
          <w:color w:val="000000"/>
          <w:sz w:val="24"/>
          <w:highlight w:val="none"/>
        </w:rPr>
      </w:pPr>
      <w:r>
        <w:rPr>
          <w:rFonts w:ascii="Arial" w:hAnsi="Arial"/>
          <w:b/>
          <w:color w:val="000000"/>
          <w:sz w:val="24"/>
          <w:highlight w:val="none"/>
        </w:rPr>
      </w:r>
      <w:r/>
    </w:p>
    <w:p>
      <w:pPr>
        <w:pStyle w:val="847"/>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47"/>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47"/>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847"/>
        <w:spacing w:line="360" w:lineRule="auto"/>
        <w:rPr>
          <w:b/>
          <w:color w:val="000000"/>
          <w:sz w:val="30"/>
          <w:szCs w:val="30"/>
          <w:highlight w:val="none"/>
        </w:rPr>
      </w:pPr>
      <w:r>
        <w:rPr>
          <w:b/>
          <w:color w:val="000000"/>
          <w:sz w:val="30"/>
          <w:szCs w:val="30"/>
          <w:highlight w:val="none"/>
        </w:rPr>
      </w:r>
      <w:r/>
    </w:p>
    <w:p>
      <w:pPr>
        <w:pStyle w:val="847"/>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847"/>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4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847"/>
        <w:numPr>
          <w:ilvl w:val="0"/>
          <w:numId w:val="18"/>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1282"/>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rPr>
        <w:t xml:space="preserve">普信国际工程咨询有限公司</w:t>
      </w:r>
      <w:r>
        <w:rPr>
          <w:rFonts w:hint="eastAsia" w:ascii="宋体" w:hAnsi="宋体"/>
          <w:bCs/>
          <w:color w:val="000000"/>
          <w:sz w:val="24"/>
          <w:szCs w:val="24"/>
          <w:highlight w:val="none"/>
        </w:rPr>
        <w:t xml:space="preserve">在招标文件中要求的文件、资料。</w:t>
      </w:r>
      <w:r>
        <w:rPr>
          <w:rStyle w:val="1282"/>
          <w:bCs/>
          <w:color w:val="000000"/>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eastAsia="宋体"/>
          <w:bCs/>
          <w:color w:val="000000"/>
          <w:sz w:val="24"/>
          <w:szCs w:val="24"/>
          <w:highlight w:val="none"/>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eastAsia="宋体"/>
          <w:bCs/>
          <w:color w:val="000000"/>
          <w:sz w:val="24"/>
          <w:szCs w:val="24"/>
          <w:highlight w:val="none"/>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847"/>
        <w:numPr>
          <w:ilvl w:val="0"/>
          <w:numId w:val="18"/>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bCs/>
          <w:color w:val="000000"/>
          <w:sz w:val="24"/>
          <w:szCs w:val="24"/>
          <w:highlight w:val="none"/>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ascii="宋体" w:hAnsi="宋体"/>
          <w:bCs/>
          <w:color w:val="000000"/>
          <w:sz w:val="24"/>
          <w:szCs w:val="24"/>
          <w:highlight w:val="none"/>
        </w:rPr>
      </w:r>
      <w:r/>
    </w:p>
    <w:p>
      <w:pPr>
        <w:pStyle w:val="84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47"/>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47"/>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b/>
          <w:color w:val="000000"/>
          <w:sz w:val="28"/>
          <w:szCs w:val="28"/>
          <w:highlight w:val="none"/>
        </w:rPr>
      </w:r>
      <w:r/>
    </w:p>
    <w:p>
      <w:pPr>
        <w:pStyle w:val="847"/>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47"/>
        <w:ind w:firstLine="240"/>
        <w:spacing w:line="360" w:lineRule="auto"/>
        <w:rPr>
          <w:rFonts w:ascii="宋体" w:hAnsi="宋体"/>
          <w:color w:val="000000"/>
          <w:sz w:val="24"/>
          <w:szCs w:val="24"/>
          <w:highlight w:val="none"/>
        </w:rPr>
      </w:pPr>
      <w:r>
        <w:rPr>
          <w:rFonts w:hint="eastAsia" w:ascii="宋体" w:hAnsi="宋体" w:eastAsia="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rPr>
        <w:t xml:space="preserve">针对本项目</w:t>
      </w:r>
      <w:r>
        <w:rPr>
          <w:rFonts w:hint="eastAsia" w:ascii="宋体" w:hAnsi="宋体"/>
          <w:bCs/>
          <w:color w:val="000000"/>
          <w:sz w:val="24"/>
          <w:szCs w:val="24"/>
          <w:highlight w:val="none"/>
        </w:rPr>
        <w:t xml:space="preserve">编号</w:t>
      </w:r>
      <w:r>
        <w:rPr>
          <w:rFonts w:hint="eastAsia" w:ascii="宋体" w:hAnsi="宋体" w:eastAsia="宋体"/>
          <w:bCs/>
          <w:color w:val="000000"/>
          <w:sz w:val="24"/>
          <w:szCs w:val="24"/>
          <w:highlight w:val="none"/>
          <w:u w:val="single"/>
        </w:rPr>
        <w:t xml:space="preserve">                 </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rPr>
          <w:rFonts w:ascii="宋体" w:hAnsi="宋体"/>
          <w:bCs/>
          <w:color w:val="000000"/>
          <w:sz w:val="24"/>
          <w:szCs w:val="24"/>
          <w:highlight w:val="none"/>
        </w:rPr>
      </w:r>
      <w:r/>
    </w:p>
    <w:p>
      <w:pPr>
        <w:pStyle w:val="847"/>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w:t>
      </w:r>
      <w:r>
        <w:rPr>
          <w:rFonts w:hint="eastAsia" w:ascii="宋体" w:eastAsia="宋体"/>
          <w:bCs/>
          <w:color w:val="000000"/>
          <w:sz w:val="24"/>
          <w:szCs w:val="24"/>
          <w:highlight w:val="none"/>
        </w:rPr>
        <w:t xml:space="preserve">涉及</w:t>
      </w:r>
      <w:r>
        <w:rPr>
          <w:rFonts w:hint="eastAsia" w:ascii="宋体"/>
          <w:bCs/>
          <w:color w:val="000000"/>
          <w:sz w:val="24"/>
          <w:szCs w:val="24"/>
          <w:highlight w:val="none"/>
        </w:rPr>
        <w:t xml:space="preserve">商品包装、快递包装要求的，本公司（单位）对于中标产品的包装将严格</w:t>
      </w:r>
      <w:r>
        <w:rPr>
          <w:rFonts w:hint="eastAsia" w:ascii="宋体" w:eastAsia="宋体"/>
          <w:bCs/>
          <w:color w:val="000000"/>
          <w:sz w:val="24"/>
          <w:szCs w:val="24"/>
          <w:highlight w:val="none"/>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w:t>
      </w:r>
      <w:r>
        <w:rPr>
          <w:rFonts w:ascii="宋体"/>
          <w:bCs/>
          <w:color w:val="000000"/>
          <w:sz w:val="24"/>
          <w:szCs w:val="24"/>
          <w:highlight w:val="none"/>
        </w:rPr>
      </w:r>
      <w:r/>
    </w:p>
    <w:p>
      <w:pPr>
        <w:pStyle w:val="84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847"/>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rPr>
          <w:rFonts w:ascii="宋体" w:hAnsi="宋体" w:cs="宋体"/>
          <w:color w:val="000000"/>
          <w:sz w:val="24"/>
          <w:szCs w:val="24"/>
          <w:highlight w:val="none"/>
        </w:rPr>
      </w:r>
      <w:r/>
    </w:p>
    <w:p>
      <w:pPr>
        <w:pStyle w:val="847"/>
        <w:ind w:firstLine="480"/>
        <w:spacing w:line="360" w:lineRule="auto"/>
        <w:rPr>
          <w:rFonts w:ascii="宋体"/>
          <w:bCs/>
          <w:color w:val="000000"/>
          <w:sz w:val="24"/>
          <w:szCs w:val="24"/>
          <w:highlight w:val="none"/>
        </w:rPr>
      </w:pPr>
      <w:r>
        <w:rPr>
          <w:rFonts w:ascii="宋体"/>
          <w:bCs/>
          <w:color w:val="000000"/>
          <w:sz w:val="24"/>
          <w:szCs w:val="24"/>
          <w:highlight w:val="none"/>
        </w:rPr>
      </w:r>
      <w:r/>
    </w:p>
    <w:p>
      <w:pPr>
        <w:pStyle w:val="847"/>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847"/>
        <w:ind w:firstLine="480"/>
        <w:spacing w:line="360" w:lineRule="auto"/>
        <w:rPr>
          <w:rFonts w:ascii="宋体"/>
          <w:bCs/>
          <w:color w:val="000000"/>
          <w:sz w:val="24"/>
          <w:szCs w:val="24"/>
          <w:highlight w:val="none"/>
        </w:rPr>
      </w:pPr>
      <w:r>
        <w:rPr>
          <w:rFonts w:ascii="宋体"/>
          <w:bCs/>
          <w:color w:val="000000"/>
          <w:sz w:val="24"/>
          <w:szCs w:val="24"/>
          <w:highlight w:val="none"/>
        </w:rPr>
      </w:r>
      <w:r/>
    </w:p>
    <w:p>
      <w:pPr>
        <w:pStyle w:val="847"/>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847"/>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84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847"/>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47"/>
        <w:spacing w:line="360" w:lineRule="auto"/>
        <w:rPr>
          <w:b/>
          <w:color w:val="000000"/>
          <w:sz w:val="28"/>
          <w:szCs w:val="28"/>
          <w:highlight w:val="none"/>
        </w:rPr>
      </w:pPr>
      <w:r>
        <w:rPr>
          <w:rFonts w:hint="eastAsia"/>
          <w:b/>
          <w:color w:val="000000"/>
          <w:sz w:val="28"/>
          <w:szCs w:val="28"/>
          <w:highlight w:val="none"/>
        </w:rPr>
        <w:t xml:space="preserve">八、开标一览表（给定格式）：</w:t>
      </w:r>
      <w:r>
        <w:rPr>
          <w:b/>
          <w:color w:val="000000"/>
          <w:sz w:val="28"/>
          <w:szCs w:val="28"/>
          <w:highlight w:val="none"/>
        </w:rPr>
      </w:r>
      <w:r/>
    </w:p>
    <w:p>
      <w:pPr>
        <w:pStyle w:val="847"/>
        <w:ind w:firstLine="482"/>
        <w:spacing w:line="360" w:lineRule="auto"/>
        <w:rPr>
          <w:rFonts w:ascii="Arial" w:hAnsi="Arial"/>
          <w:b/>
          <w:color w:val="000000"/>
          <w:sz w:val="24"/>
          <w:highlight w:val="none"/>
        </w:rPr>
      </w:pPr>
      <w:r>
        <w:rPr>
          <w:rFonts w:ascii="Arial" w:hAnsi="Arial"/>
          <w:b/>
          <w:color w:val="000000"/>
          <w:sz w:val="24"/>
          <w:highlight w:val="none"/>
        </w:rPr>
      </w:r>
      <w:r/>
    </w:p>
    <w:p>
      <w:pPr>
        <w:pStyle w:val="847"/>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84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47"/>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项目名称：</w:t>
      </w:r>
      <w:r>
        <w:rPr>
          <w:rFonts w:ascii="黑体" w:eastAsia="黑体"/>
          <w:bCs/>
          <w:color w:val="000000"/>
          <w:sz w:val="24"/>
          <w:szCs w:val="24"/>
          <w:highlight w:val="none"/>
          <w:lang w:val="en-US" w:eastAsia="zh-CN"/>
        </w:rPr>
      </w:r>
      <w:r/>
    </w:p>
    <w:p>
      <w:pPr>
        <w:pStyle w:val="84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pStyle w:val="847"/>
              <w:jc w:val="center"/>
              <w:spacing w:line="360" w:lineRule="auto"/>
              <w:rPr>
                <w:rFonts w:asci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投标人名称</w:t>
            </w:r>
            <w:r>
              <w:rPr>
                <w:rFonts w:ascii="宋体" w:eastAsia="宋体"/>
                <w:b/>
                <w:bCs/>
                <w:color w:val="000000"/>
                <w:sz w:val="24"/>
                <w:szCs w:val="24"/>
                <w:highlight w:val="none"/>
                <w:lang w:val="en-US" w:eastAsia="zh-CN"/>
              </w:rPr>
            </w:r>
            <w:r/>
          </w:p>
        </w:tc>
        <w:tc>
          <w:tcPr>
            <w:tcW w:w="1320" w:type="dxa"/>
            <w:vAlign w:val="center"/>
            <w:textDirection w:val="lrTb"/>
            <w:noWrap w:val="false"/>
          </w:tcPr>
          <w:p>
            <w:pPr>
              <w:pStyle w:val="84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lang w:val="en-US" w:eastAsia="zh-CN"/>
              </w:rPr>
              <w:t xml:space="preserve">优惠率</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c>
          <w:tcPr>
            <w:tcW w:w="1320" w:type="dxa"/>
            <w:vAlign w:val="center"/>
            <w:textDirection w:val="lrTb"/>
            <w:noWrap w:val="false"/>
          </w:tcPr>
          <w:p>
            <w:pPr>
              <w:pStyle w:val="847"/>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备注</w:t>
            </w:r>
            <w:r>
              <w:rPr>
                <w:rFonts w:ascii="宋体" w:hAnsi="宋体"/>
                <w:b/>
                <w:bCs/>
                <w:color w:val="000000"/>
                <w:sz w:val="24"/>
                <w:szCs w:val="24"/>
                <w:highlight w:val="none"/>
                <w:lang w:val="en-US" w:eastAsia="zh-CN"/>
              </w:rPr>
            </w:r>
            <w:r/>
          </w:p>
        </w:tc>
      </w:tr>
      <w:tr>
        <w:trPr>
          <w:cantSplit/>
          <w:trHeight w:val="1630"/>
        </w:trPr>
        <w:tc>
          <w:tcPr>
            <w:tcW w:w="2359" w:type="dxa"/>
            <w:vAlign w:val="center"/>
            <w:textDirection w:val="lrTb"/>
            <w:noWrap w:val="false"/>
          </w:tcPr>
          <w:p>
            <w:pPr>
              <w:pStyle w:val="1057"/>
              <w:jc w:val="center"/>
              <w:spacing w:line="360" w:lineRule="auto"/>
              <w:rPr>
                <w:rFonts w:hAnsi="宋体"/>
                <w:bCs/>
                <w:color w:val="000000"/>
                <w:szCs w:val="24"/>
                <w:highlight w:val="none"/>
              </w:rPr>
            </w:pPr>
            <w:r>
              <w:rPr>
                <w:rFonts w:hAnsi="宋体"/>
                <w:bCs/>
                <w:color w:val="000000"/>
                <w:szCs w:val="24"/>
                <w:highlight w:val="none"/>
              </w:rPr>
            </w:r>
            <w:r/>
          </w:p>
        </w:tc>
        <w:tc>
          <w:tcPr>
            <w:tcW w:w="1320" w:type="dxa"/>
            <w:vAlign w:val="center"/>
            <w:textDirection w:val="lrTb"/>
            <w:noWrap w:val="false"/>
          </w:tcPr>
          <w:p>
            <w:pPr>
              <w:pStyle w:val="1057"/>
              <w:jc w:val="center"/>
              <w:spacing w:line="360" w:lineRule="auto"/>
              <w:rPr>
                <w:rFonts w:hAnsi="宋体"/>
                <w:b/>
                <w:color w:val="000000"/>
                <w:szCs w:val="24"/>
                <w:highlight w:val="none"/>
              </w:rPr>
            </w:pPr>
            <w:r>
              <w:rPr>
                <w:rFonts w:hAnsi="宋体"/>
                <w:b/>
                <w:color w:val="000000"/>
                <w:szCs w:val="24"/>
                <w:highlight w:val="none"/>
              </w:rPr>
            </w:r>
            <w:r/>
          </w:p>
        </w:tc>
        <w:tc>
          <w:tcPr>
            <w:tcW w:w="1320" w:type="dxa"/>
            <w:vAlign w:val="center"/>
            <w:textDirection w:val="lrTb"/>
            <w:noWrap w:val="false"/>
          </w:tcPr>
          <w:p>
            <w:pPr>
              <w:pStyle w:val="1057"/>
              <w:spacing w:line="360" w:lineRule="auto"/>
              <w:rPr>
                <w:rFonts w:hAnsi="宋体"/>
                <w:b/>
                <w:color w:val="000000"/>
                <w:szCs w:val="24"/>
                <w:highlight w:val="none"/>
              </w:rPr>
            </w:pPr>
            <w:r>
              <w:rPr>
                <w:rFonts w:hAnsi="宋体"/>
                <w:b/>
                <w:color w:val="000000"/>
                <w:szCs w:val="24"/>
                <w:highlight w:val="none"/>
              </w:rPr>
            </w:r>
            <w:r/>
          </w:p>
        </w:tc>
      </w:tr>
    </w:tbl>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847"/>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填写说明：</w:t>
      </w:r>
      <w:r>
        <w:rPr>
          <w:rFonts w:ascii="宋体" w:hAnsi="宋体" w:eastAsia="宋体" w:cs="宋体"/>
          <w:bCs/>
          <w:color w:val="000000"/>
          <w:sz w:val="24"/>
          <w:szCs w:val="24"/>
          <w:highlight w:val="none"/>
        </w:rPr>
      </w:r>
      <w:r/>
    </w:p>
    <w:p>
      <w:pPr>
        <w:pStyle w:val="847"/>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宋体" w:hAnsi="宋体"/>
          <w:b/>
          <w:color w:val="000000"/>
          <w:sz w:val="24"/>
          <w:highlight w:val="none"/>
        </w:rPr>
      </w:r>
      <w:r/>
    </w:p>
    <w:p>
      <w:pPr>
        <w:pStyle w:val="847"/>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参与机构应根据外送检验检测项目清单中的限价标准，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rPr>
          <w:rFonts w:ascii="宋体" w:hAnsi="宋体"/>
          <w:b/>
          <w:color w:val="000000"/>
          <w:sz w:val="24"/>
          <w:highlight w:val="none"/>
        </w:rPr>
      </w:r>
      <w:r/>
    </w:p>
    <w:p>
      <w:pPr>
        <w:pStyle w:val="847"/>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结算：以“江苏省和无锡市医疗保障局制定的服务价格或有关部门核定的收费标准*（1－中标优惠率）*实际产生的检测项目数量”进行结算（检测项目数量以采购单位认定的</w:t>
      </w:r>
      <w:r>
        <w:rPr>
          <w:rFonts w:hint="eastAsia" w:ascii="宋体" w:hAnsi="宋体"/>
          <w:b/>
          <w:color w:val="000000"/>
          <w:sz w:val="24"/>
          <w:highlight w:val="none"/>
        </w:rPr>
        <w:t xml:space="preserve">合格报告上的项目数量为准），按季度结算。中标单位每季度向采购单位提供上个季度的检测项目数量，经采购单位审核确认后，中标单位出具正规发票，采购单位收到发票无异议后，按采购单位付款周期及时付款。注：服务期满或累计服务费达到预算限额，其中任意一项最先达到即为本项目完成。如采购单位因实际临床诊疗需要，对于未包含在本项目检测清单中的项目，经双方协商后，可以外送至中标单位进行检测，外送检测服务费用按照“江苏省和无锡市医疗保障局制定的服务价格或有关部门核定的收费标准*（1－中标优惠率）*实际产生的检测项目数量”进行结算。</w:t>
      </w:r>
      <w:r>
        <w:rPr>
          <w:rFonts w:ascii="宋体" w:hAnsi="宋体"/>
          <w:b/>
          <w:color w:val="000000"/>
          <w:sz w:val="24"/>
          <w:highlight w:val="none"/>
        </w:rPr>
      </w:r>
      <w:r/>
    </w:p>
    <w:p>
      <w:pPr>
        <w:pStyle w:val="847"/>
        <w:numPr>
          <w:ilvl w:val="0"/>
          <w:numId w:val="19"/>
        </w:numPr>
        <w:jc w:val="left"/>
        <w:spacing w:line="360" w:lineRule="auto"/>
        <w:rPr>
          <w:rFonts w:ascii="宋体" w:hAnsi="宋体"/>
          <w:b/>
          <w:color w:val="000000"/>
          <w:sz w:val="24"/>
          <w:highlight w:val="none"/>
        </w:rPr>
      </w:pPr>
      <w:r>
        <w:rPr>
          <w:rFonts w:hint="eastAsia" w:ascii="宋体" w:hAnsi="宋体"/>
          <w:b/>
          <w:color w:val="000000"/>
          <w:sz w:val="24"/>
          <w:highlight w:val="none"/>
        </w:rPr>
        <w:t xml:space="preserve">若检验项目物价收费标准发生变化，根据江苏省和无锡市医疗保障局调整的服务价格或有关部门核定收费标准的基础上，按照“江苏省和无锡市医疗保障局调整的服务价格或有关部门核定收费标准*（1－中标优惠率）*实际产生的检测项目数量”进行结算。</w:t>
      </w:r>
      <w:r>
        <w:rPr>
          <w:rFonts w:ascii="宋体" w:hAnsi="宋体"/>
          <w:b/>
          <w:color w:val="000000"/>
          <w:sz w:val="24"/>
          <w:highlight w:val="none"/>
        </w:rPr>
      </w:r>
      <w:r/>
    </w:p>
    <w:p>
      <w:pPr>
        <w:pStyle w:val="847"/>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51"/>
        <w:rPr>
          <w:rFonts w:ascii="黑体" w:eastAsia="黑体"/>
          <w:color w:val="000000"/>
          <w:sz w:val="24"/>
          <w:szCs w:val="24"/>
          <w:highlight w:val="none"/>
        </w:rPr>
      </w:pPr>
      <w:r>
        <w:rPr>
          <w:rFonts w:ascii="黑体" w:eastAsia="黑体"/>
          <w:color w:val="000000"/>
          <w:sz w:val="24"/>
          <w:szCs w:val="24"/>
          <w:highlight w:val="none"/>
        </w:rPr>
      </w:r>
      <w:r/>
    </w:p>
    <w:p>
      <w:pPr>
        <w:pStyle w:val="847"/>
        <w:rPr>
          <w:rFonts w:ascii="黑体" w:eastAsia="黑体"/>
          <w:bCs/>
          <w:color w:val="000000"/>
          <w:sz w:val="24"/>
          <w:szCs w:val="24"/>
          <w:highlight w:val="none"/>
        </w:rPr>
      </w:pPr>
      <w:r>
        <w:rPr>
          <w:rFonts w:ascii="黑体" w:eastAsia="黑体"/>
          <w:bCs/>
          <w:color w:val="000000"/>
          <w:sz w:val="24"/>
          <w:szCs w:val="24"/>
          <w:highlight w:val="none"/>
        </w:rPr>
      </w:r>
      <w:r/>
    </w:p>
    <w:p>
      <w:pPr>
        <w:pStyle w:val="851"/>
        <w:rPr>
          <w:rFonts w:ascii="黑体" w:eastAsia="黑体"/>
          <w:color w:val="000000"/>
          <w:sz w:val="24"/>
          <w:szCs w:val="24"/>
          <w:highlight w:val="none"/>
        </w:rPr>
      </w:pPr>
      <w:r>
        <w:rPr>
          <w:rFonts w:ascii="黑体" w:eastAsia="黑体"/>
          <w:color w:val="000000"/>
          <w:sz w:val="24"/>
          <w:szCs w:val="24"/>
          <w:highlight w:val="none"/>
        </w:rPr>
      </w:r>
      <w:r/>
    </w:p>
    <w:p>
      <w:pPr>
        <w:pStyle w:val="847"/>
        <w:rPr>
          <w:rFonts w:ascii="黑体" w:eastAsia="黑体"/>
          <w:bCs/>
          <w:color w:val="000000"/>
          <w:sz w:val="24"/>
          <w:szCs w:val="24"/>
          <w:highlight w:val="none"/>
        </w:rPr>
      </w:pPr>
      <w:r>
        <w:rPr>
          <w:rFonts w:ascii="黑体" w:eastAsia="黑体"/>
          <w:bCs/>
          <w:color w:val="000000"/>
          <w:sz w:val="24"/>
          <w:szCs w:val="24"/>
          <w:highlight w:val="none"/>
        </w:rPr>
      </w:r>
      <w:r/>
    </w:p>
    <w:p>
      <w:pPr>
        <w:pStyle w:val="851"/>
        <w:rPr>
          <w:rFonts w:ascii="黑体" w:eastAsia="黑体"/>
          <w:color w:val="000000"/>
          <w:sz w:val="24"/>
          <w:szCs w:val="24"/>
          <w:highlight w:val="none"/>
        </w:rPr>
      </w:pPr>
      <w:r>
        <w:rPr>
          <w:rFonts w:ascii="黑体" w:eastAsia="黑体"/>
          <w:color w:val="000000"/>
          <w:sz w:val="24"/>
          <w:szCs w:val="24"/>
          <w:highlight w:val="none"/>
        </w:rPr>
      </w:r>
      <w:r/>
    </w:p>
    <w:p>
      <w:pPr>
        <w:pStyle w:val="847"/>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400" w:lineRule="exact"/>
        <w:rPr>
          <w:b/>
          <w:color w:val="000000"/>
          <w:sz w:val="30"/>
          <w:szCs w:val="30"/>
          <w:highlight w:val="none"/>
        </w:rPr>
        <w:outlineLvl w:val="0"/>
      </w:pPr>
      <w:r/>
      <w:bookmarkStart w:id="155" w:name="_Toc120614284"/>
      <w:r>
        <w:rPr>
          <w:rFonts w:ascii="宋体" w:hAnsi="宋体"/>
          <w:bCs/>
          <w:color w:val="000000"/>
          <w:highlight w:val="none"/>
        </w:rPr>
        <w:br w:type="page" w:clear="all"/>
      </w:r>
      <w:r>
        <w:rPr>
          <w:b/>
          <w:color w:val="000000"/>
          <w:sz w:val="30"/>
          <w:szCs w:val="30"/>
          <w:highlight w:val="none"/>
        </w:rPr>
      </w:r>
      <w:r/>
    </w:p>
    <w:p>
      <w:pPr>
        <w:pStyle w:val="847"/>
        <w:spacing w:line="360" w:lineRule="auto"/>
        <w:rPr>
          <w:b/>
          <w:color w:val="000000"/>
          <w:sz w:val="28"/>
          <w:szCs w:val="28"/>
          <w:highlight w:val="none"/>
        </w:rPr>
      </w:pPr>
      <w:r>
        <w:rPr>
          <w:rFonts w:hint="eastAsia" w:eastAsia="宋体"/>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847"/>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47"/>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84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47"/>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84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47"/>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47"/>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47"/>
              <w:jc w:val="center"/>
              <w:spacing w:line="360" w:lineRule="auto"/>
              <w:rPr>
                <w:rFonts w:ascii="宋体"/>
                <w:bCs/>
                <w:color w:val="000000"/>
                <w:highlight w:val="none"/>
              </w:rPr>
            </w:pPr>
            <w:r>
              <w:rPr>
                <w:rFonts w:ascii="宋体"/>
                <w:bCs/>
                <w:color w:val="000000"/>
                <w:highlight w:val="none"/>
              </w:rPr>
            </w:r>
            <w:r/>
          </w:p>
        </w:tc>
      </w:tr>
    </w:tbl>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84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4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4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47"/>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847"/>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注：（1）本表不得删除；</w:t>
      </w:r>
      <w:r>
        <w:rPr>
          <w:rFonts w:ascii="宋体" w:hAnsi="宋体"/>
          <w:bCs/>
          <w:color w:val="000000"/>
          <w:sz w:val="24"/>
          <w:szCs w:val="24"/>
          <w:highlight w:val="none"/>
        </w:rPr>
      </w:r>
      <w:r/>
    </w:p>
    <w:p>
      <w:pPr>
        <w:pStyle w:val="847"/>
        <w:ind w:firstLine="480"/>
        <w:spacing w:line="400" w:lineRule="exact"/>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（2）如无任何偏离，请于本表 “偏离说明”中注明“无偏离”；</w:t>
      </w:r>
      <w:r>
        <w:rPr>
          <w:rFonts w:ascii="宋体" w:hAnsi="宋体"/>
          <w:bCs/>
          <w:color w:val="000000"/>
          <w:sz w:val="24"/>
          <w:szCs w:val="24"/>
          <w:highlight w:val="none"/>
        </w:rPr>
      </w:r>
      <w:r/>
    </w:p>
    <w:p>
      <w:pPr>
        <w:pStyle w:val="847"/>
        <w:ind w:firstLine="480"/>
        <w:spacing w:line="400" w:lineRule="exact"/>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（3）如有</w:t>
      </w:r>
      <w:r>
        <w:rPr>
          <w:rFonts w:hint="eastAsia" w:ascii="宋体" w:hAnsi="宋体" w:eastAsia="宋体"/>
          <w:bCs/>
          <w:color w:val="000000"/>
          <w:sz w:val="24"/>
          <w:szCs w:val="24"/>
          <w:highlight w:val="none"/>
        </w:rPr>
        <w:t xml:space="preserve">任何</w:t>
      </w:r>
      <w:r>
        <w:rPr>
          <w:rFonts w:hint="eastAsia" w:ascii="宋体" w:hAnsi="宋体"/>
          <w:bCs/>
          <w:color w:val="000000"/>
          <w:sz w:val="24"/>
          <w:szCs w:val="24"/>
          <w:highlight w:val="none"/>
        </w:rPr>
        <w:t xml:space="preserve">偏离项，请于本表中列明偏离内容，如需要可自行延长，其余无偏离内容不须赘述。</w:t>
      </w:r>
      <w:bookmarkEnd w:id="155"/>
      <w:r/>
      <w:bookmarkStart w:id="156" w:name="_格式2__法定代表人授权书"/>
      <w:r/>
      <w:bookmarkEnd w:id="156"/>
      <w:r/>
      <w:bookmarkStart w:id="157" w:name="_Hlt26671374"/>
      <w:r/>
      <w:bookmarkEnd w:id="157"/>
      <w:r/>
      <w:bookmarkStart w:id="158" w:name="_Hlt26609389"/>
      <w:r/>
      <w:bookmarkEnd w:id="158"/>
      <w:r/>
      <w:bookmarkStart w:id="159" w:name="_Hlt26955066"/>
      <w:r/>
      <w:bookmarkEnd w:id="159"/>
      <w:r>
        <w:rPr>
          <w:rFonts w:hint="eastAsia" w:ascii="宋体" w:hAnsi="宋体"/>
          <w:bCs/>
          <w:color w:val="000000"/>
          <w:sz w:val="24"/>
          <w:szCs w:val="24"/>
          <w:highlight w:val="none"/>
        </w:rPr>
      </w:r>
      <w:r/>
    </w:p>
    <w:p>
      <w:pPr>
        <w:pStyle w:val="847"/>
        <w:ind w:firstLine="420"/>
        <w:spacing w:line="360" w:lineRule="auto"/>
        <w:rPr>
          <w:rFonts w:hint="eastAsia" w:ascii="宋体" w:hAnsi="宋体" w:eastAsia="宋体"/>
          <w:b/>
          <w:bCs w:val="0"/>
          <w:color w:val="000000"/>
          <w:sz w:val="24"/>
          <w:szCs w:val="24"/>
          <w:highlight w:val="none"/>
          <w:lang w:val="en-US" w:eastAsia="zh-CN"/>
        </w:rPr>
        <w:outlineLvl w:val="0"/>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4</w:t>
      </w:r>
      <w:r>
        <w:rPr>
          <w:rFonts w:hint="eastAsia" w:ascii="宋体" w:hAnsi="宋体" w:eastAsia="宋体"/>
          <w:bCs/>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t xml:space="preserve">第四章 采购需求</w:t>
      </w:r>
      <w:r>
        <w:rPr>
          <w:rFonts w:hint="eastAsia" w:ascii="宋体" w:hAnsi="宋体" w:eastAsia="宋体"/>
          <w:b/>
          <w:bCs w:val="0"/>
          <w:color w:val="000000"/>
          <w:sz w:val="24"/>
          <w:szCs w:val="24"/>
          <w:highlight w:val="none"/>
          <w:lang w:val="en-US" w:eastAsia="zh-CN"/>
        </w:rPr>
        <w:t xml:space="preserve">中</w:t>
      </w:r>
      <w:r>
        <w:rPr>
          <w:rFonts w:hint="eastAsia" w:ascii="宋体" w:hAnsi="宋体" w:eastAsia="宋体"/>
          <w:b/>
          <w:bCs w:val="0"/>
          <w:color w:val="000000"/>
          <w:sz w:val="24"/>
          <w:szCs w:val="24"/>
          <w:highlight w:val="none"/>
          <w:lang w:eastAsia="zh-CN"/>
        </w:rPr>
        <w:t xml:space="preserve">技术需求：项目配置、技术参数等</w:t>
      </w:r>
      <w:r>
        <w:rPr>
          <w:rFonts w:hint="eastAsia" w:ascii="宋体" w:hAnsi="宋体" w:eastAsia="宋体"/>
          <w:b/>
          <w:bCs w:val="0"/>
          <w:color w:val="000000"/>
          <w:sz w:val="24"/>
          <w:szCs w:val="24"/>
          <w:highlight w:val="none"/>
          <w:lang w:val="en-US" w:eastAsia="zh-CN"/>
        </w:rPr>
        <w:t xml:space="preserve">要求中第 3-6 条内容，明确规定了所投采购包在投标阶段必须提交的相关材料。</w:t>
      </w:r>
      <w:r>
        <w:rPr>
          <w:rFonts w:hint="eastAsia" w:ascii="宋体" w:hAnsi="宋体" w:eastAsia="宋体"/>
          <w:b/>
          <w:bCs w:val="0"/>
          <w:color w:val="000000"/>
          <w:sz w:val="24"/>
          <w:szCs w:val="24"/>
          <w:highlight w:val="none"/>
          <w:lang w:val="en-US" w:eastAsia="zh-CN"/>
        </w:rPr>
      </w:r>
      <w:r/>
    </w:p>
    <w:p>
      <w:pPr>
        <w:pStyle w:val="847"/>
        <w:ind w:firstLine="420"/>
        <w:spacing w:line="360" w:lineRule="auto"/>
        <w:rPr>
          <w:rFonts w:ascii="宋体" w:hAnsi="宋体"/>
          <w:bCs/>
          <w:color w:val="000000"/>
          <w:sz w:val="24"/>
          <w:szCs w:val="24"/>
          <w:highlight w:val="none"/>
        </w:rPr>
        <w:outlineLvl w:val="0"/>
      </w:pPr>
      <w:r>
        <w:rPr>
          <w:rFonts w:hint="eastAsia" w:ascii="宋体" w:hAnsi="宋体" w:eastAsia="宋体"/>
          <w:b/>
          <w:bCs w:val="0"/>
          <w:color w:val="000000"/>
          <w:sz w:val="24"/>
          <w:szCs w:val="24"/>
          <w:highlight w:val="none"/>
          <w:lang w:val="en-US" w:eastAsia="zh-CN"/>
        </w:rPr>
        <w:t xml:space="preserve">投标人须严格按照该 3-6 条的具体要求，完整、合规地准备并提交对应材料，若未按要求提供相关材料，将按无效标处理，相关投标资格及投标结果均无效。</w:t>
      </w:r>
      <w:r>
        <w:rPr>
          <w:rFonts w:ascii="宋体" w:hAnsi="宋体"/>
          <w:bCs/>
          <w:color w:val="000000"/>
          <w:sz w:val="24"/>
          <w:szCs w:val="24"/>
          <w:highlight w:val="none"/>
        </w:rPr>
      </w:r>
      <w:r/>
    </w:p>
    <w:p>
      <w:pPr>
        <w:pStyle w:val="847"/>
        <w:spacing w:line="360" w:lineRule="auto"/>
        <w:rPr>
          <w:color w:val="000000"/>
          <w:highlight w:val="none"/>
        </w:rPr>
      </w:pPr>
      <w:r>
        <w:rPr>
          <w:color w:val="000000"/>
          <w:highlight w:val="none"/>
        </w:rPr>
      </w:r>
      <w:r/>
    </w:p>
    <w:p>
      <w:pPr>
        <w:pStyle w:val="847"/>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w:t>
      </w:r>
      <w:r>
        <w:rPr>
          <w:rFonts w:hint="eastAsia" w:eastAsia="宋体"/>
          <w:b/>
          <w:color w:val="000000"/>
          <w:sz w:val="28"/>
          <w:szCs w:val="28"/>
          <w:highlight w:val="none"/>
        </w:rPr>
        <w:t xml:space="preserve">项目人员配置表</w:t>
      </w:r>
      <w:r>
        <w:rPr>
          <w:rFonts w:hint="eastAsia"/>
          <w:b/>
          <w:color w:val="000000"/>
          <w:sz w:val="28"/>
          <w:szCs w:val="28"/>
          <w:highlight w:val="none"/>
        </w:rPr>
        <w:t xml:space="preserve">（格式）</w:t>
      </w:r>
      <w:r>
        <w:rPr>
          <w:b/>
          <w:color w:val="000000"/>
          <w:sz w:val="28"/>
          <w:szCs w:val="28"/>
          <w:highlight w:val="none"/>
        </w:rPr>
      </w:r>
      <w:r/>
    </w:p>
    <w:p>
      <w:pPr>
        <w:pStyle w:val="847"/>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847"/>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847"/>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847"/>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trHeight w:val="865"/>
        </w:trPr>
        <w:tc>
          <w:tcPr>
            <w:tcW w:w="766"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性别</w:t>
            </w:r>
            <w:r>
              <w:rPr>
                <w:b/>
                <w:color w:val="000000"/>
                <w:sz w:val="24"/>
                <w:highlight w:val="none"/>
              </w:rPr>
            </w:r>
            <w:r/>
          </w:p>
        </w:tc>
        <w:tc>
          <w:tcPr>
            <w:tcW w:w="709"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学历</w:t>
            </w:r>
            <w:r>
              <w:rPr>
                <w:b/>
                <w:color w:val="000000"/>
                <w:sz w:val="24"/>
                <w:highlight w:val="none"/>
              </w:rPr>
            </w:r>
            <w:r/>
          </w:p>
        </w:tc>
        <w:tc>
          <w:tcPr>
            <w:tcW w:w="1276"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人员经验描述</w:t>
            </w:r>
            <w:r>
              <w:rPr>
                <w:b/>
                <w:color w:val="000000"/>
                <w:sz w:val="24"/>
                <w:highlight w:val="none"/>
              </w:rPr>
            </w:r>
            <w:r/>
          </w:p>
          <w:p>
            <w:pPr>
              <w:pStyle w:val="847"/>
              <w:jc w:val="center"/>
              <w:spacing w:line="360" w:lineRule="auto"/>
              <w:rPr>
                <w:b/>
                <w:color w:val="000000"/>
                <w:sz w:val="24"/>
                <w:highlight w:val="none"/>
              </w:rPr>
            </w:pPr>
            <w:r>
              <w:rPr>
                <w:rFonts w:hint="eastAsia"/>
                <w:b/>
                <w:color w:val="000000"/>
                <w:sz w:val="24"/>
                <w:highlight w:val="none"/>
              </w:rPr>
              <w:t xml:space="preserve">（如有要求）</w:t>
            </w:r>
            <w:r>
              <w:rPr>
                <w:b/>
                <w:color w:val="000000"/>
                <w:sz w:val="24"/>
                <w:highlight w:val="none"/>
              </w:rPr>
            </w:r>
            <w:r/>
          </w:p>
        </w:tc>
        <w:tc>
          <w:tcPr>
            <w:tcW w:w="992" w:type="dxa"/>
            <w:vAlign w:val="center"/>
            <w:textDirection w:val="lrTb"/>
            <w:noWrap w:val="false"/>
          </w:tcPr>
          <w:p>
            <w:pPr>
              <w:pStyle w:val="847"/>
              <w:jc w:val="center"/>
              <w:spacing w:line="360" w:lineRule="auto"/>
              <w:rPr>
                <w:b/>
                <w:color w:val="000000"/>
                <w:sz w:val="24"/>
                <w:highlight w:val="none"/>
              </w:rPr>
            </w:pPr>
            <w:r>
              <w:rPr>
                <w:rFonts w:hint="eastAsia"/>
                <w:b/>
                <w:color w:val="000000"/>
                <w:sz w:val="24"/>
                <w:highlight w:val="none"/>
              </w:rPr>
              <w:t xml:space="preserve">备注</w:t>
            </w:r>
            <w:r>
              <w:rPr>
                <w:b/>
                <w:color w:val="000000"/>
                <w:sz w:val="24"/>
                <w:highlight w:val="none"/>
              </w:rPr>
            </w:r>
            <w:r/>
          </w:p>
        </w:tc>
      </w:tr>
      <w:tr>
        <w:trPr>
          <w:trHeight w:val="680"/>
        </w:trPr>
        <w:tc>
          <w:tcPr>
            <w:tcW w:w="766"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47"/>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47"/>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47"/>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847"/>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hint="eastAsia" w:ascii="宋体" w:hAnsi="宋体"/>
          <w:bCs/>
          <w:color w:val="000000"/>
          <w:highlight w:val="none"/>
        </w:rPr>
        <w:t xml:space="preserve">注：本表对应项目人员配置情况，表格不够可自行延长。</w:t>
      </w: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rFonts w:ascii="宋体" w:hAnsi="宋体"/>
          <w:bCs/>
          <w:color w:val="000000"/>
          <w:highlight w:val="none"/>
        </w:rPr>
      </w:pPr>
      <w:r>
        <w:rPr>
          <w:rFonts w:ascii="宋体" w:hAnsi="宋体"/>
          <w:bCs/>
          <w:color w:val="000000"/>
          <w:highlight w:val="none"/>
        </w:rPr>
      </w:r>
      <w:r/>
    </w:p>
    <w:p>
      <w:pPr>
        <w:pStyle w:val="847"/>
        <w:spacing w:line="360" w:lineRule="auto"/>
        <w:rPr>
          <w:vanish/>
        </w:rPr>
      </w:pPr>
      <w:r>
        <w:rPr>
          <w:vanish/>
        </w:rPr>
      </w:r>
      <w:r/>
    </w:p>
    <w:sectPr>
      <w:footerReference w:type="default" r:id="rId15"/>
      <w:footerReference w:type="first" r:id="rId16"/>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楷体_GB2312">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7"/>
      </w:rPr>
      <w:framePr w:wrap="around" w:vAnchor="text" w:hAnchor="margin" w:xAlign="center" w:y="1"/>
    </w:pPr>
    <w:r>
      <w:rPr>
        <w:rStyle w:val="997"/>
      </w:rPr>
      <w:fldChar w:fldCharType="begin"/>
    </w:r>
    <w:r>
      <w:rPr>
        <w:rStyle w:val="997"/>
      </w:rPr>
      <w:instrText xml:space="preserve">PAGE  </w:instrText>
    </w:r>
    <w:r>
      <w:rPr>
        <w:rStyle w:val="997"/>
      </w:rPr>
      <w:fldChar w:fldCharType="separate"/>
    </w:r>
    <w:r>
      <w:rPr>
        <w:rStyle w:val="997"/>
      </w:rPr>
      <w:t xml:space="preserve">1</w:t>
    </w:r>
    <w:r>
      <w:rPr>
        <w:rStyle w:val="997"/>
      </w:rPr>
      <w:fldChar w:fldCharType="end"/>
    </w:r>
    <w:r>
      <w:rPr>
        <w:rStyle w:val="997"/>
      </w:rPr>
    </w:r>
    <w:r/>
  </w:p>
  <w:p>
    <w:pPr>
      <w:pStyle w:val="96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6055" cy="294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6055" cy="294005"/>
                      </a:xfrm>
                      <a:prstGeom prst="rect">
                        <a:avLst/>
                      </a:prstGeom>
                      <a:noFill/>
                      <a:ln>
                        <a:noFill/>
                      </a:ln>
                    </wps:spPr>
                    <wps:txbx>
                      <w:txbxContent>
                        <w:p>
                          <w:pPr>
                            <w:pStyle w:val="96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pPr>
                            <w:pStyle w:val="847"/>
                          </w:pPr>
                          <w:r/>
                          <w:r/>
                        </w:p>
                        <w:p>
                          <w:pPr>
                            <w:pStyle w:val="84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6pt;height:23.1pt;mso-wrap-distance-left:9.0pt;mso-wrap-distance-top:0.0pt;mso-wrap-distance-right:9.0pt;mso-wrap-distance-bottom:0.0pt;visibility:visible;" filled="f" stroked="f">
              <v:textbox inset="0,0,0,0">
                <w:txbxContent>
                  <w:p>
                    <w:pPr>
                      <w:pStyle w:val="96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48</w:t>
                    </w:r>
                    <w:r>
                      <w:rPr>
                        <w:lang w:val="zh-CN"/>
                      </w:rPr>
                      <w:fldChar w:fldCharType="end"/>
                    </w:r>
                    <w:r/>
                  </w:p>
                  <w:p>
                    <w:pPr>
                      <w:pStyle w:val="847"/>
                    </w:pPr>
                    <w:r/>
                    <w:r/>
                  </w:p>
                  <w:p>
                    <w:pPr>
                      <w:pStyle w:val="8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7"/>
      </w:p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
    <w:multiLevelType w:val="hybridMultilevel"/>
    <w:lvl w:ilvl="0">
      <w:start w:val="5"/>
      <w:numFmt w:val="decimal"/>
      <w:isLgl w:val="false"/>
      <w:suff w:val="tab"/>
      <w:lvlText w:val="%1."/>
      <w:lvlJc w:val="left"/>
      <w:pPr>
        <w:pStyle w:val="8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95"/>
      <w:isLgl w:val="false"/>
      <w:suff w:val="tab"/>
      <w:lvlText w:val="%1."/>
      <w:lvlJc w:val="left"/>
      <w:pPr>
        <w:pStyle w:val="847"/>
        <w:ind w:left="709" w:hanging="709"/>
        <w:tabs>
          <w:tab w:val="num" w:pos="709" w:leader="none"/>
        </w:tabs>
      </w:pPr>
      <w:rPr>
        <w:rFonts w:hint="eastAsia"/>
      </w:rPr>
    </w:lvl>
    <w:lvl w:ilvl="1">
      <w:start w:val="1"/>
      <w:numFmt w:val="decimal"/>
      <w:isLgl w:val="false"/>
      <w:suff w:val="tab"/>
      <w:lvlText w:val="%1.%2"/>
      <w:lvlJc w:val="left"/>
      <w:pPr>
        <w:pStyle w:val="847"/>
        <w:ind w:left="709" w:hanging="709"/>
        <w:tabs>
          <w:tab w:val="num" w:pos="709" w:leader="none"/>
        </w:tabs>
      </w:pPr>
      <w:rPr>
        <w:rFonts w:hint="eastAsia"/>
      </w:rPr>
    </w:lvl>
    <w:lvl w:ilvl="2">
      <w:start w:val="1"/>
      <w:numFmt w:val="decimal"/>
      <w:isLgl w:val="false"/>
      <w:suff w:val="tab"/>
      <w:lvlText w:val="%1.%2.%3."/>
      <w:lvlJc w:val="left"/>
      <w:pPr>
        <w:pStyle w:val="847"/>
        <w:ind w:left="425" w:hanging="425"/>
        <w:tabs>
          <w:tab w:val="num" w:pos="425" w:leader="none"/>
        </w:tabs>
      </w:pPr>
      <w:rPr>
        <w:rFonts w:hint="eastAsia"/>
      </w:rPr>
    </w:lvl>
    <w:lvl w:ilvl="3">
      <w:start w:val="1"/>
      <w:numFmt w:val="decimal"/>
      <w:isLgl w:val="false"/>
      <w:suff w:val="tab"/>
      <w:lvlText w:val="%1.%2.%3.%4."/>
      <w:lvlJc w:val="left"/>
      <w:pPr>
        <w:pStyle w:val="847"/>
        <w:ind w:left="851" w:hanging="851"/>
        <w:tabs>
          <w:tab w:val="num" w:pos="851" w:leader="none"/>
        </w:tabs>
      </w:pPr>
      <w:rPr>
        <w:rFonts w:hint="eastAsia"/>
      </w:rPr>
    </w:lvl>
    <w:lvl w:ilvl="4">
      <w:start w:val="1"/>
      <w:numFmt w:val="decimal"/>
      <w:isLgl w:val="false"/>
      <w:suff w:val="tab"/>
      <w:lvlText w:val="%1.%2.%3.%4.%5."/>
      <w:lvlJc w:val="left"/>
      <w:pPr>
        <w:pStyle w:val="847"/>
        <w:ind w:left="992" w:hanging="992"/>
        <w:tabs>
          <w:tab w:val="num" w:pos="992" w:leader="none"/>
        </w:tabs>
      </w:pPr>
      <w:rPr>
        <w:rFonts w:hint="eastAsia"/>
      </w:rPr>
    </w:lvl>
    <w:lvl w:ilvl="5">
      <w:start w:val="1"/>
      <w:numFmt w:val="decimal"/>
      <w:isLgl w:val="false"/>
      <w:suff w:val="tab"/>
      <w:lvlText w:val="%1.%2.%3.%4.%5.%6."/>
      <w:lvlJc w:val="left"/>
      <w:pPr>
        <w:pStyle w:val="847"/>
        <w:ind w:left="1134" w:hanging="1134"/>
        <w:tabs>
          <w:tab w:val="num" w:pos="1134" w:leader="none"/>
        </w:tabs>
      </w:pPr>
      <w:rPr>
        <w:rFonts w:hint="eastAsia"/>
      </w:rPr>
    </w:lvl>
    <w:lvl w:ilvl="6">
      <w:start w:val="1"/>
      <w:numFmt w:val="decimal"/>
      <w:isLgl w:val="false"/>
      <w:suff w:val="tab"/>
      <w:lvlText w:val="%1.%2.%3.%4.%5.%6.%7."/>
      <w:lvlJc w:val="left"/>
      <w:pPr>
        <w:pStyle w:val="847"/>
        <w:ind w:left="1276" w:hanging="1276"/>
        <w:tabs>
          <w:tab w:val="num" w:pos="1276" w:leader="none"/>
        </w:tabs>
      </w:pPr>
      <w:rPr>
        <w:rFonts w:hint="eastAsia"/>
      </w:rPr>
    </w:lvl>
    <w:lvl w:ilvl="7">
      <w:start w:val="1"/>
      <w:numFmt w:val="decimal"/>
      <w:isLgl w:val="false"/>
      <w:suff w:val="tab"/>
      <w:lvlText w:val="%1.%2.%3.%4.%5.%6.%7.%8."/>
      <w:lvlJc w:val="left"/>
      <w:pPr>
        <w:pStyle w:val="847"/>
        <w:ind w:left="1418" w:hanging="1418"/>
        <w:tabs>
          <w:tab w:val="num" w:pos="1418" w:leader="none"/>
        </w:tabs>
      </w:pPr>
      <w:rPr>
        <w:rFonts w:hint="eastAsia"/>
      </w:rPr>
    </w:lvl>
    <w:lvl w:ilvl="8">
      <w:start w:val="1"/>
      <w:numFmt w:val="decimal"/>
      <w:isLgl w:val="false"/>
      <w:suff w:val="tab"/>
      <w:lvlText w:val="%1.%2.%3.%4.%5.%6.%7.%8.%9."/>
      <w:lvlJc w:val="left"/>
      <w:pPr>
        <w:pStyle w:val="847"/>
        <w:ind w:left="1559" w:hanging="1559"/>
        <w:tabs>
          <w:tab w:val="num" w:pos="1559" w:leader="none"/>
        </w:tabs>
      </w:pPr>
      <w:rPr>
        <w:rFonts w:hint="eastAsia"/>
      </w:rPr>
    </w:lvl>
  </w:abstractNum>
  <w:abstractNum w:abstractNumId="3">
    <w:multiLevelType w:val="hybridMultilevel"/>
    <w:lvl w:ilvl="0">
      <w:start w:val="1"/>
      <w:numFmt w:val="upperLetter"/>
      <w:pStyle w:val="1285"/>
      <w:isLgl w:val="false"/>
      <w:suff w:val="tab"/>
      <w:lvlText w:val="附录%1."/>
      <w:lvlJc w:val="left"/>
      <w:pPr>
        <w:pStyle w:val="847"/>
        <w:ind w:left="907" w:hanging="907"/>
        <w:tabs>
          <w:tab w:val="num" w:pos="907" w:leader="none"/>
        </w:tabs>
      </w:pPr>
      <w:rPr>
        <w:rFonts w:hint="eastAsia"/>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47"/>
        <w:ind w:left="1080" w:hanging="1080"/>
        <w:tabs>
          <w:tab w:val="num" w:pos="1080" w:leader="none"/>
        </w:tabs>
      </w:pPr>
      <w:rPr>
        <w:rFonts w:hint="eastAsia" w:cs="Times New Roman"/>
      </w:rPr>
    </w:lvl>
    <w:lvl w:ilvl="1">
      <w:start w:val="1"/>
      <w:numFmt w:val="decimal"/>
      <w:isLgl w:val="false"/>
      <w:suff w:val="tab"/>
      <w:lvlText w:val="%2."/>
      <w:lvlJc w:val="left"/>
      <w:pPr>
        <w:pStyle w:val="84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47"/>
        <w:ind w:left="1260" w:hanging="420"/>
        <w:tabs>
          <w:tab w:val="num" w:pos="1260" w:leader="none"/>
        </w:tabs>
      </w:pPr>
      <w:rPr>
        <w:rFonts w:cs="Times New Roman"/>
      </w:rPr>
    </w:lvl>
    <w:lvl w:ilvl="3">
      <w:start w:val="1"/>
      <w:numFmt w:val="decimal"/>
      <w:isLgl w:val="false"/>
      <w:suff w:val="tab"/>
      <w:lvlText w:val="%4."/>
      <w:lvlJc w:val="left"/>
      <w:pPr>
        <w:pStyle w:val="847"/>
        <w:ind w:left="1680" w:hanging="420"/>
        <w:tabs>
          <w:tab w:val="num" w:pos="1680" w:leader="none"/>
        </w:tabs>
      </w:pPr>
      <w:rPr>
        <w:rFonts w:cs="Times New Roman"/>
      </w:rPr>
    </w:lvl>
    <w:lvl w:ilvl="4">
      <w:start w:val="1"/>
      <w:numFmt w:val="lowerLetter"/>
      <w:isLgl w:val="false"/>
      <w:suff w:val="tab"/>
      <w:lvlText w:val="%5)"/>
      <w:lvlJc w:val="left"/>
      <w:pPr>
        <w:pStyle w:val="847"/>
        <w:ind w:left="2100" w:hanging="420"/>
        <w:tabs>
          <w:tab w:val="num" w:pos="2100" w:leader="none"/>
        </w:tabs>
      </w:pPr>
      <w:rPr>
        <w:rFonts w:cs="Times New Roman"/>
      </w:rPr>
    </w:lvl>
    <w:lvl w:ilvl="5">
      <w:start w:val="1"/>
      <w:numFmt w:val="lowerRoman"/>
      <w:isLgl w:val="false"/>
      <w:suff w:val="tab"/>
      <w:lvlText w:val="%6."/>
      <w:lvlJc w:val="right"/>
      <w:pPr>
        <w:pStyle w:val="847"/>
        <w:ind w:left="2520" w:hanging="420"/>
        <w:tabs>
          <w:tab w:val="num" w:pos="2520" w:leader="none"/>
        </w:tabs>
      </w:pPr>
      <w:rPr>
        <w:rFonts w:cs="Times New Roman"/>
      </w:rPr>
    </w:lvl>
    <w:lvl w:ilvl="6">
      <w:start w:val="1"/>
      <w:numFmt w:val="decimal"/>
      <w:isLgl w:val="false"/>
      <w:suff w:val="tab"/>
      <w:lvlText w:val="%7."/>
      <w:lvlJc w:val="left"/>
      <w:pPr>
        <w:pStyle w:val="847"/>
        <w:ind w:left="2940" w:hanging="420"/>
        <w:tabs>
          <w:tab w:val="num" w:pos="2940" w:leader="none"/>
        </w:tabs>
      </w:pPr>
      <w:rPr>
        <w:rFonts w:cs="Times New Roman"/>
      </w:rPr>
    </w:lvl>
    <w:lvl w:ilvl="7">
      <w:start w:val="1"/>
      <w:numFmt w:val="lowerLetter"/>
      <w:isLgl w:val="false"/>
      <w:suff w:val="tab"/>
      <w:lvlText w:val="%8)"/>
      <w:lvlJc w:val="left"/>
      <w:pPr>
        <w:pStyle w:val="847"/>
        <w:ind w:left="3360" w:hanging="420"/>
        <w:tabs>
          <w:tab w:val="num" w:pos="3360" w:leader="none"/>
        </w:tabs>
      </w:pPr>
      <w:rPr>
        <w:rFonts w:cs="Times New Roman"/>
      </w:rPr>
    </w:lvl>
    <w:lvl w:ilvl="8">
      <w:start w:val="1"/>
      <w:numFmt w:val="lowerRoman"/>
      <w:isLgl w:val="false"/>
      <w:suff w:val="tab"/>
      <w:lvlText w:val="%9."/>
      <w:lvlJc w:val="right"/>
      <w:pPr>
        <w:pStyle w:val="847"/>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pStyle w:val="8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061"/>
      <w:isLgl w:val="false"/>
      <w:suff w:val="tab"/>
      <w:lvlText w:val="（%1)"/>
      <w:lvlJc w:val="left"/>
      <w:pPr>
        <w:pStyle w:val="847"/>
        <w:ind w:left="840" w:hanging="720"/>
      </w:pPr>
    </w:lvl>
    <w:lvl w:ilvl="1">
      <w:start w:val="1"/>
      <w:numFmt w:val="lowerLetter"/>
      <w:isLgl w:val="false"/>
      <w:suff w:val="tab"/>
      <w:lvlText w:val="%2)"/>
      <w:lvlJc w:val="left"/>
      <w:pPr>
        <w:pStyle w:val="847"/>
        <w:ind w:left="960" w:hanging="420"/>
      </w:pPr>
    </w:lvl>
    <w:lvl w:ilvl="2">
      <w:start w:val="1"/>
      <w:numFmt w:val="lowerRoman"/>
      <w:isLgl w:val="false"/>
      <w:suff w:val="tab"/>
      <w:lvlText w:val="%3."/>
      <w:lvlJc w:val="right"/>
      <w:pPr>
        <w:pStyle w:val="847"/>
        <w:ind w:left="1380" w:hanging="420"/>
      </w:pPr>
    </w:lvl>
    <w:lvl w:ilvl="3">
      <w:start w:val="1"/>
      <w:numFmt w:val="decimal"/>
      <w:isLgl w:val="false"/>
      <w:suff w:val="tab"/>
      <w:lvlText w:val="%4."/>
      <w:lvlJc w:val="left"/>
      <w:pPr>
        <w:pStyle w:val="847"/>
        <w:ind w:left="1800" w:hanging="420"/>
      </w:pPr>
    </w:lvl>
    <w:lvl w:ilvl="4">
      <w:start w:val="1"/>
      <w:numFmt w:val="lowerLetter"/>
      <w:isLgl w:val="false"/>
      <w:suff w:val="tab"/>
      <w:lvlText w:val="%5)"/>
      <w:lvlJc w:val="left"/>
      <w:pPr>
        <w:pStyle w:val="847"/>
        <w:ind w:left="2220" w:hanging="420"/>
      </w:pPr>
    </w:lvl>
    <w:lvl w:ilvl="5">
      <w:start w:val="1"/>
      <w:numFmt w:val="lowerRoman"/>
      <w:isLgl w:val="false"/>
      <w:suff w:val="tab"/>
      <w:lvlText w:val="%6."/>
      <w:lvlJc w:val="right"/>
      <w:pPr>
        <w:pStyle w:val="847"/>
        <w:ind w:left="2640" w:hanging="420"/>
      </w:pPr>
    </w:lvl>
    <w:lvl w:ilvl="6">
      <w:start w:val="1"/>
      <w:numFmt w:val="decimal"/>
      <w:isLgl w:val="false"/>
      <w:suff w:val="tab"/>
      <w:lvlText w:val="%7."/>
      <w:lvlJc w:val="left"/>
      <w:pPr>
        <w:pStyle w:val="847"/>
        <w:ind w:left="3060" w:hanging="420"/>
      </w:pPr>
    </w:lvl>
    <w:lvl w:ilvl="7">
      <w:start w:val="1"/>
      <w:numFmt w:val="lowerLetter"/>
      <w:isLgl w:val="false"/>
      <w:suff w:val="tab"/>
      <w:lvlText w:val="%8)"/>
      <w:lvlJc w:val="left"/>
      <w:pPr>
        <w:pStyle w:val="847"/>
        <w:ind w:left="3480" w:hanging="420"/>
      </w:pPr>
    </w:lvl>
    <w:lvl w:ilvl="8">
      <w:start w:val="1"/>
      <w:numFmt w:val="lowerRoman"/>
      <w:isLgl w:val="false"/>
      <w:suff w:val="tab"/>
      <w:lvlText w:val="%9."/>
      <w:lvlJc w:val="right"/>
      <w:pPr>
        <w:pStyle w:val="847"/>
        <w:ind w:left="3900" w:hanging="420"/>
      </w:pPr>
    </w:lvl>
  </w:abstractNum>
  <w:abstractNum w:abstractNumId="7">
    <w:multiLevelType w:val="hybridMultilevel"/>
    <w:lvl w:ilvl="0">
      <w:start w:val="1"/>
      <w:numFmt w:val="decimal"/>
      <w:isLgl w:val="false"/>
      <w:suff w:val="nothing"/>
      <w:lvlText w:val="（%1）"/>
      <w:lvlJc w:val="left"/>
      <w:pPr>
        <w:pStyle w:val="847"/>
      </w:p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8">
    <w:multiLevelType w:val="hybridMultilevel"/>
    <w:lvl w:ilvl="0">
      <w:start w:val="3"/>
      <w:numFmt w:val="decimal"/>
      <w:isLgl w:val="false"/>
      <w:suff w:val="nothing"/>
      <w:lvlText w:val="%1、"/>
      <w:lvlJc w:val="left"/>
      <w:pPr>
        <w:pStyle w:val="8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16"/>
      <w:isLgl w:val="false"/>
      <w:suff w:val="tab"/>
      <w:lvlText w:val=""/>
      <w:lvlJc w:val="left"/>
      <w:pPr>
        <w:pStyle w:val="847"/>
        <w:ind w:left="420" w:hanging="420"/>
      </w:pPr>
      <w:rPr>
        <w:rFonts w:ascii="Symbol" w:hAnsi="Symbol"/>
        <w:color w:val="000000"/>
        <w:position w:val="-2"/>
        <w:sz w:val="15"/>
        <w:szCs w:val="18"/>
      </w:rPr>
    </w:lvl>
    <w:lvl w:ilvl="1">
      <w:start w:val="1"/>
      <w:numFmt w:val="bullet"/>
      <w:isLgl w:val="false"/>
      <w:suff w:val="tab"/>
      <w:lvlText w:val=""/>
      <w:lvlJc w:val="left"/>
      <w:pPr>
        <w:pStyle w:val="847"/>
        <w:ind w:left="840" w:hanging="420"/>
        <w:tabs>
          <w:tab w:val="num" w:pos="840" w:leader="none"/>
        </w:tabs>
      </w:pPr>
      <w:rPr>
        <w:rFonts w:ascii="Wingdings" w:hAnsi="Wingdings"/>
      </w:rPr>
    </w:lvl>
    <w:lvl w:ilvl="2">
      <w:start w:val="1"/>
      <w:numFmt w:val="bullet"/>
      <w:isLgl w:val="false"/>
      <w:suff w:val="tab"/>
      <w:lvlText w:val=""/>
      <w:lvlJc w:val="left"/>
      <w:pPr>
        <w:pStyle w:val="847"/>
        <w:ind w:left="1260" w:hanging="420"/>
        <w:tabs>
          <w:tab w:val="num" w:pos="1260" w:leader="none"/>
        </w:tabs>
      </w:pPr>
      <w:rPr>
        <w:rFonts w:ascii="Wingdings" w:hAnsi="Wingdings"/>
      </w:rPr>
    </w:lvl>
    <w:lvl w:ilvl="3">
      <w:start w:val="1"/>
      <w:numFmt w:val="bullet"/>
      <w:isLgl w:val="false"/>
      <w:suff w:val="tab"/>
      <w:lvlText w:val=""/>
      <w:lvlJc w:val="left"/>
      <w:pPr>
        <w:pStyle w:val="847"/>
        <w:ind w:left="1680" w:hanging="420"/>
        <w:tabs>
          <w:tab w:val="num" w:pos="1680" w:leader="none"/>
        </w:tabs>
      </w:pPr>
      <w:rPr>
        <w:rFonts w:ascii="Wingdings" w:hAnsi="Wingdings"/>
      </w:rPr>
    </w:lvl>
    <w:lvl w:ilvl="4">
      <w:start w:val="1"/>
      <w:numFmt w:val="bullet"/>
      <w:isLgl w:val="false"/>
      <w:suff w:val="tab"/>
      <w:lvlText w:val=""/>
      <w:lvlJc w:val="left"/>
      <w:pPr>
        <w:pStyle w:val="847"/>
        <w:ind w:left="2100" w:hanging="420"/>
        <w:tabs>
          <w:tab w:val="num" w:pos="2100" w:leader="none"/>
        </w:tabs>
      </w:pPr>
      <w:rPr>
        <w:rFonts w:ascii="Wingdings" w:hAnsi="Wingdings"/>
      </w:rPr>
    </w:lvl>
    <w:lvl w:ilvl="5">
      <w:start w:val="1"/>
      <w:numFmt w:val="bullet"/>
      <w:isLgl w:val="false"/>
      <w:suff w:val="tab"/>
      <w:lvlText w:val=""/>
      <w:lvlJc w:val="left"/>
      <w:pPr>
        <w:pStyle w:val="847"/>
        <w:ind w:left="2520" w:hanging="420"/>
        <w:tabs>
          <w:tab w:val="num" w:pos="2520" w:leader="none"/>
        </w:tabs>
      </w:pPr>
      <w:rPr>
        <w:rFonts w:ascii="Wingdings" w:hAnsi="Wingdings"/>
      </w:rPr>
    </w:lvl>
    <w:lvl w:ilvl="6">
      <w:start w:val="1"/>
      <w:numFmt w:val="bullet"/>
      <w:isLgl w:val="false"/>
      <w:suff w:val="tab"/>
      <w:lvlText w:val=""/>
      <w:lvlJc w:val="left"/>
      <w:pPr>
        <w:pStyle w:val="847"/>
        <w:ind w:left="2940" w:hanging="420"/>
        <w:tabs>
          <w:tab w:val="num" w:pos="2940" w:leader="none"/>
        </w:tabs>
      </w:pPr>
      <w:rPr>
        <w:rFonts w:ascii="Wingdings" w:hAnsi="Wingdings"/>
      </w:rPr>
    </w:lvl>
    <w:lvl w:ilvl="7">
      <w:start w:val="1"/>
      <w:numFmt w:val="bullet"/>
      <w:isLgl w:val="false"/>
      <w:suff w:val="tab"/>
      <w:lvlText w:val=""/>
      <w:lvlJc w:val="left"/>
      <w:pPr>
        <w:pStyle w:val="847"/>
        <w:ind w:left="3360" w:hanging="420"/>
        <w:tabs>
          <w:tab w:val="num" w:pos="3360" w:leader="none"/>
        </w:tabs>
      </w:pPr>
      <w:rPr>
        <w:rFonts w:ascii="Wingdings" w:hAnsi="Wingdings"/>
      </w:rPr>
    </w:lvl>
    <w:lvl w:ilvl="8">
      <w:start w:val="1"/>
      <w:numFmt w:val="bullet"/>
      <w:isLgl w:val="false"/>
      <w:suff w:val="tab"/>
      <w:lvlText w:val=""/>
      <w:lvlJc w:val="left"/>
      <w:pPr>
        <w:pStyle w:val="847"/>
        <w:ind w:left="3780" w:hanging="420"/>
        <w:tabs>
          <w:tab w:val="num" w:pos="3780" w:leader="none"/>
        </w:tabs>
      </w:pPr>
      <w:rPr>
        <w:rFonts w:ascii="Wingdings" w:hAnsi="Wingdings"/>
      </w:rPr>
    </w:lvl>
  </w:abstractNum>
  <w:abstractNum w:abstractNumId="10">
    <w:multiLevelType w:val="hybridMultilevel"/>
    <w:lvl w:ilvl="0">
      <w:start w:val="1"/>
      <w:numFmt w:val="bullet"/>
      <w:pStyle w:val="860"/>
      <w:isLgl w:val="false"/>
      <w:suff w:val="tab"/>
      <w:lvlText w:val=""/>
      <w:lvlJc w:val="left"/>
      <w:pPr>
        <w:pStyle w:val="847"/>
        <w:ind w:left="420" w:hanging="420"/>
        <w:tabs>
          <w:tab w:val="num" w:pos="420" w:leader="none"/>
        </w:tabs>
      </w:pPr>
      <w:rPr>
        <w:rFonts w:ascii="Wingdings" w:hAnsi="Wingdings"/>
      </w:rPr>
    </w:lvl>
    <w:lvl w:ilvl="1">
      <w:start w:val="1"/>
      <w:numFmt w:val="bullet"/>
      <w:isLgl w:val="false"/>
      <w:suff w:val="tab"/>
      <w:lvlText w:val=""/>
      <w:lvlJc w:val="left"/>
      <w:pPr>
        <w:pStyle w:val="847"/>
        <w:ind w:left="3165" w:hanging="420"/>
        <w:tabs>
          <w:tab w:val="num" w:pos="3165" w:leader="none"/>
        </w:tabs>
      </w:pPr>
      <w:rPr>
        <w:rFonts w:ascii="Wingdings" w:hAnsi="Wingdings"/>
      </w:rPr>
    </w:lvl>
    <w:lvl w:ilvl="2">
      <w:start w:val="1"/>
      <w:numFmt w:val="bullet"/>
      <w:isLgl w:val="false"/>
      <w:suff w:val="tab"/>
      <w:lvlText w:val=""/>
      <w:lvlJc w:val="left"/>
      <w:pPr>
        <w:pStyle w:val="847"/>
        <w:ind w:left="3585" w:hanging="420"/>
        <w:tabs>
          <w:tab w:val="num" w:pos="3585" w:leader="none"/>
        </w:tabs>
      </w:pPr>
      <w:rPr>
        <w:rFonts w:ascii="Wingdings" w:hAnsi="Wingdings"/>
      </w:rPr>
    </w:lvl>
    <w:lvl w:ilvl="3">
      <w:start w:val="1"/>
      <w:numFmt w:val="bullet"/>
      <w:isLgl w:val="false"/>
      <w:suff w:val="tab"/>
      <w:lvlText w:val=""/>
      <w:lvlJc w:val="left"/>
      <w:pPr>
        <w:pStyle w:val="847"/>
        <w:ind w:left="4005" w:hanging="420"/>
        <w:tabs>
          <w:tab w:val="num" w:pos="4005" w:leader="none"/>
        </w:tabs>
      </w:pPr>
      <w:rPr>
        <w:rFonts w:ascii="Wingdings" w:hAnsi="Wingdings"/>
      </w:rPr>
    </w:lvl>
    <w:lvl w:ilvl="4">
      <w:start w:val="1"/>
      <w:numFmt w:val="bullet"/>
      <w:isLgl w:val="false"/>
      <w:suff w:val="tab"/>
      <w:lvlText w:val=""/>
      <w:lvlJc w:val="left"/>
      <w:pPr>
        <w:pStyle w:val="847"/>
        <w:ind w:left="4425" w:hanging="420"/>
        <w:tabs>
          <w:tab w:val="num" w:pos="4425" w:leader="none"/>
        </w:tabs>
      </w:pPr>
      <w:rPr>
        <w:rFonts w:ascii="Wingdings" w:hAnsi="Wingdings"/>
      </w:rPr>
    </w:lvl>
    <w:lvl w:ilvl="5">
      <w:start w:val="1"/>
      <w:numFmt w:val="bullet"/>
      <w:isLgl w:val="false"/>
      <w:suff w:val="tab"/>
      <w:lvlText w:val=""/>
      <w:lvlJc w:val="left"/>
      <w:pPr>
        <w:pStyle w:val="847"/>
        <w:ind w:left="4845" w:hanging="420"/>
        <w:tabs>
          <w:tab w:val="num" w:pos="4845" w:leader="none"/>
        </w:tabs>
      </w:pPr>
      <w:rPr>
        <w:rFonts w:ascii="Wingdings" w:hAnsi="Wingdings"/>
      </w:rPr>
    </w:lvl>
    <w:lvl w:ilvl="6">
      <w:start w:val="1"/>
      <w:numFmt w:val="bullet"/>
      <w:isLgl w:val="false"/>
      <w:suff w:val="tab"/>
      <w:lvlText w:val=""/>
      <w:lvlJc w:val="left"/>
      <w:pPr>
        <w:pStyle w:val="847"/>
        <w:ind w:left="5265" w:hanging="420"/>
        <w:tabs>
          <w:tab w:val="num" w:pos="5265" w:leader="none"/>
        </w:tabs>
      </w:pPr>
      <w:rPr>
        <w:rFonts w:ascii="Wingdings" w:hAnsi="Wingdings"/>
      </w:rPr>
    </w:lvl>
    <w:lvl w:ilvl="7">
      <w:start w:val="1"/>
      <w:numFmt w:val="bullet"/>
      <w:isLgl w:val="false"/>
      <w:suff w:val="tab"/>
      <w:lvlText w:val=""/>
      <w:lvlJc w:val="left"/>
      <w:pPr>
        <w:pStyle w:val="847"/>
        <w:ind w:left="5685" w:hanging="420"/>
        <w:tabs>
          <w:tab w:val="num" w:pos="5685" w:leader="none"/>
        </w:tabs>
      </w:pPr>
      <w:rPr>
        <w:rFonts w:ascii="Wingdings" w:hAnsi="Wingdings"/>
      </w:rPr>
    </w:lvl>
    <w:lvl w:ilvl="8">
      <w:start w:val="1"/>
      <w:numFmt w:val="bullet"/>
      <w:isLgl w:val="false"/>
      <w:suff w:val="tab"/>
      <w:lvlText w:val=""/>
      <w:lvlJc w:val="left"/>
      <w:pPr>
        <w:pStyle w:val="847"/>
        <w:ind w:left="6105" w:hanging="420"/>
        <w:tabs>
          <w:tab w:val="num" w:pos="6105" w:leader="none"/>
        </w:tabs>
      </w:pPr>
      <w:rPr>
        <w:rFonts w:ascii="Wingdings" w:hAnsi="Wingdings"/>
      </w:rPr>
    </w:lvl>
  </w:abstractNum>
  <w:abstractNum w:abstractNumId="11">
    <w:multiLevelType w:val="hybridMultilevel"/>
    <w:lvl w:ilvl="0">
      <w:start w:val="1"/>
      <w:numFmt w:val="upperLetter"/>
      <w:pStyle w:val="932"/>
      <w:isLgl w:val="false"/>
      <w:suff w:val="tab"/>
      <w:lvlText w:val="%1."/>
      <w:lvlJc w:val="left"/>
      <w:pPr>
        <w:pStyle w:val="847"/>
        <w:ind w:left="360" w:hanging="360"/>
        <w:tabs>
          <w:tab w:val="num" w:pos="360" w:leader="none"/>
        </w:tabs>
      </w:pPr>
      <w:rPr>
        <w:rFonts w:cs="Times New Roman"/>
      </w:rPr>
    </w:lvl>
    <w:lvl w:ilvl="1">
      <w:start w:val="1"/>
      <w:numFmt w:val="lowerLetter"/>
      <w:isLgl w:val="false"/>
      <w:suff w:val="tab"/>
      <w:lvlText w:val="%2)"/>
      <w:lvlJc w:val="left"/>
      <w:pPr>
        <w:pStyle w:val="847"/>
        <w:ind w:left="840" w:hanging="420"/>
        <w:tabs>
          <w:tab w:val="num" w:pos="840" w:leader="none"/>
        </w:tabs>
      </w:pPr>
      <w:rPr>
        <w:rFonts w:cs="Times New Roman"/>
      </w:rPr>
    </w:lvl>
    <w:lvl w:ilvl="2">
      <w:start w:val="1"/>
      <w:numFmt w:val="lowerRoman"/>
      <w:isLgl w:val="false"/>
      <w:suff w:val="tab"/>
      <w:lvlText w:val="%3."/>
      <w:lvlJc w:val="right"/>
      <w:pPr>
        <w:pStyle w:val="847"/>
        <w:ind w:left="1260" w:hanging="420"/>
        <w:tabs>
          <w:tab w:val="num" w:pos="1260" w:leader="none"/>
        </w:tabs>
      </w:pPr>
      <w:rPr>
        <w:rFonts w:cs="Times New Roman"/>
      </w:rPr>
    </w:lvl>
    <w:lvl w:ilvl="3">
      <w:start w:val="1"/>
      <w:numFmt w:val="decimal"/>
      <w:isLgl w:val="false"/>
      <w:suff w:val="tab"/>
      <w:lvlText w:val="%4."/>
      <w:lvlJc w:val="left"/>
      <w:pPr>
        <w:pStyle w:val="847"/>
        <w:ind w:left="1680" w:hanging="420"/>
        <w:tabs>
          <w:tab w:val="num" w:pos="1680" w:leader="none"/>
        </w:tabs>
      </w:pPr>
      <w:rPr>
        <w:rFonts w:cs="Times New Roman"/>
      </w:rPr>
    </w:lvl>
    <w:lvl w:ilvl="4">
      <w:start w:val="1"/>
      <w:numFmt w:val="lowerLetter"/>
      <w:isLgl w:val="false"/>
      <w:suff w:val="tab"/>
      <w:lvlText w:val="%5)"/>
      <w:lvlJc w:val="left"/>
      <w:pPr>
        <w:pStyle w:val="847"/>
        <w:ind w:left="2100" w:hanging="420"/>
        <w:tabs>
          <w:tab w:val="num" w:pos="2100" w:leader="none"/>
        </w:tabs>
      </w:pPr>
      <w:rPr>
        <w:rFonts w:cs="Times New Roman"/>
      </w:rPr>
    </w:lvl>
    <w:lvl w:ilvl="5">
      <w:start w:val="1"/>
      <w:numFmt w:val="lowerRoman"/>
      <w:isLgl w:val="false"/>
      <w:suff w:val="tab"/>
      <w:lvlText w:val="%6."/>
      <w:lvlJc w:val="right"/>
      <w:pPr>
        <w:pStyle w:val="847"/>
        <w:ind w:left="2520" w:hanging="420"/>
        <w:tabs>
          <w:tab w:val="num" w:pos="2520" w:leader="none"/>
        </w:tabs>
      </w:pPr>
      <w:rPr>
        <w:rFonts w:cs="Times New Roman"/>
      </w:rPr>
    </w:lvl>
    <w:lvl w:ilvl="6">
      <w:start w:val="1"/>
      <w:numFmt w:val="decimal"/>
      <w:isLgl w:val="false"/>
      <w:suff w:val="tab"/>
      <w:lvlText w:val="%7."/>
      <w:lvlJc w:val="left"/>
      <w:pPr>
        <w:pStyle w:val="847"/>
        <w:ind w:left="2940" w:hanging="420"/>
        <w:tabs>
          <w:tab w:val="num" w:pos="2940" w:leader="none"/>
        </w:tabs>
      </w:pPr>
      <w:rPr>
        <w:rFonts w:cs="Times New Roman"/>
      </w:rPr>
    </w:lvl>
    <w:lvl w:ilvl="7">
      <w:start w:val="1"/>
      <w:numFmt w:val="lowerLetter"/>
      <w:isLgl w:val="false"/>
      <w:suff w:val="tab"/>
      <w:lvlText w:val="%8)"/>
      <w:lvlJc w:val="left"/>
      <w:pPr>
        <w:pStyle w:val="847"/>
        <w:ind w:left="3360" w:hanging="420"/>
        <w:tabs>
          <w:tab w:val="num" w:pos="3360" w:leader="none"/>
        </w:tabs>
      </w:pPr>
      <w:rPr>
        <w:rFonts w:cs="Times New Roman"/>
      </w:rPr>
    </w:lvl>
    <w:lvl w:ilvl="8">
      <w:start w:val="1"/>
      <w:numFmt w:val="lowerRoman"/>
      <w:isLgl w:val="false"/>
      <w:suff w:val="tab"/>
      <w:lvlText w:val="%9."/>
      <w:lvlJc w:val="right"/>
      <w:pPr>
        <w:pStyle w:val="847"/>
        <w:ind w:left="3780" w:hanging="420"/>
        <w:tabs>
          <w:tab w:val="num" w:pos="3780" w:leader="none"/>
        </w:tabs>
      </w:pPr>
      <w:rPr>
        <w:rFonts w:cs="Times New Roman"/>
      </w:rPr>
    </w:lvl>
  </w:abstractNum>
  <w:abstractNum w:abstractNumId="12">
    <w:multiLevelType w:val="hybridMultilevel"/>
    <w:lvl w:ilvl="0">
      <w:start w:val="1"/>
      <w:numFmt w:val="japaneseCounting"/>
      <w:isLgl w:val="false"/>
      <w:suff w:val="tab"/>
      <w:lvlText w:val="第%1章"/>
      <w:lvlJc w:val="left"/>
      <w:pPr>
        <w:pStyle w:val="84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pStyle w:val="847"/>
      </w:pPr>
      <w:rPr>
        <w:rFonts w:hint="eastAsia"/>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47"/>
      </w:p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847"/>
        <w:ind w:left="0" w:firstLine="0"/>
      </w:pPr>
      <w:rPr>
        <w:rFonts w:hint="eastAsia"/>
      </w:rPr>
    </w:lvl>
    <w:lvl w:ilvl="1">
      <w:start w:val="1"/>
      <w:numFmt w:val="decimal"/>
      <w:isLgl w:val="false"/>
      <w:suff w:val="nothing"/>
      <w:lvlText w:val="%2、"/>
      <w:lvlJc w:val="left"/>
      <w:pPr>
        <w:pStyle w:val="847"/>
        <w:ind w:left="0" w:firstLine="0"/>
      </w:pPr>
      <w:rPr>
        <w:rFonts w:hint="eastAsia"/>
      </w:rPr>
    </w:lvl>
    <w:lvl w:ilvl="2">
      <w:start w:val="1"/>
      <w:numFmt w:val="decimal"/>
      <w:isLgl w:val="false"/>
      <w:suff w:val="nothing"/>
      <w:lvlText w:val="%2.%3 "/>
      <w:lvlJc w:val="left"/>
      <w:pPr>
        <w:pStyle w:val="847"/>
        <w:ind w:left="0" w:firstLine="0"/>
      </w:pPr>
      <w:rPr>
        <w:rFonts w:hint="eastAsia"/>
      </w:rPr>
    </w:lvl>
    <w:lvl w:ilvl="3">
      <w:start w:val="1"/>
      <w:numFmt w:val="decimal"/>
      <w:isLgl w:val="false"/>
      <w:suff w:val="nothing"/>
      <w:lvlText w:val="%2.%3.%4 "/>
      <w:lvlJc w:val="left"/>
      <w:pPr>
        <w:pStyle w:val="847"/>
        <w:ind w:left="0" w:firstLine="0"/>
      </w:pPr>
      <w:rPr>
        <w:rFonts w:hint="eastAsia"/>
      </w:rPr>
    </w:lvl>
    <w:lvl w:ilvl="4">
      <w:start w:val="1"/>
      <w:numFmt w:val="decimal"/>
      <w:isLgl w:val="false"/>
      <w:suff w:val="nothing"/>
      <w:lvlText w:val="%2.%3.%4.%5 "/>
      <w:lvlJc w:val="left"/>
      <w:pPr>
        <w:pStyle w:val="847"/>
        <w:ind w:left="0" w:firstLine="0"/>
      </w:pPr>
      <w:rPr>
        <w:rFonts w:hint="eastAsia"/>
      </w:rPr>
    </w:lvl>
    <w:lvl w:ilvl="5">
      <w:start w:val="1"/>
      <w:numFmt w:val="decimal"/>
      <w:pStyle w:val="1224"/>
      <w:isLgl w:val="false"/>
      <w:suff w:val="nothing"/>
      <w:lvlText w:val=""/>
      <w:lvlJc w:val="left"/>
      <w:pPr>
        <w:pStyle w:val="847"/>
        <w:ind w:left="0" w:firstLine="0"/>
      </w:pPr>
      <w:rPr>
        <w:rFonts w:hint="eastAsia"/>
      </w:rPr>
    </w:lvl>
    <w:lvl w:ilvl="6">
      <w:start w:val="1"/>
      <w:numFmt w:val="decimal"/>
      <w:pStyle w:val="1226"/>
      <w:isLgl w:val="false"/>
      <w:suff w:val="nothing"/>
      <w:lvlText w:val=""/>
      <w:lvlJc w:val="left"/>
      <w:pPr>
        <w:pStyle w:val="847"/>
        <w:ind w:left="0" w:firstLine="0"/>
      </w:pPr>
      <w:rPr>
        <w:rFonts w:hint="eastAsia"/>
      </w:rPr>
    </w:lvl>
    <w:lvl w:ilvl="7">
      <w:start w:val="1"/>
      <w:numFmt w:val="decimal"/>
      <w:pStyle w:val="1228"/>
      <w:isLgl w:val="false"/>
      <w:suff w:val="nothing"/>
      <w:lvlText w:val=""/>
      <w:lvlJc w:val="left"/>
      <w:pPr>
        <w:pStyle w:val="847"/>
        <w:ind w:left="0" w:firstLine="0"/>
      </w:pPr>
      <w:rPr>
        <w:rFonts w:hint="eastAsia"/>
      </w:rPr>
    </w:lvl>
    <w:lvl w:ilvl="8">
      <w:start w:val="1"/>
      <w:numFmt w:val="decimal"/>
      <w:pStyle w:val="1230"/>
      <w:isLgl w:val="false"/>
      <w:suff w:val="nothing"/>
      <w:lvlText w:val=""/>
      <w:lvlJc w:val="left"/>
      <w:pPr>
        <w:pStyle w:val="847"/>
        <w:ind w:left="0" w:firstLine="0"/>
      </w:pPr>
      <w:rPr>
        <w:rFonts w:hint="eastAsia"/>
      </w:rPr>
    </w:lvl>
  </w:abstractNum>
  <w:abstractNum w:abstractNumId="16">
    <w:multiLevelType w:val="hybridMultilevel"/>
    <w:lvl w:ilvl="0">
      <w:start w:val="1"/>
      <w:numFmt w:val="chineseCounting"/>
      <w:isLgl w:val="false"/>
      <w:suff w:val="nothing"/>
      <w:lvlText w:val="%1、"/>
      <w:lvlJc w:val="left"/>
      <w:pPr>
        <w:pStyle w:val="8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pStyle w:val="84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47"/>
        <w:ind w:left="840" w:hanging="420"/>
        <w:tabs>
          <w:tab w:val="num" w:pos="840" w:leader="none"/>
        </w:tabs>
      </w:pPr>
      <w:rPr>
        <w:rFonts w:cs="Times New Roman"/>
      </w:rPr>
    </w:lvl>
    <w:lvl w:ilvl="2">
      <w:start w:val="10"/>
      <w:numFmt w:val="decimal"/>
      <w:isLgl w:val="false"/>
      <w:suff w:val="tab"/>
      <w:lvlText w:val="%3."/>
      <w:lvlJc w:val="left"/>
      <w:pPr>
        <w:pStyle w:val="847"/>
        <w:ind w:left="1200" w:hanging="360"/>
        <w:tabs>
          <w:tab w:val="num" w:pos="1200" w:leader="none"/>
        </w:tabs>
      </w:pPr>
      <w:rPr>
        <w:rFonts w:cs="Times New Roman"/>
      </w:rPr>
    </w:lvl>
    <w:lvl w:ilvl="3">
      <w:start w:val="1"/>
      <w:numFmt w:val="decimal"/>
      <w:isLgl w:val="false"/>
      <w:suff w:val="tab"/>
      <w:lvlText w:val="%4."/>
      <w:lvlJc w:val="left"/>
      <w:pPr>
        <w:pStyle w:val="847"/>
        <w:ind w:left="1680" w:hanging="420"/>
        <w:tabs>
          <w:tab w:val="num" w:pos="1680" w:leader="none"/>
        </w:tabs>
      </w:pPr>
      <w:rPr>
        <w:rFonts w:cs="Times New Roman"/>
      </w:rPr>
    </w:lvl>
    <w:lvl w:ilvl="4">
      <w:start w:val="1"/>
      <w:numFmt w:val="lowerLetter"/>
      <w:isLgl w:val="false"/>
      <w:suff w:val="tab"/>
      <w:lvlText w:val="%5)"/>
      <w:lvlJc w:val="left"/>
      <w:pPr>
        <w:pStyle w:val="847"/>
        <w:ind w:left="2100" w:hanging="420"/>
        <w:tabs>
          <w:tab w:val="num" w:pos="2100" w:leader="none"/>
        </w:tabs>
      </w:pPr>
      <w:rPr>
        <w:rFonts w:cs="Times New Roman"/>
      </w:rPr>
    </w:lvl>
    <w:lvl w:ilvl="5">
      <w:start w:val="1"/>
      <w:numFmt w:val="lowerRoman"/>
      <w:isLgl w:val="false"/>
      <w:suff w:val="tab"/>
      <w:lvlText w:val="%6."/>
      <w:lvlJc w:val="right"/>
      <w:pPr>
        <w:pStyle w:val="847"/>
        <w:ind w:left="2520" w:hanging="420"/>
        <w:tabs>
          <w:tab w:val="num" w:pos="2520" w:leader="none"/>
        </w:tabs>
      </w:pPr>
      <w:rPr>
        <w:rFonts w:cs="Times New Roman"/>
      </w:rPr>
    </w:lvl>
    <w:lvl w:ilvl="6">
      <w:start w:val="1"/>
      <w:numFmt w:val="decimal"/>
      <w:isLgl w:val="false"/>
      <w:suff w:val="tab"/>
      <w:lvlText w:val="%7."/>
      <w:lvlJc w:val="left"/>
      <w:pPr>
        <w:pStyle w:val="847"/>
        <w:ind w:left="2940" w:hanging="420"/>
        <w:tabs>
          <w:tab w:val="num" w:pos="2940" w:leader="none"/>
        </w:tabs>
      </w:pPr>
      <w:rPr>
        <w:rFonts w:cs="Times New Roman"/>
      </w:rPr>
    </w:lvl>
    <w:lvl w:ilvl="7">
      <w:start w:val="1"/>
      <w:numFmt w:val="lowerLetter"/>
      <w:isLgl w:val="false"/>
      <w:suff w:val="tab"/>
      <w:lvlText w:val="%8)"/>
      <w:lvlJc w:val="left"/>
      <w:pPr>
        <w:pStyle w:val="847"/>
        <w:ind w:left="3360" w:hanging="420"/>
        <w:tabs>
          <w:tab w:val="num" w:pos="3360" w:leader="none"/>
        </w:tabs>
      </w:pPr>
      <w:rPr>
        <w:rFonts w:cs="Times New Roman"/>
      </w:rPr>
    </w:lvl>
    <w:lvl w:ilvl="8">
      <w:start w:val="1"/>
      <w:numFmt w:val="lowerRoman"/>
      <w:isLgl w:val="false"/>
      <w:suff w:val="tab"/>
      <w:lvlText w:val="%9."/>
      <w:lvlJc w:val="right"/>
      <w:pPr>
        <w:pStyle w:val="847"/>
        <w:ind w:left="3780" w:hanging="420"/>
        <w:tabs>
          <w:tab w:val="num" w:pos="3780" w:leader="none"/>
        </w:tabs>
      </w:pPr>
      <w:rPr>
        <w:rFonts w:cs="Times New Roman"/>
      </w:rPr>
    </w:lvl>
  </w:abstractNum>
  <w:abstractNum w:abstractNumId="18">
    <w:multiLevelType w:val="hybridMultilevel"/>
    <w:lvl w:ilvl="0">
      <w:start w:val="3"/>
      <w:numFmt w:val="chineseCounting"/>
      <w:isLgl w:val="false"/>
      <w:suff w:val="space"/>
      <w:lvlText w:val="第%1章"/>
      <w:lvlJc w:val="left"/>
      <w:pPr>
        <w:pStyle w:val="847"/>
      </w:pPr>
      <w:rPr>
        <w:rFonts w:hint="eastAsia"/>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num w:numId="1">
    <w:abstractNumId w:val="10"/>
  </w:num>
  <w:num w:numId="2">
    <w:abstractNumId w:val="11"/>
  </w:num>
  <w:num w:numId="3">
    <w:abstractNumId w:val="6"/>
  </w:num>
  <w:num w:numId="4">
    <w:abstractNumId w:val="15"/>
  </w:num>
  <w:num w:numId="5">
    <w:abstractNumId w:val="3"/>
  </w:num>
  <w:num w:numId="6">
    <w:abstractNumId w:val="2"/>
  </w:num>
  <w:num w:numId="7">
    <w:abstractNumId w:val="9"/>
  </w:num>
  <w:num w:numId="8">
    <w:abstractNumId w:val="12"/>
  </w:num>
  <w:num w:numId="9">
    <w:abstractNumId w:val="18"/>
  </w:num>
  <w:num w:numId="10">
    <w:abstractNumId w:val="13"/>
  </w:num>
  <w:num w:numId="11">
    <w:abstractNumId w:val="8"/>
  </w:num>
  <w:num w:numId="12">
    <w:abstractNumId w:val="1"/>
  </w:num>
  <w:num w:numId="13">
    <w:abstractNumId w:val="4"/>
  </w:num>
  <w:num w:numId="14">
    <w:abstractNumId w:val="16"/>
  </w:num>
  <w:num w:numId="15">
    <w:abstractNumId w:val="7"/>
  </w:num>
  <w:num w:numId="16">
    <w:abstractNumId w:val="0"/>
  </w:num>
  <w:num w:numId="17">
    <w:abstractNumId w:val="14"/>
  </w:num>
  <w:num w:numId="18">
    <w:abstractNumId w:val="17"/>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847"/>
    <w:next w:val="847"/>
    <w:link w:val="1072"/>
    <w:uiPriority w:val="9"/>
    <w:qFormat/>
    <w:pPr>
      <w:keepLines/>
      <w:keepNext/>
      <w:spacing w:before="480" w:after="200"/>
      <w:outlineLvl w:val="0"/>
    </w:pPr>
    <w:rPr>
      <w:rFonts w:ascii="Arial" w:hAnsi="Arial" w:eastAsia="Arial" w:cs="Arial"/>
      <w:sz w:val="40"/>
      <w:szCs w:val="40"/>
    </w:rPr>
  </w:style>
  <w:style w:type="paragraph" w:styleId="798">
    <w:name w:val="Heading 2"/>
    <w:basedOn w:val="847"/>
    <w:next w:val="847"/>
    <w:link w:val="1073"/>
    <w:uiPriority w:val="9"/>
    <w:unhideWhenUsed/>
    <w:qFormat/>
    <w:pPr>
      <w:keepLines/>
      <w:keepNext/>
      <w:spacing w:before="360" w:after="200"/>
      <w:outlineLvl w:val="1"/>
    </w:pPr>
    <w:rPr>
      <w:rFonts w:ascii="Arial" w:hAnsi="Arial" w:eastAsia="Arial" w:cs="Arial"/>
      <w:sz w:val="34"/>
    </w:rPr>
  </w:style>
  <w:style w:type="paragraph" w:styleId="799">
    <w:name w:val="Heading 3"/>
    <w:basedOn w:val="847"/>
    <w:next w:val="847"/>
    <w:link w:val="1074"/>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847"/>
    <w:next w:val="847"/>
    <w:link w:val="1075"/>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847"/>
    <w:next w:val="847"/>
    <w:link w:val="107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847"/>
    <w:next w:val="847"/>
    <w:link w:val="1077"/>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847"/>
    <w:next w:val="847"/>
    <w:link w:val="1078"/>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847"/>
    <w:next w:val="847"/>
    <w:link w:val="1079"/>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847"/>
    <w:next w:val="847"/>
    <w:link w:val="1080"/>
    <w:uiPriority w:val="9"/>
    <w:unhideWhenUsed/>
    <w:qFormat/>
    <w:pPr>
      <w:keepLines/>
      <w:keepNext/>
      <w:spacing w:before="320" w:after="200"/>
      <w:outlineLvl w:val="8"/>
    </w:pPr>
    <w:rPr>
      <w:rFonts w:ascii="Arial" w:hAnsi="Arial" w:eastAsia="Arial" w:cs="Arial"/>
      <w:i/>
      <w:iCs/>
      <w:sz w:val="21"/>
      <w:szCs w:val="21"/>
    </w:rPr>
  </w:style>
  <w:style w:type="paragraph" w:styleId="806">
    <w:name w:val="Title"/>
    <w:basedOn w:val="847"/>
    <w:next w:val="847"/>
    <w:link w:val="1082"/>
    <w:uiPriority w:val="10"/>
    <w:qFormat/>
    <w:pPr>
      <w:contextualSpacing/>
      <w:spacing w:before="300" w:after="200"/>
    </w:pPr>
    <w:rPr>
      <w:sz w:val="48"/>
      <w:szCs w:val="48"/>
    </w:rPr>
  </w:style>
  <w:style w:type="paragraph" w:styleId="807">
    <w:name w:val="Subtitle"/>
    <w:basedOn w:val="847"/>
    <w:next w:val="847"/>
    <w:link w:val="1083"/>
    <w:uiPriority w:val="11"/>
    <w:qFormat/>
    <w:pPr>
      <w:spacing w:before="200" w:after="200"/>
    </w:pPr>
    <w:rPr>
      <w:sz w:val="24"/>
      <w:szCs w:val="24"/>
    </w:rPr>
  </w:style>
  <w:style w:type="paragraph" w:styleId="808">
    <w:name w:val="Header"/>
    <w:basedOn w:val="847"/>
    <w:link w:val="1090"/>
    <w:uiPriority w:val="99"/>
    <w:unhideWhenUsed/>
    <w:pPr>
      <w:spacing w:after="0" w:line="240" w:lineRule="auto"/>
      <w:tabs>
        <w:tab w:val="center" w:pos="7143" w:leader="none"/>
        <w:tab w:val="right" w:pos="14287" w:leader="none"/>
      </w:tabs>
    </w:pPr>
  </w:style>
  <w:style w:type="paragraph" w:styleId="809">
    <w:name w:val="Footer"/>
    <w:basedOn w:val="847"/>
    <w:link w:val="1092"/>
    <w:uiPriority w:val="99"/>
    <w:unhideWhenUsed/>
    <w:pPr>
      <w:spacing w:after="0" w:line="240" w:lineRule="auto"/>
      <w:tabs>
        <w:tab w:val="center" w:pos="7143" w:leader="none"/>
        <w:tab w:val="right" w:pos="14287" w:leader="none"/>
      </w:tabs>
    </w:pPr>
  </w:style>
  <w:style w:type="paragraph" w:styleId="810">
    <w:name w:val="Caption"/>
    <w:basedOn w:val="847"/>
    <w:next w:val="847"/>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1">
    <w:name w:val="Hyperlink"/>
    <w:uiPriority w:val="99"/>
    <w:unhideWhenUsed/>
    <w:rPr>
      <w:color w:val="0000ff" w:themeColor="hyperlink"/>
      <w:u w:val="single"/>
    </w:rPr>
  </w:style>
  <w:style w:type="paragraph" w:styleId="832">
    <w:name w:val="footnote text"/>
    <w:basedOn w:val="847"/>
    <w:link w:val="1093"/>
    <w:uiPriority w:val="99"/>
    <w:semiHidden/>
    <w:unhideWhenUsed/>
    <w:pPr>
      <w:spacing w:after="40" w:line="240" w:lineRule="auto"/>
    </w:pPr>
    <w:rPr>
      <w:sz w:val="18"/>
    </w:rPr>
  </w:style>
  <w:style w:type="character" w:styleId="833">
    <w:name w:val="footnote reference"/>
    <w:uiPriority w:val="99"/>
    <w:unhideWhenUsed/>
    <w:rPr>
      <w:vertAlign w:val="superscript"/>
    </w:rPr>
  </w:style>
  <w:style w:type="paragraph" w:styleId="834">
    <w:name w:val="endnote text"/>
    <w:basedOn w:val="847"/>
    <w:link w:val="1094"/>
    <w:uiPriority w:val="99"/>
    <w:semiHidden/>
    <w:unhideWhenUsed/>
    <w:pPr>
      <w:spacing w:after="0" w:line="240" w:lineRule="auto"/>
    </w:pPr>
    <w:rPr>
      <w:sz w:val="20"/>
    </w:rPr>
  </w:style>
  <w:style w:type="character" w:styleId="835">
    <w:name w:val="endnote reference"/>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9"/>
    <w:link w:val="847"/>
    <w:qFormat/>
    <w:pPr>
      <w:jc w:val="both"/>
      <w:widowControl w:val="off"/>
    </w:pPr>
    <w:rPr>
      <w:rFonts w:ascii="Calibri" w:hAnsi="Calibri" w:eastAsia="Arial" w:cs="Times New Roman"/>
      <w:sz w:val="21"/>
      <w:szCs w:val="22"/>
      <w:lang w:val="en-US" w:eastAsia="zh-CN" w:bidi="ar-SA"/>
    </w:rPr>
  </w:style>
  <w:style w:type="paragraph" w:styleId="848">
    <w:name w:val="标题 1"/>
    <w:basedOn w:val="847"/>
    <w:next w:val="847"/>
    <w:link w:val="847"/>
    <w:uiPriority w:val="9"/>
    <w:qFormat/>
    <w:pPr>
      <w:keepLines/>
      <w:keepNext/>
      <w:spacing w:before="480" w:after="200"/>
      <w:outlineLvl w:val="0"/>
    </w:pPr>
    <w:rPr>
      <w:rFonts w:ascii="Arial" w:hAnsi="Arial" w:cs="Arial"/>
      <w:sz w:val="40"/>
      <w:szCs w:val="40"/>
    </w:rPr>
  </w:style>
  <w:style w:type="paragraph" w:styleId="849">
    <w:name w:val="标题 2"/>
    <w:basedOn w:val="847"/>
    <w:next w:val="847"/>
    <w:link w:val="847"/>
    <w:uiPriority w:val="9"/>
    <w:unhideWhenUsed/>
    <w:qFormat/>
    <w:pPr>
      <w:keepLines/>
      <w:keepNext/>
      <w:spacing w:before="360" w:after="200"/>
      <w:outlineLvl w:val="1"/>
    </w:pPr>
    <w:rPr>
      <w:rFonts w:ascii="Arial" w:hAnsi="Arial" w:cs="Arial"/>
      <w:sz w:val="34"/>
    </w:rPr>
  </w:style>
  <w:style w:type="paragraph" w:styleId="850">
    <w:name w:val="标题 3"/>
    <w:basedOn w:val="847"/>
    <w:next w:val="847"/>
    <w:link w:val="847"/>
    <w:uiPriority w:val="9"/>
    <w:unhideWhenUsed/>
    <w:qFormat/>
    <w:pPr>
      <w:keepLines/>
      <w:keepNext/>
      <w:spacing w:before="320" w:after="200"/>
      <w:outlineLvl w:val="2"/>
    </w:pPr>
    <w:rPr>
      <w:rFonts w:ascii="Arial" w:hAnsi="Arial" w:cs="Arial"/>
      <w:sz w:val="30"/>
      <w:szCs w:val="30"/>
    </w:rPr>
  </w:style>
  <w:style w:type="paragraph" w:styleId="851">
    <w:name w:val="标题 4"/>
    <w:basedOn w:val="847"/>
    <w:next w:val="847"/>
    <w:link w:val="847"/>
    <w:uiPriority w:val="9"/>
    <w:unhideWhenUsed/>
    <w:qFormat/>
    <w:pPr>
      <w:keepLines/>
      <w:keepNext/>
      <w:spacing w:before="320" w:after="200"/>
      <w:outlineLvl w:val="3"/>
    </w:pPr>
    <w:rPr>
      <w:rFonts w:ascii="Arial" w:hAnsi="Arial" w:cs="Arial"/>
      <w:b/>
      <w:bCs/>
      <w:sz w:val="26"/>
      <w:szCs w:val="26"/>
    </w:rPr>
  </w:style>
  <w:style w:type="paragraph" w:styleId="852">
    <w:name w:val="标题 5"/>
    <w:basedOn w:val="847"/>
    <w:next w:val="847"/>
    <w:link w:val="847"/>
    <w:uiPriority w:val="9"/>
    <w:unhideWhenUsed/>
    <w:qFormat/>
    <w:pPr>
      <w:keepLines/>
      <w:keepNext/>
      <w:spacing w:before="320" w:after="200"/>
      <w:outlineLvl w:val="4"/>
    </w:pPr>
    <w:rPr>
      <w:rFonts w:ascii="Arial" w:hAnsi="Arial" w:cs="Arial"/>
      <w:b/>
      <w:bCs/>
      <w:sz w:val="24"/>
      <w:szCs w:val="24"/>
    </w:rPr>
  </w:style>
  <w:style w:type="paragraph" w:styleId="853">
    <w:name w:val="标题 6"/>
    <w:basedOn w:val="847"/>
    <w:next w:val="847"/>
    <w:link w:val="847"/>
    <w:uiPriority w:val="9"/>
    <w:unhideWhenUsed/>
    <w:qFormat/>
    <w:pPr>
      <w:keepLines/>
      <w:keepNext/>
      <w:spacing w:before="320" w:after="200"/>
      <w:outlineLvl w:val="5"/>
    </w:pPr>
    <w:rPr>
      <w:rFonts w:ascii="Arial" w:hAnsi="Arial" w:cs="Arial"/>
      <w:b/>
      <w:bCs/>
      <w:sz w:val="22"/>
    </w:rPr>
  </w:style>
  <w:style w:type="paragraph" w:styleId="854">
    <w:name w:val="标题 7"/>
    <w:basedOn w:val="847"/>
    <w:next w:val="847"/>
    <w:link w:val="847"/>
    <w:uiPriority w:val="9"/>
    <w:unhideWhenUsed/>
    <w:qFormat/>
    <w:pPr>
      <w:keepLines/>
      <w:keepNext/>
      <w:spacing w:before="320" w:after="200"/>
      <w:outlineLvl w:val="6"/>
    </w:pPr>
    <w:rPr>
      <w:rFonts w:ascii="Arial" w:hAnsi="Arial" w:cs="Arial"/>
      <w:b/>
      <w:bCs/>
      <w:i/>
      <w:iCs/>
      <w:sz w:val="22"/>
    </w:rPr>
  </w:style>
  <w:style w:type="paragraph" w:styleId="855">
    <w:name w:val="标题 8"/>
    <w:basedOn w:val="847"/>
    <w:next w:val="847"/>
    <w:link w:val="847"/>
    <w:uiPriority w:val="9"/>
    <w:unhideWhenUsed/>
    <w:qFormat/>
    <w:pPr>
      <w:keepLines/>
      <w:keepNext/>
      <w:spacing w:before="320" w:after="200"/>
      <w:outlineLvl w:val="7"/>
    </w:pPr>
    <w:rPr>
      <w:rFonts w:ascii="Arial" w:hAnsi="Arial" w:cs="Arial"/>
      <w:i/>
      <w:iCs/>
      <w:sz w:val="22"/>
    </w:rPr>
  </w:style>
  <w:style w:type="paragraph" w:styleId="856">
    <w:name w:val="标题 9"/>
    <w:basedOn w:val="847"/>
    <w:next w:val="847"/>
    <w:link w:val="847"/>
    <w:uiPriority w:val="9"/>
    <w:unhideWhenUsed/>
    <w:qFormat/>
    <w:pPr>
      <w:keepLines/>
      <w:keepNext/>
      <w:spacing w:before="320" w:after="200"/>
      <w:outlineLvl w:val="8"/>
    </w:pPr>
    <w:rPr>
      <w:rFonts w:ascii="Arial" w:hAnsi="Arial" w:cs="Arial"/>
      <w:i/>
      <w:iCs/>
      <w:szCs w:val="21"/>
    </w:rPr>
  </w:style>
  <w:style w:type="character" w:styleId="857">
    <w:name w:val="默认段落字体"/>
    <w:next w:val="857"/>
    <w:link w:val="847"/>
    <w:uiPriority w:val="1"/>
    <w:unhideWhenUsed/>
    <w:qFormat/>
  </w:style>
  <w:style w:type="table" w:styleId="858">
    <w:name w:val="普通表格"/>
    <w:next w:val="858"/>
    <w:link w:val="847"/>
    <w:uiPriority w:val="99"/>
    <w:unhideWhenUsed/>
    <w:qFormat/>
    <w:tblPr/>
  </w:style>
  <w:style w:type="paragraph" w:styleId="859">
    <w:name w:val="正文文本"/>
    <w:basedOn w:val="847"/>
    <w:next w:val="860"/>
    <w:link w:val="847"/>
    <w:qFormat/>
    <w:rPr>
      <w:rFonts w:ascii="华文中宋" w:hAnsi="Times New Roman" w:eastAsia="华文中宋"/>
      <w:bCs/>
      <w:sz w:val="28"/>
    </w:rPr>
  </w:style>
  <w:style w:type="paragraph" w:styleId="860">
    <w:name w:val="列表"/>
    <w:basedOn w:val="847"/>
    <w:next w:val="860"/>
    <w:link w:val="847"/>
    <w:qFormat/>
    <w:pPr>
      <w:numPr>
        <w:ilvl w:val="0"/>
        <w:numId w:val="1"/>
      </w:numPr>
      <w:spacing w:after="20" w:line="288" w:lineRule="auto"/>
      <w:tabs>
        <w:tab w:val="left" w:pos="420" w:leader="none"/>
      </w:tabs>
    </w:pPr>
    <w:rPr>
      <w:szCs w:val="20"/>
      <w:lang w:val="en-GB"/>
    </w:rPr>
  </w:style>
  <w:style w:type="paragraph" w:styleId="861">
    <w:name w:val="目录 7"/>
    <w:basedOn w:val="847"/>
    <w:next w:val="847"/>
    <w:link w:val="847"/>
    <w:uiPriority w:val="39"/>
    <w:unhideWhenUsed/>
    <w:qFormat/>
    <w:pPr>
      <w:ind w:left="1701"/>
      <w:spacing w:after="57"/>
    </w:pPr>
  </w:style>
  <w:style w:type="paragraph" w:styleId="862">
    <w:name w:val="题注"/>
    <w:basedOn w:val="847"/>
    <w:next w:val="847"/>
    <w:link w:val="847"/>
    <w:uiPriority w:val="35"/>
    <w:unhideWhenUsed/>
    <w:qFormat/>
    <w:pPr>
      <w:spacing w:line="276" w:lineRule="auto"/>
    </w:pPr>
    <w:rPr>
      <w:b/>
      <w:bCs/>
      <w:color w:val="4f81bd"/>
      <w:sz w:val="18"/>
      <w:szCs w:val="18"/>
    </w:rPr>
  </w:style>
  <w:style w:type="paragraph" w:styleId="863">
    <w:name w:val="批注文字"/>
    <w:basedOn w:val="847"/>
    <w:next w:val="863"/>
    <w:link w:val="864"/>
    <w:uiPriority w:val="99"/>
    <w:unhideWhenUsed/>
    <w:qFormat/>
    <w:pPr>
      <w:jc w:val="left"/>
    </w:pPr>
  </w:style>
  <w:style w:type="character" w:styleId="864">
    <w:name w:val="批注文字 字符"/>
    <w:basedOn w:val="857"/>
    <w:next w:val="864"/>
    <w:link w:val="863"/>
    <w:uiPriority w:val="99"/>
    <w:semiHidden/>
    <w:qFormat/>
    <w:rPr>
      <w:rFonts w:ascii="Calibri" w:hAnsi="Calibri" w:eastAsia="Arial"/>
      <w:sz w:val="21"/>
      <w:szCs w:val="22"/>
    </w:rPr>
  </w:style>
  <w:style w:type="paragraph" w:styleId="865">
    <w:name w:val="正文文本缩进"/>
    <w:basedOn w:val="847"/>
    <w:next w:val="865"/>
    <w:link w:val="847"/>
    <w:qFormat/>
    <w:pPr>
      <w:ind w:firstLine="560"/>
    </w:pPr>
    <w:rPr>
      <w:sz w:val="28"/>
    </w:rPr>
  </w:style>
  <w:style w:type="paragraph" w:styleId="866">
    <w:name w:val="文本块"/>
    <w:basedOn w:val="847"/>
    <w:next w:val="866"/>
    <w:link w:val="847"/>
    <w:qFormat/>
    <w:pPr>
      <w:ind w:left="420" w:right="33"/>
      <w:jc w:val="left"/>
    </w:pPr>
    <w:rPr>
      <w:sz w:val="24"/>
      <w:szCs w:val="20"/>
    </w:rPr>
  </w:style>
  <w:style w:type="paragraph" w:styleId="867">
    <w:name w:val="目录 5"/>
    <w:basedOn w:val="847"/>
    <w:next w:val="847"/>
    <w:link w:val="847"/>
    <w:uiPriority w:val="39"/>
    <w:unhideWhenUsed/>
    <w:qFormat/>
    <w:pPr>
      <w:ind w:left="1134"/>
      <w:spacing w:after="57"/>
    </w:pPr>
  </w:style>
  <w:style w:type="paragraph" w:styleId="868">
    <w:name w:val="目录 3"/>
    <w:basedOn w:val="847"/>
    <w:next w:val="847"/>
    <w:link w:val="847"/>
    <w:uiPriority w:val="39"/>
    <w:unhideWhenUsed/>
    <w:qFormat/>
    <w:pPr>
      <w:ind w:left="567"/>
      <w:spacing w:after="57"/>
    </w:pPr>
  </w:style>
  <w:style w:type="paragraph" w:styleId="869">
    <w:name w:val="纯文本"/>
    <w:basedOn w:val="847"/>
    <w:next w:val="869"/>
    <w:link w:val="847"/>
    <w:qFormat/>
    <w:rPr>
      <w:rFonts w:ascii="黑体" w:cs="Times New Roman"/>
      <w:szCs w:val="21"/>
    </w:rPr>
  </w:style>
  <w:style w:type="paragraph" w:styleId="870">
    <w:name w:val="目录 8"/>
    <w:basedOn w:val="847"/>
    <w:next w:val="847"/>
    <w:link w:val="847"/>
    <w:uiPriority w:val="39"/>
    <w:unhideWhenUsed/>
    <w:qFormat/>
    <w:pPr>
      <w:ind w:left="1984"/>
      <w:spacing w:after="57"/>
    </w:pPr>
  </w:style>
  <w:style w:type="paragraph" w:styleId="871">
    <w:name w:val="尾注文本"/>
    <w:basedOn w:val="847"/>
    <w:next w:val="871"/>
    <w:link w:val="847"/>
    <w:uiPriority w:val="99"/>
    <w:unhideWhenUsed/>
    <w:qFormat/>
    <w:rPr>
      <w:sz w:val="20"/>
    </w:rPr>
  </w:style>
  <w:style w:type="paragraph" w:styleId="872">
    <w:name w:val="批注框文本"/>
    <w:basedOn w:val="847"/>
    <w:next w:val="872"/>
    <w:link w:val="873"/>
    <w:uiPriority w:val="99"/>
    <w:unhideWhenUsed/>
    <w:qFormat/>
    <w:rPr>
      <w:sz w:val="18"/>
      <w:szCs w:val="18"/>
    </w:rPr>
  </w:style>
  <w:style w:type="character" w:styleId="873">
    <w:name w:val="批注框文本 字符"/>
    <w:basedOn w:val="857"/>
    <w:next w:val="873"/>
    <w:link w:val="872"/>
    <w:uiPriority w:val="99"/>
    <w:semiHidden/>
    <w:qFormat/>
    <w:rPr>
      <w:rFonts w:ascii="Calibri" w:hAnsi="Calibri" w:eastAsia="Arial"/>
      <w:sz w:val="18"/>
      <w:szCs w:val="18"/>
    </w:rPr>
  </w:style>
  <w:style w:type="paragraph" w:styleId="874">
    <w:name w:val="页脚"/>
    <w:basedOn w:val="847"/>
    <w:next w:val="874"/>
    <w:link w:val="847"/>
    <w:uiPriority w:val="99"/>
    <w:unhideWhenUsed/>
    <w:qFormat/>
    <w:pPr>
      <w:tabs>
        <w:tab w:val="center" w:pos="7143" w:leader="none"/>
        <w:tab w:val="right" w:pos="14287" w:leader="none"/>
      </w:tabs>
    </w:pPr>
  </w:style>
  <w:style w:type="paragraph" w:styleId="875">
    <w:name w:val="页眉"/>
    <w:basedOn w:val="847"/>
    <w:next w:val="875"/>
    <w:link w:val="847"/>
    <w:uiPriority w:val="99"/>
    <w:unhideWhenUsed/>
    <w:qFormat/>
    <w:pPr>
      <w:tabs>
        <w:tab w:val="center" w:pos="7143" w:leader="none"/>
        <w:tab w:val="right" w:pos="14287" w:leader="none"/>
      </w:tabs>
    </w:pPr>
  </w:style>
  <w:style w:type="paragraph" w:styleId="876">
    <w:name w:val="目录 1"/>
    <w:basedOn w:val="847"/>
    <w:next w:val="847"/>
    <w:link w:val="847"/>
    <w:uiPriority w:val="39"/>
    <w:unhideWhenUsed/>
    <w:qFormat/>
    <w:pPr>
      <w:spacing w:after="57"/>
    </w:pPr>
  </w:style>
  <w:style w:type="paragraph" w:styleId="877">
    <w:name w:val="目录 4"/>
    <w:basedOn w:val="847"/>
    <w:next w:val="847"/>
    <w:link w:val="847"/>
    <w:uiPriority w:val="39"/>
    <w:unhideWhenUsed/>
    <w:qFormat/>
    <w:pPr>
      <w:ind w:left="850"/>
      <w:spacing w:after="57"/>
    </w:pPr>
  </w:style>
  <w:style w:type="paragraph" w:styleId="878">
    <w:name w:val="副标题"/>
    <w:basedOn w:val="847"/>
    <w:next w:val="847"/>
    <w:link w:val="847"/>
    <w:uiPriority w:val="11"/>
    <w:qFormat/>
    <w:pPr>
      <w:spacing w:before="200" w:after="200"/>
    </w:pPr>
    <w:rPr>
      <w:sz w:val="24"/>
      <w:szCs w:val="24"/>
    </w:rPr>
  </w:style>
  <w:style w:type="paragraph" w:styleId="879">
    <w:name w:val="脚注文本"/>
    <w:basedOn w:val="847"/>
    <w:next w:val="879"/>
    <w:link w:val="847"/>
    <w:uiPriority w:val="99"/>
    <w:unhideWhenUsed/>
    <w:qFormat/>
    <w:pPr>
      <w:spacing w:after="40"/>
    </w:pPr>
    <w:rPr>
      <w:sz w:val="18"/>
    </w:rPr>
  </w:style>
  <w:style w:type="paragraph" w:styleId="880">
    <w:name w:val="目录 6"/>
    <w:basedOn w:val="847"/>
    <w:next w:val="847"/>
    <w:link w:val="847"/>
    <w:uiPriority w:val="39"/>
    <w:unhideWhenUsed/>
    <w:qFormat/>
    <w:pPr>
      <w:ind w:left="1417"/>
      <w:spacing w:after="57"/>
    </w:pPr>
  </w:style>
  <w:style w:type="paragraph" w:styleId="881">
    <w:name w:val="正文文本缩进 3"/>
    <w:basedOn w:val="847"/>
    <w:next w:val="881"/>
    <w:link w:val="847"/>
    <w:qFormat/>
    <w:pPr>
      <w:ind w:left="359" w:firstLine="359"/>
    </w:pPr>
    <w:rPr>
      <w:rFonts w:ascii="Tahoma" w:hAnsi="Tahoma"/>
    </w:rPr>
  </w:style>
  <w:style w:type="paragraph" w:styleId="882">
    <w:name w:val="图表目录"/>
    <w:basedOn w:val="847"/>
    <w:next w:val="847"/>
    <w:link w:val="847"/>
    <w:uiPriority w:val="99"/>
    <w:unhideWhenUsed/>
    <w:qFormat/>
  </w:style>
  <w:style w:type="paragraph" w:styleId="883">
    <w:name w:val="目录 2"/>
    <w:basedOn w:val="847"/>
    <w:next w:val="847"/>
    <w:link w:val="847"/>
    <w:uiPriority w:val="39"/>
    <w:unhideWhenUsed/>
    <w:qFormat/>
    <w:pPr>
      <w:ind w:left="283"/>
      <w:spacing w:after="57"/>
    </w:pPr>
  </w:style>
  <w:style w:type="paragraph" w:styleId="884">
    <w:name w:val="目录 9"/>
    <w:basedOn w:val="847"/>
    <w:next w:val="847"/>
    <w:link w:val="847"/>
    <w:uiPriority w:val="39"/>
    <w:unhideWhenUsed/>
    <w:qFormat/>
    <w:pPr>
      <w:ind w:left="2268"/>
      <w:spacing w:after="57"/>
    </w:pPr>
  </w:style>
  <w:style w:type="paragraph" w:styleId="885">
    <w:name w:val="普通(网站)"/>
    <w:basedOn w:val="847"/>
    <w:next w:val="885"/>
    <w:link w:val="847"/>
    <w:uiPriority w:val="99"/>
    <w:unhideWhenUsed/>
    <w:qFormat/>
    <w:pPr>
      <w:jc w:val="left"/>
      <w:spacing w:beforeAutospacing="1" w:afterAutospacing="1"/>
    </w:pPr>
    <w:rPr>
      <w:sz w:val="24"/>
    </w:rPr>
  </w:style>
  <w:style w:type="paragraph" w:styleId="886">
    <w:name w:val="标题"/>
    <w:basedOn w:val="847"/>
    <w:next w:val="847"/>
    <w:link w:val="847"/>
    <w:uiPriority w:val="10"/>
    <w:qFormat/>
    <w:pPr>
      <w:contextualSpacing/>
      <w:spacing w:before="300" w:after="200"/>
    </w:pPr>
    <w:rPr>
      <w:sz w:val="48"/>
      <w:szCs w:val="48"/>
    </w:rPr>
  </w:style>
  <w:style w:type="paragraph" w:styleId="887">
    <w:name w:val="批注主题"/>
    <w:basedOn w:val="863"/>
    <w:next w:val="863"/>
    <w:link w:val="888"/>
    <w:uiPriority w:val="99"/>
    <w:unhideWhenUsed/>
    <w:qFormat/>
    <w:rPr>
      <w:b/>
      <w:bCs/>
    </w:rPr>
  </w:style>
  <w:style w:type="character" w:styleId="888">
    <w:name w:val="批注主题 字符"/>
    <w:basedOn w:val="864"/>
    <w:next w:val="888"/>
    <w:link w:val="887"/>
    <w:uiPriority w:val="99"/>
    <w:semiHidden/>
    <w:qFormat/>
    <w:rPr>
      <w:rFonts w:ascii="Calibri" w:hAnsi="Calibri" w:eastAsia="Arial"/>
      <w:b/>
      <w:bCs/>
      <w:sz w:val="21"/>
      <w:szCs w:val="22"/>
    </w:rPr>
  </w:style>
  <w:style w:type="table" w:styleId="889">
    <w:name w:val="网格型"/>
    <w:next w:val="889"/>
    <w:link w:val="847"/>
    <w:uiPriority w:val="59"/>
    <w:qFormat/>
    <w:tblPr/>
  </w:style>
  <w:style w:type="character" w:styleId="890">
    <w:name w:val="要点"/>
    <w:basedOn w:val="857"/>
    <w:next w:val="890"/>
    <w:link w:val="847"/>
    <w:uiPriority w:val="22"/>
    <w:qFormat/>
    <w:rPr>
      <w:b/>
    </w:rPr>
  </w:style>
  <w:style w:type="character" w:styleId="891">
    <w:name w:val="尾注引用"/>
    <w:next w:val="891"/>
    <w:link w:val="847"/>
    <w:uiPriority w:val="99"/>
    <w:unhideWhenUsed/>
    <w:qFormat/>
    <w:rPr>
      <w:vertAlign w:val="superscript"/>
    </w:rPr>
  </w:style>
  <w:style w:type="character" w:styleId="892">
    <w:name w:val="页码"/>
    <w:basedOn w:val="857"/>
    <w:next w:val="892"/>
    <w:link w:val="847"/>
    <w:qFormat/>
  </w:style>
  <w:style w:type="character" w:styleId="893">
    <w:name w:val="超链接"/>
    <w:next w:val="893"/>
    <w:link w:val="847"/>
    <w:uiPriority w:val="99"/>
    <w:unhideWhenUsed/>
    <w:qFormat/>
    <w:rPr>
      <w:color w:val="0000ff"/>
      <w:u w:val="single"/>
    </w:rPr>
  </w:style>
  <w:style w:type="character" w:styleId="894">
    <w:name w:val="批注引用"/>
    <w:basedOn w:val="857"/>
    <w:next w:val="894"/>
    <w:link w:val="847"/>
    <w:uiPriority w:val="99"/>
    <w:unhideWhenUsed/>
    <w:qFormat/>
    <w:rPr>
      <w:sz w:val="21"/>
      <w:szCs w:val="21"/>
    </w:rPr>
  </w:style>
  <w:style w:type="character" w:styleId="895">
    <w:name w:val="脚注引用"/>
    <w:next w:val="895"/>
    <w:link w:val="847"/>
    <w:uiPriority w:val="99"/>
    <w:unhideWhenUsed/>
    <w:qFormat/>
    <w:rPr>
      <w:vertAlign w:val="superscript"/>
    </w:rPr>
  </w:style>
  <w:style w:type="paragraph" w:styleId="896">
    <w:name w:val="正文文本1"/>
    <w:basedOn w:val="847"/>
    <w:next w:val="847"/>
    <w:link w:val="897"/>
    <w:qFormat/>
    <w:rPr>
      <w:rFonts w:ascii="楷体_GB2312" w:hAnsi="Arial" w:eastAsia="楷体_GB2312"/>
      <w:sz w:val="28"/>
      <w:szCs w:val="28"/>
      <w:lang w:eastAsia="en-US"/>
    </w:rPr>
  </w:style>
  <w:style w:type="character" w:styleId="897">
    <w:name w:val="正文文本 Char"/>
    <w:next w:val="897"/>
    <w:link w:val="896"/>
    <w:qFormat/>
    <w:rPr>
      <w:rFonts w:ascii="楷体_GB2312" w:hAnsi="Arial" w:eastAsia="楷体_GB2312" w:cs="Times New Roman"/>
      <w:sz w:val="28"/>
      <w:szCs w:val="28"/>
      <w:lang w:eastAsia="en-US"/>
    </w:rPr>
  </w:style>
  <w:style w:type="paragraph" w:styleId="898">
    <w:name w:val="标题二、"/>
    <w:basedOn w:val="847"/>
    <w:next w:val="898"/>
    <w:link w:val="847"/>
    <w:uiPriority w:val="99"/>
    <w:qFormat/>
    <w:pPr>
      <w:ind w:firstLine="200"/>
      <w:spacing w:line="360" w:lineRule="auto"/>
      <w:outlineLvl w:val="2"/>
    </w:pPr>
    <w:rPr>
      <w:rFonts w:ascii="宋体" w:hAnsi="宋体"/>
      <w:b/>
      <w:szCs w:val="21"/>
    </w:rPr>
  </w:style>
  <w:style w:type="table" w:styleId="899">
    <w:name w:val="无格式表格 11"/>
    <w:basedOn w:val="858"/>
    <w:next w:val="899"/>
    <w:link w:val="847"/>
    <w:uiPriority w:val="59"/>
    <w:qFormat/>
    <w:rPr>
      <w:rFonts w:ascii="Calibri" w:hAnsi="Calibri"/>
    </w:rPr>
    <w:tblPr/>
  </w:style>
  <w:style w:type="table" w:styleId="900">
    <w:name w:val="无格式表格 21"/>
    <w:basedOn w:val="858"/>
    <w:next w:val="900"/>
    <w:link w:val="847"/>
    <w:uiPriority w:val="59"/>
    <w:qFormat/>
    <w:rPr>
      <w:rFonts w:ascii="Calibri" w:hAnsi="Calibri"/>
    </w:rPr>
    <w:tblPr/>
  </w:style>
  <w:style w:type="table" w:styleId="901">
    <w:name w:val="无格式表格 31"/>
    <w:basedOn w:val="858"/>
    <w:next w:val="901"/>
    <w:link w:val="847"/>
    <w:uiPriority w:val="99"/>
    <w:qFormat/>
    <w:rPr>
      <w:rFonts w:ascii="Calibri" w:hAnsi="Calibri"/>
    </w:rPr>
    <w:tblPr/>
  </w:style>
  <w:style w:type="table" w:styleId="902">
    <w:name w:val="无格式表格 41"/>
    <w:basedOn w:val="858"/>
    <w:next w:val="902"/>
    <w:link w:val="847"/>
    <w:uiPriority w:val="99"/>
    <w:qFormat/>
    <w:rPr>
      <w:rFonts w:ascii="Calibri" w:hAnsi="Calibri"/>
    </w:rPr>
    <w:tblPr/>
  </w:style>
  <w:style w:type="table" w:styleId="903">
    <w:name w:val="无格式表格 51"/>
    <w:basedOn w:val="858"/>
    <w:next w:val="903"/>
    <w:link w:val="847"/>
    <w:uiPriority w:val="99"/>
    <w:qFormat/>
    <w:rPr>
      <w:rFonts w:ascii="Calibri" w:hAnsi="Calibri"/>
    </w:rPr>
    <w:tblPr/>
  </w:style>
  <w:style w:type="table" w:styleId="904">
    <w:name w:val="网格表 1 浅色1"/>
    <w:basedOn w:val="858"/>
    <w:next w:val="904"/>
    <w:link w:val="847"/>
    <w:uiPriority w:val="99"/>
    <w:qFormat/>
    <w:rPr>
      <w:rFonts w:ascii="Calibri" w:hAnsi="Calibri"/>
    </w:rPr>
    <w:tblPr/>
  </w:style>
  <w:style w:type="table" w:styleId="905">
    <w:name w:val="网格表 21"/>
    <w:basedOn w:val="858"/>
    <w:next w:val="905"/>
    <w:link w:val="847"/>
    <w:uiPriority w:val="99"/>
    <w:qFormat/>
    <w:rPr>
      <w:rFonts w:ascii="Calibri" w:hAnsi="Calibri"/>
    </w:rPr>
    <w:tblPr/>
  </w:style>
  <w:style w:type="table" w:styleId="906">
    <w:name w:val="网格表 31"/>
    <w:basedOn w:val="858"/>
    <w:next w:val="906"/>
    <w:link w:val="847"/>
    <w:uiPriority w:val="99"/>
    <w:qFormat/>
    <w:rPr>
      <w:rFonts w:ascii="Calibri" w:hAnsi="Calibri"/>
    </w:rPr>
    <w:tblPr/>
  </w:style>
  <w:style w:type="table" w:styleId="907">
    <w:name w:val="网格表 41"/>
    <w:basedOn w:val="858"/>
    <w:next w:val="907"/>
    <w:link w:val="847"/>
    <w:uiPriority w:val="59"/>
    <w:qFormat/>
    <w:rPr>
      <w:rFonts w:ascii="Calibri" w:hAnsi="Calibri"/>
    </w:rPr>
    <w:tblPr/>
  </w:style>
  <w:style w:type="table" w:styleId="908">
    <w:name w:val="网格表 5 深色1"/>
    <w:basedOn w:val="858"/>
    <w:next w:val="908"/>
    <w:link w:val="847"/>
    <w:uiPriority w:val="99"/>
    <w:qFormat/>
    <w:rPr>
      <w:rFonts w:ascii="Calibri" w:hAnsi="Calibri"/>
    </w:rPr>
    <w:tblPr/>
  </w:style>
  <w:style w:type="table" w:styleId="909">
    <w:name w:val="网格表 6 彩色1"/>
    <w:basedOn w:val="858"/>
    <w:next w:val="909"/>
    <w:link w:val="847"/>
    <w:uiPriority w:val="99"/>
    <w:qFormat/>
    <w:rPr>
      <w:rFonts w:ascii="Calibri" w:hAnsi="Calibri"/>
    </w:rPr>
    <w:tblPr/>
  </w:style>
  <w:style w:type="table" w:styleId="910">
    <w:name w:val="网格表 7 彩色1"/>
    <w:basedOn w:val="858"/>
    <w:next w:val="910"/>
    <w:link w:val="847"/>
    <w:uiPriority w:val="99"/>
    <w:qFormat/>
    <w:rPr>
      <w:rFonts w:ascii="Calibri" w:hAnsi="Calibri"/>
    </w:rPr>
    <w:tblPr/>
  </w:style>
  <w:style w:type="table" w:styleId="911">
    <w:name w:val="清单表 1 浅色1"/>
    <w:basedOn w:val="858"/>
    <w:next w:val="911"/>
    <w:link w:val="847"/>
    <w:uiPriority w:val="99"/>
    <w:qFormat/>
    <w:rPr>
      <w:rFonts w:ascii="Calibri" w:hAnsi="Calibri"/>
    </w:rPr>
    <w:tblPr/>
  </w:style>
  <w:style w:type="table" w:styleId="912">
    <w:name w:val="清单表 21"/>
    <w:basedOn w:val="858"/>
    <w:next w:val="912"/>
    <w:link w:val="847"/>
    <w:uiPriority w:val="99"/>
    <w:qFormat/>
    <w:rPr>
      <w:rFonts w:ascii="Calibri" w:hAnsi="Calibri"/>
    </w:rPr>
    <w:tblPr/>
  </w:style>
  <w:style w:type="table" w:styleId="913">
    <w:name w:val="清单表 31"/>
    <w:basedOn w:val="858"/>
    <w:next w:val="913"/>
    <w:link w:val="847"/>
    <w:uiPriority w:val="99"/>
    <w:qFormat/>
    <w:rPr>
      <w:rFonts w:ascii="Calibri" w:hAnsi="Calibri"/>
    </w:rPr>
    <w:tblPr/>
  </w:style>
  <w:style w:type="table" w:styleId="914">
    <w:name w:val="清单表 41"/>
    <w:basedOn w:val="858"/>
    <w:next w:val="914"/>
    <w:link w:val="847"/>
    <w:uiPriority w:val="99"/>
    <w:qFormat/>
    <w:rPr>
      <w:rFonts w:ascii="Calibri" w:hAnsi="Calibri"/>
    </w:rPr>
    <w:tblPr/>
  </w:style>
  <w:style w:type="table" w:styleId="915">
    <w:name w:val="清单表 5 深色1"/>
    <w:basedOn w:val="858"/>
    <w:next w:val="915"/>
    <w:link w:val="847"/>
    <w:uiPriority w:val="99"/>
    <w:qFormat/>
    <w:rPr>
      <w:rFonts w:ascii="Calibri" w:hAnsi="Calibri"/>
    </w:rPr>
    <w:tblPr/>
  </w:style>
  <w:style w:type="table" w:styleId="916">
    <w:name w:val="清单表 6 彩色1"/>
    <w:basedOn w:val="858"/>
    <w:next w:val="916"/>
    <w:link w:val="847"/>
    <w:uiPriority w:val="99"/>
    <w:qFormat/>
    <w:rPr>
      <w:rFonts w:ascii="Calibri" w:hAnsi="Calibri"/>
    </w:rPr>
    <w:tblPr/>
  </w:style>
  <w:style w:type="table" w:styleId="917">
    <w:name w:val="清单表 7 彩色1"/>
    <w:basedOn w:val="858"/>
    <w:next w:val="917"/>
    <w:link w:val="847"/>
    <w:uiPriority w:val="99"/>
    <w:qFormat/>
    <w:rPr>
      <w:rFonts w:ascii="Calibri" w:hAnsi="Calibri"/>
    </w:rPr>
    <w:tblPr/>
  </w:style>
  <w:style w:type="paragraph" w:styleId="918">
    <w:name w:val="TOC 标题1"/>
    <w:next w:val="918"/>
    <w:link w:val="847"/>
    <w:uiPriority w:val="39"/>
    <w:unhideWhenUsed/>
    <w:qFormat/>
    <w:rPr>
      <w:rFonts w:ascii="Times New Roman" w:hAnsi="Times New Roman" w:eastAsia="宋体" w:cs="Times New Roman"/>
      <w:lang w:val="en-US" w:eastAsia="zh-CN" w:bidi="ar-SA"/>
    </w:rPr>
  </w:style>
  <w:style w:type="paragraph" w:styleId="919">
    <w:name w:val="索引 41"/>
    <w:basedOn w:val="847"/>
    <w:next w:val="847"/>
    <w:link w:val="847"/>
    <w:uiPriority w:val="99"/>
    <w:qFormat/>
    <w:pPr>
      <w:ind w:left="600"/>
    </w:pPr>
    <w:rPr>
      <w:szCs w:val="24"/>
    </w:rPr>
  </w:style>
  <w:style w:type="paragraph" w:styleId="920">
    <w:name w:val="标题 111"/>
    <w:basedOn w:val="847"/>
    <w:next w:val="847"/>
    <w:link w:val="921"/>
    <w:uiPriority w:val="9"/>
    <w:qFormat/>
    <w:pPr>
      <w:jc w:val="center"/>
      <w:keepNext/>
      <w:outlineLvl w:val="0"/>
    </w:pPr>
    <w:rPr>
      <w:rFonts w:ascii="楷体_GB2312" w:hAnsi="Times New Roman" w:eastAsia="楷体_GB2312"/>
      <w:b/>
      <w:sz w:val="28"/>
      <w:szCs w:val="20"/>
    </w:rPr>
  </w:style>
  <w:style w:type="character" w:styleId="921">
    <w:name w:val="标题 1 Char1"/>
    <w:basedOn w:val="922"/>
    <w:next w:val="921"/>
    <w:link w:val="920"/>
    <w:uiPriority w:val="9"/>
    <w:qFormat/>
    <w:rPr>
      <w:rFonts w:ascii="楷体_GB2312" w:hAnsi="Times New Roman" w:eastAsia="楷体_GB2312" w:cs="Times New Roman"/>
      <w:b/>
      <w:sz w:val="28"/>
      <w:szCs w:val="20"/>
    </w:rPr>
  </w:style>
  <w:style w:type="character" w:styleId="922">
    <w:name w:val="默认段落字体11"/>
    <w:next w:val="922"/>
    <w:link w:val="847"/>
    <w:uiPriority w:val="1"/>
    <w:unhideWhenUsed/>
    <w:qFormat/>
  </w:style>
  <w:style w:type="paragraph" w:styleId="923">
    <w:name w:val="标题 211"/>
    <w:basedOn w:val="847"/>
    <w:next w:val="847"/>
    <w:link w:val="924"/>
    <w:uiPriority w:val="9"/>
    <w:qFormat/>
    <w:pPr>
      <w:jc w:val="center"/>
      <w:keepNext/>
      <w:outlineLvl w:val="1"/>
    </w:pPr>
    <w:rPr>
      <w:rFonts w:ascii="楷体_GB2312" w:hAnsi="Times New Roman" w:eastAsia="楷体_GB2312"/>
      <w:b/>
      <w:bCs/>
      <w:sz w:val="18"/>
      <w:szCs w:val="20"/>
    </w:rPr>
  </w:style>
  <w:style w:type="character" w:styleId="924">
    <w:name w:val="标题 2 Char1"/>
    <w:basedOn w:val="922"/>
    <w:next w:val="924"/>
    <w:link w:val="923"/>
    <w:uiPriority w:val="9"/>
    <w:qFormat/>
    <w:rPr>
      <w:rFonts w:ascii="楷体_GB2312" w:hAnsi="Times New Roman" w:eastAsia="楷体_GB2312" w:cs="Times New Roman"/>
      <w:b/>
      <w:bCs/>
      <w:sz w:val="18"/>
      <w:szCs w:val="20"/>
    </w:rPr>
  </w:style>
  <w:style w:type="paragraph" w:styleId="925">
    <w:name w:val="标题 311"/>
    <w:basedOn w:val="926"/>
    <w:next w:val="847"/>
    <w:link w:val="929"/>
    <w:uiPriority w:val="9"/>
    <w:qFormat/>
    <w:pPr>
      <w:jc w:val="left"/>
      <w:keepNext/>
    </w:pPr>
    <w:rPr>
      <w:rFonts w:ascii="Arial" w:hAnsi="Arial" w:eastAsia="Arial"/>
      <w:bCs/>
      <w:sz w:val="24"/>
      <w:szCs w:val="24"/>
      <w:lang w:eastAsia="zh-CN"/>
    </w:rPr>
  </w:style>
  <w:style w:type="paragraph" w:styleId="926">
    <w:name w:val="Cn Heading3"/>
    <w:basedOn w:val="927"/>
    <w:next w:val="926"/>
    <w:link w:val="847"/>
    <w:qFormat/>
    <w:pPr>
      <w:ind w:firstLine="0"/>
      <w:spacing w:line="480" w:lineRule="auto"/>
      <w:outlineLvl w:val="2"/>
    </w:pPr>
    <w:rPr>
      <w:rFonts w:ascii="微软雅黑" w:hAnsi="微软雅黑" w:eastAsia="微软雅黑"/>
      <w:b/>
      <w:sz w:val="28"/>
      <w:szCs w:val="28"/>
      <w:lang w:eastAsia="ja-JP"/>
    </w:rPr>
  </w:style>
  <w:style w:type="paragraph" w:styleId="927">
    <w:name w:val="列出段落1"/>
    <w:basedOn w:val="847"/>
    <w:next w:val="927"/>
    <w:link w:val="928"/>
    <w:qFormat/>
    <w:pPr>
      <w:ind w:firstLine="420"/>
      <w:spacing w:before="120" w:after="120" w:line="360" w:lineRule="auto"/>
    </w:pPr>
    <w:rPr>
      <w:rFonts w:eastAsia="宋体"/>
      <w:sz w:val="24"/>
    </w:rPr>
  </w:style>
  <w:style w:type="character" w:styleId="928">
    <w:name w:val="列出段落 Char"/>
    <w:next w:val="928"/>
    <w:link w:val="927"/>
    <w:qFormat/>
    <w:rPr>
      <w:rFonts w:ascii="Calibri" w:hAnsi="Calibri" w:eastAsia="宋体" w:cs="Times New Roman"/>
      <w:sz w:val="24"/>
      <w:szCs w:val="22"/>
    </w:rPr>
  </w:style>
  <w:style w:type="character" w:styleId="929">
    <w:name w:val="标题 3 Char1"/>
    <w:basedOn w:val="922"/>
    <w:next w:val="929"/>
    <w:link w:val="925"/>
    <w:uiPriority w:val="9"/>
    <w:qFormat/>
    <w:rPr>
      <w:rFonts w:ascii="Arial" w:hAnsi="Arial"/>
      <w:b/>
      <w:bCs/>
      <w:sz w:val="24"/>
      <w:szCs w:val="24"/>
    </w:rPr>
  </w:style>
  <w:style w:type="paragraph" w:styleId="930">
    <w:name w:val="标题 411"/>
    <w:basedOn w:val="847"/>
    <w:next w:val="847"/>
    <w:link w:val="931"/>
    <w:uiPriority w:val="9"/>
    <w:qFormat/>
    <w:pPr>
      <w:keepNext/>
      <w:outlineLvl w:val="3"/>
    </w:pPr>
    <w:rPr>
      <w:rFonts w:ascii="Times New Roman" w:hAnsi="Times New Roman" w:eastAsia="楷体_GB2312"/>
      <w:b/>
      <w:bCs/>
      <w:sz w:val="15"/>
      <w:szCs w:val="20"/>
    </w:rPr>
  </w:style>
  <w:style w:type="character" w:styleId="931">
    <w:name w:val="标题 4 Char1"/>
    <w:basedOn w:val="922"/>
    <w:next w:val="931"/>
    <w:link w:val="930"/>
    <w:uiPriority w:val="9"/>
    <w:qFormat/>
    <w:rPr>
      <w:rFonts w:ascii="Times New Roman" w:hAnsi="Times New Roman" w:eastAsia="楷体_GB2312" w:cs="Times New Roman"/>
      <w:b/>
      <w:bCs/>
      <w:sz w:val="15"/>
    </w:rPr>
  </w:style>
  <w:style w:type="paragraph" w:styleId="932">
    <w:name w:val="标题 511"/>
    <w:basedOn w:val="847"/>
    <w:next w:val="847"/>
    <w:link w:val="933"/>
    <w:uiPriority w:val="9"/>
    <w:qFormat/>
    <w:pPr>
      <w:numPr>
        <w:ilvl w:val="0"/>
        <w:numId w:val="2"/>
      </w:numPr>
      <w:keepNext/>
      <w:tabs>
        <w:tab w:val="left" w:pos="360" w:leader="none"/>
      </w:tabs>
      <w:outlineLvl w:val="4"/>
    </w:pPr>
    <w:rPr>
      <w:rFonts w:ascii="楷体_GB2312" w:hAnsi="Times New Roman" w:eastAsia="楷体_GB2312"/>
      <w:bCs/>
      <w:sz w:val="28"/>
      <w:szCs w:val="20"/>
    </w:rPr>
  </w:style>
  <w:style w:type="character" w:styleId="933">
    <w:name w:val="标题 5 Char1"/>
    <w:basedOn w:val="922"/>
    <w:next w:val="933"/>
    <w:link w:val="932"/>
    <w:uiPriority w:val="9"/>
    <w:qFormat/>
    <w:rPr>
      <w:rFonts w:ascii="楷体_GB2312" w:hAnsi="Times New Roman" w:eastAsia="楷体_GB2312" w:cs="Times New Roman"/>
      <w:bCs/>
      <w:sz w:val="28"/>
    </w:rPr>
  </w:style>
  <w:style w:type="paragraph" w:styleId="934">
    <w:name w:val="标题 611"/>
    <w:basedOn w:val="847"/>
    <w:next w:val="847"/>
    <w:link w:val="935"/>
    <w:uiPriority w:val="9"/>
    <w:qFormat/>
    <w:pPr>
      <w:keepLines/>
      <w:keepNext/>
      <w:spacing w:before="320" w:after="200"/>
      <w:outlineLvl w:val="5"/>
    </w:pPr>
    <w:rPr>
      <w:rFonts w:ascii="Arial" w:hAnsi="Arial" w:cs="Arial"/>
      <w:b/>
      <w:bCs/>
      <w:sz w:val="22"/>
    </w:rPr>
  </w:style>
  <w:style w:type="character" w:styleId="935">
    <w:name w:val="标题 6 Char1"/>
    <w:basedOn w:val="922"/>
    <w:next w:val="935"/>
    <w:link w:val="934"/>
    <w:uiPriority w:val="9"/>
    <w:qFormat/>
    <w:rPr>
      <w:rFonts w:ascii="Arial" w:hAnsi="Arial" w:eastAsia="Arial" w:cs="Arial"/>
      <w:b/>
      <w:bCs/>
      <w:sz w:val="22"/>
      <w:szCs w:val="22"/>
    </w:rPr>
  </w:style>
  <w:style w:type="paragraph" w:styleId="936">
    <w:name w:val="标题 711"/>
    <w:basedOn w:val="847"/>
    <w:next w:val="847"/>
    <w:link w:val="937"/>
    <w:uiPriority w:val="9"/>
    <w:qFormat/>
    <w:pPr>
      <w:keepLines/>
      <w:keepNext/>
      <w:spacing w:before="320" w:after="200"/>
      <w:outlineLvl w:val="6"/>
    </w:pPr>
    <w:rPr>
      <w:rFonts w:ascii="Arial" w:hAnsi="Arial" w:cs="Arial"/>
      <w:b/>
      <w:bCs/>
      <w:i/>
      <w:iCs/>
      <w:sz w:val="22"/>
    </w:rPr>
  </w:style>
  <w:style w:type="character" w:styleId="937">
    <w:name w:val="标题 7 Char1"/>
    <w:basedOn w:val="922"/>
    <w:next w:val="937"/>
    <w:link w:val="936"/>
    <w:uiPriority w:val="9"/>
    <w:qFormat/>
    <w:rPr>
      <w:rFonts w:ascii="Arial" w:hAnsi="Arial" w:eastAsia="Arial" w:cs="Arial"/>
      <w:b/>
      <w:bCs/>
      <w:i/>
      <w:iCs/>
      <w:sz w:val="22"/>
      <w:szCs w:val="22"/>
    </w:rPr>
  </w:style>
  <w:style w:type="paragraph" w:styleId="938">
    <w:name w:val="标题 811"/>
    <w:basedOn w:val="847"/>
    <w:next w:val="847"/>
    <w:link w:val="939"/>
    <w:uiPriority w:val="9"/>
    <w:qFormat/>
    <w:pPr>
      <w:keepLines/>
      <w:keepNext/>
      <w:spacing w:before="320" w:after="200"/>
      <w:outlineLvl w:val="7"/>
    </w:pPr>
    <w:rPr>
      <w:rFonts w:ascii="Arial" w:hAnsi="Arial" w:cs="Arial"/>
      <w:i/>
      <w:iCs/>
      <w:sz w:val="22"/>
    </w:rPr>
  </w:style>
  <w:style w:type="character" w:styleId="939">
    <w:name w:val="标题 8 Char1"/>
    <w:basedOn w:val="922"/>
    <w:next w:val="939"/>
    <w:link w:val="938"/>
    <w:uiPriority w:val="9"/>
    <w:qFormat/>
    <w:rPr>
      <w:rFonts w:ascii="Arial" w:hAnsi="Arial" w:eastAsia="Arial" w:cs="Arial"/>
      <w:i/>
      <w:iCs/>
      <w:sz w:val="22"/>
      <w:szCs w:val="22"/>
    </w:rPr>
  </w:style>
  <w:style w:type="paragraph" w:styleId="940">
    <w:name w:val="标题 911"/>
    <w:basedOn w:val="847"/>
    <w:next w:val="847"/>
    <w:link w:val="941"/>
    <w:uiPriority w:val="9"/>
    <w:qFormat/>
    <w:pPr>
      <w:keepLines/>
      <w:keepNext/>
      <w:spacing w:before="320" w:after="200"/>
      <w:outlineLvl w:val="8"/>
    </w:pPr>
    <w:rPr>
      <w:rFonts w:ascii="Arial" w:hAnsi="Arial" w:cs="Arial"/>
      <w:i/>
      <w:iCs/>
      <w:szCs w:val="21"/>
    </w:rPr>
  </w:style>
  <w:style w:type="character" w:styleId="941">
    <w:name w:val="标题 9 Char1"/>
    <w:basedOn w:val="922"/>
    <w:next w:val="941"/>
    <w:link w:val="940"/>
    <w:uiPriority w:val="9"/>
    <w:qFormat/>
    <w:rPr>
      <w:rFonts w:ascii="Arial" w:hAnsi="Arial" w:eastAsia="Arial" w:cs="Arial"/>
      <w:i/>
      <w:iCs/>
      <w:sz w:val="21"/>
      <w:szCs w:val="21"/>
    </w:rPr>
  </w:style>
  <w:style w:type="table" w:styleId="942">
    <w:name w:val="普通表格11"/>
    <w:next w:val="942"/>
    <w:link w:val="847"/>
    <w:uiPriority w:val="99"/>
    <w:unhideWhenUsed/>
    <w:qFormat/>
    <w:tblPr/>
  </w:style>
  <w:style w:type="paragraph" w:styleId="943">
    <w:name w:val="目录 7111"/>
    <w:basedOn w:val="847"/>
    <w:next w:val="847"/>
    <w:link w:val="847"/>
    <w:uiPriority w:val="39"/>
    <w:unhideWhenUsed/>
    <w:qFormat/>
    <w:pPr>
      <w:ind w:left="1701"/>
      <w:spacing w:after="57"/>
    </w:pPr>
    <w:rPr>
      <w:rFonts w:ascii="Times New Roman" w:hAnsi="Times New Roman" w:eastAsia="宋体"/>
      <w:szCs w:val="21"/>
    </w:rPr>
  </w:style>
  <w:style w:type="paragraph" w:styleId="944">
    <w:name w:val="正文缩进11"/>
    <w:basedOn w:val="847"/>
    <w:next w:val="944"/>
    <w:link w:val="847"/>
    <w:uiPriority w:val="99"/>
    <w:qFormat/>
    <w:pPr>
      <w:ind w:firstLine="420"/>
    </w:pPr>
    <w:rPr>
      <w:rFonts w:ascii="Times New Roman" w:hAnsi="Times New Roman" w:eastAsia="宋体"/>
      <w:szCs w:val="20"/>
    </w:rPr>
  </w:style>
  <w:style w:type="paragraph" w:styleId="945">
    <w:name w:val="题注1"/>
    <w:basedOn w:val="847"/>
    <w:next w:val="847"/>
    <w:link w:val="847"/>
    <w:uiPriority w:val="35"/>
    <w:qFormat/>
    <w:pPr>
      <w:spacing w:line="276" w:lineRule="auto"/>
    </w:pPr>
    <w:rPr>
      <w:rFonts w:ascii="Times New Roman" w:hAnsi="Times New Roman" w:eastAsia="宋体"/>
      <w:b/>
      <w:bCs/>
      <w:color w:val="4f81bd"/>
      <w:sz w:val="18"/>
      <w:szCs w:val="18"/>
    </w:rPr>
  </w:style>
  <w:style w:type="paragraph" w:styleId="946">
    <w:name w:val="文档结构图11"/>
    <w:basedOn w:val="847"/>
    <w:next w:val="946"/>
    <w:link w:val="947"/>
    <w:uiPriority w:val="99"/>
    <w:semiHidden/>
    <w:qFormat/>
    <w:pPr>
      <w:shd w:val="clear" w:color="auto" w:fill="000080"/>
    </w:pPr>
    <w:rPr>
      <w:rFonts w:ascii="Times New Roman" w:hAnsi="Times New Roman" w:eastAsia="宋体"/>
      <w:sz w:val="20"/>
      <w:szCs w:val="20"/>
    </w:rPr>
  </w:style>
  <w:style w:type="character" w:styleId="947">
    <w:name w:val="文档结构图 Char1"/>
    <w:basedOn w:val="922"/>
    <w:next w:val="947"/>
    <w:link w:val="946"/>
    <w:uiPriority w:val="99"/>
    <w:semiHidden/>
    <w:qFormat/>
    <w:rPr>
      <w:rFonts w:ascii="Times New Roman" w:hAnsi="Times New Roman" w:eastAsia="宋体" w:cs="Times New Roman"/>
      <w:sz w:val="20"/>
      <w:szCs w:val="20"/>
      <w:shd w:val="clear" w:color="auto" w:fill="000080"/>
    </w:rPr>
  </w:style>
  <w:style w:type="paragraph" w:styleId="948">
    <w:name w:val="批注文字11"/>
    <w:basedOn w:val="847"/>
    <w:next w:val="948"/>
    <w:link w:val="949"/>
    <w:uiPriority w:val="99"/>
    <w:unhideWhenUsed/>
    <w:qFormat/>
    <w:pPr>
      <w:jc w:val="left"/>
    </w:pPr>
  </w:style>
  <w:style w:type="character" w:styleId="949">
    <w:name w:val="批注文字 Char1"/>
    <w:basedOn w:val="922"/>
    <w:next w:val="949"/>
    <w:link w:val="948"/>
    <w:uiPriority w:val="99"/>
    <w:semiHidden/>
    <w:qFormat/>
  </w:style>
  <w:style w:type="paragraph" w:styleId="950">
    <w:name w:val="正文文本11"/>
    <w:basedOn w:val="847"/>
    <w:next w:val="847"/>
    <w:link w:val="951"/>
    <w:uiPriority w:val="99"/>
    <w:qFormat/>
    <w:rPr>
      <w:rFonts w:ascii="华文中宋" w:hAnsi="Times New Roman" w:eastAsia="华文中宋"/>
      <w:bCs/>
      <w:sz w:val="28"/>
      <w:szCs w:val="20"/>
    </w:rPr>
  </w:style>
  <w:style w:type="character" w:styleId="951">
    <w:name w:val="正文文本 Char1"/>
    <w:basedOn w:val="922"/>
    <w:next w:val="951"/>
    <w:link w:val="950"/>
    <w:uiPriority w:val="99"/>
    <w:qFormat/>
    <w:rPr>
      <w:rFonts w:ascii="华文中宋" w:hAnsi="Times New Roman" w:eastAsia="华文中宋" w:cs="Times New Roman"/>
      <w:bCs/>
      <w:sz w:val="28"/>
      <w:szCs w:val="20"/>
    </w:rPr>
  </w:style>
  <w:style w:type="paragraph" w:styleId="952">
    <w:name w:val="正文文本缩进11"/>
    <w:basedOn w:val="847"/>
    <w:next w:val="952"/>
    <w:link w:val="953"/>
    <w:uiPriority w:val="99"/>
    <w:qFormat/>
    <w:pPr>
      <w:ind w:firstLine="576"/>
    </w:pPr>
    <w:rPr>
      <w:rFonts w:ascii="Times New Roman" w:hAnsi="Times New Roman" w:eastAsia="宋体"/>
      <w:b/>
      <w:sz w:val="30"/>
      <w:szCs w:val="20"/>
    </w:rPr>
  </w:style>
  <w:style w:type="character" w:styleId="953">
    <w:name w:val="正文文本缩进 Char1"/>
    <w:basedOn w:val="922"/>
    <w:next w:val="953"/>
    <w:link w:val="952"/>
    <w:uiPriority w:val="99"/>
    <w:qFormat/>
    <w:rPr>
      <w:rFonts w:ascii="Times New Roman" w:hAnsi="Times New Roman" w:eastAsia="宋体" w:cs="Times New Roman"/>
      <w:b/>
      <w:sz w:val="30"/>
      <w:szCs w:val="20"/>
    </w:rPr>
  </w:style>
  <w:style w:type="paragraph" w:styleId="954">
    <w:name w:val="目录 5111"/>
    <w:basedOn w:val="847"/>
    <w:next w:val="847"/>
    <w:link w:val="847"/>
    <w:uiPriority w:val="39"/>
    <w:unhideWhenUsed/>
    <w:qFormat/>
    <w:pPr>
      <w:ind w:left="1134"/>
      <w:spacing w:after="57"/>
    </w:pPr>
    <w:rPr>
      <w:rFonts w:ascii="Times New Roman" w:hAnsi="Times New Roman" w:eastAsia="宋体"/>
      <w:szCs w:val="21"/>
    </w:rPr>
  </w:style>
  <w:style w:type="paragraph" w:styleId="955">
    <w:name w:val="目录 3111"/>
    <w:basedOn w:val="847"/>
    <w:next w:val="847"/>
    <w:link w:val="847"/>
    <w:uiPriority w:val="39"/>
    <w:unhideWhenUsed/>
    <w:qFormat/>
    <w:pPr>
      <w:ind w:left="567"/>
      <w:spacing w:after="57"/>
    </w:pPr>
    <w:rPr>
      <w:rFonts w:ascii="Times New Roman" w:hAnsi="Times New Roman" w:eastAsia="宋体"/>
      <w:szCs w:val="21"/>
    </w:rPr>
  </w:style>
  <w:style w:type="paragraph" w:styleId="956">
    <w:name w:val="纯文本11"/>
    <w:basedOn w:val="847"/>
    <w:next w:val="956"/>
    <w:link w:val="847"/>
    <w:qFormat/>
    <w:rPr>
      <w:rFonts w:ascii="黑体"/>
      <w:szCs w:val="21"/>
    </w:rPr>
  </w:style>
  <w:style w:type="paragraph" w:styleId="957">
    <w:name w:val="目录 8111"/>
    <w:basedOn w:val="847"/>
    <w:next w:val="847"/>
    <w:link w:val="847"/>
    <w:uiPriority w:val="39"/>
    <w:unhideWhenUsed/>
    <w:qFormat/>
    <w:pPr>
      <w:ind w:left="1984"/>
      <w:spacing w:after="57"/>
    </w:pPr>
    <w:rPr>
      <w:rFonts w:ascii="Times New Roman" w:hAnsi="Times New Roman" w:eastAsia="宋体"/>
      <w:szCs w:val="21"/>
    </w:rPr>
  </w:style>
  <w:style w:type="paragraph" w:styleId="958">
    <w:name w:val="日期11"/>
    <w:basedOn w:val="847"/>
    <w:next w:val="847"/>
    <w:link w:val="959"/>
    <w:uiPriority w:val="99"/>
    <w:qFormat/>
    <w:rPr>
      <w:rFonts w:ascii="Times New Roman" w:hAnsi="Times New Roman" w:eastAsia="黑体"/>
      <w:b/>
      <w:sz w:val="36"/>
      <w:szCs w:val="20"/>
    </w:rPr>
  </w:style>
  <w:style w:type="character" w:styleId="959">
    <w:name w:val="日期 Char1"/>
    <w:basedOn w:val="922"/>
    <w:next w:val="959"/>
    <w:link w:val="958"/>
    <w:uiPriority w:val="99"/>
    <w:qFormat/>
    <w:rPr>
      <w:rFonts w:ascii="Times New Roman" w:hAnsi="Times New Roman" w:eastAsia="黑体" w:cs="Times New Roman"/>
      <w:b/>
      <w:sz w:val="36"/>
      <w:szCs w:val="20"/>
    </w:rPr>
  </w:style>
  <w:style w:type="paragraph" w:styleId="960">
    <w:name w:val="正文文本缩进 211"/>
    <w:basedOn w:val="847"/>
    <w:next w:val="960"/>
    <w:link w:val="961"/>
    <w:uiPriority w:val="99"/>
    <w:qFormat/>
    <w:pPr>
      <w:ind w:left="900"/>
    </w:pPr>
    <w:rPr>
      <w:rFonts w:ascii="楷体_GB2312" w:hAnsi="Times New Roman" w:eastAsia="楷体_GB2312"/>
      <w:b/>
      <w:sz w:val="28"/>
      <w:szCs w:val="20"/>
    </w:rPr>
  </w:style>
  <w:style w:type="character" w:styleId="961">
    <w:name w:val="正文文本缩进 2 Char1"/>
    <w:basedOn w:val="922"/>
    <w:next w:val="961"/>
    <w:link w:val="960"/>
    <w:uiPriority w:val="99"/>
    <w:qFormat/>
    <w:rPr>
      <w:rFonts w:ascii="楷体_GB2312" w:hAnsi="Times New Roman" w:eastAsia="楷体_GB2312" w:cs="Times New Roman"/>
      <w:b/>
      <w:sz w:val="28"/>
      <w:szCs w:val="20"/>
    </w:rPr>
  </w:style>
  <w:style w:type="paragraph" w:styleId="962">
    <w:name w:val="尾注文本1"/>
    <w:basedOn w:val="847"/>
    <w:next w:val="962"/>
    <w:link w:val="963"/>
    <w:uiPriority w:val="99"/>
    <w:unhideWhenUsed/>
    <w:qFormat/>
    <w:rPr>
      <w:rFonts w:ascii="Times New Roman" w:hAnsi="Times New Roman" w:eastAsia="宋体"/>
      <w:sz w:val="20"/>
      <w:szCs w:val="21"/>
    </w:rPr>
  </w:style>
  <w:style w:type="character" w:styleId="963">
    <w:name w:val="尾注文本 Char"/>
    <w:basedOn w:val="922"/>
    <w:next w:val="963"/>
    <w:link w:val="962"/>
    <w:uiPriority w:val="99"/>
    <w:qFormat/>
    <w:rPr>
      <w:rFonts w:ascii="Times New Roman" w:hAnsi="Times New Roman" w:eastAsia="宋体" w:cs="Times New Roman"/>
      <w:szCs w:val="21"/>
    </w:rPr>
  </w:style>
  <w:style w:type="paragraph" w:styleId="964">
    <w:name w:val="批注框文本11"/>
    <w:basedOn w:val="847"/>
    <w:next w:val="964"/>
    <w:link w:val="965"/>
    <w:uiPriority w:val="99"/>
    <w:unhideWhenUsed/>
    <w:qFormat/>
    <w:rPr>
      <w:rFonts w:ascii="Times New Roman" w:hAnsi="Times New Roman" w:eastAsia="宋体"/>
      <w:sz w:val="18"/>
      <w:szCs w:val="18"/>
    </w:rPr>
  </w:style>
  <w:style w:type="character" w:styleId="965">
    <w:name w:val="批注框文本 Char1"/>
    <w:basedOn w:val="922"/>
    <w:next w:val="965"/>
    <w:link w:val="964"/>
    <w:uiPriority w:val="99"/>
    <w:semiHidden/>
    <w:qFormat/>
    <w:rPr>
      <w:rFonts w:ascii="Times New Roman" w:hAnsi="Times New Roman" w:eastAsia="宋体" w:cs="Times New Roman"/>
      <w:sz w:val="18"/>
      <w:szCs w:val="18"/>
    </w:rPr>
  </w:style>
  <w:style w:type="paragraph" w:styleId="966">
    <w:name w:val="页脚11"/>
    <w:basedOn w:val="847"/>
    <w:next w:val="968"/>
    <w:link w:val="967"/>
    <w:uiPriority w:val="99"/>
    <w:qFormat/>
    <w:pPr>
      <w:jc w:val="left"/>
      <w:tabs>
        <w:tab w:val="center" w:pos="4153" w:leader="none"/>
        <w:tab w:val="right" w:pos="8306" w:leader="none"/>
      </w:tabs>
    </w:pPr>
    <w:rPr>
      <w:rFonts w:ascii="Times New Roman" w:hAnsi="Times New Roman" w:eastAsia="宋体"/>
      <w:sz w:val="18"/>
      <w:szCs w:val="20"/>
    </w:rPr>
  </w:style>
  <w:style w:type="character" w:styleId="967">
    <w:name w:val="页脚 Char1"/>
    <w:basedOn w:val="922"/>
    <w:next w:val="967"/>
    <w:link w:val="966"/>
    <w:uiPriority w:val="99"/>
    <w:qFormat/>
    <w:rPr>
      <w:rFonts w:ascii="Times New Roman" w:hAnsi="Times New Roman" w:eastAsia="宋体" w:cs="Times New Roman"/>
      <w:sz w:val="18"/>
      <w:szCs w:val="20"/>
    </w:rPr>
  </w:style>
  <w:style w:type="paragraph" w:styleId="968">
    <w:name w:val="明显引用1"/>
    <w:next w:val="847"/>
    <w:link w:val="847"/>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969">
    <w:name w:val="页眉11"/>
    <w:basedOn w:val="847"/>
    <w:next w:val="969"/>
    <w:link w:val="970"/>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70">
    <w:name w:val="页眉 Char1"/>
    <w:basedOn w:val="922"/>
    <w:next w:val="970"/>
    <w:link w:val="969"/>
    <w:uiPriority w:val="99"/>
    <w:qFormat/>
    <w:rPr>
      <w:rFonts w:ascii="Times New Roman" w:hAnsi="Times New Roman" w:eastAsia="宋体" w:cs="Times New Roman"/>
      <w:sz w:val="18"/>
      <w:szCs w:val="20"/>
    </w:rPr>
  </w:style>
  <w:style w:type="paragraph" w:styleId="971">
    <w:name w:val="目录 1112"/>
    <w:basedOn w:val="847"/>
    <w:next w:val="847"/>
    <w:link w:val="847"/>
    <w:uiPriority w:val="39"/>
    <w:unhideWhenUsed/>
    <w:qFormat/>
    <w:pPr>
      <w:spacing w:after="57"/>
    </w:pPr>
    <w:rPr>
      <w:rFonts w:ascii="Times New Roman" w:hAnsi="Times New Roman" w:eastAsia="宋体"/>
      <w:szCs w:val="21"/>
    </w:rPr>
  </w:style>
  <w:style w:type="paragraph" w:styleId="972">
    <w:name w:val="目录 4111"/>
    <w:basedOn w:val="847"/>
    <w:next w:val="847"/>
    <w:link w:val="847"/>
    <w:uiPriority w:val="39"/>
    <w:unhideWhenUsed/>
    <w:qFormat/>
    <w:pPr>
      <w:ind w:left="850"/>
      <w:spacing w:after="57"/>
    </w:pPr>
    <w:rPr>
      <w:rFonts w:ascii="Times New Roman" w:hAnsi="Times New Roman" w:eastAsia="宋体"/>
      <w:szCs w:val="21"/>
    </w:rPr>
  </w:style>
  <w:style w:type="paragraph" w:styleId="973">
    <w:name w:val="副标题1"/>
    <w:basedOn w:val="847"/>
    <w:next w:val="847"/>
    <w:link w:val="974"/>
    <w:uiPriority w:val="11"/>
    <w:qFormat/>
    <w:pPr>
      <w:ind w:firstLine="471"/>
      <w:jc w:val="center"/>
      <w:spacing w:before="240" w:after="60" w:line="312" w:lineRule="atLeast"/>
      <w:outlineLvl w:val="1"/>
    </w:pPr>
    <w:rPr>
      <w:rFonts w:ascii="Arial" w:hAnsi="Arial"/>
      <w:b/>
      <w:bCs/>
      <w:sz w:val="32"/>
      <w:szCs w:val="32"/>
    </w:rPr>
  </w:style>
  <w:style w:type="character" w:styleId="974">
    <w:name w:val="副标题 Char"/>
    <w:next w:val="974"/>
    <w:link w:val="973"/>
    <w:uiPriority w:val="11"/>
    <w:qFormat/>
    <w:rPr>
      <w:rFonts w:ascii="Arial" w:hAnsi="Arial"/>
      <w:b/>
      <w:bCs/>
      <w:sz w:val="32"/>
      <w:szCs w:val="32"/>
    </w:rPr>
  </w:style>
  <w:style w:type="paragraph" w:styleId="975">
    <w:name w:val="列表11"/>
    <w:basedOn w:val="847"/>
    <w:next w:val="975"/>
    <w:link w:val="847"/>
    <w:qFormat/>
    <w:pPr>
      <w:ind w:firstLine="480"/>
      <w:spacing w:after="20" w:line="360" w:lineRule="auto"/>
      <w:tabs>
        <w:tab w:val="left" w:pos="420" w:leader="none"/>
      </w:tabs>
    </w:pPr>
    <w:rPr>
      <w:rFonts w:ascii="宋体" w:hAnsi="宋体" w:eastAsia="宋体" w:cs="宋体"/>
      <w:sz w:val="24"/>
      <w:szCs w:val="24"/>
    </w:rPr>
  </w:style>
  <w:style w:type="paragraph" w:styleId="976">
    <w:name w:val="脚注文本1"/>
    <w:basedOn w:val="847"/>
    <w:next w:val="976"/>
    <w:link w:val="977"/>
    <w:uiPriority w:val="99"/>
    <w:unhideWhenUsed/>
    <w:qFormat/>
    <w:pPr>
      <w:spacing w:after="40"/>
    </w:pPr>
    <w:rPr>
      <w:rFonts w:ascii="Times New Roman" w:hAnsi="Times New Roman" w:eastAsia="宋体"/>
      <w:sz w:val="18"/>
      <w:szCs w:val="21"/>
    </w:rPr>
  </w:style>
  <w:style w:type="character" w:styleId="977">
    <w:name w:val="脚注文本 Char"/>
    <w:basedOn w:val="922"/>
    <w:next w:val="977"/>
    <w:link w:val="976"/>
    <w:uiPriority w:val="99"/>
    <w:qFormat/>
    <w:rPr>
      <w:rFonts w:ascii="Times New Roman" w:hAnsi="Times New Roman" w:eastAsia="宋体" w:cs="Times New Roman"/>
      <w:sz w:val="18"/>
      <w:szCs w:val="21"/>
    </w:rPr>
  </w:style>
  <w:style w:type="paragraph" w:styleId="978">
    <w:name w:val="目录 6111"/>
    <w:basedOn w:val="847"/>
    <w:next w:val="847"/>
    <w:link w:val="847"/>
    <w:uiPriority w:val="39"/>
    <w:unhideWhenUsed/>
    <w:qFormat/>
    <w:pPr>
      <w:ind w:left="1417"/>
      <w:spacing w:after="57"/>
    </w:pPr>
    <w:rPr>
      <w:rFonts w:ascii="Times New Roman" w:hAnsi="Times New Roman" w:eastAsia="宋体"/>
      <w:szCs w:val="21"/>
    </w:rPr>
  </w:style>
  <w:style w:type="paragraph" w:styleId="979">
    <w:name w:val="正文文本缩进 311"/>
    <w:basedOn w:val="847"/>
    <w:next w:val="979"/>
    <w:link w:val="980"/>
    <w:uiPriority w:val="99"/>
    <w:qFormat/>
    <w:pPr>
      <w:ind w:left="359" w:firstLine="359"/>
    </w:pPr>
    <w:rPr>
      <w:rFonts w:ascii="Times New Roman" w:hAnsi="Times New Roman" w:eastAsia="宋体"/>
      <w:sz w:val="20"/>
      <w:szCs w:val="20"/>
    </w:rPr>
  </w:style>
  <w:style w:type="character" w:styleId="980">
    <w:name w:val="正文文本缩进 3 Char1"/>
    <w:basedOn w:val="922"/>
    <w:next w:val="980"/>
    <w:link w:val="979"/>
    <w:uiPriority w:val="99"/>
    <w:qFormat/>
    <w:rPr>
      <w:rFonts w:ascii="Times New Roman" w:hAnsi="Times New Roman" w:eastAsia="宋体" w:cs="Times New Roman"/>
      <w:sz w:val="20"/>
      <w:szCs w:val="20"/>
    </w:rPr>
  </w:style>
  <w:style w:type="paragraph" w:styleId="981">
    <w:name w:val="图表目录11"/>
    <w:basedOn w:val="847"/>
    <w:next w:val="847"/>
    <w:link w:val="847"/>
    <w:uiPriority w:val="99"/>
    <w:unhideWhenUsed/>
    <w:qFormat/>
    <w:rPr>
      <w:rFonts w:ascii="Times New Roman" w:hAnsi="Times New Roman" w:eastAsia="宋体"/>
      <w:szCs w:val="21"/>
    </w:rPr>
  </w:style>
  <w:style w:type="paragraph" w:styleId="982">
    <w:name w:val="目录 2111"/>
    <w:basedOn w:val="847"/>
    <w:next w:val="847"/>
    <w:link w:val="847"/>
    <w:uiPriority w:val="39"/>
    <w:unhideWhenUsed/>
    <w:qFormat/>
    <w:pPr>
      <w:ind w:left="283"/>
      <w:spacing w:after="57"/>
    </w:pPr>
    <w:rPr>
      <w:rFonts w:ascii="Times New Roman" w:hAnsi="Times New Roman" w:eastAsia="宋体"/>
      <w:szCs w:val="21"/>
    </w:rPr>
  </w:style>
  <w:style w:type="paragraph" w:styleId="983">
    <w:name w:val="目录 9111"/>
    <w:basedOn w:val="847"/>
    <w:next w:val="847"/>
    <w:link w:val="847"/>
    <w:uiPriority w:val="39"/>
    <w:unhideWhenUsed/>
    <w:qFormat/>
    <w:pPr>
      <w:ind w:left="2268"/>
      <w:spacing w:after="57"/>
    </w:pPr>
    <w:rPr>
      <w:rFonts w:ascii="Times New Roman" w:hAnsi="Times New Roman" w:eastAsia="宋体"/>
      <w:szCs w:val="21"/>
    </w:rPr>
  </w:style>
  <w:style w:type="paragraph" w:styleId="984">
    <w:name w:val="正文文本 211"/>
    <w:basedOn w:val="847"/>
    <w:next w:val="984"/>
    <w:link w:val="985"/>
    <w:uiPriority w:val="99"/>
    <w:qFormat/>
    <w:pPr>
      <w:spacing w:after="120" w:line="480" w:lineRule="auto"/>
    </w:pPr>
    <w:rPr>
      <w:rFonts w:ascii="Times New Roman" w:hAnsi="Times New Roman" w:eastAsia="宋体"/>
      <w:sz w:val="20"/>
      <w:szCs w:val="20"/>
    </w:rPr>
  </w:style>
  <w:style w:type="character" w:styleId="985">
    <w:name w:val="正文文本 2 Char1"/>
    <w:basedOn w:val="922"/>
    <w:next w:val="985"/>
    <w:link w:val="984"/>
    <w:uiPriority w:val="99"/>
    <w:qFormat/>
    <w:rPr>
      <w:rFonts w:ascii="Times New Roman" w:hAnsi="Times New Roman" w:eastAsia="宋体" w:cs="Times New Roman"/>
      <w:sz w:val="20"/>
      <w:szCs w:val="20"/>
    </w:rPr>
  </w:style>
  <w:style w:type="paragraph" w:styleId="986">
    <w:name w:val="普通(网站)11"/>
    <w:basedOn w:val="847"/>
    <w:next w:val="986"/>
    <w:link w:val="84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87">
    <w:name w:val="标题11"/>
    <w:basedOn w:val="847"/>
    <w:next w:val="847"/>
    <w:link w:val="988"/>
    <w:uiPriority w:val="10"/>
    <w:qFormat/>
    <w:pPr>
      <w:contextualSpacing/>
      <w:spacing w:before="300" w:after="200"/>
    </w:pPr>
    <w:rPr>
      <w:rFonts w:ascii="Times New Roman" w:hAnsi="Times New Roman" w:eastAsia="宋体"/>
      <w:sz w:val="48"/>
      <w:szCs w:val="48"/>
    </w:rPr>
  </w:style>
  <w:style w:type="character" w:styleId="988">
    <w:name w:val="标题 Char"/>
    <w:basedOn w:val="922"/>
    <w:next w:val="988"/>
    <w:link w:val="987"/>
    <w:uiPriority w:val="10"/>
    <w:qFormat/>
    <w:rPr>
      <w:rFonts w:ascii="Times New Roman" w:hAnsi="Times New Roman" w:eastAsia="宋体" w:cs="Times New Roman"/>
      <w:sz w:val="48"/>
      <w:szCs w:val="48"/>
    </w:rPr>
  </w:style>
  <w:style w:type="paragraph" w:styleId="989">
    <w:name w:val="批注主题11"/>
    <w:basedOn w:val="948"/>
    <w:next w:val="948"/>
    <w:link w:val="990"/>
    <w:uiPriority w:val="99"/>
    <w:unhideWhenUsed/>
    <w:qFormat/>
    <w:rPr>
      <w:b/>
      <w:bCs/>
    </w:rPr>
  </w:style>
  <w:style w:type="character" w:styleId="990">
    <w:name w:val="批注主题 Char1"/>
    <w:basedOn w:val="949"/>
    <w:next w:val="990"/>
    <w:link w:val="989"/>
    <w:uiPriority w:val="99"/>
    <w:semiHidden/>
    <w:qFormat/>
    <w:rPr>
      <w:b/>
      <w:bCs/>
    </w:rPr>
  </w:style>
  <w:style w:type="paragraph" w:styleId="991">
    <w:name w:val="正文首行缩进11"/>
    <w:basedOn w:val="950"/>
    <w:next w:val="991"/>
    <w:link w:val="847"/>
    <w:uiPriority w:val="99"/>
    <w:unhideWhenUsed/>
    <w:qFormat/>
    <w:pPr>
      <w:ind w:firstLine="420"/>
      <w:spacing w:after="120"/>
    </w:pPr>
    <w:rPr>
      <w:rFonts w:ascii="Calibri" w:hAnsi="Calibri" w:eastAsia="宋体"/>
      <w:sz w:val="21"/>
      <w:szCs w:val="22"/>
    </w:rPr>
  </w:style>
  <w:style w:type="paragraph" w:styleId="992">
    <w:name w:val="正文首行缩进 211"/>
    <w:basedOn w:val="952"/>
    <w:next w:val="847"/>
    <w:link w:val="993"/>
    <w:uiPriority w:val="99"/>
    <w:unhideWhenUsed/>
    <w:qFormat/>
    <w:pPr>
      <w:ind w:left="420" w:firstLine="420"/>
      <w:spacing w:after="120"/>
    </w:pPr>
    <w:rPr>
      <w:rFonts w:ascii="Calibri" w:hAnsi="Calibri" w:eastAsia="Arial"/>
      <w:b w:val="0"/>
      <w:sz w:val="21"/>
      <w:szCs w:val="22"/>
    </w:rPr>
  </w:style>
  <w:style w:type="character" w:styleId="993">
    <w:name w:val="正文首行缩进 2 Char1"/>
    <w:basedOn w:val="953"/>
    <w:next w:val="993"/>
    <w:link w:val="992"/>
    <w:uiPriority w:val="99"/>
    <w:semiHidden/>
    <w:qFormat/>
    <w:rPr>
      <w:rFonts w:ascii="Times New Roman" w:hAnsi="Times New Roman" w:eastAsia="宋体" w:cs="Times New Roman"/>
      <w:b w:val="0"/>
      <w:sz w:val="21"/>
      <w:szCs w:val="22"/>
    </w:rPr>
  </w:style>
  <w:style w:type="table" w:styleId="994">
    <w:name w:val="网格型11"/>
    <w:basedOn w:val="942"/>
    <w:next w:val="994"/>
    <w:link w:val="847"/>
    <w:uiPriority w:val="59"/>
    <w:qFormat/>
    <w:rPr>
      <w:rFonts w:eastAsia="Times New Roman"/>
    </w:rPr>
    <w:tblPr/>
  </w:style>
  <w:style w:type="character" w:styleId="995">
    <w:name w:val="要点11"/>
    <w:next w:val="995"/>
    <w:link w:val="847"/>
    <w:uiPriority w:val="99"/>
    <w:qFormat/>
    <w:rPr>
      <w:rFonts w:cs="Times New Roman"/>
      <w:b/>
      <w:bCs/>
    </w:rPr>
  </w:style>
  <w:style w:type="character" w:styleId="996">
    <w:name w:val="尾注引用1"/>
    <w:next w:val="996"/>
    <w:link w:val="847"/>
    <w:uiPriority w:val="99"/>
    <w:unhideWhenUsed/>
    <w:qFormat/>
    <w:rPr>
      <w:vertAlign w:val="superscript"/>
    </w:rPr>
  </w:style>
  <w:style w:type="character" w:styleId="997">
    <w:name w:val="页码11"/>
    <w:next w:val="997"/>
    <w:link w:val="847"/>
    <w:uiPriority w:val="99"/>
    <w:qFormat/>
    <w:rPr>
      <w:rFonts w:cs="Times New Roman"/>
    </w:rPr>
  </w:style>
  <w:style w:type="character" w:styleId="998">
    <w:name w:val="已访问的超链接11"/>
    <w:next w:val="998"/>
    <w:link w:val="847"/>
    <w:uiPriority w:val="99"/>
    <w:unhideWhenUsed/>
    <w:qFormat/>
    <w:rPr>
      <w:color w:val="800080"/>
      <w:u w:val="single"/>
    </w:rPr>
  </w:style>
  <w:style w:type="character" w:styleId="999">
    <w:name w:val="HTML 打字机11"/>
    <w:next w:val="999"/>
    <w:link w:val="847"/>
    <w:uiPriority w:val="99"/>
    <w:qFormat/>
    <w:rPr>
      <w:rFonts w:ascii="宋体" w:hAnsi="宋体" w:eastAsia="宋体" w:cs="宋体"/>
      <w:sz w:val="24"/>
      <w:szCs w:val="24"/>
    </w:rPr>
  </w:style>
  <w:style w:type="character" w:styleId="1000">
    <w:name w:val="超链接11"/>
    <w:next w:val="1000"/>
    <w:link w:val="847"/>
    <w:uiPriority w:val="99"/>
    <w:qFormat/>
    <w:rPr>
      <w:rFonts w:cs="Times New Roman"/>
      <w:color w:val="000000"/>
      <w:u w:val="none"/>
    </w:rPr>
  </w:style>
  <w:style w:type="character" w:styleId="1001">
    <w:name w:val="批注引用11"/>
    <w:basedOn w:val="922"/>
    <w:next w:val="1001"/>
    <w:link w:val="847"/>
    <w:unhideWhenUsed/>
    <w:qFormat/>
    <w:rPr>
      <w:sz w:val="21"/>
      <w:szCs w:val="21"/>
    </w:rPr>
  </w:style>
  <w:style w:type="character" w:styleId="1002">
    <w:name w:val="脚注引用1"/>
    <w:next w:val="1002"/>
    <w:link w:val="847"/>
    <w:uiPriority w:val="99"/>
    <w:unhideWhenUsed/>
    <w:qFormat/>
    <w:rPr>
      <w:vertAlign w:val="superscript"/>
    </w:rPr>
  </w:style>
  <w:style w:type="character" w:styleId="1003">
    <w:name w:val="批注引用1"/>
    <w:next w:val="1003"/>
    <w:link w:val="847"/>
    <w:semiHidden/>
    <w:qFormat/>
    <w:rPr>
      <w:rFonts w:ascii="Calibri" w:hAnsi="Calibri" w:eastAsia="Arial" w:cs="Times New Roman"/>
      <w:sz w:val="21"/>
      <w:szCs w:val="22"/>
    </w:rPr>
  </w:style>
  <w:style w:type="paragraph" w:styleId="1004">
    <w:name w:val="段"/>
    <w:next w:val="847"/>
    <w:link w:val="847"/>
    <w:qFormat/>
    <w:pPr>
      <w:ind w:firstLine="200"/>
      <w:jc w:val="both"/>
    </w:pPr>
    <w:rPr>
      <w:rFonts w:ascii="宋体" w:hAnsi="Times New Roman" w:eastAsia="宋体" w:cs="Times New Roman"/>
      <w:sz w:val="21"/>
      <w:lang w:val="en-US" w:eastAsia="zh-CN" w:bidi="ar-SA"/>
    </w:rPr>
  </w:style>
  <w:style w:type="paragraph" w:styleId="1005">
    <w:name w:val="TOC 标题111"/>
    <w:next w:val="1005"/>
    <w:link w:val="847"/>
    <w:uiPriority w:val="39"/>
    <w:unhideWhenUsed/>
    <w:qFormat/>
    <w:rPr>
      <w:rFonts w:ascii="Calibri" w:hAnsi="Calibri" w:eastAsia="Arial" w:cs="Times New Roman"/>
      <w:lang w:val="en-US" w:eastAsia="zh-CN" w:bidi="ar-SA"/>
    </w:rPr>
  </w:style>
  <w:style w:type="paragraph" w:styleId="1006">
    <w:name w:val="font5"/>
    <w:basedOn w:val="847"/>
    <w:next w:val="1006"/>
    <w:link w:val="847"/>
    <w:qFormat/>
    <w:pPr>
      <w:jc w:val="left"/>
      <w:spacing w:before="100" w:beforeAutospacing="1" w:after="100" w:afterAutospacing="1"/>
      <w:widowControl/>
    </w:pPr>
    <w:rPr>
      <w:rFonts w:ascii="宋体" w:hAnsi="宋体" w:eastAsia="宋体"/>
      <w:sz w:val="18"/>
      <w:szCs w:val="18"/>
    </w:rPr>
  </w:style>
  <w:style w:type="paragraph" w:styleId="1007">
    <w:name w:val="font6"/>
    <w:basedOn w:val="847"/>
    <w:next w:val="1007"/>
    <w:link w:val="847"/>
    <w:qFormat/>
    <w:pPr>
      <w:jc w:val="left"/>
      <w:spacing w:before="100" w:beforeAutospacing="1" w:after="100" w:afterAutospacing="1"/>
      <w:widowControl/>
    </w:pPr>
    <w:rPr>
      <w:rFonts w:ascii="宋体" w:hAnsi="宋体" w:eastAsia="宋体"/>
      <w:b/>
      <w:bCs/>
      <w:sz w:val="20"/>
      <w:szCs w:val="20"/>
    </w:rPr>
  </w:style>
  <w:style w:type="paragraph" w:styleId="1008">
    <w:name w:val="font7"/>
    <w:basedOn w:val="847"/>
    <w:next w:val="1008"/>
    <w:link w:val="847"/>
    <w:qFormat/>
    <w:pPr>
      <w:jc w:val="left"/>
      <w:spacing w:before="100" w:beforeAutospacing="1" w:after="100" w:afterAutospacing="1"/>
      <w:widowControl/>
    </w:pPr>
    <w:rPr>
      <w:rFonts w:ascii="Times New Roman" w:hAnsi="Times New Roman" w:eastAsia="宋体"/>
      <w:b/>
      <w:bCs/>
      <w:i/>
      <w:iCs/>
      <w:sz w:val="20"/>
      <w:szCs w:val="20"/>
    </w:rPr>
  </w:style>
  <w:style w:type="paragraph" w:styleId="1009">
    <w:name w:val="font8"/>
    <w:basedOn w:val="847"/>
    <w:next w:val="1009"/>
    <w:link w:val="847"/>
    <w:uiPriority w:val="99"/>
    <w:qFormat/>
    <w:pPr>
      <w:jc w:val="left"/>
      <w:spacing w:before="100" w:beforeAutospacing="1" w:after="100" w:afterAutospacing="1"/>
      <w:widowControl/>
    </w:pPr>
    <w:rPr>
      <w:rFonts w:ascii="宋体" w:hAnsi="宋体" w:eastAsia="宋体"/>
      <w:b/>
      <w:bCs/>
      <w:i/>
      <w:iCs/>
      <w:sz w:val="20"/>
      <w:szCs w:val="20"/>
    </w:rPr>
  </w:style>
  <w:style w:type="paragraph" w:styleId="1010">
    <w:name w:val="font9"/>
    <w:basedOn w:val="847"/>
    <w:next w:val="1010"/>
    <w:link w:val="847"/>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11">
    <w:name w:val="xl24"/>
    <w:basedOn w:val="847"/>
    <w:next w:val="1011"/>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12">
    <w:name w:val="xl25"/>
    <w:basedOn w:val="847"/>
    <w:next w:val="101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3">
    <w:name w:val="xl26"/>
    <w:basedOn w:val="847"/>
    <w:next w:val="101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4">
    <w:name w:val="xl27"/>
    <w:basedOn w:val="847"/>
    <w:next w:val="1014"/>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5">
    <w:name w:val="xl28"/>
    <w:basedOn w:val="847"/>
    <w:next w:val="1015"/>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16">
    <w:name w:val="xl29"/>
    <w:basedOn w:val="847"/>
    <w:next w:val="1016"/>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7">
    <w:name w:val="xl30"/>
    <w:basedOn w:val="847"/>
    <w:next w:val="1017"/>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18">
    <w:name w:val="xl31"/>
    <w:basedOn w:val="847"/>
    <w:next w:val="1018"/>
    <w:link w:val="8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19">
    <w:name w:val="xl32"/>
    <w:basedOn w:val="847"/>
    <w:next w:val="1019"/>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0">
    <w:name w:val="xl33"/>
    <w:basedOn w:val="847"/>
    <w:next w:val="1020"/>
    <w:link w:val="8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1">
    <w:name w:val="xl34"/>
    <w:basedOn w:val="847"/>
    <w:next w:val="1021"/>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22">
    <w:name w:val="xl35"/>
    <w:basedOn w:val="847"/>
    <w:next w:val="1022"/>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3">
    <w:name w:val="xl36"/>
    <w:basedOn w:val="847"/>
    <w:next w:val="1023"/>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4">
    <w:name w:val="xl37"/>
    <w:basedOn w:val="847"/>
    <w:next w:val="1024"/>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1025">
    <w:name w:val="xl38"/>
    <w:basedOn w:val="847"/>
    <w:next w:val="1025"/>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6">
    <w:name w:val="xl39"/>
    <w:basedOn w:val="847"/>
    <w:next w:val="1026"/>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027">
    <w:name w:val="xl40"/>
    <w:basedOn w:val="847"/>
    <w:next w:val="1027"/>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28">
    <w:name w:val="xl41"/>
    <w:basedOn w:val="847"/>
    <w:next w:val="1028"/>
    <w:link w:val="84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29">
    <w:name w:val="xl42"/>
    <w:basedOn w:val="847"/>
    <w:next w:val="1029"/>
    <w:link w:val="84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1030">
    <w:name w:val="xl43"/>
    <w:basedOn w:val="847"/>
    <w:next w:val="1030"/>
    <w:link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1031">
    <w:name w:val="xl44"/>
    <w:basedOn w:val="847"/>
    <w:next w:val="1031"/>
    <w:link w:val="84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1032">
    <w:name w:val="xl45"/>
    <w:basedOn w:val="847"/>
    <w:next w:val="1032"/>
    <w:link w:val="847"/>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33">
    <w:name w:val="xl46"/>
    <w:basedOn w:val="847"/>
    <w:next w:val="1033"/>
    <w:link w:val="847"/>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1034">
    <w:name w:val="xl47"/>
    <w:basedOn w:val="847"/>
    <w:next w:val="1034"/>
    <w:link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035">
    <w:name w:val="xl48"/>
    <w:basedOn w:val="847"/>
    <w:next w:val="1035"/>
    <w:link w:val="84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36">
    <w:name w:val="xl49"/>
    <w:basedOn w:val="847"/>
    <w:next w:val="1036"/>
    <w:link w:val="847"/>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37">
    <w:name w:val="xl50"/>
    <w:basedOn w:val="847"/>
    <w:next w:val="1037"/>
    <w:link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38">
    <w:name w:val="xl51"/>
    <w:basedOn w:val="847"/>
    <w:next w:val="1038"/>
    <w:link w:val="84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39">
    <w:name w:val="xl52"/>
    <w:basedOn w:val="847"/>
    <w:next w:val="1039"/>
    <w:link w:val="84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0">
    <w:name w:val="xl53"/>
    <w:basedOn w:val="847"/>
    <w:next w:val="1040"/>
    <w:link w:val="84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1">
    <w:name w:val="xl54"/>
    <w:basedOn w:val="847"/>
    <w:next w:val="1041"/>
    <w:link w:val="84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1042">
    <w:name w:val="xl55"/>
    <w:basedOn w:val="847"/>
    <w:next w:val="1042"/>
    <w:link w:val="84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043">
    <w:name w:val="xl56"/>
    <w:basedOn w:val="847"/>
    <w:next w:val="1043"/>
    <w:link w:val="84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44">
    <w:name w:val="xl57"/>
    <w:basedOn w:val="847"/>
    <w:next w:val="1044"/>
    <w:link w:val="84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045">
    <w:name w:val="xl58"/>
    <w:basedOn w:val="847"/>
    <w:next w:val="1045"/>
    <w:link w:val="847"/>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46">
    <w:name w:val="xl59"/>
    <w:basedOn w:val="847"/>
    <w:next w:val="1046"/>
    <w:link w:val="84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47">
    <w:name w:val="xl60"/>
    <w:basedOn w:val="847"/>
    <w:next w:val="1047"/>
    <w:link w:val="84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8">
    <w:name w:val="xl61"/>
    <w:basedOn w:val="847"/>
    <w:next w:val="1048"/>
    <w:link w:val="84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49">
    <w:name w:val="xl62"/>
    <w:basedOn w:val="847"/>
    <w:next w:val="1049"/>
    <w:link w:val="84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50">
    <w:name w:val="xl63"/>
    <w:basedOn w:val="847"/>
    <w:next w:val="1050"/>
    <w:link w:val="84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1051">
    <w:name w:val="font10"/>
    <w:basedOn w:val="847"/>
    <w:next w:val="1051"/>
    <w:link w:val="847"/>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52">
    <w:name w:val="font11"/>
    <w:basedOn w:val="847"/>
    <w:next w:val="1052"/>
    <w:link w:val="847"/>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053">
    <w:name w:val="font12"/>
    <w:basedOn w:val="847"/>
    <w:next w:val="1053"/>
    <w:link w:val="847"/>
    <w:uiPriority w:val="99"/>
    <w:qFormat/>
    <w:pPr>
      <w:jc w:val="left"/>
      <w:spacing w:before="100" w:beforeAutospacing="1" w:after="100" w:afterAutospacing="1"/>
      <w:widowControl/>
    </w:pPr>
    <w:rPr>
      <w:rFonts w:ascii="宋体" w:hAnsi="宋体" w:eastAsia="宋体"/>
      <w:sz w:val="36"/>
      <w:szCs w:val="36"/>
    </w:rPr>
  </w:style>
  <w:style w:type="paragraph" w:styleId="1054">
    <w:name w:val="font13"/>
    <w:basedOn w:val="847"/>
    <w:next w:val="1054"/>
    <w:link w:val="847"/>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55">
    <w:name w:val="font14"/>
    <w:basedOn w:val="847"/>
    <w:next w:val="1055"/>
    <w:link w:val="847"/>
    <w:uiPriority w:val="99"/>
    <w:qFormat/>
    <w:pPr>
      <w:jc w:val="left"/>
      <w:spacing w:before="100" w:beforeAutospacing="1" w:after="100" w:afterAutospacing="1"/>
      <w:widowControl/>
    </w:pPr>
    <w:rPr>
      <w:rFonts w:ascii="Times New Roman" w:hAnsi="Times New Roman" w:eastAsia="宋体"/>
      <w:sz w:val="36"/>
      <w:szCs w:val="36"/>
    </w:rPr>
  </w:style>
  <w:style w:type="character" w:styleId="1056">
    <w:name w:val="case31"/>
    <w:next w:val="1056"/>
    <w:link w:val="847"/>
    <w:uiPriority w:val="99"/>
    <w:qFormat/>
    <w:rPr>
      <w:rFonts w:cs="Times New Roman"/>
      <w:spacing w:val="390"/>
      <w:sz w:val="21"/>
      <w:szCs w:val="21"/>
    </w:rPr>
  </w:style>
  <w:style w:type="paragraph" w:styleId="1057">
    <w:name w:val="普通文字"/>
    <w:basedOn w:val="847"/>
    <w:next w:val="847"/>
    <w:link w:val="847"/>
    <w:uiPriority w:val="99"/>
    <w:qFormat/>
    <w:rPr>
      <w:rFonts w:ascii="宋体" w:hAnsi="Times New Roman" w:eastAsia="宋体"/>
      <w:sz w:val="24"/>
      <w:szCs w:val="20"/>
    </w:rPr>
  </w:style>
  <w:style w:type="paragraph" w:styleId="1058">
    <w:name w:val="默认段落字体 Para Char"/>
    <w:basedOn w:val="847"/>
    <w:next w:val="1058"/>
    <w:link w:val="847"/>
    <w:uiPriority w:val="99"/>
    <w:qFormat/>
    <w:pPr>
      <w:ind w:left="552" w:hanging="420"/>
      <w:tabs>
        <w:tab w:val="left" w:pos="552" w:leader="none"/>
      </w:tabs>
    </w:pPr>
    <w:rPr>
      <w:rFonts w:ascii="Times New Roman" w:hAnsi="Times New Roman" w:eastAsia="宋体"/>
      <w:sz w:val="24"/>
      <w:szCs w:val="24"/>
    </w:rPr>
  </w:style>
  <w:style w:type="paragraph" w:styleId="1059">
    <w:name w:val="Char Char Char Char"/>
    <w:basedOn w:val="946"/>
    <w:next w:val="1059"/>
    <w:link w:val="847"/>
    <w:qFormat/>
    <w:pPr>
      <w:spacing w:line="360" w:lineRule="auto"/>
    </w:pPr>
    <w:rPr>
      <w:rFonts w:ascii="Tahoma" w:hAnsi="Tahoma"/>
      <w:sz w:val="24"/>
      <w:szCs w:val="24"/>
    </w:rPr>
  </w:style>
  <w:style w:type="paragraph" w:styleId="1060">
    <w:name w:val="Char Char1 Char Char Char Char"/>
    <w:basedOn w:val="946"/>
    <w:next w:val="1060"/>
    <w:link w:val="847"/>
    <w:uiPriority w:val="99"/>
    <w:qFormat/>
    <w:pPr>
      <w:ind w:left="357"/>
      <w:jc w:val="left"/>
      <w:spacing w:line="436" w:lineRule="exact"/>
      <w:outlineLvl w:val="3"/>
    </w:pPr>
    <w:rPr>
      <w:rFonts w:ascii="Tahoma" w:hAnsi="Tahoma"/>
      <w:b/>
      <w:sz w:val="24"/>
      <w:szCs w:val="24"/>
    </w:rPr>
  </w:style>
  <w:style w:type="paragraph" w:styleId="1061">
    <w:name w:val="List Paragraph"/>
    <w:basedOn w:val="847"/>
    <w:next w:val="1061"/>
    <w:link w:val="847"/>
    <w:uiPriority w:val="34"/>
    <w:qFormat/>
    <w:pPr>
      <w:numPr>
        <w:ilvl w:val="0"/>
        <w:numId w:val="3"/>
      </w:numPr>
      <w:spacing w:line="360" w:lineRule="auto"/>
    </w:pPr>
    <w:rPr>
      <w:rFonts w:ascii="Arial" w:hAnsi="Arial" w:eastAsia="宋体" w:cs="宋体"/>
      <w:b/>
      <w:sz w:val="24"/>
      <w:szCs w:val="20"/>
    </w:rPr>
  </w:style>
  <w:style w:type="paragraph" w:styleId="1062">
    <w:name w:val="修订1"/>
    <w:next w:val="1062"/>
    <w:link w:val="847"/>
    <w:uiPriority w:val="99"/>
    <w:semiHidden/>
    <w:qFormat/>
    <w:rPr>
      <w:rFonts w:ascii="Times New Roman" w:hAnsi="Times New Roman" w:eastAsia="宋体" w:cs="Times New Roman"/>
      <w:sz w:val="21"/>
      <w:lang w:val="en-US" w:eastAsia="zh-CN" w:bidi="ar-SA"/>
    </w:rPr>
  </w:style>
  <w:style w:type="paragraph" w:styleId="1063">
    <w:name w:val="列表段落1"/>
    <w:basedOn w:val="847"/>
    <w:next w:val="1063"/>
    <w:link w:val="847"/>
    <w:uiPriority w:val="34"/>
    <w:qFormat/>
    <w:pPr>
      <w:ind w:firstLine="420"/>
    </w:pPr>
  </w:style>
  <w:style w:type="paragraph" w:styleId="1064">
    <w:name w:val="样式 小四 段前: 5 磅 段后: 5 磅 首行缩进:  2 字符"/>
    <w:basedOn w:val="847"/>
    <w:next w:val="1064"/>
    <w:link w:val="847"/>
    <w:qFormat/>
    <w:pPr>
      <w:spacing w:line="360" w:lineRule="auto"/>
    </w:pPr>
    <w:rPr>
      <w:rFonts w:ascii="宋体" w:hAnsi="宋体"/>
      <w:szCs w:val="21"/>
    </w:rPr>
  </w:style>
  <w:style w:type="table" w:styleId="1065">
    <w:name w:val="网格型1"/>
    <w:basedOn w:val="942"/>
    <w:next w:val="1065"/>
    <w:link w:val="847"/>
    <w:uiPriority w:val="59"/>
    <w:qFormat/>
    <w:tblPr/>
  </w:style>
  <w:style w:type="table" w:styleId="1066">
    <w:name w:val="网格型2"/>
    <w:basedOn w:val="942"/>
    <w:next w:val="1066"/>
    <w:link w:val="847"/>
    <w:uiPriority w:val="39"/>
    <w:qFormat/>
    <w:tblPr/>
  </w:style>
  <w:style w:type="table" w:styleId="1067">
    <w:name w:val="网格型3"/>
    <w:basedOn w:val="942"/>
    <w:next w:val="1067"/>
    <w:link w:val="847"/>
    <w:uiPriority w:val="39"/>
    <w:qFormat/>
    <w:tblPr/>
  </w:style>
  <w:style w:type="table" w:styleId="1068">
    <w:name w:val="网格型4"/>
    <w:basedOn w:val="942"/>
    <w:next w:val="1068"/>
    <w:link w:val="847"/>
    <w:uiPriority w:val="39"/>
    <w:qFormat/>
    <w:tblPr/>
  </w:style>
  <w:style w:type="paragraph" w:styleId="1069">
    <w:name w:val="List Paragraph1"/>
    <w:basedOn w:val="847"/>
    <w:next w:val="1069"/>
    <w:link w:val="847"/>
    <w:qFormat/>
    <w:pPr>
      <w:ind w:firstLine="420"/>
    </w:pPr>
    <w:rPr>
      <w:szCs w:val="21"/>
    </w:rPr>
  </w:style>
  <w:style w:type="paragraph" w:styleId="1070">
    <w:name w:val="标题 31"/>
    <w:basedOn w:val="847"/>
    <w:next w:val="847"/>
    <w:link w:val="1071"/>
    <w:qFormat/>
    <w:pPr>
      <w:keepLines/>
      <w:keepNext/>
      <w:spacing w:before="260" w:after="260" w:line="416" w:lineRule="auto"/>
      <w:outlineLvl w:val="2"/>
    </w:pPr>
    <w:rPr>
      <w:rFonts w:ascii="Times New Roman" w:hAnsi="Times New Roman" w:eastAsia="宋体"/>
      <w:b/>
      <w:bCs/>
      <w:sz w:val="32"/>
      <w:szCs w:val="32"/>
      <w:lang w:eastAsia="en-US"/>
    </w:rPr>
  </w:style>
  <w:style w:type="character" w:styleId="1071">
    <w:name w:val="标题 3 Char"/>
    <w:next w:val="1071"/>
    <w:link w:val="1070"/>
    <w:qFormat/>
    <w:rPr>
      <w:rFonts w:ascii="Times New Roman" w:hAnsi="Times New Roman" w:eastAsia="宋体" w:cs="Times New Roman"/>
      <w:b/>
      <w:bCs/>
      <w:sz w:val="32"/>
      <w:szCs w:val="32"/>
      <w:lang w:eastAsia="en-US"/>
    </w:rPr>
  </w:style>
  <w:style w:type="character" w:styleId="1072">
    <w:name w:val="Heading 1 Char"/>
    <w:next w:val="1072"/>
    <w:link w:val="847"/>
    <w:uiPriority w:val="9"/>
    <w:qFormat/>
    <w:rPr>
      <w:rFonts w:ascii="Arial" w:hAnsi="Arial" w:eastAsia="Arial" w:cs="Arial"/>
      <w:sz w:val="40"/>
      <w:szCs w:val="40"/>
    </w:rPr>
  </w:style>
  <w:style w:type="character" w:styleId="1073">
    <w:name w:val="Heading 2 Char"/>
    <w:next w:val="1073"/>
    <w:link w:val="847"/>
    <w:uiPriority w:val="9"/>
    <w:qFormat/>
    <w:rPr>
      <w:rFonts w:ascii="Arial" w:hAnsi="Arial" w:eastAsia="Arial" w:cs="Arial"/>
      <w:sz w:val="34"/>
    </w:rPr>
  </w:style>
  <w:style w:type="character" w:styleId="1074">
    <w:name w:val="Heading 3 Char"/>
    <w:next w:val="1074"/>
    <w:link w:val="847"/>
    <w:uiPriority w:val="9"/>
    <w:qFormat/>
    <w:rPr>
      <w:rFonts w:ascii="Arial" w:hAnsi="Arial" w:eastAsia="Arial" w:cs="Arial"/>
      <w:sz w:val="30"/>
      <w:szCs w:val="30"/>
    </w:rPr>
  </w:style>
  <w:style w:type="character" w:styleId="1075">
    <w:name w:val="Heading 4 Char"/>
    <w:next w:val="1075"/>
    <w:link w:val="847"/>
    <w:uiPriority w:val="9"/>
    <w:qFormat/>
    <w:rPr>
      <w:rFonts w:ascii="Arial" w:hAnsi="Arial" w:eastAsia="Arial" w:cs="Arial"/>
      <w:b/>
      <w:bCs/>
      <w:sz w:val="26"/>
      <w:szCs w:val="26"/>
    </w:rPr>
  </w:style>
  <w:style w:type="character" w:styleId="1076">
    <w:name w:val="Heading 5 Char"/>
    <w:next w:val="1076"/>
    <w:link w:val="847"/>
    <w:uiPriority w:val="9"/>
    <w:qFormat/>
    <w:rPr>
      <w:rFonts w:ascii="Arial" w:hAnsi="Arial" w:eastAsia="Arial" w:cs="Arial"/>
      <w:b/>
      <w:bCs/>
      <w:sz w:val="24"/>
      <w:szCs w:val="24"/>
    </w:rPr>
  </w:style>
  <w:style w:type="character" w:styleId="1077">
    <w:name w:val="Heading 6 Char"/>
    <w:next w:val="1077"/>
    <w:link w:val="847"/>
    <w:uiPriority w:val="9"/>
    <w:qFormat/>
    <w:rPr>
      <w:rFonts w:ascii="Arial" w:hAnsi="Arial" w:eastAsia="Arial" w:cs="Arial"/>
      <w:b/>
      <w:bCs/>
      <w:sz w:val="22"/>
      <w:szCs w:val="22"/>
    </w:rPr>
  </w:style>
  <w:style w:type="character" w:styleId="1078">
    <w:name w:val="Heading 7 Char"/>
    <w:next w:val="1078"/>
    <w:link w:val="847"/>
    <w:uiPriority w:val="9"/>
    <w:qFormat/>
    <w:rPr>
      <w:rFonts w:ascii="Arial" w:hAnsi="Arial" w:eastAsia="Arial" w:cs="Arial"/>
      <w:b/>
      <w:bCs/>
      <w:i/>
      <w:iCs/>
      <w:sz w:val="22"/>
      <w:szCs w:val="22"/>
    </w:rPr>
  </w:style>
  <w:style w:type="character" w:styleId="1079">
    <w:name w:val="Heading 8 Char"/>
    <w:next w:val="1079"/>
    <w:link w:val="847"/>
    <w:uiPriority w:val="9"/>
    <w:qFormat/>
    <w:rPr>
      <w:rFonts w:ascii="Arial" w:hAnsi="Arial" w:eastAsia="Arial" w:cs="Arial"/>
      <w:i/>
      <w:iCs/>
      <w:sz w:val="22"/>
      <w:szCs w:val="22"/>
    </w:rPr>
  </w:style>
  <w:style w:type="character" w:styleId="1080">
    <w:name w:val="Heading 9 Char"/>
    <w:next w:val="1080"/>
    <w:link w:val="847"/>
    <w:uiPriority w:val="9"/>
    <w:qFormat/>
    <w:rPr>
      <w:rFonts w:ascii="Arial" w:hAnsi="Arial" w:eastAsia="Arial" w:cs="Arial"/>
      <w:i/>
      <w:iCs/>
      <w:sz w:val="21"/>
      <w:szCs w:val="21"/>
    </w:rPr>
  </w:style>
  <w:style w:type="paragraph" w:styleId="1081">
    <w:name w:val="No Spacing"/>
    <w:next w:val="1081"/>
    <w:link w:val="847"/>
    <w:uiPriority w:val="1"/>
    <w:qFormat/>
    <w:rPr>
      <w:rFonts w:ascii="Calibri" w:hAnsi="Calibri" w:eastAsia="宋体" w:cs="Times New Roman"/>
      <w:lang w:val="en-US" w:eastAsia="zh-CN" w:bidi="ar-SA"/>
    </w:rPr>
  </w:style>
  <w:style w:type="character" w:styleId="1082">
    <w:name w:val="Title Char"/>
    <w:next w:val="1082"/>
    <w:link w:val="847"/>
    <w:uiPriority w:val="10"/>
    <w:qFormat/>
    <w:rPr>
      <w:sz w:val="48"/>
      <w:szCs w:val="48"/>
    </w:rPr>
  </w:style>
  <w:style w:type="character" w:styleId="1083">
    <w:name w:val="Subtitle Char"/>
    <w:next w:val="1083"/>
    <w:link w:val="847"/>
    <w:uiPriority w:val="11"/>
    <w:qFormat/>
    <w:rPr>
      <w:sz w:val="24"/>
      <w:szCs w:val="24"/>
    </w:rPr>
  </w:style>
  <w:style w:type="paragraph" w:styleId="1084">
    <w:name w:val="Quote"/>
    <w:basedOn w:val="847"/>
    <w:next w:val="847"/>
    <w:link w:val="1085"/>
    <w:uiPriority w:val="29"/>
    <w:qFormat/>
    <w:pPr>
      <w:ind w:left="720" w:right="720"/>
    </w:pPr>
    <w:rPr>
      <w:rFonts w:ascii="Times New Roman" w:hAnsi="Times New Roman" w:eastAsia="宋体"/>
      <w:i/>
      <w:szCs w:val="21"/>
    </w:rPr>
  </w:style>
  <w:style w:type="character" w:styleId="1085">
    <w:name w:val="引用 字符"/>
    <w:basedOn w:val="922"/>
    <w:next w:val="1085"/>
    <w:link w:val="1084"/>
    <w:uiPriority w:val="29"/>
    <w:qFormat/>
    <w:rPr>
      <w:rFonts w:ascii="Times New Roman" w:hAnsi="Times New Roman" w:eastAsia="宋体" w:cs="Times New Roman"/>
      <w:i/>
      <w:sz w:val="21"/>
      <w:szCs w:val="21"/>
    </w:rPr>
  </w:style>
  <w:style w:type="character" w:styleId="1086">
    <w:name w:val="Quote Char"/>
    <w:next w:val="1086"/>
    <w:link w:val="847"/>
    <w:uiPriority w:val="29"/>
    <w:qFormat/>
    <w:rPr>
      <w:i/>
    </w:rPr>
  </w:style>
  <w:style w:type="paragraph" w:styleId="1087">
    <w:name w:val="Intense Quote"/>
    <w:basedOn w:val="847"/>
    <w:next w:val="847"/>
    <w:link w:val="10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1088">
    <w:name w:val="明显引用 字符"/>
    <w:basedOn w:val="922"/>
    <w:next w:val="1088"/>
    <w:link w:val="1087"/>
    <w:uiPriority w:val="30"/>
    <w:qFormat/>
    <w:rPr>
      <w:rFonts w:ascii="Times New Roman" w:hAnsi="Times New Roman" w:eastAsia="宋体" w:cs="Times New Roman"/>
      <w:i/>
      <w:sz w:val="21"/>
      <w:szCs w:val="21"/>
      <w:shd w:val="clear" w:color="auto" w:fill="f2f2f2"/>
    </w:rPr>
  </w:style>
  <w:style w:type="character" w:styleId="1089">
    <w:name w:val="Intense Quote Char"/>
    <w:next w:val="1089"/>
    <w:link w:val="847"/>
    <w:uiPriority w:val="30"/>
    <w:qFormat/>
    <w:rPr>
      <w:i/>
    </w:rPr>
  </w:style>
  <w:style w:type="character" w:styleId="1090">
    <w:name w:val="Header Char"/>
    <w:next w:val="1090"/>
    <w:link w:val="847"/>
    <w:uiPriority w:val="99"/>
    <w:qFormat/>
  </w:style>
  <w:style w:type="character" w:styleId="1091">
    <w:name w:val="Footer Char"/>
    <w:next w:val="1091"/>
    <w:link w:val="847"/>
    <w:uiPriority w:val="99"/>
    <w:qFormat/>
  </w:style>
  <w:style w:type="character" w:styleId="1092">
    <w:name w:val="Caption Char"/>
    <w:next w:val="1092"/>
    <w:link w:val="847"/>
    <w:uiPriority w:val="99"/>
    <w:qFormat/>
  </w:style>
  <w:style w:type="character" w:styleId="1093">
    <w:name w:val="Footnote Text Char"/>
    <w:next w:val="1093"/>
    <w:link w:val="847"/>
    <w:uiPriority w:val="99"/>
    <w:qFormat/>
    <w:rPr>
      <w:sz w:val="18"/>
    </w:rPr>
  </w:style>
  <w:style w:type="character" w:styleId="1094">
    <w:name w:val="Endnote Text Char"/>
    <w:next w:val="1094"/>
    <w:link w:val="847"/>
    <w:uiPriority w:val="99"/>
    <w:qFormat/>
    <w:rPr>
      <w:sz w:val="20"/>
    </w:rPr>
  </w:style>
  <w:style w:type="paragraph" w:styleId="1095">
    <w:name w:val="目录 71"/>
    <w:basedOn w:val="847"/>
    <w:next w:val="847"/>
    <w:link w:val="847"/>
    <w:uiPriority w:val="39"/>
    <w:unhideWhenUsed/>
    <w:qFormat/>
    <w:pPr>
      <w:ind w:left="1701"/>
      <w:spacing w:after="57"/>
    </w:pPr>
    <w:rPr>
      <w:rFonts w:ascii="Times New Roman" w:hAnsi="Times New Roman" w:eastAsia="宋体"/>
      <w:szCs w:val="21"/>
    </w:rPr>
  </w:style>
  <w:style w:type="paragraph" w:styleId="1096">
    <w:name w:val="目录 51"/>
    <w:basedOn w:val="847"/>
    <w:next w:val="847"/>
    <w:link w:val="847"/>
    <w:uiPriority w:val="39"/>
    <w:unhideWhenUsed/>
    <w:qFormat/>
    <w:pPr>
      <w:ind w:left="1134"/>
      <w:spacing w:after="57"/>
    </w:pPr>
    <w:rPr>
      <w:rFonts w:ascii="Times New Roman" w:hAnsi="Times New Roman" w:eastAsia="宋体"/>
      <w:szCs w:val="21"/>
    </w:rPr>
  </w:style>
  <w:style w:type="paragraph" w:styleId="1097">
    <w:name w:val="目录 31"/>
    <w:basedOn w:val="847"/>
    <w:next w:val="847"/>
    <w:link w:val="847"/>
    <w:uiPriority w:val="39"/>
    <w:unhideWhenUsed/>
    <w:qFormat/>
    <w:pPr>
      <w:ind w:left="567"/>
      <w:spacing w:after="57"/>
    </w:pPr>
    <w:rPr>
      <w:rFonts w:ascii="Times New Roman" w:hAnsi="Times New Roman" w:eastAsia="宋体"/>
      <w:szCs w:val="21"/>
    </w:rPr>
  </w:style>
  <w:style w:type="paragraph" w:styleId="1098">
    <w:name w:val="目录 81"/>
    <w:basedOn w:val="847"/>
    <w:next w:val="847"/>
    <w:link w:val="847"/>
    <w:uiPriority w:val="39"/>
    <w:unhideWhenUsed/>
    <w:qFormat/>
    <w:pPr>
      <w:ind w:left="1984"/>
      <w:spacing w:after="57"/>
    </w:pPr>
    <w:rPr>
      <w:rFonts w:ascii="Times New Roman" w:hAnsi="Times New Roman" w:eastAsia="宋体"/>
      <w:szCs w:val="21"/>
    </w:rPr>
  </w:style>
  <w:style w:type="character" w:styleId="1099">
    <w:name w:val="页脚 字符1"/>
    <w:next w:val="1099"/>
    <w:link w:val="847"/>
    <w:uiPriority w:val="99"/>
    <w:qFormat/>
  </w:style>
  <w:style w:type="paragraph" w:styleId="1100">
    <w:name w:val="目录 11"/>
    <w:basedOn w:val="847"/>
    <w:next w:val="847"/>
    <w:link w:val="847"/>
    <w:uiPriority w:val="39"/>
    <w:unhideWhenUsed/>
    <w:qFormat/>
    <w:pPr>
      <w:spacing w:after="57"/>
    </w:pPr>
    <w:rPr>
      <w:rFonts w:ascii="Times New Roman" w:hAnsi="Times New Roman" w:eastAsia="宋体"/>
      <w:szCs w:val="21"/>
    </w:rPr>
  </w:style>
  <w:style w:type="paragraph" w:styleId="1101">
    <w:name w:val="目录 41"/>
    <w:basedOn w:val="847"/>
    <w:next w:val="847"/>
    <w:link w:val="847"/>
    <w:uiPriority w:val="39"/>
    <w:unhideWhenUsed/>
    <w:qFormat/>
    <w:pPr>
      <w:ind w:left="850"/>
      <w:spacing w:after="57"/>
    </w:pPr>
    <w:rPr>
      <w:rFonts w:ascii="Times New Roman" w:hAnsi="Times New Roman" w:eastAsia="宋体"/>
      <w:szCs w:val="21"/>
    </w:rPr>
  </w:style>
  <w:style w:type="paragraph" w:styleId="1102">
    <w:name w:val="目录 61"/>
    <w:basedOn w:val="847"/>
    <w:next w:val="847"/>
    <w:link w:val="847"/>
    <w:uiPriority w:val="39"/>
    <w:unhideWhenUsed/>
    <w:qFormat/>
    <w:pPr>
      <w:ind w:left="1417"/>
      <w:spacing w:after="57"/>
    </w:pPr>
    <w:rPr>
      <w:rFonts w:ascii="Times New Roman" w:hAnsi="Times New Roman" w:eastAsia="宋体"/>
      <w:szCs w:val="21"/>
    </w:rPr>
  </w:style>
  <w:style w:type="paragraph" w:styleId="1103">
    <w:name w:val="目录 21"/>
    <w:basedOn w:val="847"/>
    <w:next w:val="847"/>
    <w:link w:val="847"/>
    <w:uiPriority w:val="39"/>
    <w:unhideWhenUsed/>
    <w:qFormat/>
    <w:pPr>
      <w:ind w:left="283"/>
      <w:spacing w:after="57"/>
    </w:pPr>
    <w:rPr>
      <w:rFonts w:ascii="Times New Roman" w:hAnsi="Times New Roman" w:eastAsia="宋体"/>
      <w:szCs w:val="21"/>
    </w:rPr>
  </w:style>
  <w:style w:type="paragraph" w:styleId="1104">
    <w:name w:val="目录 91"/>
    <w:basedOn w:val="847"/>
    <w:next w:val="847"/>
    <w:link w:val="847"/>
    <w:uiPriority w:val="39"/>
    <w:unhideWhenUsed/>
    <w:qFormat/>
    <w:pPr>
      <w:ind w:left="2268"/>
      <w:spacing w:after="57"/>
    </w:pPr>
    <w:rPr>
      <w:rFonts w:ascii="Times New Roman" w:hAnsi="Times New Roman" w:eastAsia="宋体"/>
      <w:szCs w:val="21"/>
    </w:rPr>
  </w:style>
  <w:style w:type="character" w:styleId="1105">
    <w:name w:val="font5 Char"/>
    <w:next w:val="1105"/>
    <w:link w:val="847"/>
    <w:qFormat/>
    <w:rPr>
      <w:rFonts w:ascii="宋体" w:hAnsi="宋体" w:eastAsia="宋体"/>
      <w:sz w:val="28"/>
      <w:szCs w:val="28"/>
      <w:lang w:val="en-US" w:eastAsia="zh-CN" w:bidi="ar-SA"/>
    </w:rPr>
  </w:style>
  <w:style w:type="paragraph" w:styleId="1106">
    <w:name w:val="列出段落2"/>
    <w:basedOn w:val="847"/>
    <w:next w:val="1106"/>
    <w:link w:val="847"/>
    <w:uiPriority w:val="34"/>
    <w:qFormat/>
    <w:pPr>
      <w:contextualSpacing/>
      <w:ind w:left="720"/>
    </w:pPr>
    <w:rPr>
      <w:rFonts w:ascii="Times New Roman" w:hAnsi="Times New Roman" w:eastAsia="宋体"/>
      <w:szCs w:val="21"/>
    </w:rPr>
  </w:style>
  <w:style w:type="table" w:styleId="1107">
    <w:name w:val="Table Grid Light"/>
    <w:next w:val="1107"/>
    <w:link w:val="847"/>
    <w:uiPriority w:val="59"/>
    <w:qFormat/>
    <w:rPr>
      <w:rFonts w:ascii="Calibri" w:hAnsi="Calibri"/>
    </w:rPr>
    <w:tblPr/>
  </w:style>
  <w:style w:type="table" w:styleId="1108">
    <w:name w:val="Grid Table 1 Light - Accent 1"/>
    <w:next w:val="1108"/>
    <w:link w:val="847"/>
    <w:uiPriority w:val="99"/>
    <w:qFormat/>
    <w:rPr>
      <w:rFonts w:ascii="Calibri" w:hAnsi="Calibri"/>
    </w:rPr>
    <w:tblPr/>
  </w:style>
  <w:style w:type="table" w:styleId="1109">
    <w:name w:val="Grid Table 1 Light - Accent 2"/>
    <w:next w:val="1109"/>
    <w:link w:val="847"/>
    <w:uiPriority w:val="99"/>
    <w:qFormat/>
    <w:rPr>
      <w:rFonts w:ascii="Calibri" w:hAnsi="Calibri"/>
    </w:rPr>
    <w:tblPr/>
  </w:style>
  <w:style w:type="table" w:styleId="1110">
    <w:name w:val="Grid Table 1 Light - Accent 3"/>
    <w:next w:val="1110"/>
    <w:link w:val="847"/>
    <w:uiPriority w:val="99"/>
    <w:qFormat/>
    <w:rPr>
      <w:rFonts w:ascii="Calibri" w:hAnsi="Calibri"/>
    </w:rPr>
    <w:tblPr/>
  </w:style>
  <w:style w:type="table" w:styleId="1111">
    <w:name w:val="Grid Table 1 Light - Accent 4"/>
    <w:next w:val="1111"/>
    <w:link w:val="847"/>
    <w:uiPriority w:val="99"/>
    <w:qFormat/>
    <w:rPr>
      <w:rFonts w:ascii="Calibri" w:hAnsi="Calibri"/>
    </w:rPr>
    <w:tblPr/>
  </w:style>
  <w:style w:type="table" w:styleId="1112">
    <w:name w:val="Grid Table 1 Light - Accent 5"/>
    <w:next w:val="1112"/>
    <w:link w:val="847"/>
    <w:uiPriority w:val="99"/>
    <w:qFormat/>
    <w:rPr>
      <w:rFonts w:ascii="Calibri" w:hAnsi="Calibri"/>
    </w:rPr>
    <w:tblPr/>
  </w:style>
  <w:style w:type="table" w:styleId="1113">
    <w:name w:val="Grid Table 1 Light - Accent 6"/>
    <w:next w:val="1113"/>
    <w:link w:val="847"/>
    <w:uiPriority w:val="99"/>
    <w:qFormat/>
    <w:rPr>
      <w:rFonts w:ascii="Calibri" w:hAnsi="Calibri"/>
    </w:rPr>
    <w:tblPr/>
  </w:style>
  <w:style w:type="table" w:styleId="1114">
    <w:name w:val="Grid Table 2 - Accent 1"/>
    <w:next w:val="1114"/>
    <w:link w:val="847"/>
    <w:uiPriority w:val="99"/>
    <w:qFormat/>
    <w:rPr>
      <w:rFonts w:ascii="Calibri" w:hAnsi="Calibri"/>
    </w:rPr>
    <w:tblPr/>
  </w:style>
  <w:style w:type="table" w:styleId="1115">
    <w:name w:val="Grid Table 2 - Accent 2"/>
    <w:next w:val="1115"/>
    <w:link w:val="847"/>
    <w:uiPriority w:val="99"/>
    <w:qFormat/>
    <w:rPr>
      <w:rFonts w:ascii="Calibri" w:hAnsi="Calibri"/>
    </w:rPr>
    <w:tblPr/>
  </w:style>
  <w:style w:type="table" w:styleId="1116">
    <w:name w:val="Grid Table 2 - Accent 3"/>
    <w:next w:val="1116"/>
    <w:link w:val="847"/>
    <w:uiPriority w:val="99"/>
    <w:qFormat/>
    <w:rPr>
      <w:rFonts w:ascii="Calibri" w:hAnsi="Calibri"/>
    </w:rPr>
    <w:tblPr/>
  </w:style>
  <w:style w:type="table" w:styleId="1117">
    <w:name w:val="Grid Table 2 - Accent 4"/>
    <w:next w:val="1117"/>
    <w:link w:val="847"/>
    <w:uiPriority w:val="99"/>
    <w:qFormat/>
    <w:rPr>
      <w:rFonts w:ascii="Calibri" w:hAnsi="Calibri"/>
    </w:rPr>
    <w:tblPr/>
  </w:style>
  <w:style w:type="table" w:styleId="1118">
    <w:name w:val="Grid Table 2 - Accent 5"/>
    <w:next w:val="1118"/>
    <w:link w:val="847"/>
    <w:uiPriority w:val="99"/>
    <w:qFormat/>
    <w:rPr>
      <w:rFonts w:ascii="Calibri" w:hAnsi="Calibri"/>
    </w:rPr>
    <w:tblPr/>
  </w:style>
  <w:style w:type="table" w:styleId="1119">
    <w:name w:val="Grid Table 2 - Accent 6"/>
    <w:next w:val="1119"/>
    <w:link w:val="847"/>
    <w:uiPriority w:val="99"/>
    <w:qFormat/>
    <w:rPr>
      <w:rFonts w:ascii="Calibri" w:hAnsi="Calibri"/>
    </w:rPr>
    <w:tblPr/>
  </w:style>
  <w:style w:type="table" w:styleId="1120">
    <w:name w:val="Grid Table 3 - Accent 1"/>
    <w:next w:val="1120"/>
    <w:link w:val="847"/>
    <w:uiPriority w:val="99"/>
    <w:qFormat/>
    <w:rPr>
      <w:rFonts w:ascii="Calibri" w:hAnsi="Calibri"/>
    </w:rPr>
    <w:tblPr/>
  </w:style>
  <w:style w:type="table" w:styleId="1121">
    <w:name w:val="Grid Table 3 - Accent 2"/>
    <w:next w:val="1121"/>
    <w:link w:val="847"/>
    <w:uiPriority w:val="99"/>
    <w:qFormat/>
    <w:rPr>
      <w:rFonts w:ascii="Calibri" w:hAnsi="Calibri"/>
    </w:rPr>
    <w:tblPr/>
  </w:style>
  <w:style w:type="table" w:styleId="1122">
    <w:name w:val="Grid Table 3 - Accent 3"/>
    <w:next w:val="1122"/>
    <w:link w:val="847"/>
    <w:uiPriority w:val="99"/>
    <w:qFormat/>
    <w:rPr>
      <w:rFonts w:ascii="Calibri" w:hAnsi="Calibri"/>
    </w:rPr>
    <w:tblPr/>
  </w:style>
  <w:style w:type="table" w:styleId="1123">
    <w:name w:val="Grid Table 3 - Accent 4"/>
    <w:next w:val="1123"/>
    <w:link w:val="847"/>
    <w:uiPriority w:val="99"/>
    <w:qFormat/>
    <w:rPr>
      <w:rFonts w:ascii="Calibri" w:hAnsi="Calibri"/>
    </w:rPr>
    <w:tblPr/>
  </w:style>
  <w:style w:type="table" w:styleId="1124">
    <w:name w:val="Grid Table 3 - Accent 5"/>
    <w:next w:val="1124"/>
    <w:link w:val="847"/>
    <w:uiPriority w:val="99"/>
    <w:qFormat/>
    <w:rPr>
      <w:rFonts w:ascii="Calibri" w:hAnsi="Calibri"/>
    </w:rPr>
    <w:tblPr/>
  </w:style>
  <w:style w:type="table" w:styleId="1125">
    <w:name w:val="Grid Table 3 - Accent 6"/>
    <w:next w:val="1125"/>
    <w:link w:val="847"/>
    <w:uiPriority w:val="99"/>
    <w:qFormat/>
    <w:rPr>
      <w:rFonts w:ascii="Calibri" w:hAnsi="Calibri"/>
    </w:rPr>
    <w:tblPr/>
  </w:style>
  <w:style w:type="table" w:styleId="1126">
    <w:name w:val="Grid Table 4 - Accent 1"/>
    <w:next w:val="1126"/>
    <w:link w:val="847"/>
    <w:uiPriority w:val="59"/>
    <w:qFormat/>
    <w:rPr>
      <w:rFonts w:ascii="Calibri" w:hAnsi="Calibri"/>
    </w:rPr>
    <w:tblPr/>
  </w:style>
  <w:style w:type="table" w:styleId="1127">
    <w:name w:val="Grid Table 4 - Accent 2"/>
    <w:next w:val="1127"/>
    <w:link w:val="847"/>
    <w:uiPriority w:val="59"/>
    <w:qFormat/>
    <w:rPr>
      <w:rFonts w:ascii="Calibri" w:hAnsi="Calibri"/>
    </w:rPr>
    <w:tblPr/>
  </w:style>
  <w:style w:type="table" w:styleId="1128">
    <w:name w:val="Grid Table 4 - Accent 3"/>
    <w:next w:val="1128"/>
    <w:link w:val="847"/>
    <w:uiPriority w:val="59"/>
    <w:qFormat/>
    <w:rPr>
      <w:rFonts w:ascii="Calibri" w:hAnsi="Calibri"/>
    </w:rPr>
    <w:tblPr/>
  </w:style>
  <w:style w:type="table" w:styleId="1129">
    <w:name w:val="Grid Table 4 - Accent 4"/>
    <w:next w:val="1129"/>
    <w:link w:val="847"/>
    <w:uiPriority w:val="59"/>
    <w:qFormat/>
    <w:rPr>
      <w:rFonts w:ascii="Calibri" w:hAnsi="Calibri"/>
    </w:rPr>
    <w:tblPr/>
  </w:style>
  <w:style w:type="table" w:styleId="1130">
    <w:name w:val="Grid Table 4 - Accent 5"/>
    <w:next w:val="1130"/>
    <w:link w:val="847"/>
    <w:uiPriority w:val="59"/>
    <w:qFormat/>
    <w:rPr>
      <w:rFonts w:ascii="Calibri" w:hAnsi="Calibri"/>
    </w:rPr>
    <w:tblPr/>
  </w:style>
  <w:style w:type="table" w:styleId="1131">
    <w:name w:val="Grid Table 4 - Accent 6"/>
    <w:next w:val="1131"/>
    <w:link w:val="847"/>
    <w:uiPriority w:val="59"/>
    <w:qFormat/>
    <w:rPr>
      <w:rFonts w:ascii="Calibri" w:hAnsi="Calibri"/>
    </w:rPr>
    <w:tblPr/>
  </w:style>
  <w:style w:type="table" w:styleId="1132">
    <w:name w:val="Grid Table 5 Dark- Accent 1"/>
    <w:next w:val="1132"/>
    <w:link w:val="847"/>
    <w:uiPriority w:val="99"/>
    <w:qFormat/>
    <w:rPr>
      <w:rFonts w:ascii="Calibri" w:hAnsi="Calibri"/>
    </w:rPr>
    <w:tblPr/>
  </w:style>
  <w:style w:type="table" w:styleId="1133">
    <w:name w:val="Grid Table 5 Dark - Accent 2"/>
    <w:next w:val="1133"/>
    <w:link w:val="847"/>
    <w:uiPriority w:val="99"/>
    <w:qFormat/>
    <w:rPr>
      <w:rFonts w:ascii="Calibri" w:hAnsi="Calibri"/>
    </w:rPr>
    <w:tblPr/>
  </w:style>
  <w:style w:type="table" w:styleId="1134">
    <w:name w:val="Grid Table 5 Dark - Accent 3"/>
    <w:next w:val="1134"/>
    <w:link w:val="847"/>
    <w:uiPriority w:val="99"/>
    <w:qFormat/>
    <w:rPr>
      <w:rFonts w:ascii="Calibri" w:hAnsi="Calibri"/>
    </w:rPr>
    <w:tblPr/>
  </w:style>
  <w:style w:type="table" w:styleId="1135">
    <w:name w:val="Grid Table 5 Dark- Accent 4"/>
    <w:next w:val="1135"/>
    <w:link w:val="847"/>
    <w:uiPriority w:val="99"/>
    <w:qFormat/>
    <w:rPr>
      <w:rFonts w:ascii="Calibri" w:hAnsi="Calibri"/>
    </w:rPr>
    <w:tblPr/>
  </w:style>
  <w:style w:type="table" w:styleId="1136">
    <w:name w:val="Grid Table 5 Dark - Accent 5"/>
    <w:next w:val="1136"/>
    <w:link w:val="847"/>
    <w:uiPriority w:val="99"/>
    <w:qFormat/>
    <w:rPr>
      <w:rFonts w:ascii="Calibri" w:hAnsi="Calibri"/>
    </w:rPr>
    <w:tblPr/>
  </w:style>
  <w:style w:type="table" w:styleId="1137">
    <w:name w:val="Grid Table 5 Dark - Accent 6"/>
    <w:next w:val="1137"/>
    <w:link w:val="847"/>
    <w:uiPriority w:val="99"/>
    <w:qFormat/>
    <w:rPr>
      <w:rFonts w:ascii="Calibri" w:hAnsi="Calibri"/>
    </w:rPr>
    <w:tblPr/>
  </w:style>
  <w:style w:type="table" w:styleId="1138">
    <w:name w:val="Grid Table 6 Colorful - Accent 1"/>
    <w:next w:val="1138"/>
    <w:link w:val="847"/>
    <w:uiPriority w:val="99"/>
    <w:qFormat/>
    <w:rPr>
      <w:rFonts w:ascii="Calibri" w:hAnsi="Calibri"/>
    </w:rPr>
    <w:tblPr/>
  </w:style>
  <w:style w:type="table" w:styleId="1139">
    <w:name w:val="Grid Table 6 Colorful - Accent 2"/>
    <w:next w:val="1139"/>
    <w:link w:val="847"/>
    <w:uiPriority w:val="99"/>
    <w:qFormat/>
    <w:rPr>
      <w:rFonts w:ascii="Calibri" w:hAnsi="Calibri"/>
    </w:rPr>
    <w:tblPr/>
  </w:style>
  <w:style w:type="table" w:styleId="1140">
    <w:name w:val="Grid Table 6 Colorful - Accent 3"/>
    <w:next w:val="1140"/>
    <w:link w:val="847"/>
    <w:uiPriority w:val="99"/>
    <w:qFormat/>
    <w:rPr>
      <w:rFonts w:ascii="Calibri" w:hAnsi="Calibri"/>
    </w:rPr>
    <w:tblPr/>
  </w:style>
  <w:style w:type="table" w:styleId="1141">
    <w:name w:val="Grid Table 6 Colorful - Accent 4"/>
    <w:next w:val="1141"/>
    <w:link w:val="847"/>
    <w:uiPriority w:val="99"/>
    <w:qFormat/>
    <w:rPr>
      <w:rFonts w:ascii="Calibri" w:hAnsi="Calibri"/>
    </w:rPr>
    <w:tblPr/>
  </w:style>
  <w:style w:type="table" w:styleId="1142">
    <w:name w:val="Grid Table 6 Colorful - Accent 5"/>
    <w:next w:val="1142"/>
    <w:link w:val="847"/>
    <w:uiPriority w:val="99"/>
    <w:qFormat/>
    <w:rPr>
      <w:rFonts w:ascii="Calibri" w:hAnsi="Calibri"/>
    </w:rPr>
    <w:tblPr/>
  </w:style>
  <w:style w:type="table" w:styleId="1143">
    <w:name w:val="Grid Table 6 Colorful - Accent 6"/>
    <w:next w:val="1143"/>
    <w:link w:val="847"/>
    <w:uiPriority w:val="99"/>
    <w:qFormat/>
    <w:rPr>
      <w:rFonts w:ascii="Calibri" w:hAnsi="Calibri"/>
    </w:rPr>
    <w:tblPr/>
  </w:style>
  <w:style w:type="table" w:styleId="1144">
    <w:name w:val="Grid Table 7 Colorful - Accent 1"/>
    <w:next w:val="1144"/>
    <w:link w:val="847"/>
    <w:uiPriority w:val="99"/>
    <w:qFormat/>
    <w:rPr>
      <w:rFonts w:ascii="Calibri" w:hAnsi="Calibri"/>
    </w:rPr>
    <w:tblPr/>
  </w:style>
  <w:style w:type="table" w:styleId="1145">
    <w:name w:val="Grid Table 7 Colorful - Accent 2"/>
    <w:next w:val="1145"/>
    <w:link w:val="847"/>
    <w:uiPriority w:val="99"/>
    <w:qFormat/>
    <w:rPr>
      <w:rFonts w:ascii="Calibri" w:hAnsi="Calibri"/>
    </w:rPr>
    <w:tblPr/>
  </w:style>
  <w:style w:type="table" w:styleId="1146">
    <w:name w:val="Grid Table 7 Colorful - Accent 3"/>
    <w:next w:val="1146"/>
    <w:link w:val="847"/>
    <w:uiPriority w:val="99"/>
    <w:qFormat/>
    <w:rPr>
      <w:rFonts w:ascii="Calibri" w:hAnsi="Calibri"/>
    </w:rPr>
    <w:tblPr/>
  </w:style>
  <w:style w:type="table" w:styleId="1147">
    <w:name w:val="Grid Table 7 Colorful - Accent 4"/>
    <w:next w:val="1147"/>
    <w:link w:val="847"/>
    <w:uiPriority w:val="99"/>
    <w:qFormat/>
    <w:rPr>
      <w:rFonts w:ascii="Calibri" w:hAnsi="Calibri"/>
    </w:rPr>
    <w:tblPr/>
  </w:style>
  <w:style w:type="table" w:styleId="1148">
    <w:name w:val="Grid Table 7 Colorful - Accent 5"/>
    <w:next w:val="1148"/>
    <w:link w:val="847"/>
    <w:uiPriority w:val="99"/>
    <w:qFormat/>
    <w:rPr>
      <w:rFonts w:ascii="Calibri" w:hAnsi="Calibri"/>
    </w:rPr>
    <w:tblPr/>
  </w:style>
  <w:style w:type="table" w:styleId="1149">
    <w:name w:val="Grid Table 7 Colorful - Accent 6"/>
    <w:next w:val="1149"/>
    <w:link w:val="847"/>
    <w:uiPriority w:val="99"/>
    <w:qFormat/>
    <w:rPr>
      <w:rFonts w:ascii="Calibri" w:hAnsi="Calibri"/>
    </w:rPr>
    <w:tblPr/>
  </w:style>
  <w:style w:type="table" w:styleId="1150">
    <w:name w:val="List Table 1 Light - Accent 1"/>
    <w:next w:val="1150"/>
    <w:link w:val="847"/>
    <w:uiPriority w:val="99"/>
    <w:qFormat/>
    <w:rPr>
      <w:rFonts w:ascii="Calibri" w:hAnsi="Calibri"/>
    </w:rPr>
    <w:tblPr/>
  </w:style>
  <w:style w:type="table" w:styleId="1151">
    <w:name w:val="List Table 1 Light - Accent 2"/>
    <w:next w:val="1151"/>
    <w:link w:val="847"/>
    <w:uiPriority w:val="99"/>
    <w:qFormat/>
    <w:rPr>
      <w:rFonts w:ascii="Calibri" w:hAnsi="Calibri"/>
    </w:rPr>
    <w:tblPr/>
  </w:style>
  <w:style w:type="table" w:styleId="1152">
    <w:name w:val="List Table 1 Light - Accent 3"/>
    <w:next w:val="1152"/>
    <w:link w:val="847"/>
    <w:uiPriority w:val="99"/>
    <w:qFormat/>
    <w:rPr>
      <w:rFonts w:ascii="Calibri" w:hAnsi="Calibri"/>
    </w:rPr>
    <w:tblPr/>
  </w:style>
  <w:style w:type="table" w:styleId="1153">
    <w:name w:val="List Table 1 Light - Accent 4"/>
    <w:next w:val="1153"/>
    <w:link w:val="847"/>
    <w:uiPriority w:val="99"/>
    <w:qFormat/>
    <w:rPr>
      <w:rFonts w:ascii="Calibri" w:hAnsi="Calibri"/>
    </w:rPr>
    <w:tblPr/>
  </w:style>
  <w:style w:type="table" w:styleId="1154">
    <w:name w:val="List Table 1 Light - Accent 5"/>
    <w:next w:val="1154"/>
    <w:link w:val="847"/>
    <w:uiPriority w:val="99"/>
    <w:qFormat/>
    <w:rPr>
      <w:rFonts w:ascii="Calibri" w:hAnsi="Calibri"/>
    </w:rPr>
    <w:tblPr/>
  </w:style>
  <w:style w:type="table" w:styleId="1155">
    <w:name w:val="List Table 1 Light - Accent 6"/>
    <w:next w:val="1155"/>
    <w:link w:val="847"/>
    <w:uiPriority w:val="99"/>
    <w:qFormat/>
    <w:rPr>
      <w:rFonts w:ascii="Calibri" w:hAnsi="Calibri"/>
    </w:rPr>
    <w:tblPr/>
  </w:style>
  <w:style w:type="table" w:styleId="1156">
    <w:name w:val="List Table 2 - Accent 1"/>
    <w:next w:val="1156"/>
    <w:link w:val="847"/>
    <w:uiPriority w:val="99"/>
    <w:qFormat/>
    <w:rPr>
      <w:rFonts w:ascii="Calibri" w:hAnsi="Calibri"/>
    </w:rPr>
    <w:tblPr/>
  </w:style>
  <w:style w:type="table" w:styleId="1157">
    <w:name w:val="List Table 2 - Accent 2"/>
    <w:next w:val="1157"/>
    <w:link w:val="847"/>
    <w:uiPriority w:val="99"/>
    <w:qFormat/>
    <w:rPr>
      <w:rFonts w:ascii="Calibri" w:hAnsi="Calibri"/>
    </w:rPr>
    <w:tblPr/>
  </w:style>
  <w:style w:type="table" w:styleId="1158">
    <w:name w:val="List Table 2 - Accent 3"/>
    <w:next w:val="1158"/>
    <w:link w:val="847"/>
    <w:uiPriority w:val="99"/>
    <w:qFormat/>
    <w:rPr>
      <w:rFonts w:ascii="Calibri" w:hAnsi="Calibri"/>
    </w:rPr>
    <w:tblPr/>
  </w:style>
  <w:style w:type="table" w:styleId="1159">
    <w:name w:val="List Table 2 - Accent 4"/>
    <w:next w:val="1159"/>
    <w:link w:val="847"/>
    <w:uiPriority w:val="99"/>
    <w:qFormat/>
    <w:rPr>
      <w:rFonts w:ascii="Calibri" w:hAnsi="Calibri"/>
    </w:rPr>
    <w:tblPr/>
  </w:style>
  <w:style w:type="table" w:styleId="1160">
    <w:name w:val="List Table 2 - Accent 5"/>
    <w:next w:val="1160"/>
    <w:link w:val="847"/>
    <w:uiPriority w:val="99"/>
    <w:qFormat/>
    <w:rPr>
      <w:rFonts w:ascii="Calibri" w:hAnsi="Calibri"/>
    </w:rPr>
    <w:tblPr/>
  </w:style>
  <w:style w:type="table" w:styleId="1161">
    <w:name w:val="List Table 2 - Accent 6"/>
    <w:next w:val="1161"/>
    <w:link w:val="847"/>
    <w:uiPriority w:val="99"/>
    <w:qFormat/>
    <w:rPr>
      <w:rFonts w:ascii="Calibri" w:hAnsi="Calibri"/>
    </w:rPr>
    <w:tblPr/>
  </w:style>
  <w:style w:type="table" w:styleId="1162">
    <w:name w:val="List Table 3 - Accent 1"/>
    <w:next w:val="1162"/>
    <w:link w:val="847"/>
    <w:uiPriority w:val="99"/>
    <w:qFormat/>
    <w:rPr>
      <w:rFonts w:ascii="Calibri" w:hAnsi="Calibri"/>
    </w:rPr>
    <w:tblPr/>
  </w:style>
  <w:style w:type="table" w:styleId="1163">
    <w:name w:val="List Table 3 - Accent 2"/>
    <w:next w:val="1163"/>
    <w:link w:val="847"/>
    <w:uiPriority w:val="99"/>
    <w:qFormat/>
    <w:rPr>
      <w:rFonts w:ascii="Calibri" w:hAnsi="Calibri"/>
    </w:rPr>
    <w:tblPr/>
  </w:style>
  <w:style w:type="table" w:styleId="1164">
    <w:name w:val="List Table 3 - Accent 3"/>
    <w:next w:val="1164"/>
    <w:link w:val="847"/>
    <w:uiPriority w:val="99"/>
    <w:qFormat/>
    <w:rPr>
      <w:rFonts w:ascii="Calibri" w:hAnsi="Calibri"/>
    </w:rPr>
    <w:tblPr/>
  </w:style>
  <w:style w:type="table" w:styleId="1165">
    <w:name w:val="List Table 3 - Accent 4"/>
    <w:next w:val="1165"/>
    <w:link w:val="847"/>
    <w:uiPriority w:val="99"/>
    <w:qFormat/>
    <w:rPr>
      <w:rFonts w:ascii="Calibri" w:hAnsi="Calibri"/>
    </w:rPr>
    <w:tblPr/>
  </w:style>
  <w:style w:type="table" w:styleId="1166">
    <w:name w:val="List Table 3 - Accent 5"/>
    <w:next w:val="1166"/>
    <w:link w:val="847"/>
    <w:uiPriority w:val="99"/>
    <w:qFormat/>
    <w:rPr>
      <w:rFonts w:ascii="Calibri" w:hAnsi="Calibri"/>
    </w:rPr>
    <w:tblPr/>
  </w:style>
  <w:style w:type="table" w:styleId="1167">
    <w:name w:val="List Table 3 - Accent 6"/>
    <w:next w:val="1167"/>
    <w:link w:val="847"/>
    <w:uiPriority w:val="99"/>
    <w:qFormat/>
    <w:rPr>
      <w:rFonts w:ascii="Calibri" w:hAnsi="Calibri"/>
    </w:rPr>
    <w:tblPr/>
  </w:style>
  <w:style w:type="table" w:styleId="1168">
    <w:name w:val="List Table 4 - Accent 1"/>
    <w:next w:val="1168"/>
    <w:link w:val="847"/>
    <w:uiPriority w:val="99"/>
    <w:qFormat/>
    <w:rPr>
      <w:rFonts w:ascii="Calibri" w:hAnsi="Calibri"/>
    </w:rPr>
    <w:tblPr/>
  </w:style>
  <w:style w:type="table" w:styleId="1169">
    <w:name w:val="List Table 4 - Accent 2"/>
    <w:next w:val="1169"/>
    <w:link w:val="847"/>
    <w:uiPriority w:val="99"/>
    <w:qFormat/>
    <w:rPr>
      <w:rFonts w:ascii="Calibri" w:hAnsi="Calibri"/>
    </w:rPr>
    <w:tblPr/>
  </w:style>
  <w:style w:type="table" w:styleId="1170">
    <w:name w:val="List Table 4 - Accent 3"/>
    <w:next w:val="1170"/>
    <w:link w:val="847"/>
    <w:uiPriority w:val="99"/>
    <w:qFormat/>
    <w:rPr>
      <w:rFonts w:ascii="Calibri" w:hAnsi="Calibri"/>
    </w:rPr>
    <w:tblPr/>
  </w:style>
  <w:style w:type="table" w:styleId="1171">
    <w:name w:val="List Table 4 - Accent 4"/>
    <w:next w:val="1171"/>
    <w:link w:val="847"/>
    <w:uiPriority w:val="99"/>
    <w:qFormat/>
    <w:rPr>
      <w:rFonts w:ascii="Calibri" w:hAnsi="Calibri"/>
    </w:rPr>
    <w:tblPr/>
  </w:style>
  <w:style w:type="table" w:styleId="1172">
    <w:name w:val="List Table 4 - Accent 5"/>
    <w:next w:val="1172"/>
    <w:link w:val="847"/>
    <w:uiPriority w:val="99"/>
    <w:qFormat/>
    <w:rPr>
      <w:rFonts w:ascii="Calibri" w:hAnsi="Calibri"/>
    </w:rPr>
    <w:tblPr/>
  </w:style>
  <w:style w:type="table" w:styleId="1173">
    <w:name w:val="List Table 4 - Accent 6"/>
    <w:next w:val="1173"/>
    <w:link w:val="847"/>
    <w:uiPriority w:val="99"/>
    <w:qFormat/>
    <w:rPr>
      <w:rFonts w:ascii="Calibri" w:hAnsi="Calibri"/>
    </w:rPr>
    <w:tblPr/>
  </w:style>
  <w:style w:type="table" w:styleId="1174">
    <w:name w:val="List Table 5 Dark - Accent 1"/>
    <w:next w:val="1174"/>
    <w:link w:val="847"/>
    <w:uiPriority w:val="99"/>
    <w:qFormat/>
    <w:rPr>
      <w:rFonts w:ascii="Calibri" w:hAnsi="Calibri"/>
    </w:rPr>
    <w:tblPr/>
  </w:style>
  <w:style w:type="table" w:styleId="1175">
    <w:name w:val="List Table 5 Dark - Accent 2"/>
    <w:next w:val="1175"/>
    <w:link w:val="847"/>
    <w:uiPriority w:val="99"/>
    <w:qFormat/>
    <w:rPr>
      <w:rFonts w:ascii="Calibri" w:hAnsi="Calibri"/>
    </w:rPr>
    <w:tblPr/>
  </w:style>
  <w:style w:type="table" w:styleId="1176">
    <w:name w:val="List Table 5 Dark - Accent 3"/>
    <w:next w:val="1176"/>
    <w:link w:val="847"/>
    <w:uiPriority w:val="99"/>
    <w:qFormat/>
    <w:rPr>
      <w:rFonts w:ascii="Calibri" w:hAnsi="Calibri"/>
    </w:rPr>
    <w:tblPr/>
  </w:style>
  <w:style w:type="table" w:styleId="1177">
    <w:name w:val="List Table 5 Dark - Accent 4"/>
    <w:next w:val="1177"/>
    <w:link w:val="847"/>
    <w:uiPriority w:val="99"/>
    <w:qFormat/>
    <w:rPr>
      <w:rFonts w:ascii="Calibri" w:hAnsi="Calibri"/>
    </w:rPr>
    <w:tblPr/>
  </w:style>
  <w:style w:type="table" w:styleId="1178">
    <w:name w:val="List Table 5 Dark - Accent 5"/>
    <w:next w:val="1178"/>
    <w:link w:val="847"/>
    <w:uiPriority w:val="99"/>
    <w:qFormat/>
    <w:rPr>
      <w:rFonts w:ascii="Calibri" w:hAnsi="Calibri"/>
    </w:rPr>
    <w:tblPr/>
  </w:style>
  <w:style w:type="table" w:styleId="1179">
    <w:name w:val="List Table 5 Dark - Accent 6"/>
    <w:next w:val="1179"/>
    <w:link w:val="847"/>
    <w:uiPriority w:val="99"/>
    <w:qFormat/>
    <w:rPr>
      <w:rFonts w:ascii="Calibri" w:hAnsi="Calibri"/>
    </w:rPr>
    <w:tblPr/>
  </w:style>
  <w:style w:type="table" w:styleId="1180">
    <w:name w:val="List Table 6 Colorful - Accent 1"/>
    <w:next w:val="1180"/>
    <w:link w:val="847"/>
    <w:uiPriority w:val="99"/>
    <w:qFormat/>
    <w:rPr>
      <w:rFonts w:ascii="Calibri" w:hAnsi="Calibri"/>
    </w:rPr>
    <w:tblPr/>
  </w:style>
  <w:style w:type="table" w:styleId="1181">
    <w:name w:val="List Table 6 Colorful - Accent 2"/>
    <w:next w:val="1181"/>
    <w:link w:val="847"/>
    <w:uiPriority w:val="99"/>
    <w:qFormat/>
    <w:rPr>
      <w:rFonts w:ascii="Calibri" w:hAnsi="Calibri"/>
    </w:rPr>
    <w:tblPr/>
  </w:style>
  <w:style w:type="table" w:styleId="1182">
    <w:name w:val="List Table 6 Colorful - Accent 3"/>
    <w:next w:val="1182"/>
    <w:link w:val="847"/>
    <w:uiPriority w:val="99"/>
    <w:qFormat/>
    <w:rPr>
      <w:rFonts w:ascii="Calibri" w:hAnsi="Calibri"/>
    </w:rPr>
    <w:tblPr/>
  </w:style>
  <w:style w:type="table" w:styleId="1183">
    <w:name w:val="List Table 6 Colorful - Accent 4"/>
    <w:next w:val="1183"/>
    <w:link w:val="847"/>
    <w:uiPriority w:val="99"/>
    <w:qFormat/>
    <w:rPr>
      <w:rFonts w:ascii="Calibri" w:hAnsi="Calibri"/>
    </w:rPr>
    <w:tblPr/>
  </w:style>
  <w:style w:type="table" w:styleId="1184">
    <w:name w:val="List Table 6 Colorful - Accent 5"/>
    <w:next w:val="1184"/>
    <w:link w:val="847"/>
    <w:uiPriority w:val="99"/>
    <w:qFormat/>
    <w:rPr>
      <w:rFonts w:ascii="Calibri" w:hAnsi="Calibri"/>
    </w:rPr>
    <w:tblPr/>
  </w:style>
  <w:style w:type="table" w:styleId="1185">
    <w:name w:val="List Table 6 Colorful - Accent 6"/>
    <w:next w:val="1185"/>
    <w:link w:val="847"/>
    <w:uiPriority w:val="99"/>
    <w:qFormat/>
    <w:rPr>
      <w:rFonts w:ascii="Calibri" w:hAnsi="Calibri"/>
    </w:rPr>
    <w:tblPr/>
  </w:style>
  <w:style w:type="table" w:styleId="1186">
    <w:name w:val="List Table 7 Colorful - Accent 1"/>
    <w:next w:val="1186"/>
    <w:link w:val="847"/>
    <w:uiPriority w:val="99"/>
    <w:qFormat/>
    <w:rPr>
      <w:rFonts w:ascii="Calibri" w:hAnsi="Calibri"/>
    </w:rPr>
    <w:tblPr/>
  </w:style>
  <w:style w:type="table" w:styleId="1187">
    <w:name w:val="List Table 7 Colorful - Accent 2"/>
    <w:next w:val="1187"/>
    <w:link w:val="847"/>
    <w:uiPriority w:val="99"/>
    <w:qFormat/>
    <w:rPr>
      <w:rFonts w:ascii="Calibri" w:hAnsi="Calibri"/>
    </w:rPr>
    <w:tblPr/>
  </w:style>
  <w:style w:type="table" w:styleId="1188">
    <w:name w:val="List Table 7 Colorful - Accent 3"/>
    <w:next w:val="1188"/>
    <w:link w:val="847"/>
    <w:uiPriority w:val="99"/>
    <w:qFormat/>
    <w:rPr>
      <w:rFonts w:ascii="Calibri" w:hAnsi="Calibri"/>
    </w:rPr>
    <w:tblPr/>
  </w:style>
  <w:style w:type="table" w:styleId="1189">
    <w:name w:val="List Table 7 Colorful - Accent 4"/>
    <w:next w:val="1189"/>
    <w:link w:val="847"/>
    <w:uiPriority w:val="99"/>
    <w:qFormat/>
    <w:rPr>
      <w:rFonts w:ascii="Calibri" w:hAnsi="Calibri"/>
    </w:rPr>
    <w:tblPr/>
  </w:style>
  <w:style w:type="table" w:styleId="1190">
    <w:name w:val="List Table 7 Colorful - Accent 5"/>
    <w:next w:val="1190"/>
    <w:link w:val="847"/>
    <w:uiPriority w:val="99"/>
    <w:qFormat/>
    <w:rPr>
      <w:rFonts w:ascii="Calibri" w:hAnsi="Calibri"/>
    </w:rPr>
    <w:tblPr/>
  </w:style>
  <w:style w:type="table" w:styleId="1191">
    <w:name w:val="List Table 7 Colorful - Accent 6"/>
    <w:next w:val="1191"/>
    <w:link w:val="847"/>
    <w:uiPriority w:val="99"/>
    <w:qFormat/>
    <w:rPr>
      <w:rFonts w:ascii="Calibri" w:hAnsi="Calibri"/>
    </w:rPr>
    <w:tblPr/>
  </w:style>
  <w:style w:type="table" w:styleId="1192">
    <w:name w:val="Lined - Accent"/>
    <w:next w:val="1192"/>
    <w:link w:val="847"/>
    <w:uiPriority w:val="99"/>
    <w:qFormat/>
    <w:rPr>
      <w:rFonts w:ascii="Calibri" w:hAnsi="Calibri"/>
      <w:color w:val="404040"/>
    </w:rPr>
    <w:tblPr/>
  </w:style>
  <w:style w:type="table" w:styleId="1193">
    <w:name w:val="Lined - Accent 1"/>
    <w:next w:val="1193"/>
    <w:link w:val="847"/>
    <w:uiPriority w:val="99"/>
    <w:qFormat/>
    <w:rPr>
      <w:rFonts w:ascii="Calibri" w:hAnsi="Calibri"/>
      <w:color w:val="404040"/>
    </w:rPr>
    <w:tblPr/>
  </w:style>
  <w:style w:type="table" w:styleId="1194">
    <w:name w:val="Lined - Accent 2"/>
    <w:next w:val="1194"/>
    <w:link w:val="847"/>
    <w:uiPriority w:val="99"/>
    <w:qFormat/>
    <w:rPr>
      <w:rFonts w:ascii="Calibri" w:hAnsi="Calibri"/>
      <w:color w:val="404040"/>
    </w:rPr>
    <w:tblPr/>
  </w:style>
  <w:style w:type="table" w:styleId="1195">
    <w:name w:val="Lined - Accent 3"/>
    <w:next w:val="1195"/>
    <w:link w:val="847"/>
    <w:uiPriority w:val="99"/>
    <w:qFormat/>
    <w:rPr>
      <w:rFonts w:ascii="Calibri" w:hAnsi="Calibri"/>
      <w:color w:val="404040"/>
    </w:rPr>
    <w:tblPr/>
  </w:style>
  <w:style w:type="table" w:styleId="1196">
    <w:name w:val="Lined - Accent 4"/>
    <w:next w:val="1196"/>
    <w:link w:val="847"/>
    <w:uiPriority w:val="99"/>
    <w:qFormat/>
    <w:rPr>
      <w:rFonts w:ascii="Calibri" w:hAnsi="Calibri"/>
      <w:color w:val="404040"/>
    </w:rPr>
    <w:tblPr/>
  </w:style>
  <w:style w:type="table" w:styleId="1197">
    <w:name w:val="Lined - Accent 5"/>
    <w:next w:val="1197"/>
    <w:link w:val="847"/>
    <w:uiPriority w:val="99"/>
    <w:qFormat/>
    <w:rPr>
      <w:rFonts w:ascii="Calibri" w:hAnsi="Calibri"/>
      <w:color w:val="404040"/>
    </w:rPr>
    <w:tblPr/>
  </w:style>
  <w:style w:type="table" w:styleId="1198">
    <w:name w:val="Lined - Accent 6"/>
    <w:next w:val="1198"/>
    <w:link w:val="847"/>
    <w:uiPriority w:val="99"/>
    <w:qFormat/>
    <w:rPr>
      <w:rFonts w:ascii="Calibri" w:hAnsi="Calibri"/>
      <w:color w:val="404040"/>
    </w:rPr>
    <w:tblPr/>
  </w:style>
  <w:style w:type="table" w:styleId="1199">
    <w:name w:val="Bordered &amp; Lined - Accent"/>
    <w:next w:val="1199"/>
    <w:link w:val="847"/>
    <w:uiPriority w:val="99"/>
    <w:qFormat/>
    <w:rPr>
      <w:rFonts w:ascii="Calibri" w:hAnsi="Calibri"/>
      <w:color w:val="404040"/>
    </w:rPr>
    <w:tblPr/>
  </w:style>
  <w:style w:type="table" w:styleId="1200">
    <w:name w:val="Bordered &amp; Lined - Accent 1"/>
    <w:next w:val="1200"/>
    <w:link w:val="847"/>
    <w:uiPriority w:val="99"/>
    <w:qFormat/>
    <w:rPr>
      <w:rFonts w:ascii="Calibri" w:hAnsi="Calibri"/>
      <w:color w:val="404040"/>
    </w:rPr>
    <w:tblPr/>
  </w:style>
  <w:style w:type="table" w:styleId="1201">
    <w:name w:val="Bordered &amp; Lined - Accent 2"/>
    <w:next w:val="1201"/>
    <w:link w:val="847"/>
    <w:uiPriority w:val="99"/>
    <w:qFormat/>
    <w:rPr>
      <w:rFonts w:ascii="Calibri" w:hAnsi="Calibri"/>
      <w:color w:val="404040"/>
    </w:rPr>
    <w:tblPr/>
  </w:style>
  <w:style w:type="table" w:styleId="1202">
    <w:name w:val="Bordered &amp; Lined - Accent 3"/>
    <w:next w:val="1202"/>
    <w:link w:val="847"/>
    <w:uiPriority w:val="99"/>
    <w:qFormat/>
    <w:rPr>
      <w:rFonts w:ascii="Calibri" w:hAnsi="Calibri"/>
      <w:color w:val="404040"/>
    </w:rPr>
    <w:tblPr/>
  </w:style>
  <w:style w:type="table" w:styleId="1203">
    <w:name w:val="Bordered &amp; Lined - Accent 4"/>
    <w:next w:val="1203"/>
    <w:link w:val="847"/>
    <w:uiPriority w:val="99"/>
    <w:qFormat/>
    <w:rPr>
      <w:rFonts w:ascii="Calibri" w:hAnsi="Calibri"/>
      <w:color w:val="404040"/>
    </w:rPr>
    <w:tblPr/>
  </w:style>
  <w:style w:type="table" w:styleId="1204">
    <w:name w:val="Bordered &amp; Lined - Accent 5"/>
    <w:next w:val="1204"/>
    <w:link w:val="847"/>
    <w:uiPriority w:val="99"/>
    <w:qFormat/>
    <w:rPr>
      <w:rFonts w:ascii="Calibri" w:hAnsi="Calibri"/>
      <w:color w:val="404040"/>
    </w:rPr>
    <w:tblPr/>
  </w:style>
  <w:style w:type="table" w:styleId="1205">
    <w:name w:val="Bordered &amp; Lined - Accent 6"/>
    <w:next w:val="1205"/>
    <w:link w:val="847"/>
    <w:uiPriority w:val="99"/>
    <w:qFormat/>
    <w:rPr>
      <w:rFonts w:ascii="Calibri" w:hAnsi="Calibri"/>
      <w:color w:val="404040"/>
    </w:rPr>
    <w:tblPr/>
  </w:style>
  <w:style w:type="table" w:styleId="1206">
    <w:name w:val="Bordered"/>
    <w:next w:val="1206"/>
    <w:link w:val="847"/>
    <w:uiPriority w:val="99"/>
    <w:qFormat/>
    <w:rPr>
      <w:rFonts w:ascii="Calibri" w:hAnsi="Calibri"/>
    </w:rPr>
    <w:tblPr/>
  </w:style>
  <w:style w:type="table" w:styleId="1207">
    <w:name w:val="Bordered - Accent 1"/>
    <w:next w:val="1207"/>
    <w:link w:val="847"/>
    <w:uiPriority w:val="99"/>
    <w:qFormat/>
    <w:rPr>
      <w:rFonts w:ascii="Calibri" w:hAnsi="Calibri"/>
    </w:rPr>
    <w:tblPr/>
  </w:style>
  <w:style w:type="table" w:styleId="1208">
    <w:name w:val="Bordered - Accent 2"/>
    <w:next w:val="1208"/>
    <w:link w:val="847"/>
    <w:uiPriority w:val="99"/>
    <w:qFormat/>
    <w:rPr>
      <w:rFonts w:ascii="Calibri" w:hAnsi="Calibri"/>
    </w:rPr>
    <w:tblPr/>
  </w:style>
  <w:style w:type="table" w:styleId="1209">
    <w:name w:val="Bordered - Accent 3"/>
    <w:next w:val="1209"/>
    <w:link w:val="847"/>
    <w:uiPriority w:val="99"/>
    <w:qFormat/>
    <w:rPr>
      <w:rFonts w:ascii="Calibri" w:hAnsi="Calibri"/>
    </w:rPr>
    <w:tblPr/>
  </w:style>
  <w:style w:type="table" w:styleId="1210">
    <w:name w:val="Bordered - Accent 4"/>
    <w:next w:val="1210"/>
    <w:link w:val="847"/>
    <w:uiPriority w:val="99"/>
    <w:qFormat/>
    <w:rPr>
      <w:rFonts w:ascii="Calibri" w:hAnsi="Calibri"/>
    </w:rPr>
    <w:tblPr/>
  </w:style>
  <w:style w:type="table" w:styleId="1211">
    <w:name w:val="Bordered - Accent 5"/>
    <w:next w:val="1211"/>
    <w:link w:val="847"/>
    <w:uiPriority w:val="99"/>
    <w:qFormat/>
    <w:rPr>
      <w:rFonts w:ascii="Calibri" w:hAnsi="Calibri"/>
    </w:rPr>
    <w:tblPr/>
  </w:style>
  <w:style w:type="table" w:styleId="1212">
    <w:name w:val="Bordered - Accent 6"/>
    <w:next w:val="1212"/>
    <w:link w:val="847"/>
    <w:uiPriority w:val="99"/>
    <w:qFormat/>
    <w:rPr>
      <w:rFonts w:ascii="Calibri" w:hAnsi="Calibri"/>
    </w:rPr>
    <w:tblPr/>
  </w:style>
  <w:style w:type="paragraph" w:styleId="1213">
    <w:name w:val="TOC 标题11"/>
    <w:next w:val="1213"/>
    <w:link w:val="847"/>
    <w:uiPriority w:val="39"/>
    <w:unhideWhenUsed/>
    <w:qFormat/>
    <w:rPr>
      <w:rFonts w:ascii="Calibri" w:hAnsi="Calibri" w:eastAsia="宋体" w:cs="Times New Roman"/>
      <w:lang w:val="en-US" w:eastAsia="zh-CN" w:bidi="ar-SA"/>
    </w:rPr>
  </w:style>
  <w:style w:type="paragraph" w:styleId="1214">
    <w:name w:val="标题 11"/>
    <w:basedOn w:val="847"/>
    <w:next w:val="847"/>
    <w:link w:val="1215"/>
    <w:qFormat/>
    <w:pPr>
      <w:jc w:val="center"/>
      <w:keepNext/>
      <w:outlineLvl w:val="0"/>
    </w:pPr>
    <w:rPr>
      <w:rFonts w:ascii="楷体_GB2312" w:hAnsi="Times New Roman" w:eastAsia="楷体_GB2312"/>
      <w:sz w:val="28"/>
      <w:szCs w:val="28"/>
      <w:lang w:eastAsia="en-US"/>
    </w:rPr>
  </w:style>
  <w:style w:type="character" w:styleId="1215">
    <w:name w:val="标题 1 Char"/>
    <w:next w:val="1215"/>
    <w:link w:val="1214"/>
    <w:qFormat/>
    <w:rPr>
      <w:rFonts w:ascii="楷体_GB2312" w:hAnsi="Times New Roman" w:eastAsia="楷体_GB2312" w:cs="Times New Roman"/>
      <w:sz w:val="28"/>
      <w:szCs w:val="28"/>
      <w:lang w:eastAsia="en-US"/>
    </w:rPr>
  </w:style>
  <w:style w:type="paragraph" w:styleId="1216">
    <w:name w:val="标题 21"/>
    <w:basedOn w:val="847"/>
    <w:next w:val="1218"/>
    <w:link w:val="1217"/>
    <w:qFormat/>
    <w:pPr>
      <w:jc w:val="center"/>
      <w:keepLines/>
      <w:keepNext/>
      <w:spacing w:before="260" w:after="260" w:line="416" w:lineRule="auto"/>
      <w:outlineLvl w:val="1"/>
    </w:pPr>
    <w:rPr>
      <w:rFonts w:ascii="Arial" w:hAnsi="Arial" w:eastAsia="幼圆"/>
      <w:b/>
      <w:bCs/>
      <w:sz w:val="44"/>
      <w:szCs w:val="44"/>
      <w:lang w:eastAsia="en-US"/>
    </w:rPr>
  </w:style>
  <w:style w:type="character" w:styleId="1217">
    <w:name w:val="标题 2 Char"/>
    <w:next w:val="1217"/>
    <w:link w:val="1216"/>
    <w:qFormat/>
    <w:rPr>
      <w:rFonts w:ascii="Arial" w:hAnsi="Arial" w:eastAsia="幼圆" w:cs="Times New Roman"/>
      <w:b/>
      <w:bCs/>
      <w:sz w:val="44"/>
      <w:szCs w:val="44"/>
      <w:lang w:eastAsia="en-US"/>
    </w:rPr>
  </w:style>
  <w:style w:type="paragraph" w:styleId="1218">
    <w:name w:val="正文缩进1"/>
    <w:basedOn w:val="847"/>
    <w:next w:val="1218"/>
    <w:link w:val="1219"/>
    <w:qFormat/>
    <w:pPr>
      <w:ind w:firstLine="420"/>
    </w:pPr>
    <w:rPr>
      <w:rFonts w:ascii="Times New Roman" w:hAnsi="Times New Roman" w:eastAsia="宋体"/>
      <w:sz w:val="20"/>
      <w:szCs w:val="21"/>
      <w:lang w:eastAsia="en-US"/>
    </w:rPr>
  </w:style>
  <w:style w:type="character" w:styleId="1219">
    <w:name w:val="正文缩进 Char"/>
    <w:next w:val="1219"/>
    <w:link w:val="1218"/>
    <w:qFormat/>
    <w:rPr>
      <w:rFonts w:ascii="Times New Roman" w:hAnsi="Times New Roman" w:eastAsia="宋体" w:cs="Times New Roman"/>
      <w:szCs w:val="21"/>
      <w:lang w:eastAsia="en-US"/>
    </w:rPr>
  </w:style>
  <w:style w:type="paragraph" w:styleId="1220">
    <w:name w:val="标题 41"/>
    <w:basedOn w:val="847"/>
    <w:next w:val="1218"/>
    <w:link w:val="1221"/>
    <w:qFormat/>
    <w:pPr>
      <w:keepLines/>
      <w:keepNext/>
      <w:spacing w:before="280" w:after="290" w:line="376" w:lineRule="auto"/>
      <w:outlineLvl w:val="3"/>
    </w:pPr>
    <w:rPr>
      <w:rFonts w:ascii="Arial" w:hAnsi="Arial" w:eastAsia="黑体"/>
      <w:b/>
      <w:bCs/>
      <w:sz w:val="28"/>
      <w:szCs w:val="28"/>
      <w:lang w:eastAsia="en-US"/>
    </w:rPr>
  </w:style>
  <w:style w:type="character" w:styleId="1221">
    <w:name w:val="标题 4 Char"/>
    <w:next w:val="1221"/>
    <w:link w:val="1220"/>
    <w:qFormat/>
    <w:rPr>
      <w:rFonts w:ascii="Arial" w:hAnsi="Arial" w:eastAsia="黑体" w:cs="Times New Roman"/>
      <w:b/>
      <w:bCs/>
      <w:sz w:val="28"/>
      <w:szCs w:val="28"/>
      <w:lang w:eastAsia="en-US"/>
    </w:rPr>
  </w:style>
  <w:style w:type="paragraph" w:styleId="1222">
    <w:name w:val="标题 51"/>
    <w:basedOn w:val="847"/>
    <w:next w:val="1218"/>
    <w:link w:val="1223"/>
    <w:qFormat/>
    <w:pPr>
      <w:keepNext/>
      <w:outlineLvl w:val="4"/>
    </w:pPr>
    <w:rPr>
      <w:rFonts w:ascii="宋体" w:hAnsi="Times New Roman" w:eastAsia="宋体"/>
      <w:color w:val="000000"/>
      <w:sz w:val="28"/>
      <w:szCs w:val="28"/>
      <w:lang w:eastAsia="en-US"/>
    </w:rPr>
  </w:style>
  <w:style w:type="character" w:styleId="1223">
    <w:name w:val="标题 5 Char"/>
    <w:next w:val="1223"/>
    <w:link w:val="1222"/>
    <w:qFormat/>
    <w:rPr>
      <w:rFonts w:ascii="宋体" w:hAnsi="Times New Roman" w:eastAsia="宋体" w:cs="Times New Roman"/>
      <w:color w:val="000000"/>
      <w:sz w:val="28"/>
      <w:szCs w:val="28"/>
      <w:lang w:eastAsia="en-US"/>
    </w:rPr>
  </w:style>
  <w:style w:type="paragraph" w:styleId="1224">
    <w:name w:val="标题 61"/>
    <w:basedOn w:val="847"/>
    <w:next w:val="847"/>
    <w:link w:val="1225"/>
    <w:qFormat/>
    <w:pPr>
      <w:numPr>
        <w:ilvl w:val="5"/>
        <w:numId w:val="4"/>
      </w:numPr>
      <w:keepLines/>
      <w:keepNext/>
      <w:spacing w:before="240" w:after="64" w:line="320" w:lineRule="auto"/>
      <w:outlineLvl w:val="5"/>
    </w:pPr>
    <w:rPr>
      <w:rFonts w:ascii="Arial" w:hAnsi="Arial" w:eastAsia="黑体"/>
      <w:b/>
      <w:bCs/>
      <w:sz w:val="24"/>
      <w:szCs w:val="24"/>
      <w:lang w:eastAsia="en-US"/>
    </w:rPr>
  </w:style>
  <w:style w:type="character" w:styleId="1225">
    <w:name w:val="标题 6 Char"/>
    <w:next w:val="1225"/>
    <w:link w:val="1224"/>
    <w:qFormat/>
    <w:rPr>
      <w:rFonts w:ascii="Arial" w:hAnsi="Arial" w:eastAsia="黑体" w:cs="Times New Roman"/>
      <w:b/>
      <w:bCs/>
      <w:sz w:val="24"/>
      <w:szCs w:val="24"/>
      <w:lang w:eastAsia="en-US"/>
    </w:rPr>
  </w:style>
  <w:style w:type="paragraph" w:styleId="1226">
    <w:name w:val="标题 71"/>
    <w:basedOn w:val="847"/>
    <w:next w:val="847"/>
    <w:link w:val="1227"/>
    <w:qFormat/>
    <w:pPr>
      <w:numPr>
        <w:ilvl w:val="6"/>
        <w:numId w:val="4"/>
      </w:numPr>
      <w:keepLines/>
      <w:keepNext/>
      <w:spacing w:before="240" w:after="64" w:line="320" w:lineRule="auto"/>
      <w:outlineLvl w:val="6"/>
    </w:pPr>
    <w:rPr>
      <w:rFonts w:ascii="Times New Roman" w:hAnsi="Times New Roman" w:eastAsia="宋体"/>
      <w:b/>
      <w:bCs/>
      <w:sz w:val="24"/>
      <w:szCs w:val="24"/>
      <w:lang w:eastAsia="en-US"/>
    </w:rPr>
  </w:style>
  <w:style w:type="character" w:styleId="1227">
    <w:name w:val="标题 7 Char"/>
    <w:next w:val="1227"/>
    <w:link w:val="1226"/>
    <w:qFormat/>
    <w:rPr>
      <w:rFonts w:ascii="Times New Roman" w:hAnsi="Times New Roman" w:eastAsia="宋体" w:cs="Times New Roman"/>
      <w:b/>
      <w:bCs/>
      <w:sz w:val="24"/>
      <w:szCs w:val="24"/>
      <w:lang w:eastAsia="en-US"/>
    </w:rPr>
  </w:style>
  <w:style w:type="paragraph" w:styleId="1228">
    <w:name w:val="标题 81"/>
    <w:basedOn w:val="847"/>
    <w:next w:val="847"/>
    <w:link w:val="1229"/>
    <w:qFormat/>
    <w:pPr>
      <w:numPr>
        <w:ilvl w:val="7"/>
        <w:numId w:val="4"/>
      </w:numPr>
      <w:keepLines/>
      <w:keepNext/>
      <w:spacing w:before="240" w:after="64" w:line="320" w:lineRule="auto"/>
      <w:outlineLvl w:val="7"/>
    </w:pPr>
    <w:rPr>
      <w:rFonts w:ascii="Arial" w:hAnsi="Arial" w:eastAsia="黑体"/>
      <w:sz w:val="24"/>
      <w:szCs w:val="24"/>
      <w:lang w:eastAsia="en-US"/>
    </w:rPr>
  </w:style>
  <w:style w:type="character" w:styleId="1229">
    <w:name w:val="标题 8 Char"/>
    <w:next w:val="1229"/>
    <w:link w:val="1228"/>
    <w:qFormat/>
    <w:rPr>
      <w:rFonts w:ascii="Arial" w:hAnsi="Arial" w:eastAsia="黑体" w:cs="Times New Roman"/>
      <w:sz w:val="24"/>
      <w:szCs w:val="24"/>
      <w:lang w:eastAsia="en-US"/>
    </w:rPr>
  </w:style>
  <w:style w:type="paragraph" w:styleId="1230">
    <w:name w:val="标题 91"/>
    <w:basedOn w:val="847"/>
    <w:next w:val="847"/>
    <w:link w:val="1231"/>
    <w:qFormat/>
    <w:pPr>
      <w:numPr>
        <w:ilvl w:val="8"/>
        <w:numId w:val="4"/>
      </w:numPr>
      <w:keepLines/>
      <w:keepNext/>
      <w:spacing w:before="240" w:after="64" w:line="320" w:lineRule="auto"/>
      <w:outlineLvl w:val="8"/>
    </w:pPr>
    <w:rPr>
      <w:rFonts w:ascii="Arial" w:hAnsi="Arial" w:eastAsia="黑体"/>
      <w:sz w:val="20"/>
      <w:szCs w:val="21"/>
      <w:lang w:eastAsia="en-US"/>
    </w:rPr>
  </w:style>
  <w:style w:type="character" w:styleId="1231">
    <w:name w:val="标题 9 Char"/>
    <w:next w:val="1231"/>
    <w:link w:val="1230"/>
    <w:qFormat/>
    <w:rPr>
      <w:rFonts w:ascii="Arial" w:hAnsi="Arial" w:eastAsia="黑体" w:cs="Times New Roman"/>
      <w:szCs w:val="21"/>
      <w:lang w:eastAsia="en-US"/>
    </w:rPr>
  </w:style>
  <w:style w:type="character" w:styleId="1232">
    <w:name w:val="默认段落字体1"/>
    <w:next w:val="1232"/>
    <w:link w:val="847"/>
    <w:uiPriority w:val="1"/>
    <w:unhideWhenUsed/>
    <w:qFormat/>
  </w:style>
  <w:style w:type="table" w:styleId="1233">
    <w:name w:val="普通表格1"/>
    <w:next w:val="1233"/>
    <w:link w:val="847"/>
    <w:uiPriority w:val="99"/>
    <w:unhideWhenUsed/>
    <w:qFormat/>
    <w:rPr>
      <w:rFonts w:ascii="Calibri" w:hAnsi="Calibri"/>
    </w:rPr>
    <w:tblPr/>
  </w:style>
  <w:style w:type="paragraph" w:styleId="1234">
    <w:name w:val="列表 31"/>
    <w:basedOn w:val="847"/>
    <w:next w:val="1234"/>
    <w:link w:val="847"/>
    <w:qFormat/>
    <w:pPr>
      <w:ind w:left="100" w:hanging="200"/>
    </w:pPr>
    <w:rPr>
      <w:rFonts w:ascii="Times New Roman" w:hAnsi="Times New Roman" w:eastAsia="宋体"/>
      <w:szCs w:val="21"/>
    </w:rPr>
  </w:style>
  <w:style w:type="paragraph" w:styleId="1235">
    <w:name w:val="目录 711"/>
    <w:basedOn w:val="847"/>
    <w:next w:val="847"/>
    <w:link w:val="847"/>
    <w:semiHidden/>
    <w:qFormat/>
    <w:pPr>
      <w:ind w:left="1260"/>
      <w:jc w:val="left"/>
    </w:pPr>
    <w:rPr>
      <w:rFonts w:ascii="Times New Roman" w:hAnsi="Times New Roman" w:eastAsia="宋体"/>
      <w:szCs w:val="21"/>
    </w:rPr>
  </w:style>
  <w:style w:type="paragraph" w:styleId="1236">
    <w:name w:val="文档结构图1"/>
    <w:basedOn w:val="847"/>
    <w:next w:val="1236"/>
    <w:link w:val="1237"/>
    <w:semiHidden/>
    <w:qFormat/>
    <w:pPr>
      <w:shd w:val="clear" w:color="auto" w:fill="000080"/>
    </w:pPr>
    <w:rPr>
      <w:rFonts w:ascii="Times New Roman" w:hAnsi="Times New Roman" w:eastAsia="宋体"/>
      <w:sz w:val="20"/>
      <w:szCs w:val="21"/>
      <w:lang w:eastAsia="en-US"/>
    </w:rPr>
  </w:style>
  <w:style w:type="character" w:styleId="1237">
    <w:name w:val="文档结构图 Char"/>
    <w:next w:val="1237"/>
    <w:link w:val="1236"/>
    <w:semiHidden/>
    <w:qFormat/>
    <w:rPr>
      <w:rFonts w:ascii="Times New Roman" w:hAnsi="Times New Roman" w:eastAsia="宋体" w:cs="Times New Roman"/>
      <w:szCs w:val="21"/>
      <w:shd w:val="clear" w:color="auto" w:fill="000080"/>
      <w:lang w:eastAsia="en-US"/>
    </w:rPr>
  </w:style>
  <w:style w:type="paragraph" w:styleId="1238">
    <w:name w:val="批注文字1"/>
    <w:basedOn w:val="847"/>
    <w:next w:val="1238"/>
    <w:link w:val="1239"/>
    <w:semiHidden/>
    <w:qFormat/>
    <w:pPr>
      <w:jc w:val="left"/>
    </w:pPr>
    <w:rPr>
      <w:rFonts w:ascii="Times New Roman" w:hAnsi="Times New Roman" w:eastAsia="宋体"/>
      <w:sz w:val="20"/>
      <w:szCs w:val="21"/>
      <w:lang w:eastAsia="en-US"/>
    </w:rPr>
  </w:style>
  <w:style w:type="character" w:styleId="1239">
    <w:name w:val="批注文字 Char"/>
    <w:next w:val="1239"/>
    <w:link w:val="1238"/>
    <w:semiHidden/>
    <w:qFormat/>
    <w:rPr>
      <w:rFonts w:ascii="Times New Roman" w:hAnsi="Times New Roman" w:eastAsia="宋体" w:cs="Times New Roman"/>
      <w:szCs w:val="21"/>
      <w:lang w:eastAsia="en-US"/>
    </w:rPr>
  </w:style>
  <w:style w:type="paragraph" w:styleId="1240">
    <w:name w:val="正文文本 31"/>
    <w:basedOn w:val="847"/>
    <w:next w:val="1240"/>
    <w:link w:val="1241"/>
    <w:qFormat/>
    <w:rPr>
      <w:rFonts w:ascii="仿宋_GB2312" w:hAnsi="Arial" w:eastAsia="仿宋_GB2312"/>
      <w:sz w:val="32"/>
      <w:szCs w:val="32"/>
      <w:lang w:eastAsia="en-US"/>
    </w:rPr>
  </w:style>
  <w:style w:type="character" w:styleId="1241">
    <w:name w:val="正文文本 3 Char"/>
    <w:next w:val="1241"/>
    <w:link w:val="1240"/>
    <w:qFormat/>
    <w:rPr>
      <w:rFonts w:ascii="仿宋_GB2312" w:hAnsi="Arial" w:eastAsia="仿宋_GB2312" w:cs="Times New Roman"/>
      <w:sz w:val="32"/>
      <w:szCs w:val="32"/>
      <w:lang w:eastAsia="en-US"/>
    </w:rPr>
  </w:style>
  <w:style w:type="paragraph" w:styleId="1242">
    <w:name w:val="正文文本缩进1"/>
    <w:basedOn w:val="847"/>
    <w:next w:val="1242"/>
    <w:link w:val="1243"/>
    <w:qFormat/>
    <w:pPr>
      <w:ind w:firstLine="645"/>
    </w:pPr>
    <w:rPr>
      <w:rFonts w:ascii="楷体_GB2312" w:hAnsi="Times New Roman" w:eastAsia="楷体_GB2312"/>
      <w:sz w:val="32"/>
      <w:szCs w:val="32"/>
      <w:lang w:eastAsia="en-US"/>
    </w:rPr>
  </w:style>
  <w:style w:type="character" w:styleId="1243">
    <w:name w:val="正文文本缩进 Char"/>
    <w:next w:val="1243"/>
    <w:link w:val="1242"/>
    <w:qFormat/>
    <w:rPr>
      <w:rFonts w:ascii="楷体_GB2312" w:hAnsi="Times New Roman" w:eastAsia="楷体_GB2312" w:cs="Times New Roman"/>
      <w:sz w:val="32"/>
      <w:szCs w:val="32"/>
      <w:lang w:eastAsia="en-US"/>
    </w:rPr>
  </w:style>
  <w:style w:type="paragraph" w:styleId="1244">
    <w:name w:val="列表 21"/>
    <w:basedOn w:val="847"/>
    <w:next w:val="1244"/>
    <w:link w:val="847"/>
    <w:qFormat/>
    <w:pPr>
      <w:ind w:left="100" w:hanging="200"/>
    </w:pPr>
    <w:rPr>
      <w:rFonts w:ascii="Times New Roman" w:hAnsi="Times New Roman" w:eastAsia="宋体"/>
      <w:szCs w:val="21"/>
    </w:rPr>
  </w:style>
  <w:style w:type="paragraph" w:styleId="1245">
    <w:name w:val="目录 511"/>
    <w:basedOn w:val="847"/>
    <w:next w:val="847"/>
    <w:link w:val="847"/>
    <w:semiHidden/>
    <w:qFormat/>
    <w:pPr>
      <w:ind w:left="840"/>
      <w:jc w:val="left"/>
    </w:pPr>
    <w:rPr>
      <w:rFonts w:ascii="Times New Roman" w:hAnsi="Times New Roman" w:eastAsia="宋体"/>
      <w:szCs w:val="21"/>
    </w:rPr>
  </w:style>
  <w:style w:type="paragraph" w:styleId="1246">
    <w:name w:val="目录 311"/>
    <w:basedOn w:val="847"/>
    <w:next w:val="847"/>
    <w:link w:val="847"/>
    <w:semiHidden/>
    <w:qFormat/>
    <w:pPr>
      <w:ind w:left="420"/>
      <w:jc w:val="left"/>
    </w:pPr>
    <w:rPr>
      <w:rFonts w:ascii="Times New Roman" w:hAnsi="Times New Roman" w:eastAsia="宋体"/>
      <w:i/>
      <w:iCs/>
      <w:szCs w:val="24"/>
    </w:rPr>
  </w:style>
  <w:style w:type="paragraph" w:styleId="1247">
    <w:name w:val="纯文本1"/>
    <w:basedOn w:val="847"/>
    <w:next w:val="1247"/>
    <w:link w:val="1248"/>
    <w:qFormat/>
    <w:rPr>
      <w:rFonts w:ascii="宋体" w:hAnsi="Courier New" w:eastAsia="宋体"/>
      <w:sz w:val="20"/>
      <w:szCs w:val="21"/>
      <w:lang w:eastAsia="en-US"/>
    </w:rPr>
  </w:style>
  <w:style w:type="character" w:styleId="1248">
    <w:name w:val="纯文本 Char"/>
    <w:next w:val="1248"/>
    <w:link w:val="1247"/>
    <w:qFormat/>
    <w:rPr>
      <w:rFonts w:ascii="宋体" w:hAnsi="Courier New" w:eastAsia="宋体" w:cs="Times New Roman"/>
      <w:szCs w:val="21"/>
      <w:lang w:eastAsia="en-US"/>
    </w:rPr>
  </w:style>
  <w:style w:type="paragraph" w:styleId="1249">
    <w:name w:val="目录 811"/>
    <w:basedOn w:val="847"/>
    <w:next w:val="847"/>
    <w:link w:val="847"/>
    <w:semiHidden/>
    <w:qFormat/>
    <w:pPr>
      <w:ind w:left="1470"/>
      <w:jc w:val="left"/>
    </w:pPr>
    <w:rPr>
      <w:rFonts w:ascii="Times New Roman" w:hAnsi="Times New Roman" w:eastAsia="宋体"/>
      <w:szCs w:val="21"/>
    </w:rPr>
  </w:style>
  <w:style w:type="paragraph" w:styleId="1250">
    <w:name w:val="日期1"/>
    <w:basedOn w:val="847"/>
    <w:next w:val="847"/>
    <w:link w:val="1251"/>
    <w:qFormat/>
    <w:rPr>
      <w:rFonts w:ascii="Times New Roman" w:hAnsi="Times New Roman" w:eastAsia="宋体"/>
      <w:sz w:val="24"/>
      <w:szCs w:val="24"/>
      <w:lang w:eastAsia="en-US"/>
    </w:rPr>
  </w:style>
  <w:style w:type="character" w:styleId="1251">
    <w:name w:val="日期 Char"/>
    <w:next w:val="1251"/>
    <w:link w:val="1250"/>
    <w:qFormat/>
    <w:rPr>
      <w:rFonts w:ascii="Times New Roman" w:hAnsi="Times New Roman" w:eastAsia="宋体" w:cs="Times New Roman"/>
      <w:sz w:val="24"/>
      <w:szCs w:val="24"/>
      <w:lang w:eastAsia="en-US"/>
    </w:rPr>
  </w:style>
  <w:style w:type="paragraph" w:styleId="1252">
    <w:name w:val="正文文本缩进 21"/>
    <w:basedOn w:val="847"/>
    <w:next w:val="1252"/>
    <w:link w:val="1253"/>
    <w:qFormat/>
    <w:pPr>
      <w:ind w:left="630" w:firstLine="645"/>
    </w:pPr>
    <w:rPr>
      <w:rFonts w:ascii="Arial" w:hAnsi="Arial" w:eastAsia="仿宋_GB2312"/>
      <w:sz w:val="32"/>
      <w:szCs w:val="32"/>
      <w:lang w:eastAsia="en-US"/>
    </w:rPr>
  </w:style>
  <w:style w:type="character" w:styleId="1253">
    <w:name w:val="正文文本缩进 2 Char"/>
    <w:next w:val="1253"/>
    <w:link w:val="1252"/>
    <w:qFormat/>
    <w:rPr>
      <w:rFonts w:ascii="Arial" w:hAnsi="Arial" w:eastAsia="仿宋_GB2312" w:cs="Times New Roman"/>
      <w:sz w:val="32"/>
      <w:szCs w:val="32"/>
      <w:lang w:eastAsia="en-US"/>
    </w:rPr>
  </w:style>
  <w:style w:type="paragraph" w:styleId="1254">
    <w:name w:val="批注框文本1"/>
    <w:basedOn w:val="847"/>
    <w:next w:val="1254"/>
    <w:link w:val="1255"/>
    <w:semiHidden/>
    <w:qFormat/>
    <w:rPr>
      <w:rFonts w:ascii="Times New Roman" w:hAnsi="Times New Roman" w:eastAsia="宋体"/>
      <w:sz w:val="18"/>
      <w:szCs w:val="18"/>
      <w:lang w:eastAsia="en-US"/>
    </w:rPr>
  </w:style>
  <w:style w:type="character" w:styleId="1255">
    <w:name w:val="批注框文本 Char"/>
    <w:next w:val="1255"/>
    <w:link w:val="1254"/>
    <w:semiHidden/>
    <w:qFormat/>
    <w:rPr>
      <w:rFonts w:ascii="Times New Roman" w:hAnsi="Times New Roman" w:eastAsia="宋体" w:cs="Times New Roman"/>
      <w:sz w:val="18"/>
      <w:szCs w:val="18"/>
      <w:lang w:eastAsia="en-US"/>
    </w:rPr>
  </w:style>
  <w:style w:type="paragraph" w:styleId="1256">
    <w:name w:val="页脚1"/>
    <w:basedOn w:val="847"/>
    <w:next w:val="1256"/>
    <w:link w:val="1257"/>
    <w:qFormat/>
    <w:pPr>
      <w:jc w:val="left"/>
      <w:tabs>
        <w:tab w:val="center" w:pos="4153" w:leader="none"/>
        <w:tab w:val="right" w:pos="8306" w:leader="none"/>
      </w:tabs>
    </w:pPr>
    <w:rPr>
      <w:rFonts w:ascii="Times New Roman" w:hAnsi="Times New Roman" w:eastAsia="宋体"/>
      <w:sz w:val="18"/>
      <w:szCs w:val="18"/>
      <w:lang w:eastAsia="en-US"/>
    </w:rPr>
  </w:style>
  <w:style w:type="character" w:styleId="1257">
    <w:name w:val="页脚 Char"/>
    <w:next w:val="1257"/>
    <w:link w:val="1256"/>
    <w:qFormat/>
    <w:rPr>
      <w:rFonts w:ascii="Times New Roman" w:hAnsi="Times New Roman" w:eastAsia="宋体" w:cs="Times New Roman"/>
      <w:sz w:val="18"/>
      <w:szCs w:val="18"/>
      <w:lang w:eastAsia="en-US"/>
    </w:rPr>
  </w:style>
  <w:style w:type="paragraph" w:styleId="1258">
    <w:name w:val="页眉1"/>
    <w:basedOn w:val="847"/>
    <w:next w:val="1258"/>
    <w:link w:val="1259"/>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259">
    <w:name w:val="页眉 Char"/>
    <w:next w:val="1259"/>
    <w:link w:val="1258"/>
    <w:uiPriority w:val="99"/>
    <w:qFormat/>
    <w:rPr>
      <w:rFonts w:ascii="Times New Roman" w:hAnsi="Times New Roman" w:eastAsia="宋体" w:cs="Times New Roman"/>
      <w:sz w:val="18"/>
      <w:szCs w:val="18"/>
      <w:lang w:eastAsia="en-US"/>
    </w:rPr>
  </w:style>
  <w:style w:type="paragraph" w:styleId="1260">
    <w:name w:val="目录 1111"/>
    <w:basedOn w:val="847"/>
    <w:next w:val="847"/>
    <w:link w:val="847"/>
    <w:semiHidden/>
    <w:qFormat/>
    <w:pPr>
      <w:jc w:val="left"/>
      <w:spacing w:before="120" w:after="120" w:line="400" w:lineRule="exact"/>
      <w:tabs>
        <w:tab w:val="right" w:pos="8720" w:leader="dot"/>
      </w:tabs>
    </w:pPr>
    <w:rPr>
      <w:rFonts w:ascii="宋体" w:hAnsi="宋体" w:eastAsia="宋体"/>
      <w:caps/>
      <w:sz w:val="24"/>
      <w:szCs w:val="24"/>
    </w:rPr>
  </w:style>
  <w:style w:type="paragraph" w:styleId="1261">
    <w:name w:val="目录 411"/>
    <w:basedOn w:val="847"/>
    <w:next w:val="847"/>
    <w:link w:val="847"/>
    <w:semiHidden/>
    <w:qFormat/>
    <w:pPr>
      <w:ind w:left="630"/>
      <w:jc w:val="left"/>
    </w:pPr>
    <w:rPr>
      <w:rFonts w:ascii="Times New Roman" w:hAnsi="Times New Roman" w:eastAsia="宋体"/>
      <w:szCs w:val="21"/>
    </w:rPr>
  </w:style>
  <w:style w:type="paragraph" w:styleId="1262">
    <w:name w:val="列表1"/>
    <w:basedOn w:val="847"/>
    <w:next w:val="1262"/>
    <w:link w:val="847"/>
    <w:qFormat/>
    <w:pPr>
      <w:ind w:left="200" w:hanging="200"/>
    </w:pPr>
    <w:rPr>
      <w:rFonts w:ascii="Times New Roman" w:hAnsi="Times New Roman" w:eastAsia="宋体"/>
      <w:szCs w:val="21"/>
    </w:rPr>
  </w:style>
  <w:style w:type="paragraph" w:styleId="1263">
    <w:name w:val="目录 611"/>
    <w:basedOn w:val="847"/>
    <w:next w:val="847"/>
    <w:link w:val="847"/>
    <w:semiHidden/>
    <w:qFormat/>
    <w:pPr>
      <w:ind w:left="1050"/>
      <w:jc w:val="left"/>
    </w:pPr>
    <w:rPr>
      <w:rFonts w:ascii="Times New Roman" w:hAnsi="Times New Roman" w:eastAsia="宋体"/>
      <w:szCs w:val="21"/>
    </w:rPr>
  </w:style>
  <w:style w:type="paragraph" w:styleId="1264">
    <w:name w:val="正文文本缩进 31"/>
    <w:basedOn w:val="847"/>
    <w:next w:val="1264"/>
    <w:link w:val="1265"/>
    <w:qFormat/>
    <w:pPr>
      <w:ind w:left="645" w:firstLine="645"/>
    </w:pPr>
    <w:rPr>
      <w:rFonts w:ascii="Arial" w:hAnsi="Arial" w:eastAsia="仿宋_GB2312"/>
      <w:color w:val="ffff00"/>
      <w:sz w:val="32"/>
      <w:szCs w:val="32"/>
      <w:lang w:eastAsia="en-US"/>
    </w:rPr>
  </w:style>
  <w:style w:type="character" w:styleId="1265">
    <w:name w:val="正文文本缩进 3 Char"/>
    <w:next w:val="1265"/>
    <w:link w:val="1264"/>
    <w:qFormat/>
    <w:rPr>
      <w:rFonts w:ascii="Arial" w:hAnsi="Arial" w:eastAsia="仿宋_GB2312" w:cs="Times New Roman"/>
      <w:color w:val="ffff00"/>
      <w:sz w:val="32"/>
      <w:szCs w:val="32"/>
      <w:lang w:eastAsia="en-US"/>
    </w:rPr>
  </w:style>
  <w:style w:type="paragraph" w:styleId="1266">
    <w:name w:val="图表目录1"/>
    <w:basedOn w:val="847"/>
    <w:next w:val="847"/>
    <w:link w:val="847"/>
    <w:semiHidden/>
    <w:qFormat/>
    <w:pPr>
      <w:ind w:left="840" w:hanging="420"/>
    </w:pPr>
    <w:rPr>
      <w:rFonts w:ascii="Times New Roman" w:hAnsi="Times New Roman" w:eastAsia="宋体"/>
      <w:szCs w:val="21"/>
    </w:rPr>
  </w:style>
  <w:style w:type="paragraph" w:styleId="1267">
    <w:name w:val="目录 211"/>
    <w:basedOn w:val="847"/>
    <w:next w:val="847"/>
    <w:link w:val="847"/>
    <w:semiHidden/>
    <w:qFormat/>
    <w:pPr>
      <w:ind w:left="210"/>
      <w:jc w:val="left"/>
    </w:pPr>
    <w:rPr>
      <w:rFonts w:ascii="Times New Roman" w:hAnsi="Times New Roman" w:eastAsia="宋体"/>
      <w:smallCaps/>
      <w:szCs w:val="24"/>
    </w:rPr>
  </w:style>
  <w:style w:type="paragraph" w:styleId="1268">
    <w:name w:val="目录 911"/>
    <w:basedOn w:val="847"/>
    <w:next w:val="847"/>
    <w:link w:val="847"/>
    <w:semiHidden/>
    <w:qFormat/>
    <w:pPr>
      <w:ind w:left="1680"/>
      <w:jc w:val="left"/>
    </w:pPr>
    <w:rPr>
      <w:rFonts w:ascii="Times New Roman" w:hAnsi="Times New Roman" w:eastAsia="宋体"/>
      <w:szCs w:val="21"/>
    </w:rPr>
  </w:style>
  <w:style w:type="paragraph" w:styleId="1269">
    <w:name w:val="正文文本 21"/>
    <w:basedOn w:val="847"/>
    <w:next w:val="1269"/>
    <w:link w:val="1270"/>
    <w:qFormat/>
    <w:pPr>
      <w:jc w:val="center"/>
      <w:widowControl/>
    </w:pPr>
    <w:rPr>
      <w:rFonts w:ascii="楷体_GB2312" w:hAnsi="Times New Roman" w:eastAsia="楷体_GB2312"/>
      <w:sz w:val="28"/>
      <w:szCs w:val="28"/>
      <w:lang w:eastAsia="en-US"/>
    </w:rPr>
  </w:style>
  <w:style w:type="character" w:styleId="1270">
    <w:name w:val="正文文本 2 Char"/>
    <w:next w:val="1270"/>
    <w:link w:val="1269"/>
    <w:qFormat/>
    <w:rPr>
      <w:rFonts w:ascii="楷体_GB2312" w:hAnsi="Times New Roman" w:eastAsia="楷体_GB2312" w:cs="Times New Roman"/>
      <w:sz w:val="28"/>
      <w:szCs w:val="28"/>
      <w:lang w:eastAsia="en-US"/>
    </w:rPr>
  </w:style>
  <w:style w:type="paragraph" w:styleId="1271">
    <w:name w:val="普通(网站)1"/>
    <w:basedOn w:val="847"/>
    <w:next w:val="1271"/>
    <w:link w:val="847"/>
    <w:uiPriority w:val="99"/>
    <w:qFormat/>
    <w:pPr>
      <w:jc w:val="left"/>
      <w:spacing w:before="100" w:beforeAutospacing="1" w:after="100" w:afterAutospacing="1"/>
      <w:widowControl/>
    </w:pPr>
    <w:rPr>
      <w:rFonts w:ascii="宋体" w:hAnsi="宋体" w:eastAsia="宋体" w:cs="宋体"/>
      <w:sz w:val="24"/>
      <w:szCs w:val="24"/>
    </w:rPr>
  </w:style>
  <w:style w:type="paragraph" w:styleId="1272">
    <w:name w:val="索引 11"/>
    <w:basedOn w:val="847"/>
    <w:next w:val="847"/>
    <w:link w:val="847"/>
    <w:semiHidden/>
    <w:qFormat/>
    <w:pPr>
      <w:spacing w:line="240" w:lineRule="atLeast"/>
    </w:pPr>
    <w:rPr>
      <w:rFonts w:ascii="Times New Roman" w:hAnsi="Times New Roman" w:eastAsia="宋体"/>
      <w:b/>
      <w:bCs/>
      <w:szCs w:val="21"/>
    </w:rPr>
  </w:style>
  <w:style w:type="paragraph" w:styleId="1273">
    <w:name w:val="批注主题1"/>
    <w:basedOn w:val="1238"/>
    <w:next w:val="1238"/>
    <w:link w:val="1274"/>
    <w:semiHidden/>
    <w:qFormat/>
    <w:rPr>
      <w:b/>
      <w:bCs/>
    </w:rPr>
  </w:style>
  <w:style w:type="character" w:styleId="1274">
    <w:name w:val="批注主题 Char"/>
    <w:next w:val="1274"/>
    <w:link w:val="1273"/>
    <w:semiHidden/>
    <w:qFormat/>
    <w:rPr>
      <w:rFonts w:ascii="Times New Roman" w:hAnsi="Times New Roman" w:eastAsia="宋体" w:cs="Times New Roman"/>
      <w:b/>
      <w:bCs/>
      <w:szCs w:val="21"/>
      <w:lang w:eastAsia="en-US"/>
    </w:rPr>
  </w:style>
  <w:style w:type="paragraph" w:styleId="1275">
    <w:name w:val="正文首行缩进1"/>
    <w:basedOn w:val="847"/>
    <w:next w:val="1275"/>
    <w:link w:val="1276"/>
    <w:qFormat/>
    <w:pPr>
      <w:ind w:firstLine="200"/>
      <w:spacing w:line="360" w:lineRule="auto"/>
    </w:pPr>
    <w:rPr>
      <w:rFonts w:ascii="仿宋_GB2312" w:hAnsi="Times New Roman" w:eastAsia="仿宋_GB2312"/>
      <w:sz w:val="30"/>
      <w:szCs w:val="30"/>
      <w:lang w:eastAsia="en-US"/>
    </w:rPr>
  </w:style>
  <w:style w:type="character" w:styleId="1276">
    <w:name w:val="正文首行缩进 Char"/>
    <w:next w:val="1276"/>
    <w:link w:val="1275"/>
    <w:qFormat/>
    <w:rPr>
      <w:rFonts w:ascii="仿宋_GB2312" w:hAnsi="Times New Roman" w:eastAsia="仿宋_GB2312" w:cs="Times New Roman"/>
      <w:sz w:val="30"/>
      <w:szCs w:val="30"/>
      <w:lang w:eastAsia="en-US"/>
    </w:rPr>
  </w:style>
  <w:style w:type="paragraph" w:styleId="1277">
    <w:name w:val="正文首行缩进 21"/>
    <w:basedOn w:val="1242"/>
    <w:next w:val="1277"/>
    <w:link w:val="1278"/>
    <w:qFormat/>
    <w:pPr>
      <w:ind w:firstLine="420"/>
      <w:spacing w:line="360" w:lineRule="auto"/>
    </w:pPr>
    <w:rPr>
      <w:rFonts w:ascii="宋体" w:hAnsi="宋体" w:eastAsia="宋体"/>
      <w:szCs w:val="20"/>
    </w:rPr>
  </w:style>
  <w:style w:type="character" w:styleId="1278">
    <w:name w:val="正文首行缩进 2 Char"/>
    <w:next w:val="1278"/>
    <w:link w:val="1277"/>
    <w:qFormat/>
    <w:rPr>
      <w:rFonts w:ascii="宋体" w:hAnsi="宋体" w:eastAsia="宋体" w:cs="Times New Roman"/>
      <w:sz w:val="32"/>
      <w:lang w:eastAsia="en-US"/>
    </w:rPr>
  </w:style>
  <w:style w:type="character" w:styleId="1279">
    <w:name w:val="要点1"/>
    <w:next w:val="1279"/>
    <w:link w:val="847"/>
    <w:qFormat/>
    <w:rPr>
      <w:b/>
      <w:bCs/>
    </w:rPr>
  </w:style>
  <w:style w:type="character" w:styleId="1280">
    <w:name w:val="页码1"/>
    <w:next w:val="1280"/>
    <w:link w:val="847"/>
    <w:qFormat/>
  </w:style>
  <w:style w:type="character" w:styleId="1281">
    <w:name w:val="已访问的超链接1"/>
    <w:next w:val="1281"/>
    <w:link w:val="847"/>
    <w:qFormat/>
    <w:rPr>
      <w:color w:val="800080"/>
      <w:u w:val="single"/>
    </w:rPr>
  </w:style>
  <w:style w:type="character" w:styleId="1282">
    <w:name w:val="HTML 打字机1"/>
    <w:next w:val="1282"/>
    <w:link w:val="847"/>
    <w:uiPriority w:val="99"/>
    <w:qFormat/>
    <w:rPr>
      <w:rFonts w:ascii="宋体" w:hAnsi="宋体" w:eastAsia="宋体" w:cs="宋体"/>
      <w:sz w:val="24"/>
      <w:szCs w:val="24"/>
    </w:rPr>
  </w:style>
  <w:style w:type="character" w:styleId="1283">
    <w:name w:val="超链接1"/>
    <w:next w:val="1283"/>
    <w:link w:val="847"/>
    <w:qFormat/>
    <w:rPr>
      <w:color w:val="0000ff"/>
      <w:u w:val="single"/>
    </w:rPr>
  </w:style>
  <w:style w:type="character" w:styleId="1284">
    <w:name w:val="二级目录 Char"/>
    <w:next w:val="1284"/>
    <w:link w:val="1285"/>
    <w:qFormat/>
    <w:rPr>
      <w:b/>
      <w:sz w:val="30"/>
      <w:szCs w:val="28"/>
    </w:rPr>
  </w:style>
  <w:style w:type="paragraph" w:styleId="1285">
    <w:name w:val="二级目录"/>
    <w:next w:val="847"/>
    <w:link w:val="1284"/>
    <w:qFormat/>
    <w:pPr>
      <w:numPr>
        <w:ilvl w:val="0"/>
        <w:numId w:val="5"/>
      </w:numPr>
      <w:tabs>
        <w:tab w:val="left" w:pos="907" w:leader="none"/>
        <w:tab w:val="left" w:pos="1145" w:leader="none"/>
      </w:tabs>
      <w:outlineLvl w:val="1"/>
    </w:pPr>
    <w:rPr>
      <w:rFonts w:ascii="Calibri" w:hAnsi="Calibri" w:eastAsia="Arial" w:cs="Times New Roman"/>
      <w:b/>
      <w:sz w:val="30"/>
      <w:szCs w:val="28"/>
      <w:lang w:val="en-US" w:eastAsia="zh-CN" w:bidi="ar-SA"/>
    </w:rPr>
  </w:style>
  <w:style w:type="paragraph" w:styleId="1286">
    <w:name w:val="Body Text(ch)"/>
    <w:basedOn w:val="847"/>
    <w:next w:val="896"/>
    <w:link w:val="847"/>
    <w:qFormat/>
    <w:pPr>
      <w:spacing w:after="120"/>
    </w:pPr>
    <w:rPr>
      <w:rFonts w:ascii="宋体" w:hAnsi="Arial" w:eastAsia="宋体"/>
      <w:bCs/>
      <w:iCs/>
      <w:szCs w:val="24"/>
    </w:rPr>
  </w:style>
  <w:style w:type="paragraph" w:styleId="1287">
    <w:name w:val="Char"/>
    <w:basedOn w:val="847"/>
    <w:next w:val="1287"/>
    <w:link w:val="847"/>
    <w:qFormat/>
    <w:pPr>
      <w:ind w:firstLine="200"/>
      <w:tabs>
        <w:tab w:val="left" w:pos="360" w:leader="none"/>
      </w:tabs>
    </w:pPr>
    <w:rPr>
      <w:rFonts w:ascii="Times New Roman" w:hAnsi="Times New Roman" w:eastAsia="宋体"/>
      <w:sz w:val="28"/>
      <w:szCs w:val="30"/>
    </w:rPr>
  </w:style>
  <w:style w:type="paragraph" w:styleId="1288">
    <w:name w:val="普通正文"/>
    <w:basedOn w:val="847"/>
    <w:next w:val="1288"/>
    <w:link w:val="847"/>
    <w:qFormat/>
    <w:pPr>
      <w:ind w:firstLine="480"/>
      <w:jc w:val="left"/>
      <w:spacing w:before="120" w:after="120" w:line="360" w:lineRule="auto"/>
    </w:pPr>
    <w:rPr>
      <w:rFonts w:ascii="Arial" w:hAnsi="Arial" w:eastAsia="宋体"/>
      <w:sz w:val="24"/>
      <w:szCs w:val="24"/>
    </w:rPr>
  </w:style>
  <w:style w:type="paragraph" w:styleId="1289">
    <w:name w:val="table_lines"/>
    <w:basedOn w:val="847"/>
    <w:next w:val="1289"/>
    <w:link w:val="847"/>
    <w:qFormat/>
    <w:pPr>
      <w:jc w:val="left"/>
      <w:widowControl/>
    </w:pPr>
    <w:rPr>
      <w:rFonts w:ascii="Times New Roman" w:hAnsi="Times New Roman" w:eastAsia="宋体"/>
      <w:sz w:val="20"/>
      <w:szCs w:val="20"/>
      <w:lang w:val="de-DE" w:eastAsia="de-DE"/>
    </w:rPr>
  </w:style>
  <w:style w:type="paragraph" w:styleId="1290">
    <w:name w:val="附录1"/>
    <w:next w:val="1290"/>
    <w:link w:val="847"/>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91">
    <w:name w:val="列出段落21"/>
    <w:basedOn w:val="847"/>
    <w:next w:val="1291"/>
    <w:link w:val="847"/>
    <w:uiPriority w:val="99"/>
    <w:qFormat/>
    <w:pPr>
      <w:contextualSpacing/>
      <w:ind w:left="720"/>
      <w:jc w:val="left"/>
      <w:widowControl/>
    </w:pPr>
    <w:rPr>
      <w:rFonts w:eastAsia="宋体"/>
      <w:sz w:val="24"/>
      <w:szCs w:val="24"/>
      <w:lang w:eastAsia="en-US" w:bidi="en-US"/>
    </w:rPr>
  </w:style>
  <w:style w:type="paragraph" w:styleId="1292">
    <w:name w:val="4"/>
    <w:basedOn w:val="847"/>
    <w:next w:val="1264"/>
    <w:link w:val="847"/>
    <w:qFormat/>
    <w:pPr>
      <w:ind w:firstLine="420"/>
      <w:spacing w:line="360" w:lineRule="auto"/>
    </w:pPr>
    <w:rPr>
      <w:rFonts w:ascii="Times New Roman" w:hAnsi="Times New Roman" w:eastAsia="宋体"/>
      <w:color w:val="ff0000"/>
      <w:sz w:val="24"/>
      <w:szCs w:val="24"/>
    </w:rPr>
  </w:style>
  <w:style w:type="paragraph" w:styleId="1293">
    <w:name w:val="普通 (Web)"/>
    <w:basedOn w:val="847"/>
    <w:next w:val="1293"/>
    <w:link w:val="847"/>
    <w:qFormat/>
    <w:pPr>
      <w:jc w:val="left"/>
      <w:spacing w:before="100" w:beforeAutospacing="1" w:after="100" w:afterAutospacing="1"/>
      <w:widowControl/>
    </w:pPr>
    <w:rPr>
      <w:rFonts w:ascii="宋体" w:hAnsi="宋体" w:eastAsia="宋体"/>
      <w:sz w:val="24"/>
      <w:szCs w:val="24"/>
    </w:rPr>
  </w:style>
  <w:style w:type="paragraph" w:styleId="1294">
    <w:name w:val="Char Char Char Char Char Char Char Char Char Char"/>
    <w:basedOn w:val="847"/>
    <w:next w:val="1294"/>
    <w:link w:val="847"/>
    <w:qFormat/>
    <w:pPr>
      <w:spacing w:line="360" w:lineRule="auto"/>
    </w:pPr>
    <w:rPr>
      <w:rFonts w:ascii="Times New Roman" w:hAnsi="Times New Roman" w:eastAsia="宋体"/>
      <w:sz w:val="24"/>
      <w:szCs w:val="20"/>
    </w:rPr>
  </w:style>
  <w:style w:type="paragraph" w:styleId="1295">
    <w:name w:val="样式1"/>
    <w:basedOn w:val="847"/>
    <w:next w:val="1295"/>
    <w:link w:val="847"/>
    <w:qFormat/>
    <w:pPr>
      <w:numPr>
        <w:ilvl w:val="0"/>
        <w:numId w:val="6"/>
      </w:numPr>
      <w:tabs>
        <w:tab w:val="left" w:pos="709" w:leader="none"/>
      </w:tabs>
    </w:pPr>
    <w:rPr>
      <w:rFonts w:ascii="宋体" w:hAnsi="宋体" w:eastAsia="宋体"/>
      <w:szCs w:val="21"/>
    </w:rPr>
  </w:style>
  <w:style w:type="paragraph" w:styleId="1296">
    <w:name w:val="图标"/>
    <w:basedOn w:val="847"/>
    <w:next w:val="847"/>
    <w:link w:val="84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97">
    <w:name w:val="标题3"/>
    <w:basedOn w:val="847"/>
    <w:next w:val="847"/>
    <w:link w:val="847"/>
    <w:qFormat/>
    <w:pPr>
      <w:ind w:firstLine="624"/>
      <w:spacing w:line="590" w:lineRule="atLeast"/>
    </w:pPr>
    <w:rPr>
      <w:rFonts w:ascii="方正黑体_GBK" w:hAnsi="Times New Roman" w:eastAsia="方正黑体_GBK"/>
      <w:sz w:val="32"/>
      <w:szCs w:val="32"/>
    </w:rPr>
  </w:style>
  <w:style w:type="paragraph" w:styleId="1298">
    <w:name w:val="Char Char Char Char Char Char Char Char"/>
    <w:basedOn w:val="847"/>
    <w:next w:val="1298"/>
    <w:link w:val="847"/>
    <w:qFormat/>
    <w:pPr>
      <w:jc w:val="left"/>
      <w:spacing w:after="160" w:line="240" w:lineRule="exact"/>
      <w:widowControl/>
    </w:pPr>
    <w:rPr>
      <w:rFonts w:ascii="Verdana" w:hAnsi="Verdana" w:eastAsia="宋体"/>
      <w:sz w:val="20"/>
      <w:szCs w:val="20"/>
      <w:lang w:eastAsia="en-US"/>
    </w:rPr>
  </w:style>
  <w:style w:type="paragraph" w:styleId="1299">
    <w:name w:val="table_1stline"/>
    <w:basedOn w:val="847"/>
    <w:next w:val="1299"/>
    <w:link w:val="847"/>
    <w:qFormat/>
    <w:pPr>
      <w:jc w:val="left"/>
      <w:spacing w:before="120"/>
      <w:widowControl/>
    </w:pPr>
    <w:rPr>
      <w:rFonts w:ascii="Times New Roman" w:hAnsi="Times New Roman" w:eastAsia="宋体"/>
      <w:bCs/>
      <w:sz w:val="20"/>
      <w:szCs w:val="20"/>
      <w:lang w:val="de-DE" w:eastAsia="de-DE"/>
    </w:rPr>
  </w:style>
  <w:style w:type="paragraph" w:styleId="1300">
    <w:name w:val="标题1"/>
    <w:basedOn w:val="847"/>
    <w:next w:val="847"/>
    <w:link w:val="84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01">
    <w:name w:val="修订2"/>
    <w:next w:val="1301"/>
    <w:link w:val="847"/>
    <w:uiPriority w:val="99"/>
    <w:semiHidden/>
    <w:qFormat/>
    <w:rPr>
      <w:rFonts w:ascii="Times New Roman" w:hAnsi="Times New Roman" w:eastAsia="宋体" w:cs="Times New Roman"/>
      <w:sz w:val="21"/>
      <w:szCs w:val="21"/>
      <w:lang w:val="en-US" w:eastAsia="zh-CN" w:bidi="ar-SA"/>
    </w:rPr>
  </w:style>
  <w:style w:type="paragraph" w:styleId="1302">
    <w:name w:val="无间隔1"/>
    <w:next w:val="1302"/>
    <w:link w:val="847"/>
    <w:uiPriority w:val="99"/>
    <w:qFormat/>
    <w:pPr>
      <w:jc w:val="both"/>
      <w:widowControl w:val="off"/>
    </w:pPr>
    <w:rPr>
      <w:rFonts w:ascii="Times New Roman" w:hAnsi="Times New Roman" w:eastAsia="宋体" w:cs="Times New Roman"/>
      <w:sz w:val="21"/>
      <w:szCs w:val="21"/>
      <w:lang w:val="en-US" w:eastAsia="zh-CN" w:bidi="ar-SA"/>
    </w:rPr>
  </w:style>
  <w:style w:type="paragraph" w:styleId="1303">
    <w:name w:val="目录 111"/>
    <w:basedOn w:val="847"/>
    <w:next w:val="847"/>
    <w:link w:val="847"/>
    <w:uiPriority w:val="39"/>
    <w:unhideWhenUsed/>
    <w:qFormat/>
    <w:pPr>
      <w:jc w:val="left"/>
      <w:spacing w:after="100" w:line="259" w:lineRule="auto"/>
      <w:widowControl/>
    </w:pPr>
    <w:rPr>
      <w:rFonts w:eastAsia="宋体"/>
      <w:sz w:val="22"/>
    </w:rPr>
  </w:style>
  <w:style w:type="table" w:styleId="1304">
    <w:name w:val="网格型5"/>
    <w:basedOn w:val="942"/>
    <w:next w:val="1304"/>
    <w:link w:val="847"/>
    <w:qFormat/>
    <w:pPr>
      <w:jc w:val="both"/>
      <w:widowControl w:val="off"/>
    </w:pPr>
    <w:tblPr/>
  </w:style>
  <w:style w:type="paragraph" w:styleId="1305">
    <w:name w:val="a0"/>
    <w:basedOn w:val="847"/>
    <w:next w:val="1305"/>
    <w:link w:val="847"/>
    <w:qFormat/>
    <w:pPr>
      <w:jc w:val="left"/>
      <w:spacing w:before="100" w:beforeAutospacing="1" w:after="100" w:afterAutospacing="1"/>
      <w:widowControl/>
    </w:pPr>
    <w:rPr>
      <w:rFonts w:ascii="宋体" w:hAnsi="宋体" w:cs="宋体"/>
    </w:rPr>
  </w:style>
  <w:style w:type="character" w:styleId="1306">
    <w:name w:val="NormalCharacter1"/>
    <w:next w:val="1306"/>
    <w:link w:val="847"/>
    <w:qFormat/>
  </w:style>
  <w:style w:type="paragraph" w:styleId="1307">
    <w:name w:val="_Style 1"/>
    <w:basedOn w:val="847"/>
    <w:next w:val="1307"/>
    <w:link w:val="847"/>
    <w:uiPriority w:val="34"/>
    <w:qFormat/>
    <w:pPr>
      <w:ind w:firstLine="420"/>
    </w:pPr>
  </w:style>
  <w:style w:type="paragraph" w:styleId="1308">
    <w:name w:val="UserStyle_0"/>
    <w:basedOn w:val="847"/>
    <w:next w:val="1308"/>
    <w:link w:val="847"/>
    <w:qFormat/>
    <w:pPr>
      <w:ind w:left="420" w:firstLine="420"/>
      <w:spacing w:after="120"/>
      <w:widowControl/>
    </w:pPr>
    <w:rPr>
      <w:rFonts w:ascii="Times New Roman" w:hAnsi="Times New Roman"/>
      <w:szCs w:val="20"/>
    </w:rPr>
  </w:style>
  <w:style w:type="paragraph" w:styleId="1309">
    <w:name w:val="UserStyle_87"/>
    <w:basedOn w:val="847"/>
    <w:next w:val="1309"/>
    <w:link w:val="847"/>
    <w:qFormat/>
    <w:pPr>
      <w:ind w:firstLine="420"/>
      <w:widowControl/>
    </w:pPr>
  </w:style>
  <w:style w:type="character" w:styleId="1310">
    <w:name w:val="UserStyle_88"/>
    <w:next w:val="1310"/>
    <w:link w:val="847"/>
    <w:qFormat/>
  </w:style>
  <w:style w:type="paragraph" w:styleId="1311">
    <w:name w:val="BodyText1I21"/>
    <w:basedOn w:val="847"/>
    <w:next w:val="1311"/>
    <w:link w:val="847"/>
    <w:qFormat/>
    <w:pPr>
      <w:ind w:left="420" w:firstLine="420"/>
      <w:spacing w:after="120"/>
    </w:pPr>
    <w:rPr>
      <w:rFonts w:ascii="Times New Roman" w:hAnsi="Times New Roman"/>
      <w:szCs w:val="20"/>
    </w:rPr>
  </w:style>
  <w:style w:type="paragraph" w:styleId="1312">
    <w:name w:val="Table Text"/>
    <w:basedOn w:val="847"/>
    <w:next w:val="1312"/>
    <w:link w:val="847"/>
    <w:semiHidden/>
    <w:qFormat/>
    <w:rPr>
      <w:rFonts w:ascii="宋体" w:hAnsi="宋体" w:eastAsia="宋体" w:cs="宋体"/>
      <w:sz w:val="24"/>
      <w:szCs w:val="24"/>
      <w:lang w:eastAsia="en-US"/>
    </w:rPr>
  </w:style>
  <w:style w:type="character" w:styleId="1313">
    <w:name w:val="font31"/>
    <w:basedOn w:val="857"/>
    <w:next w:val="1313"/>
    <w:link w:val="847"/>
    <w:qFormat/>
    <w:rPr>
      <w:rFonts w:hint="eastAsia" w:ascii="宋体" w:hAnsi="宋体" w:eastAsia="宋体" w:cs="宋体"/>
      <w:color w:val="ff0000"/>
      <w:sz w:val="18"/>
      <w:szCs w:val="18"/>
      <w:u w:val="none"/>
    </w:rPr>
  </w:style>
  <w:style w:type="character" w:styleId="1314">
    <w:name w:val="font21"/>
    <w:basedOn w:val="857"/>
    <w:next w:val="1314"/>
    <w:link w:val="847"/>
    <w:qFormat/>
    <w:rPr>
      <w:rFonts w:hint="eastAsia" w:ascii="宋体" w:hAnsi="宋体" w:eastAsia="宋体" w:cs="宋体"/>
      <w:color w:val="000000"/>
      <w:sz w:val="18"/>
      <w:szCs w:val="18"/>
      <w:u w:val="none"/>
    </w:rPr>
  </w:style>
  <w:style w:type="paragraph" w:styleId="1315">
    <w:name w:val="正文2"/>
    <w:basedOn w:val="847"/>
    <w:next w:val="1315"/>
    <w:link w:val="847"/>
    <w:qFormat/>
    <w:pPr>
      <w:ind w:firstLine="200"/>
      <w:jc w:val="left"/>
      <w:spacing w:after="160" w:line="360" w:lineRule="auto"/>
      <w:widowControl/>
    </w:pPr>
    <w:rPr>
      <w:rFonts w:ascii="Verdana" w:hAnsi="Verdana" w:eastAsia="黑体"/>
      <w:lang w:eastAsia="en-US"/>
    </w:rPr>
  </w:style>
  <w:style w:type="paragraph" w:styleId="1316">
    <w:name w:val="p0"/>
    <w:basedOn w:val="847"/>
    <w:next w:val="1316"/>
    <w:link w:val="847"/>
    <w:qFormat/>
    <w:pPr>
      <w:numPr>
        <w:ilvl w:val="0"/>
        <w:numId w:val="7"/>
      </w:numPr>
      <w:ind w:left="0" w:firstLine="0"/>
      <w:widowControl/>
    </w:pPr>
    <w:rPr>
      <w:szCs w:val="21"/>
    </w:rPr>
  </w:style>
  <w:style w:type="table" w:styleId="1317">
    <w:name w:val="Table Normal"/>
    <w:next w:val="1317"/>
    <w:link w:val="847"/>
    <w:unhideWhenUsed/>
    <w:qFormat/>
    <w:tblPr/>
  </w:style>
  <w:style w:type="character" w:styleId="1318" w:default="1">
    <w:name w:val="Default Paragraph Font"/>
    <w:uiPriority w:val="1"/>
    <w:semiHidden/>
    <w:unhideWhenUsed/>
  </w:style>
  <w:style w:type="numbering" w:styleId="1319" w:default="1">
    <w:name w:val="No List"/>
    <w:uiPriority w:val="99"/>
    <w:semiHidden/>
    <w:unhideWhenUsed/>
  </w:style>
  <w:style w:type="table" w:styleId="13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3</cp:revision>
  <dcterms:created xsi:type="dcterms:W3CDTF">2025-05-09T06:34:00Z</dcterms:created>
  <dcterms:modified xsi:type="dcterms:W3CDTF">2026-04-30T09:16:12Z</dcterms:modified>
</cp:coreProperties>
</file>