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both"/>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center"/>
        <w:spacing w:before="240" w:after="240" w:line="85" w:lineRule="atLeast"/>
        <w:rPr>
          <w:rFonts w:hint="eastAsia"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rPr>
        <w:t xml:space="preserve">仙林校区德经楼高压变电所设备升级改造项目</w:t>
      </w:r>
      <w:r>
        <w:rPr>
          <w:rFonts w:hint="eastAsia" w:ascii="宋体" w:hAnsi="宋体" w:eastAsia="宋体" w:cs="宋体"/>
          <w:b/>
          <w:color w:val="000000"/>
          <w:sz w:val="48"/>
        </w:rPr>
      </w:r>
      <w:r/>
    </w:p>
    <w:p>
      <w:pPr>
        <w:pStyle w:val="831"/>
        <w:jc w:val="center"/>
        <w:spacing w:before="240" w:after="240" w:line="85" w:lineRule="atLeast"/>
        <w:rPr>
          <w:rFonts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831"/>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w:t>
      </w:r>
      <w:r>
        <w:rPr>
          <w:rFonts w:hint="eastAsia" w:ascii="宋体" w:hAnsi="宋体" w:eastAsia="宋体" w:cs="宋体"/>
          <w:color w:val="000000"/>
          <w:sz w:val="36"/>
        </w:rPr>
        <w:t xml:space="preserve">工程</w:t>
      </w:r>
      <w:r>
        <w:rPr>
          <w:rFonts w:ascii="宋体" w:hAnsi="宋体" w:eastAsia="宋体" w:cs="宋体"/>
          <w:color w:val="000000"/>
          <w:sz w:val="36"/>
        </w:rPr>
        <w:t xml:space="preserve">类）</w:t>
      </w:r>
      <w:r>
        <w:rPr>
          <w:color w:val="000000"/>
        </w:rPr>
      </w:r>
      <w:r/>
    </w:p>
    <w:p>
      <w:pPr>
        <w:pStyle w:val="831"/>
        <w:jc w:val="both"/>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rPr>
        <w:t xml:space="preserve">JSZC-320000-NJJC-G2026-0043</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ind w:left="698" w:firstLine="1285"/>
        <w:jc w:val="both"/>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831"/>
        <w:ind w:left="698" w:firstLine="1285"/>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831"/>
        <w:ind w:left="698" w:firstLine="1285"/>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南京财经大学</w:t>
      </w:r>
      <w:r>
        <w:rPr>
          <w:rFonts w:hint="eastAsia" w:eastAsia="宋体"/>
          <w:color w:val="000000"/>
        </w:rPr>
      </w:r>
      <w:r/>
    </w:p>
    <w:p>
      <w:pPr>
        <w:pStyle w:val="831"/>
        <w:ind w:left="698"/>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831"/>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rPr>
        <w:t xml:space="preserve">五</w:t>
      </w:r>
      <w:r>
        <w:rPr>
          <w:rFonts w:ascii="宋体" w:hAnsi="宋体" w:eastAsia="宋体" w:cs="宋体"/>
          <w:b/>
          <w:color w:val="000000"/>
          <w:sz w:val="36"/>
        </w:rPr>
        <w:t xml:space="preserve">月</w:t>
      </w:r>
      <w:r>
        <w:rPr>
          <w:color w:val="000000"/>
        </w:rPr>
      </w:r>
      <w:r/>
    </w:p>
    <w:p>
      <w:pPr>
        <w:pStyle w:val="831"/>
        <w:ind w:right="1933" w:firstLine="1366"/>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hint="eastAsia" w:ascii="宋体" w:hAnsi="宋体" w:eastAsia="宋体" w:cs="宋体"/>
          <w:color w:val="000000"/>
          <w:sz w:val="22"/>
          <w:szCs w:val="24"/>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831"/>
        <w:jc w:val="both"/>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20" w:equalWidth="1"/>
          <w:docGrid w:linePitch="360"/>
        </w:sectPr>
      </w:pPr>
      <w:r>
        <w:rPr>
          <w:rFonts w:hint="eastAsia" w:ascii="宋体" w:hAnsi="宋体" w:eastAsia="宋体" w:cs="宋体"/>
          <w:b/>
          <w:color w:val="000000"/>
          <w:sz w:val="32"/>
        </w:rPr>
        <w:t xml:space="preserve">  </w:t>
      </w:r>
      <w:r/>
    </w:p>
    <w:p>
      <w:pPr>
        <w:pStyle w:val="831"/>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仙林校区德经楼高压变电所设备升级改造项目</w:t>
      </w:r>
      <w:r>
        <w:rPr>
          <w:rFonts w:hint="eastAsia" w:ascii="宋体" w:hAnsi="宋体" w:eastAsia="宋体" w:cs="宋体"/>
          <w:color w:val="000000"/>
          <w:szCs w:val="21"/>
        </w:rPr>
        <w:t xml:space="preserve">项目的潜在供应商应在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ascii="宋体" w:hAnsi="宋体" w:eastAsia="宋体" w:cs="宋体"/>
          <w:color w:val="000000"/>
          <w:szCs w:val="21"/>
          <w:u w:val="single"/>
        </w:rPr>
        <w:t xml:space="preserve">6</w:t>
      </w:r>
      <w:r>
        <w:rPr>
          <w:rFonts w:hint="eastAsia" w:ascii="宋体" w:hAnsi="宋体" w:eastAsia="宋体" w:cs="宋体"/>
          <w:color w:val="000000"/>
          <w:szCs w:val="21"/>
          <w:u w:val="single"/>
        </w:rPr>
        <w:t xml:space="preserve">月</w:t>
      </w:r>
      <w:r>
        <w:rPr>
          <w:rFonts w:ascii="宋体" w:hAnsi="宋体" w:eastAsia="宋体" w:cs="宋体"/>
          <w:color w:val="000000"/>
          <w:szCs w:val="21"/>
          <w:u w:val="single"/>
        </w:rPr>
        <w:t xml:space="preserve">8</w:t>
      </w:r>
      <w:r>
        <w:rPr>
          <w:rFonts w:hint="eastAsia" w:ascii="宋体" w:hAnsi="宋体" w:eastAsia="宋体" w:cs="宋体"/>
          <w:color w:val="000000"/>
          <w:szCs w:val="21"/>
          <w:u w:val="single"/>
        </w:rPr>
        <w:t xml:space="preserve">日</w:t>
      </w:r>
      <w:r>
        <w:rPr>
          <w:rFonts w:ascii="宋体" w:hAnsi="宋体" w:eastAsia="宋体" w:cs="宋体"/>
          <w:color w:val="000000"/>
          <w:szCs w:val="21"/>
          <w:u w:val="single"/>
        </w:rPr>
        <w:t xml:space="preserve">14</w:t>
      </w:r>
      <w:r>
        <w:rPr>
          <w:rFonts w:hint="eastAsia" w:ascii="宋体" w:hAnsi="宋体" w:eastAsia="宋体" w:cs="宋体"/>
          <w:color w:val="000000"/>
          <w:szCs w:val="21"/>
          <w:u w:val="single"/>
        </w:rPr>
        <w:t xml:space="preserve">点</w:t>
      </w:r>
      <w:r>
        <w:rPr>
          <w:rFonts w:ascii="宋体" w:hAnsi="宋体" w:eastAsia="宋体" w:cs="宋体"/>
          <w:color w:val="000000"/>
          <w:szCs w:val="21"/>
          <w:u w:val="single"/>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rPr>
        <w:t xml:space="preserve">JSZC-320000-NJJC-G2026-0043</w:t>
      </w:r>
      <w:r>
        <w:rPr>
          <w:rFonts w:hint="eastAsia"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hint="eastAsia" w:ascii="宋体" w:hAnsi="宋体" w:eastAsia="宋体" w:cs="宋体"/>
          <w:color w:val="000000"/>
          <w:szCs w:val="21"/>
        </w:rPr>
        <w:t xml:space="preserve">仙林校区德经楼高压变电所设备升级改造项目</w:t>
      </w:r>
      <w:r>
        <w:rPr>
          <w:rFonts w:hint="eastAsia"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1.4预算金额：390万元 </w:t>
      </w:r>
      <w:r/>
    </w:p>
    <w:p>
      <w:pPr>
        <w:pStyle w:val="831"/>
        <w:ind w:firstLine="480"/>
        <w:jc w:val="both"/>
        <w:spacing w:line="360" w:lineRule="auto"/>
        <w:rPr>
          <w:rFonts w:hint="eastAsia" w:ascii="宋体" w:hAnsi="宋体" w:eastAsia="宋体" w:cs="宋体"/>
          <w:color w:val="000000"/>
          <w:szCs w:val="21"/>
          <w:highlight w:val="red"/>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1.5最高限价：389.44135万元，投标报价超过最高限价的为无效投标</w:t>
      </w:r>
      <w:r>
        <w:rPr>
          <w:rFonts w:hint="eastAsia" w:ascii="宋体" w:hAnsi="宋体" w:eastAsia="宋体" w:cs="宋体"/>
          <w:color w:val="000000"/>
          <w:szCs w:val="21"/>
          <w:highlight w:val="red"/>
        </w:rPr>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w:t>
      </w:r>
      <w:r>
        <w:rPr>
          <w:rFonts w:hint="eastAsia" w:ascii="宋体" w:hAnsi="宋体" w:eastAsia="宋体" w:cs="宋体"/>
          <w:color w:val="000000"/>
          <w:szCs w:val="21"/>
        </w:rPr>
        <w:t xml:space="preserve">需求：南京财经大学仙林校区德经楼变电所内置2台1000kVA变压器，配电房10kV采用单母线分段接线方式，高压不设联络；0.4kV采用单母线分段接线方式，低压联络。供电电源分别引自德正楼变电所内高压柜05N和06N。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具体详见工程量清单</w:t>
      </w:r>
      <w:r>
        <w:rPr>
          <w:rFonts w:hint="eastAsia" w:ascii="宋体" w:hAnsi="宋体" w:eastAsia="宋体" w:cs="宋体"/>
          <w:color w:val="000000"/>
          <w:szCs w:val="21"/>
        </w:rPr>
        <w:t xml:space="preserve">及图纸</w:t>
      </w:r>
      <w:r>
        <w:rPr>
          <w:rFonts w:hint="eastAsia" w:ascii="宋体" w:hAnsi="宋体" w:eastAsia="宋体" w:cs="宋体"/>
          <w:color w:val="000000"/>
          <w:szCs w:val="21"/>
        </w:rPr>
        <w:t xml:space="preserve">。</w:t>
      </w:r>
      <w:r>
        <w:rPr>
          <w:rFonts w:ascii="宋体" w:hAnsi="宋体" w:eastAsia="宋体" w:cs="宋体"/>
          <w:color w:val="000000"/>
          <w:szCs w:val="21"/>
        </w:rPr>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1.7合同履行期限：本项目工期40个日历日，中标人可在2026年7月11日后进场施工，工期内完成全部改造项目并送电，保证正常使用。</w:t>
      </w:r>
      <w:r>
        <w:rPr>
          <w:rFonts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1.8本项目不接受联合体投标</w:t>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（1）具有独立承担民事责任的能力（提供法人或者其他组织的营业执照，自然人的身份证明扫描件并上传至投标文件中）；</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rPr>
        <w:t xml:space="preserve">扫描件</w:t>
      </w:r>
      <w:r>
        <w:rPr>
          <w:rFonts w:hint="eastAsia" w:ascii="宋体" w:hAnsi="宋体" w:eastAsia="宋体" w:cs="宋体"/>
          <w:color w:val="000000"/>
          <w:szCs w:val="21"/>
        </w:rPr>
        <w:t xml:space="preserve">加盖公章，或提供投标截止时间前6个月内</w:t>
      </w:r>
      <w:bookmarkStart w:id="0" w:name="_Hlk212586715"/>
      <w:r>
        <w:rPr>
          <w:rFonts w:hint="eastAsia" w:ascii="宋体" w:hAnsi="宋体" w:eastAsia="宋体" w:cs="宋体"/>
          <w:color w:val="000000"/>
          <w:szCs w:val="21"/>
        </w:rPr>
        <w:t xml:space="preserve">（即2025年11月以来</w:t>
      </w:r>
      <w:bookmarkEnd w:id="0"/>
      <w:r>
        <w:rPr>
          <w:rFonts w:hint="eastAsia" w:ascii="宋体" w:hAnsi="宋体" w:eastAsia="宋体" w:cs="宋体"/>
          <w:color w:val="000000"/>
          <w:szCs w:val="21"/>
        </w:rPr>
        <w:t xml:space="preserve">）任意一个月的财务报表（至少包含利润表和资产负债表）扫描件，</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rPr>
        <w:t xml:space="preserve">扫描件</w:t>
      </w:r>
      <w:r>
        <w:rPr>
          <w:rFonts w:hint="eastAsia" w:ascii="宋体" w:hAnsi="宋体" w:eastAsia="宋体" w:cs="宋体"/>
          <w:color w:val="000000"/>
          <w:szCs w:val="21"/>
          <w:lang w:val="zh-TW"/>
        </w:rPr>
        <w:t xml:space="preserve">，</w:t>
      </w:r>
      <w:r>
        <w:rPr>
          <w:rFonts w:hint="eastAsia" w:ascii="宋体" w:hAnsi="宋体" w:eastAsia="宋体" w:cs="宋体"/>
          <w:color w:val="000000"/>
          <w:szCs w:val="21"/>
        </w:rPr>
        <w:t xml:space="preserve">或财政部门认可的政府采购专业担保机构出具的投标担保函扫描件上传至电子投标文件中）；</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（3）具有履行合同所必需的设备和专业技术能力（根据项目需求提供履行合同所必需的设备和专业技术能力的证明材料并加盖公章的承诺书原件扫描件上传至电子投标文件）；</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年11月以来），至少1个月缴纳税收和社会保险的凭证扫描件，依法享受免缴、缓缴的，提供证明材料扫描件上传至电子投标文件中）；</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（5）参加政府采购活动前三年内，在经营活动中没有重大违法记录（提供参加本次政府采购活动前3年内在经营活动中没有重大违法记录的书面声明上传至电子投标文件中）（格式见后附件）；</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pStyle w:val="831"/>
        <w:ind w:firstLine="48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w:t>
      </w:r>
      <w:r>
        <w:rPr>
          <w:rFonts w:hint="eastAsia" w:ascii="宋体" w:hAnsi="宋体" w:eastAsia="宋体" w:cs="宋体"/>
          <w:color w:val="000000"/>
          <w:szCs w:val="21"/>
        </w:rPr>
        <w:t xml:space="preserve">本项目非专门面向中小企业采购，执行价格优惠政策。</w:t>
      </w:r>
      <w:r>
        <w:rPr>
          <w:color w:val="000000"/>
          <w:szCs w:val="21"/>
        </w:rPr>
      </w:r>
      <w:r/>
    </w:p>
    <w:p>
      <w:pPr>
        <w:pStyle w:val="831"/>
        <w:ind w:firstLine="480"/>
        <w:jc w:val="both"/>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w:t>
      </w:r>
      <w:r/>
    </w:p>
    <w:p>
      <w:pPr>
        <w:pStyle w:val="831"/>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（1）具备施工总承包电力工程三级(含)以上或者专业承包输变电工程三级(含)以上并且具备有效的安全生产许可证。（</w:t>
      </w:r>
      <w:r>
        <w:rPr>
          <w:rFonts w:hint="eastAsia" w:ascii="宋体" w:hAnsi="宋体" w:eastAsia="宋体" w:cs="宋体"/>
          <w:b/>
          <w:color w:val="000000"/>
          <w:szCs w:val="21"/>
        </w:rPr>
        <w:t xml:space="preserve">有效期内的证书扫描件上传至电子投标文件中</w:t>
      </w:r>
      <w:r>
        <w:rPr>
          <w:rFonts w:hint="eastAsia" w:ascii="宋体" w:hAnsi="宋体" w:eastAsia="宋体" w:cs="宋体"/>
          <w:b/>
          <w:color w:val="000000"/>
          <w:szCs w:val="21"/>
        </w:rPr>
        <w:t xml:space="preserve">）</w:t>
      </w:r>
      <w:r/>
    </w:p>
    <w:p>
      <w:pPr>
        <w:pStyle w:val="831"/>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（2）项目负责人资格：具备注册建造师证机电工程二级(含)以上并且具备有效的安全生产考核合格证书（B类证）（</w:t>
      </w:r>
      <w:r>
        <w:rPr>
          <w:rFonts w:hint="eastAsia" w:ascii="宋体" w:hAnsi="宋体" w:eastAsia="宋体" w:cs="宋体"/>
          <w:b/>
          <w:color w:val="000000"/>
          <w:szCs w:val="21"/>
        </w:rPr>
        <w:t xml:space="preserve">有效期内的证书扫描件上传至电子投标文件中</w:t>
      </w:r>
      <w:r>
        <w:rPr>
          <w:rFonts w:hint="eastAsia" w:ascii="宋体" w:hAnsi="宋体" w:eastAsia="宋体" w:cs="宋体"/>
          <w:b/>
          <w:color w:val="000000"/>
          <w:szCs w:val="21"/>
        </w:rPr>
        <w:t xml:space="preserve">）</w:t>
      </w:r>
      <w:r/>
    </w:p>
    <w:p>
      <w:pPr>
        <w:pStyle w:val="831"/>
        <w:ind w:firstLine="480"/>
        <w:jc w:val="both"/>
        <w:spacing w:line="360" w:lineRule="auto"/>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（3）投标人必须具有国家电力监管部门颁发的承装（修、试）电力设施许可证，许可类别和等级：承装（修、试）类三级（含）及以上资质（</w:t>
      </w:r>
      <w:r>
        <w:rPr>
          <w:rFonts w:hint="eastAsia" w:ascii="宋体" w:hAnsi="宋体" w:eastAsia="宋体" w:cs="宋体"/>
          <w:b/>
          <w:color w:val="000000"/>
          <w:szCs w:val="21"/>
        </w:rPr>
        <w:t xml:space="preserve">投标人将证书扫描件上传至投标文件中，否则视为资格审查不通过</w:t>
      </w:r>
      <w:r>
        <w:rPr>
          <w:rFonts w:hint="eastAsia" w:ascii="宋体" w:hAnsi="宋体" w:eastAsia="宋体" w:cs="宋体"/>
          <w:b/>
          <w:color w:val="000000"/>
          <w:szCs w:val="21"/>
        </w:rPr>
        <w:t xml:space="preserve">）。</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pStyle w:val="831"/>
        <w:ind w:firstLine="480"/>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hint="eastAsia" w:eastAsia="宋体"/>
          <w:color w:val="000000"/>
        </w:rPr>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p>
    <w:p>
      <w:pPr>
        <w:pStyle w:val="831"/>
        <w:ind w:firstLine="420"/>
        <w:jc w:val="both"/>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p>
    <w:p>
      <w:pPr>
        <w:pStyle w:val="831"/>
        <w:ind w:firstLine="420"/>
        <w:jc w:val="both"/>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ascii="宋体" w:hAnsi="宋体" w:eastAsia="宋体" w:cs="宋体"/>
          <w:color w:val="000000"/>
          <w:szCs w:val="21"/>
        </w:rPr>
        <w:t xml:space="preserve">6</w:t>
      </w:r>
      <w:r>
        <w:rPr>
          <w:rFonts w:hint="eastAsia" w:ascii="宋体" w:hAnsi="宋体" w:eastAsia="宋体" w:cs="宋体"/>
          <w:color w:val="000000"/>
          <w:szCs w:val="21"/>
        </w:rPr>
        <w:t xml:space="preserve">月</w:t>
      </w:r>
      <w:r>
        <w:rPr>
          <w:rFonts w:ascii="宋体" w:hAnsi="宋体" w:eastAsia="宋体" w:cs="宋体"/>
          <w:color w:val="000000"/>
          <w:szCs w:val="21"/>
        </w:rPr>
        <w:t xml:space="preserve">8</w:t>
      </w:r>
      <w:r>
        <w:rPr>
          <w:rFonts w:hint="eastAsia" w:ascii="宋体" w:hAnsi="宋体" w:eastAsia="宋体" w:cs="宋体"/>
          <w:color w:val="000000"/>
          <w:szCs w:val="21"/>
        </w:rPr>
        <w:t xml:space="preserve">日</w:t>
      </w:r>
      <w:r>
        <w:rPr>
          <w:rFonts w:ascii="宋体" w:hAnsi="宋体" w:eastAsia="宋体" w:cs="宋体"/>
          <w:color w:val="000000"/>
          <w:szCs w:val="21"/>
        </w:rPr>
        <w:t xml:space="preserve">14</w:t>
      </w:r>
      <w:r>
        <w:rPr>
          <w:rFonts w:hint="eastAsia" w:ascii="宋体" w:hAnsi="宋体" w:eastAsia="宋体" w:cs="宋体"/>
          <w:color w:val="000000"/>
          <w:szCs w:val="21"/>
        </w:rPr>
        <w:t xml:space="preserve">点</w:t>
      </w:r>
      <w:r>
        <w:rPr>
          <w:rFonts w:ascii="宋体" w:hAnsi="宋体" w:eastAsia="宋体" w:cs="宋体"/>
          <w:color w:val="000000"/>
          <w:szCs w:val="21"/>
        </w:rPr>
        <w:t xml:space="preserve">30</w:t>
      </w:r>
      <w:r>
        <w:rPr>
          <w:rFonts w:hint="eastAsia" w:ascii="宋体" w:hAnsi="宋体" w:eastAsia="宋体" w:cs="宋体"/>
          <w:color w:val="000000"/>
          <w:szCs w:val="21"/>
        </w:rPr>
        <w:t xml:space="preserve">分（北京时间）</w:t>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hint="eastAsia"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p>
    <w:p>
      <w:pPr>
        <w:pStyle w:val="831"/>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p>
    <w:p>
      <w:pPr>
        <w:pStyle w:val="831"/>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6.1本项目采购标的对应的中小企业划分标准所属行业为：建筑业。</w:t>
      </w:r>
      <w:r>
        <w:rPr>
          <w:rFonts w:ascii="宋体" w:hAnsi="宋体" w:eastAsia="宋体" w:cs="宋体"/>
          <w:color w:val="000000"/>
          <w:szCs w:val="21"/>
        </w:rPr>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6.3落实政府采购政策需满足：</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p>
    <w:p>
      <w:pPr>
        <w:pStyle w:val="831"/>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p>
    <w:p>
      <w:pPr>
        <w:pStyle w:val="831"/>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ascii="宋体" w:hAnsi="宋体" w:eastAsia="宋体" w:cs="宋体"/>
          <w:color w:val="000000"/>
          <w:szCs w:val="21"/>
        </w:rPr>
        <w:t xml:space="preserve">4</w:t>
      </w:r>
      <w:r>
        <w:rPr>
          <w:rFonts w:hint="eastAsia" w:ascii="宋体" w:hAnsi="宋体" w:eastAsia="宋体" w:cs="宋体"/>
          <w:color w:val="000000"/>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831"/>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ascii="宋体" w:hAnsi="宋体" w:eastAsia="宋体" w:cs="宋体"/>
          <w:color w:val="000000"/>
          <w:szCs w:val="21"/>
        </w:rPr>
        <w:t xml:space="preserve">5</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p>
    <w:p>
      <w:pPr>
        <w:pStyle w:val="831"/>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名称：南京财经大学</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地址：南京市仙林大学城文苑路3号</w:t>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联系人：朱老师</w:t>
      </w:r>
      <w:r>
        <w:rPr>
          <w:rFonts w:ascii="宋体" w:hAnsi="宋体" w:eastAsia="宋体" w:cs="宋体"/>
          <w:color w:val="000000"/>
          <w:szCs w:val="21"/>
        </w:rPr>
      </w:r>
      <w:r/>
    </w:p>
    <w:p>
      <w:pPr>
        <w:pStyle w:val="831"/>
        <w:ind w:firstLine="420"/>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ascii="宋体" w:hAnsi="宋体" w:eastAsia="宋体" w:cs="宋体"/>
          <w:color w:val="000000"/>
          <w:szCs w:val="21"/>
        </w:rPr>
        <w:t xml:space="preserve">025-86718017</w:t>
      </w:r>
      <w:r>
        <w:rPr>
          <w:rFonts w:hint="eastAsia" w:eastAsia="宋体"/>
          <w:color w:val="000000"/>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联系人:马根荣、孔德红、马鸣</w:t>
      </w:r>
      <w:r>
        <w:rPr>
          <w:rFonts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电话：025-58835827-8031</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项目联系人：马根荣、孔德红、马鸣</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025-58835827-8031</w:t>
      </w:r>
      <w:r/>
    </w:p>
    <w:p>
      <w:pPr>
        <w:pStyle w:val="831"/>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ascii="宋体" w:hAnsi="宋体" w:eastAsia="宋体" w:cs="宋体"/>
          <w:color w:val="000000"/>
          <w:szCs w:val="21"/>
        </w:rPr>
      </w:r>
      <w:r/>
    </w:p>
    <w:p>
      <w:pPr>
        <w:pStyle w:val="831"/>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831"/>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831"/>
        <w:jc w:val="center"/>
        <w:spacing w:before="240" w:after="240" w:line="360" w:lineRule="auto"/>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9175"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914"/>
        <w:gridCol w:w="660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名称：南京财经大学</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地址：南京市仙林大学城文苑路3号</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联系人：朱老师</w:t>
            </w:r>
            <w:r/>
          </w:p>
          <w:p>
            <w:pPr>
              <w:pStyle w:val="831"/>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ascii="宋体" w:hAnsi="宋体" w:eastAsia="宋体" w:cs="宋体"/>
                <w:color w:val="000000"/>
                <w:szCs w:val="21"/>
              </w:rPr>
              <w:t xml:space="preserve">025-86718017</w:t>
            </w:r>
            <w:r>
              <w:rPr>
                <w:rFonts w:hint="eastAsia" w:eastAsia="宋体"/>
                <w:color w:val="000000"/>
              </w:rPr>
            </w:r>
            <w:r/>
          </w:p>
        </w:tc>
      </w:tr>
      <w:tr>
        <w:trPr>
          <w:trHeight w:val="15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项目联系人：马根荣、孔德红、马鸣</w:t>
            </w:r>
            <w:r/>
          </w:p>
          <w:p>
            <w:pPr>
              <w:pStyle w:val="831"/>
              <w:jc w:val="both"/>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025-58835827-8031</w:t>
            </w:r>
            <w:r>
              <w:rPr>
                <w:rFonts w:hint="eastAsia" w:eastAsia="宋体"/>
                <w:color w:val="000000"/>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仙林校区德经楼高压变电所设备升级改造项目</w:t>
            </w:r>
            <w:r>
              <w:rPr>
                <w:rFonts w:hint="eastAsia" w:eastAsia="宋体"/>
                <w:color w:val="000000"/>
              </w:rPr>
            </w:r>
            <w:r/>
          </w:p>
        </w:tc>
      </w:tr>
      <w:tr>
        <w:trPr>
          <w:trHeight w:val="4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南京财经大学仙林校区德经楼</w:t>
            </w:r>
            <w:r>
              <w:rPr>
                <w:rFonts w:eastAsia="宋体"/>
                <w:color w:val="000000"/>
              </w:rPr>
            </w:r>
            <w:r/>
          </w:p>
        </w:tc>
      </w:tr>
      <w:tr>
        <w:trPr>
          <w:trHeight w:val="4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hint="eastAsia" w:eastAsia="宋体"/>
                <w:color w:val="000000"/>
              </w:rPr>
            </w:r>
            <w:r/>
          </w:p>
        </w:tc>
      </w:tr>
      <w:tr>
        <w:trPr>
          <w:trHeight w:val="4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p>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7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831"/>
              <w:jc w:val="both"/>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p>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p>
          <w:p>
            <w:pPr>
              <w:pStyle w:val="1050"/>
              <w:ind w:firstLine="420"/>
              <w:jc w:val="both"/>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p>
          <w:p>
            <w:pPr>
              <w:pStyle w:val="1050"/>
              <w:ind w:firstLine="420"/>
              <w:jc w:val="both"/>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50"/>
              <w:ind w:firstLine="420"/>
              <w:jc w:val="both"/>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050"/>
              <w:ind w:firstLine="420"/>
              <w:jc w:val="both"/>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关于“苏采云”系统的提示说明</w:t>
            </w:r>
            <w:r/>
          </w:p>
          <w:p>
            <w:pPr>
              <w:pStyle w:val="831"/>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3.“CA数字证书”的获取：</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p>
          <w:p>
            <w:pPr>
              <w:pStyle w:val="1050"/>
              <w:ind w:firstLine="0"/>
              <w:jc w:val="both"/>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p>
          <w:p>
            <w:pPr>
              <w:pStyle w:val="1050"/>
              <w:ind w:firstLine="0"/>
              <w:jc w:val="both"/>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hint="eastAsia" w:eastAsia="宋体" w:cs="宋体"/>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cs="仿宋"/>
                <w:color w:val="000000"/>
              </w:rPr>
              <w:t xml:space="preserve">踏勘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b/>
                <w:bCs/>
                <w:color w:val="000000"/>
                <w:sz w:val="21"/>
                <w:szCs w:val="21"/>
              </w:rPr>
            </w:pPr>
            <w:r>
              <w:rPr>
                <w:rFonts w:hint="eastAsia" w:eastAsia="宋体" w:cs="宋体"/>
                <w:color w:val="000000"/>
                <w:sz w:val="21"/>
                <w:szCs w:val="21"/>
              </w:rPr>
              <w:t xml:space="preserve">本项目不组织统一踏勘，供应商可自行踏勘施工现场，由于供应商未踏勘施工现场导致的报价失误或对工程量清单理解产生的歧义，其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rPr>
                <w:rFonts w:hint="eastAsia" w:eastAsia="宋体" w:cs="宋体"/>
                <w:b/>
                <w:bCs/>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hint="eastAsia" w:cs="仿宋"/>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代理服务费收取方式</w:t>
            </w:r>
            <w:r>
              <w:rPr>
                <w:rFonts w:hint="eastAsia" w:cs="仿宋"/>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0"/>
              <w:jc w:val="both"/>
              <w:rPr>
                <w:rFonts w:hint="eastAsia" w:eastAsia="宋体" w:cs="宋体"/>
                <w:color w:val="000000"/>
                <w:sz w:val="21"/>
                <w:szCs w:val="21"/>
              </w:rPr>
            </w:pPr>
            <w:r>
              <w:rPr>
                <w:rFonts w:hint="eastAsia" w:eastAsia="宋体" w:cs="宋体"/>
                <w:color w:val="000000"/>
                <w:sz w:val="21"/>
                <w:szCs w:val="21"/>
                <w:lang w:val="zh-CN"/>
              </w:rPr>
              <w:t xml:space="preserve">本项目</w:t>
            </w:r>
            <w:r>
              <w:rPr>
                <w:rFonts w:hint="eastAsia" w:eastAsia="宋体" w:cs="宋体"/>
                <w:color w:val="000000"/>
                <w:sz w:val="21"/>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36%收取。</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dxa"/>
            <w:vAlign w:val="center"/>
            <w:textDirection w:val="lrTb"/>
            <w:noWrap w:val="false"/>
          </w:tcPr>
          <w:p>
            <w:pPr>
              <w:pStyle w:val="831"/>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4" w:type="dxa"/>
            <w:vAlign w:val="center"/>
            <w:textDirection w:val="lrTb"/>
            <w:noWrap w:val="false"/>
          </w:tcPr>
          <w:p>
            <w:pPr>
              <w:pStyle w:val="831"/>
              <w:jc w:val="both"/>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图纸下载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2" w:type="dxa"/>
            <w:vAlign w:val="center"/>
            <w:textDirection w:val="lrTb"/>
            <w:noWrap w:val="false"/>
          </w:tcPr>
          <w:p>
            <w:pPr>
              <w:pStyle w:val="1050"/>
              <w:ind w:firstLine="420"/>
              <w:jc w:val="both"/>
              <w:rPr>
                <w:rFonts w:hint="eastAsia" w:eastAsia="宋体"/>
                <w:color w:val="000000"/>
                <w:sz w:val="21"/>
                <w:szCs w:val="21"/>
                <w:lang w:val="zh-CN"/>
              </w:rPr>
            </w:pPr>
            <w:r>
              <w:rPr>
                <w:rFonts w:hint="eastAsia" w:eastAsia="宋体" w:cs="宋体"/>
                <w:color w:val="000000"/>
                <w:sz w:val="21"/>
                <w:szCs w:val="21"/>
                <w:lang w:val="zh-CN"/>
              </w:rPr>
              <w:t xml:space="preserve">本项图纸及工程量清单详见百度云网盘，投标人自行下载，下载链接</w:t>
            </w:r>
            <w:r>
              <w:rPr>
                <w:color w:val="000000"/>
                <w:sz w:val="21"/>
                <w:szCs w:val="21"/>
                <w:lang w:val="zh-CN"/>
              </w:rPr>
              <w:t xml:space="preserve">https://pan.baidu.com/s/1Ycxfim9E6LTNDcgKQk4RPQ?pwd=0608 </w:t>
            </w:r>
            <w:r>
              <w:rPr>
                <w:rFonts w:hint="eastAsia" w:eastAsia="宋体" w:cs="宋体"/>
                <w:color w:val="000000"/>
                <w:sz w:val="21"/>
                <w:szCs w:val="21"/>
                <w:lang w:val="zh-CN"/>
              </w:rPr>
              <w:t xml:space="preserve">提取码</w:t>
            </w:r>
            <w:r>
              <w:rPr>
                <w:color w:val="000000"/>
                <w:sz w:val="21"/>
                <w:szCs w:val="21"/>
                <w:lang w:val="zh-CN"/>
              </w:rPr>
              <w:t xml:space="preserve">: 0608 </w:t>
            </w:r>
            <w:r>
              <w:rPr>
                <w:rFonts w:hint="eastAsia" w:eastAsia="宋体"/>
                <w:color w:val="000000"/>
                <w:sz w:val="21"/>
                <w:szCs w:val="21"/>
                <w:lang w:val="zh-CN"/>
              </w:rPr>
            </w:r>
            <w:r/>
          </w:p>
        </w:tc>
      </w:tr>
    </w:tbl>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831"/>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pStyle w:val="831"/>
        <w:ind w:firstLine="422"/>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一、总 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《中华人民共和国政府采购法》、《中华人民共和国政府采购法实施条例》、《政府采购货物和服务招标投标管理办法》等有关法律、规章和规定等。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3.工程、用户或使用单位定义。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“工程”指本招标文件中所述产品及相关服务。</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1</w:t>
      </w:r>
      <w:r>
        <w:rPr>
          <w:rFonts w:hint="eastAsia" w:ascii="宋体" w:hAnsi="宋体" w:eastAsia="宋体" w:cs="宋体"/>
          <w:color w:val="000000"/>
          <w:szCs w:val="21"/>
        </w:rPr>
        <w:t xml:space="preserve">）政府采购促进中小企业发展，小企业（含小型、微型企业）提供的产品和服务在评标时将获得优势，参加投标的小企业，应当提供《中小企业声明函》（</w:t>
      </w:r>
      <w:r>
        <w:rPr>
          <w:rFonts w:ascii="Arial" w:hAnsi="Arial" w:cs="Arial"/>
          <w:color w:val="000000"/>
          <w:szCs w:val="21"/>
        </w:rPr>
        <w:t xml:space="preserve">“</w:t>
      </w:r>
      <w:r>
        <w:rPr>
          <w:rFonts w:hint="eastAsia" w:ascii="宋体" w:hAnsi="宋体" w:eastAsia="宋体" w:cs="宋体"/>
          <w:color w:val="000000"/>
          <w:szCs w:val="21"/>
        </w:rPr>
        <w:t xml:space="preserve">中小企业划型标准</w:t>
      </w:r>
      <w:r>
        <w:rPr>
          <w:rFonts w:ascii="Arial" w:hAnsi="Arial" w:cs="Arial"/>
          <w:color w:val="000000"/>
          <w:szCs w:val="21"/>
        </w:rPr>
        <w:t xml:space="preserve">”</w:t>
      </w:r>
      <w:r>
        <w:rPr>
          <w:rFonts w:hint="eastAsia" w:ascii="宋体" w:hAnsi="宋体" w:eastAsia="宋体" w:cs="宋体"/>
          <w:color w:val="000000"/>
          <w:szCs w:val="21"/>
        </w:rPr>
        <w:t xml:space="preserve">详见《关于印发中小企业划型标准规定的通知》工信部联企业〔</w:t>
      </w:r>
      <w:r>
        <w:rPr>
          <w:color w:val="000000"/>
          <w:szCs w:val="21"/>
        </w:rPr>
        <w:t xml:space="preserve">2011</w:t>
      </w:r>
      <w:r>
        <w:rPr>
          <w:rFonts w:hint="eastAsia" w:ascii="宋体" w:hAnsi="宋体" w:eastAsia="宋体" w:cs="宋体"/>
          <w:color w:val="000000"/>
          <w:szCs w:val="21"/>
        </w:rPr>
        <w:t xml:space="preserve">〕</w:t>
      </w:r>
      <w:r>
        <w:rPr>
          <w:color w:val="000000"/>
          <w:szCs w:val="21"/>
        </w:rPr>
        <w:t xml:space="preserve">300</w:t>
      </w:r>
      <w:r>
        <w:rPr>
          <w:rFonts w:hint="eastAsia" w:ascii="宋体" w:hAnsi="宋体" w:eastAsia="宋体" w:cs="宋体"/>
          <w:color w:val="000000"/>
          <w:szCs w:val="21"/>
        </w:rPr>
        <w:t xml:space="preserve">号及《国家统计局关于印发〈统计上大中小微型企业划分办法（</w:t>
      </w:r>
      <w:r>
        <w:rPr>
          <w:color w:val="000000"/>
          <w:szCs w:val="21"/>
        </w:rPr>
        <w:t xml:space="preserve">2017</w:t>
      </w:r>
      <w:r>
        <w:rPr>
          <w:rFonts w:hint="eastAsia" w:ascii="宋体" w:hAnsi="宋体" w:eastAsia="宋体" w:cs="宋体"/>
          <w:color w:val="000000"/>
          <w:szCs w:val="21"/>
        </w:rPr>
        <w:t xml:space="preserve">）〉的通知》〉的通知》国统字〔</w:t>
      </w:r>
      <w:r>
        <w:rPr>
          <w:color w:val="000000"/>
          <w:szCs w:val="21"/>
        </w:rPr>
        <w:t xml:space="preserve">2017</w:t>
      </w:r>
      <w:r>
        <w:rPr>
          <w:rFonts w:hint="eastAsia" w:ascii="宋体" w:hAnsi="宋体" w:eastAsia="宋体" w:cs="宋体"/>
          <w:color w:val="000000"/>
          <w:szCs w:val="21"/>
        </w:rPr>
        <w:t xml:space="preserve">〕</w:t>
      </w:r>
      <w:r>
        <w:rPr>
          <w:color w:val="000000"/>
          <w:szCs w:val="21"/>
        </w:rPr>
        <w:t xml:space="preserve">213</w:t>
      </w:r>
      <w:r>
        <w:rPr>
          <w:rFonts w:hint="eastAsia" w:ascii="宋体" w:hAnsi="宋体" w:eastAsia="宋体" w:cs="宋体"/>
          <w:color w:val="000000"/>
          <w:szCs w:val="21"/>
        </w:rPr>
        <w:t xml:space="preserve">号）。</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2</w:t>
      </w:r>
      <w:r>
        <w:rPr>
          <w:rFonts w:hint="eastAsia" w:ascii="宋体" w:hAnsi="宋体" w:eastAsia="宋体" w:cs="宋体"/>
          <w:color w:val="000000"/>
          <w:szCs w:val="21"/>
        </w:rPr>
        <w:t xml:space="preserve">）本项目非专门面向中小企业或小型、微型企业的项目，对符合规定的小微企业报价给予</w:t>
      </w:r>
      <w:r>
        <w:rPr>
          <w:color w:val="000000"/>
          <w:szCs w:val="21"/>
        </w:rPr>
        <w:t xml:space="preserve">5%</w:t>
      </w:r>
      <w:r>
        <w:rPr>
          <w:rFonts w:hint="eastAsia" w:ascii="宋体" w:hAnsi="宋体" w:eastAsia="宋体" w:cs="宋体"/>
          <w:color w:val="000000"/>
          <w:szCs w:val="21"/>
        </w:rPr>
        <w:t xml:space="preserve">的扣除，用扣除后的价格参加评审。</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3</w:t>
      </w:r>
      <w:r>
        <w:rPr>
          <w:rFonts w:hint="eastAsia" w:ascii="宋体" w:hAnsi="宋体" w:eastAsia="宋体" w:cs="宋体"/>
          <w:color w:val="000000"/>
          <w:szCs w:val="21"/>
        </w:rPr>
        <w:t xml:space="preserve">）对于接受供应商以联合体形式参加采购活动的项目，小型、微型企业联合体应当符合《政府采购促进中小企业发展管理办法》的通知（财库〔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号）、《关于进一步加大政府采购支持中小企业力度的通知》（财库〔</w:t>
      </w:r>
      <w:r>
        <w:rPr>
          <w:color w:val="000000"/>
          <w:szCs w:val="21"/>
        </w:rPr>
        <w:t xml:space="preserve">2022</w:t>
      </w:r>
      <w:r>
        <w:rPr>
          <w:rFonts w:hint="eastAsia" w:ascii="宋体" w:hAnsi="宋体" w:eastAsia="宋体" w:cs="宋体"/>
          <w:color w:val="000000"/>
          <w:szCs w:val="21"/>
        </w:rPr>
        <w:t xml:space="preserve">〕</w:t>
      </w:r>
      <w:r>
        <w:rPr>
          <w:color w:val="000000"/>
          <w:szCs w:val="21"/>
        </w:rPr>
        <w:t xml:space="preserve">19</w:t>
      </w:r>
      <w:r>
        <w:rPr>
          <w:rFonts w:hint="eastAsia" w:ascii="宋体" w:hAnsi="宋体" w:eastAsia="宋体" w:cs="宋体"/>
          <w:color w:val="000000"/>
          <w:szCs w:val="21"/>
        </w:rPr>
        <w:t xml:space="preserve">号）规定。联合协议中约定，小型、微型企业的协议合同金额占到联合体协议合同总金额</w:t>
      </w:r>
      <w:r>
        <w:rPr>
          <w:color w:val="000000"/>
          <w:szCs w:val="21"/>
        </w:rPr>
        <w:t xml:space="preserve">30%</w:t>
      </w:r>
      <w:r>
        <w:rPr>
          <w:rFonts w:hint="eastAsia" w:ascii="宋体" w:hAnsi="宋体" w:eastAsia="宋体" w:cs="宋体"/>
          <w:color w:val="000000"/>
          <w:szCs w:val="21"/>
        </w:rPr>
        <w:t xml:space="preserve">以上的，给予联合体</w:t>
      </w:r>
      <w:r>
        <w:rPr>
          <w:color w:val="000000"/>
          <w:szCs w:val="21"/>
        </w:rPr>
        <w:t xml:space="preserve">4%</w:t>
      </w:r>
      <w:r>
        <w:rPr>
          <w:rFonts w:hint="eastAsia" w:ascii="宋体" w:hAnsi="宋体" w:eastAsia="宋体" w:cs="宋体"/>
          <w:color w:val="000000"/>
          <w:szCs w:val="21"/>
        </w:rPr>
        <w:t xml:space="preserve">的价格扣除。联合体各方均为小型、微型企业的，联合体视同为小型、微型企业给予</w:t>
      </w:r>
      <w:r>
        <w:rPr>
          <w:color w:val="000000"/>
          <w:szCs w:val="21"/>
        </w:rPr>
        <w:t xml:space="preserve">5%</w:t>
      </w:r>
      <w:r>
        <w:rPr>
          <w:rFonts w:hint="eastAsia" w:ascii="宋体" w:hAnsi="宋体" w:eastAsia="宋体" w:cs="宋体"/>
          <w:color w:val="000000"/>
          <w:szCs w:val="21"/>
        </w:rPr>
        <w:t xml:space="preserve">价格扣除。组成联合体的大中型企业和其他自然人、法人或者其他组织，与小型、微型企业之间不得存在投资关系。</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4</w:t>
      </w:r>
      <w:r>
        <w:rPr>
          <w:rFonts w:hint="eastAsia" w:ascii="宋体" w:hAnsi="宋体" w:eastAsia="宋体" w:cs="宋体"/>
          <w:color w:val="000000"/>
          <w:szCs w:val="21"/>
        </w:rPr>
        <w:t xml:space="preserve">）根据《财库〔</w:t>
      </w:r>
      <w:r>
        <w:rPr>
          <w:color w:val="000000"/>
          <w:szCs w:val="21"/>
        </w:rPr>
        <w:t xml:space="preserve">2014</w:t>
      </w:r>
      <w:r>
        <w:rPr>
          <w:rFonts w:hint="eastAsia" w:ascii="宋体" w:hAnsi="宋体" w:eastAsia="宋体" w:cs="宋体"/>
          <w:color w:val="000000"/>
          <w:szCs w:val="21"/>
        </w:rPr>
        <w:t xml:space="preserve">〕</w:t>
      </w:r>
      <w:r>
        <w:rPr>
          <w:color w:val="000000"/>
          <w:szCs w:val="21"/>
        </w:rPr>
        <w:t xml:space="preserve">68</w:t>
      </w:r>
      <w:r>
        <w:rPr>
          <w:rFonts w:hint="eastAsia" w:ascii="宋体" w:hAnsi="宋体" w:eastAsia="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5</w:t>
      </w:r>
      <w:r>
        <w:rPr>
          <w:rFonts w:hint="eastAsia" w:ascii="宋体" w:hAnsi="宋体" w:eastAsia="宋体" w:cs="宋体"/>
          <w:color w:val="000000"/>
          <w:szCs w:val="21"/>
        </w:rPr>
        <w:t xml:space="preserve">）根据《财库〔</w:t>
      </w:r>
      <w:r>
        <w:rPr>
          <w:color w:val="000000"/>
          <w:szCs w:val="21"/>
        </w:rPr>
        <w:t xml:space="preserve">2017</w:t>
      </w:r>
      <w:r>
        <w:rPr>
          <w:rFonts w:hint="eastAsia" w:ascii="宋体" w:hAnsi="宋体" w:eastAsia="宋体" w:cs="宋体"/>
          <w:color w:val="000000"/>
          <w:szCs w:val="21"/>
        </w:rPr>
        <w:t xml:space="preserve">〕</w:t>
      </w:r>
      <w:r>
        <w:rPr>
          <w:color w:val="000000"/>
          <w:szCs w:val="21"/>
        </w:rPr>
        <w:t xml:space="preserve">141</w:t>
      </w:r>
      <w:r>
        <w:rPr>
          <w:rFonts w:hint="eastAsia" w:ascii="宋体" w:hAnsi="宋体" w:eastAsia="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color w:val="000000"/>
          <w:szCs w:val="21"/>
        </w:rPr>
        <w:t xml:space="preserve"> </w:t>
      </w:r>
      <w:r>
        <w:rPr>
          <w:rFonts w:hint="eastAsia" w:ascii="宋体" w:hAnsi="宋体" w:eastAsia="宋体" w:cs="宋体"/>
          <w:color w:val="000000"/>
          <w:szCs w:val="21"/>
        </w:rPr>
        <w:t xml:space="preserve">《残疾人福利性单位声明函》，未提供上述资料的报价，其价格不予扣除。</w:t>
      </w:r>
      <w:r>
        <w:rPr>
          <w:color w:val="000000"/>
          <w:szCs w:val="21"/>
        </w:rPr>
      </w:r>
      <w:r/>
    </w:p>
    <w:p>
      <w:pPr>
        <w:pStyle w:val="831"/>
        <w:ind w:firstLine="420"/>
        <w:jc w:val="both"/>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6</w:t>
      </w:r>
      <w:r>
        <w:rPr>
          <w:rFonts w:hint="eastAsia" w:ascii="宋体" w:hAnsi="宋体" w:eastAsia="宋体" w:cs="宋体"/>
          <w:color w:val="000000"/>
          <w:szCs w:val="21"/>
        </w:rPr>
        <w:t xml:space="preserve">）参加政府采购活动的中小企业应当按</w:t>
      </w:r>
      <w:r>
        <w:rPr>
          <w:rFonts w:ascii="Arial" w:hAnsi="Arial" w:cs="Arial"/>
          <w:color w:val="000000"/>
          <w:szCs w:val="21"/>
        </w:rPr>
        <w:t xml:space="preserve">“</w:t>
      </w:r>
      <w:r>
        <w:rPr>
          <w:rFonts w:hint="eastAsia" w:ascii="宋体" w:hAnsi="宋体" w:eastAsia="宋体" w:cs="宋体"/>
          <w:color w:val="000000"/>
          <w:szCs w:val="21"/>
        </w:rPr>
        <w:t xml:space="preserve">关于印发《政府采购促进中小企业发展管理办法》的通知</w:t>
      </w:r>
      <w:r>
        <w:rPr>
          <w:color w:val="000000"/>
          <w:szCs w:val="21"/>
        </w:rPr>
        <w:t xml:space="preserve">[</w:t>
      </w:r>
      <w:r>
        <w:rPr>
          <w:rFonts w:hint="eastAsia" w:ascii="宋体" w:hAnsi="宋体" w:eastAsia="宋体" w:cs="宋体"/>
          <w:color w:val="000000"/>
          <w:szCs w:val="21"/>
        </w:rPr>
        <w:t xml:space="preserve">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w:t>
      </w:r>
      <w:r>
        <w:rPr>
          <w:color w:val="000000"/>
          <w:szCs w:val="21"/>
        </w:rPr>
        <w:t xml:space="preserve">]” </w:t>
      </w:r>
      <w:r>
        <w:rPr>
          <w:rFonts w:hint="eastAsia" w:ascii="宋体" w:hAnsi="宋体" w:eastAsia="宋体" w:cs="宋体"/>
          <w:color w:val="000000"/>
          <w:szCs w:val="21"/>
        </w:rPr>
        <w:t xml:space="preserve">规定提供《中小企业声明函》，未提供上述资料的报价，其价格不予扣除。</w:t>
      </w:r>
      <w:r>
        <w:rPr>
          <w:color w:val="000000"/>
          <w:szCs w:val="21"/>
        </w:rPr>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color w:val="000000"/>
          <w:szCs w:val="21"/>
        </w:rPr>
        <w:t xml:space="preserve">7</w:t>
      </w:r>
      <w:r>
        <w:rPr>
          <w:rFonts w:hint="eastAsia" w:ascii="宋体" w:hAnsi="宋体" w:eastAsia="宋体" w:cs="宋体"/>
          <w:color w:val="000000"/>
          <w:szCs w:val="21"/>
        </w:rPr>
        <w:t xml:space="preserve">）中小企业依据《政府采购促进中小企业发展管理办法》的通知（财库〔</w:t>
      </w:r>
      <w:r>
        <w:rPr>
          <w:color w:val="000000"/>
          <w:szCs w:val="21"/>
        </w:rPr>
        <w:t xml:space="preserve">2020</w:t>
      </w:r>
      <w:r>
        <w:rPr>
          <w:rFonts w:hint="eastAsia" w:ascii="宋体" w:hAnsi="宋体" w:eastAsia="宋体" w:cs="宋体"/>
          <w:color w:val="000000"/>
          <w:szCs w:val="21"/>
        </w:rPr>
        <w:t xml:space="preserve">〕</w:t>
      </w:r>
      <w:r>
        <w:rPr>
          <w:color w:val="000000"/>
          <w:szCs w:val="21"/>
        </w:rPr>
        <w:t xml:space="preserve">46</w:t>
      </w:r>
      <w:r>
        <w:rPr>
          <w:rFonts w:hint="eastAsia" w:ascii="宋体" w:hAnsi="宋体" w:eastAsia="宋体" w:cs="宋体"/>
          <w:color w:val="000000"/>
          <w:szCs w:val="21"/>
        </w:rPr>
        <w:t xml:space="preserve">号）、《关于进一步加大政府采购支持中小企业力度的通知》（财库〔</w:t>
      </w:r>
      <w:r>
        <w:rPr>
          <w:color w:val="000000"/>
          <w:szCs w:val="21"/>
        </w:rPr>
        <w:t xml:space="preserve">2022</w:t>
      </w:r>
      <w:r>
        <w:rPr>
          <w:rFonts w:hint="eastAsia" w:ascii="宋体" w:hAnsi="宋体" w:eastAsia="宋体" w:cs="宋体"/>
          <w:color w:val="000000"/>
          <w:szCs w:val="21"/>
        </w:rPr>
        <w:t xml:space="preserve">〕</w:t>
      </w:r>
      <w:r>
        <w:rPr>
          <w:color w:val="000000"/>
          <w:szCs w:val="21"/>
        </w:rPr>
        <w:t xml:space="preserve">19</w:t>
      </w:r>
      <w:r>
        <w:rPr>
          <w:rFonts w:hint="eastAsia" w:ascii="宋体" w:hAnsi="宋体" w:eastAsia="宋体" w:cs="宋体"/>
          <w:color w:val="000000"/>
          <w:szCs w:val="21"/>
        </w:rPr>
        <w:t xml:space="preserve">号）规定的政策获取政府采购合同后，小微企业不得将合同分包给大中型企业，中型企业不得将合同分包给大型企业。</w:t>
      </w:r>
      <w:r>
        <w:rPr>
          <w:rFonts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eastAsia="宋体" w:cs="宋体"/>
          <w:color w:val="000000"/>
          <w:szCs w:val="21"/>
          <w:lang w:val="zh-CN"/>
        </w:rPr>
        <w:t xml:space="preserve">扫描件</w:t>
      </w:r>
      <w:r>
        <w:rPr>
          <w:rFonts w:hint="eastAsia" w:ascii="宋体" w:hAnsi="宋体" w:eastAsia="宋体" w:cs="宋体"/>
          <w:color w:val="000000"/>
          <w:szCs w:val="21"/>
          <w:lang w:val="zh-CN"/>
        </w:rPr>
        <w:t xml:space="preserve">。</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eastAsia="宋体" w:cs="宋体"/>
          <w:color w:val="000000"/>
          <w:szCs w:val="21"/>
          <w:lang w:val="zh-CN"/>
        </w:rPr>
        <w:t xml:space="preserve">扫描件</w:t>
      </w:r>
      <w:r>
        <w:rPr>
          <w:rFonts w:hint="eastAsia" w:ascii="宋体" w:hAnsi="宋体" w:eastAsia="宋体" w:cs="宋体"/>
          <w:color w:val="000000"/>
          <w:szCs w:val="21"/>
          <w:lang w:val="zh-CN"/>
        </w:rPr>
        <w:t xml:space="preserve">。</w:t>
      </w:r>
      <w:r/>
    </w:p>
    <w:p>
      <w:pPr>
        <w:pStyle w:val="831"/>
        <w:ind w:firstLine="420"/>
        <w:jc w:val="both"/>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pStyle w:val="831"/>
        <w:ind w:firstLine="422"/>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二、招标文件构成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hint="eastAsia"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rPr>
        <w:t xml:space="preserve">原件扫描件</w:t>
      </w:r>
      <w:r>
        <w:rPr>
          <w:rFonts w:hint="eastAsia" w:ascii="宋体" w:hAnsi="宋体" w:eastAsia="宋体" w:cs="宋体"/>
          <w:color w:val="000000"/>
          <w:szCs w:val="21"/>
        </w:rPr>
        <w:t xml:space="preserve">；</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第一章投标邀请书中采购人根据采购项目的特殊要求规定的特定条件证明文件；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（6）★《已标价工程量清单》（如有）；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（1）技术说明和服务方案；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（2）★《技术条款偏离表》；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（3）施工组织设计（技术方案）；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（5）供应商认为需要提供的其他技术资料。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本项目预算及详见招标公告，供应商的投标报价不得超过预算。超过预算的投标文件，按无效投标处理。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color w:val="000000"/>
          <w:szCs w:val="21"/>
          <w:lang w:val="zh-CN"/>
        </w:rPr>
        <w:t xml:space="preserve">本项目</w:t>
      </w:r>
      <w:r>
        <w:rPr>
          <w:rFonts w:hint="eastAsia" w:ascii="宋体" w:hAnsi="宋体" w:eastAsia="宋体" w:cs="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36%收取。</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人：蒋工  </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（3）联系电话：025-58835827-8031</w:t>
      </w:r>
      <w:r/>
    </w:p>
    <w:p>
      <w:pPr>
        <w:pStyle w:val="831"/>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p>
    <w:p>
      <w:pPr>
        <w:pStyle w:val="831"/>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both"/>
        <w:spacing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832"/>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p>
    <w:p>
      <w:pPr>
        <w:pStyle w:val="831"/>
        <w:ind w:firstLine="420"/>
        <w:jc w:val="both"/>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pStyle w:val="831"/>
        <w:ind w:firstLine="420"/>
        <w:jc w:val="both"/>
        <w:spacing w:line="360" w:lineRule="auto"/>
        <w:rPr>
          <w:rFonts w:hint="eastAsia"/>
          <w:color w:val="000000"/>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最终得分由高到低进行排名，得分相同的，按投标报价由低到高顺序排列；得分且投标报价相同的，按</w:t>
      </w:r>
      <w:r>
        <w:rPr>
          <w:rFonts w:hint="eastAsia"/>
          <w:color w:val="000000"/>
        </w:rPr>
        <w:t xml:space="preserve">技术响应部分</w:t>
      </w:r>
      <w:r>
        <w:rPr>
          <w:rFonts w:hint="eastAsia"/>
          <w:color w:val="000000"/>
          <w:lang w:val="zh-TW"/>
        </w:rPr>
        <w:t xml:space="preserve">优劣顺序排列。评标委员会将</w:t>
      </w:r>
      <w:r>
        <w:rPr>
          <w:rFonts w:hint="eastAsia"/>
          <w:color w:val="000000"/>
        </w:rPr>
        <w:t xml:space="preserve">推荐三名中标候选人。</w:t>
      </w:r>
      <w:r/>
    </w:p>
    <w:tbl>
      <w:tblPr>
        <w:tblW w:w="52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997"/>
        <w:gridCol w:w="727"/>
        <w:gridCol w:w="5935"/>
        <w:gridCol w:w="980"/>
      </w:tblGrid>
      <w:tr>
        <w:trPr>
          <w:trHeight w:val="397"/>
        </w:trPr>
        <w:tc>
          <w:tcPr>
            <w:tcW w:w="380"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W w:w="53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评分项</w:t>
            </w:r>
            <w:r/>
          </w:p>
        </w:tc>
        <w:tc>
          <w:tcPr>
            <w:gridSpan w:val="2"/>
            <w:tcW w:w="356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评审标准</w:t>
            </w:r>
            <w:r/>
          </w:p>
        </w:tc>
        <w:tc>
          <w:tcPr>
            <w:tcW w:w="522"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分值</w:t>
            </w:r>
            <w:r/>
          </w:p>
        </w:tc>
      </w:tr>
      <w:tr>
        <w:trPr>
          <w:trHeight w:val="397"/>
        </w:trPr>
        <w:tc>
          <w:tcPr>
            <w:gridSpan w:val="5"/>
            <w:tcW w:w="5000"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价格（38分）</w:t>
            </w:r>
            <w:r>
              <w:rPr>
                <w:rFonts w:hint="eastAsia" w:ascii="宋体" w:hAnsi="宋体" w:eastAsia="宋体" w:cs="宋体"/>
                <w:color w:val="000000"/>
              </w:rPr>
            </w:r>
            <w:r/>
          </w:p>
        </w:tc>
      </w:tr>
      <w:tr>
        <w:trPr>
          <w:trHeight w:val="397"/>
        </w:trPr>
        <w:tc>
          <w:tcPr>
            <w:tcW w:w="380"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53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价格</w:t>
            </w:r>
            <w:r/>
          </w:p>
        </w:tc>
        <w:tc>
          <w:tcPr>
            <w:gridSpan w:val="2"/>
            <w:tcW w:w="356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投标最低报价为评标基准价：满足招标文件要求且投标价格最低的投标报价为评标基准价，其价格分为满分。其他投标人的价格分统一按照下列公式计算：投标报价得分=（评标基准价/投标报价）×38。</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38</w:t>
            </w:r>
            <w:r/>
          </w:p>
        </w:tc>
      </w:tr>
      <w:tr>
        <w:trPr>
          <w:trHeight w:val="397"/>
        </w:trPr>
        <w:tc>
          <w:tcPr>
            <w:gridSpan w:val="5"/>
            <w:tcW w:w="5000"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商务部分（37分）</w:t>
            </w:r>
            <w:r>
              <w:rPr>
                <w:rFonts w:ascii="宋体" w:hAnsi="宋体" w:eastAsia="宋体" w:cs="宋体"/>
                <w:color w:val="000000"/>
              </w:rPr>
            </w:r>
            <w:r/>
          </w:p>
        </w:tc>
      </w:tr>
      <w:tr>
        <w:trPr>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rPr>
                <w:rFonts w:ascii="宋体" w:hAnsi="宋体" w:eastAsia="宋体" w:cs="宋体"/>
                <w:color w:val="000000"/>
              </w:rPr>
            </w:r>
            <w:r/>
          </w:p>
        </w:tc>
        <w:tc>
          <w:tcPr>
            <w:tcW w:w="53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业绩</w:t>
            </w:r>
            <w:r/>
          </w:p>
        </w:tc>
        <w:tc>
          <w:tcPr>
            <w:gridSpan w:val="2"/>
            <w:tcW w:w="356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自2023年5月1日（含）以来，投标人具有与本项目相同或类似的（项目清单中须包含电压等级10KV及以上的高低压整柜等设备安装内容）供配电项目业绩（提供合同协议书、项目清单、工程完工验收报告（单）等证明材料上传至电子投标文件中；时间以合同签订时间为准，提供的证明材料必须能反映出相关数据和内容，否则视为未提供），每提供1个业绩得2分，满分6分。</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6</w:t>
            </w:r>
            <w:r/>
          </w:p>
        </w:tc>
      </w:tr>
      <w:tr>
        <w:trPr>
          <w:trHeight w:val="90"/>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rPr>
                <w:rFonts w:ascii="宋体" w:hAnsi="宋体" w:eastAsia="宋体" w:cs="宋体"/>
                <w:color w:val="000000"/>
              </w:rPr>
            </w:r>
            <w:r/>
          </w:p>
        </w:tc>
        <w:tc>
          <w:tcPr>
            <w:tcW w:w="53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人员</w:t>
            </w:r>
            <w:r/>
          </w:p>
        </w:tc>
        <w:tc>
          <w:tcPr>
            <w:gridSpan w:val="2"/>
            <w:tcW w:w="356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拟派本项目的项目组成员在不少于10人（不含项目负责人）的基础上每增加3人得1分，本项最多得4分（投标人须提供详细的拟投入现场人员名单人员，须包括项目经理1名、技术负责人1名；继电保护作业人员、电气试验作业人员、起吊作业人员至少各1名；施工人员若干。以上所有人员不得重复）。</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此外，技术负责人要求如下（4分）：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①资质类别和等级：具有注册建造师（专业类别：机电工程）二级（含）以上，且同时具有有效的安全生产考核B证的，得</w:t>
            </w:r>
            <w:r>
              <w:rPr>
                <w:rFonts w:ascii="宋体" w:hAnsi="宋体" w:eastAsia="宋体" w:cs="宋体"/>
                <w:color w:val="000000"/>
              </w:rPr>
              <w:t xml:space="preserve">2</w:t>
            </w:r>
            <w:r>
              <w:rPr>
                <w:rFonts w:hint="eastAsia" w:ascii="宋体" w:hAnsi="宋体" w:eastAsia="宋体" w:cs="宋体"/>
                <w:color w:val="000000"/>
              </w:rPr>
              <w:t xml:space="preserve">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②职称：具有机电类高级工程师职称的，得2分；具有机电类工程师职称的，得1分。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（提供以上人员的证书原件扫描件上传至电子投标文件中，证书不能体现专业，专业以毕业证书上专业为准）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以上所有人员提供相关证书及社保机构出具2025年11月至2026年4月中任意一个月投标人为其缴纳的养老保险金缴费清单材料，加盖社保机构公章或社保中心参保缴费证明电子专用章（具有可验证的二维码或验证码），不满足不得分】</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ascii="仿宋" w:hAnsi="仿宋" w:eastAsia="仿宋" w:cs="仿宋"/>
                <w:color w:val="000000"/>
                <w:szCs w:val="21"/>
              </w:rPr>
              <w:t xml:space="preserve">8</w:t>
            </w:r>
            <w:r>
              <w:rPr>
                <w:rFonts w:hint="eastAsia" w:ascii="仿宋" w:hAnsi="仿宋" w:eastAsia="仿宋" w:cs="仿宋"/>
                <w:color w:val="000000"/>
                <w:szCs w:val="21"/>
              </w:rPr>
            </w:r>
            <w:r/>
          </w:p>
        </w:tc>
      </w:tr>
      <w:tr>
        <w:trPr>
          <w:cantSplit/>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rPr>
                <w:rFonts w:ascii="宋体" w:hAnsi="宋体" w:eastAsia="宋体" w:cs="宋体"/>
                <w:color w:val="000000"/>
              </w:rPr>
            </w:r>
            <w:r/>
          </w:p>
        </w:tc>
        <w:tc>
          <w:tcPr>
            <w:tcW w:w="533" w:type="pct"/>
            <w:vAlign w:val="center"/>
            <w:vMerge w:val="restart"/>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设备参数及技术要求</w:t>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技术偏差</w:t>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技术规范条款（技术参数（标准））的偏离度：完全满足得8分。在此基础上，招标文件中标注“★”的内容为实质性要求，有一项不符合的，作无效投标处理；标注“▲”的内容为重要参数，有一项负偏离扣1分，所有对标注“★”和“▲”技术参数的响应需提供支撑资料（详见第四章具体要求），否则视为未响应；因未在《技术参数响应表》注明支撑资料具体位置（如页码或序号）并用方框明显标记出相关内容而导致评审不得分的，评标委员会概不负责；其他非重要参数负偏离的，则每项扣0.5分，扣完为止。缺项漏项视为负偏离。</w:t>
            </w:r>
            <w:r/>
          </w:p>
        </w:tc>
        <w:tc>
          <w:tcPr>
            <w:tcW w:w="522" w:type="pct"/>
            <w:vAlign w:val="center"/>
            <w:textDirection w:val="lrTb"/>
            <w:noWrap/>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8</w:t>
            </w:r>
            <w:r/>
          </w:p>
        </w:tc>
      </w:tr>
      <w:tr>
        <w:trPr>
          <w:cantSplit/>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rPr>
                <w:rFonts w:ascii="宋体" w:hAnsi="宋体" w:eastAsia="宋体" w:cs="宋体"/>
                <w:color w:val="000000"/>
              </w:rPr>
            </w:r>
            <w:r/>
          </w:p>
        </w:tc>
        <w:tc>
          <w:tcPr>
            <w:tcW w:w="533" w:type="pct"/>
            <w:vAlign w:val="center"/>
            <w:vMerge w:val="continue"/>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低压柜性能</w:t>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低压柜内燃弧试验在至少满足65kA/0.3s要求基础上，内部燃弧报告试验参数高于65kA/0.5s得1分，达到80kA/0.5s及以上得2分。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评审依据：投标文件及CMA认证的第三方机构颁发的型式试验报告加盖投标人公章上传至电子投标文件中。</w:t>
            </w:r>
            <w:r/>
          </w:p>
        </w:tc>
        <w:tc>
          <w:tcPr>
            <w:tcW w:w="522" w:type="pct"/>
            <w:vAlign w:val="center"/>
            <w:textDirection w:val="lrTb"/>
            <w:noWrap/>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2</w:t>
            </w:r>
            <w:r/>
          </w:p>
        </w:tc>
      </w:tr>
      <w:tr>
        <w:trPr>
          <w:cantSplit/>
          <w:trHeight w:val="397"/>
        </w:trPr>
        <w:tc>
          <w:tcPr>
            <w:tcW w:w="380" w:type="pct"/>
            <w:vAlign w:val="center"/>
            <w:textDirection w:val="lrTb"/>
            <w:noWrap w:val="false"/>
          </w:tcPr>
          <w:p>
            <w:pPr>
              <w:pStyle w:val="83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rPr>
                <w:rFonts w:ascii="宋体" w:hAnsi="宋体" w:eastAsia="宋体" w:cs="宋体"/>
                <w:color w:val="000000"/>
              </w:rPr>
            </w:r>
            <w:r/>
          </w:p>
        </w:tc>
        <w:tc>
          <w:tcPr>
            <w:tcW w:w="533" w:type="pct"/>
            <w:vAlign w:val="center"/>
            <w:vMerge w:val="continue"/>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产品品牌</w:t>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（1）低压柜内的元器件中：断路器、无线测温、多功能表计、网关与低压柜全部使用同一品牌得8分，有一项不满足同一品牌要求的扣2分，扣完为止：</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（2）除低压柜内的元器件外，变压器、高压柜、无功补偿、电力监控系统、智能管理单元与低压柜全部使用同一品牌得5分，有一项不满足同一品牌要求的扣1分，扣完为止。</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投标人须提供上述产品的投标品牌和型号响应表加盖投标人公章上传至电子投标文件中。</w:t>
            </w:r>
            <w:r/>
          </w:p>
        </w:tc>
        <w:tc>
          <w:tcPr>
            <w:tcW w:w="522" w:type="pct"/>
            <w:vAlign w:val="center"/>
            <w:textDirection w:val="lrTb"/>
            <w:noWrap w:val="false"/>
          </w:tcPr>
          <w:p>
            <w:pPr>
              <w:pStyle w:val="831"/>
              <w:jc w:val="center"/>
              <w:rPr>
                <w:rFonts w:ascii="仿宋" w:hAnsi="仿宋" w:eastAsia="仿宋" w:cs="仿宋"/>
                <w:color w:val="000000"/>
                <w:szCs w:val="21"/>
              </w:rPr>
            </w:pPr>
            <w:r>
              <w:rPr>
                <w:rFonts w:hint="eastAsia" w:ascii="仿宋" w:hAnsi="仿宋" w:eastAsia="仿宋" w:cs="仿宋"/>
                <w:color w:val="000000"/>
                <w:szCs w:val="21"/>
              </w:rPr>
              <w:t xml:space="preserve">13</w:t>
            </w:r>
            <w:r>
              <w:rPr>
                <w:rFonts w:ascii="仿宋" w:hAnsi="仿宋" w:eastAsia="仿宋" w:cs="仿宋"/>
                <w:color w:val="000000"/>
                <w:szCs w:val="21"/>
              </w:rPr>
            </w:r>
            <w:r/>
          </w:p>
        </w:tc>
      </w:tr>
      <w:tr>
        <w:trPr>
          <w:trHeight w:val="397"/>
        </w:trPr>
        <w:tc>
          <w:tcPr>
            <w:gridSpan w:val="5"/>
            <w:tcW w:w="5000" w:type="pct"/>
            <w:vAlign w:val="center"/>
            <w:textDirection w:val="lrTb"/>
            <w:noWrap w:val="false"/>
          </w:tcPr>
          <w:p>
            <w:pPr>
              <w:pStyle w:val="831"/>
              <w:jc w:val="center"/>
              <w:spacing w:line="360" w:lineRule="auto"/>
              <w:rPr>
                <w:rFonts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技术部分（25分）</w:t>
            </w:r>
            <w:r>
              <w:rPr>
                <w:rFonts w:ascii="仿宋" w:hAnsi="仿宋" w:eastAsia="仿宋" w:cs="仿宋"/>
                <w:color w:val="000000"/>
                <w:szCs w:val="21"/>
              </w:rPr>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3.1</w:t>
            </w:r>
            <w:r>
              <w:rPr>
                <w:rFonts w:ascii="仿宋" w:hAnsi="仿宋" w:eastAsia="仿宋" w:cs="仿宋"/>
                <w:color w:val="000000"/>
                <w:szCs w:val="21"/>
              </w:rPr>
            </w:r>
            <w:r/>
          </w:p>
        </w:tc>
        <w:tc>
          <w:tcPr>
            <w:tcW w:w="533" w:type="pct"/>
            <w:vAlign w:val="center"/>
            <w:vMerge w:val="restart"/>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技术</w:t>
            </w:r>
            <w:r/>
          </w:p>
          <w:p>
            <w:pPr>
              <w:pStyle w:val="831"/>
              <w:jc w:val="center"/>
              <w:rPr>
                <w:rFonts w:hint="eastAsia" w:ascii="仿宋" w:hAnsi="仿宋" w:eastAsia="仿宋" w:cs="仿宋"/>
                <w:color w:val="000000"/>
                <w:szCs w:val="21"/>
              </w:rPr>
            </w:pPr>
            <w:r>
              <w:rPr>
                <w:rFonts w:hint="eastAsia" w:ascii="宋体" w:hAnsi="宋体" w:eastAsia="宋体" w:cs="宋体"/>
                <w:color w:val="000000"/>
              </w:rPr>
              <w:t xml:space="preserve">部分</w:t>
            </w: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深化设计方案</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针对本项目的设计方案（包括但不限于以下核心要素①总体方案；②技术深化设计；③施工图深化设计等）。上述方案总体设想明确，方案针对性强，得5分；总体设想较为明确，方案针对性较强，得3分；总体设想不明确，方案具有一般性，得1分；未体现总体设想，方案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3.2</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施工方案</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针对本项目的施工方案（包括但不限于以下核心要素①施工工作计划；②资源供应计划；③停送电方案；④设备拆装方案；⑤系统对接方案等）。上述方案总体设想明确，方案针对性强，得5分；总体设想较为明确，方案针对性较强，得3分；总体设想不明确，方案具有一般性，得1分；未体现总体设想，方案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tab/>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3.3</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质量保证措施</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的针对本项目的服务质量保证措施（包括但不限于以下核心要素①设计阶段质量管控；②施工过程质量控制；③成品验收质量核验等）。上述质量保证措施描述非常详细、完整，得5分；质量保证措施描述较详细、较完整，得3分；质量保证措施描述一般，得1分；质量保证措施无描述，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3.4</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风险管控措施及应急预案</w:t>
            </w:r>
            <w:r/>
          </w:p>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的针对本项目的风险管控措施（包括但不限于以下核心要素①风险管控措施（包含任何可能的紧急情况的处理措施、预案以及抵抗风险措施）；②应急预案（包含有可能出现的突发事件，例如停电、人员损伤、设备损坏等制定相应的应急处理措施）等。上述风险管控措施针对性强、可操作性高、科学合理，得5分；风险管控措施针对性较强、可操作性较高、较为科学合理，得3分；风险管控措施针对性一般、可操作性不高、不够科学合理，得1分；方案针对性差、不具可操作性、不科学不合理、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r>
        <w:trPr>
          <w:cantSplit/>
          <w:trHeight w:val="397"/>
        </w:trPr>
        <w:tc>
          <w:tcPr>
            <w:tcW w:w="380" w:type="pct"/>
            <w:vAlign w:val="center"/>
            <w:textDirection w:val="lrTb"/>
            <w:noWrap w:val="false"/>
          </w:tcPr>
          <w:p>
            <w:pPr>
              <w:pStyle w:val="831"/>
              <w:jc w:val="both"/>
              <w:rPr>
                <w:rFonts w:ascii="仿宋" w:hAnsi="仿宋" w:eastAsia="仿宋" w:cs="仿宋"/>
                <w:color w:val="000000"/>
                <w:szCs w:val="21"/>
              </w:rPr>
            </w:pPr>
            <w:r>
              <w:rPr>
                <w:rFonts w:hint="eastAsia" w:ascii="仿宋" w:hAnsi="仿宋" w:eastAsia="仿宋" w:cs="仿宋"/>
                <w:color w:val="000000"/>
                <w:szCs w:val="21"/>
              </w:rPr>
              <w:t xml:space="preserve">3.5</w:t>
            </w:r>
            <w:r>
              <w:rPr>
                <w:rFonts w:ascii="仿宋" w:hAnsi="仿宋" w:eastAsia="仿宋" w:cs="仿宋"/>
                <w:color w:val="000000"/>
                <w:szCs w:val="21"/>
              </w:rPr>
            </w:r>
            <w:r/>
          </w:p>
        </w:tc>
        <w:tc>
          <w:tcPr>
            <w:tcW w:w="533" w:type="pct"/>
            <w:vAlign w:val="center"/>
            <w:vMerge w:val="continue"/>
            <w:textDirection w:val="lrTb"/>
            <w:noWrap w:val="false"/>
          </w:tcPr>
          <w:p>
            <w:pPr>
              <w:pStyle w:val="831"/>
              <w:jc w:val="both"/>
              <w:rPr>
                <w:rFonts w:hint="eastAsia" w:ascii="仿宋" w:hAnsi="仿宋" w:eastAsia="仿宋" w:cs="仿宋"/>
                <w:color w:val="000000"/>
                <w:szCs w:val="21"/>
              </w:rPr>
            </w:pPr>
            <w:r>
              <w:rPr>
                <w:rFonts w:hint="eastAsia" w:ascii="仿宋" w:hAnsi="仿宋" w:eastAsia="仿宋" w:cs="仿宋"/>
                <w:color w:val="000000"/>
                <w:szCs w:val="21"/>
              </w:rPr>
            </w:r>
            <w:r/>
          </w:p>
        </w:tc>
        <w:tc>
          <w:tcPr>
            <w:tcW w:w="389" w:type="pct"/>
            <w:vAlign w:val="center"/>
            <w:textDirection w:val="lrTb"/>
            <w:noWrap w:val="false"/>
          </w:tcPr>
          <w:p>
            <w:pPr>
              <w:pStyle w:val="831"/>
              <w:jc w:val="both"/>
              <w:rPr>
                <w:rFonts w:hint="eastAsia" w:ascii="仿宋" w:hAnsi="仿宋" w:eastAsia="仿宋" w:cs="仿宋"/>
                <w:color w:val="000000"/>
                <w:szCs w:val="21"/>
              </w:rPr>
            </w:pPr>
            <w:r>
              <w:rPr>
                <w:rFonts w:hint="eastAsia" w:ascii="宋体" w:hAnsi="宋体" w:eastAsia="宋体" w:cs="宋体"/>
                <w:color w:val="000000"/>
              </w:rPr>
              <w:t xml:space="preserve">售后方案</w:t>
            </w:r>
            <w:r>
              <w:rPr>
                <w:rFonts w:hint="eastAsia" w:ascii="仿宋" w:hAnsi="仿宋" w:eastAsia="仿宋" w:cs="仿宋"/>
                <w:color w:val="000000"/>
                <w:szCs w:val="21"/>
              </w:rPr>
            </w:r>
            <w:r/>
          </w:p>
        </w:tc>
        <w:tc>
          <w:tcPr>
            <w:tcW w:w="3173" w:type="pct"/>
            <w:vAlign w:val="center"/>
            <w:textDirection w:val="lrTb"/>
            <w:noWrap w:val="false"/>
          </w:tcPr>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应商提供的针对本项目的售后方案（包括但不限于以下核心要素①故障处理的响应时间；②设备安装使用过程的培训服务等）。上述售后方案内容全面完整、针对性强、可行性强，得5分；售后方案内容较完整、针对性较强、可行性较强的得3分；售后方案内容不够完整、针对性不够强、可行性不够强的得1分；售后方案内容不完整、无针对性、无可行性、有缺陷或漏洞，或未提供材料的不得分。</w:t>
            </w:r>
            <w:r/>
          </w:p>
          <w:p>
            <w:pPr>
              <w:pStyle w:val="83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缺陷或漏洞是指存在项目名称错误、地点区域错误、内容与本项目需求无关、未体现方案核心要素、仅有框架或标题、适用的标准（方法）错误、明显复制其他项目内容、方案内容不详细、不合理、无针对性等任意一种情形。</w:t>
            </w:r>
            <w:r/>
          </w:p>
        </w:tc>
        <w:tc>
          <w:tcPr>
            <w:tcW w:w="522" w:type="pct"/>
            <w:vAlign w:val="center"/>
            <w:textDirection w:val="lrTb"/>
            <w:noWrap w:val="false"/>
          </w:tcPr>
          <w:p>
            <w:pPr>
              <w:pStyle w:val="831"/>
              <w:jc w:val="center"/>
              <w:rPr>
                <w:rFonts w:hint="eastAsia" w:ascii="仿宋" w:hAnsi="仿宋" w:eastAsia="仿宋" w:cs="仿宋"/>
                <w:color w:val="000000"/>
                <w:szCs w:val="21"/>
              </w:rPr>
            </w:pPr>
            <w:r>
              <w:rPr>
                <w:rFonts w:hint="eastAsia" w:ascii="仿宋" w:hAnsi="仿宋" w:eastAsia="仿宋" w:cs="仿宋"/>
                <w:color w:val="000000"/>
                <w:szCs w:val="21"/>
              </w:rPr>
              <w:t xml:space="preserve">5</w:t>
            </w:r>
            <w:r/>
          </w:p>
        </w:tc>
      </w:tr>
    </w:tbl>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831"/>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（2）对于非专门面向中小企业的货物采购项目，</w:t>
      </w:r>
      <w:r>
        <w:rPr>
          <w:rFonts w:hint="eastAsia" w:ascii="宋体" w:hAnsi="宋体" w:eastAsia="宋体" w:cs="宋体"/>
          <w:color w:val="000000"/>
        </w:rPr>
        <w:t xml:space="preserve">投标供应商</w:t>
      </w:r>
      <w:r>
        <w:rPr>
          <w:rFonts w:ascii="宋体" w:hAnsi="宋体" w:eastAsia="宋体" w:cs="宋体"/>
          <w:color w:val="000000"/>
        </w:rPr>
        <w:t xml:space="preserve">（无论为大型企业、中型企业或小微企业）提供的货物均为小微企业制造的货物，即可享受上述价格评审优惠政策，除此之外的情形，不享受小微企业价格评审优惠政策。</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rPr>
          <w:color w:val="000000"/>
        </w:rPr>
      </w:r>
      <w:r/>
    </w:p>
    <w:p>
      <w:pPr>
        <w:pStyle w:val="831"/>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rPr>
          <w:color w:val="000000"/>
        </w:rPr>
      </w:r>
      <w:r/>
    </w:p>
    <w:p>
      <w:pPr>
        <w:pStyle w:val="831"/>
        <w:ind w:firstLine="422"/>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w:t>
      </w:r>
      <w:r>
        <w:rPr>
          <w:rFonts w:hint="eastAsia" w:ascii="宋体" w:hAnsi="宋体" w:eastAsia="宋体" w:cs="宋体"/>
          <w:color w:val="000000"/>
        </w:rPr>
        <w:t xml:space="preserve">5</w:t>
      </w:r>
      <w:r>
        <w:rPr>
          <w:rFonts w:ascii="宋体" w:hAnsi="宋体" w:eastAsia="宋体" w:cs="宋体"/>
          <w:color w:val="000000"/>
        </w:rPr>
        <w:t xml:space="preserve">%的价格扣除，用扣除后的价格参与评审。</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rPr>
          <w:color w:val="000000"/>
        </w:rPr>
      </w:r>
      <w:r/>
    </w:p>
    <w:p>
      <w:pPr>
        <w:pStyle w:val="831"/>
        <w:ind w:firstLine="422"/>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p>
    <w:p>
      <w:pPr>
        <w:pStyle w:val="831"/>
        <w:ind w:firstLine="422"/>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r>
        <w:rPr>
          <w:rFonts w:hint="eastAsia" w:ascii="宋体" w:hAnsi="宋体" w:cs="宋体"/>
          <w:color w:val="000000"/>
          <w:szCs w:val="21"/>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6.所有认证、证明和业绩除上表要求外均须提供有效的证明材料扫描件加盖投标供应商公章。</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7.本项目采购标的对应的中小企业划分标准所属行业为：建筑业。</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8.评标过程中出现下列情形之一的，评标委员会应当启动异常低价投标（响应）审查程序：</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①投标（响应）报价低于全部通过符合性审查供应商投标（响应）报价平均值50%的，即投标（响应）报价&lt;全部通过符合性审查供应商投标（响应）报价平均值×50%；</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②投标（响应）报价低于通过符合性审查的次低报价供应商投标（响应）报价50%的，即投标（响应）报价&lt;通过符合性审查的次低报价供应商投标（响应）报价×50%；</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③投标（响应）报价低于采购项目最高限价45%的，即投标（响应）报价&lt;采购项目最高限价×45%；</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④评标委员会基于专业判断，认为供应商报价过低，有可能影响产品质量或者不能诚信履约的其他情形。</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31"/>
        <w:ind w:firstLine="420"/>
        <w:jc w:val="both"/>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31"/>
        <w:ind w:firstLine="420"/>
        <w:jc w:val="both"/>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color w:val="000000"/>
          <w:szCs w:val="21"/>
        </w:rPr>
      </w:r>
      <w:r/>
    </w:p>
    <w:p>
      <w:pPr>
        <w:pStyle w:val="831"/>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 w:name="_Toc224663307"/>
      <w:r>
        <w:rPr>
          <w:rFonts w:hint="eastAsia" w:ascii="宋体" w:hAnsi="宋体" w:eastAsia="宋体" w:cs="宋体"/>
          <w:b/>
          <w:color w:val="000000"/>
          <w:sz w:val="28"/>
        </w:rPr>
        <w:t xml:space="preserve">一、</w:t>
      </w:r>
      <w:r>
        <w:rPr>
          <w:rFonts w:ascii="宋体" w:hAnsi="宋体" w:eastAsia="宋体" w:cs="宋体"/>
          <w:b/>
          <w:color w:val="000000"/>
          <w:sz w:val="28"/>
        </w:rPr>
        <w:t xml:space="preserve"> 技术参数（标准）</w:t>
      </w:r>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（一）改造方案</w:t>
      </w:r>
      <w:bookmarkEnd w:id="1"/>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南京财经大学仙林校区德经楼变电所内置2台1000kVA变压器，配电房10kV采用单母线分段接线方式，高压不设联络；0.4kV采用单母线分段接线方式，低压联络。供电电源分别引自德正楼变电所内高压柜05N和06N。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具体改造内容如下：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1.更换德经楼变电所内所有高低压设备，包括高压柜4台、1000kVA变压器2台、低压柜14台，取消转角柜2台，低压柜之间柜顶母排通过密集型母线槽连接等。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新上电力监控系统及智能管理单元，低压柜仪表具备电度计量功能和通讯，数据上传至智能管理单元及中心开闭所电力监控系统。同时电力监控系统数据（电流、电压、功率、电能、断路器分合闸状态等）还须上传至配电房智慧巡检系统，预留接口。</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新上无线测温传感器及通讯附件，可提供多节点的温度监测需求，实现不同应用场景的全面有效温度监测；测温传感器通过ZigBee无线方式提供数据连接，支持无线无源工作方式，在关键位置安装的同时避免线缆敷设降低设备安全特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4.新上配电房智慧巡检系统。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5.其他内部改造：更换模拟图板、风筒风机、电缆沟盖板、绝缘垫等。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6.设备基础利用原有基础，局部做改造。原有设备拆除后再重新安装新设备，低压出线电缆不变，更换电缆终端并做好接线。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 w:name="_Toc224663308"/>
      <w:r>
        <w:rPr>
          <w:rFonts w:ascii="宋体" w:hAnsi="宋体" w:eastAsia="宋体" w:cs="宋体"/>
          <w:color w:val="000000"/>
        </w:rPr>
        <w:t xml:space="preserve">（二）配电房改造设备配置要求</w:t>
      </w:r>
      <w:bookmarkEnd w:id="2"/>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1.高压柜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高压柜应满足设计图纸要求和南京市供电部门有关规定，具有防误联锁功能，采用SF6充气柜半绝缘柜型，同时满足以下技术要求：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1.1使用环境条件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1.1.1.环境温度：-5℃～+40℃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1.1.2.最大相对湿度：90%（25℃）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1.1.3.海拔高度：＜1000米</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1.1.4.耐受地震能力：水平加速度0.2</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1.1.5.垂直加速度0.1；</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1.1.6.安装位置：户内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1.2.1.额定电压：l2kV三相三线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1.2.2.额定频率：50Hz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1.2.3.额定电流：630A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1.2.4.12kV开关设备的绝缘水平：</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工频耐压（1min，有效值）：≥42kV（相间、对地）；≥48kV（断口）；</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雷电冲击耐压（峰值）：≥75kV（相间、对地）；≥85kV（断口）；</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1.2.5.额定绝缘水平：额定闭环开断电流：630A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1.2.6.2s热稳定电流（有效值）：≥20KA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1.2.7.短时峰值耐受电流：≥50KA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1.2.8防护等级：IP3X及以上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1.2.9.具备全工况绝缘，五防功能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1.2.10负荷开关类型：六氟化硫气体绝缘三工位负荷开关，主开关与接地开关为机械互锁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1.2.11负荷开关容量及特性：符合设计图纸要求及相关标准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1.2.12操作机构：手动操作机构；</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1.2.13接地开关寿命(次)：≥3000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2.变压器（干式变压器）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2.1总则</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投标人须提供符合国家有关安全、环境保护等强制性标准和规范的优质产品，同时需提供如下资料：</w:t>
      </w:r>
      <w:bookmarkStart w:id="3" w:name="OLE_LINK5"/>
      <w:r>
        <w:rPr>
          <w:rFonts w:ascii="宋体" w:hAnsi="宋体" w:eastAsia="宋体" w:cs="宋体"/>
          <w:color w:val="000000"/>
        </w:rPr>
      </w:r>
      <w:r/>
    </w:p>
    <w:p>
      <w:pPr>
        <w:pStyle w:val="831"/>
        <w:ind w:firstLine="42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★2.1.1.</w:t>
      </w:r>
      <w:bookmarkEnd w:id="3"/>
      <w:r>
        <w:rPr>
          <w:rFonts w:hint="eastAsia" w:ascii="宋体" w:hAnsi="宋体" w:eastAsia="宋体" w:cs="宋体"/>
          <w:color w:val="000000"/>
        </w:rPr>
        <w:t xml:space="preserve">本项目变压器选用干式变压器。所采用的硅钢片、带填料树脂、铜导线、铜箔具备合格且在有效期内的质量检验报告及产品质量证明书。</w:t>
      </w:r>
      <w:r>
        <w:rPr>
          <w:rFonts w:hint="eastAsia" w:ascii="宋体" w:hAnsi="宋体" w:eastAsia="宋体" w:cs="宋体"/>
          <w:b/>
          <w:bCs/>
          <w:color w:val="000000"/>
        </w:rPr>
        <w:t xml:space="preserve">（投标时提供承诺书上传至电子投标文件中，合同签订前向采购人提供质量检验报告及产品质量证明书复印件并加盖公章（原件备查），供采购人审核查验，逾期未提供或资料不合格的，视同自动放弃中标资格。）</w:t>
      </w:r>
      <w:r>
        <w:rPr>
          <w:rFonts w:hint="eastAsia"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2.2标准和规范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变压器及其相关电器应符合下列各现行标准的要求：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1094.11     电力变压器第11部分：干式变压器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10228       干式电力变压器技术参数和要求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GB1094.2</w:t>
        <w:tab/>
        <w:t xml:space="preserve">     电力变压器第2部分：温升（eqv IEC60076-2）</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1094.10</w:t>
        <w:tab/>
        <w:tab/>
        <w:t xml:space="preserve"> 电力变压器第10部分：声级测定</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1094.12</w:t>
        <w:tab/>
        <w:tab/>
        <w:t xml:space="preserve"> 电力变压器第12部分：干式电力变压器负载导则</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GC4208           壳体防护等级（IP代码）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20138-2006  电器设备壳体对外界机械碰撞的防护等级（IK代码）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JB/T 3837         变压器类产品型号编制方法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GB/T 191-2008     包装储运图示标志</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GB20052-2024     电力变压器能效限定值及能效等级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2.3使用环境条件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2.3.1设备存储运输温度：-40℃～+70℃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2.3.2设备运行温度（不进行电气和机械操作）：-40℃～+55℃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2.3.3设备正常运行温度（进行电气和机械操作）：-25℃～+55℃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2.3.4设备不降额运行温度（进行电气和机械操作）：-25℃～+50℃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2.3.5设备运行相对湿度：0～95%；无冷凝</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2.3.6设备安规和散热设计海拔高度：≤1000m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2.3.7地震动峰值加速度（水平）：0.3g</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2.3.8地震动峰值加速度（垂直）：0.15g</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2.3.9抗震设防级别：Ⅷ度</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2.3.10污秽等级：Ⅲ级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2.4技术参数表</w:t>
      </w:r>
      <w:r/>
    </w:p>
    <w:tbl>
      <w:tblPr>
        <w:tblW w:w="48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196"/>
        <w:gridCol w:w="5338"/>
      </w:tblGrid>
      <w:tr>
        <w:trPr>
          <w:cantSplit/>
          <w:trHeight w:val="455"/>
        </w:trPr>
        <w:tc>
          <w:tcPr>
            <w:tcW w:w="615" w:type="pct"/>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W w:w="1278" w:type="pct"/>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p>
        </w:tc>
        <w:tc>
          <w:tcPr>
            <w:tcW w:w="3106" w:type="pct"/>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技术参数要求</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产品名称</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干式变压器</w:t>
            </w:r>
            <w:r/>
          </w:p>
        </w:tc>
      </w:tr>
      <w:tr>
        <w:trPr>
          <w:cantSplit/>
          <w:trHeight w:val="261"/>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产品型号</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详见图纸、清单</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存储运输环境温度</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-40℃~70℃</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运行环境温度</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-25℃~55℃</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不降额使用海拔高度</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&lt;1000m</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额定电压比（kV）</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10/0.4</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调压方式</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无励磁调压</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分接范围</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±2×2.5%</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额定频率</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50Hz</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联结组别</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Dyn11</w:t>
            </w:r>
            <w:r/>
          </w:p>
        </w:tc>
      </w:tr>
      <w:tr>
        <w:trPr>
          <w:cantSplit/>
          <w:trHeight w:val="210"/>
        </w:trPr>
        <w:tc>
          <w:tcPr>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11</w:t>
            </w:r>
            <w:r/>
          </w:p>
        </w:tc>
        <w:tc>
          <w:tcPr>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阻抗电压</w:t>
            </w:r>
            <w:r/>
          </w:p>
        </w:tc>
        <w:tc>
          <w:tcPr>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缘耐热等级</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H级</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4" w:name="_Hlk224663640"/>
            <w:r>
              <w:rPr>
                <w:rFonts w:ascii="宋体" w:hAnsi="宋体" w:eastAsia="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空载损耗</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满足GB20052-2024二级能效</w:t>
            </w:r>
            <w:r>
              <w:rPr>
                <w:rFonts w:hint="eastAsia" w:ascii="宋体" w:hAnsi="宋体" w:eastAsia="宋体" w:cs="宋体"/>
                <w:b/>
                <w:bCs/>
                <w:color w:val="000000"/>
              </w:rPr>
              <w:t xml:space="preserve">（投标时提供承诺书并加盖公章上传至电子投标文件中，合同签订前向采购人提供具备CMA认证的型式试验报告复印件并加盖公章（原件备查），供采购人审核查验，逾期未提供或资料不合格的，视同自动放弃中标资格。）</w:t>
            </w:r>
            <w:r>
              <w:rPr>
                <w:rFonts w:ascii="宋体" w:hAnsi="宋体" w:eastAsia="宋体" w:cs="宋体"/>
                <w:color w:val="000000"/>
              </w:rPr>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负载损耗（145℃）</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满足GB20052-2024二级能效</w:t>
            </w:r>
            <w:r>
              <w:rPr>
                <w:rFonts w:hint="eastAsia" w:ascii="宋体" w:hAnsi="宋体" w:eastAsia="宋体" w:cs="宋体"/>
                <w:b/>
                <w:bCs/>
                <w:color w:val="000000"/>
              </w:rPr>
              <w:t xml:space="preserve">（投标时提供承诺书并加盖公章上传至电子投标文件中，合同签订前向采购人提供具备CMA认证的型式试验报告复印件并加盖公章（原件备查），供采购人审核查验，逾期未提供或资料不合格的，视同自动放弃中标资格。）</w:t>
            </w:r>
            <w:r>
              <w:rPr>
                <w:rFonts w:ascii="宋体" w:hAnsi="宋体" w:eastAsia="宋体" w:cs="宋体"/>
                <w:color w:val="000000"/>
              </w:rPr>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4"/>
            <w:r>
              <w:rPr>
                <w:rFonts w:ascii="宋体" w:hAnsi="宋体" w:eastAsia="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冷却方式</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AN/AF</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噪声水平</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满足国标</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风机</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自带（标配）</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局部放电水平</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&lt;5pC</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雷电冲击水平</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75kV</w:t>
            </w:r>
            <w:r/>
          </w:p>
        </w:tc>
      </w:tr>
      <w:tr>
        <w:trPr>
          <w:cantSplit/>
          <w:trHeight w:val="21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1278"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工频耐压水平（高压绕组）</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pStyle w:val="831"/>
              <w:jc w:val="cente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35kV</w:t>
            </w:r>
            <w:r/>
          </w:p>
        </w:tc>
      </w:tr>
    </w:tbl>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2.5详细技术要求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2.5.1变压器材料及工艺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（1）铁芯：要求变压器采用厚度≤0.23mm的硅钢片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（2）带填料树脂：采用优质阻燃自熄材料带填料树脂真空浇注，遇火源时不产生有害气体，请投标人注明所用带填料树脂的生产厂商；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（3）线圈绕组：高压线圈铜线绕制，铜含量99.99%。</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（4）低压绕组：铜箔绕制，铜含量99.99%。</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变压器应可靠接地，并有相应的接地端子和标识。变压器中的母线需使用镀锡防腐处理方式。保证变压器可以在-25℃~+55℃的环境温度下满功率运行，同时，不能影响电缆连接点处的接触电阻，变压器在强制风冷状态下允许过载40%运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（6）变压器的使用寿命不小于30年。</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（7）变压器尺寸需满足现场使用尺寸要求。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2.5.2变压器温度控制器要求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每台变压器应配备一台壁挂式专用温度控制器，以显示热点温度。预留两对温度报警辅助接点。温控器应满足抗震、电磁干扰不敏感、显示数字和动作正确的要求。三个PT100测温元件分别埋设在三相低压绕组最热部位的测温孔内。温度测点在铁芯及绕组上都需有测点，温度监控器应具有下述功能（不限于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可自动监测并显示三相绕组的温度，当任一绕组温度达到设定温度时，如：温度达到100℃时，自动启动风机；低于80℃时，自动停止风机；超过130℃时，自动报警并启动远方报警装置，超过150℃时，发出跳闸命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（2）温度设定现场可调，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（3）输出1路4—20mA温度信号。</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3.低压柜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3.1总则</w:t>
      </w:r>
      <w:r/>
    </w:p>
    <w:p>
      <w:pPr>
        <w:pStyle w:val="831"/>
        <w:ind w:firstLine="421"/>
        <w:jc w:val="both"/>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bookmarkStart w:id="5" w:name="_Hlk161599710"/>
      <w:r>
        <w:rPr>
          <w:rFonts w:ascii="宋体" w:hAnsi="宋体" w:eastAsia="宋体" w:cs="宋体"/>
          <w:color w:val="000000"/>
        </w:rPr>
        <w:t xml:space="preserve">★3.1.1投标人所投低压柜产品，必须为生产厂家自主生产的原厂成套设备，不接受贴牌、代工或组装产品。低压柜产品参照施耐德电气设备工程（西安）有限公司、厦门ABB低压电器设备有限公司、西门子中压开关技术（无锡）有限公司，或同档次产品。</w:t>
      </w:r>
      <w:r>
        <w:rPr>
          <w:rFonts w:hint="eastAsia" w:ascii="宋体" w:hAnsi="宋体" w:eastAsia="宋体" w:cs="宋体"/>
          <w:b/>
          <w:bCs/>
          <w:color w:val="000000"/>
        </w:rPr>
        <w:t xml:space="preserve">投标时提供承诺书并加盖公章上传至电子投标文件中，</w:t>
      </w:r>
      <w:r>
        <w:rPr>
          <w:rFonts w:ascii="宋体" w:hAnsi="宋体" w:eastAsia="宋体" w:cs="宋体"/>
          <w:b/>
          <w:bCs/>
          <w:color w:val="000000"/>
        </w:rPr>
        <w:t xml:space="preserve">投标人在中标后、合同签订前，还须提供所投柜型生产厂家出具的产品正品承诺函（加盖厂家公章），承诺产品为原厂生产、无贴牌代工，作为</w:t>
      </w:r>
      <w:r>
        <w:rPr>
          <w:rFonts w:hint="eastAsia" w:ascii="宋体" w:hAnsi="宋体" w:eastAsia="宋体" w:cs="宋体"/>
          <w:b/>
          <w:bCs/>
          <w:color w:val="000000"/>
        </w:rPr>
        <w:t xml:space="preserve">签订合同的</w:t>
      </w:r>
      <w:r>
        <w:rPr>
          <w:rFonts w:ascii="宋体" w:hAnsi="宋体" w:eastAsia="宋体" w:cs="宋体"/>
          <w:b/>
          <w:bCs/>
          <w:color w:val="000000"/>
        </w:rPr>
        <w:t xml:space="preserve">前提。</w:t>
      </w:r>
      <w:bookmarkEnd w:id="5"/>
      <w:r>
        <w:rPr>
          <w:rFonts w:ascii="宋体" w:hAnsi="宋体" w:eastAsia="宋体" w:cs="宋体"/>
          <w:b/>
          <w:bCs/>
          <w:color w:val="000000"/>
        </w:rPr>
      </w:r>
      <w:r/>
    </w:p>
    <w:p>
      <w:pPr>
        <w:pStyle w:val="831"/>
        <w:ind w:firstLine="421"/>
        <w:jc w:val="both"/>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★3.1.2出厂前柜内所有元器件应安装测试完成，不接受现场施工改造</w:t>
      </w:r>
      <w:r>
        <w:rPr>
          <w:rFonts w:hint="eastAsia" w:ascii="宋体" w:hAnsi="宋体" w:eastAsia="宋体" w:cs="宋体"/>
          <w:color w:val="000000"/>
        </w:rPr>
        <w:t xml:space="preserve">。</w:t>
      </w:r>
      <w:r>
        <w:rPr>
          <w:rFonts w:hint="eastAsia" w:ascii="宋体" w:hAnsi="宋体" w:eastAsia="宋体" w:cs="宋体"/>
          <w:b/>
          <w:bCs/>
          <w:color w:val="000000"/>
        </w:rPr>
        <w:t xml:space="preserve">（</w:t>
      </w:r>
      <w:r>
        <w:rPr>
          <w:rFonts w:ascii="宋体" w:hAnsi="宋体" w:eastAsia="宋体" w:cs="宋体"/>
          <w:b/>
          <w:bCs/>
          <w:color w:val="000000"/>
        </w:rPr>
        <w:t xml:space="preserve">提供承诺</w:t>
      </w:r>
      <w:r>
        <w:rPr>
          <w:rFonts w:hint="eastAsia" w:ascii="宋体" w:hAnsi="宋体" w:eastAsia="宋体" w:cs="宋体"/>
          <w:b/>
          <w:bCs/>
          <w:color w:val="000000"/>
        </w:rPr>
        <w:t xml:space="preserve">书并</w:t>
      </w:r>
      <w:r>
        <w:rPr>
          <w:rFonts w:ascii="宋体" w:hAnsi="宋体" w:eastAsia="宋体" w:cs="宋体"/>
          <w:b/>
          <w:bCs/>
          <w:color w:val="000000"/>
        </w:rPr>
        <w:t xml:space="preserve">加盖公章</w:t>
      </w:r>
      <w:r>
        <w:rPr>
          <w:rFonts w:hint="eastAsia" w:ascii="宋体" w:hAnsi="宋体" w:eastAsia="宋体" w:cs="宋体"/>
          <w:b/>
          <w:bCs/>
          <w:color w:val="000000"/>
        </w:rPr>
        <w:t xml:space="preserve">上传至电子投标文件中）</w:t>
      </w:r>
      <w:r>
        <w:rPr>
          <w:rFonts w:ascii="宋体" w:hAnsi="宋体" w:eastAsia="宋体" w:cs="宋体"/>
          <w:b/>
          <w:bCs/>
          <w:color w:val="000000"/>
        </w:rPr>
      </w:r>
      <w:r/>
    </w:p>
    <w:p>
      <w:pPr>
        <w:pStyle w:val="831"/>
        <w:ind w:firstLine="421"/>
        <w:jc w:val="both"/>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★3.1.3低压柜具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机构出具的内燃弧试验报告，柜体承受能力不低于65kA/0.3s。</w:t>
      </w:r>
      <w:r>
        <w:rPr>
          <w:rFonts w:ascii="宋体" w:hAnsi="宋体" w:eastAsia="宋体" w:cs="宋体"/>
          <w:b/>
          <w:bCs/>
        </w:rPr>
        <w:t xml:space="preserve">（</w:t>
      </w:r>
      <w:r>
        <w:rPr>
          <w:rFonts w:hint="eastAsia" w:ascii="宋体" w:hAnsi="宋体" w:eastAsia="宋体" w:cs="宋体"/>
          <w:b/>
          <w:bCs/>
        </w:rPr>
        <w:t xml:space="preserve">投标时须</w:t>
      </w:r>
      <w:r>
        <w:rPr>
          <w:rFonts w:ascii="宋体" w:hAnsi="宋体" w:eastAsia="宋体" w:cs="宋体"/>
          <w:b/>
          <w:bCs/>
        </w:rPr>
        <w:t xml:space="preserve">提供具备CMA认证的检测机构出具的</w:t>
      </w:r>
      <w:r>
        <w:rPr>
          <w:rFonts w:hint="eastAsia" w:ascii="宋体" w:hAnsi="宋体" w:eastAsia="宋体" w:cs="宋体"/>
          <w:b/>
          <w:bCs/>
        </w:rPr>
        <w:t xml:space="preserve">复印件并加盖公章（原件备查）</w:t>
      </w:r>
      <w:r>
        <w:rPr>
          <w:rFonts w:ascii="宋体" w:hAnsi="宋体" w:eastAsia="宋体" w:cs="宋体"/>
          <w:b/>
          <w:bCs/>
        </w:rPr>
        <w:t xml:space="preserve">）</w:t>
      </w:r>
      <w:r>
        <w:rPr>
          <w:rFonts w:ascii="宋体" w:hAnsi="宋体" w:eastAsia="宋体" w:cs="宋体"/>
        </w:rPr>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4</w:t>
      </w:r>
      <w:r>
        <w:rPr>
          <w:rFonts w:ascii="宋体" w:hAnsi="宋体" w:eastAsia="宋体" w:cs="宋体"/>
          <w:color w:val="000000"/>
        </w:rPr>
        <w:t xml:space="preserve">设备在电磁环境中运行时，不会受到电磁干扰信号的影响而对设备产生危害；低压柜具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机构出具的电磁兼容EMC整柜试验报告。</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5</w:t>
      </w:r>
      <w:r>
        <w:rPr>
          <w:rFonts w:ascii="宋体" w:hAnsi="宋体" w:eastAsia="宋体" w:cs="宋体"/>
          <w:color w:val="000000"/>
        </w:rPr>
        <w:t xml:space="preserve">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机构出具的中国节能产品认证试验报告。</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6</w:t>
      </w:r>
      <w:r>
        <w:rPr>
          <w:rFonts w:ascii="宋体" w:hAnsi="宋体" w:eastAsia="宋体" w:cs="宋体"/>
          <w:color w:val="000000"/>
        </w:rPr>
        <w:t xml:space="preserve">低压柜具</w:t>
      </w:r>
      <w:r>
        <w:rPr>
          <w:rFonts w:hint="eastAsia" w:ascii="宋体" w:hAnsi="宋体" w:eastAsia="宋体" w:cs="宋体"/>
          <w:color w:val="000000"/>
        </w:rPr>
        <w:t xml:space="preserve">有</w:t>
      </w:r>
      <w:r>
        <w:rPr>
          <w:rFonts w:ascii="宋体" w:hAnsi="宋体" w:eastAsia="宋体" w:cs="宋体"/>
          <w:color w:val="000000"/>
        </w:rPr>
        <w:t xml:space="preserve">国内</w:t>
      </w:r>
      <w:r>
        <w:rPr>
          <w:rFonts w:hint="eastAsia" w:ascii="宋体" w:hAnsi="宋体" w:eastAsia="宋体" w:cs="宋体"/>
          <w:color w:val="000000"/>
        </w:rPr>
        <w:t xml:space="preserve">第三方</w:t>
      </w:r>
      <w:r>
        <w:rPr>
          <w:rFonts w:ascii="宋体" w:hAnsi="宋体" w:eastAsia="宋体" w:cs="宋体"/>
          <w:color w:val="000000"/>
        </w:rPr>
        <w:t xml:space="preserve">机构出具的盐雾试验报告，柜体承受时长不低于400h。</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▲3.1.</w:t>
      </w:r>
      <w:r>
        <w:rPr>
          <w:rFonts w:hint="eastAsia" w:ascii="宋体" w:hAnsi="宋体" w:eastAsia="宋体" w:cs="宋体"/>
          <w:color w:val="000000"/>
        </w:rPr>
        <w:t xml:space="preserve">7</w:t>
      </w:r>
      <w:r>
        <w:rPr>
          <w:rFonts w:ascii="宋体" w:hAnsi="宋体" w:eastAsia="宋体" w:cs="宋体"/>
          <w:color w:val="000000"/>
        </w:rPr>
        <w:t xml:space="preserve">投标产品抽屉一次插件满足JB/T 10323-2016标准，一次插件拔插次数大于2000次，提供低压成套设备一次插件检验报告。</w:t>
      </w:r>
      <w:r>
        <w:rPr>
          <w:rFonts w:hint="eastAsia" w:ascii="宋体" w:hAnsi="宋体" w:eastAsia="宋体" w:cs="宋体"/>
          <w:b/>
          <w:bCs/>
          <w:color w:val="000000"/>
        </w:rPr>
        <w:t xml:space="preserve">（投标时提供承诺书并加盖公章上传至电子投标文件中，合同签订前向采购人提供具备CMA认证的试验报告复印件并加盖公章（原件备查），供采购人审核查验，逾期未提供或资料不合格的，视同自动放弃中标资格。）</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3.2配置要求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所有与项目相关的材料、设备、精加工件、装置和系统在运输、卸货、搬运、储存、安装和运行中须确保没有损坏和失灵，能长期满容量连续运行。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3.3.标准和规范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400V低压柜及其相关电器应符合下列各现行标准的要求：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3.3.1.GB7251《低压成套开关设备和控制设备》</w:t>
      </w:r>
      <w:bookmarkStart w:id="6" w:name="_Toc13427401"/>
      <w:r/>
      <w:bookmarkStart w:id="7" w:name="_Toc13437290"/>
      <w:r/>
      <w:bookmarkStart w:id="8" w:name="_Toc13436814"/>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3.3.2.GB14048《低压开关设备和控制设备》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3.3.3.GB7947《绝缘导体和裸导体的颜色标志》</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3.3.4.JB/T9661《低压抽出式成套开关设备》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3.3.5.JB/T5877《低压固定封闭成套开关设备》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3.3.6.GB/T16935.1《低压系统内设备的绝缘配合第1部分：原理、要求和试验》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3.3.7.GB/T17886.1《标称电压1kV及以下交流电力系统用非自愈式并联电容器》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3.3.8.JB7113《低电压并联电容器装置》</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3.3.9.GB13539《低压熔断器》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3.3.10.GB 1208《电流互感器》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3.3.11.GB/T15576《低压无功功率静态补偿装置总技术条件》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3.3.12.GB4208《外壳防护等级（IP代码）》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3.3.13.GB 14285《继电保护和安全自动装置技术规程》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3.3.14.GB/T 7261《继电器及装置基本试验方法》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6"/>
      <w:r/>
      <w:bookmarkEnd w:id="7"/>
      <w:r/>
      <w:bookmarkEnd w:id="8"/>
      <w:r>
        <w:rPr>
          <w:rFonts w:ascii="宋体" w:hAnsi="宋体" w:eastAsia="宋体" w:cs="宋体"/>
          <w:color w:val="000000"/>
        </w:rPr>
        <w:t xml:space="preserve">3.3.15.DB32/T 3748-2020《35kV及以下客户端变电所建设标准》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3.3.16.DGJ32/TJ 11-2016《居住区供配电设施建设标准》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3.4低压柜运行和设计条件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3.4.1电气设备的环境设计条件如下：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（1）环境温度：最高环境温度</w:t>
        <w:tab/>
        <w:t xml:space="preserve">40℃、最低环境温度-5℃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（2）日平均温度：35℃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（3）月平均相对湿度：90%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（4）海拔高度：</w:t>
      </w:r>
      <w:r>
        <w:rPr>
          <w:rFonts w:ascii="Symbol" w:hAnsi="Symbol" w:eastAsia="Symbol" w:cs="Symbol"/>
          <w:color w:val="000000"/>
        </w:rPr>
        <w:t xml:space="preserve">£</w:t>
      </w:r>
      <w:r>
        <w:rPr>
          <w:rFonts w:ascii="宋体" w:hAnsi="宋体" w:eastAsia="宋体" w:cs="宋体"/>
          <w:color w:val="000000"/>
        </w:rPr>
        <w:t xml:space="preserve">1000m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3.4.2系统概况</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（1）系统电压：380V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（2）最高工作电压：400V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（3）系统频率：50Hz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（4）系统中性点接地方式：中性点直接接地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（5）安装地点：室内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3.4.3低压柜额定参数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（1）额定电压：400V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（2）额定绝缘电压：1000V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（3）额定冲击耐受电压：12KV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（4）过压等级：IV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（6）柜型主母线最高电流额定值：参照图纸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（7）配电母线最高电流额定值：参照图纸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（8）配电母线电流额定值：参照图纸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（9）配电母线额定短时耐受能力：参照图纸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3.4.4断路器额定参数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（1）断路器型式：框架/塑壳断路器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（2）额定电压：400V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（4）额定绝缘电压：1000V/800V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（5）额定冲击耐受电压：12KV/8KV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（6）额定电流：参照图纸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（7）额定短路性能等级：Ics=100%Icu</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（8）极数：参照图纸</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3.5详细技术要求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3.5.1一般要求</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★（1）低压开关柜应完全按照招标图纸的尺寸生产，不接收自行优化尺寸</w:t>
      </w:r>
      <w:r>
        <w:rPr>
          <w:rFonts w:hint="eastAsia" w:ascii="宋体" w:hAnsi="宋体" w:eastAsia="宋体" w:cs="宋体"/>
          <w:color w:val="000000"/>
        </w:rPr>
        <w:t xml:space="preserve">。</w:t>
      </w:r>
      <w:r>
        <w:rPr>
          <w:rFonts w:hint="eastAsia" w:ascii="宋体" w:hAnsi="宋体" w:eastAsia="宋体" w:cs="宋体"/>
          <w:b/>
          <w:bCs/>
          <w:color w:val="000000"/>
        </w:rPr>
        <w:t xml:space="preserve">（</w:t>
      </w:r>
      <w:r>
        <w:rPr>
          <w:rFonts w:ascii="宋体" w:hAnsi="宋体" w:eastAsia="宋体" w:cs="宋体"/>
          <w:b/>
          <w:bCs/>
          <w:color w:val="000000"/>
        </w:rPr>
        <w:t xml:space="preserve">须提供承诺书</w:t>
      </w:r>
      <w:r>
        <w:rPr>
          <w:rFonts w:hint="eastAsia" w:ascii="宋体" w:hAnsi="宋体" w:eastAsia="宋体" w:cs="宋体"/>
          <w:b/>
          <w:bCs/>
          <w:color w:val="000000"/>
        </w:rPr>
        <w:t xml:space="preserve">并加盖公章上传至电子投标文件）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（2）低压柜采用抽屉柜形式，为保证使用安全性和可靠性，所有设备在安装及运行后应具有标记牌，标记牌上应说明容量、操作特性形式及序号，所有设备应具有可靠的安全措施，以防意外及设备损坏。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（3）低压柜的外壳防护等级为IP31。</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（4）所有元件均应由非吸湿和非燃性材料制成。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（5）应根据招标附图设置备用回路，且每个备用单元应完成电气元件配置并全部接线。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（6）630A及以上的断路器为框架式断路器，小于630A的断路器为塑壳开关，且符合GB14048.2标准。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（7）应负责主动和变压器厂家配合，协调主母线连接，卖方应及时提供母线接口配合资料。</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3.5.2结构要求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（1）由钢板外壳封闭的框架应是垂直地面安装的刚性、自承式独立结构，并应能承受所安装元件短路时产生的动、热稳定。同时不会因为开关柜的安装、运输等情况而影响开关柜的性能。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（2）为了保障人身和设备安全，柜体内部应实现良好的分隔，母线和开关元件等各部分之间采用喷涂金属板进行分隔，开关柜外壳和内部金属板应实现可靠接地。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（3）开关柜隔室之间的开孔应确保断路器在短路分断时产生的气体不影响相邻隔室的功能单元的正常工作。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（4）低压开关柜应开设符合IP要求的通风孔。通风孔的设计和设置应使得当断路器在正常运行时或在短路情况下没有电弧或可熔金属喷出。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（5）柜体表面应采用先进的喷涂工艺，其涂层厚度和附着力要求应符合有关国际标准要求，并保证柜体能承受48h以上盐雾试验要求。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（6）每个隔室应有足够空间便于检修维护。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（7）低压柜内的电器元件、裸露的带电导体和端子等的电气距离和爬电距离应符合有关标准，同时应适合使用的环境条件。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（8）低压柜采用离墙式布置，柜后设有维护通道。</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（9）低压柜的设计应便于扩建。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（10）安装在低压柜上的断路器延伸操作手柄，应有明确的开关跳闸显示位置，防止开关跳闸状态下，延伸操作手柄误显示为合闸状态。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3.5.3框架断路器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框架断路器应满足以下技术要求：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额定电压Ue=400V，额定绝缘电压Ui=1000V，额定冲击耐受电压Uimp=12kV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（1）交流电压415V下，空气断路器的分断能力要求：Ics=100%Icu≧65kA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（2）空气断路器1秒下的短时耐受电流Icw(1s）要求：Icw(1s)≧65kA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（3）空气断路器上下、前后、左右的飞弧距离为零，保证操作人员及设备运行的安全性。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（4）空气断路器配置带LCD液晶显示屏的智能化控制单元，并具备测量和显示电流，电压，功率，电能等电参量的能力。</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（5）空气断路器具备区域选择性联锁功能，实现上下级断路器的短路短延时保护以及接地保护的完全选择性。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（6）空气断路器控制单元可记录并本地显示最近的10条脱扣事件记录。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（7）框架断路器须配置同品牌通讯模块和网关，将断路器的状态健康数据传送至智能管理单元进行数据采集和分析等功能。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3.5.4塑壳断路器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塑壳断路器应满足以下技术要求：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（1）塑壳断路器额定工作电压Ue=400V，额定绝缘电压Ui=800V，额定冲击耐受电压Uimp=8kV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（2）在400V电压下，塑壳式断路器短路分断能力应该满足Ics=100％Icu，且Ics≥50kA </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电子断路器采用带LSI三段保护电子式脱扣单元，且三段保护能同时投入，要求长延时电流Ir=0.4-1In可调；长延时时间Tr:0.5-16s(6Ir）可调；短延时电流Isd=1.5-10Ir可调；短延时保护时间Tsd=0-0.4s可调；短延时保护定时限和反时限可选；瞬时保护电流Ii=1.5-11In可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（4）塑壳断路器采用双断点的限流型产品，以减小短路故障对系统的冲击；</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（5）塑壳断路器开关具备能量脱扣技术，以减小短路故障对系统的冲击；</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（6）断路器正面都为II类绝缘，保证操作人员安全；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（7）塑壳断路器须具备测量电流、电压、电能、功率等运行参数功能，并配置同品牌通讯模块和网关，将断路器的状态健康数据传送至智能管理单元进行数据采集和分析，实现老化分析等功能。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3.5.5多功能表计</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多功能表计应满足以下技术要求：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（1）测量精度：测量精度要求为：电流/电压为0.2%，功率/电能为0.5％;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（2）实时测量：电压、电流、功率因数、频率、双向有功、无功功率和视在功率、双向有功、无功电度、总电度等；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（3）DI/DO功能：至少提供2DI和2DO，仪表应内置DC24V信号电源，对外连接无源接点即可；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（4）显示要求：抗反光宽视角LCD液晶屏，中文显示；</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（5）通讯功能：使用RS485总线/Modubs规约进行通讯，通讯速率可调最大为38400bps；</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（6）工作电源：交流工作电源85～265V，能耗4.1VA或直流工作电源100～300V能1.4W。间断时间在AC 100ms；DC 50ms；</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（7）安装方式：面板开孔，卡式安装；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3.5.6无功补偿</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（1）总体要求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a.低压无功功率补偿系统采用自动分步补偿的方式，补偿无功功率的同时，具备高压、过流保护功能，为防止谐波电压过大，对系统造成影响，需具备谐波报警功能。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b.低压无功功率补偿系统的主要元件，主要包括：断路器、功率因数控制器、投切开关、电容器、电抗器、柜体必须为同一国际知名品牌，以确保工程有良好的效果。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c.低压无功功率补偿系统的柜体结构与低压开关柜结构相同，与低压开关柜并排安装时，柜体尺寸、颜色与低压柜一致。</w:t>
      </w:r>
      <w:r/>
    </w:p>
    <w:p>
      <w:pPr>
        <w:pStyle w:val="831"/>
        <w:ind w:firstLine="421"/>
        <w:jc w:val="both"/>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▲d.电容器应具备中国质量认证中心（CQC）出具的产品认证证书。</w:t>
      </w:r>
      <w:r>
        <w:rPr>
          <w:rFonts w:hint="eastAsia" w:ascii="宋体" w:hAnsi="宋体" w:eastAsia="宋体" w:cs="宋体"/>
          <w:b/>
          <w:bCs/>
          <w:color w:val="000000"/>
        </w:rPr>
        <w:t xml:space="preserve">（投标时提供承诺书并加盖公章上传至电子投标文件中，合同签订前向采购人提供</w:t>
      </w:r>
      <w:r>
        <w:rPr>
          <w:rFonts w:ascii="宋体" w:hAnsi="宋体" w:eastAsia="宋体" w:cs="宋体"/>
          <w:b/>
          <w:bCs/>
          <w:color w:val="000000"/>
        </w:rPr>
        <w:t xml:space="preserve">产品认证证书</w:t>
      </w:r>
      <w:r>
        <w:rPr>
          <w:rFonts w:hint="eastAsia" w:ascii="宋体" w:hAnsi="宋体" w:eastAsia="宋体" w:cs="宋体"/>
          <w:b/>
          <w:bCs/>
          <w:color w:val="000000"/>
        </w:rPr>
        <w:t xml:space="preserve">复印件并加盖公章（原件备查），供采购人审核查验，逾期未提供或资料不合格的，视同自动放弃中标资格。）</w:t>
      </w:r>
      <w:r>
        <w:rPr>
          <w:rFonts w:ascii="宋体" w:hAnsi="宋体" w:eastAsia="宋体" w:cs="宋体"/>
          <w:b/>
          <w:bCs/>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（2）电容器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a.电容器应为干式自愈电容器，内部应具有完善保护系统对电容器的过压力、过电流进行保护。</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c.系统电压在400V时，电容器的额定电压应至少选择480V及以上，且电容器容量应该为系统电压下的实际输出容量。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d.环境温度：-25°C～+55°C</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e.过电压：1.1Un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f.最大过电流：1.5In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g.最大浪涌耐受电流：200In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h.使用寿命：100,000小时</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i.损耗：小于0.2W/KVAR（不包含外部放电电阻</w:t>
      </w:r>
      <w:bookmarkStart w:id="9" w:name="_Hlk508972662"/>
      <w:r>
        <w:rPr>
          <w:rFonts w:ascii="宋体" w:hAnsi="宋体" w:eastAsia="宋体" w:cs="宋体"/>
          <w:color w:val="000000"/>
        </w:rPr>
        <w:t xml:space="preserve">），小于0.5W/KVAR（包含外部放电电阻）</w:t>
      </w:r>
      <w:bookmarkEnd w:id="9"/>
      <w:r>
        <w:rPr>
          <w:rFonts w:ascii="宋体" w:hAnsi="宋体" w:eastAsia="宋体" w:cs="宋体"/>
          <w:color w:val="000000"/>
        </w:rPr>
        <w:t xml:space="preserve">。</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j.端子与外壳间的耐压：3000V（AC）10s</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k.电容器接线端子应为防触电设计。</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l.电容器与柜体、距地及电容器相互间的距离应符合规范要求，以保证其热量的散发。</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m.可应用海拔高度：≤2000m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n.基于安全性及散热需求需减少电容器内部连接点：单只电容器内部每相只有一个单元，不能存在多个单元连接；同时单只电容器在系统电压下输出容量不超过25kvar，电容器与柜体、距地及电容器相互间的距离应符合规范要求，以保证其热量的散发。</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o.单相电容、单相电抗须为每相一只单体电容、单体电抗；A、B、C三相为三只单相电容、单相电抗采取Y型接法；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（3）电抗器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a.三相干式电抗器，高度线性磁环流</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b.额定电压：400V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c.每相电感误差：±5%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d.三相介电测试绕组与绕组，绕组对地：4kV，1min</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e.必须具备过温报警接点，接点容量：250VAC 2A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f.绝缘耐热等级：H</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3.5.7无线测温系统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0" w:name="_Toc223206870"/>
      <w:r>
        <w:rPr>
          <w:rFonts w:ascii="宋体" w:hAnsi="宋体" w:eastAsia="宋体" w:cs="宋体"/>
          <w:color w:val="000000"/>
        </w:rPr>
        <w:t xml:space="preserve">针对德经楼配电柜低压柜重要回路及敏感电气节点，优先对主进线柜、母联柜、抽屉柜设置无线测温系统。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0"/>
      <w:r>
        <w:rPr>
          <w:rFonts w:ascii="宋体" w:hAnsi="宋体" w:eastAsia="宋体" w:cs="宋体"/>
          <w:color w:val="000000"/>
        </w:rPr>
        <w:t xml:space="preserve">（1）进线柜、母联柜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a.框架断路器进出线（6点测温）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b.为框架断路器的进线母排三相连接点和出线母排三相连接点分别设置3点测温。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c.采用无线单相温度传感器，无源感应取电，工作电流5A；绑扎固定，适用于单片排以及多片排安装；接触式测温，测温范围-25℃-150℃。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（2）水平垂直母排连接（3点测温）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a.母排特别是主母排连接处通常为配电柜内温度最高的区域，方案建议为进线柜、母联柜的水平母排和垂直母排搭接处设置3点测温。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b.采用无线单相温度传感器，无源感应取电，工作电流5A；绑扎固定，适用于单片排以及多片排安装；接触式测温，测温范围-25℃-150℃。</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（3）抽屉柜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a.抽屉回路（3点测温）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由于配电系统抽屉馈电回路较多，而在抽屉的运行维护多次抽插操作过程中可能会导致抽屉回路内部的一次插接件的松动，从而带来异常温升和安全隐患，但由于空间紧凑安装位置隐蔽，因此是配电柜中普遍被忽视的关键发热点。</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w:t>
      </w:r>
      <w:r>
        <w:rPr>
          <w:rFonts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1143000</wp:posOffset>
                </wp:positionH>
                <wp:positionV relativeFrom="paragraph">
                  <wp:posOffset>97790</wp:posOffset>
                </wp:positionV>
                <wp:extent cx="2861310" cy="169227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861310" cy="169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margin;margin-left:90.0pt;mso-position-horizontal:absolute;mso-position-vertical-relative:text;margin-top:7.7pt;mso-position-vertical:absolute;width:225.3pt;height:133.2pt;mso-wrap-distance-left:9.0pt;mso-wrap-distance-top:0.0pt;mso-wrap-distance-right:9.0pt;mso-wrap-distance-bottom:0.0pt;" stroked="f">
                <v:path textboxrect="0,0,0,0"/>
                <w10:wrap type="topAndBottom"/>
                <v:imagedata r:id="rId13" o:title=""/>
              </v:shape>
            </w:pict>
          </mc:Fallback>
        </mc:AlternateContent>
      </w:r>
      <w:r>
        <w:rPr>
          <w:rFonts w:ascii="宋体" w:hAnsi="宋体" w:eastAsia="宋体" w:cs="宋体"/>
          <w:color w:val="000000"/>
        </w:rPr>
        <w:t xml:space="preserve">3点测温采用无线多相温度传感器，无源感应取电，工作电流5A；绑扎固定，可用于母排及电缆；外置测温探头，接触式测温，测温范围-25℃-150℃，支持三相测温。</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（4）无线测温整体技术要求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a.能够实时的采集并监测关键回路和位置的温度，快速识别开关设备的潜在故障，并能够在缺陷初期，通过站级监控系统发出预警信息，防止潜在故障的进一步发展，温度信号上传至电力监控系统。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测温传感器无源感应取电，以便及时发现由设备接触不良、电流过载等因素引起的温升过高的故障隐患，采用温度在线监测方案和无线信号传输方式。测温方案需配合柜体完成极端运行情况如短路故障的试验，保证柜体在极端情况出现后，仍能正常工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测温设备需采用无线信号传输及一次自供电技术，禁止使用高温易爆易燃的电池解决方案，温度传感器需能够在开关设备极限运行条件（搭接点温度115度及短时耐受电流后）下正常工作。温度在线监测方案须在开关设备服役期内正常工作且无需进行任何元器件的更换。温度在线监测设备须有行业客户运行的成熟经验。</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（5）系统架构</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无线测温系统在配电柜中设置核心智能网关，通过Zigbee无线通讯采集监控各个测温节点的实时运行温度以及各个测温传感器的工作状态，并通过以太网通讯方式连接至后台监控系统或本地监控软件，以实现在监控系统中对测温系统运行数据的实时监控、异常报警和分析以及历史查询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4.母线槽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1" w:name="_Toc384224657"/>
      <w:r>
        <w:rPr>
          <w:rFonts w:ascii="宋体" w:hAnsi="宋体" w:eastAsia="宋体" w:cs="宋体"/>
          <w:color w:val="000000"/>
        </w:rPr>
        <w:t xml:space="preserve">4.1.母线槽应用一般要求</w:t>
      </w:r>
      <w:bookmarkEnd w:id="11"/>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投标方所投标设备须能在下列条件下正常工作：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4.1.1.海拔高度：2000m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4.1.2.相对湿度：</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4.1.3.相对湿度：≤90％（25℃）</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2" w:name="_Toc384224658"/>
      <w:r>
        <w:rPr>
          <w:rFonts w:ascii="宋体" w:hAnsi="宋体" w:eastAsia="宋体" w:cs="宋体"/>
          <w:color w:val="000000"/>
        </w:rPr>
        <w:t xml:space="preserve">4.2.电气要求</w:t>
      </w:r>
      <w:bookmarkEnd w:id="12"/>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4.2.1.额定电压：660V</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4.2.2.额定绝缘电压：1000V AC</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4.2.3.额定频率：50Hz</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4.2.4.电流范围：400A—6300A</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4.2.5.耐热等级：≥B级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4.2.6.绝缘等级：≥B级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4.2.7.工频耐压：3500V AV无击穿，无闪络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4.2.8.绝缘电阻：每段母线槽单元的绝缘电阻均应大于等于20MΩ，线路总体绝缘电阻大于等于0.5MΩ.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4.2.9.短路强度：母线槽能承受国家规定的额定短时耐受电流和额定峰值所产生的热应力和电动力。</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4.3结构要求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4.3.1.低压封闭密集型母线结构紧凑，外壳与导体整体接触，母排间无明显空气间距，母线内部无空气流动，没有烟囱效应。</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4.3.2.密集型封闭母线外壳应采用铝镁合金型材，外壳表面应光滑平整，具有很高的耐腐蚀性。整洁美观，无起泡、裂纹或流痕等缺陷。外壳装配以铆接为优，以保证母线槽足够的机械性能，和外壳的整个电气连续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4.3.3.母线外壳可用作整体接地，最大限度的提供大容量电网配电的保护，为接地故障提供可靠的接地路径。外壳作整体接地需满足：段间连接器除保证两节母线内部导体连接可靠外，还需保证外壳间具可靠电气连续性，以保证各节母线槽外壳之间具有足够的电气连续性，外壳任意一处载流量大于等于50%相线容量。其有效接地容量不小于相线的50％。提供第三方国家级权威机构认证或检测报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4.3.4.母线整体散热快，额定负荷状态下温升符合国标要求：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9"/>
        <w:gridCol w:w="2885"/>
        <w:gridCol w:w="2045"/>
      </w:tblGrid>
      <w:tr>
        <w:trPr>
          <w:trHeight w:val="284"/>
        </w:trPr>
        <w:tc>
          <w:tcPr>
            <w:tcW w:w="879" w:type="dxa"/>
            <w:vAlign w:val="center"/>
            <w:textDirection w:val="lrTb"/>
            <w:noWrap w:val="false"/>
          </w:tcPr>
          <w:p>
            <w:pPr>
              <w:pStyle w:val="831"/>
              <w:ind w:firstLine="21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母线单元</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温升要求</w:t>
            </w:r>
            <w:r/>
          </w:p>
        </w:tc>
      </w:tr>
      <w:tr>
        <w:trPr>
          <w:trHeight w:val="364"/>
        </w:trPr>
        <w:tc>
          <w:tcPr>
            <w:tcW w:w="879"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母线固定连接处</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≤70K</w:t>
            </w:r>
            <w:r/>
          </w:p>
        </w:tc>
      </w:tr>
      <w:tr>
        <w:trPr>
          <w:trHeight w:val="300"/>
        </w:trPr>
        <w:tc>
          <w:tcPr>
            <w:tcW w:w="879"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外壳和覆板</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≤55K</w:t>
            </w:r>
            <w:r/>
          </w:p>
        </w:tc>
      </w:tr>
      <w:tr>
        <w:trPr/>
        <w:tc>
          <w:tcPr>
            <w:tcW w:w="879"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W w:w="288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母排温升</w:t>
            </w:r>
            <w:r/>
          </w:p>
        </w:tc>
        <w:tc>
          <w:tcPr>
            <w:tcW w:w="2045" w:type="dxa"/>
            <w:vAlign w:val="center"/>
            <w:textDirection w:val="lrTb"/>
            <w:noWrap w:val="false"/>
          </w:tcPr>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≤70K</w:t>
            </w:r>
            <w:r/>
          </w:p>
        </w:tc>
      </w:tr>
    </w:tbl>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4.4导体要求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4.4.1母线槽导体采用优质电解铜轧制成的TMY电工硬铜排，纯度≥99.95，硬度≥65，电阻率≤0.0177Ω·m，铜牌排厚度不得低于5mm。</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4.4.2母排表面镀锡处，保证良好的抗氧化和防腐蚀能力，母排切割面平整，保证良好的电气连接。</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4.4.3若投标厂家没有取得外壳整体接地的第三方国家级权威机构认证或检测报告。则需要提供单独接地导体产品，接地排选用电气级别铜材，具有相导体50%接地容量。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4.5绝缘材料要求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密集型封闭母线槽的绝缘介质要求采用性能和质量不低于美国杜邦生产的B级以上绝缘的聚脂薄膜整体包裹每相母排，在130摄氏度时绝缘材料的各项性能指标不会下降，绝缘老化寿命达到30年以上。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3" w:name="_Hlk52371378"/>
      <w:r/>
      <w:bookmarkStart w:id="14" w:name="_Hlk161599967"/>
      <w:r/>
      <w:bookmarkStart w:id="15" w:name="_Hlk145603431"/>
      <w:r>
        <w:rPr>
          <w:rFonts w:ascii="宋体" w:hAnsi="宋体" w:eastAsia="宋体" w:cs="宋体"/>
          <w:color w:val="000000"/>
        </w:rPr>
        <w:t xml:space="preserve">5.电力监控系统</w:t>
      </w:r>
      <w:bookmarkEnd w:id="13"/>
      <w:r/>
      <w:bookmarkStart w:id="16" w:name="_Hlk52371444"/>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7" w:name="_Hlk221356045"/>
      <w:r>
        <w:rPr>
          <w:rFonts w:ascii="宋体" w:hAnsi="宋体" w:eastAsia="宋体" w:cs="宋体"/>
          <w:color w:val="000000"/>
        </w:rPr>
        <w:t xml:space="preserve">5.1总体要求</w:t>
      </w:r>
      <w:r/>
    </w:p>
    <w:p>
      <w:pPr>
        <w:pStyle w:val="831"/>
        <w:ind w:firstLine="421"/>
        <w:jc w:val="both"/>
        <w:spacing w:line="360" w:lineRule="auto"/>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★本项目安装在德经楼变电所的电力监控系统，须完成与中心开闭所现有电力监控系统的对接，投标人应充分考虑系统兼容性</w:t>
      </w:r>
      <w:r>
        <w:rPr>
          <w:rFonts w:hint="eastAsia" w:ascii="宋体" w:hAnsi="宋体" w:eastAsia="宋体" w:cs="宋体"/>
          <w:color w:val="000000"/>
        </w:rPr>
        <w:t xml:space="preserve">保证系统可以正常运行。</w:t>
      </w:r>
      <w:r>
        <w:rPr>
          <w:rFonts w:hint="eastAsia" w:ascii="宋体" w:hAnsi="宋体" w:eastAsia="宋体" w:cs="宋体"/>
          <w:b/>
          <w:bCs/>
          <w:color w:val="000000"/>
        </w:rPr>
        <w:t xml:space="preserve">（投标时提供承诺书并加盖公章上传至电子投标文件中，合同签订前向采购人提供原中心开闭所电力监控系统原厂厂家出具的软件兼容性确认函并加盖原厂厂家公章，供采购人审核查验，逾期未提供或资料不合格的，视同自动放弃中标资格。）</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5.2技术要求</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5.2.1系统概述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（1）电力监控系统应实现中低压一体化运行维护管理、电能质量管理、设备资产管理及能耗管理，采用全中文操作界面，兼容Windows操作系统。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18" w:name="_Hlk508866834"/>
      <w:r/>
      <w:bookmarkStart w:id="19" w:name="_Hlk508870792"/>
      <w:r>
        <w:rPr>
          <w:rFonts w:ascii="宋体" w:hAnsi="宋体" w:eastAsia="宋体" w:cs="宋体"/>
          <w:color w:val="000000"/>
        </w:rPr>
        <w:t xml:space="preserve">（2）支持常见标准协议接口：IEC61850、ModbusRTU、ModbusTCP、DNP3.0、ION、BACnet/IP、KNXnet/IP、OPC DA Client、OPC UA Client，并支持OPC DA、OPC AE、OPC UA服务端标准接口以便跨系统数据集成。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（3）支持基于IEC61850的综保和电能质量仪表数据集成。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（4）系统软件在故障分析、能源管理、设备健康分析等方面应具备核心专利技术以确保软件先进性和结果准确性。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0" w:name="_Toc408577363"/>
      <w:r/>
      <w:bookmarkStart w:id="21" w:name="_Toc223409047"/>
      <w:r>
        <w:rPr>
          <w:rFonts w:ascii="宋体" w:hAnsi="宋体" w:eastAsia="宋体" w:cs="宋体"/>
          <w:color w:val="000000"/>
        </w:rPr>
        <w:t xml:space="preserve">5.2.2功能描述</w:t>
      </w:r>
      <w:bookmarkEnd w:id="20"/>
      <w:r>
        <w:rPr>
          <w:rFonts w:ascii="宋体" w:hAnsi="宋体" w:eastAsia="宋体" w:cs="宋体"/>
          <w:color w:val="000000"/>
        </w:rPr>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21"/>
      <w:r>
        <w:rPr>
          <w:rFonts w:ascii="宋体" w:hAnsi="宋体" w:eastAsia="宋体" w:cs="宋体"/>
          <w:color w:val="000000"/>
        </w:rPr>
        <w:t xml:space="preserve">（1）系统运行监控</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8"/>
      <w:r/>
      <w:bookmarkEnd w:id="19"/>
      <w:r>
        <w:rPr>
          <w:rFonts w:ascii="宋体" w:hAnsi="宋体" w:eastAsia="宋体" w:cs="宋体"/>
          <w:color w:val="000000"/>
        </w:rPr>
        <w:t xml:space="preserve">a.支持动态单线图，实时监视各回路运行状态、测量值和相关保护信号。</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b.提供用户可配置的图形编辑环境，包括：设施图、平面图、楼层布局等。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c.提供基于脚本的二次开发能力，方便用户自定义复杂的图元显示和操作。</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d.提供网络拓扑图实现通讯状态监视和网络诊断。</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e.支持遥控和设置操作，实现复位、触发、切换、开关、手动波形捕获等功能。</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f.支持趋势应用，附带图表可实时预测分析关键参数，如电压电流、功率、电能消耗等。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g.提供容量分析功能，结合负载动态分析呈现各回路剩余容量百分比。</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h.提供智能断路器老化分析，综合断路器动作次数、动作电流与环境信息进行寿命分析预测，提供对应的断路器老化分析报告及配置信息报告。</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（2）报警和事件分析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a.支持用户自定义报警信息、报警策略、分级告警颜色。</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b.报警信息应包括详细描述，如报警类型、对象、内容、时间、确认状态等，支持按类型、时间段、发生源、等级等不同方式查询，可查阅历史报警信息。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c.支持将多个事件智能归类为报警，将多个设备报警归类为“事故”，以简化级联事件分析。通过电力事件造成的负载损失百分比，按照系统影响排定报警优先次序。</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d.系统软件应提供配电网中构成“事故”的报警和事件的按照时间轴进行图形化展示和分析，能够标识是否存在与该事故关联的捕获波形，提供智能波形分析界面。</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（3）资产健康专家应用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力监控系统应具备设备健康分析管理功能，打通设备之间的互联互通，深度分析关键设备信息，避免设备特性数据的数据孤岛出现，为用户提供关键电力设备的资产管理、预测性维护等核心价值，以实现风险预报预警，提升运维效率，实现从被动运维到主动预测性维护转变。</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功能应满足如下：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a.系统软件应支持完整的配电资产结构导航方式，可以便捷的浏览全局资产信息查看，快捷导航至资产详细信息内容，查看资产铭牌信息及资产清单；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b.系统软件可通过各种传感数据的累积与分析，对中低压配电柜进行多维度监测；</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c.系统软件可通过导航栏选择，显示开关柜、间隔等各类信息。包括：开关柜总览、温度传感器温度、断路器状态、变压器温度等视图；</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d.系统软件应支持动态温度告警功能。通过测温点绘制实时温度及曲线，结合负载电流，与动态温升告警曲线对比，可直观监测关键部件的温度与越限情况，可以实时智能化调整温度告警值，形成告警消息通知。</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e.系统软件应支持低压智能断路器健康度分析，结合环境温湿度、震动、灰尘等因素综合评估断路器健康状态情况，呈现断路器综合健康、触头磨损率、电气健康、机械健康、环境腐蚀健康等多项老化指标</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f.系统软件应支持对第三方设备自定义设备视图模板，创建设备资产铭牌信息，统一管理设备的说明书、图纸等文档资料，提供页面下载能力，并适用于配电柜、元件等不同等级的电气节点。</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7"/>
      <w:r>
        <w:rPr>
          <w:rFonts w:ascii="宋体" w:hAnsi="宋体" w:eastAsia="宋体" w:cs="宋体"/>
          <w:color w:val="000000"/>
        </w:rPr>
        <w:t xml:space="preserve">6.智能管理单元</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1</w:t>
      </w:r>
      <w:r>
        <w:rPr>
          <w:rFonts w:ascii="宋体" w:hAnsi="宋体" w:eastAsia="宋体" w:cs="宋体"/>
          <w:color w:val="000000"/>
        </w:rPr>
        <w:t xml:space="preserve">智能管理单元应基于各厂家的技术手段，通过不同的方式实现，如配置智能管理单元，或配置智能监控模块，或者配置智能专家系统等。为便于低压开关柜在配电室内的便利运行维护，配电柜应按照配电室，或者按照母线段配置就地的监测运维单元，应提供不小于15/18英寸的数据显示单元，对配电室内部的数据进行集中的采集、分析和呈现。</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2</w:t>
      </w:r>
      <w:r>
        <w:rPr>
          <w:rFonts w:ascii="宋体" w:hAnsi="宋体" w:eastAsia="宋体" w:cs="宋体"/>
          <w:color w:val="000000"/>
        </w:rPr>
        <w:t xml:space="preserve">智能管理单元应采用软硬件一体化的运维单元，避免重复组态造成的配置错误，实现对配电室内的资产的运行维护管理功能。监测运维单元监测能力不低于200个设备，应支持在配电柜内直接集成安装，应支持工厂预成安装。</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3</w:t>
      </w:r>
      <w:r>
        <w:rPr>
          <w:rFonts w:ascii="宋体" w:hAnsi="宋体" w:eastAsia="宋体" w:cs="宋体"/>
          <w:color w:val="000000"/>
        </w:rPr>
        <w:t xml:space="preserve">智能管理单元主要用以实现提高配电系统可靠性、连续性、安全性。对关键回路实现故障预警、故障诊断及关键设备操作指导。</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4</w:t>
      </w:r>
      <w:r>
        <w:rPr>
          <w:rFonts w:ascii="宋体" w:hAnsi="宋体" w:eastAsia="宋体" w:cs="宋体"/>
          <w:color w:val="000000"/>
        </w:rPr>
        <w:t xml:space="preserve">智能管理单元应采用分布式的部署，至少在每个变电所独立配置一套，完成该变电所内关键回路的智能管理。</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rFonts w:hint="eastAsia" w:ascii="宋体" w:hAnsi="宋体" w:eastAsia="宋体" w:cs="宋体"/>
          <w:color w:val="000000"/>
        </w:rPr>
        <w:t xml:space="preserve">5</w:t>
      </w:r>
      <w:r>
        <w:rPr>
          <w:rFonts w:ascii="宋体" w:hAnsi="宋体" w:eastAsia="宋体" w:cs="宋体"/>
          <w:color w:val="000000"/>
        </w:rPr>
        <w:t xml:space="preserve">智能管理单元应提供触控的操作方式，以便运维人员随时查阅。图形化、可视化地呈现电力设备运行情况，以便运维人员清晰理解，做出正确的分析与判断。</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7.智慧巡检系统</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本系统旨在构建全面的数视融合一体的变电</w:t>
      </w:r>
      <w:r>
        <w:rPr>
          <w:rFonts w:ascii="宋体" w:hAnsi="宋体" w:eastAsia="宋体" w:cs="宋体"/>
          <w:color w:val="000000"/>
        </w:rPr>
        <w:t xml:space="preserve">所管理系统，满足新型变电所管理的“实时化监测、自动化预警、精准化管控”的管理核心要求。本系统须建设统一监控平台，将电力运行参数、电力设备运行状态、温度、电能计量数据等以及配电房内环境数据，进行集中采集和分析，实现信息化、自动化、智能化的能源监管平台，并以数视融合的方式直接展示，实现设备状态的实时可视化和便捷监控，并能迅速定位安全隐患，数据带有时间戳，编码后的画面不可篡改，确保了画面追溯的真是可靠性，对加快异常事故发现时间、故障响应速度、故障处理效率、提高运营管理效率以及降低运维成本有着非常必要和重要的意义。</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系统依托物联网、大数据和人工智能技术，通过软硬件一体化的设计，建设成为切合配电房实际应用的，能够保障变电所生产安全运行的监控体系。本系统可在一定程度上代替人工完成设备的巡检工作，降低人工巡检频次，减少运维人员投入，降低人员成本。智慧巡检系统后台配置系统由以下几个部分组成：</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7.1基础信息管理：管理项目基本信息、用户角色、系统字典、系统参数、设备和属性图标等基础信息。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7.2空间管理：管理配电房基础信息和空间信息。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7.3设备管理：管理项目中的机房设备、摄像机和门禁等各类设备，及其相关子系统、物模型、设备运行状态等信息。</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7.4报警管理：管理配置监测和报警规则，支持配置通知方式和内容模板，支持查看全部历史报警记录。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7.5巡检管理：管理各个机房的自动巡检点配置，管理巡检计划配置，支持查看全部历史巡检任务。</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7.6数据分析：按物模型设置数据存储规则，该部分数据主要用于生成报告报表。</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End w:id="14"/>
      <w:r/>
      <w:bookmarkEnd w:id="15"/>
      <w:r/>
      <w:bookmarkEnd w:id="16"/>
      <w:r>
        <w:rPr>
          <w:rFonts w:ascii="宋体" w:hAnsi="宋体" w:eastAsia="宋体" w:cs="宋体"/>
          <w:color w:val="000000"/>
        </w:rPr>
        <w:t xml:space="preserve">（三）主要设备材料清单及安全器具清单</w:t>
      </w:r>
      <w:r/>
    </w:p>
    <w:p>
      <w:pPr>
        <w:pStyle w:val="831"/>
        <w:ind w:firstLine="421"/>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2" w:name="_Toc224663315"/>
      <w:r>
        <w:rPr>
          <w:rFonts w:ascii="宋体" w:hAnsi="宋体" w:eastAsia="宋体" w:cs="宋体"/>
          <w:color w:val="000000"/>
        </w:rPr>
        <w:t xml:space="preserve">1.主要设备材料清单</w:t>
      </w:r>
      <w:bookmarkEnd w:id="22"/>
      <w:r>
        <w:rPr>
          <w:rFonts w:ascii="宋体" w:hAnsi="宋体" w:eastAsia="宋体" w:cs="宋体"/>
          <w:color w:val="000000"/>
        </w:rPr>
      </w:r>
      <w:r/>
    </w:p>
    <w:tbl>
      <w:tblPr>
        <w:tblW w:w="93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1"/>
        <w:gridCol w:w="3894"/>
        <w:gridCol w:w="783"/>
        <w:gridCol w:w="792"/>
        <w:gridCol w:w="1452"/>
      </w:tblGrid>
      <w:tr>
        <w:trPr>
          <w:tblHeader/>
        </w:trPr>
        <w:tc>
          <w:tcPr>
            <w:tcW w:w="783"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p>
        </w:tc>
        <w:tc>
          <w:tcPr>
            <w:tcW w:w="1651"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p>
        </w:tc>
        <w:tc>
          <w:tcPr>
            <w:tcW w:w="3894"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规格</w:t>
            </w:r>
            <w:r/>
          </w:p>
        </w:tc>
        <w:tc>
          <w:tcPr>
            <w:tcW w:w="783"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单位</w:t>
            </w:r>
            <w:r/>
          </w:p>
        </w:tc>
        <w:tc>
          <w:tcPr>
            <w:tcW w:w="792"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数量</w:t>
            </w:r>
            <w:r/>
          </w:p>
        </w:tc>
        <w:tc>
          <w:tcPr>
            <w:tcW w:w="1452" w:type="dxa"/>
            <w:vAlign w:val="center"/>
            <w:textDirection w:val="lrTb"/>
            <w:noWrap w:val="false"/>
          </w:tcPr>
          <w:p>
            <w:pPr>
              <w:pStyle w:val="831"/>
              <w:jc w:val="center"/>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备注</w:t>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变压器</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干式变压器，SCB14-1000kVA 10/0.4kV,10±2*2.5%/0.4kV,D,yn11,Uk=6%，二级能效</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含减震装置</w:t>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变压器柜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ZBN2-10</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含软连接及连接铜排</w:t>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10kV进线柜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SM6-IMP（高压柜）</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10kV出线柜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SM6-QM（高压柜）</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p>
        </w:tc>
        <w:tc>
          <w:tcPr>
            <w:tcW w:w="1651"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低压进线柜</w:t>
            </w:r>
            <w:r/>
          </w:p>
        </w:tc>
        <w:tc>
          <w:tcPr>
            <w:tcW w:w="3894"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低压原厂柜</w:t>
            </w:r>
            <w:r/>
          </w:p>
        </w:tc>
        <w:tc>
          <w:tcPr>
            <w:tcW w:w="783"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台</w:t>
            </w:r>
            <w:r/>
          </w:p>
        </w:tc>
        <w:tc>
          <w:tcPr>
            <w:tcW w:w="79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W w:w="1452" w:type="dxa"/>
            <w:vAlign w:val="center"/>
            <w:textDirection w:val="lrTb"/>
            <w:noWrap w:val="false"/>
          </w:tcPr>
          <w:p>
            <w:pPr>
              <w:pStyle w:val="831"/>
              <w:jc w:val="center"/>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低压出线柜</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低压原厂柜</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低压母联柜</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低压原厂柜</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电容柜</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300kVar</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一套2台，共4台</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电力监控系统及智能管理单元</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密集型母线槽</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2000A，三相五线制</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2套，每套6米</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风筒</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400*400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28</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2套，每套14米</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风机</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AC220V，550W，转速1450r/min，流量5870m/h,</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风机控制箱</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含风机控制箱及附件</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个</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变压器中性点接地线</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VV-1.0-1*150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2根，配罗帽、垫圈</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槽钢</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C10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角钢</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∠50*5</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花纹钢板</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δ=6m㎡</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接地扁钢（热镀锌）</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-50*6</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100</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门口防鼠装置</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高压电缆</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ZC-YJV22-8.7/15kV-3*70</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2根</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高压电缆头</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10kV户内型，冷缩终端，3*70，铜</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含附件</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控制电缆</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KVVP2-0.45/0.75-6*2.5</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23</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槽钢防锈处理</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槽钢防锈处理并刷防锈漆</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米</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70</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根据实际情况确定</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模拟图板</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电子显示屏，宽2.5米、高1.8米</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定制</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规章制度牌</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26</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绝缘垫</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每卷5米</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卷</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27</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配电房智慧巡检系统</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28</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低压电缆终端</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更换22个出线回路共24套低压电缆终端</w:t>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24</w:t>
            </w:r>
            <w:r/>
          </w:p>
        </w:tc>
        <w:tc>
          <w:tcPr>
            <w:tcW w:w="145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见低压电缆终端更换清单</w:t>
            </w:r>
            <w:r/>
          </w:p>
        </w:tc>
      </w:tr>
      <w:tr>
        <w:trPr/>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29</w:t>
            </w:r>
            <w:r/>
          </w:p>
        </w:tc>
        <w:tc>
          <w:tcPr>
            <w:tcW w:w="165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无线测温系统</w:t>
            </w:r>
            <w:r/>
          </w:p>
        </w:tc>
        <w:tc>
          <w:tcPr>
            <w:tcW w:w="3894"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7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79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52" w:type="dxa"/>
            <w:vAlign w:val="center"/>
            <w:textDirection w:val="lrTb"/>
            <w:noWrap w:val="false"/>
          </w:tcPr>
          <w:p>
            <w:pPr>
              <w:pStyle w:val="831"/>
              <w:jc w:val="both"/>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bl>
    <w:p>
      <w:pPr>
        <w:pStyle w:val="831"/>
        <w:ind w:firstLine="421"/>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3" w:name="_Toc224663316"/>
      <w:r>
        <w:rPr>
          <w:rFonts w:hint="eastAsia" w:ascii="宋体" w:hAnsi="宋体" w:eastAsia="宋体" w:cs="宋体"/>
          <w:color w:val="000000"/>
        </w:rPr>
        <w:t xml:space="preserve">2.低压电缆终端更换清单</w:t>
      </w:r>
      <w:bookmarkEnd w:id="23"/>
      <w:r>
        <w:rPr>
          <w:rFonts w:hint="eastAsia" w:ascii="宋体" w:hAnsi="宋体" w:eastAsia="宋体" w:cs="宋体"/>
          <w:color w:val="000000"/>
        </w:rPr>
      </w:r>
      <w:r/>
    </w:p>
    <w:tbl>
      <w:tblPr>
        <w:tblW w:w="93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399"/>
        <w:gridCol w:w="1816"/>
        <w:gridCol w:w="2218"/>
        <w:gridCol w:w="683"/>
        <w:gridCol w:w="648"/>
        <w:gridCol w:w="1800"/>
      </w:tblGrid>
      <w:tr>
        <w:trPr>
          <w:tblHeader/>
        </w:trPr>
        <w:tc>
          <w:tcPr>
            <w:tcW w:w="770"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序号</w:t>
            </w:r>
            <w:r/>
          </w:p>
        </w:tc>
        <w:tc>
          <w:tcPr>
            <w:tcW w:w="1399"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负荷名称</w:t>
            </w:r>
            <w:r/>
          </w:p>
        </w:tc>
        <w:tc>
          <w:tcPr>
            <w:tcW w:w="1816"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原出线电缆规格</w:t>
            </w:r>
            <w:r/>
          </w:p>
        </w:tc>
        <w:tc>
          <w:tcPr>
            <w:tcW w:w="2218"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电缆终端规格</w:t>
            </w:r>
            <w:r/>
          </w:p>
        </w:tc>
        <w:tc>
          <w:tcPr>
            <w:tcW w:w="683"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单位</w:t>
            </w:r>
            <w:r/>
          </w:p>
        </w:tc>
        <w:tc>
          <w:tcPr>
            <w:tcW w:w="648"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数量</w:t>
            </w:r>
            <w:r/>
          </w:p>
        </w:tc>
        <w:tc>
          <w:tcPr>
            <w:tcW w:w="1800"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柜号</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一层北空调</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AL11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AL31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AL51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ALK31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一层南空调</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1AA4（原11G）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AEL11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1AA5（原15G）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ALK51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1AA5（原15G）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专二楼AL01柜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2*(YJV-0.6/1kV-5*150)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1AA5（原15G）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专二机房</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1AA6（原17G）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专二楼AL03柜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1AA6（原17G）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AL21二层照明</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2AA4（原12G）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AL41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2AA4（原12G）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ALK21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2AA4（原12G）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AEL11事故照明</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2AA5（原16G）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ALK41四层空调</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1kV电缆终端，5*50，户内终端，冷缩，铜</w:t>
            </w:r>
            <w:r/>
          </w:p>
        </w:tc>
        <w:tc>
          <w:tcPr>
            <w:tcW w:w="683" w:type="dxa"/>
            <w:vAlign w:val="center"/>
            <w:textDirection w:val="lrTb"/>
            <w:noWrap w:val="false"/>
          </w:tcPr>
          <w:p>
            <w:pPr>
              <w:pStyle w:val="831"/>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2AA5（原16G）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专二楼AL02柜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2*(YJV-0.6/1kV-5*150)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1kV电缆终端，5*150，户内终端，冷缩，铜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2AA5（原16G）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专二机房</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2AA6（原18G）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专二楼AL04柜</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YJV-0.6/1kV-5*185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1kV电缆终端，5*185，户内终端，冷缩，铜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2AA6（原18G）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20</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AP22</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YJV-0.6/1kV-5*95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1kV电缆终端，5*95，户内终端，冷缩，铜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2AA7（原20G）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21</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AP61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YJV-0.6/1kV-5*25</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1kV电缆终端，5*25，户内终端，冷缩，铜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2AA7（原20G）</w:t>
            </w:r>
            <w:r/>
          </w:p>
        </w:tc>
      </w:tr>
      <w:tr>
        <w:trPr/>
        <w:tc>
          <w:tcPr>
            <w:tcW w:w="77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22</w:t>
            </w:r>
            <w:r/>
          </w:p>
        </w:tc>
        <w:tc>
          <w:tcPr>
            <w:tcW w:w="1399"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AP21</w:t>
            </w:r>
            <w:r/>
          </w:p>
        </w:tc>
        <w:tc>
          <w:tcPr>
            <w:tcW w:w="1816"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YJV-0.6/1kV-5*70</w:t>
            </w:r>
            <w:r/>
          </w:p>
        </w:tc>
        <w:tc>
          <w:tcPr>
            <w:tcW w:w="221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1kV电缆终端，5*70，户内终端，冷缩，铜</w:t>
            </w:r>
            <w:r/>
          </w:p>
        </w:tc>
        <w:tc>
          <w:tcPr>
            <w:tcW w:w="683"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648"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800"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2AA7（原20G）</w:t>
            </w:r>
            <w:r/>
          </w:p>
        </w:tc>
      </w:tr>
    </w:tbl>
    <w:p>
      <w:pPr>
        <w:pStyle w:val="833"/>
        <w:ind w:firstLine="420"/>
        <w:jc w:val="both"/>
        <w:rPr>
          <w:rFonts w:hint="eastAsia" w:ascii="宋体" w:hAnsi="宋体" w:eastAsia="宋体" w:cs="宋体"/>
          <w:color w:val="000000"/>
          <w:sz w:val="21"/>
        </w:rPr>
      </w:pPr>
      <w:r/>
      <w:bookmarkStart w:id="24" w:name="_Toc224663317"/>
      <w:r>
        <w:rPr>
          <w:rFonts w:hint="eastAsia" w:ascii="宋体" w:hAnsi="宋体" w:eastAsia="宋体" w:cs="宋体"/>
          <w:color w:val="000000"/>
          <w:sz w:val="21"/>
        </w:rPr>
        <w:t xml:space="preserve">3.安全器具清单</w:t>
      </w:r>
      <w:bookmarkEnd w:id="24"/>
      <w:r>
        <w:rPr>
          <w:rFonts w:hint="eastAsia" w:ascii="宋体" w:hAnsi="宋体" w:eastAsia="宋体" w:cs="宋体"/>
          <w:color w:val="000000"/>
          <w:sz w:val="21"/>
        </w:rPr>
        <w:tab/>
      </w:r>
      <w:r/>
    </w:p>
    <w:tbl>
      <w:tblPr>
        <w:tblW w:w="89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787"/>
        <w:gridCol w:w="2497"/>
        <w:gridCol w:w="1075"/>
        <w:gridCol w:w="1075"/>
        <w:gridCol w:w="1431"/>
      </w:tblGrid>
      <w:tr>
        <w:trPr>
          <w:tblHeader/>
        </w:trPr>
        <w:tc>
          <w:tcPr>
            <w:tcW w:w="1072"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序号</w:t>
            </w:r>
            <w:r/>
          </w:p>
        </w:tc>
        <w:tc>
          <w:tcPr>
            <w:tcW w:w="1787"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名称</w:t>
            </w:r>
            <w:r/>
          </w:p>
        </w:tc>
        <w:tc>
          <w:tcPr>
            <w:tcW w:w="2497"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规格</w:t>
            </w:r>
            <w:r/>
          </w:p>
        </w:tc>
        <w:tc>
          <w:tcPr>
            <w:tcW w:w="1075"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单位</w:t>
            </w:r>
            <w:r/>
          </w:p>
        </w:tc>
        <w:tc>
          <w:tcPr>
            <w:tcW w:w="1075" w:type="auto"/>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数量</w:t>
            </w:r>
            <w:r/>
          </w:p>
        </w:tc>
        <w:tc>
          <w:tcPr>
            <w:tcW w:w="1431" w:type="dxa"/>
            <w:vAlign w:val="center"/>
            <w:textDirection w:val="lrTb"/>
            <w:noWrap w:val="false"/>
          </w:tcPr>
          <w:p>
            <w:pPr>
              <w:pStyle w:val="831"/>
              <w:jc w:val="center"/>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备注</w:t>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绝缘靴</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双</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绝缘手套</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验电笔</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支</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接地棒</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含接地连接线</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绝缘摇表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2500r</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绝缘摇表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500r</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绝缘摇表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100r</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组合工具</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60件</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灭火器</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含柜子</w:t>
            </w:r>
            <w:r/>
          </w:p>
        </w:tc>
      </w:tr>
      <w:tr>
        <w:trPr/>
        <w:tc>
          <w:tcPr>
            <w:tcW w:w="1072"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78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安全帽</w:t>
            </w:r>
            <w:r/>
          </w:p>
        </w:tc>
        <w:tc>
          <w:tcPr>
            <w:tcW w:w="2497"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顶</w:t>
            </w:r>
            <w:r/>
          </w:p>
        </w:tc>
        <w:tc>
          <w:tcPr>
            <w:tcW w:w="1075" w:type="auto"/>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r>
        <w:trPr/>
        <w:tc>
          <w:tcPr>
            <w:tcW w:w="1072"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787"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工具箱</w:t>
            </w:r>
            <w:r/>
          </w:p>
        </w:tc>
        <w:tc>
          <w:tcPr>
            <w:tcW w:w="2497"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1075"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1075"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431" w:type="dxa"/>
            <w:vAlign w:val="center"/>
            <w:textDirection w:val="lrTb"/>
            <w:noWrap w:val="false"/>
          </w:tcPr>
          <w:p>
            <w:pPr>
              <w:pStyle w:val="831"/>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r>
    </w:tbl>
    <w:p>
      <w:pPr>
        <w:pStyle w:val="833"/>
        <w:ind w:firstLine="420"/>
        <w:jc w:val="both"/>
        <w:rPr>
          <w:rFonts w:hint="eastAsia" w:ascii="宋体" w:hAnsi="宋体" w:eastAsia="宋体" w:cs="宋体"/>
          <w:color w:val="000000"/>
          <w:sz w:val="21"/>
        </w:rPr>
      </w:pPr>
      <w:r/>
      <w:bookmarkStart w:id="25" w:name="_Toc224663318"/>
      <w:r>
        <w:rPr>
          <w:rFonts w:hint="eastAsia" w:ascii="宋体" w:hAnsi="宋体" w:eastAsia="宋体" w:cs="宋体"/>
          <w:color w:val="000000"/>
          <w:sz w:val="21"/>
        </w:rPr>
        <w:t xml:space="preserve">4.拆除设备材料清单</w:t>
      </w:r>
      <w:bookmarkEnd w:id="25"/>
      <w:r>
        <w:rPr>
          <w:rFonts w:hint="eastAsia" w:ascii="宋体" w:hAnsi="宋体" w:eastAsia="宋体" w:cs="宋体"/>
          <w:color w:val="000000"/>
          <w:sz w:val="21"/>
        </w:rPr>
        <w:t xml:space="preserve">（拆除后运送到采购人指定地点（不限于校内）</w:t>
      </w:r>
      <w:r/>
    </w:p>
    <w:tbl>
      <w:tblPr>
        <w:tblW w:w="4703" w:type="pct"/>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855"/>
        <w:gridCol w:w="2823"/>
        <w:gridCol w:w="701"/>
        <w:gridCol w:w="846"/>
        <w:gridCol w:w="1061"/>
      </w:tblGrid>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规格</w:t>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单位</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数量</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备注</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干式变压器</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1000kVA</w:t>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变压器柜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10kV进线柜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10kV出线柜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低压进线柜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低压出线柜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低压母联柜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电容柜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转角柜</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台</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风筒及风机</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电缆沟盖板</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绝缘垫</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模拟图板</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块</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r>
        <w:trPr/>
        <w:tc>
          <w:tcPr>
            <w:tcW w:w="668"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W w:w="110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规章制度牌</w:t>
            </w:r>
            <w:r/>
          </w:p>
        </w:tc>
        <w:tc>
          <w:tcPr>
            <w:tcW w:w="167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W w:w="417"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套</w:t>
            </w:r>
            <w:r/>
          </w:p>
        </w:tc>
        <w:tc>
          <w:tcPr>
            <w:tcW w:w="503"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W w:w="631" w:type="pct"/>
            <w:vAlign w:val="center"/>
            <w:textDirection w:val="lrTb"/>
            <w:noWrap w:val="false"/>
          </w:tcPr>
          <w:p>
            <w:pPr>
              <w:pStyle w:val="831"/>
              <w:jc w:val="center"/>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拆除</w:t>
            </w:r>
            <w:r/>
          </w:p>
        </w:tc>
      </w:tr>
    </w:tbl>
    <w:p>
      <w:pPr>
        <w:pStyle w:val="833"/>
        <w:ind w:firstLine="420"/>
        <w:jc w:val="both"/>
        <w:rPr>
          <w:rFonts w:hint="eastAsia" w:ascii="宋体" w:hAnsi="宋体" w:eastAsia="宋体" w:cs="宋体"/>
          <w:color w:val="000000"/>
          <w:sz w:val="21"/>
        </w:rPr>
      </w:pPr>
      <w:r/>
      <w:bookmarkStart w:id="26" w:name="_Toc224663319"/>
      <w:r>
        <w:rPr>
          <w:rFonts w:hint="eastAsia" w:ascii="宋体" w:hAnsi="宋体" w:eastAsia="宋体" w:cs="宋体"/>
          <w:color w:val="000000"/>
          <w:sz w:val="21"/>
        </w:rPr>
        <w:t xml:space="preserve">5.电力监控系统及智能管理单元材料清单</w:t>
      </w:r>
      <w:bookmarkEnd w:id="26"/>
      <w:r>
        <w:rPr>
          <w:rFonts w:hint="eastAsia" w:ascii="宋体" w:hAnsi="宋体" w:eastAsia="宋体" w:cs="宋体"/>
          <w:color w:val="000000"/>
          <w:sz w:val="21"/>
        </w:rPr>
      </w:r>
      <w:r/>
    </w:p>
    <w:tbl>
      <w:tblPr>
        <w:tblW w:w="4701" w:type="pct"/>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590"/>
        <w:gridCol w:w="3344"/>
        <w:gridCol w:w="694"/>
        <w:gridCol w:w="834"/>
        <w:gridCol w:w="974"/>
      </w:tblGrid>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名称</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描述</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单位</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数量</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备注</w:t>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PO电力监控系统</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服务器点数扩展，低压电气安全模块（断路器性能，电气容量）</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智能管理单元</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POI站控专家（15.6寸）标准版</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PAS700</w:t>
            </w:r>
            <w:r/>
          </w:p>
        </w:tc>
        <w:tc>
          <w:tcPr>
            <w:tcW w:w="1988" w:type="pct"/>
            <w:vAlign w:val="center"/>
            <w:textDirection w:val="lrTb"/>
            <w:noWrap w:val="false"/>
          </w:tcPr>
          <w:p>
            <w:pPr>
              <w:pStyle w:val="831"/>
              <w:jc w:val="center"/>
              <w:tabs>
                <w:tab w:val="left" w:pos="15" w:leader="none"/>
              </w:tabs>
              <w:rPr>
                <w:rFonts w:hint="eastAsia" w:ascii="宋体" w:hAnsi="宋体" w:eastAsia="宋体" w:cs="宋体"/>
                <w:color w:val="000000"/>
              </w:rPr>
            </w:pPr>
            <w:r>
              <w:rPr>
                <w:rFonts w:hint="eastAsia" w:ascii="宋体" w:hAnsi="宋体" w:eastAsia="宋体" w:cs="宋体"/>
                <w:color w:val="000000"/>
              </w:rPr>
              <w:t xml:space="preserve">EPS Hub</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开关电源</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DC24V/5A</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通讯机柜</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壁挂式6U</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6</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通讯线缆</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RVSP2*1.0</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米</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300</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7</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以太网线</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超五类</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米</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300</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8</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施工</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线缆敷设、设备就位等</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9</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调试</w:t>
            </w:r>
            <w:r/>
          </w:p>
        </w:tc>
        <w:tc>
          <w:tcPr>
            <w:tcW w:w="1988" w:type="pct"/>
            <w:vAlign w:val="center"/>
            <w:textDirection w:val="lrTb"/>
            <w:noWrap w:val="false"/>
          </w:tcPr>
          <w:p>
            <w:pPr>
              <w:pStyle w:val="831"/>
              <w:numPr>
                <w:ilvl w:val="0"/>
                <w:numId w:val="4"/>
              </w:numPr>
              <w:jc w:val="center"/>
              <w:rPr>
                <w:rFonts w:hint="eastAsia" w:ascii="宋体" w:hAnsi="宋体" w:eastAsia="宋体" w:cs="宋体"/>
                <w:color w:val="000000"/>
              </w:rPr>
            </w:pPr>
            <w:r>
              <w:rPr>
                <w:rFonts w:hint="eastAsia" w:ascii="宋体" w:hAnsi="宋体" w:eastAsia="宋体" w:cs="宋体"/>
                <w:color w:val="000000"/>
              </w:rPr>
              <w:t xml:space="preserve">设备通讯；2.链路调试；3.系统安装；4.界面设计；5.二次开发；6.系统优化</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577"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10</w:t>
            </w:r>
            <w:r/>
          </w:p>
        </w:tc>
        <w:tc>
          <w:tcPr>
            <w:tcW w:w="94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培训</w:t>
            </w:r>
            <w:r/>
          </w:p>
        </w:tc>
        <w:tc>
          <w:tcPr>
            <w:tcW w:w="198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运维人员操作培训</w:t>
            </w:r>
            <w:r/>
          </w:p>
        </w:tc>
        <w:tc>
          <w:tcPr>
            <w:tcW w:w="4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496"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5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bl>
    <w:p>
      <w:pPr>
        <w:pStyle w:val="833"/>
        <w:ind w:firstLine="420"/>
        <w:jc w:val="both"/>
        <w:rPr>
          <w:rFonts w:hint="eastAsia" w:ascii="宋体" w:hAnsi="宋体" w:eastAsia="宋体" w:cs="宋体"/>
          <w:color w:val="000000"/>
          <w:sz w:val="21"/>
        </w:rPr>
      </w:pPr>
      <w:r/>
      <w:bookmarkStart w:id="27" w:name="_Toc224663320"/>
      <w:r>
        <w:rPr>
          <w:rFonts w:hint="eastAsia" w:ascii="宋体" w:hAnsi="宋体" w:eastAsia="宋体" w:cs="宋体"/>
          <w:color w:val="000000"/>
          <w:sz w:val="21"/>
        </w:rPr>
        <w:t xml:space="preserve">6.配电房智慧巡检系统材料清单</w:t>
      </w:r>
      <w:bookmarkEnd w:id="27"/>
      <w:r>
        <w:rPr>
          <w:rFonts w:hint="eastAsia" w:ascii="宋体" w:hAnsi="宋体" w:eastAsia="宋体" w:cs="宋体"/>
          <w:color w:val="000000"/>
          <w:sz w:val="21"/>
        </w:rPr>
      </w:r>
      <w:r/>
    </w:p>
    <w:tbl>
      <w:tblPr>
        <w:tblW w:w="48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4119"/>
        <w:gridCol w:w="867"/>
        <w:gridCol w:w="944"/>
        <w:gridCol w:w="1188"/>
      </w:tblGrid>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名称</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单位</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数量</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备注</w:t>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一、前端设备</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四合一传感器（温度+湿度+噪音+PM2.5）</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水浸+点式检测电极</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烟感</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室内枪机</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网络一体化门禁</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6</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磁力锁</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7</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数据采集网关</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8</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控制箱（成套，含开关电源、变压器以及导轨，布线等）</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9</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8口POE交换机</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二、中心设备</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智慧巡检管理平台-WEB标准版</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套</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视频存储录像机（含对接）</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应用服务器</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4</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24口POE交换机</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5</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语音播报（全功能）</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台</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6</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报警音箱</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个</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三、管线及配件</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管材及线缆辅材等（含网线、电源线、信号线、KBG管、软管等）</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项</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tc>
          <w:tcPr>
            <w:gridSpan w:val="5"/>
            <w:tcW w:w="5000"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b/>
                <w:bCs/>
                <w:color w:val="000000"/>
              </w:rPr>
              <w:t xml:space="preserve">四、安装调试</w:t>
            </w:r>
            <w:r>
              <w:rPr>
                <w:rFonts w:hint="eastAsia" w:ascii="宋体" w:hAnsi="宋体" w:eastAsia="宋体" w:cs="宋体"/>
                <w:color w:val="000000"/>
              </w:rPr>
            </w:r>
            <w:r/>
          </w:p>
        </w:tc>
      </w:tr>
      <w:tr>
        <w:trPr/>
        <w:tc>
          <w:tcPr>
            <w:tcW w:w="913"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2365"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安装调试</w:t>
            </w:r>
            <w:r/>
          </w:p>
        </w:tc>
        <w:tc>
          <w:tcPr>
            <w:tcW w:w="498"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项</w:t>
            </w:r>
            <w:r/>
          </w:p>
        </w:tc>
        <w:tc>
          <w:tcPr>
            <w:tcW w:w="542"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79" w:type="pct"/>
            <w:vAlign w:val="center"/>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bl>
    <w:p>
      <w:pPr>
        <w:pStyle w:val="833"/>
        <w:ind w:firstLine="420"/>
        <w:jc w:val="both"/>
        <w:rPr>
          <w:rFonts w:hint="eastAsia" w:ascii="宋体" w:hAnsi="宋体" w:eastAsia="宋体" w:cs="宋体"/>
          <w:color w:val="000000"/>
          <w:sz w:val="21"/>
        </w:rPr>
      </w:pPr>
      <w:r/>
      <w:bookmarkStart w:id="28" w:name="_Toc224663309"/>
      <w:r>
        <w:rPr>
          <w:rFonts w:hint="eastAsia" w:ascii="宋体" w:hAnsi="宋体" w:eastAsia="宋体" w:cs="宋体"/>
          <w:color w:val="000000"/>
          <w:sz w:val="21"/>
        </w:rPr>
        <w:t xml:space="preserve">（四）主要元器件品牌表</w:t>
      </w:r>
      <w:bookmarkEnd w:id="28"/>
      <w:r>
        <w:rPr>
          <w:rFonts w:hint="eastAsia" w:ascii="宋体" w:hAnsi="宋体" w:eastAsia="宋体" w:cs="宋体"/>
          <w:color w:val="000000"/>
          <w:sz w:val="21"/>
        </w:rPr>
      </w:r>
      <w:r/>
    </w:p>
    <w:tbl>
      <w:tblPr>
        <w:tblW w:w="4907" w:type="pct"/>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1740"/>
        <w:gridCol w:w="3890"/>
        <w:gridCol w:w="1620"/>
      </w:tblGrid>
      <w:tr>
        <w:trPr/>
        <w:tc>
          <w:tcPr>
            <w:tcW w:w="869"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名称</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品牌</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参考品牌（系列）</w:t>
            </w:r>
            <w:r/>
          </w:p>
        </w:tc>
        <w:tc>
          <w:tcPr>
            <w:tcW w:w="922"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备注</w:t>
            </w:r>
            <w:r/>
          </w:p>
        </w:tc>
      </w:tr>
      <w:tr>
        <w:trPr>
          <w:cantSplit/>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高压柜</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UniSec</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SM6</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Simosec 12</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变压器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SCB14-1000kVA,10/0.4kV</w:t>
            </w:r>
            <w:r/>
          </w:p>
        </w:tc>
        <w:tc>
          <w:tcPr>
            <w:tcW w:w="922" w:type="pct"/>
            <w:vAlign w:val="center"/>
            <w:vMerge w:val="restart"/>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SCB14-1000kVA,10/0.4kV</w:t>
            </w:r>
            <w:r/>
          </w:p>
        </w:tc>
        <w:tc>
          <w:tcPr>
            <w:tcW w:w="922" w:type="pct"/>
            <w:vAlign w:val="center"/>
            <w:vMerge w:val="continue"/>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SCB14-1000kVA,10/0.4kV</w:t>
            </w:r>
            <w:r/>
          </w:p>
        </w:tc>
        <w:tc>
          <w:tcPr>
            <w:tcW w:w="922" w:type="pct"/>
            <w:vAlign w:val="center"/>
            <w:vMerge w:val="continue"/>
            <w:textDirection w:val="lrTb"/>
            <w:noWrap w:val="false"/>
          </w:tcPr>
          <w:p>
            <w:pPr>
              <w:pStyle w:val="831"/>
              <w:jc w:val="center"/>
              <w:rPr>
                <w:rFonts w:hint="eastAsia" w:ascii="宋体" w:hAnsi="宋体" w:eastAsia="宋体" w:cs="宋体"/>
                <w:color w:val="000000"/>
              </w:rPr>
            </w:pPr>
            <w:r>
              <w:rPr>
                <w:rFonts w:hint="eastAsia" w:ascii="宋体" w:hAnsi="宋体" w:eastAsia="宋体" w:cs="宋体"/>
                <w:color w:val="000000"/>
              </w:rPr>
            </w:r>
            <w:r/>
          </w:p>
        </w:tc>
      </w:tr>
      <w:tr>
        <w:trPr>
          <w:cantSplit/>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低压柜</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MNS3.0</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BlokSeT</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SIVACON S8</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7"/>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框架断路器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Emax2系列Hi-Touch</w:t>
            </w:r>
            <w:r/>
          </w:p>
        </w:tc>
        <w:tc>
          <w:tcPr>
            <w:tcW w:w="922" w:type="pct"/>
            <w:vAlign w:val="center"/>
            <w:vMerge w:val="restart"/>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或同等档次</w:t>
            </w:r>
            <w:r/>
          </w:p>
        </w:tc>
      </w:tr>
      <w:tr>
        <w:trPr>
          <w:cantSplit/>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MT系列5.0D</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78"/>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3WL系列ETU76B+MEA</w:t>
            </w:r>
            <w:r/>
          </w:p>
        </w:tc>
        <w:tc>
          <w:tcPr>
            <w:tcW w:w="922" w:type="pct"/>
            <w:vAlign w:val="center"/>
            <w:vMerge w:val="continue"/>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r>
            <w:r/>
          </w:p>
        </w:tc>
      </w:tr>
      <w:tr>
        <w:trPr>
          <w:cantSplit/>
          <w:trHeight w:val="195"/>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塑壳断路器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Tmax XT系列Ekip Touch Measuring</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3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NSX系列Mic5.2/3</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3VA系列ETU850</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5"/>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微型断路器</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S200系列</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iC65系列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5SY系列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40"/>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多功能表计</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M4M-30系列</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2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PM4000系列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PAC4200系列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13"/>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无功补偿</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Qcap系列</w:t>
            </w:r>
            <w:r/>
          </w:p>
        </w:tc>
        <w:tc>
          <w:tcPr>
            <w:tcW w:w="922" w:type="pct"/>
            <w:vAlign w:val="center"/>
            <w:vMerge w:val="restart"/>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或同等档次</w:t>
            </w:r>
            <w:r/>
          </w:p>
        </w:tc>
      </w:tr>
      <w:tr>
        <w:trPr>
          <w:cantSplit/>
          <w:trHeight w:val="2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EasyCan系列</w:t>
            </w:r>
            <w:r/>
          </w:p>
        </w:tc>
        <w:tc>
          <w:tcPr>
            <w:tcW w:w="922" w:type="pct"/>
            <w:vAlign w:val="center"/>
            <w:vMerge w:val="continue"/>
            <w:textDirection w:val="lrTb"/>
            <w:noWrap w:val="false"/>
          </w:tcPr>
          <w:p>
            <w:pPr>
              <w:pStyle w:val="831"/>
              <w:jc w:val="center"/>
              <w:spacing w:line="360" w:lineRule="auto"/>
              <w:rPr>
                <w:rFonts w:hint="eastAsia" w:ascii="宋体" w:hAnsi="宋体" w:eastAsia="宋体" w:cs="宋体"/>
                <w:color w:val="000000"/>
              </w:rPr>
            </w:pPr>
            <w:r>
              <w:rPr>
                <w:rFonts w:hint="eastAsia" w:ascii="宋体" w:hAnsi="宋体" w:eastAsia="宋体" w:cs="宋体"/>
                <w:color w:val="000000"/>
              </w:rPr>
            </w:r>
            <w:r/>
          </w:p>
        </w:tc>
      </w:tr>
      <w:tr>
        <w:trPr>
          <w:cantSplit/>
          <w:trHeight w:val="213"/>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4RB8系列</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电力监控系统</w:t>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Micro SCADA</w:t>
            </w:r>
            <w:r/>
          </w:p>
        </w:tc>
        <w:tc>
          <w:tcPr>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8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Power Operation</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W w:w="869"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c>
          <w:tcPr>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西门子</w:t>
            </w:r>
            <w:r/>
          </w:p>
        </w:tc>
        <w:tc>
          <w:tcPr>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Spectrum Power 7</w:t>
            </w:r>
            <w:r/>
          </w:p>
        </w:tc>
        <w:tc>
          <w:tcPr>
            <w:tcW w:w="922" w:type="pct"/>
            <w:vAlign w:val="center"/>
            <w:vMerge w:val="continue"/>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Borders>
              <w:top w:val="single" w:color="000000" w:sz="4" w:space="0"/>
              <w:left w:val="single" w:color="000000" w:sz="4" w:space="0"/>
              <w:right w:val="single" w:color="000000" w:sz="4" w:space="0"/>
            </w:tcBorders>
            <w:tcW w:w="869"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智能管理单元</w:t>
            </w:r>
            <w:r/>
          </w:p>
        </w:tc>
        <w:tc>
          <w:tcPr>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ABB</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Smart BOX v2</w:t>
            </w:r>
            <w:r/>
          </w:p>
        </w:tc>
        <w:tc>
          <w:tcPr>
            <w:tcBorders>
              <w:top w:val="single" w:color="000000" w:sz="4" w:space="0"/>
              <w:left w:val="single" w:color="000000" w:sz="4" w:space="0"/>
              <w:right w:val="single" w:color="000000" w:sz="4" w:space="0"/>
            </w:tcBorders>
            <w:tcW w:w="922" w:type="pct"/>
            <w:vAlign w:val="center"/>
            <w:vMerge w:val="restart"/>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或同等档次</w:t>
            </w:r>
            <w:r/>
          </w:p>
        </w:tc>
      </w:tr>
      <w:tr>
        <w:trPr>
          <w:cantSplit/>
          <w:trHeight w:val="285"/>
        </w:trPr>
        <w:tc>
          <w:tcPr>
            <w:tcBorders>
              <w:left w:val="single" w:color="000000" w:sz="4" w:space="0"/>
              <w:right w:val="single" w:color="000000" w:sz="4" w:space="0"/>
            </w:tcBorders>
            <w:tcW w:w="869" w:type="pct"/>
            <w:vAlign w:val="center"/>
            <w:vMerge w:val="continue"/>
            <w:textDirection w:val="lrTb"/>
            <w:noWrap w:val="false"/>
          </w:tcPr>
          <w:p>
            <w:pPr>
              <w:pStyle w:val="854"/>
              <w:ind w:firstLine="0"/>
              <w:jc w:val="both"/>
              <w:rPr>
                <w:rFonts w:hint="eastAsia" w:ascii="宋体" w:hAnsi="宋体" w:eastAsia="宋体" w:cs="宋体"/>
                <w:color w:val="000000"/>
                <w:szCs w:val="22"/>
              </w:rPr>
            </w:pPr>
            <w:r>
              <w:rPr>
                <w:rFonts w:hint="eastAsia" w:ascii="宋体" w:hAnsi="宋体" w:eastAsia="宋体" w:cs="宋体"/>
                <w:color w:val="000000"/>
                <w:szCs w:val="22"/>
              </w:rPr>
            </w:r>
            <w:r/>
          </w:p>
        </w:tc>
        <w:tc>
          <w:tcPr>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施耐德</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pStyle w:val="854"/>
              <w:ind w:firstLine="0"/>
              <w:jc w:val="center"/>
              <w:rPr>
                <w:rFonts w:hint="eastAsia" w:ascii="宋体" w:hAnsi="宋体" w:eastAsia="宋体" w:cs="宋体"/>
                <w:color w:val="000000"/>
                <w:szCs w:val="22"/>
              </w:rPr>
            </w:pPr>
            <w:r>
              <w:rPr>
                <w:rFonts w:hint="eastAsia" w:ascii="宋体" w:hAnsi="宋体" w:eastAsia="宋体" w:cs="宋体"/>
                <w:color w:val="000000"/>
                <w:szCs w:val="22"/>
              </w:rPr>
              <w:t xml:space="preserve">POI</w:t>
            </w:r>
            <w:r/>
          </w:p>
        </w:tc>
        <w:tc>
          <w:tcPr>
            <w:tcBorders>
              <w:left w:val="single" w:color="000000" w:sz="4" w:space="0"/>
              <w:right w:val="single" w:color="000000" w:sz="4" w:space="0"/>
            </w:tcBorders>
            <w:tcW w:w="922" w:type="pct"/>
            <w:vAlign w:val="center"/>
            <w:vMerge w:val="continue"/>
            <w:textDirection w:val="lrTb"/>
            <w:noWrap w:val="false"/>
          </w:tcPr>
          <w:p>
            <w:pPr>
              <w:pStyle w:val="854"/>
              <w:ind w:firstLine="0"/>
              <w:jc w:val="both"/>
              <w:rPr>
                <w:rFonts w:hint="eastAsia" w:ascii="宋体" w:hAnsi="宋体" w:eastAsia="宋体" w:cs="宋体"/>
                <w:color w:val="000000"/>
                <w:szCs w:val="22"/>
              </w:rPr>
            </w:pPr>
            <w:r>
              <w:rPr>
                <w:rFonts w:hint="eastAsia" w:ascii="宋体" w:hAnsi="宋体" w:eastAsia="宋体" w:cs="宋体"/>
                <w:color w:val="000000"/>
                <w:szCs w:val="22"/>
              </w:rPr>
            </w:r>
            <w:r/>
          </w:p>
        </w:tc>
      </w:tr>
      <w:tr>
        <w:trPr>
          <w:cantSplit/>
          <w:trHeight w:val="285"/>
        </w:trPr>
        <w:tc>
          <w:tcPr>
            <w:tcBorders>
              <w:left w:val="single" w:color="000000" w:sz="4" w:space="0"/>
              <w:right w:val="single" w:color="000000" w:sz="4" w:space="0"/>
            </w:tcBorders>
            <w:tcW w:w="869" w:type="pct"/>
            <w:vAlign w:val="center"/>
            <w:vMerge w:val="continue"/>
            <w:textDirection w:val="lrTb"/>
            <w:noWrap w:val="false"/>
          </w:tcPr>
          <w:p>
            <w:pPr>
              <w:pStyle w:val="854"/>
              <w:ind w:firstLine="0"/>
              <w:jc w:val="both"/>
              <w:rPr>
                <w:rFonts w:hint="eastAsia" w:ascii="仿宋" w:hAnsi="仿宋" w:eastAsia="仿宋" w:cs="仿宋"/>
                <w:color w:val="000000"/>
                <w:szCs w:val="24"/>
              </w:rPr>
            </w:pPr>
            <w:r>
              <w:rPr>
                <w:rFonts w:hint="eastAsia" w:ascii="仿宋" w:hAnsi="仿宋" w:eastAsia="仿宋" w:cs="仿宋"/>
                <w:color w:val="000000"/>
                <w:szCs w:val="24"/>
              </w:rPr>
            </w:r>
            <w:r/>
          </w:p>
        </w:tc>
        <w:tc>
          <w:tcPr>
            <w:tcBorders>
              <w:top w:val="single" w:color="000000" w:sz="4" w:space="0"/>
              <w:left w:val="single" w:color="000000" w:sz="4" w:space="0"/>
              <w:bottom w:val="single" w:color="000000" w:sz="4" w:space="0"/>
              <w:right w:val="single" w:color="000000" w:sz="4" w:space="0"/>
            </w:tcBorders>
            <w:tcW w:w="991" w:type="pct"/>
            <w:vAlign w:val="center"/>
            <w:textDirection w:val="lrTb"/>
            <w:noWrap w:val="false"/>
          </w:tcPr>
          <w:p>
            <w:pPr>
              <w:pStyle w:val="854"/>
              <w:ind w:firstLine="0"/>
              <w:jc w:val="center"/>
              <w:rPr>
                <w:rFonts w:hint="eastAsia" w:ascii="仿宋" w:hAnsi="仿宋" w:eastAsia="仿宋" w:cs="仿宋"/>
                <w:color w:val="000000"/>
                <w:szCs w:val="24"/>
              </w:rPr>
            </w:pPr>
            <w:r>
              <w:rPr>
                <w:rFonts w:hint="eastAsia" w:ascii="仿宋" w:hAnsi="仿宋" w:eastAsia="仿宋" w:cs="仿宋"/>
                <w:color w:val="000000"/>
                <w:szCs w:val="24"/>
              </w:rPr>
              <w:t xml:space="preserve">西门子</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pStyle w:val="854"/>
              <w:ind w:firstLine="0"/>
              <w:jc w:val="center"/>
              <w:rPr>
                <w:rFonts w:hint="eastAsia" w:ascii="仿宋" w:hAnsi="仿宋" w:eastAsia="仿宋" w:cs="仿宋"/>
                <w:color w:val="000000"/>
                <w:szCs w:val="24"/>
              </w:rPr>
            </w:pPr>
            <w:r>
              <w:rPr>
                <w:rFonts w:hint="eastAsia" w:ascii="仿宋" w:hAnsi="仿宋" w:eastAsia="仿宋" w:cs="仿宋"/>
                <w:color w:val="000000"/>
                <w:szCs w:val="24"/>
              </w:rPr>
              <w:t xml:space="preserve">Panel Manager</w:t>
            </w:r>
            <w:r/>
          </w:p>
        </w:tc>
        <w:tc>
          <w:tcPr>
            <w:tcBorders>
              <w:left w:val="single" w:color="000000" w:sz="4" w:space="0"/>
              <w:bottom w:val="single" w:color="000000" w:sz="4" w:space="0"/>
              <w:right w:val="single" w:color="000000" w:sz="4" w:space="0"/>
            </w:tcBorders>
            <w:tcW w:w="922" w:type="pct"/>
            <w:vAlign w:val="center"/>
            <w:vMerge w:val="continue"/>
            <w:textDirection w:val="lrTb"/>
            <w:noWrap w:val="false"/>
          </w:tcPr>
          <w:p>
            <w:pPr>
              <w:pStyle w:val="854"/>
              <w:ind w:firstLine="0"/>
              <w:jc w:val="both"/>
              <w:rPr>
                <w:rFonts w:hint="eastAsia" w:ascii="仿宋" w:hAnsi="仿宋" w:eastAsia="仿宋" w:cs="仿宋"/>
                <w:color w:val="000000"/>
                <w:szCs w:val="24"/>
              </w:rPr>
            </w:pPr>
            <w:r>
              <w:rPr>
                <w:rFonts w:hint="eastAsia" w:ascii="仿宋" w:hAnsi="仿宋" w:eastAsia="仿宋" w:cs="仿宋"/>
                <w:color w:val="000000"/>
                <w:szCs w:val="24"/>
              </w:rPr>
            </w:r>
            <w:r/>
          </w:p>
        </w:tc>
      </w:tr>
    </w:tbl>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二、服务要求：（配套服务、增值服务、维保服务等）</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★（一）本项目包含深化设计和施工，投标人须提供专业深化设计方案后，再进行设备安装等清单内所有项目施工。深化设计费用已包含在招标控制价内，请投标人报价时充分考虑。</w:t>
      </w:r>
      <w:r>
        <w:rPr>
          <w:rFonts w:ascii="宋体" w:hAnsi="宋体" w:eastAsia="宋体" w:cs="宋体"/>
          <w:color w:val="000000"/>
        </w:rPr>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二）本工程项目的报价应包括但不限于深化方案设计、施工设备、备品备件、专用工具和仪器、施工中须用到但清单未体现的辅助材料等，还包括但不限于可能出现的运费、安装、调试、吊装费、培训费、人工、机械、包装、装卸、维修维护费、仓储、保险、税费、专利技术、劳保等设计期间、施工期间、质保期间、系统对接等涉及该项目实施的所出现的一切费用。</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★（三）施工周期：本项目工期40个日历日，中标单位可在2026年7月11日后进场施工，工期内完成全部改造项目并送电，保证正常使用。</w:t>
      </w:r>
      <w:r>
        <w:rPr>
          <w:rFonts w:ascii="宋体" w:hAnsi="宋体" w:eastAsia="宋体" w:cs="宋体"/>
          <w:color w:val="000000"/>
        </w:rPr>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★（四）项目质量保修期年限为2年，时间自项目验收合格次日起开始计算。</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五）中标单位必须成立项目部，配置固定人员在施工期间采购人驻点服务。必须严格执行国家和供电行业的规范，认真做好相关设施日常管理工作；必须服从采购人管理部门的指令，按规范进行停、送电等操作；及时了解设施运行情况，发现并消除故障隐患；发生停电时，在保障安全前提下，按规范程序及时恢复供电；发生故障时，须有相应预案，积极应对，减小不良影响。</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人员配置：中标单位必须按照电力部门相关规程配备足够的具有相应资质的电气工作人员实施本项目，并做好相关人员的教育、培训等工作。派驻总人数不得少于10人，投标人须提供详细的拟投入现场人员名单，人员须包括项目负责人1名、技术负责人1名；继电保护作业人员、电气试验作业人员</w:t>
      </w:r>
      <w:r>
        <w:rPr>
          <w:rFonts w:hint="eastAsia" w:ascii="宋体" w:hAnsi="宋体" w:eastAsia="宋体" w:cs="宋体"/>
          <w:color w:val="000000"/>
        </w:rPr>
        <w:t xml:space="preserve">、起吊作业人员至少各1名；施工人员若干。以上所有人员不得重复，其中，继电保护作业人员须持有继电保护作业证、电气试验作业人员须持有电气试验作业证、起吊作业人员须持有特种作业证（起吊证），其余人员均须持有高压电工作业证。以上所有人员必须品行端正、身体健康，必须是中标单位自有职工，签订了正式劳动合同，不得外聘或借用，必须能够提供以上所有人员社保机构出具2025年11月至2026年4月中任意一个月投标人为其缴纳的养老保险金缴费清单材料，加盖社保机构公章或社保中心参保缴费证明电子专用章（具有可验证的二维码或验证码）。</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2.排班方案：中标单位必须制定排班方案，对值班及巡视人员做出排班计划，对值班及巡视人员的病假、事假等各种情况应有预案，能及时处理，避免人员不能到岗情况。</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3.物资配备：中标单位需自行配备实施本项目所需的物资，包括各种工器具、办公用品、管理用具、劳保用品、安全防护用具、辅助材料等，所发生的费用均由中标单位自行承担。</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4.制度流程：中标单位必须制定并执行规范、可行的管理制度，包括值班制度、巡检制度、岗位职责、安全保障措施等，并明确常规工作的操作流程，做到规范管理。</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5.应急预案：中标单位应制定应急预案，对突发情况做出合理、及时的处置，控制故障范围，协助招标人管理部门实施抢修或采取临时措施，减小不良影响。</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6.服务承诺：中标单位应承诺满足招标文件的所有服务要求，鼓励无偿提供其他增值服务。</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投标人中标后，必须按照其投标文件中的实施方案开展工作，采购人将严格检查中标单位实施情况。中标单位不得减少或随意变更派驻人员，各类物资必须配备到位，各项制度、预案必须严格执行，所做的服务承诺必须兑现，否则视为违约，采购人有权解除合同，并追究中标单位的违约责任。</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三、验收标准：</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验收组织：根据校内相关规定联合用户部门组成验收小组现场验收。验收标准包含但不限于：是否完成招响应性文件工作量清单所列项目和内容；是否存在施工方原因造成工期延期；造价是否超过合同总金额；是否存在未经审批却已实施的变更项目和工程签证。</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2.供应商须严格依据采购人需求，完成工程施工等工作。</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竣工验收按照设计单位认可、中标单位自评、监理核定、招标人验收的流程进行。工程完工后，中标单位通过自检认为达到竣工验收条件时，应按国家关于工程竣工有关规定，向招标人提供完整的竣工档案资料、竣工验收报告等满足竣工验收的资料。</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招标人收到上述资料后及时组织有关部门进行全面验收。若中标单位提供的验收资料不全或不符合规定要求，则验收顺延，责任由中标单位承担。招标人组织验收后，在一周内给予批准或提出修改意见。若初次验收未通过，中标单位应按招标人所提修改意见进行整改并承担整改费用，完成后再次申报。</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5.中标单位需要提供竣工图。竣工验收日期为实际竣工验收合格之日。</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6.竣工交付使用的过程必须符合下列要求：</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A、完成设计图和施工合同规定的工作内容，达到国家规定的竣工验收条件。工程质量应符合国家现行的有关法律、法规、技术标准、设计文件及合同规定的要求。</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B、工程所用的设备和主材料、构配件具有产品质量出场检验合格证明、技术标准、必要的进场试验报告，并达到相应的验收标准。</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C、具有完整的工程技术档案，已办理工程竣工交付使用的有关手续。</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D、已签署工程保修书。</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7.工程竣工验收一次性通过，中标单位送交竣工验收报告的日期为实际竣工日期。工程首次验收未通过，实际竣工日期为中标单位整改后再次验收合格之日。</w:t>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四、付款方式及履约保证金</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（1）履约保证金：</w:t>
      </w:r>
      <w:r>
        <w:rPr>
          <w:rFonts w:ascii="宋体" w:hAnsi="宋体" w:eastAsia="宋体" w:cs="宋体"/>
          <w:color w:val="000000"/>
        </w:rPr>
      </w:r>
      <w:r/>
    </w:p>
    <w:p>
      <w:pPr>
        <w:pStyle w:val="831"/>
        <w:ind w:firstLine="420"/>
        <w:jc w:val="both"/>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本项目承包人在领取中标通知书【5】日内，承包人按照如下信息缴纳履约保证金，履约保证金金额为合同签约价的【5%】，工程竣工并经发包人组织的验收合格后，自发包人组织的竣工合格验收报告签署之日起，一次性无息退还。</w:t>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履约保证金汇款银行、账号及户名：承包人必须在本项目中标公示结束后将履约保证金汇入发包人指定的账号，账号为：4301011219100159523</w:t>
      </w:r>
      <w:r>
        <w:rPr>
          <w:rStyle w:val="904"/>
          <w:rFonts w:hint="eastAsia" w:ascii="宋体" w:hAnsi="宋体" w:eastAsia="宋体" w:cs="宋体"/>
          <w:color w:val="000000"/>
          <w:szCs w:val="22"/>
        </w:rPr>
        <w:t xml:space="preserve"> 账户名：南京财经大学。</w:t>
      </w:r>
      <w:r>
        <w:rPr>
          <w:rFonts w:ascii="宋体" w:hAnsi="宋体" w:eastAsia="宋体" w:cs="宋体"/>
          <w:color w:val="000000"/>
        </w:rPr>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（2）付款方式：</w:t>
      </w:r>
      <w:r>
        <w:rPr>
          <w:rFonts w:ascii="宋体" w:hAnsi="宋体" w:eastAsia="宋体" w:cs="宋体"/>
          <w:color w:val="000000"/>
        </w:rPr>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项目无预付款。合同签定，工程竣工验收合格后付至合同总价的80％；审计结束后付至审定价（扣除审计费）的97％；其余3％为质保金，质保期满无质量问题后30个工作日内无息付清，审计费按校审计相关规定执行。</w:t>
      </w:r>
      <w:r/>
    </w:p>
    <w:p>
      <w:pPr>
        <w:pStyle w:val="831"/>
        <w:jc w:val="both"/>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831"/>
        <w:ind w:firstLine="721"/>
        <w:jc w:val="both"/>
        <w:spacing w:line="360" w:lineRule="auto"/>
        <w:rPr>
          <w:b/>
          <w:color w:val="000000"/>
          <w:sz w:val="72"/>
          <w:szCs w:val="52"/>
        </w:rPr>
      </w:pPr>
      <w:r>
        <w:rPr>
          <w:b/>
          <w:color w:val="000000"/>
          <w:sz w:val="72"/>
          <w:szCs w:val="52"/>
        </w:rPr>
        <w:t xml:space="preserve">建设工程施工合同</w:t>
      </w:r>
      <w:r/>
    </w:p>
    <w:p>
      <w:pPr>
        <w:pStyle w:val="831"/>
        <w:ind w:firstLine="721"/>
        <w:jc w:val="both"/>
        <w:spacing w:line="360" w:lineRule="auto"/>
        <w:rPr>
          <w:b/>
          <w:color w:val="000000"/>
          <w:sz w:val="72"/>
          <w:szCs w:val="52"/>
        </w:rPr>
      </w:pPr>
      <w:r>
        <w:rPr>
          <w:b/>
          <w:color w:val="000000"/>
          <w:sz w:val="72"/>
          <w:szCs w:val="52"/>
        </w:rPr>
      </w:r>
      <w:r/>
    </w:p>
    <w:p>
      <w:pPr>
        <w:pStyle w:val="831"/>
        <w:ind w:firstLine="521"/>
        <w:jc w:val="both"/>
        <w:spacing w:line="360" w:lineRule="auto"/>
        <w:rPr>
          <w:b/>
          <w:color w:val="000000"/>
          <w:sz w:val="52"/>
          <w:szCs w:val="52"/>
        </w:rPr>
      </w:pPr>
      <w:r>
        <w:rPr>
          <w:b/>
          <w:color w:val="000000"/>
          <w:sz w:val="52"/>
          <w:szCs w:val="52"/>
        </w:rPr>
      </w:r>
      <w:r/>
    </w:p>
    <w:p>
      <w:pPr>
        <w:pStyle w:val="831"/>
        <w:ind w:firstLine="723"/>
        <w:jc w:val="both"/>
        <w:spacing w:line="360" w:lineRule="auto"/>
        <w:rPr>
          <w:b/>
          <w:color w:val="000000"/>
          <w:sz w:val="72"/>
          <w:szCs w:val="72"/>
        </w:rPr>
      </w:pPr>
      <w:r>
        <w:rPr>
          <w:b/>
          <w:color w:val="000000"/>
          <w:sz w:val="72"/>
          <w:szCs w:val="72"/>
        </w:rPr>
      </w:r>
      <w:r/>
    </w:p>
    <w:p>
      <w:pPr>
        <w:pStyle w:val="831"/>
        <w:ind w:firstLine="723"/>
        <w:jc w:val="both"/>
        <w:spacing w:line="360" w:lineRule="auto"/>
        <w:rPr>
          <w:b/>
          <w:color w:val="000000"/>
          <w:sz w:val="72"/>
          <w:szCs w:val="72"/>
        </w:rPr>
      </w:pPr>
      <w:r>
        <w:rPr>
          <w:b/>
          <w:color w:val="000000"/>
          <w:sz w:val="72"/>
          <w:szCs w:val="72"/>
        </w:rPr>
      </w:r>
      <w:r/>
    </w:p>
    <w:p>
      <w:pPr>
        <w:pStyle w:val="831"/>
        <w:ind w:firstLine="723"/>
        <w:jc w:val="both"/>
        <w:spacing w:line="360" w:lineRule="auto"/>
        <w:rPr>
          <w:b/>
          <w:color w:val="000000"/>
          <w:sz w:val="72"/>
          <w:szCs w:val="72"/>
        </w:rPr>
      </w:pPr>
      <w:r>
        <w:rPr>
          <w:b/>
          <w:color w:val="000000"/>
          <w:sz w:val="72"/>
          <w:szCs w:val="72"/>
        </w:rPr>
      </w:r>
      <w:r/>
    </w:p>
    <w:p>
      <w:pPr>
        <w:pStyle w:val="914"/>
        <w:ind w:left="480" w:firstLine="1446"/>
        <w:jc w:val="both"/>
        <w:rPr>
          <w:b/>
          <w:color w:val="000000"/>
          <w:sz w:val="72"/>
          <w:szCs w:val="72"/>
        </w:rPr>
      </w:pPr>
      <w:r>
        <w:rPr>
          <w:b/>
          <w:color w:val="000000"/>
          <w:sz w:val="72"/>
          <w:szCs w:val="72"/>
        </w:rPr>
      </w:r>
      <w:r/>
    </w:p>
    <w:p>
      <w:pPr>
        <w:pStyle w:val="831"/>
        <w:jc w:val="both"/>
        <w:spacing w:line="360" w:lineRule="auto"/>
        <w:rPr>
          <w:b/>
          <w:color w:val="000000"/>
          <w:sz w:val="28"/>
          <w:szCs w:val="28"/>
        </w:rPr>
      </w:pPr>
      <w:r>
        <w:rPr>
          <w:b/>
          <w:color w:val="000000"/>
          <w:sz w:val="28"/>
          <w:szCs w:val="28"/>
        </w:rPr>
      </w:r>
      <w:r/>
    </w:p>
    <w:p>
      <w:pPr>
        <w:pStyle w:val="1055"/>
        <w:jc w:val="both"/>
        <w:rPr>
          <w:color w:val="000000"/>
        </w:rPr>
      </w:pPr>
      <w:r>
        <w:rPr>
          <w:color w:val="000000"/>
        </w:rPr>
      </w:r>
      <w:r/>
    </w:p>
    <w:p>
      <w:pPr>
        <w:pStyle w:val="831"/>
        <w:jc w:val="both"/>
        <w:rPr>
          <w:color w:val="000000"/>
        </w:rPr>
      </w:pPr>
      <w:r>
        <w:rPr>
          <w:color w:val="000000"/>
        </w:rPr>
      </w:r>
      <w:r/>
    </w:p>
    <w:p>
      <w:pPr>
        <w:pStyle w:val="831"/>
        <w:ind w:right="3108" w:firstLine="1800"/>
        <w:jc w:val="both"/>
        <w:spacing w:line="360" w:lineRule="auto"/>
        <w:rPr>
          <w:b/>
          <w:color w:val="000000"/>
          <w:sz w:val="32"/>
          <w:szCs w:val="2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57"/>
                              <w:rPr>
                                <w:b/>
                                <w:bCs/>
                                <w:sz w:val="32"/>
                              </w:rPr>
                            </w:pPr>
                            <w:r>
                              <w:rPr>
                                <w:rFonts w:hint="eastAsia"/>
                                <w:b/>
                                <w:bCs/>
                                <w:sz w:val="32"/>
                              </w:rPr>
                              <w:t xml:space="preserve">制定</w:t>
                            </w:r>
                            <w:r>
                              <w:rPr>
                                <w:b/>
                                <w:bCs/>
                                <w:sz w:val="32"/>
                              </w:rPr>
                            </w:r>
                            <w:r/>
                          </w:p>
                          <w:p>
                            <w:pPr>
                              <w:pStyle w:val="831"/>
                            </w:pPr>
                            <w:r/>
                            <w:r/>
                          </w:p>
                          <w:p>
                            <w:pPr>
                              <w:pStyle w:val="831"/>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57"/>
                        <w:rPr>
                          <w:b/>
                          <w:bCs/>
                          <w:sz w:val="32"/>
                        </w:rPr>
                      </w:pPr>
                      <w:r>
                        <w:rPr>
                          <w:rFonts w:hint="eastAsia"/>
                          <w:b/>
                          <w:bCs/>
                          <w:sz w:val="32"/>
                        </w:rPr>
                        <w:t xml:space="preserve">制定</w:t>
                      </w:r>
                      <w:r>
                        <w:rPr>
                          <w:b/>
                          <w:bCs/>
                          <w:sz w:val="32"/>
                        </w:rPr>
                      </w:r>
                      <w:r/>
                    </w:p>
                    <w:p>
                      <w:pPr>
                        <w:pStyle w:val="831"/>
                      </w:pPr>
                      <w:r/>
                      <w:r/>
                    </w:p>
                    <w:p>
                      <w:pPr>
                        <w:pStyle w:val="831"/>
                      </w:pPr>
                      <w:r/>
                      <w:r/>
                    </w:p>
                  </w:txbxContent>
                </v:textbox>
              </v:shape>
            </w:pict>
          </mc:Fallback>
        </mc:AlternateContent>
      </w:r>
      <w:r>
        <w:rPr>
          <w:b/>
          <w:color w:val="000000"/>
          <w:sz w:val="32"/>
          <w:szCs w:val="28"/>
        </w:rPr>
        <w:t xml:space="preserve">住房和城乡建设部</w:t>
      </w:r>
      <w:r/>
    </w:p>
    <w:p>
      <w:pPr>
        <w:pStyle w:val="831"/>
        <w:ind w:right="3108" w:firstLine="1606"/>
        <w:jc w:val="both"/>
        <w:spacing w:line="360" w:lineRule="auto"/>
        <w:rPr>
          <w:b/>
          <w:color w:val="000000"/>
          <w:sz w:val="32"/>
          <w:szCs w:val="28"/>
        </w:rPr>
      </w:pPr>
      <w:r>
        <w:rPr>
          <w:b/>
          <w:color w:val="000000"/>
          <w:sz w:val="32"/>
          <w:szCs w:val="28"/>
        </w:rPr>
        <w:t xml:space="preserve">国家工商行政管理总局</w:t>
      </w:r>
      <w:r/>
    </w:p>
    <w:p>
      <w:pPr>
        <w:pStyle w:val="831"/>
        <w:jc w:val="center"/>
        <w:rPr>
          <w:rFonts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rPr>
          <w:rFonts w:hint="eastAsia" w:ascii="宋体" w:hAnsi="宋体" w:cs="宋体"/>
          <w:b/>
          <w:bCs/>
          <w:color w:val="000000"/>
        </w:rPr>
        <w:t xml:space="preserve">第一部分合同协议书</w:t>
      </w:r>
      <w:r>
        <w:rPr>
          <w:rFonts w:ascii="仿宋" w:hAnsi="仿宋" w:eastAsia="仿宋" w:cs="仿宋"/>
          <w:b/>
          <w:bCs/>
          <w:color w:val="000000"/>
          <w:sz w:val="32"/>
          <w:szCs w:val="32"/>
        </w:rPr>
      </w:r>
      <w:r/>
    </w:p>
    <w:p>
      <w:pPr>
        <w:pStyle w:val="831"/>
        <w:jc w:val="both"/>
        <w:spacing w:line="360" w:lineRule="auto"/>
        <w:rPr>
          <w:rFonts w:hint="eastAsia" w:ascii="宋体" w:hAnsi="宋体" w:cs="宋体"/>
          <w:color w:val="000000"/>
        </w:rPr>
      </w:pPr>
      <w:r>
        <w:rPr>
          <w:rFonts w:hint="eastAsia" w:ascii="宋体" w:hAnsi="宋体" w:cs="宋体"/>
          <w:color w:val="000000"/>
        </w:rPr>
        <w:t xml:space="preserve">发包人（全称）：</w:t>
      </w:r>
      <w:r>
        <w:rPr>
          <w:rFonts w:hint="eastAsia" w:ascii="宋体" w:hAnsi="宋体" w:cs="宋体"/>
          <w:color w:val="000000"/>
          <w:u w:val="single"/>
        </w:rPr>
        <w:t xml:space="preserve">南京财经大学</w:t>
      </w:r>
      <w:r>
        <w:rPr>
          <w:rFonts w:hint="eastAsia" w:ascii="宋体" w:hAnsi="宋体" w:cs="宋体"/>
          <w:color w:val="000000"/>
        </w:rPr>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承包人（全称）：</w:t>
      </w:r>
      <w:r>
        <w:rPr>
          <w:rFonts w:hint="eastAsia" w:ascii="宋体" w:hAnsi="宋体" w:cs="宋体"/>
          <w:color w:val="000000"/>
          <w:u w:val="single"/>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根据《中华人民共和国民法典》、《中华人民共和国建筑法》及有关法律规定，遵循平等、自愿、公平和诚实信用的原则，双方</w:t>
      </w:r>
      <w:r>
        <w:rPr>
          <w:rFonts w:hint="eastAsia" w:ascii="宋体" w:hAnsi="宋体" w:eastAsia="宋体" w:cs="宋体"/>
          <w:b/>
          <w:bCs/>
          <w:color w:val="000000"/>
          <w:u w:val="single"/>
        </w:rPr>
        <w:t xml:space="preserve">仙林校区德经楼高压变电所设备升级改造项目</w:t>
      </w:r>
      <w:r>
        <w:rPr>
          <w:rFonts w:hint="eastAsia" w:ascii="宋体" w:hAnsi="宋体" w:cs="宋体"/>
          <w:color w:val="000000"/>
        </w:rPr>
        <w:t xml:space="preserve">及有关事项协商一致，共同达成如下协议：</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一、工程概况</w:t>
      </w:r>
      <w:r/>
    </w:p>
    <w:p>
      <w:pPr>
        <w:pStyle w:val="831"/>
        <w:ind w:firstLine="420"/>
        <w:jc w:val="both"/>
        <w:spacing w:line="460" w:lineRule="exact"/>
        <w:rPr>
          <w:rFonts w:hint="eastAsia" w:ascii="宋体" w:hAnsi="宋体" w:cs="宋体"/>
          <w:color w:val="000000"/>
          <w:u w:val="single"/>
        </w:rPr>
      </w:pPr>
      <w:r>
        <w:rPr>
          <w:rFonts w:hint="eastAsia" w:ascii="宋体" w:hAnsi="宋体" w:cs="宋体"/>
          <w:color w:val="000000"/>
        </w:rPr>
        <w:t xml:space="preserve">1.工程名称：</w:t>
      </w:r>
      <w:r>
        <w:rPr>
          <w:rFonts w:hint="eastAsia" w:ascii="宋体" w:hAnsi="宋体" w:eastAsia="宋体" w:cs="宋体"/>
          <w:b/>
          <w:color w:val="000000"/>
          <w:u w:val="single"/>
        </w:rPr>
        <w:t xml:space="preserve">仙林校区德经楼高压变电所设备升级改造项目</w:t>
      </w:r>
      <w:r>
        <w:rPr>
          <w:rFonts w:hint="eastAsia" w:ascii="宋体" w:hAnsi="宋体" w:cs="宋体"/>
          <w:color w:val="000000"/>
          <w:u w:val="single"/>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2.工程地点：</w:t>
      </w:r>
      <w:r>
        <w:rPr>
          <w:rFonts w:hint="eastAsia" w:ascii="宋体" w:hAnsi="宋体" w:cs="宋体"/>
          <w:color w:val="000000"/>
          <w:u w:val="single"/>
        </w:rPr>
        <w:t xml:space="preserve">南京财经大学仙林校区</w:t>
      </w:r>
      <w:r>
        <w:rPr>
          <w:rFonts w:hint="eastAsia" w:ascii="宋体" w:hAnsi="宋体" w:cs="宋体"/>
          <w:color w:val="000000"/>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3.工程立项批准文号：/</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4.资金来源：</w:t>
      </w:r>
      <w:r>
        <w:rPr>
          <w:rFonts w:hint="eastAsia" w:ascii="宋体" w:hAnsi="宋体" w:cs="宋体"/>
          <w:color w:val="000000"/>
          <w:u w:val="single"/>
        </w:rPr>
        <w:t xml:space="preserve">财政资金。</w:t>
      </w:r>
      <w:r>
        <w:rPr>
          <w:rFonts w:hint="eastAsia" w:ascii="宋体" w:hAnsi="宋体" w:cs="宋体"/>
          <w:color w:val="000000"/>
        </w:rPr>
      </w:r>
      <w:r/>
    </w:p>
    <w:p>
      <w:pPr>
        <w:pStyle w:val="831"/>
        <w:ind w:firstLine="420"/>
        <w:jc w:val="both"/>
        <w:spacing w:line="460" w:lineRule="exact"/>
        <w:rPr>
          <w:rFonts w:hint="eastAsia" w:ascii="宋体" w:hAnsi="宋体" w:cs="宋体"/>
          <w:color w:val="000000"/>
          <w:u w:val="single"/>
        </w:rPr>
      </w:pPr>
      <w:r>
        <w:rPr>
          <w:rFonts w:hint="eastAsia" w:ascii="宋体" w:hAnsi="宋体" w:cs="宋体"/>
          <w:color w:val="000000"/>
        </w:rPr>
        <w:t xml:space="preserve">5.工程内容：</w:t>
      </w:r>
      <w:r>
        <w:rPr>
          <w:rFonts w:hint="eastAsia" w:ascii="宋体" w:hAnsi="宋体" w:cs="宋体"/>
          <w:color w:val="000000"/>
          <w:u w:val="single"/>
        </w:rPr>
        <w:t xml:space="preserve">南京财经大学仙林校区德经楼变电所内置2台1000kVA变压器，配电房10kV采用单母线分段接线方式，高压不设联络；0.4kV采用单母线分段接线方式，低压联络。供电电源分别引自德正楼变电所内高压柜05N和06N。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具体详见工程量清单。</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群体工程应附《承包人承揽工程项目一览表》。</w:t>
      </w:r>
      <w:r/>
    </w:p>
    <w:p>
      <w:pPr>
        <w:pStyle w:val="831"/>
        <w:ind w:firstLine="420"/>
        <w:jc w:val="both"/>
        <w:spacing w:line="460" w:lineRule="exact"/>
        <w:rPr>
          <w:rFonts w:hint="eastAsia" w:ascii="宋体" w:hAnsi="宋体" w:cs="宋体"/>
          <w:color w:val="000000"/>
          <w:u w:val="single"/>
        </w:rPr>
      </w:pPr>
      <w:r>
        <w:rPr>
          <w:rFonts w:hint="eastAsia" w:ascii="宋体" w:hAnsi="宋体" w:cs="宋体"/>
          <w:color w:val="000000"/>
        </w:rPr>
        <w:t xml:space="preserve">6.工程承包范围：</w:t>
      </w:r>
      <w:r>
        <w:rPr>
          <w:rFonts w:hint="eastAsia" w:ascii="宋体" w:hAnsi="宋体" w:cs="宋体"/>
          <w:color w:val="000000"/>
          <w:u w:val="single"/>
        </w:rPr>
        <w:t xml:space="preserve">南京财经大学仙林校区德经楼变电所内置2台1000kVA变压器，配电房10kV采用单母线分段接线方式，高压不设联络；0.4kV采用单母线分段接线方式，低压联络。供电电源分别引自德正楼变电所内高压柜05N和06N。本次项目内容包括改造德经楼变电所内所有高低压设备；新上智能管理单元，接入中心开闭所电力监控系统；新上无线测温传感器及通讯附件，低压柜仪表具备电度计量功能和通讯，数据上传至智能管理单元及中心开闭所电力监控系统；新上配电房智慧巡检系统；更换模拟图板、风筒风机、电缆沟盖板、绝缘垫等。具体详见工程量清单。</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二、合同工期</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工期总日历天数</w:t>
      </w:r>
      <w:r>
        <w:rPr>
          <w:rFonts w:hint="eastAsia" w:ascii="宋体" w:hAnsi="宋体" w:cs="宋体"/>
          <w:b/>
          <w:bCs/>
          <w:color w:val="000000"/>
        </w:rPr>
        <w:t xml:space="preserve">：</w:t>
      </w:r>
      <w:r>
        <w:rPr>
          <w:rFonts w:hint="eastAsia" w:ascii="宋体" w:hAnsi="宋体" w:cs="宋体"/>
          <w:b/>
          <w:bCs/>
          <w:color w:val="000000"/>
          <w:u w:val="single"/>
        </w:rPr>
        <w:t xml:space="preserve">本项目工期</w:t>
      </w:r>
      <w:r>
        <w:rPr>
          <w:rFonts w:hint="eastAsia" w:ascii="宋体" w:hAnsi="宋体" w:eastAsia="宋体" w:cs="宋体"/>
          <w:b/>
          <w:bCs/>
          <w:color w:val="000000"/>
          <w:u w:val="single"/>
        </w:rPr>
        <w:t xml:space="preserve">40</w:t>
      </w:r>
      <w:r>
        <w:rPr>
          <w:rFonts w:hint="eastAsia" w:ascii="宋体" w:hAnsi="宋体" w:cs="宋体"/>
          <w:b/>
          <w:bCs/>
          <w:color w:val="000000"/>
          <w:u w:val="single"/>
        </w:rPr>
        <w:t xml:space="preserve">个日历日，中标人可在2026年7月11日后进场施工，工期内完成全部改造项目并送电，保证正常使用。</w:t>
      </w:r>
      <w:r>
        <w:rPr>
          <w:rFonts w:hint="eastAsia" w:ascii="宋体" w:hAnsi="宋体" w:cs="宋体"/>
          <w:color w:val="000000"/>
        </w:rPr>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三、质量标准</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工程质量应符合</w:t>
      </w:r>
      <w:r>
        <w:rPr>
          <w:rFonts w:hint="eastAsia" w:ascii="宋体" w:hAnsi="宋体" w:cs="宋体"/>
          <w:color w:val="000000"/>
          <w:u w:val="single"/>
        </w:rPr>
        <w:t xml:space="preserve">《建筑工程施工质量验收统一标准》（GB50300-2013）等国家现行质量验收标准和本合同约定标准</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四、签约合同价与合同价格形式</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1.签约合同价：</w:t>
      </w:r>
      <w:r/>
    </w:p>
    <w:p>
      <w:pPr>
        <w:pStyle w:val="831"/>
        <w:ind w:firstLine="422"/>
        <w:jc w:val="both"/>
        <w:spacing w:line="460" w:lineRule="exact"/>
        <w:rPr>
          <w:rFonts w:hint="eastAsia" w:ascii="宋体" w:hAnsi="宋体" w:cs="宋体"/>
          <w:b/>
          <w:bCs/>
          <w:color w:val="000000"/>
        </w:rPr>
      </w:pPr>
      <w:r>
        <w:rPr>
          <w:rFonts w:hint="eastAsia" w:ascii="宋体" w:hAnsi="宋体" w:cs="宋体"/>
          <w:b/>
          <w:bCs/>
          <w:color w:val="000000"/>
        </w:rPr>
        <w:t xml:space="preserve">人民币（大写）：</w:t>
      </w:r>
      <w:r>
        <w:rPr>
          <w:rFonts w:hint="eastAsia" w:ascii="宋体" w:hAnsi="宋体" w:cs="宋体"/>
          <w:b/>
          <w:bCs/>
          <w:color w:val="000000"/>
          <w:u w:val="single"/>
        </w:rPr>
        <w:t xml:space="preserve">           </w:t>
      </w:r>
      <w:r>
        <w:rPr>
          <w:rFonts w:hint="eastAsia" w:ascii="宋体" w:hAnsi="宋体" w:cs="宋体"/>
          <w:b/>
          <w:bCs/>
          <w:color w:val="000000"/>
        </w:rPr>
        <w:t xml:space="preserve">（¥ </w:t>
      </w:r>
      <w:r>
        <w:rPr>
          <w:rFonts w:hint="eastAsia" w:ascii="宋体" w:hAnsi="宋体" w:cs="宋体"/>
          <w:b/>
          <w:bCs/>
          <w:color w:val="000000"/>
          <w:u w:val="single"/>
        </w:rPr>
        <w:t xml:space="preserve">           </w:t>
      </w:r>
      <w:r>
        <w:rPr>
          <w:rFonts w:hint="eastAsia" w:ascii="宋体" w:hAnsi="宋体" w:cs="宋体"/>
          <w:b/>
          <w:bCs/>
          <w:color w:val="000000"/>
        </w:rPr>
        <w:t xml:space="preserve">，含税金），</w:t>
      </w:r>
      <w:r/>
    </w:p>
    <w:p>
      <w:pPr>
        <w:pStyle w:val="831"/>
        <w:ind w:firstLine="422"/>
        <w:jc w:val="both"/>
        <w:spacing w:line="460" w:lineRule="exact"/>
        <w:rPr>
          <w:rFonts w:hint="eastAsia" w:ascii="宋体" w:hAnsi="宋体" w:cs="宋体"/>
          <w:b/>
          <w:bCs/>
          <w:color w:val="000000"/>
        </w:rPr>
      </w:pPr>
      <w:r>
        <w:rPr>
          <w:rFonts w:hint="eastAsia" w:ascii="宋体" w:hAnsi="宋体" w:cs="宋体"/>
          <w:b/>
          <w:bCs/>
          <w:color w:val="000000"/>
        </w:rPr>
        <w:t xml:space="preserve">双方确认本合同最终结算价以发包人单方审计的审定价为准；</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其中：</w:t>
      </w:r>
      <w:r/>
    </w:p>
    <w:p>
      <w:pPr>
        <w:pStyle w:val="831"/>
        <w:numPr>
          <w:ilvl w:val="0"/>
          <w:numId w:val="5"/>
        </w:numPr>
        <w:ind w:firstLine="420"/>
        <w:jc w:val="both"/>
        <w:spacing w:line="460" w:lineRule="exact"/>
        <w:rPr>
          <w:rFonts w:hint="eastAsia" w:ascii="宋体" w:hAnsi="宋体" w:cs="宋体"/>
          <w:color w:val="000000"/>
        </w:rPr>
      </w:pPr>
      <w:r>
        <w:rPr>
          <w:rFonts w:hint="eastAsia" w:ascii="宋体" w:hAnsi="宋体" w:cs="宋体"/>
          <w:color w:val="000000"/>
        </w:rPr>
        <w:t xml:space="preserve">安全文明施工费：</w:t>
      </w:r>
      <w:r/>
    </w:p>
    <w:p>
      <w:pPr>
        <w:pStyle w:val="831"/>
        <w:ind w:firstLine="420"/>
        <w:jc w:val="both"/>
        <w:spacing w:line="460" w:lineRule="exact"/>
        <w:rPr>
          <w:rFonts w:hint="eastAsia" w:ascii="宋体" w:hAnsi="宋体" w:cs="宋体"/>
          <w:color w:val="000000"/>
        </w:rPr>
      </w:pPr>
      <w:r>
        <w:rPr>
          <w:rFonts w:ascii="Wingdings 2" w:hAnsi="Wingdings 2" w:eastAsia="Wingdings 2" w:cs="Wingdings 2"/>
          <w:color w:val="000000"/>
        </w:rPr>
        <w:t xml:space="preserve"></w:t>
      </w:r>
      <w:r>
        <w:rPr>
          <w:rFonts w:hint="eastAsia" w:ascii="宋体" w:hAnsi="宋体" w:cs="宋体"/>
          <w:color w:val="000000"/>
        </w:rPr>
        <w:t xml:space="preserve">【公开招标无二次报价项目选用，按照承包人投标文件列明的安全文明施工费填具体金额】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        ） (¥：        )；</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（2）材料和工程设备暂估价金额：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（3）专业工程暂估价金额：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（4）暂列金额：</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人民币（大写）</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rPr>
        <w:t xml:space="preserve">)。</w:t>
      </w:r>
      <w:r/>
    </w:p>
    <w:p>
      <w:pPr>
        <w:pStyle w:val="831"/>
        <w:ind w:firstLine="420"/>
        <w:jc w:val="both"/>
        <w:spacing w:line="360" w:lineRule="auto"/>
        <w:rPr>
          <w:rFonts w:hint="eastAsia" w:ascii="宋体" w:hAnsi="宋体" w:cs="宋体"/>
          <w:color w:val="000000"/>
        </w:rPr>
      </w:pPr>
      <w:r>
        <w:rPr>
          <w:rFonts w:hint="eastAsia" w:ascii="宋体" w:hAnsi="宋体" w:cs="宋体"/>
          <w:color w:val="000000"/>
        </w:rPr>
        <w:t xml:space="preserve">2.合同价格形式：</w:t>
      </w:r>
      <w:r>
        <w:rPr>
          <w:rFonts w:hint="eastAsia" w:ascii="宋体" w:hAnsi="宋体" w:cs="宋体"/>
          <w:color w:val="000000"/>
          <w:u w:val="single"/>
        </w:rPr>
        <w:t xml:space="preserve">固定单价合同</w:t>
      </w:r>
      <w:r>
        <w:rPr>
          <w:rFonts w:hint="eastAsia" w:ascii="宋体" w:hAnsi="宋体" w:cs="宋体"/>
          <w:color w:val="000000"/>
        </w:rPr>
        <w:t xml:space="preserve">。</w:t>
      </w:r>
      <w:r/>
    </w:p>
    <w:p>
      <w:pPr>
        <w:pStyle w:val="1056"/>
        <w:ind w:firstLine="420"/>
        <w:spacing w:line="360" w:lineRule="auto"/>
        <w:tabs>
          <w:tab w:val="left" w:pos="0" w:leader="none"/>
        </w:tabs>
        <w:rPr>
          <w:rFonts w:hint="eastAsia" w:ascii="宋体" w:hAnsi="宋体" w:cs="宋体"/>
          <w:b/>
          <w:color w:val="000000"/>
        </w:rPr>
      </w:pPr>
      <w:r>
        <w:rPr>
          <w:rFonts w:hint="eastAsia" w:ascii="宋体" w:hAnsi="宋体" w:cs="宋体"/>
          <w:color w:val="000000"/>
          <w:u w:val="single"/>
        </w:rPr>
        <w:t xml:space="preserve">按照施工图和工程量清单采取固定单价；任何情况下综合单价不变，决算时按实际工程量乘以综合单价计算</w:t>
      </w:r>
      <w:r>
        <w:rPr>
          <w:rFonts w:hint="eastAsia" w:ascii="宋体" w:hAnsi="宋体" w:cs="宋体"/>
          <w:color w:val="000000"/>
        </w:rPr>
        <w:t xml:space="preserve">。</w:t>
      </w:r>
      <w:r>
        <w:rPr>
          <w:rFonts w:hint="eastAsia" w:ascii="宋体" w:hAnsi="宋体" w:cs="宋体"/>
          <w:b/>
          <w:color w:val="000000"/>
        </w:rPr>
        <w:t xml:space="preserve">非发包人需求且书面认可的变化导致的变更由承包人自行承担相关费用。</w:t>
      </w:r>
      <w:r/>
    </w:p>
    <w:p>
      <w:pPr>
        <w:pStyle w:val="831"/>
        <w:ind w:firstLine="420"/>
        <w:jc w:val="both"/>
        <w:spacing w:line="360" w:lineRule="auto"/>
        <w:rPr>
          <w:rFonts w:hint="eastAsia" w:ascii="宋体" w:hAnsi="宋体" w:cs="宋体"/>
          <w:color w:val="000000"/>
        </w:rPr>
      </w:pPr>
      <w:r>
        <w:rPr>
          <w:rFonts w:hint="eastAsia" w:ascii="宋体" w:hAnsi="宋体" w:cs="宋体"/>
          <w:color w:val="000000"/>
        </w:rPr>
        <w:t xml:space="preserve">五、项目经理和项目其他主要管理人员（现场技术负责人、施工员、质量员、安全员、资料员）</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承包人项目经理：</w:t>
      </w:r>
      <w:r>
        <w:rPr>
          <w:rFonts w:hint="eastAsia" w:ascii="宋体" w:hAnsi="宋体" w:cs="宋体"/>
          <w:color w:val="000000"/>
          <w:u w:val="single"/>
        </w:rPr>
        <w:t xml:space="preserve">               ，联系方式：        </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项目其他主要管理人员：</w:t>
      </w:r>
      <w:r>
        <w:rPr>
          <w:rFonts w:hint="eastAsia" w:ascii="宋体" w:hAnsi="宋体" w:cs="宋体"/>
          <w:color w:val="000000"/>
          <w:u w:val="single"/>
        </w:rPr>
        <w:t xml:space="preserve">         ，联系方式：        </w:t>
      </w:r>
      <w:r>
        <w:rPr>
          <w:rFonts w:hint="eastAsia" w:ascii="宋体" w:hAnsi="宋体" w:cs="宋体"/>
          <w:color w:val="000000"/>
        </w:rPr>
        <w:t xml:space="preserve">。【填写投标响应文件列明的现场技术负责人、施工员、质量员、安全员、资料员信息】</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六、合同文件构成</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本协议书与下列文件一起构成合同文件：</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（1）中标通知书（如果有）；</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（2）投标函及其附录（如果有）；</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（3）专用合同条款及其附件；</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（4）通用合同条款；</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（5）技术标准和要求；</w:t>
      </w:r>
      <w:r/>
    </w:p>
    <w:p>
      <w:pPr>
        <w:pStyle w:val="1056"/>
        <w:ind w:firstLine="420"/>
        <w:tabs>
          <w:tab w:val="left" w:pos="0" w:leader="none"/>
        </w:tabs>
        <w:rPr>
          <w:rFonts w:hint="eastAsia" w:ascii="宋体" w:hAnsi="宋体" w:cs="宋体"/>
          <w:color w:val="000000"/>
        </w:rPr>
      </w:pPr>
      <w:r>
        <w:rPr>
          <w:rFonts w:hint="eastAsia" w:ascii="宋体" w:hAnsi="宋体" w:cs="宋体"/>
          <w:color w:val="000000"/>
        </w:rPr>
        <w:t xml:space="preserve">（6）图纸；</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（7）已标价工程量清单或预算书；</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（8）其他合同文件。</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在合同订立及履行过程中形成的与合同有关的文件均构成合同文件组成部分。</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上述各项合同文件包括合同当事人就该项合同文件所作出的补充和修改，属于同一类内容的文件，应以最新签署的为准。专用合同条款及其附件须经合同当事人签字或盖章。</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七、承诺</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1.发包人承诺按照法律规定履行项目审批手续、筹集工程建设资金并按照合同约定的期限和方式支付合同价款。</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2.承包人承诺按照法律规定及合同约定组织完成工程施工，确保工程质量和安全，不进行转包及违法分包，并在缺陷责任期及保修期内承担相应的工程维修责任。</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3.发包人和承包人通过招投标形式签订合同的，双方理解并承诺不再就同一工程另行签订与合同实质性内容相背离的协议。</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八、词语含义</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本协议书中词语含义与第二部分通用合同条款中赋予的含义相同。</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九、签订时间</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本合同于</w:t>
      </w:r>
      <w:r>
        <w:rPr>
          <w:rFonts w:hint="eastAsia" w:ascii="宋体" w:hAnsi="宋体" w:cs="宋体"/>
          <w:color w:val="000000"/>
          <w:u w:val="single"/>
        </w:rPr>
        <w:t xml:space="preserve">    年    月     日</w:t>
      </w:r>
      <w:r>
        <w:rPr>
          <w:rFonts w:hint="eastAsia" w:ascii="宋体" w:hAnsi="宋体" w:cs="宋体"/>
          <w:color w:val="000000"/>
        </w:rPr>
        <w:t xml:space="preserve">签订。</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十、签订地点</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本合同在南京市栖霞区仙林大学城文苑路3号签订。</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十一、补充协议</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合同未尽事宜，合同当事人另行签订补充协议，补充协议是本合同的组成部分。发包人需要在本工程项下追加部分项目的，在不改变合同其他条款的前提下，可以与承包人协商签订书面补充合同，但所有补充合同的合同价不得超过本合同合同价的10%，且本合同价格和各补充合同价格之和不得超过本项目采购预算。</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十二、合同生效</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本合同自</w:t>
      </w:r>
      <w:r>
        <w:rPr>
          <w:rFonts w:hint="eastAsia" w:ascii="宋体" w:hAnsi="宋体" w:cs="宋体"/>
          <w:bCs/>
          <w:color w:val="000000"/>
          <w:u w:val="single"/>
        </w:rPr>
        <w:t xml:space="preserve">发包人、承包人双方法定代表人或其委托代理人签名并加盖单位印章（注：发包人加盖单位印章为发包人单位经济合同专用章）且发包人收到承包人按本合同约定提交的履约保证金后</w:t>
      </w:r>
      <w:r>
        <w:rPr>
          <w:rFonts w:hint="eastAsia" w:ascii="宋体" w:hAnsi="宋体" w:cs="宋体"/>
          <w:bCs/>
          <w:color w:val="000000"/>
        </w:rPr>
        <w:t xml:space="preserve">生效</w:t>
      </w:r>
      <w:r>
        <w:rPr>
          <w:rFonts w:hint="eastAsia" w:ascii="宋体" w:hAnsi="宋体" w:cs="宋体"/>
          <w:color w:val="000000"/>
        </w:rPr>
        <w:t xml:space="preserve">。</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十三、合同份数</w:t>
      </w:r>
      <w:r/>
    </w:p>
    <w:p>
      <w:pPr>
        <w:pStyle w:val="831"/>
        <w:ind w:firstLine="420"/>
        <w:jc w:val="both"/>
        <w:spacing w:line="460" w:lineRule="exact"/>
        <w:rPr>
          <w:rFonts w:hint="eastAsia" w:ascii="宋体" w:hAnsi="宋体" w:cs="宋体"/>
          <w:color w:val="000000"/>
        </w:rPr>
      </w:pPr>
      <w:r>
        <w:rPr>
          <w:rFonts w:hint="eastAsia" w:ascii="宋体" w:hAnsi="宋体" w:cs="宋体"/>
          <w:color w:val="000000"/>
        </w:rPr>
        <w:t xml:space="preserve">本合同一式</w:t>
      </w:r>
      <w:r>
        <w:rPr>
          <w:rFonts w:hint="eastAsia" w:ascii="宋体" w:hAnsi="宋体" w:cs="宋体"/>
          <w:color w:val="000000"/>
          <w:u w:val="single"/>
        </w:rPr>
        <w:t xml:space="preserve">捌</w:t>
      </w:r>
      <w:r>
        <w:rPr>
          <w:rFonts w:hint="eastAsia" w:ascii="宋体" w:hAnsi="宋体" w:cs="宋体"/>
          <w:color w:val="000000"/>
        </w:rPr>
        <w:t xml:space="preserve">份，均具有同等法律效力，发包人执</w:t>
      </w:r>
      <w:r>
        <w:rPr>
          <w:rFonts w:hint="eastAsia" w:ascii="宋体" w:hAnsi="宋体" w:cs="宋体"/>
          <w:color w:val="000000"/>
          <w:u w:val="single"/>
        </w:rPr>
        <w:t xml:space="preserve">陆</w:t>
      </w:r>
      <w:r>
        <w:rPr>
          <w:rFonts w:hint="eastAsia" w:ascii="宋体" w:hAnsi="宋体" w:cs="宋体"/>
          <w:color w:val="000000"/>
        </w:rPr>
        <w:t xml:space="preserve">份，承包人执</w:t>
      </w:r>
      <w:r>
        <w:rPr>
          <w:rFonts w:hint="eastAsia" w:ascii="宋体" w:hAnsi="宋体" w:cs="宋体"/>
          <w:color w:val="000000"/>
          <w:u w:val="single"/>
        </w:rPr>
        <w:t xml:space="preserve">贰</w:t>
      </w:r>
      <w:r>
        <w:rPr>
          <w:rFonts w:hint="eastAsia" w:ascii="宋体" w:hAnsi="宋体" w:cs="宋体"/>
          <w:color w:val="000000"/>
        </w:rPr>
        <w:t xml:space="preserve">份。</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 (盖章)                         承包人： (盖章)</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法定代表人或其委托代理人：              法定代表人或其委托代理人：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（签名）                               （签名）</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统一社会信用代码：                      统一社会信用代码：</w:t>
      </w:r>
      <w:r/>
    </w:p>
    <w:p>
      <w:pPr>
        <w:pStyle w:val="831"/>
        <w:ind w:left="4560" w:hanging="4560"/>
        <w:jc w:val="both"/>
        <w:spacing w:line="460" w:lineRule="exact"/>
        <w:rPr>
          <w:rFonts w:hint="eastAsia" w:ascii="宋体" w:hAnsi="宋体" w:cs="宋体"/>
          <w:color w:val="000000"/>
        </w:rPr>
      </w:pPr>
      <w:r>
        <w:rPr>
          <w:rFonts w:hint="eastAsia" w:ascii="宋体" w:hAnsi="宋体" w:cs="宋体"/>
          <w:color w:val="000000"/>
        </w:rPr>
        <w:t xml:space="preserve">地址：                                  地址：</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邮政编码：                              邮政编码：</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法定代表人：                            法定代表人：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委托代理人：                            委托代理人：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电话：                                 电话：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传真：                                  传真：</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电子信箱：                              电子信箱：</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开户银行：                              开户银行：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账号：                                  账号：</w:t>
      </w:r>
      <w:r/>
    </w:p>
    <w:p>
      <w:pPr>
        <w:pStyle w:val="831"/>
        <w:jc w:val="both"/>
        <w:rPr>
          <w:rFonts w:hint="eastAsia" w:ascii="宋体" w:hAnsi="宋体" w:cs="宋体"/>
          <w:b/>
          <w:bCs/>
          <w:color w:val="000000"/>
        </w:rPr>
        <w:sectPr>
          <w:headerReference w:type="default" r:id="rId9"/>
          <w:footerReference w:type="default" r:id="rId10"/>
          <w:footerReference w:type="even" r:id="rId11"/>
          <w:footnotePr/>
          <w:endnotePr/>
          <w:type w:val="nextPage"/>
          <w:pgSz w:w="11906" w:h="16838" w:orient="portrait"/>
          <w:pgMar w:top="1440" w:right="1800" w:bottom="1440" w:left="1380" w:header="851" w:footer="992" w:gutter="0"/>
          <w:pgNumType w:start="1"/>
          <w:rtlGutter/>
          <w:cols w:num="1" w:sep="0" w:space="720" w:equalWidth="1"/>
          <w:docGrid w:linePitch="360"/>
        </w:sectPr>
      </w:pPr>
      <w:r>
        <w:rPr>
          <w:rFonts w:hint="eastAsia" w:ascii="宋体" w:hAnsi="宋体" w:cs="宋体"/>
          <w:b/>
          <w:bCs/>
          <w:color w:val="000000"/>
        </w:rPr>
      </w:r>
      <w:r/>
    </w:p>
    <w:p>
      <w:pPr>
        <w:pStyle w:val="831"/>
        <w:jc w:val="center"/>
        <w:rPr>
          <w:rFonts w:hint="eastAsia" w:ascii="宋体" w:hAnsi="宋体" w:cs="宋体"/>
          <w:b/>
          <w:bCs/>
          <w:color w:val="000000"/>
        </w:rPr>
      </w:pPr>
      <w:r>
        <w:rPr>
          <w:rFonts w:hint="eastAsia" w:ascii="宋体" w:hAnsi="宋体" w:cs="宋体"/>
          <w:b/>
          <w:bCs/>
          <w:color w:val="000000"/>
        </w:rPr>
        <w:t xml:space="preserve">第二部分通用合同条款</w:t>
      </w:r>
      <w:r/>
    </w:p>
    <w:p>
      <w:pPr>
        <w:pStyle w:val="831"/>
        <w:jc w:val="both"/>
        <w:rPr>
          <w:rFonts w:hint="eastAsia" w:ascii="宋体" w:hAnsi="宋体" w:cs="宋体"/>
          <w:b/>
          <w:bCs/>
          <w:color w:val="000000"/>
        </w:rPr>
      </w:pPr>
      <w:r>
        <w:rPr>
          <w:rFonts w:hint="eastAsia" w:ascii="宋体" w:hAnsi="宋体" w:cs="宋体"/>
          <w:b/>
          <w:bCs/>
          <w:color w:val="000000"/>
        </w:rPr>
      </w:r>
      <w:r/>
    </w:p>
    <w:p>
      <w:pPr>
        <w:pStyle w:val="831"/>
        <w:jc w:val="both"/>
        <w:rPr>
          <w:rFonts w:hint="eastAsia" w:ascii="宋体" w:hAnsi="宋体" w:cs="宋体"/>
          <w:color w:val="000000"/>
        </w:rPr>
      </w:pPr>
      <w:r>
        <w:rPr>
          <w:rFonts w:hint="eastAsia" w:ascii="宋体" w:hAnsi="宋体" w:cs="宋体"/>
          <w:color w:val="000000"/>
        </w:rPr>
        <w:t xml:space="preserve">此部分采用《建设工程施工合同》范本（GF—2017—0201）中《第二部分通用条款》。</w:t>
      </w:r>
      <w:r/>
    </w:p>
    <w:p>
      <w:pPr>
        <w:pStyle w:val="831"/>
        <w:jc w:val="both"/>
        <w:rPr>
          <w:rFonts w:hint="eastAsia" w:ascii="宋体" w:hAnsi="宋体" w:cs="宋体"/>
          <w:b/>
          <w:bCs/>
          <w:color w:val="000000"/>
        </w:rPr>
      </w:pPr>
      <w:r>
        <w:rPr>
          <w:rFonts w:hint="eastAsia" w:ascii="宋体" w:hAnsi="宋体" w:cs="宋体"/>
          <w:b/>
          <w:bCs/>
          <w:color w:val="000000"/>
        </w:rPr>
      </w:r>
      <w:r/>
    </w:p>
    <w:p>
      <w:pPr>
        <w:pStyle w:val="831"/>
        <w:jc w:val="center"/>
        <w:rPr>
          <w:rFonts w:hint="eastAsia" w:ascii="宋体" w:hAnsi="宋体" w:cs="宋体"/>
          <w:b/>
          <w:bCs/>
          <w:color w:val="000000"/>
        </w:rPr>
      </w:pPr>
      <w:r>
        <w:rPr>
          <w:rFonts w:hint="eastAsia" w:ascii="宋体" w:hAnsi="宋体" w:cs="宋体"/>
          <w:b/>
          <w:bCs/>
          <w:color w:val="000000"/>
        </w:rPr>
        <w:t xml:space="preserve">第三部分专用合同条款</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 . 一般约定</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 词语定义</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1.1.1合同</w:t>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合同文件包括：（1）施工合同协议书；（2）中标通知书或成交通知书；（3）招标文件、投标书及其附件；（4）专用条款；（5）通用条款；（6）标准、规范及有关技术资料；（7）工程量清单；（8）工程报价单或预算书等履行合同过程中双方书面确认的对合同内容有实质性影响的文件以及会议纪要、签证、设计变更等资料。</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1.1.2 合同当事人及其他相关方</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1.1.2.1监理人：</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名称：</w:t>
      </w:r>
      <w:r>
        <w:rPr>
          <w:rFonts w:hint="eastAsia" w:ascii="宋体" w:hAnsi="宋体" w:cs="宋体"/>
          <w:color w:val="000000"/>
          <w:u w:val="single"/>
        </w:rPr>
        <w:t xml:space="preserve">    ；</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资质类别和等级：</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1.1.2.2设计人：</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资质类别和等级：</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电子信箱：</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通信地址：</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 工程和设备</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1.1.3.1作为施工现场组成部分的其他场所包括：</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1.1.3.2永久占地包括：</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1.1.3.3临时占地包括：</w:t>
      </w:r>
      <w:r>
        <w:rPr>
          <w:rFonts w:hint="eastAsia" w:ascii="宋体" w:hAnsi="宋体" w:cs="宋体"/>
          <w:color w:val="000000"/>
          <w:u w:val="single"/>
        </w:rPr>
        <w:t xml:space="preserve">施工场地周围道路</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1.2法律</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适用于合同的其他规范性文件：</w:t>
      </w:r>
      <w:r>
        <w:rPr>
          <w:rFonts w:hint="eastAsia" w:ascii="宋体" w:hAnsi="宋体" w:cs="宋体"/>
          <w:color w:val="000000"/>
          <w:u w:val="single"/>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1.3标准和规范</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1.3.1适用于工程的标准规范包括：</w:t>
      </w:r>
      <w:r>
        <w:rPr>
          <w:rFonts w:hint="eastAsia" w:ascii="宋体" w:hAnsi="宋体" w:cs="宋体"/>
          <w:color w:val="000000"/>
          <w:u w:val="single"/>
        </w:rPr>
        <w:t xml:space="preserve">本项目应按国家颁发的有关规范、标准及省、市有关规定的设计和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1.3.2 发包人提供国外标准、规范的名称：</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发包人提供国外标准、规范的份数：</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发包人提供国外标准、规范的名称：</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1.3.3发包人对工程的技术标准和功能要求的特殊要求：</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1.4合同文件的优先顺序</w:t>
      </w:r>
      <w:r/>
    </w:p>
    <w:p>
      <w:pPr>
        <w:pStyle w:val="831"/>
        <w:ind w:firstLine="480"/>
        <w:jc w:val="both"/>
        <w:spacing w:line="400" w:lineRule="exact"/>
        <w:rPr>
          <w:rFonts w:hint="eastAsia" w:ascii="宋体" w:hAnsi="宋体" w:cs="宋体"/>
          <w:color w:val="000000"/>
          <w:u w:val="single"/>
        </w:rPr>
      </w:pPr>
      <w:r>
        <w:rPr>
          <w:rFonts w:hint="eastAsia" w:ascii="宋体" w:hAnsi="宋体" w:cs="宋体"/>
          <w:color w:val="000000"/>
        </w:rPr>
        <w:t xml:space="preserve">合同文件组成及优先顺序为：</w:t>
      </w:r>
      <w:r>
        <w:rPr>
          <w:rFonts w:hint="eastAsia" w:ascii="宋体" w:hAnsi="宋体" w:cs="宋体"/>
          <w:color w:val="000000"/>
          <w:u w:val="single"/>
        </w:rPr>
        <w:t xml:space="preserve">（1）本施工合同协议书；（2）中标通知书或成交通知书；（3）本合同专用条款；（4）标准、规范及有关技术资料；（5）工程量清单；（6）工程报价单或预算书；（7）招标文件、投标书及其附件（含：承包人投标过程所作承诺）；（8）本合同通用条款；（9）合同履行中，发包人承包人有关工程的洽商、变更等书面协议或文件视为本合同的组成。</w:t>
      </w:r>
      <w:r/>
    </w:p>
    <w:p>
      <w:pPr>
        <w:pStyle w:val="831"/>
        <w:ind w:firstLine="480"/>
        <w:jc w:val="both"/>
        <w:spacing w:line="400" w:lineRule="exact"/>
        <w:rPr>
          <w:rFonts w:hint="eastAsia" w:ascii="宋体" w:hAnsi="宋体" w:cs="宋体"/>
          <w:color w:val="000000"/>
        </w:rPr>
      </w:pPr>
      <w:r>
        <w:rPr>
          <w:rFonts w:hint="eastAsia" w:ascii="宋体" w:hAnsi="宋体" w:cs="宋体"/>
          <w:color w:val="000000"/>
        </w:rPr>
        <w:t xml:space="preserve">上述各项合同文件包括合同当事人就该项合同文件所作出的补充和修改，属于同一类内容的文件，应以最新签署的为准。</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1.5图纸和承包人文件</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1.5.1 图纸的提供</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发包人向承包人提供图纸的期限：</w:t>
      </w:r>
      <w:r>
        <w:rPr>
          <w:rFonts w:hint="eastAsia" w:ascii="宋体" w:hAnsi="宋体" w:cs="宋体"/>
          <w:color w:val="000000"/>
          <w:u w:val="single"/>
        </w:rPr>
        <w:t xml:space="preserve">开工前【7】日内提供施工图</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发包人向承包人提供图纸的数量：</w:t>
      </w:r>
      <w:r>
        <w:rPr>
          <w:rFonts w:hint="eastAsia" w:ascii="宋体" w:hAnsi="宋体" w:cs="宋体"/>
          <w:color w:val="000000"/>
          <w:u w:val="single"/>
        </w:rPr>
        <w:t xml:space="preserve">纸质版【3】套，如需加晒图纸承包人自行承担所有费用；</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发包人向承包人提供图纸的内容：</w:t>
      </w:r>
      <w:r>
        <w:rPr>
          <w:rFonts w:hint="eastAsia" w:ascii="宋体" w:hAnsi="宋体" w:cs="宋体"/>
          <w:color w:val="000000"/>
          <w:u w:val="single"/>
        </w:rPr>
        <w:t xml:space="preserve">全套施工图</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1.5.2承包人文件</w:t>
      </w:r>
      <w:r/>
    </w:p>
    <w:p>
      <w:pPr>
        <w:pStyle w:val="831"/>
        <w:jc w:val="both"/>
        <w:spacing w:line="440" w:lineRule="exact"/>
        <w:rPr>
          <w:rFonts w:hint="eastAsia" w:ascii="宋体" w:hAnsi="宋体" w:cs="宋体"/>
          <w:b/>
          <w:bCs/>
          <w:color w:val="000000"/>
          <w:u w:val="single"/>
        </w:rPr>
      </w:pPr>
      <w:r>
        <w:rPr>
          <w:rFonts w:hint="eastAsia" w:ascii="宋体" w:hAnsi="宋体" w:cs="宋体"/>
          <w:color w:val="000000"/>
        </w:rPr>
        <w:t xml:space="preserve">需要由承包人提供的文件，包括：</w:t>
      </w:r>
      <w:r>
        <w:rPr>
          <w:rFonts w:hint="eastAsia" w:ascii="宋体" w:hAnsi="宋体" w:cs="宋体"/>
          <w:color w:val="000000"/>
          <w:u w:val="single"/>
        </w:rPr>
        <w:t xml:space="preserve">每七天分别向发包人及监理方提供详细的施工进度计划、已完工程量报表（含工程变更及签证算）、发包人供材料清单、承包人购材</w:t>
      </w:r>
      <w:r>
        <w:rPr>
          <w:rFonts w:hint="eastAsia" w:ascii="宋体" w:hAnsi="宋体" w:cs="宋体"/>
          <w:color w:val="000000"/>
          <w:u w:val="single"/>
        </w:rPr>
        <w:t xml:space="preserve">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需要由承包人提供的文件还包括：（1）设计变更、签证申请报告；（2）隐蔽工程和中间验收通知；（3）竣工验收申请报告；（4）竣工资料；（5）竣工结算申请单及结算资料；（6）最终结清申请单；其</w:t>
      </w:r>
      <w:r>
        <w:rPr>
          <w:rFonts w:hint="eastAsia" w:ascii="宋体" w:hAnsi="宋体" w:cs="宋体"/>
          <w:b/>
          <w:bCs/>
          <w:color w:val="000000"/>
          <w:u w:val="single"/>
        </w:rPr>
        <w:t xml:space="preserve">他应监理人或发包人要求提交的其他报告、报表：承包人应在正式施工前向发包人提供详细施工技术方案及未来清单报价表（含综合单价分析表等）并附光盘，经发包人审核书面同意后方可进场施工。</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承包人提供的文件的期限为：</w:t>
      </w:r>
      <w:r>
        <w:rPr>
          <w:rFonts w:hint="eastAsia" w:ascii="宋体" w:hAnsi="宋体" w:cs="宋体"/>
          <w:color w:val="000000"/>
          <w:u w:val="single"/>
        </w:rPr>
        <w:t xml:space="preserve">除了上述第1.5.2条款规定的文件提交期限外，其他文件提交时间为相关事件发生之日起3天内</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承包人提供的文件的数量为：</w:t>
      </w:r>
      <w:r>
        <w:rPr>
          <w:rFonts w:hint="eastAsia" w:ascii="宋体" w:hAnsi="宋体" w:cs="宋体"/>
          <w:color w:val="000000"/>
          <w:u w:val="single"/>
        </w:rPr>
        <w:t xml:space="preserve">一式叁份，交发包人和监理各一份，承包人留存一份</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承包人提供的文件的形式为：</w:t>
      </w:r>
      <w:r>
        <w:rPr>
          <w:rFonts w:hint="eastAsia" w:ascii="宋体" w:hAnsi="宋体" w:cs="宋体"/>
          <w:color w:val="000000"/>
          <w:u w:val="single"/>
        </w:rPr>
        <w:t xml:space="preserve">书面形式</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发包人审批承包人文件的期限：</w:t>
      </w:r>
      <w:r>
        <w:rPr>
          <w:rFonts w:hint="eastAsia" w:ascii="宋体" w:hAnsi="宋体" w:cs="宋体"/>
          <w:color w:val="000000"/>
          <w:u w:val="single"/>
        </w:rPr>
        <w:t xml:space="preserve">发包人收到文件后14天内</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1.5.3现场图纸准备</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关于现场图纸准备的约定：</w:t>
      </w:r>
      <w:r>
        <w:rPr>
          <w:rFonts w:hint="eastAsia" w:ascii="宋体" w:hAnsi="宋体" w:cs="宋体"/>
          <w:color w:val="000000"/>
          <w:u w:val="single"/>
        </w:rPr>
        <w:t xml:space="preserve">执行通用条款</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1.6联络</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1.6.1发包人和承包人应当在</w:t>
      </w:r>
      <w:r>
        <w:rPr>
          <w:rFonts w:hint="eastAsia" w:ascii="宋体" w:hAnsi="宋体" w:cs="宋体"/>
          <w:color w:val="000000"/>
          <w:u w:val="single"/>
        </w:rPr>
        <w:t xml:space="preserve"> 3 </w:t>
      </w:r>
      <w:r>
        <w:rPr>
          <w:rFonts w:hint="eastAsia" w:ascii="宋体" w:hAnsi="宋体" w:cs="宋体"/>
          <w:color w:val="000000"/>
        </w:rPr>
        <w:t xml:space="preserve">天内将与合同有关的通知、批准、证明、证书、指示、指令、要求、请求、同意、意见、确定和决定等书面函件送达对方当事人（但发包人审批承包人文件的期限为：发包人收到文件后14天内）。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1.6.2 发包人接收文件的地点：</w:t>
      </w:r>
      <w:r>
        <w:rPr>
          <w:rFonts w:hint="eastAsia" w:ascii="宋体" w:hAnsi="宋体" w:cs="宋体"/>
          <w:color w:val="000000"/>
          <w:u w:val="single"/>
        </w:rPr>
        <w:t xml:space="preserve">南京财经大学【      】校区发包人授权代表办公室</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发包人指定的接收人为：______。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承包人接收文件的地点：______；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承包人指定的接收人为：</w:t>
      </w:r>
      <w:r>
        <w:rPr>
          <w:rFonts w:hint="eastAsia" w:ascii="宋体" w:hAnsi="宋体" w:cs="宋体"/>
          <w:color w:val="000000"/>
          <w:u w:val="single"/>
        </w:rPr>
        <w:t xml:space="preserve">项目经理：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监理人接收文件的地点：______；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监理人指定的接收人为：______。</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1.7交通运输</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 .7.1 出入现场的权利</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关于出入现场的权利的约定：</w:t>
      </w:r>
      <w:r>
        <w:rPr>
          <w:rFonts w:hint="eastAsia" w:ascii="宋体" w:hAnsi="宋体" w:cs="宋体"/>
          <w:color w:val="000000"/>
          <w:u w:val="single"/>
        </w:rPr>
        <w:t xml:space="preserve">发包人项目负责人及主管领导、承包人项目组成员有权出入现场，禁止外单位施工车辆、人员出入工地</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 .7.2场内交通</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关于场外交通和场内交通的边界的约定：</w:t>
      </w:r>
      <w:r>
        <w:rPr>
          <w:rFonts w:hint="eastAsia" w:ascii="宋体" w:hAnsi="宋体" w:cs="宋体"/>
          <w:color w:val="000000"/>
          <w:u w:val="single"/>
        </w:rPr>
        <w:t xml:space="preserve">视项目现场情况另行约定</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关于发包人向承包人免费提供满足工程施工需要的场内道路和交通设施的约定：/。</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1.7.3超大件和超重件的运输</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运输超大件或超重件所需的道路和桥梁临时加固改造费用和其他有关费用由</w:t>
      </w:r>
      <w:r>
        <w:rPr>
          <w:rFonts w:hint="eastAsia" w:ascii="宋体" w:hAnsi="宋体" w:cs="宋体"/>
          <w:color w:val="000000"/>
          <w:u w:val="single"/>
        </w:rPr>
        <w:t xml:space="preserve">承包人</w:t>
      </w:r>
      <w:r>
        <w:rPr>
          <w:rFonts w:hint="eastAsia" w:ascii="宋体" w:hAnsi="宋体" w:cs="宋体"/>
          <w:color w:val="000000"/>
        </w:rPr>
        <w:t xml:space="preserve">承担。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1.8知识产权</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u w:val="single"/>
        </w:rPr>
        <w:t xml:space="preserve">按照通用条款执行。</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关于发包人提供的上述文件的使用限制的要求：</w:t>
      </w:r>
      <w:r>
        <w:rPr>
          <w:rFonts w:hint="eastAsia" w:ascii="宋体" w:hAnsi="宋体" w:cs="宋体"/>
          <w:color w:val="000000"/>
          <w:u w:val="single"/>
        </w:rPr>
        <w:t xml:space="preserve">仅限于此工程项目</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1.8.2 关于承包人为实施工程所编制文件的著作权的归属：</w:t>
      </w:r>
      <w:r>
        <w:rPr>
          <w:rFonts w:hint="eastAsia" w:ascii="宋体" w:hAnsi="宋体" w:cs="宋体"/>
          <w:color w:val="000000"/>
          <w:u w:val="single"/>
        </w:rPr>
        <w:t xml:space="preserve">按照通用条款执行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关于承包人提供的上述文件的使用限制的要求：</w:t>
      </w:r>
      <w:r>
        <w:rPr>
          <w:rFonts w:hint="eastAsia" w:ascii="宋体" w:hAnsi="宋体" w:cs="宋体"/>
          <w:color w:val="000000"/>
          <w:u w:val="single"/>
        </w:rPr>
        <w:t xml:space="preserve">按照通用条款执行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1.8.3承包人在施工过程中所采用的专利、专有技术、技术秘密的使用费的承担方式：</w:t>
      </w:r>
      <w:r>
        <w:rPr>
          <w:rFonts w:hint="eastAsia" w:ascii="宋体" w:hAnsi="宋体" w:cs="宋体"/>
          <w:color w:val="000000"/>
          <w:u w:val="single"/>
        </w:rPr>
        <w:t xml:space="preserve">由承包人承担</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1.9工程量清单错误的修正</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当工程量清单存在缺</w:t>
      </w:r>
      <w:r>
        <w:rPr>
          <w:rFonts w:hint="eastAsia" w:ascii="宋体" w:hAnsi="宋体" w:cs="宋体"/>
          <w:color w:val="000000"/>
          <w:u w:val="single"/>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承包人报价浮动率 L=[1-（中标造价/采购控制价）]× 100%；</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允许调整合同价格的工程量偏差范围：</w:t>
      </w:r>
      <w:r>
        <w:rPr>
          <w:rFonts w:hint="eastAsia" w:ascii="宋体" w:hAnsi="宋体" w:cs="宋体"/>
          <w:color w:val="000000"/>
          <w:u w:val="single"/>
        </w:rPr>
        <w:t xml:space="preserve">/ 。</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 发包人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2.1发包人代表</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发包人代表：</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姓名：______；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身份证号：_____；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职务：______；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联系电话：_____；</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电子信箱：_____；</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通信地址：_____。</w:t>
      </w:r>
      <w:r/>
    </w:p>
    <w:p>
      <w:pPr>
        <w:pStyle w:val="831"/>
        <w:ind w:firstLine="480"/>
        <w:jc w:val="both"/>
        <w:spacing w:line="400" w:lineRule="exact"/>
        <w:tabs>
          <w:tab w:val="left" w:pos="1440" w:leader="none"/>
        </w:tabs>
        <w:rPr>
          <w:rFonts w:hint="eastAsia" w:ascii="宋体" w:hAnsi="宋体" w:cs="宋体"/>
          <w:color w:val="000000"/>
          <w:u w:val="single"/>
        </w:rPr>
      </w:pPr>
      <w:r>
        <w:rPr>
          <w:rFonts w:hint="eastAsia" w:ascii="宋体" w:hAnsi="宋体" w:cs="宋体"/>
          <w:color w:val="000000"/>
        </w:rPr>
        <w:t xml:space="preserve">发包人对发包人代表的授权范围如下：</w:t>
      </w:r>
      <w:r>
        <w:rPr>
          <w:rFonts w:hint="eastAsia" w:ascii="宋体" w:hAnsi="宋体" w:cs="宋体"/>
          <w:color w:val="000000"/>
          <w:u w:val="single"/>
        </w:rPr>
      </w:r>
      <w:r/>
    </w:p>
    <w:p>
      <w:pPr>
        <w:pStyle w:val="831"/>
        <w:ind w:firstLine="482"/>
        <w:jc w:val="both"/>
        <w:spacing w:line="400" w:lineRule="exact"/>
        <w:tabs>
          <w:tab w:val="left" w:pos="1440" w:leader="none"/>
        </w:tabs>
        <w:rPr>
          <w:rFonts w:hint="eastAsia" w:ascii="宋体" w:hAnsi="宋体" w:cs="宋体"/>
          <w:b/>
          <w:bCs/>
          <w:color w:val="000000"/>
          <w:u w:val="single"/>
        </w:rPr>
      </w:pPr>
      <w:r>
        <w:rPr>
          <w:rFonts w:hint="eastAsia" w:ascii="宋体" w:hAnsi="宋体" w:cs="宋体"/>
          <w:b/>
          <w:bCs/>
          <w:color w:val="000000"/>
          <w:u w:val="single"/>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2.2施工现场、施工条件和基础资料的提供</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2.2.1 提供施工现场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关于发包人移交施工现场的期限要求：</w:t>
      </w:r>
      <w:r>
        <w:rPr>
          <w:rFonts w:hint="eastAsia" w:ascii="宋体" w:hAnsi="宋体" w:cs="宋体"/>
          <w:color w:val="000000"/>
          <w:u w:val="single"/>
        </w:rPr>
        <w:t xml:space="preserve">签订本合同，签署开工令后3日内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2.2.2 提供施工条件</w:t>
      </w:r>
      <w:r/>
    </w:p>
    <w:p>
      <w:pPr>
        <w:pStyle w:val="831"/>
        <w:jc w:val="both"/>
        <w:rPr>
          <w:rFonts w:hint="eastAsia" w:ascii="宋体" w:hAnsi="宋体" w:cs="宋体"/>
          <w:b/>
          <w:color w:val="000000"/>
          <w:u w:val="single"/>
        </w:rPr>
      </w:pPr>
      <w:r>
        <w:rPr>
          <w:rFonts w:hint="eastAsia" w:ascii="宋体" w:hAnsi="宋体" w:cs="宋体"/>
          <w:color w:val="000000"/>
        </w:rPr>
        <w:t xml:space="preserve">关于发包人应负责提供施工所需要的条件，包括：</w:t>
      </w:r>
      <w:r>
        <w:rPr>
          <w:rFonts w:hint="eastAsia" w:ascii="宋体" w:hAnsi="宋体" w:cs="宋体"/>
          <w:b/>
          <w:color w:val="000000"/>
          <w:u w:val="single"/>
        </w:rPr>
        <w:t xml:space="preserve">关于资源占用量（含水电）的约定，按照现行有效的学校规定执行。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2.3资金来源证明及支付担保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发包人提供资金来源证明的期限要求：</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发包人是否提供支付担保：</w:t>
      </w:r>
      <w:r>
        <w:rPr>
          <w:rFonts w:hint="eastAsia" w:ascii="宋体" w:hAnsi="宋体" w:cs="宋体"/>
          <w:color w:val="000000"/>
          <w:u w:val="single"/>
        </w:rPr>
        <w:t xml:space="preserve">否</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 承包人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3.1 承包人的一般义务</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（1）承包人提交的竣工资料的内容：</w:t>
      </w:r>
      <w:r>
        <w:rPr>
          <w:rFonts w:hint="eastAsia" w:ascii="宋体" w:hAnsi="宋体" w:cs="宋体"/>
          <w:color w:val="000000"/>
          <w:u w:val="single"/>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承包人需要提交的竣工资料套数：</w:t>
      </w:r>
      <w:r>
        <w:rPr>
          <w:rFonts w:hint="eastAsia" w:ascii="宋体" w:hAnsi="宋体" w:cs="宋体"/>
          <w:color w:val="000000"/>
          <w:u w:val="single"/>
        </w:rPr>
        <w:t xml:space="preserve">【叁】套完整的纸质竣工资料（另附竣工电子文件一套），其中包括竣工决算资料等</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承包人提交的竣工资料的费用承担：承包人</w:t>
      </w:r>
      <w:r>
        <w:rPr>
          <w:rFonts w:hint="eastAsia" w:ascii="宋体" w:hAnsi="宋体" w:cs="宋体"/>
          <w:color w:val="000000"/>
          <w:u w:val="single"/>
        </w:rPr>
        <w:t xml:space="preserve">自行承担</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承包人提交的竣工资料移交时间：</w:t>
      </w:r>
      <w:r>
        <w:rPr>
          <w:rFonts w:hint="eastAsia" w:ascii="宋体" w:hAnsi="宋体" w:cs="宋体"/>
          <w:color w:val="000000"/>
          <w:u w:val="single"/>
        </w:rPr>
        <w:t xml:space="preserve">工程竣工验收合格后一周之内，承包人应向发包人递交前述完整的竣工资料</w:t>
      </w:r>
      <w:r>
        <w:rPr>
          <w:rFonts w:hint="eastAsia" w:ascii="宋体" w:hAnsi="宋体" w:cs="宋体"/>
          <w:color w:val="000000"/>
        </w:rPr>
        <w:t xml:space="preserve">。</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承包人提交的竣工资料形式要求：</w:t>
      </w:r>
      <w:r>
        <w:rPr>
          <w:rFonts w:hint="eastAsia" w:ascii="宋体" w:hAnsi="宋体" w:cs="宋体"/>
          <w:color w:val="000000"/>
          <w:u w:val="single"/>
        </w:rPr>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书面及电子文档，所有工程资料必须符合工程验收和档案管理要求，因承包人提供的资料不符合档案管理要求而重新制作整理所产生的费用由承包人自行承担；承包人逾期提交竣工资料的，每逾期一日，应向发包人承担违约金【500】元</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（2）承包人应履行的其他义务：</w:t>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承包人除完成招标文件要求和合同约定的义务外，还须遵守发包人的监督管理</w:t>
      </w:r>
      <w:r>
        <w:rPr>
          <w:rFonts w:hint="eastAsia" w:ascii="宋体" w:hAnsi="宋体" w:cs="宋体"/>
          <w:color w:val="000000"/>
        </w:rPr>
        <w:t xml:space="preserve">。</w:t>
      </w:r>
      <w:r>
        <w:rPr>
          <w:rFonts w:hint="eastAsia" w:ascii="宋体" w:hAnsi="宋体" w:cs="宋体"/>
          <w:color w:val="000000"/>
          <w:u w:val="single"/>
        </w:rPr>
        <w:t xml:space="preserve">承包人应保证本工程施工过程不对工程所在楼内的正常生活等使用功能和秩序造成不良影响，如需夜间施工，所涉及的所有费用由承包人自行承担。承包人在施工过程中，应根据发包人</w:t>
      </w:r>
      <w:r>
        <w:rPr>
          <w:rFonts w:hint="eastAsia" w:ascii="宋体" w:hAnsi="宋体" w:cs="宋体"/>
          <w:color w:val="000000"/>
          <w:u w:val="single"/>
        </w:rPr>
        <w:t xml:space="preserve">的要求和现场情况进行成品保护，做好安全防护和围挡施工，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rPr>
          <w:rFonts w:hint="eastAsia" w:ascii="宋体" w:hAnsi="宋体" w:cs="宋体"/>
          <w:color w:val="000000"/>
        </w:rPr>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1）需由设计资质等级和业务范围允许的承包人完成的设计文件提交时间：不采用。</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2）应提供计划、报表的名称及完成时间：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3）承担施工安全保卫工作及非夜间施工照明的责任和要求：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（1）建立和执行防火管理制度。</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施工现场临时用水、用电费用由承包人承担，按照附件1：《南京财经大学水电管理办法》第六章的具体规定执行。承包人认真做好施工现场的安全防护工作（包括照明、安全设施等），承包人对安全防护工作负全责（责任和费用均由承包人承担）。</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4）向发包人提供的办公和生活房屋及设施的要求：   /   。</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5）需承包人办理的有关施工场地交通、环卫和施工噪音管理等手续：此项工作及费用由承包人负责，发包人不再补贴。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6）已完工程成品保护的特殊要求及费用承担：工程全部成品、半成品在竣工验收交付前均由承包人负责管理和保护，费用含在总承包管理（配合）费中；其它按通用条款9.1第（6）条执行。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7）施工场地周围地下管线和邻近建筑物、构筑物（含文物保护建筑）、古树名木的保护要求及费用承担：</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承包人对该工程履行总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8）施工场清洁卫生的要求：施工场地在保证安全的前提下，按照标准化施工现场要求，保持场内、场外、交通进出口的安全和清洁卫生，所发生费用已包含在投标报价中。</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pStyle w:val="831"/>
        <w:jc w:val="both"/>
        <w:spacing w:line="460" w:lineRule="exact"/>
        <w:rPr>
          <w:color w:val="000000"/>
        </w:rPr>
      </w:pPr>
      <w:r>
        <w:rPr>
          <w:rFonts w:hint="eastAsia" w:ascii="宋体" w:hAnsi="宋体" w:cs="宋体"/>
          <w:color w:val="000000"/>
          <w:u w:val="single"/>
        </w:rPr>
        <w:t xml:space="preserve">12）承包人聘用的人员应遵守当地法律法规、及发包人的各项规章制度，服从发包人管理。因工程建设不到位或工作人员违章作业、违法犯纪行为造成发包人损失时，承包人应负相应赔偿责任。</w:t>
      </w:r>
      <w:r>
        <w:rPr>
          <w:color w:val="000000"/>
        </w:rPr>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3.2 项目经理</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3.2.1 项目经理：</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姓名：______；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身份证号：_____；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建造师执业资格等级：_____；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建造师注册证书号：______；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建造师执业印章号：______；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安全生产考核合格证书号：_____；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联系电话：_____；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电子信箱：_____；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通信地址：_____；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承包人对项目经理的授权范围如下：</w:t>
      </w:r>
      <w:r>
        <w:rPr>
          <w:rFonts w:hint="eastAsia" w:ascii="宋体" w:hAnsi="宋体" w:cs="宋体"/>
          <w:color w:val="000000"/>
          <w:u w:val="single"/>
        </w:rPr>
        <w:t xml:space="preserve">代表承包人行使合同约定的承包人权利和义务，履行合同约定的承包人职责，代表承包人与发包人办理各类文件、材料签收手续</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关于项目经理在施工现场的时间要求：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施工期间，项目经理每天且每天不少于八小时必须在本工程现场工作，且必须参加每周召开的例会，并随时接受发包人代表、</w:t>
      </w:r>
      <w:r>
        <w:rPr>
          <w:rFonts w:hint="eastAsia" w:ascii="宋体" w:hAnsi="宋体" w:cs="宋体"/>
          <w:b/>
          <w:bCs/>
          <w:color w:val="000000"/>
          <w:u w:val="single"/>
        </w:rPr>
        <w:t xml:space="preserve">发包人其他管理部门</w:t>
      </w:r>
      <w:r>
        <w:rPr>
          <w:rFonts w:hint="eastAsia" w:ascii="宋体" w:hAnsi="宋体" w:cs="宋体"/>
          <w:color w:val="000000"/>
          <w:u w:val="single"/>
        </w:rPr>
        <w:t xml:space="preserve">和监理总监的考勤和监督检查。如项目经理、有特殊原因不能保证上述在岗时间的，需征得发包人书面同意后，授权发包人认可的现场技术负责人全权处理现场事务。</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项目经理未经批准，擅自离开施工现场的违约责任：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发包人发现项目经理未经批准连续【24】小时不在本工程现场工作，发包人有权按每天2000元人民币的标准向承包人</w:t>
      </w:r>
      <w:r>
        <w:rPr>
          <w:rFonts w:hint="eastAsia" w:ascii="宋体" w:hAnsi="宋体" w:cs="宋体"/>
          <w:color w:val="000000"/>
          <w:u w:val="single"/>
        </w:rPr>
        <w:t xml:space="preserve">收取违约金（发包人可从工程款中扣抵）。项目经理无故不参加每周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rPr>
          <w:rFonts w:hint="eastAsia" w:ascii="宋体" w:hAnsi="宋体" w:cs="宋体"/>
          <w:color w:val="000000"/>
        </w:rPr>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承包人未提交劳动合同，以及没有为项目经理缴纳社会保险证明的违约责任：</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承包人须在签订本合同时向发包人提交项目经理的劳动合同及缴纳社会保险证明。如未履行，每延迟一天，承包人承担违约金【5000】元/天，超过【7】日不提供的，发包人有权单方解除本合同。</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3.2.2承包人擅自更换项目经理的违约责任：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hint="eastAsia" w:ascii="宋体" w:hAnsi="宋体" w:cs="宋体"/>
          <w:color w:val="000000"/>
        </w:rPr>
        <w:t xml:space="preserve">。</w:t>
      </w:r>
      <w:r/>
    </w:p>
    <w:p>
      <w:pPr>
        <w:pStyle w:val="831"/>
        <w:jc w:val="both"/>
        <w:spacing w:line="360" w:lineRule="auto"/>
        <w:rPr>
          <w:rFonts w:hint="eastAsia" w:ascii="宋体" w:hAnsi="宋体" w:cs="宋体"/>
          <w:b/>
          <w:bCs/>
          <w:color w:val="000000"/>
          <w:u w:val="single"/>
        </w:rPr>
      </w:pPr>
      <w:r>
        <w:rPr>
          <w:rFonts w:hint="eastAsia" w:ascii="宋体" w:hAnsi="宋体" w:cs="宋体"/>
          <w:b/>
          <w:bCs/>
          <w:color w:val="000000"/>
        </w:rPr>
        <w:t xml:space="preserve">3.2.3承包人无正当理由拒绝更换项目经理的违约责任：</w:t>
      </w:r>
      <w:r>
        <w:rPr>
          <w:rFonts w:hint="eastAsia" w:ascii="宋体" w:hAnsi="宋体" w:cs="宋体"/>
          <w:b/>
          <w:bCs/>
          <w:color w:val="000000"/>
          <w:u w:val="single"/>
        </w:rPr>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3.3 承包人人员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3.3.1 承包人提交项目管理机构及施工现场管理人员安排报告的期限：</w:t>
      </w:r>
      <w:r>
        <w:rPr>
          <w:rFonts w:hint="eastAsia" w:ascii="宋体" w:hAnsi="宋体" w:cs="宋体"/>
          <w:color w:val="000000"/>
          <w:u w:val="single"/>
        </w:rPr>
        <w:t xml:space="preserve">开工前一周</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3.3.2关于项目其他主要管理人员（现场技术负责人、施工员、质量员、安全员、资料员）在施工现场的时间要求：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施工期间，</w:t>
      </w:r>
      <w:r>
        <w:rPr>
          <w:rFonts w:hint="eastAsia" w:ascii="宋体" w:hAnsi="宋体" w:cs="宋体"/>
          <w:b/>
          <w:bCs/>
          <w:color w:val="000000"/>
          <w:u w:val="single"/>
        </w:rPr>
        <w:t xml:space="preserve">现场技术负责人、施工员、质量员、安全员</w:t>
      </w:r>
      <w:r>
        <w:rPr>
          <w:rFonts w:hint="eastAsia" w:ascii="宋体" w:hAnsi="宋体" w:cs="宋体"/>
          <w:color w:val="000000"/>
          <w:u w:val="single"/>
        </w:rPr>
        <w:t xml:space="preserve">每天且每天不少于八小时必须在本工程现场工作，资料员按有关规定标准和本合同约定履行职责，并随时接受发包人代表、</w:t>
      </w:r>
      <w:r>
        <w:rPr>
          <w:rFonts w:hint="eastAsia" w:ascii="宋体" w:hAnsi="宋体" w:cs="宋体"/>
          <w:b/>
          <w:bCs/>
          <w:color w:val="000000"/>
          <w:u w:val="single"/>
        </w:rPr>
        <w:t xml:space="preserve">发包人其他管理部门</w:t>
      </w:r>
      <w:r>
        <w:rPr>
          <w:rFonts w:hint="eastAsia" w:ascii="宋体" w:hAnsi="宋体" w:cs="宋体"/>
          <w:color w:val="000000"/>
          <w:u w:val="single"/>
        </w:rPr>
        <w:t xml:space="preserve">和监理总监的考勤和监督检查。</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承包人项目其他主要管理人员（现场技术负责人、施工员、质量员、安全员）离开施工现场的批准要求：</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提前一天向发包人书面申请，经发包人书面批准后方可离开</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承包人主要施工管理人员擅自离开施工现场的违约责任：</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若出现未经发包人书面批准的项目其他主要管理人员（现场技术负责人、施工员、质量员、安全员）擅自离开施工现场的情况，发包人将处罚承包人2000元/人·次的违约金（发包人可从工程款中扣抵）。</w:t>
      </w:r>
      <w:r>
        <w:rPr>
          <w:rFonts w:hint="eastAsia" w:ascii="宋体" w:hAnsi="宋体" w:cs="宋体"/>
          <w:b/>
          <w:bCs/>
          <w:color w:val="000000"/>
          <w:u w:val="single"/>
        </w:rPr>
        <w:t xml:space="preserve">现场技术负责人、施工员、质量员、安全员</w:t>
      </w:r>
      <w:r>
        <w:rPr>
          <w:rFonts w:hint="eastAsia" w:ascii="宋体" w:hAnsi="宋体" w:cs="宋体"/>
          <w:color w:val="000000"/>
          <w:u w:val="single"/>
        </w:rPr>
        <w:t xml:space="preserve">连续2天或施工期内累计5天不在现场，视为承包人严重违约，发包人除有权按前述约定追索承包人违约金之外，还有权单方解除合同，并追究承包人违约责任。</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3.3.3承包人擅自更换项目其他主要管理人员（现场技术负责人、施工员、质量员、安全员、资料员）的违约责任：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投标文件中及合同中明确的项目其他主要管理人员（现场技术负责人、施工员、质量员、安全员、资料员）不得擅自变更，开工时或施工过程中若有擅自变更，将被视为承包人违约，承包人须按5000元/人·次付向发包人支付违约金，在工程款中扣除，发包人还有权解除合同，并追究承包人不能履约的违约责任，有权要求承包人赔偿发包人因此造成的一切损失，并报主管部门备案</w:t>
      </w:r>
      <w:r>
        <w:rPr>
          <w:rFonts w:hint="eastAsia" w:ascii="宋体" w:hAnsi="宋体" w:cs="宋体"/>
          <w:color w:val="000000"/>
        </w:rPr>
        <w:t xml:space="preserve">。</w:t>
      </w:r>
      <w:r/>
    </w:p>
    <w:p>
      <w:pPr>
        <w:pStyle w:val="831"/>
        <w:jc w:val="both"/>
        <w:spacing w:line="460" w:lineRule="exact"/>
        <w:rPr>
          <w:rFonts w:hint="eastAsia" w:ascii="宋体" w:hAnsi="宋体" w:cs="宋体"/>
          <w:b/>
          <w:bCs/>
          <w:color w:val="000000"/>
        </w:rPr>
      </w:pPr>
      <w:r>
        <w:rPr>
          <w:rFonts w:hint="eastAsia" w:ascii="宋体" w:hAnsi="宋体" w:cs="宋体"/>
          <w:b/>
          <w:bCs/>
          <w:color w:val="000000"/>
        </w:rPr>
        <w:t xml:space="preserve">3.3.4承包人无正当理由拒绝撤换项目其他主要管理人员（现场技术负责人、施工员、质量员、安全员、资料员）的违约责任：</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发包人有权要求承包人撤换调整其认为不称职的项目其他主要管理人员，承包人拒绝撤换的，发包人除了有权参照上述3.2.3条款向承包人追索违约金，还有权解除合同、追究承包人违约责任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3.4分包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3.4.1 分包的一般约定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禁止分包的工程包括：</w:t>
      </w:r>
      <w:r>
        <w:rPr>
          <w:rFonts w:hint="eastAsia" w:ascii="宋体" w:hAnsi="宋体" w:cs="宋体"/>
          <w:color w:val="000000"/>
          <w:u w:val="single"/>
        </w:rPr>
        <w:t xml:space="preserve">本工程禁止分包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主体结构、关键性工作的范围：</w:t>
      </w:r>
      <w:r>
        <w:rPr>
          <w:rFonts w:hint="eastAsia" w:ascii="宋体" w:hAnsi="宋体" w:cs="宋体"/>
          <w:color w:val="000000"/>
          <w:u w:val="single"/>
        </w:rPr>
        <w:t xml:space="preserve">本协议约定的所有施工内容</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3.4.2分包的确定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允许分包的专业工程包括：</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其他关于分包的约定：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3.4.3分包合同价款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关于分包合同价款支付的约定：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3.5工程照管与成品、半成品保护</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承包人负责照管工程及工程相关的材料、工程设备的起始时间：</w:t>
      </w:r>
      <w:r>
        <w:rPr>
          <w:rFonts w:hint="eastAsia" w:ascii="宋体" w:hAnsi="宋体" w:cs="宋体"/>
          <w:color w:val="000000"/>
          <w:u w:val="single"/>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3.6履约担保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承包人是否提供履约担保：</w:t>
      </w:r>
      <w:r>
        <w:rPr>
          <w:rFonts w:hint="eastAsia" w:ascii="宋体" w:hAnsi="宋体" w:cs="宋体"/>
          <w:color w:val="000000"/>
          <w:u w:val="single"/>
        </w:rPr>
        <w:t xml:space="preserve">是</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承包人提供履约担保的形式、金额及期限：</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本项目承包人在领取中标通知书【5】日内，承包人按照如下信息缴纳履约保证金，履约保证金金额为合同签约价的【5%】，工程竣工并经发包人组织的验收合格后，自发包人组织的竣工合格验收报告签署之日起，一次性无息退还。</w:t>
      </w:r>
      <w:r/>
    </w:p>
    <w:p>
      <w:pPr>
        <w:pStyle w:val="831"/>
        <w:jc w:val="both"/>
        <w:spacing w:line="460" w:lineRule="exact"/>
        <w:rPr>
          <w:rFonts w:ascii="宋体" w:hAnsi="宋体" w:cs="宋体"/>
          <w:color w:val="000000"/>
          <w:u w:val="single"/>
        </w:rPr>
      </w:pPr>
      <w:r>
        <w:rPr>
          <w:rFonts w:hint="eastAsia" w:ascii="宋体" w:hAnsi="宋体" w:cs="宋体"/>
          <w:color w:val="000000"/>
          <w:u w:val="single"/>
        </w:rPr>
        <w:t xml:space="preserve">（2）履约保证金汇款银行、账号及户名：承包人必须在本项目中标公示结束后将履约保证金汇入发包人指定的账号，账号为：</w:t>
      </w:r>
      <w:r>
        <w:rPr>
          <w:rFonts w:hint="eastAsia"/>
          <w:color w:val="000000"/>
          <w:u w:val="single"/>
        </w:rPr>
        <w:t xml:space="preserve">4301011219100159523</w:t>
      </w:r>
      <w:r>
        <w:rPr>
          <w:rFonts w:ascii="宋体" w:hAnsi="宋体" w:cs="宋体"/>
          <w:color w:val="000000"/>
          <w:u w:val="single"/>
        </w:rPr>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（开户行为：中国工商银行</w:t>
      </w:r>
      <w:r>
        <w:rPr>
          <w:rFonts w:hint="eastAsia"/>
          <w:color w:val="000000"/>
          <w:u w:val="single"/>
        </w:rPr>
        <w:t xml:space="preserve">察哈尔路支行</w:t>
      </w:r>
      <w:r>
        <w:rPr>
          <w:rFonts w:hint="eastAsia" w:ascii="宋体" w:hAnsi="宋体" w:cs="宋体"/>
          <w:color w:val="000000"/>
          <w:u w:val="single"/>
        </w:rPr>
        <w:t xml:space="preserve">，收款人为：南京财经大学），汇款必须从承包人基本账户转出，在备注、用途或附加说明中写明是本工程项目的履约保证金。逾期不交者，将列入发包人不诚信单位记录名单，后期不得参与发包人任何采购活动。承包人未缴纳履约保证金的，本合同不生效。</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 . 监理人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4.1监理人的一般规定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关于监理人的监理内容：</w:t>
      </w:r>
      <w:r>
        <w:rPr>
          <w:rFonts w:hint="eastAsia" w:ascii="宋体" w:hAnsi="宋体" w:cs="宋体"/>
          <w:color w:val="000000"/>
          <w:u w:val="single"/>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rPr>
          <w:rFonts w:hint="eastAsia" w:ascii="宋体" w:hAnsi="宋体" w:cs="宋体"/>
          <w:color w:val="000000"/>
        </w:rPr>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关于监理人的监理权限：</w:t>
      </w:r>
      <w:r>
        <w:rPr>
          <w:rFonts w:hint="eastAsia" w:ascii="宋体" w:hAnsi="宋体" w:cs="宋体"/>
          <w:color w:val="000000"/>
          <w:u w:val="single"/>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关于监理人在施工现场的办公场所、生活场所的提供和费用承担的约定：</w:t>
      </w:r>
      <w:r>
        <w:rPr>
          <w:rFonts w:hint="eastAsia" w:ascii="宋体" w:hAnsi="宋体" w:cs="宋体"/>
          <w:color w:val="000000"/>
          <w:u w:val="single"/>
        </w:rPr>
        <w:t xml:space="preserve">由承包人提供，费用已计入本合同总价款中，或由承包人另行承担，发包人不再另行支付</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4.2 监理人员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总监理工程师：</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姓名：_____；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职务：_____；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监理工程师执业资格证书号：_____；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联系电话：_____；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电子信箱：_____；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通信地址：_____；</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关于监理人的其他约定：</w:t>
      </w:r>
      <w:r>
        <w:rPr>
          <w:rFonts w:hint="eastAsia" w:ascii="宋体" w:hAnsi="宋体" w:cs="宋体"/>
          <w:color w:val="000000"/>
          <w:u w:val="single"/>
        </w:rPr>
        <w:t xml:space="preserve">详见本工程监理合同。</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4.3商定或确定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在发包人和承包人不能通过协商达成一致意见时，发包人授权监理人对以下事项进行确定：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 工程质量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5.1 质量要求</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特殊质量标准和要求：质量标准的评定以现行国家、地方政府以及行业的质量检验评定标准为依据，确保质量</w:t>
      </w:r>
      <w:r>
        <w:rPr>
          <w:rFonts w:hint="eastAsia" w:ascii="宋体" w:hAnsi="宋体" w:cs="宋体"/>
          <w:color w:val="000000"/>
          <w:u w:val="single"/>
        </w:rPr>
        <w:t xml:space="preserve">符合国家现行质量验收标准、《建筑工程施工质量验收统一标准》、本合同约定的特殊要求</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关于工程奖项的约定：/。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5.2隐蔽工程检查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承包人提前通知监理人隐蔽工程检查的期限的约定：</w:t>
      </w:r>
      <w:r>
        <w:rPr>
          <w:rFonts w:hint="eastAsia" w:ascii="宋体" w:hAnsi="宋体" w:cs="宋体"/>
          <w:color w:val="000000"/>
          <w:u w:val="single"/>
        </w:rPr>
        <w:t xml:space="preserve">共同检查前48小时书面通知监理。所有隐蔽工程和中间验收均须经监理工程师和发包人验收确认后方可继续施工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监理人不能按时进行检查时，应提前</w:t>
      </w:r>
      <w:r>
        <w:rPr>
          <w:rFonts w:hint="eastAsia" w:ascii="宋体" w:hAnsi="宋体" w:cs="宋体"/>
          <w:color w:val="000000"/>
          <w:u w:val="single"/>
        </w:rPr>
        <w:t xml:space="preserve"> 8 </w:t>
      </w:r>
      <w:r>
        <w:rPr>
          <w:rFonts w:hint="eastAsia" w:ascii="宋体" w:hAnsi="宋体" w:cs="宋体"/>
          <w:color w:val="000000"/>
        </w:rPr>
        <w:t xml:space="preserve">小时提交书面延期要求。</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关于延期最长不得超过：</w:t>
      </w:r>
      <w:r>
        <w:rPr>
          <w:rFonts w:hint="eastAsia" w:ascii="宋体" w:hAnsi="宋体" w:cs="宋体"/>
          <w:color w:val="000000"/>
          <w:u w:val="single"/>
        </w:rPr>
        <w:t xml:space="preserve"> 24 </w:t>
      </w:r>
      <w:r>
        <w:rPr>
          <w:rFonts w:hint="eastAsia" w:ascii="宋体" w:hAnsi="宋体" w:cs="宋体"/>
          <w:color w:val="000000"/>
        </w:rPr>
        <w:t xml:space="preserve">小时。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5.3重新检验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5.3.1 工程质量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按专用条款和招标文件要求执行。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5.3.2检查和返工</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（1）承包人应严格按照施工规范、技术规程以及经监</w:t>
      </w:r>
      <w:r>
        <w:rPr>
          <w:rFonts w:hint="eastAsia" w:ascii="宋体" w:hAnsi="宋体" w:cs="宋体"/>
          <w:color w:val="000000"/>
          <w:u w:val="single"/>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（2）承包人在发生工程质量问题时隐瞒监理工程师及发包人，或有偷工减料行为、使用假冒伪劣产品行为，除及时进行整改外另需向发包人支付40000元/次的质量违约金。</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 安全文明施工与环境保护</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6.1安全文明施工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6.1.1 项目安全生产的达标目标及相应事项的约定：</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（1）除执行通用条款的相关规定外，承包人应严格按照规范和施工组织设计组织施工，采取有效防护措施，并在安全管理方面除正常进行安全学习、安全教</w:t>
      </w:r>
      <w:r>
        <w:rPr>
          <w:rFonts w:hint="eastAsia" w:ascii="宋体" w:hAnsi="宋体" w:cs="宋体"/>
          <w:color w:val="000000"/>
          <w:u w:val="single"/>
        </w:rPr>
        <w:t xml:space="preserve">育外，同时应高度重视全部施工期间的安全工作，安全措施要落实到位，应急措施要跟上，高空作业必须有安全防护措施等，并配备专职安全人员。对于不重视安全工作，措施不到位，未按规定或本合同约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（2）如由于承包人不安全施工或其他违法违规等原因，导致发包人受到区级及以上行政主管部门处罚的，发包人将对承包人进行处罚，每发生一次扣除工程总价款的1%作为违约金。</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6.1.2关于治安保卫的特别约定：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关于编制施工场地治安管理计划的约定：</w:t>
      </w:r>
      <w:r>
        <w:rPr>
          <w:rFonts w:hint="eastAsia" w:ascii="宋体" w:hAnsi="宋体" w:cs="宋体"/>
          <w:color w:val="000000"/>
          <w:u w:val="single"/>
        </w:rPr>
        <w:t xml:space="preserve">在开工前提交的施工组织设计中必须要有此部分内容</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6.1.3文明施工</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合同当事人对文明施工的要求：</w:t>
      </w:r>
      <w:r>
        <w:rPr>
          <w:rFonts w:hint="eastAsia" w:ascii="宋体" w:hAnsi="宋体" w:cs="宋体"/>
          <w:color w:val="000000"/>
          <w:u w:val="single"/>
        </w:rPr>
        <w:t xml:space="preserve">达到《建筑施工安全检查标准》。</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（1）承包人须定期上报现场一线操作工人名单、人数、籍贯等。如有人员调整，必须及时通知发包人</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（2）施工人员未经允许不得进入已经交付的工程区域</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（3）承包人对施工范围内的安全防火承担责任</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签约合同价不超过2%的违约金</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（6）施工期间必须做好场地清洁卫生，设置冲洗平台，做到净车出场，避免在场外道路上“抛、洒、滴、漏”。由此产生的责任由施工单位承担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（7）承包人严禁污水乱排放，将生活垃圾集中外运，达到标化现场要求</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（8）对施工场地内的已完工程、在建工程、管沟、管网等进行保护</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（9）施工期间必须挂牌上岗并统一着装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（10）禁止乱堆乱放材料与机械设备</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（11）预制场、土场必须设置标语牌（包括安全、质量、环境、操作规程等）</w:t>
      </w:r>
      <w:r>
        <w:rPr>
          <w:rFonts w:hint="eastAsia" w:ascii="宋体" w:hAnsi="宋体" w:cs="宋体"/>
          <w:color w:val="000000"/>
        </w:rPr>
        <w:t xml:space="preserve">。</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6.1.4关于安全文明施工费支付比例和支付期限的约定：</w:t>
      </w:r>
      <w:r>
        <w:rPr>
          <w:rFonts w:hint="eastAsia" w:ascii="宋体" w:hAnsi="宋体" w:cs="宋体"/>
          <w:color w:val="000000"/>
          <w:u w:val="single"/>
        </w:rPr>
        <w:t xml:space="preserve">纳入合同价格执行</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7.工期和进度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7.1施工组织设计</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7.1.1合同当事人约定的施工组织设计应包括的其他内容：</w:t>
      </w:r>
      <w:r>
        <w:rPr>
          <w:rFonts w:hint="eastAsia" w:ascii="宋体" w:hAnsi="宋体" w:cs="宋体"/>
          <w:color w:val="000000"/>
          <w:u w:val="single"/>
        </w:rPr>
        <w:t xml:space="preserve">按招标文件约定，招标文件无约定按通用条款或双方另行约定。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7.1.2施工组织设计的提交和修改</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承包人提交详细施工组织设计的期限的约定：</w:t>
      </w:r>
      <w:r>
        <w:rPr>
          <w:rFonts w:hint="eastAsia" w:ascii="宋体" w:hAnsi="宋体" w:cs="宋体"/>
          <w:color w:val="000000"/>
          <w:u w:val="single"/>
        </w:rPr>
        <w:t xml:space="preserve">合同签订后7日内，向监理人提交详细的施工组织设计，并由监理人报送发包人</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发包人和监理人在收到详细的施工组织设计后确认或提出修改意见的期限：</w:t>
      </w:r>
      <w:r>
        <w:rPr>
          <w:rFonts w:hint="eastAsia" w:ascii="宋体" w:hAnsi="宋体" w:cs="宋体"/>
          <w:color w:val="000000"/>
          <w:u w:val="single"/>
        </w:rPr>
        <w:t xml:space="preserve">发包人和监理人应在监理人收到施工组织设计后【3】日内确认或提出修改意见</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7.2施工进度计划</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施工进度计划的修订</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发包人和监理人在收到修订的施工进度计划后确认或提出修改意见的期限：</w:t>
      </w:r>
      <w:r>
        <w:rPr>
          <w:rFonts w:hint="eastAsia" w:ascii="宋体" w:hAnsi="宋体" w:cs="宋体"/>
          <w:color w:val="000000"/>
          <w:u w:val="single"/>
        </w:rPr>
        <w:t xml:space="preserve">发包人和监理人应在收到修订的施工进度计划后 7日内完成审核和批准或提出修改意见</w:t>
      </w:r>
      <w:r>
        <w:rPr>
          <w:rFonts w:hint="eastAsia" w:ascii="宋体" w:hAnsi="宋体" w:cs="宋体"/>
          <w:color w:val="000000"/>
        </w:rPr>
        <w:t xml:space="preserve">。</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开工前七天承包人须向发包人、监理提出总进度计划。开工后承包人每周例会时须报周进度计划。承包人提供的施工组织设计必须是交发包人、监理方审核后的施工组织设计。</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7.3开工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7.3.1开工准备</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关于承包人提交工程开工报审表的期限：</w:t>
      </w:r>
      <w:r>
        <w:rPr>
          <w:rFonts w:hint="eastAsia" w:ascii="宋体" w:hAnsi="宋体" w:cs="宋体"/>
          <w:color w:val="000000"/>
          <w:u w:val="single"/>
        </w:rPr>
        <w:t xml:space="preserve">合同签订后3日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关于发包人应完成的其他开工准备工作及期限：</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关于承包人应完成的其他开工准备工作及期限：</w:t>
      </w:r>
      <w:r>
        <w:rPr>
          <w:rFonts w:hint="eastAsia" w:ascii="宋体" w:hAnsi="宋体" w:cs="宋体"/>
          <w:color w:val="000000"/>
          <w:u w:val="single"/>
        </w:rPr>
        <w:t xml:space="preserve">临时设施搭建、材料、设备、人员等须在合同签订后3日内完成</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7.3.2开工通知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计划开工日期之日起</w:t>
      </w:r>
      <w:r>
        <w:rPr>
          <w:rFonts w:hint="eastAsia" w:ascii="宋体" w:hAnsi="宋体" w:cs="宋体"/>
          <w:color w:val="000000"/>
          <w:u w:val="single"/>
        </w:rPr>
        <w:t xml:space="preserve"> 7 </w:t>
      </w:r>
      <w:r>
        <w:rPr>
          <w:rFonts w:hint="eastAsia" w:ascii="宋体" w:hAnsi="宋体" w:cs="宋体"/>
          <w:color w:val="000000"/>
        </w:rPr>
        <w:t xml:space="preserve">天内发出开工通知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7.4测量放线</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发包人通过监理人向承包人提供测量基准点、基准线和水准点及其书面资料的期限：</w:t>
      </w:r>
      <w:r>
        <w:rPr>
          <w:rFonts w:hint="eastAsia" w:ascii="宋体" w:hAnsi="宋体" w:cs="宋体"/>
          <w:color w:val="000000"/>
          <w:u w:val="single"/>
        </w:rPr>
        <w:t xml:space="preserve">开工前。</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7.5工期延误</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7.5.1 因发包人原因导致工期延误</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因发包人原因导致工期延误的其他情形：</w:t>
      </w:r>
      <w:r>
        <w:rPr>
          <w:rFonts w:hint="eastAsia" w:ascii="宋体" w:hAnsi="宋体" w:cs="宋体"/>
          <w:color w:val="000000"/>
          <w:u w:val="single"/>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7.5.2因承包人原因导致工期延误</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因承包人原因造成工期延误，逾期竣工违约金的计算方法为：</w:t>
      </w:r>
      <w:r/>
    </w:p>
    <w:p>
      <w:pPr>
        <w:pStyle w:val="831"/>
        <w:jc w:val="both"/>
        <w:spacing w:line="360" w:lineRule="auto"/>
        <w:rPr>
          <w:rFonts w:hint="eastAsia" w:ascii="宋体" w:hAnsi="宋体" w:cs="宋体"/>
          <w:color w:val="000000"/>
        </w:rPr>
      </w:pPr>
      <w:r>
        <w:rPr>
          <w:rFonts w:hint="eastAsia" w:ascii="宋体" w:hAnsi="宋体" w:cs="宋体"/>
          <w:color w:val="000000"/>
          <w:u w:val="single"/>
        </w:rPr>
        <w:t xml:space="preserve">承包人不能按合同总工期竣工，每推迟一天，承包人向发包人支付合同价款1%作为违约金。</w:t>
      </w:r>
      <w:r>
        <w:rPr>
          <w:rFonts w:hint="eastAsia" w:ascii="宋体" w:hAnsi="宋体" w:cs="宋体"/>
          <w:color w:val="000000"/>
        </w:rPr>
        <w:t xml:space="preserve">因承包人原因造成工期延误，逾期竣工违约金的上限：</w:t>
      </w:r>
      <w:r>
        <w:rPr>
          <w:rFonts w:hint="eastAsia" w:ascii="宋体" w:hAnsi="宋体" w:cs="宋体"/>
          <w:color w:val="000000"/>
          <w:u w:val="single"/>
        </w:rPr>
        <w:t xml:space="preserve">合同价款的30%，如因承包人原因造成工期延误计算出的违约金超过上限（合同价款的30%），则视为承包人构成严重违约，发包人有权单方解除合同，并要求承包人赔偿发包人损失</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7.6不利物质条件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不利物质条件的其他情形和有关约定：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7.7异常恶劣的气候条件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发包人和承包人同意以下情形视为异常恶劣的气候条件：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7.8提前竣工的奖励</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提前竣工的奖励：</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8.材料与设备</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8.1材料与工程设备的保管与使用</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8 .1.1发包人供应的材料设备的保管费用的承担：</w:t>
      </w:r>
      <w:r>
        <w:rPr>
          <w:rFonts w:hint="eastAsia" w:ascii="宋体" w:hAnsi="宋体" w:cs="宋体"/>
          <w:color w:val="000000"/>
          <w:u w:val="single"/>
        </w:rPr>
        <w:t xml:space="preserve">发包人供应的材料和设备，由承包人清点后由承包人妥善保管，保管费用含在投标报价中，发包人不另行支付，承包人承担所供应设备的保管费用</w:t>
      </w:r>
      <w:r>
        <w:rPr>
          <w:rFonts w:hint="eastAsia" w:ascii="宋体" w:hAnsi="宋体" w:cs="宋体"/>
          <w:color w:val="000000"/>
        </w:rPr>
        <w:t xml:space="preserve">。</w:t>
      </w:r>
      <w:r/>
    </w:p>
    <w:p>
      <w:pPr>
        <w:pStyle w:val="831"/>
        <w:ind w:firstLine="480"/>
        <w:jc w:val="both"/>
        <w:spacing w:line="360" w:lineRule="auto"/>
        <w:rPr>
          <w:rFonts w:hint="eastAsia" w:ascii="宋体" w:hAnsi="宋体" w:cs="宋体"/>
          <w:color w:val="000000"/>
          <w:u w:val="single"/>
        </w:rPr>
      </w:pPr>
      <w:r>
        <w:rPr>
          <w:rFonts w:hint="eastAsia" w:ascii="宋体" w:hAnsi="宋体" w:cs="宋体"/>
          <w:color w:val="000000"/>
          <w:u w:val="single"/>
        </w:rPr>
        <w:t xml:space="preserve">双方约定由承包人采购的材料必须符合有关规范规定的质量要求、环保要求以及投标时的样板，必须有详细的质保书及复试报告，且在进场前经发包人、设计人和监理人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r/>
    </w:p>
    <w:p>
      <w:pPr>
        <w:pStyle w:val="831"/>
        <w:ind w:firstLine="480"/>
        <w:jc w:val="both"/>
        <w:spacing w:line="360" w:lineRule="auto"/>
        <w:rPr>
          <w:rFonts w:hint="eastAsia" w:ascii="宋体" w:hAnsi="宋体" w:cs="宋体"/>
          <w:color w:val="000000"/>
          <w:u w:val="single"/>
        </w:rPr>
      </w:pPr>
      <w:r>
        <w:rPr>
          <w:rFonts w:hint="eastAsia" w:ascii="宋体" w:hAnsi="宋体" w:cs="宋体"/>
          <w:color w:val="000000"/>
          <w:u w:val="single"/>
        </w:rPr>
        <w:t xml:space="preserve">本项目材料在招标时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8.2样品</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样品的报送与封存</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需要承包人报送样品的材料或工程设备，样品的种类、名称、规格、数量要求：</w:t>
      </w:r>
      <w:r>
        <w:rPr>
          <w:rFonts w:hint="eastAsia" w:ascii="宋体" w:hAnsi="宋体" w:cs="宋体"/>
          <w:color w:val="000000"/>
          <w:u w:val="single"/>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8.3施工设备和临时设施</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承包人提供的施工设备和临时设施</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关于修建临时设施费用承担的约定：承包人确认已经</w:t>
      </w:r>
      <w:r>
        <w:rPr>
          <w:rFonts w:hint="eastAsia" w:ascii="宋体" w:hAnsi="宋体" w:cs="宋体"/>
          <w:color w:val="000000"/>
          <w:u w:val="single"/>
        </w:rPr>
        <w:t xml:space="preserve">计入投标报价中</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9.试验与检验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9.1试验设备与试验人员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施工现场需要配置的试验场所：</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施工现场需要配备的试验设备：</w:t>
      </w:r>
      <w:r>
        <w:rPr>
          <w:rFonts w:hint="eastAsia" w:ascii="宋体" w:hAnsi="宋体" w:cs="宋体"/>
          <w:color w:val="000000"/>
          <w:u w:val="single"/>
        </w:rPr>
        <w:t xml:space="preserve">水准仪、测量仪等</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施工现场需要具备的其他试验条件：</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9.2现场工艺试验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现场工艺试验的有关约定：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10.变更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10.1变更的范围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关于变更的范围的约定：</w:t>
      </w:r>
      <w:r>
        <w:rPr>
          <w:rFonts w:hint="eastAsia" w:ascii="宋体" w:hAnsi="宋体" w:cs="宋体"/>
          <w:color w:val="000000"/>
          <w:u w:val="single"/>
        </w:rPr>
        <w:t xml:space="preserve">发包人认可经发包人审核、批准后的设计变更；发包人和监理方均认可经发包人和监理方审核、批准后的工程签证</w:t>
      </w:r>
      <w:r>
        <w:rPr>
          <w:rFonts w:hint="eastAsia" w:ascii="宋体" w:hAnsi="宋体" w:cs="宋体"/>
          <w:color w:val="000000"/>
        </w:rPr>
        <w:t xml:space="preserve">。</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10.2工程设计变更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10.2.1</w:t>
      </w:r>
      <w:r>
        <w:rPr>
          <w:rFonts w:hint="eastAsia" w:ascii="宋体" w:hAnsi="宋体" w:cs="宋体"/>
          <w:color w:val="000000"/>
        </w:rPr>
        <w:t xml:space="preserve">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宋体" w:hAnsi="宋体" w:cs="宋体"/>
          <w:color w:val="000000"/>
          <w:u w:val="single"/>
        </w:rPr>
        <w:t xml:space="preserve">施工中发包人需对原工程设计进行变更的，应提前 7 天以书面形式向承包人发出变更通知。承包人按照监理工程师发出的变更通知及有关要求，进行下列需要的变更：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（1）更改工程有关部分的标高、基线、位置和尺寸；</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（2）增减合同中约定的工程量；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（3）改变有关工程的施工时间和顺序；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（4）其他有关工程变更需要的附加工作。</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因发包人变更导致延误的工期可相应顺延。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10.2.2 施工中承包人不得对原工程设计进行变更。因承包人擅自变更设计发生的费用和由此导致发包人的直接损失，由承包人承担，延误的工期不予顺延。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10.3其他变更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10.3.1发包人保留变更或调整工程量的权力，承包人不得拒绝变更，更不得以变更为由提出不合理的要求；</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10.3.2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计审定价的【50】%与承包人结付工程款。同时，承包人还须按本合同签约合同价的【10】%向发包人支付违约金。</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10.3.3变更导致工期的顺延时间以监理工程师审核、发包人批准为准。</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10.3.4承包人提出的工程变更申请必须严格按照发包人规定的工程变更管理流程执行，涉及主体结构的变更内容必须经设计单位确认。</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10.3.8为避免签证出现混乱、重复结算，承包人在办理签证时必须明确每份签证的具体原因、施工部位、施工时间、签证的编号等，否则，该签证为无效签证。</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10.4确定变更价款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10.4.1承包人在工程变更、现场签证确定后14天内，完成变更申报及签证手续，提出变更工程价款的报告，经须经发包人、工程监理、跟踪审计三方确认后调整合同价款。变更合同价款按下列方法进行：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（1）合同中已有适用于变更工程的价格，按合同已有的价格变更合同价款；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（2）合同中只有类似于变更工程的价格，可以参照类似价格变更合同价款；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承包人双方协商确定）；经监理、跟踪审计及发包人共同确认后执行。</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10.4.2承包人在双方确定变更、现场签证后14天内不向发包人提出变更程价款报告时，视为该项变更、签证不涉及合同价款的变更。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10.4.3因承包人自身原因导致的工程变更，承包人无权要求追加合同价款。</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10.4.4不同金额的变更签证由发包人实行分级授权制度：</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（1）对于变更、签证计价及结算的约定：</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1）工程变更签证的审批程序：</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a、工程变更签证的情形发生后，承包人将工程变更签证报监理组初审，监理工程师在签证单上签署审核意见（如需现场计量，监理单位应提前24小时通知项目代表、跟踪审计咨询人员到场）；</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b、监理组初审批准后报发包人代表，由发包人代表将监理工程师初审批准的相关资料送跟踪审计咨询人员，跟踪审计咨询人员审核后在签证单上签署审核意见；</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c、项目代表根据监理工程师和跟踪审计咨询人员的审核意见，对所报资料进行审核，并按审批权限报相关领导批准后在签证单上签署审核意见。</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2）有效工程签证的认定原则：签证单上必须有发包人代表、跟踪审计咨询人员、监理工程师、承包人项目经理及项目部（项目经理签字、项目部盖章）四方的代表签字和单位盖章，方可作为竣工结算的依据；签证单上必须明确签证的原因、位置、尺寸、数量、材料、人工、机械台班、价格等和签证时间。</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3）关于临时用工的签证事项，双方应在签证通知单上协商确定以下问题：工作内容及工作量、工作时间、工作人数、取定的人工单价（是综合单价，已含管理费和利润）。</w:t>
      </w:r>
      <w:r/>
    </w:p>
    <w:p>
      <w:pPr>
        <w:pStyle w:val="831"/>
        <w:jc w:val="both"/>
        <w:spacing w:line="460" w:lineRule="exact"/>
        <w:rPr>
          <w:rFonts w:hint="eastAsia" w:ascii="宋体" w:hAnsi="宋体" w:cs="宋体"/>
          <w:color w:val="000000"/>
          <w:u w:val="single"/>
        </w:rPr>
      </w:pPr>
      <w:r>
        <w:rPr>
          <w:rFonts w:hint="eastAsia" w:ascii="宋体" w:hAnsi="宋体" w:cs="宋体"/>
          <w:color w:val="000000"/>
          <w:u w:val="single"/>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10.5变更估价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变更估价原则</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关于变更估价的约定:</w:t>
      </w:r>
      <w:r>
        <w:rPr>
          <w:rFonts w:hint="eastAsia" w:ascii="宋体" w:hAnsi="宋体" w:cs="宋体"/>
          <w:color w:val="000000"/>
          <w:u w:val="single"/>
        </w:rPr>
        <w:t xml:space="preserve">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10.6承包人的合理化建议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监理人审查承包人合理化建议的期限：</w:t>
      </w:r>
      <w:r>
        <w:rPr>
          <w:rFonts w:hint="eastAsia" w:ascii="宋体" w:hAnsi="宋体" w:cs="宋体"/>
          <w:color w:val="000000"/>
          <w:u w:val="single"/>
        </w:rPr>
        <w:t xml:space="preserve">收到建议之日起3日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发包人审批承包人合理化建议的期限：</w:t>
      </w:r>
      <w:r>
        <w:rPr>
          <w:rFonts w:hint="eastAsia" w:ascii="宋体" w:hAnsi="宋体" w:cs="宋体"/>
          <w:color w:val="000000"/>
          <w:u w:val="single"/>
        </w:rPr>
        <w:t xml:space="preserve">收到建议之日起3日</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承包人提出的合理化建议降低了合同价格或者提高了工程经济效益的奖励的方法和金额为：</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10.7暂估价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本项目无暂估价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 0.7.1依法必须招标的暂估价项目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对于依法必须招标的暂估价项目的确认和批准采取第</w:t>
      </w:r>
      <w:r>
        <w:rPr>
          <w:rFonts w:hint="eastAsia" w:ascii="宋体" w:hAnsi="宋体" w:cs="宋体"/>
          <w:color w:val="000000"/>
          <w:u w:val="single"/>
        </w:rPr>
        <w:t xml:space="preserve">/</w:t>
      </w:r>
      <w:r>
        <w:rPr>
          <w:rFonts w:hint="eastAsia" w:ascii="宋体" w:hAnsi="宋体" w:cs="宋体"/>
          <w:color w:val="000000"/>
        </w:rPr>
        <w:t xml:space="preserve">种方式确定。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10.7.2不属于依法必须招标的暂估价项目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对于不属于依法必须招标的暂估价项目的确认和批准采取第</w:t>
      </w:r>
      <w:r>
        <w:rPr>
          <w:rFonts w:hint="eastAsia" w:ascii="宋体" w:hAnsi="宋体" w:cs="宋体"/>
          <w:color w:val="000000"/>
          <w:u w:val="single"/>
        </w:rPr>
        <w:t xml:space="preserve"> / </w:t>
      </w:r>
      <w:r>
        <w:rPr>
          <w:rFonts w:hint="eastAsia" w:ascii="宋体" w:hAnsi="宋体" w:cs="宋体"/>
          <w:color w:val="000000"/>
        </w:rPr>
        <w:t xml:space="preserve">种方式确定。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第3种方式：承包人直接实施的暂估价项目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承包人直接实施的暂估价项目的约定：</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10.8 暂列金额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合同当事人关于暂列金额使用的约定：</w:t>
      </w:r>
      <w:r>
        <w:rPr>
          <w:rFonts w:hint="eastAsia" w:ascii="宋体" w:hAnsi="宋体" w:cs="宋体"/>
          <w:color w:val="000000"/>
          <w:u w:val="single"/>
        </w:rPr>
        <w:t xml:space="preserve">暂列金额应按照发包人的要求使用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11.价格调整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11.1市场价格波动引起的调整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市场价格波动是否调整合同价格的约定：</w:t>
      </w:r>
      <w:r>
        <w:rPr>
          <w:rFonts w:hint="eastAsia" w:ascii="宋体" w:hAnsi="宋体" w:cs="宋体"/>
          <w:color w:val="000000"/>
          <w:u w:val="single"/>
        </w:rPr>
        <w:t xml:space="preserve">不调整</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因市场价格波动调整合同价格，采用以下第</w:t>
      </w:r>
      <w:r>
        <w:rPr>
          <w:rFonts w:hint="eastAsia" w:ascii="宋体" w:hAnsi="宋体" w:cs="宋体"/>
          <w:color w:val="000000"/>
          <w:u w:val="single"/>
        </w:rPr>
        <w:t xml:space="preserve">/</w:t>
      </w:r>
      <w:r>
        <w:rPr>
          <w:rFonts w:hint="eastAsia" w:ascii="宋体" w:hAnsi="宋体" w:cs="宋体"/>
          <w:color w:val="000000"/>
        </w:rPr>
        <w:t xml:space="preserve">种方式对合同价格进行调整：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第1种方式：采用价格指数进行价格调整。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关于各可调因子、定值和变值权重，以及基本价格指数及其来源的约定：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第2种方式：采用造价信息进行价格调整。</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12.合同价格、计量与支付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12.1合同价格形式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1、单价合同：</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综合单价包含的风险范围：</w:t>
      </w:r>
      <w:r>
        <w:rPr>
          <w:rFonts w:hint="eastAsia" w:ascii="宋体" w:hAnsi="宋体" w:cs="宋体"/>
          <w:color w:val="000000"/>
          <w:u w:val="single"/>
        </w:rPr>
        <w:t xml:space="preserve">已包含所有风险</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风险费用的计算方法：</w:t>
      </w:r>
      <w:r>
        <w:rPr>
          <w:rFonts w:hint="eastAsia" w:ascii="宋体" w:hAnsi="宋体" w:cs="宋体"/>
          <w:color w:val="000000"/>
          <w:u w:val="single"/>
        </w:rPr>
        <w:t xml:space="preserve">风险费用已包含在报价中，不予调整</w:t>
      </w:r>
      <w:r>
        <w:rPr>
          <w:rFonts w:hint="eastAsia" w:ascii="宋体" w:hAnsi="宋体" w:cs="宋体"/>
          <w:color w:val="000000"/>
        </w:rPr>
        <w:t xml:space="preserve">。</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风险范围以外合同价格的调整方法：</w:t>
      </w:r>
      <w:r>
        <w:rPr>
          <w:rFonts w:hint="eastAsia" w:ascii="宋体" w:hAnsi="宋体" w:cs="宋体"/>
          <w:color w:val="000000"/>
          <w:u w:val="single"/>
        </w:rPr>
        <w:t xml:space="preserve">①工程设计变更及签证以及发包人另行委托施工的追加的工程，结算时必须提供</w:t>
      </w:r>
      <w:r>
        <w:rPr>
          <w:rFonts w:hint="eastAsia" w:ascii="宋体" w:hAnsi="宋体" w:cs="宋体"/>
          <w:color w:val="000000"/>
          <w:u w:val="single"/>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宋体" w:hAnsi="宋体" w:cs="宋体"/>
          <w:b/>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2、总价合同。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总价包含的风险范围：</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风险费用的计算方法：</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风险范围以外合同价格的调整方法：</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3、其他价格方式：</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12.2 预付款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12.2.1 预付款的支付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预付款支付比例或金额：</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预付款支付期限：</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预付款扣回的方式：</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12.2.2 预付款担保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承包人提交预付款担保的期限：</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rPr>
          <w:rFonts w:hint="eastAsia" w:ascii="宋体" w:hAnsi="宋体" w:cs="宋体"/>
          <w:color w:val="000000"/>
        </w:rPr>
      </w:pPr>
      <w:r>
        <w:rPr>
          <w:rFonts w:hint="eastAsia" w:ascii="宋体" w:hAnsi="宋体" w:cs="宋体"/>
          <w:color w:val="000000"/>
        </w:rPr>
        <w:t xml:space="preserve">预付款担保的形式为：</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 计量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12.3.1 计量原则</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工程量计算规则：</w:t>
      </w:r>
      <w:r>
        <w:rPr>
          <w:rFonts w:hint="eastAsia" w:ascii="宋体" w:hAnsi="宋体" w:cs="宋体"/>
          <w:color w:val="000000"/>
          <w:u w:val="single"/>
        </w:rPr>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工程量计量按照合同约定的工程量计算规则、图纸及变更指示等进行计量。工程量计算规则应以相关的国家标准、行业标准等为依据，由合同当事人在专用合同条款中约定。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12.3.2计量周期</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关于计量周期的约定：</w:t>
      </w:r>
      <w:r>
        <w:rPr>
          <w:rFonts w:hint="eastAsia" w:ascii="宋体" w:hAnsi="宋体" w:cs="宋体"/>
          <w:color w:val="000000"/>
          <w:u w:val="single"/>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12.3.3单价合同的计量</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关于单价合同计量的约定：</w:t>
      </w:r>
      <w:r>
        <w:rPr>
          <w:rFonts w:hint="eastAsia" w:ascii="宋体" w:hAnsi="宋体" w:cs="宋体"/>
          <w:color w:val="000000"/>
          <w:u w:val="single"/>
        </w:rPr>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除专用合同条款另有约定外，单价合同的计量按照本项约定执行：</w:t>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（1）承包人应于每月25日向监理人报送上月20日至当月19日已完成的工程量报告，并附具进度付款申请单、已完成工程量报表和有关资料。</w:t>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831"/>
        <w:jc w:val="both"/>
        <w:spacing w:line="360" w:lineRule="auto"/>
        <w:rPr>
          <w:rFonts w:hint="eastAsia" w:ascii="宋体" w:hAnsi="宋体" w:cs="宋体"/>
          <w:color w:val="000000"/>
          <w:u w:val="single"/>
        </w:rPr>
      </w:pPr>
      <w:r>
        <w:rPr>
          <w:rFonts w:hint="eastAsia" w:ascii="宋体" w:hAnsi="宋体" w:cs="宋体"/>
          <w:color w:val="000000"/>
          <w:u w:val="single"/>
        </w:rPr>
        <w:t xml:space="preserve">（3）监理人和发包人未在收到承包人提交的工程量报表后的14天内完成审核的，承包人报送的工程量报告中的工程量视为承包人实际完成的工程量，据此计算工程价款。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12.3.4总价合同的计量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关于总价合同计量的约定：</w:t>
      </w:r>
      <w:r>
        <w:rPr>
          <w:rFonts w:hint="eastAsia" w:ascii="宋体" w:hAnsi="宋体" w:cs="宋体"/>
          <w:color w:val="000000"/>
          <w:u w:val="single"/>
        </w:rPr>
        <w:t xml:space="preserve">不采用</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12.3.5总价合同采用支付分解表计量支付的，是否适用第12.3.4 项〔总价合同的计量〕约定进行计量：</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12.3.6其他价格形式合同的计量</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其他价格形式的计量方式和程序：</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12.4工程进度款支付</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12.4.1付款周期</w:t>
      </w:r>
      <w:r/>
    </w:p>
    <w:p>
      <w:pPr>
        <w:pStyle w:val="831"/>
        <w:ind w:firstLine="420"/>
        <w:jc w:val="both"/>
        <w:spacing w:line="315" w:lineRule="exact"/>
        <w:rPr>
          <w:color w:val="000000"/>
          <w:u w:val="single"/>
        </w:rPr>
      </w:pPr>
      <w:r>
        <w:rPr>
          <w:rFonts w:ascii="宋体" w:hAnsi="宋体" w:eastAsia="宋体" w:cs="宋体"/>
          <w:color w:val="000000"/>
          <w:u w:val="single"/>
        </w:rPr>
        <w:t xml:space="preserve">本项目无预付款。合同签定，工程竣工验收合格后付至合同总价的80％；审计结束后付至审定价（扣除审计费）的97％；其余3％为质保金，质保期满无质量问题后30个工作日内无息付清，审计费按校审计相关规定执行。</w:t>
      </w:r>
      <w:r>
        <w:rPr>
          <w:color w:val="000000"/>
          <w:u w:val="single"/>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12.4.2 进度付款申请单的编制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关于进度付款申请单编制的约定：</w:t>
      </w:r>
      <w:r>
        <w:rPr>
          <w:rFonts w:hint="eastAsia" w:ascii="宋体" w:hAnsi="宋体" w:cs="宋体"/>
          <w:color w:val="000000"/>
          <w:u w:val="single"/>
        </w:rPr>
        <w:t xml:space="preserve">按通用条款执行</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12.4.3 进度付款申请单的提交</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（1）单价合同进度付款申请单提交的约定：</w:t>
      </w:r>
      <w:r>
        <w:rPr>
          <w:rFonts w:hint="eastAsia" w:ascii="宋体" w:hAnsi="宋体" w:cs="宋体"/>
          <w:color w:val="000000"/>
          <w:u w:val="single"/>
        </w:rPr>
        <w:t xml:space="preserve">所有工程款支付均须有发包人、监理、跟踪审计三方代表签字确认工作量和付款意见后，发包人才予办理工程款支付的手续；</w:t>
      </w:r>
      <w:r/>
    </w:p>
    <w:p>
      <w:pPr>
        <w:pStyle w:val="831"/>
        <w:jc w:val="both"/>
        <w:spacing w:line="460" w:lineRule="exact"/>
        <w:rPr>
          <w:rFonts w:hint="eastAsia" w:ascii="宋体" w:hAnsi="宋体" w:cs="宋体"/>
          <w:color w:val="000000"/>
        </w:rPr>
      </w:pPr>
      <w:r>
        <w:rPr>
          <w:rFonts w:hint="eastAsia" w:ascii="宋体" w:hAnsi="宋体" w:cs="宋体"/>
          <w:color w:val="000000"/>
          <w:u w:val="single"/>
        </w:rPr>
        <w:t xml:space="preserve">所有合同外增加的工作内容和工程变更调整的价款，一律不作为进度款支付的计算基数，须待竣工结算审计后与工程款结算款同期支付</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（2）总价合同进度付款申请单提交的约定：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（3）其他价格形式合同进度付款申请单提交的约定：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12.4.4 进度款审核和支付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（1）监理人审查并报送发包人的期限：</w:t>
      </w:r>
      <w:r>
        <w:rPr>
          <w:rFonts w:hint="eastAsia" w:ascii="宋体" w:hAnsi="宋体" w:cs="宋体"/>
          <w:color w:val="000000"/>
          <w:u w:val="single"/>
        </w:rPr>
        <w:t xml:space="preserve">按专用条款执行</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发包人完成审批并签发进度款支付证书的期限：</w:t>
      </w:r>
      <w:r>
        <w:rPr>
          <w:rFonts w:hint="eastAsia" w:ascii="宋体" w:hAnsi="宋体" w:cs="宋体"/>
          <w:color w:val="000000"/>
          <w:u w:val="single"/>
        </w:rPr>
        <w:t xml:space="preserve">按专用条款执行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（2）发包人支付进度款的期限：</w:t>
      </w:r>
      <w:r>
        <w:rPr>
          <w:rFonts w:hint="eastAsia" w:ascii="宋体" w:hAnsi="宋体" w:cs="宋体"/>
          <w:color w:val="000000"/>
          <w:u w:val="single"/>
        </w:rPr>
        <w:t xml:space="preserve">按专用条款执行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发包人逾期支付进度款的违约金的计算方式：</w:t>
      </w:r>
      <w:r>
        <w:rPr>
          <w:rFonts w:hint="eastAsia" w:ascii="宋体" w:hAnsi="宋体" w:cs="宋体"/>
          <w:color w:val="000000"/>
          <w:u w:val="single"/>
        </w:rPr>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按同期全国银行间同业拆借中心公布的贷款市场报价利率计算。承包人理解发包人高校财务付款制度的特殊性，自愿放弃违约金主张。</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12.4.5支付分解表的编制</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（1）总价合同支付分解表的编制与审批：</w:t>
      </w:r>
      <w:r>
        <w:rPr>
          <w:rFonts w:hint="eastAsia" w:ascii="宋体" w:hAnsi="宋体" w:cs="宋体"/>
          <w:color w:val="000000"/>
          <w:u w:val="single"/>
        </w:rPr>
        <w:t xml:space="preserve">不采用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（2）单价合同的总价项目支付分解表的编制与审批：</w:t>
      </w:r>
      <w:r>
        <w:rPr>
          <w:rFonts w:hint="eastAsia" w:ascii="宋体" w:hAnsi="宋体" w:cs="宋体"/>
          <w:color w:val="000000"/>
          <w:u w:val="single"/>
        </w:rPr>
        <w:t xml:space="preserve">不采用</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13.验收和工程试车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13.1分部分项工程验收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监理人不能按时进行验收时，应提前</w:t>
      </w:r>
      <w:r>
        <w:rPr>
          <w:rFonts w:hint="eastAsia" w:ascii="宋体" w:hAnsi="宋体" w:cs="宋体"/>
          <w:color w:val="000000"/>
          <w:u w:val="single"/>
        </w:rPr>
        <w:t xml:space="preserve"> 24</w:t>
      </w:r>
      <w:r>
        <w:rPr>
          <w:rFonts w:hint="eastAsia" w:ascii="宋体" w:hAnsi="宋体" w:cs="宋体"/>
          <w:color w:val="000000"/>
        </w:rPr>
        <w:t xml:space="preserve">小时提交书面延期要求。</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关于延期最长不得超过：</w:t>
      </w:r>
      <w:r>
        <w:rPr>
          <w:rFonts w:hint="eastAsia" w:ascii="宋体" w:hAnsi="宋体" w:cs="宋体"/>
          <w:color w:val="000000"/>
          <w:u w:val="single"/>
        </w:rPr>
        <w:t xml:space="preserve"> 48 </w:t>
      </w:r>
      <w:r>
        <w:rPr>
          <w:rFonts w:hint="eastAsia" w:ascii="宋体" w:hAnsi="宋体" w:cs="宋体"/>
          <w:color w:val="000000"/>
        </w:rPr>
        <w:t xml:space="preserve">小时。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13.2竣工验收</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13.2.1竣工验收程序</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关于竣工验收程序的约定：</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1）承包人向监理报送竣工验收申请报告，监理应在收到竣工验收申请报告后【7】天内完成审查并报送发包人。监理审查后认为尚不具备验收条件的，应通知承包人在竣工验收前承包人还需完成的工作内容，承包人应在完成监理通知的全部工作内容后，再次提交竣工验收申请报告。</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（3）项目竣工验收合格后，承包人需安排人员看管，直至将项目整体移交给项目发包人为止。在项目未移交前的现场看管费，成品保护费均由承包人承担。遇特殊情况，承发包人双方另行协商</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pStyle w:val="831"/>
        <w:ind w:firstLine="360"/>
        <w:jc w:val="both"/>
        <w:spacing w:line="360" w:lineRule="auto"/>
        <w:rPr>
          <w:rFonts w:hint="eastAsia" w:ascii="宋体" w:hAnsi="宋体" w:cs="宋体"/>
          <w:color w:val="000000"/>
        </w:rPr>
      </w:pPr>
      <w:r>
        <w:rPr>
          <w:rFonts w:hint="eastAsia" w:ascii="宋体" w:hAnsi="宋体" w:cs="宋体"/>
          <w:color w:val="000000"/>
          <w:u w:val="single"/>
        </w:rPr>
        <w:t xml:space="preserve">工程质量不符合设计要求或质量不能达到合同约定标准的，发包人有权要求承包人返工或有权单方解除合同，承包人须无条件接受；返工的费用由承包人承担，工期不予顺延。</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发包人不按照本项约定组织竣工验收、颁发工程接收证书的违约金的计算方法：</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13.2.2移交、接收全部与部分工程</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承包人向发包人移交工程的期限：</w:t>
      </w:r>
      <w:r>
        <w:rPr>
          <w:rFonts w:hint="eastAsia" w:ascii="宋体" w:hAnsi="宋体" w:cs="宋体"/>
          <w:color w:val="000000"/>
          <w:u w:val="single"/>
        </w:rPr>
        <w:t xml:space="preserve">竣工验收合格后，自验收合格之日起10天内承包人将工程移交给发包人</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发包人未按本合同约定接收全部或部分工程的，违约金的计算方法为：</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360" w:lineRule="auto"/>
        <w:rPr>
          <w:rFonts w:hint="eastAsia" w:ascii="宋体" w:hAnsi="宋体" w:cs="宋体"/>
          <w:color w:val="000000"/>
        </w:rPr>
      </w:pPr>
      <w:r>
        <w:rPr>
          <w:rFonts w:hint="eastAsia" w:ascii="宋体" w:hAnsi="宋体" w:cs="宋体"/>
          <w:color w:val="000000"/>
        </w:rPr>
        <w:t xml:space="preserve">承包人未按时移交工程的，违约金的计算方法为：</w:t>
      </w:r>
      <w:r>
        <w:rPr>
          <w:rFonts w:hint="eastAsia" w:ascii="宋体" w:hAnsi="宋体" w:cs="宋体"/>
          <w:color w:val="000000"/>
          <w:u w:val="single"/>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发包人还有权派人强行拆除并清理，造成的费用和损失由承包人承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13.3工程试车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13.3.1试车程序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工程试车内容：</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（1）单机无负荷试车费用由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（2）无负荷联动试车费用由</w:t>
      </w:r>
      <w:r>
        <w:rPr>
          <w:rFonts w:hint="eastAsia" w:ascii="宋体" w:hAnsi="宋体" w:cs="宋体"/>
          <w:color w:val="000000"/>
          <w:u w:val="single"/>
        </w:rPr>
        <w:t xml:space="preserve"> / </w:t>
      </w:r>
      <w:r>
        <w:rPr>
          <w:rFonts w:hint="eastAsia" w:ascii="宋体" w:hAnsi="宋体" w:cs="宋体"/>
          <w:color w:val="000000"/>
        </w:rPr>
        <w:t xml:space="preserve">承担。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13.3.2投料试车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关于投料试车相关事项的约定：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13.6 竣工退场</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承包人完成竣工退场的期限：</w:t>
      </w:r>
      <w:r>
        <w:rPr>
          <w:rFonts w:hint="eastAsia" w:ascii="宋体" w:hAnsi="宋体" w:cs="宋体"/>
          <w:color w:val="000000"/>
          <w:u w:val="single"/>
        </w:rPr>
        <w:t xml:space="preserve">竣工验收合格后10日内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14.竣工结算</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14.1竣工结算申请</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承包人提交竣工结算申请单的期限：</w:t>
      </w:r>
      <w:r>
        <w:rPr>
          <w:rFonts w:hint="eastAsia" w:ascii="宋体" w:hAnsi="宋体" w:cs="宋体"/>
          <w:color w:val="000000"/>
          <w:u w:val="single"/>
        </w:rPr>
        <w:t xml:space="preserve">竣工验收合格后28天内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竣工付款申请单应包括的内容：</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（2）若审计部门在结算审核中发现结算资料无效或不完整的，审计延误的责任由承包人承担。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（3）承包人未按本条款约定的时间和要求向发包人提交竣工结算报告和资料的，发包人将不能保证按专用条款规定的时间内提出审核意见，并且发包人有权根据已有资料进行审核，责任由承包人自行承担。</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14.2 竣工结算审核</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发包人审批竣工付款申请单的期限：</w:t>
      </w:r>
      <w:r>
        <w:rPr>
          <w:rFonts w:hint="eastAsia" w:ascii="宋体" w:hAnsi="宋体" w:cs="宋体"/>
          <w:color w:val="000000"/>
          <w:u w:val="single"/>
        </w:rPr>
      </w:r>
      <w:r/>
    </w:p>
    <w:p>
      <w:pPr>
        <w:pStyle w:val="831"/>
        <w:jc w:val="both"/>
        <w:spacing w:line="440" w:lineRule="exact"/>
        <w:rPr>
          <w:rFonts w:hint="eastAsia" w:ascii="宋体" w:hAnsi="宋体" w:cs="宋体"/>
          <w:color w:val="000000"/>
        </w:rPr>
      </w:pPr>
      <w:r>
        <w:rPr>
          <w:rFonts w:hint="eastAsia" w:ascii="宋体" w:hAnsi="宋体" w:cs="宋体"/>
          <w:color w:val="000000"/>
          <w:u w:val="single"/>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完成竣工付款的期限：发包人审计部门审计并出具最终审计报告后按约定付款。但是，考虑发包人高校财务管理的特殊性，如该项目为跨年度工程或遇付款时间为学校财务封帐期及寒暑假等特殊情况，暂时无法支付工程款时，付款时间由发包人、承包人双方另行商定。对此承包人表示，遇此情况下发包人可以推迟付款且不构成违约。</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关于竣工付款证书异议部分复核的方式和程序：</w:t>
      </w:r>
      <w:r>
        <w:rPr>
          <w:rFonts w:hint="eastAsia" w:ascii="宋体" w:hAnsi="宋体" w:cs="宋体"/>
          <w:color w:val="000000"/>
          <w:u w:val="single"/>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14.3最终结清</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14.3.1 最终结清申请单</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承包人提交最终结清申请单的份数：</w:t>
      </w:r>
      <w:r>
        <w:rPr>
          <w:rFonts w:hint="eastAsia" w:ascii="宋体" w:hAnsi="宋体" w:cs="宋体"/>
          <w:color w:val="000000"/>
          <w:u w:val="single"/>
        </w:rPr>
        <w:t xml:space="preserve">叁份</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承包人提交最终结算申请单的期限：</w:t>
      </w:r>
      <w:r>
        <w:rPr>
          <w:rFonts w:hint="eastAsia" w:ascii="宋体" w:hAnsi="宋体" w:cs="宋体"/>
          <w:color w:val="000000"/>
          <w:u w:val="single"/>
        </w:rPr>
        <w:t xml:space="preserve">缺陷责任期终止证书颁发后7天内。</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14.3.2 最终结清证书和支付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（1）发包人完成最终结清申请单的审批并颁发最终结清证书的期限：</w:t>
      </w:r>
      <w:r>
        <w:rPr>
          <w:rFonts w:hint="eastAsia" w:ascii="宋体" w:hAnsi="宋体" w:cs="宋体"/>
          <w:color w:val="000000"/>
          <w:u w:val="single"/>
        </w:rPr>
        <w:t xml:space="preserve">执行通用条款</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（2）发包人完成支付的期限：</w:t>
      </w:r>
      <w:r>
        <w:rPr>
          <w:rFonts w:hint="eastAsia" w:ascii="宋体" w:hAnsi="宋体" w:cs="宋体"/>
          <w:color w:val="000000"/>
          <w:u w:val="single"/>
        </w:rPr>
        <w:t xml:space="preserve">按进度款支付约定</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 缺陷责任期与保修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15.1缺陷责任期</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缺陷责任期的具体期限：</w:t>
      </w:r>
      <w:r>
        <w:rPr>
          <w:rFonts w:hint="eastAsia" w:ascii="宋体" w:hAnsi="宋体" w:cs="宋体"/>
          <w:color w:val="000000"/>
          <w:u w:val="single"/>
        </w:rPr>
        <w:t xml:space="preserve">自工程竣工验收合格之日起【24 】个月</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15.2质量保证金</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关于是否扣留质量保证金的约定：</w:t>
      </w:r>
      <w:r>
        <w:rPr>
          <w:rFonts w:hint="eastAsia" w:ascii="宋体" w:hAnsi="宋体" w:cs="宋体"/>
          <w:color w:val="000000"/>
          <w:u w:val="single"/>
        </w:rPr>
        <w:t xml:space="preserve">审定价的3%为</w:t>
      </w:r>
      <w:r>
        <w:rPr>
          <w:rFonts w:hint="eastAsia" w:ascii="宋体" w:hAnsi="宋体" w:cs="宋体"/>
          <w:color w:val="000000"/>
          <w:u w:val="single"/>
        </w:rPr>
        <w:t xml:space="preserve">质量保证金，自发包人组织的竣工验收合格报告签署之日起算的质保期（24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 24个月）满后，经发包人单位盖章，无息返还承包人质量保证金。若承包人不能及时响应或保质处理维修事项，发包人有权另找工程队维修，所发生的费用从质量保证金中支付。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在工程项目竣工前，承包人按专用合同条款第3.6条提供履约担保的，发包人不得同时预留工程质量保证金。</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15.2.1 承包人提供质量保证金的方式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质量保证金采用以下第</w:t>
      </w:r>
      <w:r>
        <w:rPr>
          <w:rFonts w:hint="eastAsia" w:ascii="宋体" w:hAnsi="宋体" w:cs="宋体"/>
          <w:color w:val="000000"/>
          <w:u w:val="single"/>
        </w:rPr>
        <w:t xml:space="preserve">2</w:t>
      </w:r>
      <w:r>
        <w:rPr>
          <w:rFonts w:hint="eastAsia" w:ascii="宋体" w:hAnsi="宋体" w:cs="宋体"/>
          <w:color w:val="000000"/>
        </w:rPr>
        <w:t xml:space="preserve">种方式：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（1）质量保证金保函，保证金额为：</w:t>
      </w:r>
      <w:r>
        <w:rPr>
          <w:rFonts w:hint="eastAsia" w:ascii="宋体" w:hAnsi="宋体" w:cs="宋体"/>
          <w:color w:val="000000"/>
          <w:u w:val="single"/>
        </w:rPr>
        <w:t xml:space="preserve">/；</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（2）合同价款</w:t>
      </w:r>
      <w:r>
        <w:rPr>
          <w:rFonts w:hint="eastAsia" w:ascii="宋体" w:hAnsi="宋体" w:cs="宋体"/>
          <w:color w:val="000000"/>
          <w:u w:val="single"/>
        </w:rPr>
        <w:t xml:space="preserve">3%</w:t>
      </w:r>
      <w:r>
        <w:rPr>
          <w:rFonts w:hint="eastAsia" w:ascii="宋体" w:hAnsi="宋体" w:cs="宋体"/>
          <w:color w:val="000000"/>
        </w:rPr>
        <w:t xml:space="preserve">的工程款；</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（3）其他方式：</w:t>
      </w:r>
      <w:r>
        <w:rPr>
          <w:rFonts w:hint="eastAsia" w:ascii="宋体" w:hAnsi="宋体" w:cs="宋体"/>
          <w:color w:val="000000"/>
          <w:u w:val="single"/>
        </w:rPr>
        <w:t xml:space="preserve">/</w:t>
      </w:r>
      <w:r>
        <w:rPr>
          <w:rFonts w:hint="eastAsia" w:ascii="宋体" w:hAnsi="宋体" w:cs="宋体"/>
          <w:color w:val="000000"/>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15.2.2 质量保证金的扣留</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质量保证金的扣留采取以下第</w:t>
      </w:r>
      <w:r>
        <w:rPr>
          <w:rFonts w:hint="eastAsia" w:ascii="宋体" w:hAnsi="宋体" w:cs="宋体"/>
          <w:color w:val="000000"/>
          <w:u w:val="single"/>
        </w:rPr>
        <w:t xml:space="preserve"> 2 </w:t>
      </w:r>
      <w:r>
        <w:rPr>
          <w:rFonts w:hint="eastAsia" w:ascii="宋体" w:hAnsi="宋体" w:cs="宋体"/>
          <w:color w:val="000000"/>
        </w:rPr>
        <w:t xml:space="preserve">种方式：</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（1）在支付工程进度款时逐次扣留，在此情形下，质量保证金的计算基数不包括预付款的支付、扣回以及价格调整的金额；</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（2）工程竣工结算时一次性扣留质量保证金；</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（3）其他扣留方式:/。</w:t>
      </w:r>
      <w:r/>
    </w:p>
    <w:p>
      <w:pPr>
        <w:pStyle w:val="831"/>
        <w:jc w:val="both"/>
        <w:spacing w:line="460" w:lineRule="exact"/>
        <w:rPr>
          <w:rFonts w:hint="eastAsia" w:ascii="宋体" w:hAnsi="宋体" w:cs="宋体"/>
          <w:color w:val="000000"/>
          <w:u w:val="single"/>
        </w:rPr>
      </w:pPr>
      <w:r>
        <w:rPr>
          <w:rFonts w:hint="eastAsia" w:ascii="宋体" w:hAnsi="宋体" w:cs="宋体"/>
          <w:color w:val="000000"/>
        </w:rPr>
        <w:t xml:space="preserve">关于质量保证金的补充约定：</w:t>
      </w:r>
      <w:r>
        <w:rPr>
          <w:rFonts w:hint="eastAsia" w:ascii="宋体" w:hAnsi="宋体" w:cs="宋体"/>
          <w:color w:val="000000"/>
          <w:u w:val="single"/>
        </w:rPr>
        <w:t xml:space="preserve">工程质量保修金在自发包人组织的竣工验收合格报告签署之日起算的质保期（24个月）满后，且发包人确认工程无质量问题且无任何遗留问题后【14】日内一次性退还承包人（不计息，扣除因质量问题引起的维修费用、质量赔偿金及其他违约金等）。</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15.3保修</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15.3.1 保修责任</w:t>
      </w:r>
      <w:r/>
    </w:p>
    <w:p>
      <w:pPr>
        <w:pStyle w:val="831"/>
        <w:jc w:val="both"/>
        <w:spacing w:line="360" w:lineRule="auto"/>
        <w:rPr>
          <w:rFonts w:hint="eastAsia" w:ascii="宋体" w:hAnsi="宋体" w:cs="宋体"/>
          <w:color w:val="000000"/>
          <w:u w:val="single"/>
        </w:rPr>
      </w:pPr>
      <w:r>
        <w:rPr>
          <w:rFonts w:hint="eastAsia" w:ascii="宋体" w:hAnsi="宋体" w:cs="宋体"/>
          <w:color w:val="000000"/>
        </w:rPr>
        <w:t xml:space="preserve">工程保修期为：</w:t>
      </w:r>
      <w:r>
        <w:rPr>
          <w:rFonts w:hint="eastAsia" w:ascii="宋体" w:hAnsi="宋体" w:cs="宋体"/>
          <w:color w:val="000000"/>
          <w:u w:val="single"/>
        </w:rPr>
        <w:t xml:space="preserve">自发包人组织的竣工验收合格报告签署之日起【24】个月</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15.3.2修复通知</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承包人收到保修通知并到达工程现场的合理时间：</w:t>
      </w:r>
      <w:r>
        <w:rPr>
          <w:rFonts w:hint="eastAsia" w:ascii="宋体" w:hAnsi="宋体" w:cs="宋体"/>
          <w:color w:val="000000"/>
          <w:u w:val="single"/>
        </w:rPr>
        <w:t xml:space="preserve">自收到保修通知24小时内</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 违约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16.1 发包人违约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16.1.1发包人违约的情形</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发包人违约的其他情形：</w:t>
      </w:r>
      <w:r>
        <w:rPr>
          <w:rFonts w:hint="eastAsia" w:ascii="宋体" w:hAnsi="宋体" w:cs="宋体"/>
          <w:color w:val="000000"/>
          <w:u w:val="single"/>
        </w:rPr>
        <w:t xml:space="preserve">按通用条款执行</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16.1.2 发包人违约的责任</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发包人违约责任的承担方式和计算方法：</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（1）因发包人原因未能在计划开工日期前7天内下达开工通知的违约责任：</w:t>
      </w:r>
      <w:r>
        <w:rPr>
          <w:rFonts w:hint="eastAsia" w:ascii="宋体" w:hAnsi="宋体" w:cs="宋体"/>
          <w:color w:val="000000"/>
          <w:u w:val="single"/>
        </w:rPr>
        <w:t xml:space="preserve">相应工期顺延，承包人不主张违约金或补偿金</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（2）因发包人原因未能按合同约定支付合同价款的违约责任：</w:t>
      </w:r>
      <w:r>
        <w:rPr>
          <w:rFonts w:hint="eastAsia" w:ascii="宋体" w:hAnsi="宋体" w:cs="宋体"/>
          <w:color w:val="000000"/>
          <w:u w:val="single"/>
        </w:rPr>
        <w:t xml:space="preserve">按同期全国银行间同业拆借中心公布的贷款市场报价利率计算利息。承包人理解发包人高校财务付款制度的特殊性，由于发包人财务付款制度导致的迟延付款，承包人自愿放弃违约金主张。</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（3）发包人违反第10.1款〔变更的范围〕第（2）项约定，自行实施被取消的工作或转由他人实施的违约责任：</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（4）发包人提供的材料、工程设备的规格、数量或质量不符合合同约定，或因发包人原因导致交货日期延误或交货地点变更等情况的违约责任：无。</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（5）因发包人违反合同约定造成暂停施工的违约责任：</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（6）发包人无正当理由没有在约定期限内发出复工指示，导致承包人无法复工的违约责任：</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（7）其他：</w:t>
      </w:r>
      <w:r>
        <w:rPr>
          <w:rFonts w:hint="eastAsia" w:ascii="宋体" w:hAnsi="宋体" w:cs="宋体"/>
          <w:color w:val="000000"/>
          <w:u w:val="single"/>
        </w:rPr>
        <w:t xml:space="preserve">无</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16.1.3 因发包人违约解除合同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承包人按16.1.1项〔发包人违约的情形〕约定暂停施工满</w:t>
      </w:r>
      <w:r>
        <w:rPr>
          <w:rFonts w:hint="eastAsia" w:ascii="宋体" w:hAnsi="宋体" w:cs="宋体"/>
          <w:color w:val="000000"/>
          <w:u w:val="single"/>
        </w:rPr>
        <w:t xml:space="preserve"> / </w:t>
      </w:r>
      <w:r>
        <w:rPr>
          <w:rFonts w:hint="eastAsia" w:ascii="宋体" w:hAnsi="宋体" w:cs="宋体"/>
          <w:color w:val="000000"/>
        </w:rPr>
        <w:t xml:space="preserve">天后发包人仍不纠正其违约行为并致使合同目的不能实现的，承包人有权解除合同。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16.2 承包人违约</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16.2.1 承包人违约的情形</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承包人违约的其他情形：</w:t>
      </w:r>
      <w:r>
        <w:rPr>
          <w:rFonts w:hint="eastAsia" w:ascii="宋体" w:hAnsi="宋体" w:cs="宋体"/>
          <w:color w:val="000000"/>
          <w:u w:val="single"/>
        </w:rPr>
        <w:t xml:space="preserve">工期延误、质量问题、技术文件未按约定时间提交、承包人擅自停工或单方面终止合同等</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16.2.2承包人违约的责任</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承包人违约责任的承担方式和计算方法：</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u w:val="single"/>
        </w:rPr>
        <w:t xml:space="preserve">承包人不能按合同总工期竣工，每推迟一天，承包人向发包人支付合同价款1%的违约金；违约金总额累计不超过合同价款的30%，但是，若该违约金不足以弥补发包人损失的，承包人还须继续承担赔偿责任</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（2）</w:t>
      </w:r>
      <w:r>
        <w:rPr>
          <w:rFonts w:hint="eastAsia" w:ascii="宋体" w:hAnsi="宋体" w:cs="宋体"/>
          <w:color w:val="000000"/>
          <w:u w:val="single"/>
        </w:rPr>
        <w:t xml:space="preserve">本工程具体分项工程完成时间应服从发包人的总体要求，如因承包人原因导致实际进度与发包</w:t>
      </w:r>
      <w:r>
        <w:rPr>
          <w:rFonts w:hint="eastAsia" w:ascii="宋体" w:hAnsi="宋体" w:cs="宋体"/>
          <w:color w:val="000000"/>
          <w:u w:val="single"/>
        </w:rPr>
        <w:t xml:space="preserve">人要求的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u w:val="single"/>
        </w:rPr>
        <w:t xml:space="preserve">承包人未按程序报验的，每次向发包人支付2000元违约赔偿金；工序验收不合格的，须按要求返工，并每次向发包人支付2000元/次违约赔偿金</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rPr>
          <w:rFonts w:hint="eastAsia" w:ascii="宋体" w:hAnsi="宋体" w:cs="宋体"/>
          <w:color w:val="000000"/>
        </w:rPr>
      </w:r>
      <w:r/>
    </w:p>
    <w:p>
      <w:pPr>
        <w:pStyle w:val="831"/>
        <w:jc w:val="both"/>
        <w:spacing w:line="440" w:lineRule="exact"/>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u w:val="single"/>
        </w:rPr>
        <w:t xml:space="preserve">在施工过程中，发包人将对承包人的安全文明情况进行考评，只有考评合格，结算时方可计取现场安全文明措施费现场考评费和奖励费，否则结算时不得计取该项费用</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u w:val="single"/>
        </w:rPr>
        <w:t xml:space="preserve">工程竣工验收合格后28天内，承包人必须将符合发包人要求的竣工结算书及相关资料上报给发包人，否则每延迟一天须向发包人支付5000元作为违约赔偿金</w:t>
      </w:r>
      <w:r>
        <w:rPr>
          <w:rFonts w:hint="eastAsia" w:ascii="宋体" w:hAnsi="宋体" w:cs="宋体"/>
          <w:color w:val="000000"/>
        </w:rPr>
        <w:t xml:space="preserve">；</w:t>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8）经查实如承包人有出借资质或挂靠施工现象发生，视承包人严重违约，承包人除须立即进行纠正外，发包人有权没收履约保证金，发包人还有权选择解除合同并要求承包人按签约合同价的30%向发包人支付违约金；</w:t>
      </w:r>
      <w:r/>
    </w:p>
    <w:p>
      <w:pPr>
        <w:pStyle w:val="831"/>
        <w:jc w:val="both"/>
        <w:spacing w:line="440" w:lineRule="exact"/>
        <w:rPr>
          <w:rFonts w:hint="eastAsia" w:ascii="宋体" w:hAnsi="宋体" w:cs="宋体"/>
          <w:color w:val="000000"/>
          <w:u w:val="single"/>
        </w:rPr>
      </w:pPr>
      <w:r>
        <w:rPr>
          <w:rFonts w:hint="eastAsia" w:ascii="宋体" w:hAnsi="宋体" w:cs="宋体"/>
          <w:color w:val="000000"/>
          <w:u w:val="single"/>
        </w:rPr>
        <w:t xml:space="preserve">（9）工程质量应符合国家验收规范和本合同约定要求，并一次性验收合格，若质量未达到要求，承包人按签约合同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（10）</w:t>
      </w:r>
      <w:r>
        <w:rPr>
          <w:rFonts w:hint="eastAsia" w:ascii="宋体" w:hAnsi="宋体" w:cs="宋体"/>
          <w:color w:val="000000"/>
          <w:u w:val="single"/>
        </w:rPr>
        <w:t xml:space="preserve">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签约合同价【30】%标准向发包人支付违约金。若违约金不足以弥补发包人损失的，承包人还应承担由此而给发包人造成的一切损失。</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（11）</w:t>
      </w:r>
      <w:r>
        <w:rPr>
          <w:rFonts w:hint="eastAsia" w:ascii="宋体" w:hAnsi="宋体" w:cs="宋体"/>
          <w:color w:val="000000"/>
          <w:u w:val="single"/>
        </w:rPr>
        <w:t xml:space="preserve">因承包人原因导致技术文件（包括竣工图纸、签证等）未能按约定时间提交，每迟一天，发包人在支付给承包人的工程款内扣除1000元的违约金。同时并不解除承包人继续交付上述技术文件的义务。</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（12）</w:t>
      </w:r>
      <w:r>
        <w:rPr>
          <w:rFonts w:hint="eastAsia" w:ascii="宋体" w:hAnsi="宋体" w:cs="宋体"/>
          <w:color w:val="000000"/>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16.2.3 因承包人违约解除合同</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关于承包人违约解除合同的特别约定：</w:t>
      </w:r>
      <w:r>
        <w:rPr>
          <w:rFonts w:hint="eastAsia" w:ascii="宋体" w:hAnsi="宋体" w:cs="宋体"/>
          <w:color w:val="000000"/>
          <w:u w:val="single"/>
        </w:rPr>
        <w:t xml:space="preserve">在本合同解除后，承包人必须在5天内无条件退场。发包人将按承包人已完成工程量的50%给予结算，承包人还须按合同签约价【30】%标准向发包人支付违约金并承担由此而给发包人造成的一切损失</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发包人继续使用承包人在施工现场的材料、设备、临时工程、承包人文件和由承包人或以其名义编制的其他文件的费用承担方式：</w:t>
      </w:r>
      <w:r>
        <w:rPr>
          <w:rFonts w:hint="eastAsia" w:ascii="宋体" w:hAnsi="宋体" w:cs="宋体"/>
          <w:color w:val="000000"/>
          <w:u w:val="single"/>
        </w:rPr>
        <w:t xml:space="preserve">根据监理、审计出具的报告结算给承包人</w:t>
      </w:r>
      <w:r>
        <w:rPr>
          <w:rFonts w:hint="eastAsia" w:ascii="宋体" w:hAnsi="宋体" w:cs="宋体"/>
          <w:color w:val="000000"/>
        </w:rPr>
        <w:t xml:space="preserve">。</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17.不可抗力</w:t>
      </w:r>
      <w:r/>
    </w:p>
    <w:p>
      <w:pPr>
        <w:pStyle w:val="831"/>
        <w:jc w:val="both"/>
        <w:spacing w:line="440" w:lineRule="exact"/>
        <w:rPr>
          <w:rFonts w:hint="eastAsia" w:ascii="宋体" w:hAnsi="宋体" w:cs="宋体"/>
          <w:color w:val="000000"/>
        </w:rPr>
      </w:pPr>
      <w:r>
        <w:rPr>
          <w:rFonts w:hint="eastAsia" w:ascii="宋体" w:hAnsi="宋体" w:cs="宋体"/>
          <w:color w:val="000000"/>
        </w:rPr>
        <w:t xml:space="preserve">17.1不可抗力的确认</w:t>
      </w:r>
      <w:r/>
    </w:p>
    <w:p>
      <w:pPr>
        <w:pStyle w:val="831"/>
        <w:jc w:val="both"/>
        <w:spacing w:line="440" w:lineRule="exact"/>
        <w:rPr>
          <w:rFonts w:hint="eastAsia" w:ascii="宋体" w:hAnsi="宋体" w:cs="宋体"/>
          <w:color w:val="000000"/>
          <w:u w:val="single"/>
        </w:rPr>
      </w:pPr>
      <w:r>
        <w:rPr>
          <w:rFonts w:hint="eastAsia" w:ascii="宋体" w:hAnsi="宋体" w:cs="宋体"/>
          <w:color w:val="000000"/>
        </w:rPr>
        <w:t xml:space="preserve">除通用合同条款约定的不可抗力事件之外，视为不可抗力的其他情形：</w:t>
      </w:r>
      <w:r>
        <w:rPr>
          <w:rFonts w:hint="eastAsia" w:ascii="宋体" w:hAnsi="宋体" w:cs="宋体"/>
          <w:color w:val="000000"/>
          <w:u w:val="single"/>
        </w:rPr>
        <w:t xml:space="preserve">因国家和政府举办大型活动限制施工、因维护学生稳定而不能正常施工</w:t>
      </w:r>
      <w:r>
        <w:rPr>
          <w:rFonts w:hint="eastAsia" w:ascii="宋体" w:hAnsi="宋体" w:cs="宋体"/>
          <w:color w:val="000000"/>
        </w:rPr>
        <w:t xml:space="preserve">。</w:t>
      </w:r>
      <w:r>
        <w:rPr>
          <w:rFonts w:hint="eastAsia" w:ascii="宋体" w:hAnsi="宋体" w:cs="宋体"/>
          <w:color w:val="000000"/>
          <w:u w:val="single"/>
        </w:rPr>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17.2因不可抗力解除合同</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合同解除后，发包人应在商定或确定发包人应支付款项后</w:t>
      </w:r>
      <w:r>
        <w:rPr>
          <w:rFonts w:hint="eastAsia" w:ascii="宋体" w:hAnsi="宋体" w:cs="宋体"/>
          <w:color w:val="000000"/>
          <w:u w:val="single"/>
        </w:rPr>
        <w:t xml:space="preserve">/</w:t>
      </w:r>
      <w:r>
        <w:rPr>
          <w:rFonts w:hint="eastAsia" w:ascii="宋体" w:hAnsi="宋体" w:cs="宋体"/>
          <w:color w:val="000000"/>
        </w:rPr>
        <w:t xml:space="preserve">天内完成款项的支付。</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 保险</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18.1 工程保险</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关于工程保险的特别约定：</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18.2其他保险</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关于其他保险的约定：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承包人是否应为其施工设备等办理财产保险：</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18.3通知义务</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关于变更保险合同时的通知义务的约定：</w:t>
      </w:r>
      <w:r>
        <w:rPr>
          <w:rFonts w:hint="eastAsia" w:ascii="宋体" w:hAnsi="宋体" w:cs="宋体"/>
          <w:color w:val="000000"/>
          <w:u w:val="single"/>
        </w:rPr>
        <w:t xml:space="preserve">/</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19.争议解决</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19.1争议评审</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合同当事人是否同意将工程争议提交争议评审小组决定：</w:t>
      </w:r>
      <w:r>
        <w:rPr>
          <w:rFonts w:hint="eastAsia" w:ascii="宋体" w:hAnsi="宋体" w:cs="宋体"/>
          <w:color w:val="000000"/>
          <w:u w:val="single"/>
        </w:rPr>
        <w:t xml:space="preserve">不同意</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19.1.1争议评审小组的确定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争议评审小组成员的确定：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选定争议评审员的期限：</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争议评审小组成员的报酬承担方式：</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其他事项的约定：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19.1.2争议评审小组的决定</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合同当事人关于本项的约定：</w:t>
      </w:r>
      <w:r>
        <w:rPr>
          <w:rFonts w:hint="eastAsia" w:ascii="宋体" w:hAnsi="宋体" w:cs="宋体"/>
          <w:color w:val="000000"/>
          <w:u w:val="single"/>
        </w:rPr>
        <w:t xml:space="preserve"> / </w:t>
      </w:r>
      <w:r>
        <w:rPr>
          <w:rFonts w:hint="eastAsia" w:ascii="宋体" w:hAnsi="宋体" w:cs="宋体"/>
          <w:color w:val="000000"/>
        </w:rPr>
        <w:t xml:space="preserve">。</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19.2仲裁或诉讼</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因合同及合同有关事项发生的争议，按下列第</w:t>
      </w:r>
      <w:r>
        <w:rPr>
          <w:rFonts w:hint="eastAsia" w:ascii="宋体" w:hAnsi="宋体" w:cs="宋体"/>
          <w:color w:val="000000"/>
          <w:u w:val="single"/>
        </w:rPr>
        <w:t xml:space="preserve">（2）</w:t>
      </w:r>
      <w:r>
        <w:rPr>
          <w:rFonts w:hint="eastAsia" w:ascii="宋体" w:hAnsi="宋体" w:cs="宋体"/>
          <w:color w:val="000000"/>
        </w:rPr>
        <w:t xml:space="preserve">种方式解决：</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（1）向</w:t>
      </w:r>
      <w:r>
        <w:rPr>
          <w:rFonts w:hint="eastAsia" w:ascii="宋体" w:hAnsi="宋体" w:cs="宋体"/>
          <w:color w:val="000000"/>
          <w:u w:val="single"/>
        </w:rPr>
        <w:t xml:space="preserve"> / </w:t>
      </w:r>
      <w:r>
        <w:rPr>
          <w:rFonts w:hint="eastAsia" w:ascii="宋体" w:hAnsi="宋体" w:cs="宋体"/>
          <w:color w:val="000000"/>
        </w:rPr>
        <w:t xml:space="preserve">仲裁委员会申请仲裁；</w:t>
      </w:r>
      <w:r/>
    </w:p>
    <w:p>
      <w:pPr>
        <w:pStyle w:val="831"/>
        <w:jc w:val="both"/>
        <w:spacing w:line="460" w:lineRule="exact"/>
        <w:rPr>
          <w:rFonts w:hint="eastAsia" w:ascii="宋体" w:hAnsi="宋体" w:cs="宋体"/>
          <w:color w:val="000000"/>
        </w:rPr>
      </w:pPr>
      <w:r>
        <w:rPr>
          <w:rFonts w:hint="eastAsia" w:ascii="宋体" w:hAnsi="宋体" w:cs="宋体"/>
          <w:color w:val="000000"/>
        </w:rPr>
        <w:t xml:space="preserve">（2）向</w:t>
      </w:r>
      <w:r>
        <w:rPr>
          <w:rFonts w:hint="eastAsia" w:ascii="宋体" w:hAnsi="宋体" w:cs="宋体"/>
          <w:color w:val="000000"/>
          <w:u w:val="single"/>
        </w:rPr>
        <w:t xml:space="preserve">工程所在地</w:t>
      </w:r>
      <w:r>
        <w:rPr>
          <w:rFonts w:hint="eastAsia" w:ascii="宋体" w:hAnsi="宋体" w:cs="宋体"/>
          <w:color w:val="000000"/>
        </w:rPr>
        <w:t xml:space="preserve">人民法院起诉。</w:t>
      </w:r>
      <w:r/>
    </w:p>
    <w:p>
      <w:pPr>
        <w:pStyle w:val="1056"/>
        <w:tabs>
          <w:tab w:val="left" w:pos="0" w:leader="none"/>
        </w:tabs>
        <w:rPr>
          <w:rFonts w:hint="eastAsia" w:ascii="宋体" w:hAnsi="宋体" w:cs="宋体"/>
          <w:b/>
          <w:color w:val="000000"/>
        </w:rPr>
      </w:pPr>
      <w:r>
        <w:rPr>
          <w:rFonts w:hint="eastAsia" w:ascii="宋体" w:hAnsi="宋体" w:cs="宋体"/>
          <w:b/>
          <w:color w:val="000000"/>
        </w:rPr>
      </w:r>
      <w:r/>
    </w:p>
    <w:p>
      <w:pPr>
        <w:pStyle w:val="1056"/>
        <w:tabs>
          <w:tab w:val="left" w:pos="0" w:leader="none"/>
        </w:tabs>
        <w:rPr>
          <w:rFonts w:hint="eastAsia" w:ascii="宋体" w:hAnsi="宋体" w:cs="宋体"/>
          <w:color w:val="000000"/>
        </w:rPr>
      </w:pPr>
      <w:r>
        <w:rPr>
          <w:rFonts w:hint="eastAsia" w:ascii="宋体" w:hAnsi="宋体" w:cs="宋体"/>
          <w:color w:val="000000"/>
        </w:rPr>
      </w:r>
      <w:r/>
    </w:p>
    <w:p>
      <w:pPr>
        <w:pStyle w:val="1055"/>
        <w:jc w:val="both"/>
        <w:rPr>
          <w:rFonts w:hint="eastAsia" w:ascii="宋体" w:hAnsi="宋体" w:cs="宋体"/>
          <w:color w:val="000000"/>
          <w:sz w:val="24"/>
          <w:szCs w:val="24"/>
        </w:rPr>
      </w:pPr>
      <w:r>
        <w:rPr>
          <w:rFonts w:hint="eastAsia" w:ascii="宋体" w:hAnsi="宋体" w:cs="宋体"/>
          <w:color w:val="000000"/>
          <w:sz w:val="24"/>
          <w:szCs w:val="24"/>
        </w:rPr>
      </w:r>
      <w:r/>
    </w:p>
    <w:p>
      <w:pPr>
        <w:pStyle w:val="831"/>
        <w:jc w:val="both"/>
        <w:rPr>
          <w:rFonts w:hint="eastAsia" w:ascii="宋体" w:hAnsi="宋体" w:cs="宋体"/>
          <w:color w:val="000000"/>
        </w:rPr>
      </w:pPr>
      <w:r>
        <w:rPr>
          <w:rFonts w:hint="eastAsia" w:ascii="宋体" w:hAnsi="宋体" w:cs="宋体"/>
          <w:color w:val="000000"/>
        </w:rPr>
      </w:r>
      <w:r/>
    </w:p>
    <w:p>
      <w:pPr>
        <w:pStyle w:val="1056"/>
        <w:spacing w:line="360" w:lineRule="auto"/>
        <w:rPr>
          <w:rFonts w:hint="eastAsia" w:ascii="宋体" w:hAnsi="宋体" w:cs="宋体"/>
          <w:color w:val="000000"/>
        </w:rPr>
      </w:pPr>
      <w:r>
        <w:rPr>
          <w:rFonts w:hint="eastAsia" w:ascii="宋体" w:hAnsi="宋体" w:cs="宋体"/>
          <w:color w:val="000000"/>
        </w:rPr>
      </w:r>
      <w:r/>
    </w:p>
    <w:p>
      <w:pPr>
        <w:pStyle w:val="1056"/>
        <w:ind w:firstLine="480"/>
        <w:jc w:val="center"/>
        <w:spacing w:line="360" w:lineRule="auto"/>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sz w:val="22"/>
          <w:szCs w:val="24"/>
        </w:rPr>
        <w:t xml:space="preserve">工程质量保修书</w:t>
      </w:r>
      <w:r>
        <w:rPr>
          <w:rFonts w:hint="eastAsia" w:ascii="宋体" w:hAnsi="宋体" w:cs="宋体"/>
          <w:color w:val="000000"/>
        </w:rPr>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发包人（全称）：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承包人（全称）：   </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发包人和承包人根据《中华人民共和国建筑法》和《建设工程质量管理条例》，经协商一致就</w:t>
      </w:r>
      <w:r>
        <w:rPr>
          <w:rFonts w:hint="eastAsia" w:ascii="宋体" w:hAnsi="宋体" w:eastAsia="宋体" w:cs="宋体"/>
          <w:b/>
          <w:bCs/>
          <w:color w:val="000000"/>
        </w:rPr>
        <w:t xml:space="preserve">仙林校区德经楼高压变电所设备升级改造项目</w:t>
      </w:r>
      <w:r>
        <w:rPr>
          <w:rFonts w:hint="eastAsia" w:ascii="宋体" w:hAnsi="宋体" w:cs="宋体"/>
          <w:color w:val="000000"/>
        </w:rPr>
        <w:t xml:space="preserve">（工程全称）签订工程质量保修书。</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一、工程质量保修范围和内容</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承包人在质量保修期内，按照有关法律规定和合同约定，承担工程质量保修责任。</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质量保修范围包括承包人施工范围内的全部内容，承包人负责施工的所有工程项目，如出现施工质量缺陷或施工质量隐患，承包人必须履行保修义务。</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二、质量保修期</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根据《建设工程质量管理条例》及有关规定，工程的质量保修期如下：</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1．地基基础工程和主体结构工程为设计文件规定的工程合理使用年限；</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2．屋面防水工程、有防水要求的卫生间、房间和外墙面的防渗为  5 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3．装修工程为  2年；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4．电气管线、给排水管道、设备安装工程为  2年；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5．供热与供冷系统为  2个采暖期、供冷期；</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6．住宅小区内的给排水设施、道路等配套工程为  2年；</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7．其他项目保修期限约定如下：</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质量保修期自工程竣工验收合格之日起计算。</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三、缺陷责任期</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工程缺陷责任期为 24个月，缺陷责任期从工程通过竣工验收之日起计算。单位工程先于全部工程进行验收，经验收合格并交付使用的，单位工程缺陷责任期自单位工程验收合格之日起算。由于承包人原因导致工程无法按规定期限进行竣工验收的，缺陷责任期从实际通过竣工验收之日起计。</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缺陷责任期终止后，发包人应退还剩余的质量保证金。</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 四、质量保修责任</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1．属于保修范围、内容的项目，承包人应当在接到保修通知之日起7天内派人保修。承包人不在约定期限内派人保修的，发包人可以委托他人修理。</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2．发生紧急事故需抢修的，承包人在接到事故通知后，应当立即到达事故现场抢修。</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4．质量保修完成后，由发包人组织验收。</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五、保修费用</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保修费用由造成质量缺陷的责任方承担。</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六、双方约定的其他工程质量保修事项：/。</w:t>
      </w:r>
      <w:r/>
    </w:p>
    <w:p>
      <w:pPr>
        <w:pStyle w:val="1056"/>
        <w:ind w:firstLine="420"/>
        <w:spacing w:line="360" w:lineRule="auto"/>
        <w:rPr>
          <w:rFonts w:hint="eastAsia" w:ascii="宋体" w:hAnsi="宋体" w:cs="宋体"/>
          <w:color w:val="000000"/>
        </w:rPr>
      </w:pPr>
      <w:r>
        <w:rPr>
          <w:rFonts w:hint="eastAsia" w:ascii="宋体" w:hAnsi="宋体" w:cs="宋体"/>
          <w:color w:val="000000"/>
        </w:rPr>
        <w:t xml:space="preserve">工程质量保修书由发包人、承包人在工程竣工验收前共同签署，作为施工合同附件，其有效期限至保修期满。</w:t>
      </w:r>
      <w:r/>
    </w:p>
    <w:p>
      <w:pPr>
        <w:pStyle w:val="1056"/>
        <w:ind w:firstLine="480"/>
        <w:spacing w:line="360" w:lineRule="auto"/>
        <w:rPr>
          <w:rFonts w:hint="eastAsia" w:ascii="宋体" w:hAnsi="宋体" w:cs="宋体"/>
          <w:color w:val="000000"/>
        </w:rPr>
      </w:pPr>
      <w:r>
        <w:rPr>
          <w:rFonts w:hint="eastAsia" w:ascii="宋体" w:hAnsi="宋体" w:cs="宋体"/>
          <w:color w:val="000000"/>
        </w:rPr>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发包人(公章)：                                     承包人(公章)：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地  址：                                           地  址：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法定代表人(签字)：                                 法定代表人(签字)：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委托代理人(签字)：                                 委托代理人(签字)：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电  话：                                           电  话：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传  真：                                           传  真：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开户银行：                                         开户银行：               </w:t>
      </w:r>
      <w:r/>
    </w:p>
    <w:p>
      <w:pPr>
        <w:pStyle w:val="1056"/>
        <w:ind w:firstLine="480"/>
        <w:spacing w:line="360" w:lineRule="auto"/>
        <w:rPr>
          <w:rFonts w:hint="eastAsia" w:ascii="宋体" w:hAnsi="宋体" w:cs="宋体"/>
          <w:color w:val="000000"/>
        </w:rPr>
      </w:pPr>
      <w:r>
        <w:rPr>
          <w:rFonts w:hint="eastAsia" w:ascii="宋体" w:hAnsi="宋体" w:cs="宋体"/>
          <w:color w:val="000000"/>
        </w:rPr>
        <w:t xml:space="preserve">账  号：                                           账  号：                  </w:t>
      </w:r>
      <w:r/>
    </w:p>
    <w:p>
      <w:pPr>
        <w:pStyle w:val="1056"/>
        <w:ind w:right="1233" w:firstLine="480"/>
        <w:spacing w:before="36" w:line="360" w:lineRule="auto"/>
        <w:tabs>
          <w:tab w:val="left" w:pos="6871" w:leader="none"/>
          <w:tab w:val="left" w:pos="7831" w:leader="none"/>
        </w:tabs>
        <w:rPr>
          <w:rFonts w:hint="eastAsia" w:ascii="宋体" w:hAnsi="宋体" w:cs="宋体"/>
          <w:b/>
          <w:bCs/>
          <w:color w:val="000000"/>
        </w:rPr>
      </w:pPr>
      <w:r>
        <w:rPr>
          <w:rFonts w:hint="eastAsia" w:ascii="宋体" w:hAnsi="宋体" w:cs="宋体"/>
          <w:color w:val="000000"/>
        </w:rPr>
        <w:t xml:space="preserve">邮政编码：                                         邮政编码： </w:t>
      </w:r>
      <w:r>
        <w:rPr>
          <w:rFonts w:hint="eastAsia" w:ascii="宋体" w:hAnsi="宋体" w:cs="宋体"/>
          <w:b/>
          <w:bCs/>
          <w:color w:val="000000"/>
        </w:rPr>
      </w:r>
      <w:r/>
    </w:p>
    <w:p>
      <w:pPr>
        <w:pStyle w:val="831"/>
        <w:jc w:val="both"/>
        <w:rPr>
          <w:rFonts w:hint="eastAsia"/>
          <w:b/>
          <w:bCs/>
          <w:color w:val="000000"/>
          <w:sz w:val="44"/>
          <w:szCs w:val="44"/>
        </w:rPr>
      </w:pPr>
      <w:r>
        <w:rPr>
          <w:rFonts w:hint="eastAsia"/>
          <w:b/>
          <w:bCs/>
          <w:color w:val="000000"/>
          <w:sz w:val="44"/>
          <w:szCs w:val="44"/>
        </w:rPr>
      </w:r>
      <w:r/>
    </w:p>
    <w:p>
      <w:pPr>
        <w:pStyle w:val="831"/>
        <w:jc w:val="both"/>
        <w:rPr>
          <w:rFonts w:hint="eastAsia"/>
          <w:b/>
          <w:bCs/>
          <w:color w:val="000000"/>
          <w:sz w:val="44"/>
          <w:szCs w:val="44"/>
        </w:rPr>
      </w:pPr>
      <w:r>
        <w:rPr>
          <w:rFonts w:hint="eastAsia"/>
          <w:b/>
          <w:bCs/>
          <w:color w:val="000000"/>
          <w:sz w:val="44"/>
          <w:szCs w:val="44"/>
        </w:rPr>
      </w:r>
      <w:r/>
    </w:p>
    <w:p>
      <w:pPr>
        <w:pStyle w:val="831"/>
        <w:jc w:val="both"/>
        <w:rPr>
          <w:rFonts w:ascii="宋体" w:hAnsi="宋体" w:eastAsia="宋体" w:cs="宋体"/>
          <w:b/>
          <w:color w:val="000000"/>
          <w:sz w:val="28"/>
        </w:rPr>
      </w:pPr>
      <w:r>
        <w:rPr>
          <w:rFonts w:ascii="宋体" w:hAnsi="宋体" w:eastAsia="宋体" w:cs="宋体"/>
          <w:b/>
          <w:color w:val="000000"/>
          <w:sz w:val="28"/>
        </w:rPr>
        <w:br w:type="page" w:clear="all"/>
      </w:r>
      <w:r/>
    </w:p>
    <w:p>
      <w:pPr>
        <w:pStyle w:val="831"/>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831"/>
        <w:ind w:firstLine="472"/>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831"/>
        <w:jc w:val="center"/>
        <w:spacing w:before="240" w:after="24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仙林校区德经楼高压变电所设备升级改造项目</w:t>
      </w:r>
      <w:r>
        <w:rPr>
          <w:rFonts w:hint="eastAsia" w:ascii="宋体" w:hAnsi="宋体" w:eastAsia="宋体" w:cs="宋体"/>
          <w:b/>
          <w:color w:val="000000"/>
          <w:sz w:val="36"/>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3534"/>
        <w:jc w:val="both"/>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831"/>
        <w:ind w:firstLine="3534"/>
        <w:jc w:val="both"/>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831"/>
        <w:ind w:firstLine="3534"/>
        <w:jc w:val="both"/>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831"/>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6971"/>
        <w:gridCol w:w="993"/>
      </w:tblGrid>
      <w:tr>
        <w:trPr>
          <w:trHeight w:val="80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rPr>
                <w:color w:val="000000"/>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rPr>
                <w:color w:val="000000"/>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r>
        <w:trPr>
          <w:trHeight w:val="53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39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971"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93"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c>
      </w:tr>
    </w:tbl>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名称：（盖章）</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rPr>
          <w:color w:val="000000"/>
        </w:rPr>
      </w:r>
      <w:r/>
    </w:p>
    <w:p>
      <w:pPr>
        <w:pStyle w:val="831"/>
        <w:jc w:val="both"/>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96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根据附件顺序编制投标文件并制作目录（须生成页码）]</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831"/>
        <w:ind w:firstLine="360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831"/>
        <w:jc w:val="both"/>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南京财经大学</w:t>
      </w:r>
      <w:r>
        <w:rPr>
          <w:rFonts w:ascii="宋体" w:hAnsi="宋体" w:eastAsia="宋体" w:cs="宋体"/>
          <w:color w:val="000000"/>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831"/>
        <w:ind w:firstLine="420"/>
        <w:jc w:val="both"/>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w:t>
      </w:r>
      <w:r/>
    </w:p>
    <w:p>
      <w:pPr>
        <w:pStyle w:val="831"/>
        <w:ind w:firstLine="420"/>
        <w:jc w:val="both"/>
        <w:spacing w:line="360" w:lineRule="auto"/>
        <w:rPr>
          <w:rFonts w:hint="eastAsia" w:ascii="宋体" w:hAnsi="宋体" w:eastAsia="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我方拟派项目负责人为 </w:t>
      </w:r>
      <w:r>
        <w:rPr>
          <w:rFonts w:hint="eastAsia" w:ascii="宋体" w:hAnsi="宋体" w:eastAsia="宋体" w:cs="宋体"/>
          <w:color w:val="000000"/>
          <w:u w:val="single"/>
        </w:rPr>
        <w:t xml:space="preserve">       。</w:t>
      </w:r>
      <w:r/>
    </w:p>
    <w:p>
      <w:pPr>
        <w:pStyle w:val="831"/>
        <w:ind w:firstLine="420"/>
        <w:jc w:val="both"/>
        <w:spacing w:line="360" w:lineRule="auto"/>
        <w:rPr>
          <w:rFonts w:hint="eastAsia" w:eastAsia="宋体"/>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4、本项目</w:t>
      </w:r>
      <w:r>
        <w:rPr>
          <w:rFonts w:hint="eastAsia" w:ascii="宋体" w:hAnsi="宋体" w:eastAsia="宋体" w:cs="宋体"/>
          <w:color w:val="000000"/>
        </w:rPr>
        <w:t xml:space="preserve">合同期限</w:t>
      </w:r>
      <w:r>
        <w:rPr>
          <w:rFonts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rPr>
        <w:t xml:space="preserve">；质量标准为： </w:t>
      </w:r>
      <w:r>
        <w:rPr>
          <w:rFonts w:hint="eastAsia" w:ascii="宋体" w:hAnsi="宋体" w:eastAsia="宋体" w:cs="宋体"/>
          <w:color w:val="000000"/>
          <w:u w:val="single"/>
        </w:rPr>
        <w:t xml:space="preserve">         。</w:t>
      </w:r>
      <w:r>
        <w:rPr>
          <w:rFonts w:hint="eastAsia" w:eastAsia="宋体"/>
          <w:color w:val="000000"/>
          <w:u w:val="single"/>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6、我们同意从规定的开标日期起遵循本投标文件，并在规定的投标有效期期满之前均具有约束力。</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10、与本投标有关的正式联系方式为：</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（盖章）</w:t>
      </w:r>
      <w:r>
        <w:rPr>
          <w:color w:val="000000"/>
        </w:rPr>
      </w:r>
      <w:r/>
    </w:p>
    <w:p>
      <w:pPr>
        <w:pStyle w:val="831"/>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南京财经大学</w:t>
      </w:r>
      <w:r>
        <w:rPr>
          <w:rFonts w:ascii="宋体" w:hAnsi="宋体" w:eastAsia="宋体" w:cs="宋体"/>
          <w:color w:val="000000"/>
        </w:rPr>
        <w:t xml:space="preserve">：</w:t>
      </w:r>
      <w:r>
        <w:rPr>
          <w:color w:val="000000"/>
        </w:rPr>
      </w:r>
      <w:r/>
    </w:p>
    <w:p>
      <w:pPr>
        <w:pStyle w:val="831"/>
        <w:jc w:val="both"/>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831"/>
        <w:jc w:val="both"/>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名称：（盖章）</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法定代表人签字或盖章：</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831"/>
        <w:ind w:firstLine="42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ascii="宋体" w:hAnsi="宋体" w:eastAsia="宋体" w:cs="宋体"/>
          <w:b/>
          <w:color w:val="000000"/>
        </w:rPr>
        <w:t xml:space="preserve">扫描件</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ind w:firstLine="42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831"/>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hint="eastAsia" w:eastAsia="宋体"/>
          <w:color w:val="000000"/>
        </w:rPr>
      </w:r>
      <w:r/>
    </w:p>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7329"/>
      </w:tblGrid>
      <w:tr>
        <w:trPr>
          <w:trHeight w:val="118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pStyle w:val="831"/>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pStyle w:val="831"/>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hint="eastAsia" w:eastAsia="宋体"/>
                <w:color w:val="000000"/>
              </w:rPr>
            </w:r>
            <w:r/>
          </w:p>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Borders>
              <w:top w:val="none" w:color="000000" w:sz="4" w:space="0"/>
              <w:left w:val="single" w:color="000000" w:sz="8" w:space="0"/>
              <w:bottom w:val="single" w:color="000000" w:sz="4" w:space="0"/>
              <w:right w:val="single" w:color="000000" w:sz="8"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项目负责人</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质量标准</w:t>
            </w: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109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5" w:type="dxa"/>
            <w:vAlign w:val="center"/>
            <w:textDirection w:val="lrTb"/>
            <w:noWrap w:val="false"/>
          </w:tcPr>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是否为小微企业</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329" w:type="dxa"/>
            <w:vAlign w:val="center"/>
            <w:textDirection w:val="lrTb"/>
            <w:noWrap w:val="false"/>
          </w:tcPr>
          <w:p>
            <w:pPr>
              <w:pStyle w:val="831"/>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bl>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bookmarkStart w:id="29" w:name="OLE_LINK3"/>
      <w:r/>
      <w:bookmarkStart w:id="30" w:name="OLE_LINK2"/>
      <w:r>
        <w:rPr>
          <w:rFonts w:ascii="宋体" w:hAnsi="宋体" w:eastAsia="宋体" w:cs="宋体"/>
          <w:color w:val="000000"/>
          <w:sz w:val="24"/>
        </w:rPr>
        <w:br w:type="page" w:clear="all"/>
      </w:r>
      <w:bookmarkEnd w:id="29"/>
      <w:r/>
      <w:bookmarkEnd w:id="30"/>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831"/>
        <w:jc w:val="center"/>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已标价工程量清单</w:t>
      </w:r>
      <w:r/>
    </w:p>
    <w:p>
      <w:pPr>
        <w:pStyle w:val="831"/>
        <w:jc w:val="center"/>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（根据工程量清单填列）</w:t>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技术偏离表格式</w:t>
      </w:r>
      <w:r>
        <w:rPr>
          <w:color w:val="000000"/>
        </w:rPr>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jc w:val="both"/>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Cs w:val="21"/>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2255"/>
        <w:gridCol w:w="2448"/>
        <w:gridCol w:w="1596"/>
        <w:gridCol w:w="2237"/>
      </w:tblGrid>
      <w:tr>
        <w:trPr>
          <w:trHeight w:val="87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hint="eastAsia"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必要的证明材料所在页码</w:t>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79"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55"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4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96"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37"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31"/>
        <w:jc w:val="both"/>
        <w:spacing w:before="240" w:after="24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831"/>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8"/>
        <w:gridCol w:w="2564"/>
        <w:gridCol w:w="3438"/>
        <w:gridCol w:w="1544"/>
      </w:tblGrid>
      <w:tr>
        <w:trPr>
          <w:trHeight w:val="53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w:t>
            </w:r>
            <w:r>
              <w:rPr>
                <w:rFonts w:eastAsia="宋体"/>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56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438"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44" w:type="dxa"/>
            <w:vAlign w:val="center"/>
            <w:textDirection w:val="lrTb"/>
            <w:noWrap w:val="false"/>
          </w:tcPr>
          <w:p>
            <w:pPr>
              <w:pStyle w:val="831"/>
              <w:jc w:val="both"/>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831"/>
        <w:jc w:val="both"/>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p>
    <w:p>
      <w:pPr>
        <w:pStyle w:val="831"/>
        <w:jc w:val="both"/>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831"/>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p>
    <w:p>
      <w:pPr>
        <w:pStyle w:val="831"/>
        <w:jc w:val="both"/>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31"/>
        <w:ind w:firstLine="240"/>
        <w:jc w:val="both"/>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、分包号</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8"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center"/>
            <w:textDirection w:val="lrTb"/>
            <w:noWrap w:val="false"/>
          </w:tcPr>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firstLine="4116"/>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八</w:t>
      </w:r>
      <w:r>
        <w:rPr>
          <w:rFonts w:ascii="宋体" w:hAnsi="宋体" w:eastAsia="宋体" w:cs="宋体"/>
          <w:b/>
          <w:bCs/>
          <w:color w:val="000000"/>
          <w:sz w:val="24"/>
        </w:rPr>
        <w:t xml:space="preserve">、无重大违法记录声明格式</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南京财经大学</w:t>
      </w:r>
      <w:r>
        <w:rPr>
          <w:rFonts w:ascii="宋体" w:hAnsi="宋体" w:eastAsia="宋体" w:cs="宋体"/>
          <w:color w:val="000000"/>
        </w:rPr>
        <w:t xml:space="preserve">：</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firstLine="48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831"/>
        <w:ind w:firstLine="48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831"/>
        <w:ind w:firstLine="360"/>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color w:val="000000"/>
          <w:u w:val="single"/>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48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九、</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831"/>
        <w:jc w:val="both"/>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831"/>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南京财经大学</w:t>
      </w:r>
      <w:r>
        <w:rPr>
          <w:rFonts w:ascii="宋体" w:hAnsi="宋体" w:eastAsia="宋体" w:cs="宋体"/>
          <w:color w:val="000000"/>
        </w:rPr>
        <w:t xml:space="preserve">： </w:t>
      </w:r>
      <w:r>
        <w:rPr>
          <w:color w:val="000000"/>
        </w:rPr>
      </w:r>
      <w:r/>
    </w:p>
    <w:p>
      <w:pPr>
        <w:pStyle w:val="831"/>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831"/>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hint="eastAsia" w:eastAsia="宋体"/>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31"/>
        <w:jc w:val="both"/>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（1）具有独立承担民事责任的能力（提供法人或者其他组织的营业执照，自然人的身份证明扫描件并上传至投标文件中）；</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rPr>
        <w:t xml:space="preserve">扫描件</w:t>
      </w:r>
      <w:r>
        <w:rPr>
          <w:rFonts w:hint="eastAsia" w:ascii="宋体" w:hAnsi="宋体" w:eastAsia="宋体" w:cs="宋体"/>
          <w:color w:val="000000"/>
          <w:szCs w:val="21"/>
        </w:rPr>
        <w:t xml:space="preserve">加盖公章，或提供投标截止时间前6个月内（即2025年11月以来）任意一个月的财务报表（至少包含利润表和资产负债表）扫描件，或银行出具的投标截止时间前6个月（即2025年11月以来）内资信证书扫描件，或财政部门认可的政府采购专业担保机构出具的投标担保函扫描件上传至电子投标文件中）；</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（3）具有履行合同所必需的设备和专业技术能力（根据项目需求提供履行合同所必需的设备和专业技术能力的证明材料并加盖公章的承诺书原件扫描件上传至电子投标文件）；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2025年11月以来），至少1个月缴纳税收和社会保险的凭证扫描件，依法享受免缴、缓缴的，提供证明材料扫描件上传至电子投标文件中）；</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（5）参加政府采购活动前三年内，在经营活动中没有重大违法记录（提供参加本次政府采购活动前3年内在经营活动中没有重大违法记录的书面声明上传至电子投标文件中）（格式见后附件）；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2落实政府采购政策需要满足的资格条件：本项目非专门面向中小企业采购，执行价格优惠政策。</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3采购人根据项目的特殊要求规定的特定条件：</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（1）具备施工总承包电力工程三级(含)以上或者专业承包输变电工程三级(含)以上并且具备有效的安全生产许可证。（</w:t>
      </w:r>
      <w:r>
        <w:rPr>
          <w:rFonts w:hint="eastAsia" w:ascii="宋体" w:hAnsi="宋体" w:eastAsia="宋体" w:cs="宋体"/>
          <w:color w:val="000000"/>
          <w:szCs w:val="21"/>
        </w:rPr>
        <w:t xml:space="preserve">有效期内的证书扫描件上传至电子投标文件中</w:t>
      </w:r>
      <w:r>
        <w:rPr>
          <w:rFonts w:hint="eastAsia" w:ascii="宋体" w:hAnsi="宋体" w:eastAsia="宋体" w:cs="宋体"/>
          <w:color w:val="000000"/>
          <w:szCs w:val="21"/>
        </w:rPr>
        <w:t xml:space="preserve">）</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（2）项目负责人资格：具备注册建造师证机电工程二级(含)以上并且具备有效的安全生产考核合格证书（B类证）（</w:t>
      </w:r>
      <w:r>
        <w:rPr>
          <w:rFonts w:hint="eastAsia" w:ascii="宋体" w:hAnsi="宋体" w:eastAsia="宋体" w:cs="宋体"/>
          <w:color w:val="000000"/>
          <w:szCs w:val="21"/>
        </w:rPr>
        <w:t xml:space="preserve">有效期内的证书扫描件上传至电子投标文件中</w:t>
      </w:r>
      <w:r>
        <w:rPr>
          <w:rFonts w:hint="eastAsia" w:ascii="宋体" w:hAnsi="宋体" w:eastAsia="宋体" w:cs="宋体"/>
          <w:color w:val="000000"/>
          <w:szCs w:val="21"/>
        </w:rPr>
        <w:t xml:space="preserve">）</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（3）投标人必须具有国家电力监管部门颁发的承装（修、试）电力设施许可证，许可类别和等级：承装（修、试）类三级（含）及以上资质（投标人将</w:t>
      </w:r>
      <w:r>
        <w:rPr>
          <w:rFonts w:hint="eastAsia" w:ascii="宋体" w:hAnsi="宋体" w:eastAsia="宋体" w:cs="宋体"/>
          <w:color w:val="000000"/>
          <w:szCs w:val="21"/>
        </w:rPr>
        <w:t xml:space="preserve">证书扫描件</w:t>
      </w:r>
      <w:r>
        <w:rPr>
          <w:rFonts w:hint="eastAsia" w:ascii="宋体" w:hAnsi="宋体" w:eastAsia="宋体" w:cs="宋体"/>
          <w:color w:val="000000"/>
          <w:szCs w:val="21"/>
        </w:rPr>
        <w:t xml:space="preserve">上传至投标文件中，否则视为资格审查不通过）。</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pStyle w:val="831"/>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pStyle w:val="831"/>
        <w:ind w:firstLine="420"/>
        <w:jc w:val="both"/>
        <w:spacing w:line="360" w:lineRule="auto"/>
        <w:rPr>
          <w:rFonts w:ascii="宋体" w:hAnsi="宋体" w:eastAsia="宋体" w:cs="宋体"/>
          <w:b/>
          <w:color w:val="000000"/>
          <w:sz w:val="24"/>
        </w:rP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t xml:space="preserve">附件十</w:t>
      </w:r>
      <w:r>
        <w:rPr>
          <w:rFonts w:hint="eastAsia" w:ascii="宋体" w:hAnsi="宋体" w:eastAsia="宋体" w:cs="宋体"/>
          <w:b/>
          <w:color w:val="000000"/>
          <w:sz w:val="24"/>
        </w:rPr>
        <w:t xml:space="preserve">一</w:t>
      </w:r>
      <w:r>
        <w:rPr>
          <w:rFonts w:ascii="宋体" w:hAnsi="宋体" w:eastAsia="宋体" w:cs="宋体"/>
          <w:b/>
          <w:color w:val="000000"/>
          <w:sz w:val="24"/>
        </w:rPr>
        <w:t xml:space="preserve">、中小企业声明函</w:t>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center"/>
        <w:rPr>
          <w:rFonts w:hint="eastAsia" w:cs="宋体"/>
          <w:b/>
          <w:bCs/>
          <w:color w:val="000000"/>
          <w:szCs w:val="24"/>
        </w:rPr>
      </w:pPr>
      <w:r>
        <w:rPr>
          <w:rFonts w:hint="eastAsia" w:cs="宋体"/>
          <w:b/>
          <w:bCs/>
          <w:color w:val="000000"/>
          <w:szCs w:val="24"/>
        </w:rPr>
        <w:t xml:space="preserve">中小企业声明函（工程、服务）</w:t>
      </w:r>
      <w:r/>
    </w:p>
    <w:p>
      <w:pPr>
        <w:pStyle w:val="831"/>
        <w:ind w:firstLine="480"/>
        <w:jc w:val="both"/>
        <w:spacing w:line="360" w:lineRule="auto"/>
        <w:rPr>
          <w:rFonts w:hint="eastAsia" w:cs="宋体"/>
          <w:color w:val="000000"/>
          <w:szCs w:val="24"/>
        </w:rPr>
      </w:pPr>
      <w:r>
        <w:rPr>
          <w:rFonts w:hint="eastAsia" w:cs="宋体"/>
          <w:color w:val="000000"/>
          <w:szCs w:val="24"/>
        </w:rPr>
        <w:t xml:space="preserve">本公司（联合体）郑重声明，根据《政府采购促进中小企业发展管理办法》（财库﹝</w:t>
      </w:r>
      <w:r>
        <w:rPr>
          <w:rFonts w:cs="宋体"/>
          <w:color w:val="000000"/>
          <w:szCs w:val="24"/>
        </w:rPr>
        <w:t xml:space="preserve">2020﹞46号）的规定，本公司</w:t>
      </w:r>
      <w:r>
        <w:rPr>
          <w:rFonts w:hint="eastAsia" w:cs="宋体"/>
          <w:color w:val="000000"/>
          <w:szCs w:val="24"/>
        </w:rPr>
        <w:t xml:space="preserve">（联合体）参加</w:t>
      </w:r>
      <w:r>
        <w:rPr>
          <w:rFonts w:hint="eastAsia" w:cs="宋体"/>
          <w:color w:val="000000"/>
          <w:szCs w:val="24"/>
          <w:u w:val="single"/>
        </w:rPr>
        <w:t xml:space="preserve">（单位名称）</w:t>
      </w:r>
      <w:r>
        <w:rPr>
          <w:rFonts w:hint="eastAsia" w:cs="宋体"/>
          <w:color w:val="000000"/>
          <w:szCs w:val="24"/>
        </w:rPr>
        <w:t xml:space="preserve">的</w:t>
      </w:r>
      <w:r>
        <w:rPr>
          <w:rFonts w:hint="eastAsia" w:cs="宋体"/>
          <w:color w:val="000000"/>
          <w:szCs w:val="24"/>
          <w:u w:val="single"/>
        </w:rPr>
        <w:t xml:space="preserve">（项目名称）</w:t>
      </w:r>
      <w:r>
        <w:rPr>
          <w:rFonts w:hint="eastAsia" w:cs="宋体"/>
          <w:color w:val="000000"/>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31"/>
        <w:ind w:firstLine="480"/>
        <w:jc w:val="both"/>
        <w:spacing w:line="360" w:lineRule="auto"/>
        <w:rPr>
          <w:rFonts w:hint="eastAsia" w:cs="宋体"/>
          <w:color w:val="000000"/>
          <w:szCs w:val="24"/>
          <w:u w:val="single"/>
        </w:rPr>
      </w:pPr>
      <w:r>
        <w:rPr>
          <w:rFonts w:cs="宋体"/>
          <w:color w:val="000000"/>
          <w:szCs w:val="24"/>
        </w:rPr>
        <w:t xml:space="preserve">1.</w:t>
      </w:r>
      <w:r>
        <w:rPr>
          <w:rFonts w:cs="宋体"/>
          <w:color w:val="000000"/>
          <w:szCs w:val="24"/>
          <w:u w:val="single"/>
        </w:rPr>
        <w:t xml:space="preserve">（标的名称）</w:t>
      </w:r>
      <w:r>
        <w:rPr>
          <w:rFonts w:cs="宋体"/>
          <w:color w:val="000000"/>
          <w:szCs w:val="24"/>
        </w:rPr>
        <w:t xml:space="preserve">，属于</w:t>
      </w:r>
      <w:r>
        <w:rPr>
          <w:rFonts w:cs="宋体"/>
          <w:color w:val="000000"/>
          <w:szCs w:val="24"/>
          <w:u w:val="single"/>
        </w:rPr>
        <w:t xml:space="preserve">（采购文件中明确的所属行业）</w:t>
      </w:r>
      <w:r>
        <w:rPr>
          <w:rFonts w:cs="宋体"/>
          <w:color w:val="000000"/>
          <w:szCs w:val="24"/>
        </w:rPr>
        <w:t xml:space="preserve">；</w:t>
      </w:r>
      <w:r>
        <w:rPr>
          <w:rFonts w:hint="eastAsia" w:cs="宋体"/>
          <w:color w:val="000000"/>
          <w:szCs w:val="24"/>
        </w:rPr>
        <w:t xml:space="preserve">承建（承接）企业为</w:t>
      </w:r>
      <w:r>
        <w:rPr>
          <w:rFonts w:hint="eastAsia" w:cs="宋体"/>
          <w:color w:val="000000"/>
          <w:szCs w:val="24"/>
          <w:u w:val="single"/>
        </w:rPr>
        <w:t xml:space="preserve">（企业名称）</w:t>
      </w:r>
      <w:r>
        <w:rPr>
          <w:rFonts w:hint="eastAsia" w:cs="宋体"/>
          <w:color w:val="000000"/>
          <w:szCs w:val="24"/>
        </w:rPr>
        <w:t xml:space="preserve">，从业人员</w:t>
      </w:r>
      <w:r>
        <w:rPr>
          <w:rFonts w:cs="宋体"/>
          <w:color w:val="000000"/>
          <w:szCs w:val="24"/>
          <w:u w:val="single"/>
        </w:rPr>
        <w:t xml:space="preserve">    </w:t>
      </w:r>
      <w:r>
        <w:rPr>
          <w:rFonts w:cs="宋体"/>
          <w:color w:val="000000"/>
          <w:szCs w:val="24"/>
        </w:rPr>
        <w:t xml:space="preserve">人，营业</w:t>
      </w:r>
      <w:r>
        <w:rPr>
          <w:rFonts w:hint="eastAsia" w:cs="宋体"/>
          <w:color w:val="000000"/>
          <w:szCs w:val="24"/>
        </w:rPr>
        <w:t xml:space="preserve">收入为</w:t>
      </w:r>
      <w:r>
        <w:rPr>
          <w:rFonts w:cs="宋体"/>
          <w:color w:val="000000"/>
          <w:szCs w:val="24"/>
          <w:u w:val="single"/>
        </w:rPr>
        <w:t xml:space="preserve">    </w:t>
      </w:r>
      <w:r>
        <w:rPr>
          <w:rFonts w:cs="宋体"/>
          <w:color w:val="000000"/>
          <w:szCs w:val="24"/>
        </w:rPr>
        <w:t xml:space="preserve">万元，资产总额为</w:t>
      </w:r>
      <w:r>
        <w:rPr>
          <w:rFonts w:cs="宋体"/>
          <w:color w:val="000000"/>
          <w:szCs w:val="24"/>
          <w:u w:val="single"/>
        </w:rPr>
        <w:t xml:space="preserve">    </w:t>
      </w:r>
      <w:r>
        <w:rPr>
          <w:rFonts w:cs="宋体"/>
          <w:color w:val="000000"/>
          <w:szCs w:val="24"/>
        </w:rPr>
        <w:t xml:space="preserve">万元</w:t>
      </w:r>
      <w:r>
        <w:rPr>
          <w:rFonts w:hint="eastAsia" w:cs="宋体"/>
          <w:color w:val="000000"/>
          <w:szCs w:val="24"/>
        </w:rPr>
        <w:t xml:space="preserve">，属于</w:t>
      </w:r>
      <w:r>
        <w:rPr>
          <w:rFonts w:hint="eastAsia" w:cs="宋体"/>
          <w:color w:val="000000"/>
          <w:szCs w:val="24"/>
          <w:u w:val="single"/>
        </w:rPr>
        <w:t xml:space="preserve">（中型企业、小型企业、微型企业）；</w:t>
      </w:r>
      <w:r/>
    </w:p>
    <w:p>
      <w:pPr>
        <w:pStyle w:val="831"/>
        <w:ind w:firstLine="480"/>
        <w:jc w:val="both"/>
        <w:spacing w:line="360" w:lineRule="auto"/>
        <w:rPr>
          <w:rFonts w:hint="eastAsia" w:cs="宋体"/>
          <w:color w:val="000000"/>
          <w:szCs w:val="24"/>
        </w:rPr>
      </w:pPr>
      <w:r>
        <w:rPr>
          <w:rFonts w:cs="宋体"/>
          <w:color w:val="000000"/>
          <w:szCs w:val="24"/>
        </w:rPr>
        <w:t xml:space="preserve">2.</w:t>
      </w:r>
      <w:r>
        <w:rPr>
          <w:rFonts w:cs="宋体"/>
          <w:color w:val="000000"/>
          <w:szCs w:val="24"/>
          <w:u w:val="single"/>
        </w:rPr>
        <w:t xml:space="preserve">（标的名称）</w:t>
      </w:r>
      <w:r>
        <w:rPr>
          <w:rFonts w:cs="宋体"/>
          <w:color w:val="000000"/>
          <w:szCs w:val="24"/>
        </w:rPr>
        <w:t xml:space="preserve">，属于</w:t>
      </w:r>
      <w:r>
        <w:rPr>
          <w:rFonts w:cs="宋体"/>
          <w:color w:val="000000"/>
          <w:szCs w:val="24"/>
          <w:u w:val="single"/>
        </w:rPr>
        <w:t xml:space="preserve">（采购文件中明确的所属行业）</w:t>
      </w:r>
      <w:r>
        <w:rPr>
          <w:rFonts w:cs="宋体"/>
          <w:color w:val="000000"/>
          <w:szCs w:val="24"/>
        </w:rPr>
        <w:t xml:space="preserve">；</w:t>
      </w:r>
      <w:r>
        <w:rPr>
          <w:rFonts w:hint="eastAsia" w:cs="宋体"/>
          <w:color w:val="000000"/>
          <w:szCs w:val="24"/>
        </w:rPr>
        <w:t xml:space="preserve">承建（承接）企业为</w:t>
      </w:r>
      <w:r>
        <w:rPr>
          <w:rFonts w:hint="eastAsia" w:cs="宋体"/>
          <w:color w:val="000000"/>
          <w:szCs w:val="24"/>
          <w:u w:val="single"/>
        </w:rPr>
        <w:t xml:space="preserve">（企业名称）</w:t>
      </w:r>
      <w:r>
        <w:rPr>
          <w:rFonts w:hint="eastAsia" w:cs="宋体"/>
          <w:color w:val="000000"/>
          <w:szCs w:val="24"/>
        </w:rPr>
        <w:t xml:space="preserve">，从业人员</w:t>
      </w:r>
      <w:r>
        <w:rPr>
          <w:rFonts w:cs="宋体"/>
          <w:color w:val="000000"/>
          <w:szCs w:val="24"/>
          <w:u w:val="single"/>
        </w:rPr>
        <w:t xml:space="preserve">    </w:t>
      </w:r>
      <w:r>
        <w:rPr>
          <w:rFonts w:cs="宋体"/>
          <w:color w:val="000000"/>
          <w:szCs w:val="24"/>
        </w:rPr>
        <w:t xml:space="preserve">人，营业</w:t>
      </w:r>
      <w:r>
        <w:rPr>
          <w:rFonts w:hint="eastAsia" w:cs="宋体"/>
          <w:color w:val="000000"/>
          <w:szCs w:val="24"/>
        </w:rPr>
        <w:t xml:space="preserve">收入为</w:t>
      </w:r>
      <w:r>
        <w:rPr>
          <w:rFonts w:cs="宋体"/>
          <w:color w:val="000000"/>
          <w:szCs w:val="24"/>
          <w:u w:val="single"/>
        </w:rPr>
        <w:t xml:space="preserve">    </w:t>
      </w:r>
      <w:r>
        <w:rPr>
          <w:rFonts w:cs="宋体"/>
          <w:color w:val="000000"/>
          <w:szCs w:val="24"/>
        </w:rPr>
        <w:t xml:space="preserve">万元，资产总额为</w:t>
      </w:r>
      <w:r>
        <w:rPr>
          <w:rFonts w:cs="宋体"/>
          <w:color w:val="000000"/>
          <w:szCs w:val="24"/>
          <w:u w:val="single"/>
        </w:rPr>
        <w:t xml:space="preserve">    </w:t>
      </w:r>
      <w:r>
        <w:rPr>
          <w:rFonts w:cs="宋体"/>
          <w:color w:val="000000"/>
          <w:szCs w:val="24"/>
        </w:rPr>
        <w:t xml:space="preserve">万元，属于</w:t>
      </w:r>
      <w:r>
        <w:rPr>
          <w:rFonts w:cs="宋体"/>
          <w:color w:val="000000"/>
          <w:szCs w:val="24"/>
          <w:u w:val="single"/>
        </w:rPr>
        <w:t xml:space="preserve">（中型企业、</w:t>
      </w:r>
      <w:r>
        <w:rPr>
          <w:rFonts w:hint="eastAsia" w:cs="宋体"/>
          <w:color w:val="000000"/>
          <w:szCs w:val="24"/>
          <w:u w:val="single"/>
        </w:rPr>
        <w:t xml:space="preserve">小型企业、微型企业）</w:t>
      </w:r>
      <w:r>
        <w:rPr>
          <w:rFonts w:hint="eastAsia" w:cs="宋体"/>
          <w:color w:val="000000"/>
          <w:szCs w:val="24"/>
        </w:rPr>
        <w:t xml:space="preserve">；</w:t>
      </w:r>
      <w:r/>
    </w:p>
    <w:p>
      <w:pPr>
        <w:pStyle w:val="831"/>
        <w:ind w:firstLine="480"/>
        <w:jc w:val="both"/>
        <w:spacing w:line="360" w:lineRule="auto"/>
        <w:rPr>
          <w:rFonts w:hint="eastAsia" w:cs="宋体"/>
          <w:color w:val="000000"/>
          <w:szCs w:val="24"/>
        </w:rPr>
      </w:pPr>
      <w:r>
        <w:rPr>
          <w:rFonts w:hint="eastAsia" w:cs="宋体"/>
          <w:color w:val="000000"/>
          <w:szCs w:val="24"/>
        </w:rPr>
        <w:t xml:space="preserve">……</w:t>
      </w:r>
      <w:r/>
    </w:p>
    <w:p>
      <w:pPr>
        <w:pStyle w:val="831"/>
        <w:ind w:firstLine="480"/>
        <w:jc w:val="both"/>
        <w:spacing w:line="360" w:lineRule="auto"/>
        <w:rPr>
          <w:rFonts w:hint="eastAsia" w:cs="宋体"/>
          <w:color w:val="000000"/>
          <w:szCs w:val="24"/>
        </w:rPr>
      </w:pPr>
      <w:r>
        <w:rPr>
          <w:rFonts w:hint="eastAsia" w:cs="宋体"/>
          <w:color w:val="000000"/>
          <w:szCs w:val="24"/>
        </w:rPr>
        <w:t xml:space="preserve">以上企业，不属于大企业的分支机构，不存在控股股东为大企业的情形，也不存在与大企业的负责人为同一人的情形。</w:t>
      </w:r>
      <w:r/>
    </w:p>
    <w:p>
      <w:pPr>
        <w:pStyle w:val="831"/>
        <w:ind w:firstLine="480"/>
        <w:jc w:val="both"/>
        <w:spacing w:line="360" w:lineRule="auto"/>
        <w:rPr>
          <w:rFonts w:hint="eastAsia" w:cs="宋体"/>
          <w:color w:val="000000"/>
          <w:szCs w:val="24"/>
        </w:rPr>
      </w:pPr>
      <w:r>
        <w:rPr>
          <w:rFonts w:hint="eastAsia" w:cs="宋体"/>
          <w:color w:val="000000"/>
          <w:szCs w:val="24"/>
        </w:rPr>
        <w:t xml:space="preserve">本企业对上述声明内容的真实性负责。如有虚假，将依法承担相应责任。</w:t>
      </w:r>
      <w:r/>
    </w:p>
    <w:p>
      <w:pPr>
        <w:pStyle w:val="831"/>
        <w:ind w:firstLine="480"/>
        <w:jc w:val="both"/>
        <w:spacing w:line="360" w:lineRule="auto"/>
        <w:rPr>
          <w:rFonts w:hint="eastAsia" w:cs="宋体"/>
          <w:color w:val="000000"/>
          <w:szCs w:val="24"/>
        </w:rPr>
      </w:pPr>
      <w:r>
        <w:rPr>
          <w:rFonts w:hint="eastAsia" w:cs="宋体"/>
          <w:color w:val="000000"/>
          <w:szCs w:val="24"/>
        </w:rPr>
      </w:r>
      <w:r/>
    </w:p>
    <w:p>
      <w:pPr>
        <w:pStyle w:val="831"/>
        <w:ind w:firstLine="480"/>
        <w:jc w:val="both"/>
        <w:spacing w:line="360" w:lineRule="auto"/>
        <w:rPr>
          <w:rFonts w:hint="eastAsia" w:cs="宋体"/>
          <w:color w:val="000000"/>
          <w:szCs w:val="24"/>
        </w:rPr>
      </w:pPr>
      <w:r>
        <w:rPr>
          <w:rFonts w:hint="eastAsia" w:cs="宋体"/>
          <w:color w:val="000000"/>
          <w:szCs w:val="24"/>
        </w:rPr>
      </w:r>
      <w:r/>
    </w:p>
    <w:p>
      <w:pPr>
        <w:pStyle w:val="831"/>
        <w:ind w:right="720"/>
        <w:jc w:val="both"/>
        <w:spacing w:line="360" w:lineRule="auto"/>
        <w:rPr>
          <w:rFonts w:hint="eastAsia" w:cs="宋体"/>
          <w:color w:val="000000"/>
          <w:szCs w:val="24"/>
        </w:rPr>
      </w:pPr>
      <w:r>
        <w:rPr>
          <w:rFonts w:hint="eastAsia" w:cs="宋体"/>
          <w:color w:val="000000"/>
          <w:szCs w:val="24"/>
        </w:rPr>
        <w:t xml:space="preserve">企业名称（盖章）：</w:t>
      </w:r>
      <w:r/>
    </w:p>
    <w:p>
      <w:pPr>
        <w:pStyle w:val="831"/>
        <w:ind w:right="720"/>
        <w:jc w:val="both"/>
        <w:spacing w:line="360" w:lineRule="auto"/>
        <w:rPr>
          <w:rFonts w:hint="eastAsia" w:cs="宋体"/>
          <w:color w:val="000000"/>
          <w:szCs w:val="24"/>
        </w:rPr>
      </w:pPr>
      <w:r>
        <w:rPr>
          <w:rFonts w:hint="eastAsia" w:cs="宋体"/>
          <w:color w:val="000000"/>
          <w:szCs w:val="24"/>
        </w:rPr>
      </w:r>
      <w:r/>
    </w:p>
    <w:p>
      <w:pPr>
        <w:pStyle w:val="831"/>
        <w:ind w:right="1920"/>
        <w:jc w:val="both"/>
        <w:spacing w:line="360" w:lineRule="auto"/>
        <w:rPr>
          <w:rFonts w:hint="eastAsia" w:cs="宋体"/>
          <w:color w:val="000000"/>
          <w:szCs w:val="24"/>
        </w:rPr>
      </w:pPr>
      <w:r>
        <w:rPr>
          <w:rFonts w:hint="eastAsia" w:cs="宋体"/>
          <w:color w:val="000000"/>
          <w:szCs w:val="24"/>
        </w:rPr>
        <w:t xml:space="preserve">日</w:t>
      </w:r>
      <w:r>
        <w:rPr>
          <w:rFonts w:cs="宋体"/>
          <w:color w:val="000000"/>
          <w:szCs w:val="24"/>
        </w:rPr>
        <w:t xml:space="preserve">期：</w:t>
      </w:r>
      <w:r>
        <w:rPr>
          <w:rFonts w:hint="eastAsia" w:cs="宋体"/>
          <w:color w:val="000000"/>
          <w:szCs w:val="24"/>
        </w:rPr>
      </w:r>
      <w:r/>
    </w:p>
    <w:p>
      <w:pPr>
        <w:pStyle w:val="831"/>
        <w:jc w:val="both"/>
        <w:spacing w:line="360" w:lineRule="auto"/>
        <w:rPr>
          <w:rFonts w:hint="eastAsia" w:cs="宋体"/>
          <w:color w:val="000000"/>
          <w:szCs w:val="24"/>
        </w:rPr>
      </w:pPr>
      <w:r>
        <w:rPr>
          <w:rFonts w:cs="宋体"/>
          <w:color w:val="000000"/>
          <w:szCs w:val="24"/>
        </w:rPr>
        <w:t xml:space="preserve">注：</w:t>
      </w:r>
      <w:r>
        <w:rPr>
          <w:rFonts w:hint="eastAsia" w:cs="宋体"/>
          <w:color w:val="000000"/>
          <w:szCs w:val="24"/>
        </w:rPr>
      </w:r>
      <w:r/>
    </w:p>
    <w:p>
      <w:pPr>
        <w:pStyle w:val="831"/>
        <w:jc w:val="both"/>
        <w:spacing w:line="360" w:lineRule="auto"/>
        <w:rPr>
          <w:rFonts w:hint="eastAsia"/>
          <w:b/>
          <w:bCs/>
          <w:color w:val="000000"/>
          <w:szCs w:val="24"/>
          <w:lang w:val="zh-CN" w:bidi="en-US"/>
        </w:rPr>
      </w:pPr>
      <w:r>
        <w:rPr>
          <w:rFonts w:cs="宋体"/>
          <w:color w:val="000000"/>
          <w:szCs w:val="24"/>
        </w:rPr>
        <w:t xml:space="preserve">以上内容须填写完整并盖章。</w:t>
      </w:r>
      <w:r>
        <w:rPr>
          <w:rFonts w:hint="eastAsia"/>
          <w:b/>
          <w:bCs/>
          <w:color w:val="000000"/>
          <w:szCs w:val="24"/>
          <w:lang w:val="zh-CN" w:bidi="en-US"/>
        </w:rPr>
      </w:r>
      <w:r/>
    </w:p>
    <w:p>
      <w:pPr>
        <w:pStyle w:val="831"/>
        <w:spacing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t xml:space="preserve">附件十</w:t>
      </w:r>
      <w:r>
        <w:rPr>
          <w:rFonts w:hint="eastAsia" w:ascii="宋体" w:hAnsi="宋体" w:eastAsia="宋体" w:cs="宋体"/>
          <w:b/>
          <w:color w:val="000000"/>
          <w:sz w:val="24"/>
        </w:rPr>
        <w:t xml:space="preserve">二</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ind w:right="112" w:firstLine="420"/>
        <w:jc w:val="both"/>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pStyle w:val="831"/>
        <w:ind w:right="112" w:firstLine="420"/>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831"/>
        <w:jc w:val="both"/>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投标单位（盖章）：</w:t>
      </w:r>
      <w:r>
        <w:rPr>
          <w:rFonts w:ascii="宋体" w:hAnsi="宋体" w:eastAsia="宋体" w:cs="宋体"/>
          <w:color w:val="000000"/>
          <w:u w:val="single"/>
        </w:rPr>
        <w:t xml:space="preserve">                      </w:t>
      </w:r>
      <w:r>
        <w:rPr>
          <w:color w:val="000000"/>
        </w:rPr>
      </w:r>
      <w:r/>
    </w:p>
    <w:p>
      <w:pPr>
        <w:pStyle w:val="831"/>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831"/>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三</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831"/>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831"/>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ascii="宋体" w:hAnsi="宋体" w:eastAsia="宋体" w:cs="宋体"/>
          <w:color w:val="000000"/>
        </w:rPr>
        <w:t xml:space="preserve">扫描件</w:t>
      </w:r>
      <w:r>
        <w:rPr>
          <w:rFonts w:ascii="宋体" w:hAnsi="宋体" w:eastAsia="宋体" w:cs="宋体"/>
          <w:color w:val="000000"/>
        </w:rPr>
        <w:t xml:space="preserve">为准。</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831"/>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831"/>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ascii="宋体" w:hAnsi="宋体" w:eastAsia="宋体" w:cs="宋体"/>
          <w:color w:val="000000"/>
        </w:rPr>
        <w:t xml:space="preserve">扫描件</w:t>
      </w:r>
      <w:r>
        <w:rPr>
          <w:rFonts w:ascii="宋体" w:hAnsi="宋体" w:eastAsia="宋体" w:cs="宋体"/>
          <w:color w:val="000000"/>
        </w:rPr>
        <w:t xml:space="preserve">为准。</w:t>
      </w:r>
      <w:r>
        <w:rPr>
          <w:color w:val="000000"/>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附件十六、</w:t>
      </w:r>
      <w:r>
        <w:rPr>
          <w:rFonts w:ascii="宋体" w:hAnsi="宋体" w:eastAsia="宋体" w:cs="宋体"/>
          <w:b/>
          <w:color w:val="000000"/>
          <w:sz w:val="24"/>
        </w:rPr>
        <w:t xml:space="preserve">其他</w:t>
      </w:r>
      <w:r>
        <w:rPr>
          <w:color w:val="000000"/>
        </w:rPr>
      </w:r>
      <w:r/>
    </w:p>
    <w:p>
      <w:pPr>
        <w:pStyle w:val="831"/>
        <w:ind w:right="633"/>
        <w:jc w:val="both"/>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831"/>
        <w:ind w:right="633"/>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十七</w:t>
      </w:r>
      <w:r>
        <w:rPr>
          <w:rFonts w:ascii="宋体" w:hAnsi="宋体" w:eastAsia="宋体" w:cs="宋体"/>
          <w:b/>
          <w:color w:val="000000"/>
          <w:sz w:val="24"/>
        </w:rPr>
        <w:t xml:space="preserve">、技术部分</w:t>
      </w:r>
      <w:r>
        <w:rPr>
          <w:color w:val="000000"/>
        </w:rPr>
      </w:r>
      <w:r/>
    </w:p>
    <w:p>
      <w:pPr>
        <w:pStyle w:val="831"/>
        <w:ind w:right="633"/>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831"/>
        <w:ind w:right="633"/>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t xml:space="preserve">附件十八、相关承诺</w:t>
      </w:r>
      <w:r/>
    </w:p>
    <w:p>
      <w:pPr>
        <w:pStyle w:val="860"/>
        <w:ind w:left="0" w:right="1470"/>
        <w:jc w:val="both"/>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ascii="宋体" w:hAnsi="宋体" w:eastAsia="宋体" w:cs="宋体"/>
          <w:bCs/>
          <w:color w:val="000000"/>
          <w:sz w:val="21"/>
          <w:szCs w:val="21"/>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p>
      <w:pPr>
        <w:pStyle w:val="860"/>
        <w:ind w:left="0" w:right="1470"/>
        <w:jc w:val="both"/>
        <w:rPr>
          <w:rFonts w:hint="eastAsia" w:ascii="宋体" w:hAnsi="宋体" w:eastAsia="宋体" w:cs="宋体"/>
          <w:b/>
          <w:color w:val="000000"/>
        </w:rPr>
      </w:pPr>
      <w:r>
        <w:rPr>
          <w:rFonts w:hint="eastAsia" w:ascii="宋体" w:hAnsi="宋体" w:eastAsia="宋体" w:cs="宋体"/>
          <w:b/>
          <w:color w:val="000000"/>
        </w:rPr>
      </w:r>
      <w:r/>
    </w:p>
    <w:sectPr>
      <w:footerReference w:type="default" r:id="rId12"/>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2</w:t>
                          </w:r>
                          <w:r>
                            <w:fldChar w:fldCharType="end"/>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2</w:t>
                    </w:r>
                    <w:r>
                      <w:fldChar w:fldCharType="end"/>
                    </w:r>
                    <w:r/>
                  </w:p>
                  <w:p>
                    <w:pPr>
                      <w:pStyle w:val="8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rPr>
        <w:rStyle w:val="906"/>
      </w:rPr>
      <w:framePr w:wrap="around" w:vAnchor="text" w:hAnchor="margin" w:xAlign="center" w:y="1"/>
    </w:pPr>
    <w:r>
      <w:fldChar w:fldCharType="begin"/>
    </w:r>
    <w:r>
      <w:rPr>
        <w:rStyle w:val="906"/>
      </w:rPr>
      <w:instrText xml:space="preserve">PAGE  </w:instrText>
    </w:r>
    <w:r>
      <w:fldChar w:fldCharType="end"/>
    </w:r>
    <w:r>
      <w:rPr>
        <w:rStyle w:val="906"/>
      </w:rPr>
    </w:r>
    <w:r/>
  </w:p>
  <w:p>
    <w:pPr>
      <w:pStyle w:val="105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51</w:t>
                          </w:r>
                          <w:r>
                            <w:fldChar w:fldCharType="end"/>
                          </w:r>
                          <w:r/>
                        </w:p>
                        <w:p>
                          <w:pPr>
                            <w:pStyle w:val="83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51</w:t>
                    </w:r>
                    <w:r>
                      <w:fldChar w:fldCharType="end"/>
                    </w:r>
                    <w:r/>
                  </w:p>
                  <w:p>
                    <w:pPr>
                      <w:pStyle w:val="831"/>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831"/>
                          </w:pPr>
                          <w:r/>
                          <w:r/>
                        </w:p>
                        <w:p>
                          <w:pPr>
                            <w:pStyle w:val="831"/>
                          </w:pPr>
                          <w:r/>
                          <w:r/>
                        </w:p>
                        <w:p>
                          <w:pPr>
                            <w:pStyle w:val="83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831"/>
                    </w:pPr>
                    <w:r/>
                    <w:r/>
                  </w:p>
                  <w:p>
                    <w:pPr>
                      <w:pStyle w:val="831"/>
                    </w:pPr>
                    <w:r/>
                    <w:r/>
                  </w:p>
                  <w:p>
                    <w:pPr>
                      <w:pStyle w:val="831"/>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1"/>
      </w:pPr>
    </w:lvl>
    <w:lvl w:ilvl="1">
      <w:start w:val="1"/>
      <w:numFmt w:val="bullet"/>
      <w:isLgl w:val="false"/>
      <w:suff w:val="tab"/>
      <w:lvlText w:val="o"/>
      <w:lvlJc w:val="left"/>
      <w:pPr>
        <w:pStyle w:val="831"/>
        <w:ind w:left="1440" w:hanging="360"/>
      </w:pPr>
      <w:rPr>
        <w:rFonts w:ascii="Courier New" w:hAnsi="Courier New" w:eastAsia="Courier New" w:cs="Courier New"/>
      </w:rPr>
    </w:lvl>
    <w:lvl w:ilvl="2">
      <w:start w:val="1"/>
      <w:numFmt w:val="bullet"/>
      <w:isLgl w:val="false"/>
      <w:suff w:val="tab"/>
      <w:lvlText w:val="§"/>
      <w:lvlJc w:val="left"/>
      <w:pPr>
        <w:pStyle w:val="831"/>
        <w:ind w:left="2160" w:hanging="360"/>
      </w:pPr>
      <w:rPr>
        <w:rFonts w:ascii="Wingdings" w:hAnsi="Wingdings" w:eastAsia="Wingdings" w:cs="Wingdings"/>
      </w:rPr>
    </w:lvl>
    <w:lvl w:ilvl="3">
      <w:start w:val="1"/>
      <w:numFmt w:val="bullet"/>
      <w:isLgl w:val="false"/>
      <w:suff w:val="tab"/>
      <w:lvlText w:val="·"/>
      <w:lvlJc w:val="left"/>
      <w:pPr>
        <w:pStyle w:val="831"/>
        <w:ind w:left="2880" w:hanging="360"/>
      </w:pPr>
      <w:rPr>
        <w:rFonts w:ascii="Symbol" w:hAnsi="Symbol" w:eastAsia="Symbol" w:cs="Symbol"/>
      </w:rPr>
    </w:lvl>
    <w:lvl w:ilvl="4">
      <w:start w:val="1"/>
      <w:numFmt w:val="bullet"/>
      <w:isLgl w:val="false"/>
      <w:suff w:val="tab"/>
      <w:lvlText w:val="o"/>
      <w:lvlJc w:val="left"/>
      <w:pPr>
        <w:pStyle w:val="831"/>
        <w:ind w:left="3600" w:hanging="360"/>
      </w:pPr>
      <w:rPr>
        <w:rFonts w:ascii="Courier New" w:hAnsi="Courier New" w:eastAsia="Courier New" w:cs="Courier New"/>
      </w:rPr>
    </w:lvl>
    <w:lvl w:ilvl="5">
      <w:start w:val="1"/>
      <w:numFmt w:val="bullet"/>
      <w:isLgl w:val="false"/>
      <w:suff w:val="tab"/>
      <w:lvlText w:val="§"/>
      <w:lvlJc w:val="left"/>
      <w:pPr>
        <w:pStyle w:val="831"/>
        <w:ind w:left="4320" w:hanging="360"/>
      </w:pPr>
      <w:rPr>
        <w:rFonts w:ascii="Wingdings" w:hAnsi="Wingdings" w:eastAsia="Wingdings" w:cs="Wingdings"/>
      </w:rPr>
    </w:lvl>
    <w:lvl w:ilvl="6">
      <w:start w:val="1"/>
      <w:numFmt w:val="bullet"/>
      <w:isLgl w:val="false"/>
      <w:suff w:val="tab"/>
      <w:lvlText w:val="·"/>
      <w:lvlJc w:val="left"/>
      <w:pPr>
        <w:pStyle w:val="831"/>
        <w:ind w:left="5040" w:hanging="360"/>
      </w:pPr>
      <w:rPr>
        <w:rFonts w:ascii="Symbol" w:hAnsi="Symbol" w:eastAsia="Symbol" w:cs="Symbol"/>
      </w:rPr>
    </w:lvl>
    <w:lvl w:ilvl="7">
      <w:start w:val="1"/>
      <w:numFmt w:val="bullet"/>
      <w:isLgl w:val="false"/>
      <w:suff w:val="tab"/>
      <w:lvlText w:val="o"/>
      <w:lvlJc w:val="left"/>
      <w:pPr>
        <w:pStyle w:val="831"/>
        <w:ind w:left="5760" w:hanging="360"/>
      </w:pPr>
      <w:rPr>
        <w:rFonts w:ascii="Courier New" w:hAnsi="Courier New" w:eastAsia="Courier New" w:cs="Courier New"/>
      </w:rPr>
    </w:lvl>
    <w:lvl w:ilvl="8">
      <w:start w:val="1"/>
      <w:numFmt w:val="bullet"/>
      <w:isLgl w:val="false"/>
      <w:suff w:val="tab"/>
      <w:lvlText w:val="§"/>
      <w:lvlJc w:val="left"/>
      <w:pPr>
        <w:pStyle w:val="831"/>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pStyle w:val="831"/>
        <w:tabs>
          <w:tab w:val="num" w:pos="360" w:leader="none"/>
        </w:tabs>
      </w:pPr>
    </w:lvl>
    <w:lvl w:ilvl="1">
      <w:start w:val="1"/>
      <w:numFmt w:val="decimal"/>
      <w:pStyle w:val="911"/>
      <w:isLgl w:val="false"/>
      <w:suff w:val="nothing"/>
      <w:lvlText w:val="%1%2　"/>
      <w:lvlJc w:val="left"/>
      <w:pPr>
        <w:pStyle w:val="831"/>
        <w:ind w:left="0" w:firstLine="0"/>
      </w:pPr>
      <w:rPr>
        <w:rFonts w:hint="eastAsia" w:ascii="Tahoma" w:hAnsi="Tahoma" w:eastAsia="Tahoma"/>
        <w:b/>
        <w:i w:val="0"/>
        <w:sz w:val="21"/>
      </w:rPr>
    </w:lvl>
    <w:lvl w:ilvl="2">
      <w:start w:val="1"/>
      <w:numFmt w:val="decimal"/>
      <w:pStyle w:val="910"/>
      <w:isLgl w:val="false"/>
      <w:suff w:val="nothing"/>
      <w:lvlText w:val="%1%2.%3　"/>
      <w:lvlJc w:val="left"/>
      <w:pPr>
        <w:pStyle w:val="831"/>
        <w:ind w:left="0" w:firstLine="0"/>
      </w:pPr>
      <w:rPr>
        <w:rFonts w:hint="eastAsia" w:ascii="Tahoma" w:hAnsi="Tahoma" w:eastAsia="Tahoma"/>
        <w:b/>
        <w:i w:val="0"/>
        <w:sz w:val="21"/>
      </w:rPr>
    </w:lvl>
    <w:lvl w:ilvl="3">
      <w:start w:val="1"/>
      <w:numFmt w:val="decimal"/>
      <w:isLgl w:val="false"/>
      <w:suff w:val="nothing"/>
      <w:lvlText w:val="%1%2.%3.%4　"/>
      <w:lvlJc w:val="left"/>
      <w:pPr>
        <w:pStyle w:val="831"/>
        <w:ind w:left="420" w:firstLine="0"/>
      </w:pPr>
      <w:rPr>
        <w:rFonts w:hint="eastAsia" w:ascii="Tahoma" w:hAnsi="Tahoma" w:eastAsia="Tahoma"/>
        <w:b/>
        <w:i w:val="0"/>
        <w:sz w:val="21"/>
      </w:rPr>
    </w:lvl>
    <w:lvl w:ilvl="4">
      <w:start w:val="1"/>
      <w:numFmt w:val="decimal"/>
      <w:isLgl w:val="false"/>
      <w:suff w:val="nothing"/>
      <w:lvlText w:val="%1%2.%3.%4.%5　"/>
      <w:lvlJc w:val="left"/>
      <w:pPr>
        <w:pStyle w:val="831"/>
        <w:ind w:left="142" w:firstLine="0"/>
      </w:pPr>
      <w:rPr>
        <w:rFonts w:hint="eastAsia" w:ascii="Tahoma" w:hAnsi="Tahoma" w:eastAsia="Tahoma"/>
        <w:b/>
        <w:i w:val="0"/>
        <w:sz w:val="21"/>
      </w:rPr>
    </w:lvl>
    <w:lvl w:ilvl="5">
      <w:start w:val="1"/>
      <w:numFmt w:val="decimal"/>
      <w:isLgl w:val="false"/>
      <w:suff w:val="nothing"/>
      <w:lvlText w:val="%1%2.%3.%4.%5.%6　"/>
      <w:lvlJc w:val="left"/>
      <w:pPr>
        <w:pStyle w:val="831"/>
        <w:ind w:left="0" w:firstLine="0"/>
      </w:pPr>
      <w:rPr>
        <w:rFonts w:hint="eastAsia" w:ascii="Arial" w:hAnsi="宋体" w:eastAsia="Arial"/>
        <w:b w:val="0"/>
        <w:i w:val="0"/>
        <w:sz w:val="21"/>
      </w:rPr>
    </w:lvl>
    <w:lvl w:ilvl="6">
      <w:start w:val="1"/>
      <w:numFmt w:val="decimal"/>
      <w:isLgl w:val="false"/>
      <w:suff w:val="nothing"/>
      <w:lvlText w:val="%1%2.%3.%4.%5.%6.%7　"/>
      <w:lvlJc w:val="left"/>
      <w:pPr>
        <w:pStyle w:val="831"/>
        <w:ind w:left="0" w:firstLine="0"/>
      </w:pPr>
      <w:rPr>
        <w:rFonts w:hint="eastAsia" w:ascii="Arial" w:hAnsi="宋体" w:eastAsia="Arial"/>
        <w:b w:val="0"/>
        <w:i w:val="0"/>
        <w:sz w:val="21"/>
      </w:rPr>
    </w:lvl>
    <w:lvl w:ilvl="7">
      <w:start w:val="1"/>
      <w:numFmt w:val="decimal"/>
      <w:isLgl w:val="false"/>
      <w:suff w:val="tab"/>
      <w:lvlText w:val="%1.%2.%3.%4.%5.%6.%7.%8"/>
      <w:lvlJc w:val="left"/>
      <w:pPr>
        <w:pStyle w:val="831"/>
        <w:ind w:left="3969" w:hanging="1418"/>
        <w:tabs>
          <w:tab w:val="num" w:pos="4351" w:leader="none"/>
        </w:tabs>
      </w:pPr>
      <w:rPr>
        <w:rFonts w:hint="eastAsia"/>
      </w:rPr>
    </w:lvl>
    <w:lvl w:ilvl="8">
      <w:start w:val="1"/>
      <w:numFmt w:val="decimal"/>
      <w:isLgl w:val="false"/>
      <w:suff w:val="tab"/>
      <w:lvlText w:val="%1.%2.%3.%4.%5.%6.%7.%8.%9"/>
      <w:lvlJc w:val="left"/>
      <w:pPr>
        <w:pStyle w:val="831"/>
        <w:ind w:left="4677" w:hanging="1700"/>
        <w:tabs>
          <w:tab w:val="num" w:pos="4777" w:leader="none"/>
        </w:tabs>
      </w:pPr>
      <w:rPr>
        <w:rFonts w:hint="eastAsia"/>
      </w:rPr>
    </w:lvl>
  </w:abstractNum>
  <w:abstractNum w:abstractNumId="3">
    <w:multiLevelType w:val="hybridMultilevel"/>
    <w:lvl w:ilvl="0">
      <w:start w:val="2"/>
      <w:numFmt w:val="chineseCounting"/>
      <w:isLgl w:val="false"/>
      <w:suff w:val="space"/>
      <w:lvlText w:val="第%1章"/>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8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831"/>
    <w:next w:val="831"/>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831"/>
    <w:next w:val="831"/>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831"/>
    <w:next w:val="831"/>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831"/>
    <w:next w:val="831"/>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831"/>
    <w:next w:val="831"/>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831"/>
    <w:next w:val="831"/>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831"/>
    <w:next w:val="831"/>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831"/>
    <w:next w:val="831"/>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831"/>
    <w:next w:val="831"/>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831"/>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831"/>
    <w:next w:val="831"/>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831"/>
    <w:next w:val="831"/>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831"/>
    <w:next w:val="831"/>
    <w:link w:val="804"/>
    <w:uiPriority w:val="29"/>
    <w:qFormat/>
    <w:pPr>
      <w:ind w:left="720" w:right="720"/>
    </w:pPr>
    <w:rPr>
      <w:i/>
    </w:rPr>
  </w:style>
  <w:style w:type="character" w:styleId="804">
    <w:name w:val="Quote Char"/>
    <w:link w:val="803"/>
    <w:uiPriority w:val="29"/>
    <w:rPr>
      <w:i/>
    </w:rPr>
  </w:style>
  <w:style w:type="paragraph" w:styleId="805">
    <w:name w:val="Intense Quote"/>
    <w:basedOn w:val="831"/>
    <w:next w:val="831"/>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831"/>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831"/>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831"/>
    <w:next w:val="831"/>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Hyperlink"/>
    <w:uiPriority w:val="99"/>
    <w:unhideWhenUsed/>
    <w:rPr>
      <w:color w:val="0000ff" w:themeColor="hyperlink"/>
      <w:u w:val="single"/>
    </w:rPr>
  </w:style>
  <w:style w:type="paragraph" w:styleId="815">
    <w:name w:val="footnote text"/>
    <w:basedOn w:val="831"/>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basedOn w:val="831"/>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basedOn w:val="831"/>
    <w:next w:val="831"/>
    <w:uiPriority w:val="39"/>
    <w:unhideWhenUsed/>
    <w:pPr>
      <w:ind w:left="0" w:right="0" w:firstLine="0"/>
      <w:spacing w:after="57"/>
    </w:pPr>
  </w:style>
  <w:style w:type="paragraph" w:styleId="822">
    <w:name w:val="toc 2"/>
    <w:basedOn w:val="831"/>
    <w:next w:val="831"/>
    <w:uiPriority w:val="39"/>
    <w:unhideWhenUsed/>
    <w:pPr>
      <w:ind w:left="283" w:right="0" w:firstLine="0"/>
      <w:spacing w:after="57"/>
    </w:pPr>
  </w:style>
  <w:style w:type="paragraph" w:styleId="823">
    <w:name w:val="toc 3"/>
    <w:basedOn w:val="831"/>
    <w:next w:val="831"/>
    <w:uiPriority w:val="39"/>
    <w:unhideWhenUsed/>
    <w:pPr>
      <w:ind w:left="567" w:right="0" w:firstLine="0"/>
      <w:spacing w:after="57"/>
    </w:pPr>
  </w:style>
  <w:style w:type="paragraph" w:styleId="824">
    <w:name w:val="toc 4"/>
    <w:basedOn w:val="831"/>
    <w:next w:val="831"/>
    <w:uiPriority w:val="39"/>
    <w:unhideWhenUsed/>
    <w:pPr>
      <w:ind w:left="850" w:right="0" w:firstLine="0"/>
      <w:spacing w:after="57"/>
    </w:pPr>
  </w:style>
  <w:style w:type="paragraph" w:styleId="825">
    <w:name w:val="toc 5"/>
    <w:basedOn w:val="831"/>
    <w:next w:val="831"/>
    <w:uiPriority w:val="39"/>
    <w:unhideWhenUsed/>
    <w:pPr>
      <w:ind w:left="1134" w:right="0" w:firstLine="0"/>
      <w:spacing w:after="57"/>
    </w:pPr>
  </w:style>
  <w:style w:type="paragraph" w:styleId="826">
    <w:name w:val="toc 6"/>
    <w:basedOn w:val="831"/>
    <w:next w:val="831"/>
    <w:uiPriority w:val="39"/>
    <w:unhideWhenUsed/>
    <w:pPr>
      <w:ind w:left="1417" w:right="0" w:firstLine="0"/>
      <w:spacing w:after="57"/>
    </w:pPr>
  </w:style>
  <w:style w:type="paragraph" w:styleId="827">
    <w:name w:val="toc 7"/>
    <w:basedOn w:val="831"/>
    <w:next w:val="831"/>
    <w:uiPriority w:val="39"/>
    <w:unhideWhenUsed/>
    <w:pPr>
      <w:ind w:left="1701" w:right="0" w:firstLine="0"/>
      <w:spacing w:after="57"/>
    </w:pPr>
  </w:style>
  <w:style w:type="paragraph" w:styleId="828">
    <w:name w:val="toc 8"/>
    <w:basedOn w:val="831"/>
    <w:next w:val="831"/>
    <w:uiPriority w:val="39"/>
    <w:unhideWhenUsed/>
    <w:pPr>
      <w:ind w:left="1984" w:right="0" w:firstLine="0"/>
      <w:spacing w:after="57"/>
    </w:pPr>
  </w:style>
  <w:style w:type="paragraph" w:styleId="829">
    <w:name w:val="toc 9"/>
    <w:basedOn w:val="831"/>
    <w:next w:val="831"/>
    <w:uiPriority w:val="39"/>
    <w:unhideWhenUsed/>
    <w:pPr>
      <w:ind w:left="2268" w:right="0" w:firstLine="0"/>
      <w:spacing w:after="57"/>
    </w:pPr>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rPr>
      <w:rFonts w:eastAsia="Arial"/>
      <w:sz w:val="21"/>
      <w:szCs w:val="22"/>
      <w:lang w:val="en-US" w:eastAsia="zh-CN" w:bidi="ar-SA"/>
    </w:rPr>
  </w:style>
  <w:style w:type="paragraph" w:styleId="832">
    <w:name w:val="标题 1"/>
    <w:basedOn w:val="831"/>
    <w:next w:val="831"/>
    <w:link w:val="844"/>
    <w:uiPriority w:val="9"/>
    <w:qFormat/>
    <w:pPr>
      <w:keepLines/>
      <w:keepNext/>
      <w:spacing w:before="480" w:after="200"/>
      <w:outlineLvl w:val="0"/>
    </w:pPr>
    <w:rPr>
      <w:rFonts w:ascii="Arial" w:hAnsi="Arial" w:eastAsia="Arial"/>
      <w:sz w:val="40"/>
      <w:szCs w:val="40"/>
      <w:lang w:val="en-US" w:eastAsia="zh-CN" w:bidi="ar-SA"/>
    </w:rPr>
  </w:style>
  <w:style w:type="paragraph" w:styleId="833">
    <w:name w:val="标题 2"/>
    <w:basedOn w:val="831"/>
    <w:next w:val="831"/>
    <w:link w:val="845"/>
    <w:uiPriority w:val="9"/>
    <w:qFormat/>
    <w:pPr>
      <w:keepLines/>
      <w:keepNext/>
      <w:spacing w:before="360" w:after="200"/>
      <w:outlineLvl w:val="1"/>
    </w:pPr>
    <w:rPr>
      <w:rFonts w:ascii="Arial" w:hAnsi="Arial" w:eastAsia="Arial"/>
      <w:sz w:val="34"/>
      <w:lang w:val="en-US" w:eastAsia="zh-CN" w:bidi="ar-SA"/>
    </w:rPr>
  </w:style>
  <w:style w:type="paragraph" w:styleId="834">
    <w:name w:val="标题 3"/>
    <w:basedOn w:val="831"/>
    <w:next w:val="831"/>
    <w:link w:val="846"/>
    <w:uiPriority w:val="9"/>
    <w:qFormat/>
    <w:pPr>
      <w:keepLines/>
      <w:keepNext/>
      <w:spacing w:before="320" w:after="200"/>
      <w:outlineLvl w:val="2"/>
    </w:pPr>
    <w:rPr>
      <w:rFonts w:ascii="Arial" w:hAnsi="Arial" w:eastAsia="Arial"/>
      <w:sz w:val="30"/>
      <w:szCs w:val="30"/>
      <w:lang w:val="en-US" w:eastAsia="zh-CN" w:bidi="ar-SA"/>
    </w:rPr>
  </w:style>
  <w:style w:type="paragraph" w:styleId="835">
    <w:name w:val="标题 4"/>
    <w:basedOn w:val="831"/>
    <w:next w:val="831"/>
    <w:link w:val="847"/>
    <w:uiPriority w:val="9"/>
    <w:qFormat/>
    <w:pPr>
      <w:keepLines/>
      <w:keepNext/>
      <w:spacing w:before="320" w:after="200"/>
      <w:outlineLvl w:val="3"/>
    </w:pPr>
    <w:rPr>
      <w:rFonts w:ascii="Arial" w:hAnsi="Arial"/>
      <w:b/>
      <w:bCs/>
      <w:sz w:val="26"/>
      <w:szCs w:val="26"/>
    </w:rPr>
  </w:style>
  <w:style w:type="paragraph" w:styleId="836">
    <w:name w:val="标题 5"/>
    <w:next w:val="831"/>
    <w:link w:val="848"/>
    <w:uiPriority w:val="9"/>
    <w:qFormat/>
    <w:pPr>
      <w:keepLines/>
      <w:keepNext/>
      <w:spacing w:before="320" w:after="200"/>
      <w:outlineLvl w:val="4"/>
    </w:pPr>
    <w:rPr>
      <w:rFonts w:ascii="Arial" w:hAnsi="Arial" w:eastAsia="Arial"/>
      <w:b/>
      <w:bCs/>
      <w:sz w:val="24"/>
      <w:szCs w:val="24"/>
      <w:lang w:val="en-US" w:eastAsia="zh-CN" w:bidi="ar-SA"/>
    </w:rPr>
  </w:style>
  <w:style w:type="paragraph" w:styleId="837">
    <w:name w:val="标题 6"/>
    <w:next w:val="831"/>
    <w:link w:val="849"/>
    <w:uiPriority w:val="9"/>
    <w:qFormat/>
    <w:pPr>
      <w:keepLines/>
      <w:keepNext/>
      <w:spacing w:before="320" w:after="200"/>
      <w:outlineLvl w:val="5"/>
    </w:pPr>
    <w:rPr>
      <w:rFonts w:ascii="Arial" w:hAnsi="Arial" w:eastAsia="Arial"/>
      <w:b/>
      <w:bCs/>
      <w:sz w:val="22"/>
      <w:szCs w:val="22"/>
      <w:lang w:val="en-US" w:eastAsia="zh-CN" w:bidi="ar-SA"/>
    </w:rPr>
  </w:style>
  <w:style w:type="paragraph" w:styleId="838">
    <w:name w:val="标题 7"/>
    <w:next w:val="831"/>
    <w:link w:val="850"/>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839">
    <w:name w:val="标题 8"/>
    <w:next w:val="831"/>
    <w:link w:val="851"/>
    <w:uiPriority w:val="9"/>
    <w:qFormat/>
    <w:pPr>
      <w:keepLines/>
      <w:keepNext/>
      <w:spacing w:before="320" w:after="200"/>
      <w:outlineLvl w:val="7"/>
    </w:pPr>
    <w:rPr>
      <w:rFonts w:ascii="Arial" w:hAnsi="Arial" w:eastAsia="Arial"/>
      <w:i/>
      <w:iCs/>
      <w:sz w:val="22"/>
      <w:szCs w:val="22"/>
      <w:lang w:val="en-US" w:eastAsia="zh-CN" w:bidi="ar-SA"/>
    </w:rPr>
  </w:style>
  <w:style w:type="paragraph" w:styleId="840">
    <w:name w:val="标题 9"/>
    <w:next w:val="831"/>
    <w:link w:val="852"/>
    <w:uiPriority w:val="9"/>
    <w:qFormat/>
    <w:pPr>
      <w:keepLines/>
      <w:keepNext/>
      <w:spacing w:before="320" w:after="200"/>
      <w:outlineLvl w:val="8"/>
    </w:pPr>
    <w:rPr>
      <w:rFonts w:ascii="Arial" w:hAnsi="Arial" w:eastAsia="Arial"/>
      <w:i/>
      <w:iCs/>
      <w:sz w:val="21"/>
      <w:szCs w:val="21"/>
      <w:lang w:val="en-US" w:eastAsia="zh-CN" w:bidi="ar-SA"/>
    </w:rPr>
  </w:style>
  <w:style w:type="character" w:styleId="841">
    <w:name w:val="默认段落字体"/>
    <w:next w:val="841"/>
    <w:link w:val="831"/>
    <w:uiPriority w:val="1"/>
    <w:unhideWhenUsed/>
    <w:qFormat/>
  </w:style>
  <w:style w:type="table" w:styleId="842">
    <w:name w:val="普通表格"/>
    <w:next w:val="842"/>
    <w:link w:val="831"/>
    <w:uiPriority w:val="99"/>
    <w:unhideWhenUsed/>
    <w:qFormat/>
    <w:tblPr/>
  </w:style>
  <w:style w:type="numbering" w:styleId="843">
    <w:name w:val="无列表"/>
    <w:next w:val="843"/>
    <w:link w:val="831"/>
    <w:uiPriority w:val="99"/>
    <w:semiHidden/>
    <w:unhideWhenUsed/>
  </w:style>
  <w:style w:type="character" w:styleId="844">
    <w:name w:val="标题 1 Char"/>
    <w:next w:val="844"/>
    <w:link w:val="832"/>
    <w:uiPriority w:val="9"/>
    <w:qFormat/>
    <w:rPr>
      <w:rFonts w:ascii="Arial" w:hAnsi="Arial" w:eastAsia="Arial"/>
      <w:sz w:val="40"/>
      <w:szCs w:val="40"/>
      <w:lang w:bidi="ar-SA"/>
    </w:rPr>
  </w:style>
  <w:style w:type="character" w:styleId="845">
    <w:name w:val="标题 2 Char"/>
    <w:next w:val="845"/>
    <w:link w:val="833"/>
    <w:uiPriority w:val="9"/>
    <w:qFormat/>
    <w:rPr>
      <w:rFonts w:ascii="Arial" w:hAnsi="Arial" w:eastAsia="Arial"/>
      <w:sz w:val="34"/>
      <w:lang w:bidi="ar-SA"/>
    </w:rPr>
  </w:style>
  <w:style w:type="character" w:styleId="846">
    <w:name w:val="标题 3 Char"/>
    <w:next w:val="846"/>
    <w:link w:val="834"/>
    <w:uiPriority w:val="9"/>
    <w:qFormat/>
    <w:rPr>
      <w:rFonts w:ascii="Arial" w:hAnsi="Arial" w:eastAsia="Arial"/>
      <w:sz w:val="30"/>
      <w:szCs w:val="30"/>
      <w:lang w:bidi="ar-SA"/>
    </w:rPr>
  </w:style>
  <w:style w:type="character" w:styleId="847">
    <w:name w:val="标题 4 Char"/>
    <w:next w:val="847"/>
    <w:link w:val="835"/>
    <w:uiPriority w:val="9"/>
    <w:qFormat/>
    <w:rPr>
      <w:rFonts w:ascii="Arial" w:hAnsi="Arial" w:eastAsia="Arial" w:cs="Arial"/>
      <w:b/>
      <w:bCs/>
      <w:sz w:val="26"/>
      <w:szCs w:val="26"/>
    </w:rPr>
  </w:style>
  <w:style w:type="character" w:styleId="848">
    <w:name w:val="标题 5 Char"/>
    <w:next w:val="848"/>
    <w:link w:val="836"/>
    <w:uiPriority w:val="9"/>
    <w:qFormat/>
    <w:rPr>
      <w:rFonts w:ascii="Arial" w:hAnsi="Arial" w:eastAsia="Arial"/>
      <w:b/>
      <w:bCs/>
      <w:sz w:val="24"/>
      <w:szCs w:val="24"/>
      <w:lang w:bidi="ar-SA"/>
    </w:rPr>
  </w:style>
  <w:style w:type="character" w:styleId="849">
    <w:name w:val="标题 6 Char"/>
    <w:next w:val="849"/>
    <w:link w:val="837"/>
    <w:uiPriority w:val="9"/>
    <w:qFormat/>
    <w:rPr>
      <w:rFonts w:ascii="Arial" w:hAnsi="Arial" w:eastAsia="Arial"/>
      <w:b/>
      <w:bCs/>
      <w:sz w:val="22"/>
      <w:szCs w:val="22"/>
      <w:lang w:bidi="ar-SA"/>
    </w:rPr>
  </w:style>
  <w:style w:type="character" w:styleId="850">
    <w:name w:val="标题 7 Char"/>
    <w:next w:val="850"/>
    <w:link w:val="838"/>
    <w:uiPriority w:val="9"/>
    <w:qFormat/>
    <w:rPr>
      <w:rFonts w:ascii="Arial" w:hAnsi="Arial" w:eastAsia="Arial"/>
      <w:b/>
      <w:bCs/>
      <w:i/>
      <w:iCs/>
      <w:sz w:val="22"/>
      <w:szCs w:val="22"/>
      <w:lang w:bidi="ar-SA"/>
    </w:rPr>
  </w:style>
  <w:style w:type="character" w:styleId="851">
    <w:name w:val="标题 8 Char"/>
    <w:next w:val="851"/>
    <w:link w:val="839"/>
    <w:uiPriority w:val="9"/>
    <w:qFormat/>
    <w:rPr>
      <w:rFonts w:ascii="Arial" w:hAnsi="Arial" w:eastAsia="Arial"/>
      <w:i/>
      <w:iCs/>
      <w:sz w:val="22"/>
      <w:szCs w:val="22"/>
      <w:lang w:bidi="ar-SA"/>
    </w:rPr>
  </w:style>
  <w:style w:type="character" w:styleId="852">
    <w:name w:val="标题 9 Char"/>
    <w:next w:val="852"/>
    <w:link w:val="840"/>
    <w:uiPriority w:val="9"/>
    <w:qFormat/>
    <w:rPr>
      <w:rFonts w:ascii="Arial" w:hAnsi="Arial" w:eastAsia="Arial"/>
      <w:i/>
      <w:iCs/>
      <w:sz w:val="21"/>
      <w:szCs w:val="21"/>
      <w:lang w:bidi="ar-SA"/>
    </w:rPr>
  </w:style>
  <w:style w:type="paragraph" w:styleId="853">
    <w:name w:val="目录 7"/>
    <w:next w:val="831"/>
    <w:link w:val="831"/>
    <w:uiPriority w:val="39"/>
    <w:unhideWhenUsed/>
    <w:qFormat/>
    <w:pPr>
      <w:ind w:left="1701"/>
      <w:spacing w:after="57"/>
    </w:pPr>
    <w:rPr>
      <w:rFonts w:eastAsia="Arial"/>
      <w:sz w:val="21"/>
      <w:szCs w:val="22"/>
      <w:lang w:val="en-US" w:eastAsia="zh-CN" w:bidi="ar-SA"/>
    </w:rPr>
  </w:style>
  <w:style w:type="paragraph" w:styleId="854">
    <w:name w:val="正文缩进"/>
    <w:basedOn w:val="831"/>
    <w:next w:val="854"/>
    <w:link w:val="831"/>
    <w:qFormat/>
    <w:pPr>
      <w:ind w:firstLine="420"/>
    </w:pPr>
    <w:rPr>
      <w:szCs w:val="20"/>
    </w:rPr>
  </w:style>
  <w:style w:type="paragraph" w:styleId="855">
    <w:name w:val="题注"/>
    <w:next w:val="831"/>
    <w:link w:val="831"/>
    <w:uiPriority w:val="35"/>
    <w:qFormat/>
    <w:pPr>
      <w:spacing w:line="276" w:lineRule="auto"/>
    </w:pPr>
    <w:rPr>
      <w:rFonts w:eastAsia="Arial"/>
      <w:b/>
      <w:bCs/>
      <w:color w:val="4f81bd"/>
      <w:sz w:val="18"/>
      <w:szCs w:val="18"/>
      <w:lang w:val="en-US" w:eastAsia="zh-CN" w:bidi="ar-SA"/>
    </w:rPr>
  </w:style>
  <w:style w:type="paragraph" w:styleId="856">
    <w:name w:val="批注文字"/>
    <w:basedOn w:val="831"/>
    <w:next w:val="856"/>
    <w:link w:val="857"/>
    <w:uiPriority w:val="99"/>
    <w:unhideWhenUsed/>
    <w:qFormat/>
  </w:style>
  <w:style w:type="character" w:styleId="857">
    <w:name w:val="批注文字 Char"/>
    <w:next w:val="857"/>
    <w:link w:val="856"/>
    <w:uiPriority w:val="99"/>
    <w:rPr>
      <w:rFonts w:eastAsia="Arial"/>
      <w:sz w:val="21"/>
      <w:szCs w:val="22"/>
    </w:rPr>
  </w:style>
  <w:style w:type="paragraph" w:styleId="858">
    <w:name w:val="正文文本"/>
    <w:basedOn w:val="831"/>
    <w:next w:val="831"/>
    <w:link w:val="859"/>
    <w:qFormat/>
    <w:pPr>
      <w:spacing w:after="120"/>
    </w:pPr>
    <w:rPr>
      <w:szCs w:val="20"/>
    </w:rPr>
  </w:style>
  <w:style w:type="character" w:styleId="859">
    <w:name w:val="正文文本 Char"/>
    <w:next w:val="859"/>
    <w:link w:val="858"/>
    <w:rPr>
      <w:rFonts w:eastAsia="Arial"/>
      <w:sz w:val="21"/>
    </w:rPr>
  </w:style>
  <w:style w:type="paragraph" w:styleId="860">
    <w:name w:val="文本块"/>
    <w:basedOn w:val="831"/>
    <w:next w:val="860"/>
    <w:link w:val="831"/>
    <w:uiPriority w:val="99"/>
    <w:unhideWhenUsed/>
    <w:qFormat/>
    <w:pPr>
      <w:ind w:left="1440" w:right="1440"/>
      <w:spacing w:after="120"/>
    </w:pPr>
    <w:rPr>
      <w:sz w:val="24"/>
    </w:rPr>
  </w:style>
  <w:style w:type="paragraph" w:styleId="861">
    <w:name w:val="索引 4"/>
    <w:basedOn w:val="831"/>
    <w:next w:val="831"/>
    <w:link w:val="831"/>
    <w:qFormat/>
    <w:pPr>
      <w:ind w:left="840" w:hanging="210"/>
    </w:pPr>
    <w:rPr>
      <w:sz w:val="20"/>
    </w:rPr>
  </w:style>
  <w:style w:type="paragraph" w:styleId="862">
    <w:name w:val="目录 5"/>
    <w:next w:val="831"/>
    <w:link w:val="831"/>
    <w:uiPriority w:val="39"/>
    <w:unhideWhenUsed/>
    <w:qFormat/>
    <w:pPr>
      <w:ind w:left="1134"/>
      <w:spacing w:after="57"/>
    </w:pPr>
    <w:rPr>
      <w:rFonts w:eastAsia="Arial"/>
      <w:sz w:val="21"/>
      <w:szCs w:val="22"/>
      <w:lang w:val="en-US" w:eastAsia="zh-CN" w:bidi="ar-SA"/>
    </w:rPr>
  </w:style>
  <w:style w:type="paragraph" w:styleId="863">
    <w:name w:val="目录 3"/>
    <w:next w:val="831"/>
    <w:link w:val="831"/>
    <w:uiPriority w:val="39"/>
    <w:unhideWhenUsed/>
    <w:qFormat/>
    <w:pPr>
      <w:ind w:left="567"/>
      <w:spacing w:after="57"/>
    </w:pPr>
    <w:rPr>
      <w:rFonts w:eastAsia="Arial"/>
      <w:sz w:val="21"/>
      <w:szCs w:val="22"/>
      <w:lang w:val="en-US" w:eastAsia="zh-CN" w:bidi="ar-SA"/>
    </w:rPr>
  </w:style>
  <w:style w:type="paragraph" w:styleId="864">
    <w:name w:val="目录 8"/>
    <w:next w:val="831"/>
    <w:link w:val="831"/>
    <w:uiPriority w:val="39"/>
    <w:unhideWhenUsed/>
    <w:qFormat/>
    <w:pPr>
      <w:ind w:left="1984"/>
      <w:spacing w:after="57"/>
    </w:pPr>
    <w:rPr>
      <w:rFonts w:eastAsia="Arial"/>
      <w:sz w:val="21"/>
      <w:szCs w:val="22"/>
      <w:lang w:val="en-US" w:eastAsia="zh-CN" w:bidi="ar-SA"/>
    </w:rPr>
  </w:style>
  <w:style w:type="paragraph" w:styleId="865">
    <w:name w:val="正文文本缩进 2"/>
    <w:basedOn w:val="831"/>
    <w:next w:val="866"/>
    <w:link w:val="831"/>
    <w:qFormat/>
    <w:pPr>
      <w:ind w:left="630" w:firstLine="645"/>
    </w:pPr>
    <w:rPr>
      <w:rFonts w:ascii="Arial" w:hAnsi="Arial" w:eastAsia="仿宋_GB2312"/>
      <w:sz w:val="32"/>
    </w:rPr>
  </w:style>
  <w:style w:type="paragraph" w:styleId="866">
    <w:name w:val="xl75"/>
    <w:basedOn w:val="831"/>
    <w:next w:val="867"/>
    <w:link w:val="831"/>
    <w:qFormat/>
    <w:pPr>
      <w:ind w:left="200" w:firstLine="5320"/>
      <w:jc w:val="center"/>
      <w:spacing w:before="280" w:after="280"/>
      <w:widowControl/>
    </w:pPr>
    <w:rPr>
      <w:rFonts w:ascii="宋体"/>
    </w:rPr>
  </w:style>
  <w:style w:type="paragraph" w:styleId="867">
    <w:name w:val="Test2"/>
    <w:basedOn w:val="833"/>
    <w:next w:val="868"/>
    <w:link w:val="831"/>
    <w:qFormat/>
    <w:pPr>
      <w:jc w:val="center"/>
      <w:spacing w:line="480" w:lineRule="exact"/>
      <w:widowControl/>
    </w:pPr>
    <w:rPr>
      <w:rFonts w:ascii="黑体" w:hAnsi="Arial" w:eastAsia="黑体"/>
      <w:bCs/>
      <w:sz w:val="24"/>
    </w:rPr>
  </w:style>
  <w:style w:type="paragraph" w:styleId="868">
    <w:name w:val="xl59"/>
    <w:basedOn w:val="831"/>
    <w:next w:val="869"/>
    <w:link w:val="83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69">
    <w:name w:val="方案正文"/>
    <w:basedOn w:val="831"/>
    <w:next w:val="870"/>
    <w:link w:val="831"/>
    <w:qFormat/>
    <w:pPr>
      <w:ind w:firstLine="359"/>
      <w:jc w:val="left"/>
      <w:spacing w:before="156" w:line="360" w:lineRule="auto"/>
    </w:pPr>
    <w:rPr>
      <w:rFonts w:ascii="Arial" w:hAnsi="Arial" w:cs="宋体"/>
      <w:sz w:val="24"/>
      <w:szCs w:val="21"/>
    </w:rPr>
  </w:style>
  <w:style w:type="paragraph" w:styleId="870">
    <w:name w:val="小四 段落 宋体 Char Char Char Char"/>
    <w:basedOn w:val="831"/>
    <w:next w:val="871"/>
    <w:link w:val="831"/>
    <w:qFormat/>
    <w:pPr>
      <w:ind w:right="-33" w:firstLine="480"/>
      <w:jc w:val="left"/>
      <w:spacing w:line="360" w:lineRule="auto"/>
    </w:pPr>
    <w:rPr>
      <w:sz w:val="24"/>
      <w:szCs w:val="24"/>
    </w:rPr>
  </w:style>
  <w:style w:type="paragraph" w:styleId="871">
    <w:name w:val="flType"/>
    <w:basedOn w:val="872"/>
    <w:next w:val="831"/>
    <w:link w:val="831"/>
    <w:qFormat/>
    <w:pPr>
      <w:spacing w:after="284"/>
    </w:pPr>
    <w:rPr>
      <w:rFonts w:eastAsia="宋体"/>
      <w:b w:val="0"/>
    </w:rPr>
  </w:style>
  <w:style w:type="paragraph" w:styleId="872">
    <w:name w:val="flName"/>
    <w:basedOn w:val="873"/>
    <w:next w:val="872"/>
    <w:link w:val="831"/>
    <w:qFormat/>
    <w:pPr>
      <w:spacing w:before="0" w:line="113" w:lineRule="atLeast"/>
    </w:pPr>
  </w:style>
  <w:style w:type="paragraph" w:styleId="873">
    <w:name w:val="flNote"/>
    <w:basedOn w:val="831"/>
    <w:next w:val="873"/>
    <w:link w:val="831"/>
    <w:qFormat/>
    <w:pPr>
      <w:jc w:val="center"/>
      <w:spacing w:before="567" w:line="360" w:lineRule="atLeast"/>
    </w:pPr>
    <w:rPr>
      <w:rFonts w:eastAsia="黑体"/>
      <w:b/>
      <w:sz w:val="24"/>
    </w:rPr>
  </w:style>
  <w:style w:type="paragraph" w:styleId="874">
    <w:name w:val="尾注文本"/>
    <w:next w:val="874"/>
    <w:link w:val="875"/>
    <w:uiPriority w:val="99"/>
    <w:unhideWhenUsed/>
    <w:qFormat/>
    <w:rPr>
      <w:lang w:val="en-US" w:eastAsia="zh-CN" w:bidi="ar-SA"/>
    </w:rPr>
  </w:style>
  <w:style w:type="character" w:styleId="875">
    <w:name w:val="尾注文本 Char"/>
    <w:next w:val="875"/>
    <w:link w:val="874"/>
    <w:uiPriority w:val="99"/>
    <w:qFormat/>
    <w:rPr>
      <w:lang w:val="en-US" w:eastAsia="zh-CN" w:bidi="ar-SA"/>
    </w:rPr>
  </w:style>
  <w:style w:type="paragraph" w:styleId="876">
    <w:name w:val="批注框文本"/>
    <w:basedOn w:val="831"/>
    <w:next w:val="876"/>
    <w:link w:val="877"/>
    <w:uiPriority w:val="99"/>
    <w:unhideWhenUsed/>
    <w:rPr>
      <w:sz w:val="18"/>
      <w:szCs w:val="18"/>
    </w:rPr>
  </w:style>
  <w:style w:type="character" w:styleId="877">
    <w:name w:val="批注框文本 Char"/>
    <w:next w:val="877"/>
    <w:link w:val="876"/>
    <w:uiPriority w:val="99"/>
    <w:semiHidden/>
    <w:rPr>
      <w:rFonts w:eastAsia="Arial"/>
      <w:sz w:val="18"/>
      <w:szCs w:val="18"/>
    </w:rPr>
  </w:style>
  <w:style w:type="paragraph" w:styleId="878">
    <w:name w:val="页脚"/>
    <w:next w:val="878"/>
    <w:link w:val="879"/>
    <w:uiPriority w:val="99"/>
    <w:unhideWhenUsed/>
    <w:qFormat/>
    <w:pPr>
      <w:tabs>
        <w:tab w:val="center" w:pos="7143" w:leader="none"/>
        <w:tab w:val="right" w:pos="14287" w:leader="none"/>
      </w:tabs>
    </w:pPr>
    <w:rPr>
      <w:rFonts w:eastAsia="Arial"/>
      <w:sz w:val="21"/>
      <w:szCs w:val="22"/>
      <w:lang w:val="en-US" w:eastAsia="zh-CN" w:bidi="ar-SA"/>
    </w:rPr>
  </w:style>
  <w:style w:type="character" w:styleId="879">
    <w:name w:val="页脚 Char"/>
    <w:next w:val="879"/>
    <w:link w:val="878"/>
    <w:uiPriority w:val="99"/>
    <w:qFormat/>
    <w:rPr>
      <w:rFonts w:eastAsia="Arial"/>
      <w:sz w:val="21"/>
      <w:szCs w:val="22"/>
      <w:lang w:val="en-US" w:eastAsia="zh-CN" w:bidi="ar-SA"/>
    </w:rPr>
  </w:style>
  <w:style w:type="paragraph" w:styleId="880">
    <w:name w:val="页眉"/>
    <w:basedOn w:val="831"/>
    <w:next w:val="880"/>
    <w:link w:val="881"/>
    <w:uiPriority w:val="99"/>
    <w:unhideWhenUsed/>
    <w:qFormat/>
    <w:pPr>
      <w:tabs>
        <w:tab w:val="center" w:pos="7143" w:leader="none"/>
        <w:tab w:val="right" w:pos="14287" w:leader="none"/>
      </w:tabs>
    </w:pPr>
  </w:style>
  <w:style w:type="character" w:styleId="881">
    <w:name w:val="页眉 Char"/>
    <w:next w:val="881"/>
    <w:link w:val="880"/>
    <w:uiPriority w:val="99"/>
    <w:qFormat/>
  </w:style>
  <w:style w:type="paragraph" w:styleId="882">
    <w:name w:val="目录 1"/>
    <w:next w:val="831"/>
    <w:link w:val="831"/>
    <w:uiPriority w:val="39"/>
    <w:unhideWhenUsed/>
    <w:qFormat/>
    <w:pPr>
      <w:spacing w:after="57"/>
    </w:pPr>
    <w:rPr>
      <w:rFonts w:eastAsia="Arial"/>
      <w:sz w:val="21"/>
      <w:szCs w:val="22"/>
      <w:lang w:val="en-US" w:eastAsia="zh-CN" w:bidi="ar-SA"/>
    </w:rPr>
  </w:style>
  <w:style w:type="paragraph" w:styleId="883">
    <w:name w:val="目录 4"/>
    <w:next w:val="831"/>
    <w:link w:val="831"/>
    <w:uiPriority w:val="39"/>
    <w:unhideWhenUsed/>
    <w:qFormat/>
    <w:pPr>
      <w:ind w:left="850"/>
      <w:spacing w:after="57"/>
    </w:pPr>
    <w:rPr>
      <w:rFonts w:eastAsia="Arial"/>
      <w:sz w:val="21"/>
      <w:szCs w:val="22"/>
      <w:lang w:val="en-US" w:eastAsia="zh-CN" w:bidi="ar-SA"/>
    </w:rPr>
  </w:style>
  <w:style w:type="paragraph" w:styleId="884">
    <w:name w:val="副标题"/>
    <w:next w:val="884"/>
    <w:link w:val="885"/>
    <w:uiPriority w:val="11"/>
    <w:qFormat/>
    <w:pPr>
      <w:spacing w:before="200" w:after="200"/>
    </w:pPr>
    <w:rPr>
      <w:sz w:val="24"/>
      <w:szCs w:val="24"/>
      <w:lang w:val="en-US" w:eastAsia="zh-CN" w:bidi="ar-SA"/>
    </w:rPr>
  </w:style>
  <w:style w:type="character" w:styleId="885">
    <w:name w:val="副标题 Char"/>
    <w:next w:val="885"/>
    <w:link w:val="884"/>
    <w:uiPriority w:val="11"/>
    <w:qFormat/>
    <w:rPr>
      <w:sz w:val="24"/>
      <w:szCs w:val="24"/>
      <w:lang w:bidi="ar-SA"/>
    </w:rPr>
  </w:style>
  <w:style w:type="paragraph" w:styleId="886">
    <w:name w:val="脚注文本"/>
    <w:next w:val="886"/>
    <w:link w:val="887"/>
    <w:uiPriority w:val="99"/>
    <w:unhideWhenUsed/>
    <w:qFormat/>
    <w:pPr>
      <w:spacing w:after="40"/>
    </w:pPr>
    <w:rPr>
      <w:sz w:val="18"/>
      <w:lang w:val="en-US" w:eastAsia="zh-CN" w:bidi="ar-SA"/>
    </w:rPr>
  </w:style>
  <w:style w:type="character" w:styleId="887">
    <w:name w:val="脚注文本 Char"/>
    <w:next w:val="887"/>
    <w:link w:val="886"/>
    <w:uiPriority w:val="99"/>
    <w:qFormat/>
    <w:rPr>
      <w:sz w:val="18"/>
      <w:lang w:bidi="ar-SA"/>
    </w:rPr>
  </w:style>
  <w:style w:type="paragraph" w:styleId="888">
    <w:name w:val="目录 6"/>
    <w:next w:val="831"/>
    <w:link w:val="831"/>
    <w:uiPriority w:val="39"/>
    <w:unhideWhenUsed/>
    <w:qFormat/>
    <w:pPr>
      <w:ind w:left="1417"/>
      <w:spacing w:after="57"/>
    </w:pPr>
    <w:rPr>
      <w:rFonts w:eastAsia="Arial"/>
      <w:sz w:val="21"/>
      <w:szCs w:val="22"/>
      <w:lang w:val="en-US" w:eastAsia="zh-CN" w:bidi="ar-SA"/>
    </w:rPr>
  </w:style>
  <w:style w:type="paragraph" w:styleId="889">
    <w:name w:val="图表目录"/>
    <w:next w:val="831"/>
    <w:link w:val="831"/>
    <w:uiPriority w:val="99"/>
    <w:unhideWhenUsed/>
    <w:qFormat/>
    <w:rPr>
      <w:rFonts w:eastAsia="Arial"/>
      <w:sz w:val="21"/>
      <w:szCs w:val="22"/>
      <w:lang w:val="en-US" w:eastAsia="zh-CN" w:bidi="ar-SA"/>
    </w:rPr>
  </w:style>
  <w:style w:type="paragraph" w:styleId="890">
    <w:name w:val="目录 2"/>
    <w:next w:val="831"/>
    <w:link w:val="831"/>
    <w:uiPriority w:val="39"/>
    <w:unhideWhenUsed/>
    <w:qFormat/>
    <w:pPr>
      <w:ind w:left="283"/>
      <w:spacing w:after="57"/>
    </w:pPr>
    <w:rPr>
      <w:rFonts w:eastAsia="Arial"/>
      <w:sz w:val="21"/>
      <w:szCs w:val="22"/>
      <w:lang w:val="en-US" w:eastAsia="zh-CN" w:bidi="ar-SA"/>
    </w:rPr>
  </w:style>
  <w:style w:type="paragraph" w:styleId="891">
    <w:name w:val="目录 9"/>
    <w:next w:val="831"/>
    <w:link w:val="831"/>
    <w:uiPriority w:val="39"/>
    <w:unhideWhenUsed/>
    <w:qFormat/>
    <w:pPr>
      <w:ind w:left="2268"/>
      <w:spacing w:after="57"/>
    </w:pPr>
    <w:rPr>
      <w:rFonts w:eastAsia="Arial"/>
      <w:sz w:val="21"/>
      <w:szCs w:val="22"/>
      <w:lang w:val="en-US" w:eastAsia="zh-CN" w:bidi="ar-SA"/>
    </w:rPr>
  </w:style>
  <w:style w:type="paragraph" w:styleId="892">
    <w:name w:val="普通(网站)"/>
    <w:basedOn w:val="831"/>
    <w:next w:val="892"/>
    <w:link w:val="831"/>
    <w:uiPriority w:val="99"/>
    <w:qFormat/>
    <w:pPr>
      <w:spacing w:before="100" w:beforeAutospacing="1" w:after="100" w:afterAutospacing="1"/>
      <w:widowControl/>
    </w:pPr>
    <w:rPr>
      <w:rFonts w:ascii="Times New Roman"/>
      <w:sz w:val="24"/>
      <w:szCs w:val="24"/>
    </w:rPr>
  </w:style>
  <w:style w:type="paragraph" w:styleId="893">
    <w:name w:val="标题"/>
    <w:basedOn w:val="831"/>
    <w:next w:val="831"/>
    <w:link w:val="894"/>
    <w:uiPriority w:val="10"/>
    <w:qFormat/>
    <w:pPr>
      <w:contextualSpacing/>
      <w:spacing w:before="300" w:after="200"/>
    </w:pPr>
    <w:rPr>
      <w:rFonts w:eastAsia="宋体"/>
      <w:sz w:val="48"/>
      <w:szCs w:val="48"/>
    </w:rPr>
  </w:style>
  <w:style w:type="character" w:styleId="894">
    <w:name w:val="标题 Char"/>
    <w:next w:val="894"/>
    <w:link w:val="893"/>
    <w:uiPriority w:val="10"/>
    <w:qFormat/>
    <w:rPr>
      <w:sz w:val="48"/>
      <w:szCs w:val="48"/>
    </w:rPr>
  </w:style>
  <w:style w:type="paragraph" w:styleId="895">
    <w:name w:val="批注主题"/>
    <w:basedOn w:val="856"/>
    <w:next w:val="856"/>
    <w:link w:val="896"/>
    <w:uiPriority w:val="99"/>
    <w:unhideWhenUsed/>
    <w:rPr>
      <w:b/>
      <w:bCs/>
    </w:rPr>
  </w:style>
  <w:style w:type="character" w:styleId="896">
    <w:name w:val="批注主题 Char"/>
    <w:next w:val="896"/>
    <w:link w:val="895"/>
    <w:uiPriority w:val="99"/>
    <w:semiHidden/>
    <w:rPr>
      <w:rFonts w:eastAsia="Arial"/>
      <w:b/>
      <w:bCs/>
      <w:sz w:val="21"/>
      <w:szCs w:val="22"/>
    </w:rPr>
  </w:style>
  <w:style w:type="paragraph" w:styleId="897">
    <w:name w:val="正文首行缩进"/>
    <w:basedOn w:val="858"/>
    <w:next w:val="897"/>
    <w:link w:val="898"/>
    <w:uiPriority w:val="99"/>
    <w:unhideWhenUsed/>
    <w:pPr>
      <w:ind w:firstLine="420"/>
    </w:pPr>
    <w:rPr>
      <w:szCs w:val="22"/>
    </w:rPr>
  </w:style>
  <w:style w:type="character" w:styleId="898">
    <w:name w:val="正文首行缩进 Char"/>
    <w:next w:val="898"/>
    <w:link w:val="897"/>
    <w:uiPriority w:val="99"/>
    <w:rPr>
      <w:rFonts w:eastAsia="Arial"/>
      <w:sz w:val="21"/>
      <w:szCs w:val="22"/>
    </w:rPr>
  </w:style>
  <w:style w:type="table" w:styleId="899">
    <w:name w:val="网格型"/>
    <w:next w:val="899"/>
    <w:link w:val="831"/>
    <w:uiPriority w:val="59"/>
    <w:qFormat/>
    <w:rPr>
      <w:lang w:val="en-US" w:eastAsia="zh-CN" w:bidi="ar-SA"/>
    </w:rPr>
    <w:tblPr/>
  </w:style>
  <w:style w:type="character" w:styleId="900">
    <w:name w:val="要点"/>
    <w:next w:val="900"/>
    <w:link w:val="831"/>
    <w:uiPriority w:val="22"/>
    <w:qFormat/>
    <w:rPr>
      <w:b/>
    </w:rPr>
  </w:style>
  <w:style w:type="character" w:styleId="901">
    <w:name w:val="尾注引用"/>
    <w:next w:val="901"/>
    <w:link w:val="831"/>
    <w:uiPriority w:val="99"/>
    <w:unhideWhenUsed/>
    <w:qFormat/>
    <w:rPr>
      <w:vertAlign w:val="superscript"/>
    </w:rPr>
  </w:style>
  <w:style w:type="character" w:styleId="902">
    <w:name w:val="强调"/>
    <w:next w:val="902"/>
    <w:link w:val="831"/>
    <w:uiPriority w:val="20"/>
    <w:qFormat/>
    <w:rPr>
      <w:i/>
    </w:rPr>
  </w:style>
  <w:style w:type="character" w:styleId="903">
    <w:name w:val="超链接"/>
    <w:next w:val="903"/>
    <w:link w:val="831"/>
    <w:uiPriority w:val="99"/>
    <w:unhideWhenUsed/>
    <w:qFormat/>
    <w:rPr>
      <w:color w:val="0000ff"/>
      <w:u w:val="single"/>
    </w:rPr>
  </w:style>
  <w:style w:type="character" w:styleId="904">
    <w:name w:val="批注引用"/>
    <w:next w:val="904"/>
    <w:link w:val="831"/>
    <w:uiPriority w:val="99"/>
    <w:unhideWhenUsed/>
    <w:rPr>
      <w:sz w:val="21"/>
      <w:szCs w:val="21"/>
    </w:rPr>
  </w:style>
  <w:style w:type="character" w:styleId="905">
    <w:name w:val="脚注引用"/>
    <w:next w:val="905"/>
    <w:link w:val="831"/>
    <w:uiPriority w:val="99"/>
    <w:unhideWhenUsed/>
    <w:qFormat/>
    <w:rPr>
      <w:vertAlign w:val="superscript"/>
    </w:rPr>
  </w:style>
  <w:style w:type="character" w:styleId="906">
    <w:name w:val="页码11"/>
    <w:next w:val="906"/>
    <w:link w:val="831"/>
    <w:qFormat/>
    <w:rPr>
      <w:rFonts w:eastAsia="Arial"/>
      <w:sz w:val="21"/>
      <w:szCs w:val="22"/>
      <w:lang w:val="en-US" w:eastAsia="zh-CN" w:bidi="ar-SA"/>
    </w:rPr>
  </w:style>
  <w:style w:type="paragraph" w:styleId="907">
    <w:name w:val="正文文本12"/>
    <w:basedOn w:val="831"/>
    <w:next w:val="831"/>
    <w:link w:val="831"/>
    <w:unhideWhenUsed/>
    <w:qFormat/>
    <w:pPr>
      <w:spacing w:after="120"/>
    </w:pPr>
  </w:style>
  <w:style w:type="paragraph" w:styleId="908">
    <w:name w:val="列出段落"/>
    <w:basedOn w:val="831"/>
    <w:next w:val="908"/>
    <w:link w:val="909"/>
    <w:uiPriority w:val="34"/>
    <w:qFormat/>
    <w:pPr>
      <w:contextualSpacing/>
      <w:ind w:left="720"/>
    </w:pPr>
    <w:rPr>
      <w:rFonts w:eastAsia="Arial"/>
      <w:sz w:val="21"/>
      <w:szCs w:val="22"/>
      <w:lang w:val="en-US" w:eastAsia="zh-CN" w:bidi="ar-SA"/>
    </w:rPr>
  </w:style>
  <w:style w:type="character" w:styleId="909">
    <w:name w:val="列出段落 Char"/>
    <w:next w:val="909"/>
    <w:link w:val="908"/>
    <w:uiPriority w:val="34"/>
    <w:qFormat/>
    <w:rPr>
      <w:rFonts w:eastAsia="Arial"/>
      <w:sz w:val="21"/>
      <w:szCs w:val="22"/>
    </w:rPr>
  </w:style>
  <w:style w:type="paragraph" w:styleId="910">
    <w:name w:val="一级条标题"/>
    <w:basedOn w:val="911"/>
    <w:next w:val="912"/>
    <w:link w:val="831"/>
    <w:qFormat/>
    <w:pPr>
      <w:numPr>
        <w:ilvl w:val="2"/>
        <w:numId w:val="1"/>
      </w:numPr>
    </w:pPr>
    <w:rPr>
      <w:rFonts w:ascii="Calibri" w:hAnsi="Calibri" w:eastAsia="宋体" w:cs="Times New Roman"/>
    </w:rPr>
  </w:style>
  <w:style w:type="paragraph" w:styleId="911">
    <w:name w:val="章标题"/>
    <w:basedOn w:val="831"/>
    <w:next w:val="831"/>
    <w:link w:val="831"/>
    <w:qFormat/>
    <w:pPr>
      <w:numPr>
        <w:ilvl w:val="1"/>
        <w:numId w:val="1"/>
      </w:numPr>
    </w:pPr>
    <w:rPr>
      <w:rFonts w:ascii="Songti SC" w:hAnsi="Songti SC" w:eastAsia="仿宋" w:cs="Times New Roman"/>
      <w:sz w:val="24"/>
      <w:szCs w:val="24"/>
      <w:lang w:eastAsia="zh-CN"/>
    </w:rPr>
  </w:style>
  <w:style w:type="paragraph" w:styleId="912">
    <w:name w:val="段"/>
    <w:basedOn w:val="831"/>
    <w:next w:val="831"/>
    <w:link w:val="831"/>
    <w:qFormat/>
    <w:pPr>
      <w:ind w:firstLine="200"/>
      <w:widowControl/>
    </w:pPr>
    <w:rPr>
      <w:rFonts w:hint="eastAsia" w:ascii="宋体" w:hAnsi="Times New Roman" w:eastAsia="宋体" w:cs="Times New Roman"/>
      <w:szCs w:val="20"/>
    </w:rPr>
  </w:style>
  <w:style w:type="character" w:styleId="913">
    <w:name w:val="页脚 字符"/>
    <w:next w:val="913"/>
    <w:link w:val="831"/>
    <w:uiPriority w:val="99"/>
    <w:qFormat/>
  </w:style>
  <w:style w:type="paragraph" w:styleId="914">
    <w:name w:val="正文首行缩进 21"/>
    <w:basedOn w:val="915"/>
    <w:next w:val="914"/>
    <w:link w:val="831"/>
    <w:qFormat/>
    <w:pPr>
      <w:ind w:firstLine="420"/>
      <w:spacing w:line="360" w:lineRule="auto"/>
    </w:pPr>
    <w:rPr>
      <w:szCs w:val="20"/>
    </w:rPr>
  </w:style>
  <w:style w:type="paragraph" w:styleId="915">
    <w:name w:val="正文文本缩进1"/>
    <w:basedOn w:val="831"/>
    <w:next w:val="915"/>
    <w:link w:val="831"/>
    <w:qFormat/>
    <w:pPr>
      <w:ind w:firstLine="403"/>
      <w:spacing w:line="440" w:lineRule="exact"/>
    </w:pPr>
    <w:rPr>
      <w:rFonts w:ascii="宋体" w:hAnsi="宋体" w:eastAsia="宋体"/>
      <w:sz w:val="20"/>
      <w:szCs w:val="21"/>
    </w:rPr>
  </w:style>
  <w:style w:type="paragraph" w:styleId="916">
    <w:name w:val="寄信人地址1"/>
    <w:basedOn w:val="831"/>
    <w:next w:val="916"/>
    <w:link w:val="831"/>
    <w:qFormat/>
  </w:style>
  <w:style w:type="paragraph" w:styleId="917">
    <w:name w:val="无间隔"/>
    <w:next w:val="917"/>
    <w:link w:val="831"/>
    <w:uiPriority w:val="1"/>
    <w:qFormat/>
    <w:rPr>
      <w:rFonts w:eastAsia="Arial"/>
      <w:sz w:val="21"/>
      <w:szCs w:val="22"/>
      <w:lang w:val="en-US" w:eastAsia="zh-CN" w:bidi="ar-SA"/>
    </w:rPr>
  </w:style>
  <w:style w:type="paragraph" w:styleId="918">
    <w:name w:val="引用"/>
    <w:next w:val="918"/>
    <w:link w:val="919"/>
    <w:uiPriority w:val="29"/>
    <w:qFormat/>
    <w:pPr>
      <w:ind w:left="720" w:right="720"/>
    </w:pPr>
    <w:rPr>
      <w:i/>
      <w:lang w:val="en-US" w:eastAsia="zh-CN" w:bidi="ar-SA"/>
    </w:rPr>
  </w:style>
  <w:style w:type="character" w:styleId="919">
    <w:name w:val="引用 Char"/>
    <w:next w:val="919"/>
    <w:link w:val="918"/>
    <w:uiPriority w:val="29"/>
    <w:qFormat/>
    <w:rPr>
      <w:i/>
      <w:lang w:val="en-US" w:eastAsia="zh-CN" w:bidi="ar-SA"/>
    </w:rPr>
  </w:style>
  <w:style w:type="paragraph" w:styleId="920">
    <w:name w:val="明显引用"/>
    <w:next w:val="920"/>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921">
    <w:name w:val="明显引用 Char"/>
    <w:next w:val="921"/>
    <w:link w:val="920"/>
    <w:uiPriority w:val="30"/>
    <w:qFormat/>
    <w:rPr>
      <w:i/>
      <w:shd w:val="clear" w:color="auto" w:fill="f2f2f2"/>
      <w:lang w:val="en-US" w:eastAsia="zh-CN" w:bidi="ar-SA"/>
    </w:rPr>
  </w:style>
  <w:style w:type="table" w:styleId="922">
    <w:name w:val="Table Grid Light"/>
    <w:next w:val="922"/>
    <w:link w:val="831"/>
    <w:uiPriority w:val="59"/>
    <w:qFormat/>
    <w:rPr>
      <w:lang w:val="en-US" w:eastAsia="zh-CN" w:bidi="ar-SA"/>
    </w:rPr>
    <w:tblPr/>
  </w:style>
  <w:style w:type="table" w:styleId="923">
    <w:name w:val="Plain Table 1"/>
    <w:next w:val="923"/>
    <w:link w:val="831"/>
    <w:uiPriority w:val="59"/>
    <w:qFormat/>
    <w:rPr>
      <w:lang w:val="en-US" w:eastAsia="zh-CN" w:bidi="ar-SA"/>
    </w:rPr>
    <w:tblPr/>
  </w:style>
  <w:style w:type="table" w:styleId="924">
    <w:name w:val="Plain Table 2"/>
    <w:next w:val="924"/>
    <w:link w:val="831"/>
    <w:uiPriority w:val="59"/>
    <w:qFormat/>
    <w:rPr>
      <w:lang w:val="en-US" w:eastAsia="zh-CN" w:bidi="ar-SA"/>
    </w:rPr>
    <w:tblPr/>
  </w:style>
  <w:style w:type="table" w:styleId="925">
    <w:name w:val="Plain Table 3"/>
    <w:next w:val="925"/>
    <w:link w:val="831"/>
    <w:uiPriority w:val="99"/>
    <w:qFormat/>
    <w:rPr>
      <w:lang w:val="en-US" w:eastAsia="zh-CN" w:bidi="ar-SA"/>
    </w:rPr>
    <w:tblPr/>
  </w:style>
  <w:style w:type="table" w:styleId="926">
    <w:name w:val="Plain Table 4"/>
    <w:next w:val="926"/>
    <w:link w:val="831"/>
    <w:uiPriority w:val="99"/>
    <w:qFormat/>
    <w:rPr>
      <w:lang w:val="en-US" w:eastAsia="zh-CN" w:bidi="ar-SA"/>
    </w:rPr>
    <w:tblPr/>
  </w:style>
  <w:style w:type="table" w:styleId="927">
    <w:name w:val="Plain Table 5"/>
    <w:next w:val="927"/>
    <w:link w:val="831"/>
    <w:uiPriority w:val="99"/>
    <w:qFormat/>
    <w:rPr>
      <w:lang w:val="en-US" w:eastAsia="zh-CN" w:bidi="ar-SA"/>
    </w:rPr>
    <w:tblPr/>
  </w:style>
  <w:style w:type="table" w:styleId="928">
    <w:name w:val="Grid Table 1 Light"/>
    <w:next w:val="928"/>
    <w:link w:val="831"/>
    <w:uiPriority w:val="99"/>
    <w:qFormat/>
    <w:rPr>
      <w:lang w:val="en-US" w:eastAsia="zh-CN" w:bidi="ar-SA"/>
    </w:rPr>
    <w:tblPr/>
  </w:style>
  <w:style w:type="table" w:styleId="929">
    <w:name w:val="Grid Table 1 Light - Accent 1"/>
    <w:next w:val="929"/>
    <w:link w:val="831"/>
    <w:uiPriority w:val="99"/>
    <w:qFormat/>
    <w:rPr>
      <w:lang w:val="en-US" w:eastAsia="zh-CN" w:bidi="ar-SA"/>
    </w:rPr>
    <w:tblPr/>
  </w:style>
  <w:style w:type="table" w:styleId="930">
    <w:name w:val="Grid Table 1 Light - Accent 2"/>
    <w:next w:val="930"/>
    <w:link w:val="831"/>
    <w:uiPriority w:val="99"/>
    <w:qFormat/>
    <w:rPr>
      <w:lang w:val="en-US" w:eastAsia="zh-CN" w:bidi="ar-SA"/>
    </w:rPr>
    <w:tblPr/>
  </w:style>
  <w:style w:type="table" w:styleId="931">
    <w:name w:val="Grid Table 1 Light - Accent 3"/>
    <w:next w:val="931"/>
    <w:link w:val="831"/>
    <w:uiPriority w:val="99"/>
    <w:qFormat/>
    <w:rPr>
      <w:lang w:val="en-US" w:eastAsia="zh-CN" w:bidi="ar-SA"/>
    </w:rPr>
    <w:tblPr/>
  </w:style>
  <w:style w:type="table" w:styleId="932">
    <w:name w:val="Grid Table 1 Light - Accent 4"/>
    <w:next w:val="932"/>
    <w:link w:val="831"/>
    <w:uiPriority w:val="99"/>
    <w:qFormat/>
    <w:rPr>
      <w:lang w:val="en-US" w:eastAsia="zh-CN" w:bidi="ar-SA"/>
    </w:rPr>
    <w:tblPr/>
  </w:style>
  <w:style w:type="table" w:styleId="933">
    <w:name w:val="Grid Table 1 Light - Accent 5"/>
    <w:next w:val="933"/>
    <w:link w:val="831"/>
    <w:uiPriority w:val="99"/>
    <w:qFormat/>
    <w:rPr>
      <w:lang w:val="en-US" w:eastAsia="zh-CN" w:bidi="ar-SA"/>
    </w:rPr>
    <w:tblPr/>
  </w:style>
  <w:style w:type="table" w:styleId="934">
    <w:name w:val="Grid Table 1 Light - Accent 6"/>
    <w:next w:val="934"/>
    <w:link w:val="831"/>
    <w:uiPriority w:val="99"/>
    <w:qFormat/>
    <w:rPr>
      <w:lang w:val="en-US" w:eastAsia="zh-CN" w:bidi="ar-SA"/>
    </w:rPr>
    <w:tblPr/>
  </w:style>
  <w:style w:type="table" w:styleId="935">
    <w:name w:val="Grid Table 2"/>
    <w:next w:val="935"/>
    <w:link w:val="831"/>
    <w:uiPriority w:val="99"/>
    <w:qFormat/>
    <w:rPr>
      <w:lang w:val="en-US" w:eastAsia="zh-CN" w:bidi="ar-SA"/>
    </w:rPr>
    <w:tblPr/>
  </w:style>
  <w:style w:type="table" w:styleId="936">
    <w:name w:val="Grid Table 2 - Accent 1"/>
    <w:next w:val="936"/>
    <w:link w:val="831"/>
    <w:uiPriority w:val="99"/>
    <w:qFormat/>
    <w:rPr>
      <w:lang w:val="en-US" w:eastAsia="zh-CN" w:bidi="ar-SA"/>
    </w:rPr>
    <w:tblPr/>
  </w:style>
  <w:style w:type="table" w:styleId="937">
    <w:name w:val="Grid Table 2 - Accent 2"/>
    <w:next w:val="937"/>
    <w:link w:val="831"/>
    <w:uiPriority w:val="99"/>
    <w:qFormat/>
    <w:rPr>
      <w:lang w:val="en-US" w:eastAsia="zh-CN" w:bidi="ar-SA"/>
    </w:rPr>
    <w:tblPr/>
  </w:style>
  <w:style w:type="table" w:styleId="938">
    <w:name w:val="Grid Table 2 - Accent 3"/>
    <w:next w:val="938"/>
    <w:link w:val="831"/>
    <w:uiPriority w:val="99"/>
    <w:qFormat/>
    <w:rPr>
      <w:lang w:val="en-US" w:eastAsia="zh-CN" w:bidi="ar-SA"/>
    </w:rPr>
    <w:tblPr/>
  </w:style>
  <w:style w:type="table" w:styleId="939">
    <w:name w:val="Grid Table 2 - Accent 4"/>
    <w:next w:val="939"/>
    <w:link w:val="831"/>
    <w:uiPriority w:val="99"/>
    <w:qFormat/>
    <w:rPr>
      <w:lang w:val="en-US" w:eastAsia="zh-CN" w:bidi="ar-SA"/>
    </w:rPr>
    <w:tblPr/>
  </w:style>
  <w:style w:type="table" w:styleId="940">
    <w:name w:val="Grid Table 2 - Accent 5"/>
    <w:next w:val="940"/>
    <w:link w:val="831"/>
    <w:uiPriority w:val="99"/>
    <w:qFormat/>
    <w:rPr>
      <w:lang w:val="en-US" w:eastAsia="zh-CN" w:bidi="ar-SA"/>
    </w:rPr>
    <w:tblPr/>
  </w:style>
  <w:style w:type="table" w:styleId="941">
    <w:name w:val="Grid Table 2 - Accent 6"/>
    <w:next w:val="941"/>
    <w:link w:val="831"/>
    <w:uiPriority w:val="99"/>
    <w:qFormat/>
    <w:rPr>
      <w:lang w:val="en-US" w:eastAsia="zh-CN" w:bidi="ar-SA"/>
    </w:rPr>
    <w:tblPr/>
  </w:style>
  <w:style w:type="table" w:styleId="942">
    <w:name w:val="Grid Table 3"/>
    <w:next w:val="942"/>
    <w:link w:val="831"/>
    <w:uiPriority w:val="99"/>
    <w:qFormat/>
    <w:rPr>
      <w:lang w:val="en-US" w:eastAsia="zh-CN" w:bidi="ar-SA"/>
    </w:rPr>
    <w:tblPr/>
  </w:style>
  <w:style w:type="table" w:styleId="943">
    <w:name w:val="Grid Table 3 - Accent 1"/>
    <w:next w:val="943"/>
    <w:link w:val="831"/>
    <w:uiPriority w:val="99"/>
    <w:qFormat/>
    <w:rPr>
      <w:lang w:val="en-US" w:eastAsia="zh-CN" w:bidi="ar-SA"/>
    </w:rPr>
    <w:tblPr/>
  </w:style>
  <w:style w:type="table" w:styleId="944">
    <w:name w:val="Grid Table 3 - Accent 2"/>
    <w:next w:val="944"/>
    <w:link w:val="831"/>
    <w:uiPriority w:val="99"/>
    <w:qFormat/>
    <w:rPr>
      <w:lang w:val="en-US" w:eastAsia="zh-CN" w:bidi="ar-SA"/>
    </w:rPr>
    <w:tblPr/>
  </w:style>
  <w:style w:type="table" w:styleId="945">
    <w:name w:val="Grid Table 3 - Accent 3"/>
    <w:next w:val="945"/>
    <w:link w:val="831"/>
    <w:uiPriority w:val="99"/>
    <w:qFormat/>
    <w:rPr>
      <w:lang w:val="en-US" w:eastAsia="zh-CN" w:bidi="ar-SA"/>
    </w:rPr>
    <w:tblPr/>
  </w:style>
  <w:style w:type="table" w:styleId="946">
    <w:name w:val="Grid Table 3 - Accent 4"/>
    <w:next w:val="946"/>
    <w:link w:val="831"/>
    <w:uiPriority w:val="99"/>
    <w:qFormat/>
    <w:rPr>
      <w:lang w:val="en-US" w:eastAsia="zh-CN" w:bidi="ar-SA"/>
    </w:rPr>
    <w:tblPr/>
  </w:style>
  <w:style w:type="table" w:styleId="947">
    <w:name w:val="Grid Table 3 - Accent 5"/>
    <w:next w:val="947"/>
    <w:link w:val="831"/>
    <w:uiPriority w:val="99"/>
    <w:qFormat/>
    <w:rPr>
      <w:lang w:val="en-US" w:eastAsia="zh-CN" w:bidi="ar-SA"/>
    </w:rPr>
    <w:tblPr/>
  </w:style>
  <w:style w:type="table" w:styleId="948">
    <w:name w:val="Grid Table 3 - Accent 6"/>
    <w:next w:val="948"/>
    <w:link w:val="831"/>
    <w:uiPriority w:val="99"/>
    <w:qFormat/>
    <w:rPr>
      <w:lang w:val="en-US" w:eastAsia="zh-CN" w:bidi="ar-SA"/>
    </w:rPr>
    <w:tblPr/>
  </w:style>
  <w:style w:type="table" w:styleId="949">
    <w:name w:val="Grid Table 4"/>
    <w:next w:val="949"/>
    <w:link w:val="831"/>
    <w:uiPriority w:val="59"/>
    <w:qFormat/>
    <w:rPr>
      <w:lang w:val="en-US" w:eastAsia="zh-CN" w:bidi="ar-SA"/>
    </w:rPr>
    <w:tblPr/>
  </w:style>
  <w:style w:type="table" w:styleId="950">
    <w:name w:val="Grid Table 4 - Accent 1"/>
    <w:next w:val="950"/>
    <w:link w:val="831"/>
    <w:uiPriority w:val="59"/>
    <w:qFormat/>
    <w:rPr>
      <w:lang w:val="en-US" w:eastAsia="zh-CN" w:bidi="ar-SA"/>
    </w:rPr>
    <w:tblPr/>
  </w:style>
  <w:style w:type="table" w:styleId="951">
    <w:name w:val="Grid Table 4 - Accent 2"/>
    <w:next w:val="951"/>
    <w:link w:val="831"/>
    <w:uiPriority w:val="59"/>
    <w:qFormat/>
    <w:rPr>
      <w:lang w:val="en-US" w:eastAsia="zh-CN" w:bidi="ar-SA"/>
    </w:rPr>
    <w:tblPr/>
  </w:style>
  <w:style w:type="table" w:styleId="952">
    <w:name w:val="Grid Table 4 - Accent 3"/>
    <w:next w:val="952"/>
    <w:link w:val="831"/>
    <w:uiPriority w:val="59"/>
    <w:qFormat/>
    <w:rPr>
      <w:lang w:val="en-US" w:eastAsia="zh-CN" w:bidi="ar-SA"/>
    </w:rPr>
    <w:tblPr/>
  </w:style>
  <w:style w:type="table" w:styleId="953">
    <w:name w:val="Grid Table 4 - Accent 4"/>
    <w:next w:val="953"/>
    <w:link w:val="831"/>
    <w:uiPriority w:val="59"/>
    <w:qFormat/>
    <w:rPr>
      <w:lang w:val="en-US" w:eastAsia="zh-CN" w:bidi="ar-SA"/>
    </w:rPr>
    <w:tblPr/>
  </w:style>
  <w:style w:type="table" w:styleId="954">
    <w:name w:val="Grid Table 4 - Accent 5"/>
    <w:next w:val="954"/>
    <w:link w:val="831"/>
    <w:uiPriority w:val="59"/>
    <w:qFormat/>
    <w:rPr>
      <w:lang w:val="en-US" w:eastAsia="zh-CN" w:bidi="ar-SA"/>
    </w:rPr>
    <w:tblPr/>
  </w:style>
  <w:style w:type="table" w:styleId="955">
    <w:name w:val="Grid Table 4 - Accent 6"/>
    <w:next w:val="955"/>
    <w:link w:val="831"/>
    <w:uiPriority w:val="59"/>
    <w:qFormat/>
    <w:rPr>
      <w:lang w:val="en-US" w:eastAsia="zh-CN" w:bidi="ar-SA"/>
    </w:rPr>
    <w:tblPr/>
  </w:style>
  <w:style w:type="table" w:styleId="956">
    <w:name w:val="Grid Table 5 Dark"/>
    <w:next w:val="956"/>
    <w:link w:val="831"/>
    <w:uiPriority w:val="99"/>
    <w:qFormat/>
    <w:rPr>
      <w:lang w:val="en-US" w:eastAsia="zh-CN" w:bidi="ar-SA"/>
    </w:rPr>
    <w:tblPr/>
  </w:style>
  <w:style w:type="table" w:styleId="957">
    <w:name w:val="Grid Table 5 Dark- Accent 1"/>
    <w:next w:val="957"/>
    <w:link w:val="831"/>
    <w:uiPriority w:val="99"/>
    <w:qFormat/>
    <w:rPr>
      <w:lang w:val="en-US" w:eastAsia="zh-CN" w:bidi="ar-SA"/>
    </w:rPr>
    <w:tblPr/>
  </w:style>
  <w:style w:type="table" w:styleId="958">
    <w:name w:val="Grid Table 5 Dark - Accent 2"/>
    <w:next w:val="958"/>
    <w:link w:val="831"/>
    <w:uiPriority w:val="99"/>
    <w:qFormat/>
    <w:rPr>
      <w:lang w:val="en-US" w:eastAsia="zh-CN" w:bidi="ar-SA"/>
    </w:rPr>
    <w:tblPr/>
  </w:style>
  <w:style w:type="table" w:styleId="959">
    <w:name w:val="Grid Table 5 Dark - Accent 3"/>
    <w:next w:val="959"/>
    <w:link w:val="831"/>
    <w:uiPriority w:val="99"/>
    <w:qFormat/>
    <w:rPr>
      <w:lang w:val="en-US" w:eastAsia="zh-CN" w:bidi="ar-SA"/>
    </w:rPr>
    <w:tblPr/>
  </w:style>
  <w:style w:type="table" w:styleId="960">
    <w:name w:val="Grid Table 5 Dark- Accent 4"/>
    <w:next w:val="960"/>
    <w:link w:val="831"/>
    <w:uiPriority w:val="99"/>
    <w:qFormat/>
    <w:rPr>
      <w:lang w:val="en-US" w:eastAsia="zh-CN" w:bidi="ar-SA"/>
    </w:rPr>
    <w:tblPr/>
  </w:style>
  <w:style w:type="table" w:styleId="961">
    <w:name w:val="Grid Table 5 Dark - Accent 5"/>
    <w:next w:val="961"/>
    <w:link w:val="831"/>
    <w:uiPriority w:val="99"/>
    <w:qFormat/>
    <w:rPr>
      <w:lang w:val="en-US" w:eastAsia="zh-CN" w:bidi="ar-SA"/>
    </w:rPr>
    <w:tblPr/>
  </w:style>
  <w:style w:type="table" w:styleId="962">
    <w:name w:val="Grid Table 5 Dark - Accent 6"/>
    <w:next w:val="962"/>
    <w:link w:val="831"/>
    <w:uiPriority w:val="99"/>
    <w:qFormat/>
    <w:rPr>
      <w:lang w:val="en-US" w:eastAsia="zh-CN" w:bidi="ar-SA"/>
    </w:rPr>
    <w:tblPr/>
  </w:style>
  <w:style w:type="table" w:styleId="963">
    <w:name w:val="Grid Table 6 Colorful"/>
    <w:next w:val="963"/>
    <w:link w:val="831"/>
    <w:uiPriority w:val="99"/>
    <w:qFormat/>
    <w:rPr>
      <w:lang w:val="en-US" w:eastAsia="zh-CN" w:bidi="ar-SA"/>
    </w:rPr>
    <w:tblPr/>
  </w:style>
  <w:style w:type="table" w:styleId="964">
    <w:name w:val="Grid Table 6 Colorful - Accent 1"/>
    <w:next w:val="964"/>
    <w:link w:val="831"/>
    <w:uiPriority w:val="99"/>
    <w:qFormat/>
    <w:rPr>
      <w:lang w:val="en-US" w:eastAsia="zh-CN" w:bidi="ar-SA"/>
    </w:rPr>
    <w:tblPr/>
  </w:style>
  <w:style w:type="table" w:styleId="965">
    <w:name w:val="Grid Table 6 Colorful - Accent 2"/>
    <w:next w:val="965"/>
    <w:link w:val="831"/>
    <w:uiPriority w:val="99"/>
    <w:qFormat/>
    <w:rPr>
      <w:lang w:val="en-US" w:eastAsia="zh-CN" w:bidi="ar-SA"/>
    </w:rPr>
    <w:tblPr/>
  </w:style>
  <w:style w:type="table" w:styleId="966">
    <w:name w:val="Grid Table 6 Colorful - Accent 3"/>
    <w:next w:val="966"/>
    <w:link w:val="831"/>
    <w:uiPriority w:val="99"/>
    <w:qFormat/>
    <w:rPr>
      <w:lang w:val="en-US" w:eastAsia="zh-CN" w:bidi="ar-SA"/>
    </w:rPr>
    <w:tblPr/>
  </w:style>
  <w:style w:type="table" w:styleId="967">
    <w:name w:val="Grid Table 6 Colorful - Accent 4"/>
    <w:next w:val="967"/>
    <w:link w:val="831"/>
    <w:uiPriority w:val="99"/>
    <w:qFormat/>
    <w:rPr>
      <w:lang w:val="en-US" w:eastAsia="zh-CN" w:bidi="ar-SA"/>
    </w:rPr>
    <w:tblPr/>
  </w:style>
  <w:style w:type="table" w:styleId="968">
    <w:name w:val="Grid Table 6 Colorful - Accent 5"/>
    <w:next w:val="968"/>
    <w:link w:val="831"/>
    <w:uiPriority w:val="99"/>
    <w:qFormat/>
    <w:rPr>
      <w:lang w:val="en-US" w:eastAsia="zh-CN" w:bidi="ar-SA"/>
    </w:rPr>
    <w:tblPr/>
  </w:style>
  <w:style w:type="table" w:styleId="969">
    <w:name w:val="Grid Table 6 Colorful - Accent 6"/>
    <w:next w:val="969"/>
    <w:link w:val="831"/>
    <w:uiPriority w:val="99"/>
    <w:qFormat/>
    <w:rPr>
      <w:lang w:val="en-US" w:eastAsia="zh-CN" w:bidi="ar-SA"/>
    </w:rPr>
    <w:tblPr/>
  </w:style>
  <w:style w:type="table" w:styleId="970">
    <w:name w:val="Grid Table 7 Colorful"/>
    <w:next w:val="970"/>
    <w:link w:val="831"/>
    <w:uiPriority w:val="99"/>
    <w:qFormat/>
    <w:rPr>
      <w:lang w:val="en-US" w:eastAsia="zh-CN" w:bidi="ar-SA"/>
    </w:rPr>
    <w:tblPr/>
  </w:style>
  <w:style w:type="table" w:styleId="971">
    <w:name w:val="Grid Table 7 Colorful - Accent 1"/>
    <w:next w:val="971"/>
    <w:link w:val="831"/>
    <w:uiPriority w:val="99"/>
    <w:qFormat/>
    <w:rPr>
      <w:lang w:val="en-US" w:eastAsia="zh-CN" w:bidi="ar-SA"/>
    </w:rPr>
    <w:tblPr/>
  </w:style>
  <w:style w:type="table" w:styleId="972">
    <w:name w:val="Grid Table 7 Colorful - Accent 2"/>
    <w:next w:val="972"/>
    <w:link w:val="831"/>
    <w:uiPriority w:val="99"/>
    <w:qFormat/>
    <w:rPr>
      <w:lang w:val="en-US" w:eastAsia="zh-CN" w:bidi="ar-SA"/>
    </w:rPr>
    <w:tblPr/>
  </w:style>
  <w:style w:type="table" w:styleId="973">
    <w:name w:val="Grid Table 7 Colorful - Accent 3"/>
    <w:next w:val="973"/>
    <w:link w:val="831"/>
    <w:uiPriority w:val="99"/>
    <w:qFormat/>
    <w:rPr>
      <w:lang w:val="en-US" w:eastAsia="zh-CN" w:bidi="ar-SA"/>
    </w:rPr>
    <w:tblPr/>
  </w:style>
  <w:style w:type="table" w:styleId="974">
    <w:name w:val="Grid Table 7 Colorful - Accent 4"/>
    <w:next w:val="974"/>
    <w:link w:val="831"/>
    <w:uiPriority w:val="99"/>
    <w:qFormat/>
    <w:rPr>
      <w:lang w:val="en-US" w:eastAsia="zh-CN" w:bidi="ar-SA"/>
    </w:rPr>
    <w:tblPr/>
  </w:style>
  <w:style w:type="table" w:styleId="975">
    <w:name w:val="Grid Table 7 Colorful - Accent 5"/>
    <w:next w:val="975"/>
    <w:link w:val="831"/>
    <w:uiPriority w:val="99"/>
    <w:qFormat/>
    <w:rPr>
      <w:lang w:val="en-US" w:eastAsia="zh-CN" w:bidi="ar-SA"/>
    </w:rPr>
    <w:tblPr/>
  </w:style>
  <w:style w:type="table" w:styleId="976">
    <w:name w:val="Grid Table 7 Colorful - Accent 6"/>
    <w:next w:val="976"/>
    <w:link w:val="831"/>
    <w:uiPriority w:val="99"/>
    <w:qFormat/>
    <w:rPr>
      <w:lang w:val="en-US" w:eastAsia="zh-CN" w:bidi="ar-SA"/>
    </w:rPr>
    <w:tblPr/>
  </w:style>
  <w:style w:type="table" w:styleId="977">
    <w:name w:val="List Table 1 Light"/>
    <w:next w:val="977"/>
    <w:link w:val="831"/>
    <w:uiPriority w:val="99"/>
    <w:qFormat/>
    <w:rPr>
      <w:lang w:val="en-US" w:eastAsia="zh-CN" w:bidi="ar-SA"/>
    </w:rPr>
    <w:tblPr/>
  </w:style>
  <w:style w:type="table" w:styleId="978">
    <w:name w:val="List Table 1 Light - Accent 1"/>
    <w:next w:val="978"/>
    <w:link w:val="831"/>
    <w:uiPriority w:val="99"/>
    <w:qFormat/>
    <w:rPr>
      <w:lang w:val="en-US" w:eastAsia="zh-CN" w:bidi="ar-SA"/>
    </w:rPr>
    <w:tblPr/>
  </w:style>
  <w:style w:type="table" w:styleId="979">
    <w:name w:val="List Table 1 Light - Accent 2"/>
    <w:next w:val="979"/>
    <w:link w:val="831"/>
    <w:uiPriority w:val="99"/>
    <w:qFormat/>
    <w:rPr>
      <w:lang w:val="en-US" w:eastAsia="zh-CN" w:bidi="ar-SA"/>
    </w:rPr>
    <w:tblPr/>
  </w:style>
  <w:style w:type="table" w:styleId="980">
    <w:name w:val="List Table 1 Light - Accent 3"/>
    <w:next w:val="980"/>
    <w:link w:val="831"/>
    <w:uiPriority w:val="99"/>
    <w:qFormat/>
    <w:rPr>
      <w:lang w:val="en-US" w:eastAsia="zh-CN" w:bidi="ar-SA"/>
    </w:rPr>
    <w:tblPr/>
  </w:style>
  <w:style w:type="table" w:styleId="981">
    <w:name w:val="List Table 1 Light - Accent 4"/>
    <w:next w:val="981"/>
    <w:link w:val="831"/>
    <w:uiPriority w:val="99"/>
    <w:qFormat/>
    <w:rPr>
      <w:lang w:val="en-US" w:eastAsia="zh-CN" w:bidi="ar-SA"/>
    </w:rPr>
    <w:tblPr/>
  </w:style>
  <w:style w:type="table" w:styleId="982">
    <w:name w:val="List Table 1 Light - Accent 5"/>
    <w:next w:val="982"/>
    <w:link w:val="831"/>
    <w:uiPriority w:val="99"/>
    <w:qFormat/>
    <w:rPr>
      <w:lang w:val="en-US" w:eastAsia="zh-CN" w:bidi="ar-SA"/>
    </w:rPr>
    <w:tblPr/>
  </w:style>
  <w:style w:type="table" w:styleId="983">
    <w:name w:val="List Table 1 Light - Accent 6"/>
    <w:next w:val="983"/>
    <w:link w:val="831"/>
    <w:uiPriority w:val="99"/>
    <w:qFormat/>
    <w:rPr>
      <w:lang w:val="en-US" w:eastAsia="zh-CN" w:bidi="ar-SA"/>
    </w:rPr>
    <w:tblPr/>
  </w:style>
  <w:style w:type="table" w:styleId="984">
    <w:name w:val="List Table 2"/>
    <w:next w:val="984"/>
    <w:link w:val="831"/>
    <w:uiPriority w:val="99"/>
    <w:qFormat/>
    <w:rPr>
      <w:lang w:val="en-US" w:eastAsia="zh-CN" w:bidi="ar-SA"/>
    </w:rPr>
    <w:tblPr/>
  </w:style>
  <w:style w:type="table" w:styleId="985">
    <w:name w:val="List Table 2 - Accent 1"/>
    <w:next w:val="985"/>
    <w:link w:val="831"/>
    <w:uiPriority w:val="99"/>
    <w:qFormat/>
    <w:rPr>
      <w:lang w:val="en-US" w:eastAsia="zh-CN" w:bidi="ar-SA"/>
    </w:rPr>
    <w:tblPr/>
  </w:style>
  <w:style w:type="table" w:styleId="986">
    <w:name w:val="List Table 2 - Accent 2"/>
    <w:next w:val="986"/>
    <w:link w:val="831"/>
    <w:uiPriority w:val="99"/>
    <w:qFormat/>
    <w:rPr>
      <w:lang w:val="en-US" w:eastAsia="zh-CN" w:bidi="ar-SA"/>
    </w:rPr>
    <w:tblPr/>
  </w:style>
  <w:style w:type="table" w:styleId="987">
    <w:name w:val="List Table 2 - Accent 3"/>
    <w:next w:val="987"/>
    <w:link w:val="831"/>
    <w:uiPriority w:val="99"/>
    <w:qFormat/>
    <w:rPr>
      <w:lang w:val="en-US" w:eastAsia="zh-CN" w:bidi="ar-SA"/>
    </w:rPr>
    <w:tblPr/>
  </w:style>
  <w:style w:type="table" w:styleId="988">
    <w:name w:val="List Table 2 - Accent 4"/>
    <w:next w:val="988"/>
    <w:link w:val="831"/>
    <w:uiPriority w:val="99"/>
    <w:qFormat/>
    <w:rPr>
      <w:lang w:val="en-US" w:eastAsia="zh-CN" w:bidi="ar-SA"/>
    </w:rPr>
    <w:tblPr/>
  </w:style>
  <w:style w:type="table" w:styleId="989">
    <w:name w:val="List Table 2 - Accent 5"/>
    <w:next w:val="989"/>
    <w:link w:val="831"/>
    <w:uiPriority w:val="99"/>
    <w:qFormat/>
    <w:rPr>
      <w:lang w:val="en-US" w:eastAsia="zh-CN" w:bidi="ar-SA"/>
    </w:rPr>
    <w:tblPr/>
  </w:style>
  <w:style w:type="table" w:styleId="990">
    <w:name w:val="List Table 2 - Accent 6"/>
    <w:next w:val="990"/>
    <w:link w:val="831"/>
    <w:uiPriority w:val="99"/>
    <w:qFormat/>
    <w:rPr>
      <w:lang w:val="en-US" w:eastAsia="zh-CN" w:bidi="ar-SA"/>
    </w:rPr>
    <w:tblPr/>
  </w:style>
  <w:style w:type="table" w:styleId="991">
    <w:name w:val="List Table 3"/>
    <w:next w:val="991"/>
    <w:link w:val="831"/>
    <w:uiPriority w:val="99"/>
    <w:qFormat/>
    <w:rPr>
      <w:lang w:val="en-US" w:eastAsia="zh-CN" w:bidi="ar-SA"/>
    </w:rPr>
    <w:tblPr/>
  </w:style>
  <w:style w:type="table" w:styleId="992">
    <w:name w:val="List Table 3 - Accent 1"/>
    <w:next w:val="992"/>
    <w:link w:val="831"/>
    <w:uiPriority w:val="99"/>
    <w:qFormat/>
    <w:rPr>
      <w:lang w:val="en-US" w:eastAsia="zh-CN" w:bidi="ar-SA"/>
    </w:rPr>
    <w:tblPr/>
  </w:style>
  <w:style w:type="table" w:styleId="993">
    <w:name w:val="List Table 3 - Accent 2"/>
    <w:next w:val="993"/>
    <w:link w:val="831"/>
    <w:uiPriority w:val="99"/>
    <w:qFormat/>
    <w:rPr>
      <w:lang w:val="en-US" w:eastAsia="zh-CN" w:bidi="ar-SA"/>
    </w:rPr>
    <w:tblPr/>
  </w:style>
  <w:style w:type="table" w:styleId="994">
    <w:name w:val="List Table 3 - Accent 3"/>
    <w:next w:val="994"/>
    <w:link w:val="831"/>
    <w:uiPriority w:val="99"/>
    <w:qFormat/>
    <w:rPr>
      <w:lang w:val="en-US" w:eastAsia="zh-CN" w:bidi="ar-SA"/>
    </w:rPr>
    <w:tblPr/>
  </w:style>
  <w:style w:type="table" w:styleId="995">
    <w:name w:val="List Table 3 - Accent 4"/>
    <w:next w:val="995"/>
    <w:link w:val="831"/>
    <w:uiPriority w:val="99"/>
    <w:qFormat/>
    <w:rPr>
      <w:lang w:val="en-US" w:eastAsia="zh-CN" w:bidi="ar-SA"/>
    </w:rPr>
    <w:tblPr/>
  </w:style>
  <w:style w:type="table" w:styleId="996">
    <w:name w:val="List Table 3 - Accent 5"/>
    <w:next w:val="996"/>
    <w:link w:val="831"/>
    <w:uiPriority w:val="99"/>
    <w:qFormat/>
    <w:rPr>
      <w:lang w:val="en-US" w:eastAsia="zh-CN" w:bidi="ar-SA"/>
    </w:rPr>
    <w:tblPr/>
  </w:style>
  <w:style w:type="table" w:styleId="997">
    <w:name w:val="List Table 3 - Accent 6"/>
    <w:next w:val="997"/>
    <w:link w:val="831"/>
    <w:uiPriority w:val="99"/>
    <w:qFormat/>
    <w:rPr>
      <w:lang w:val="en-US" w:eastAsia="zh-CN" w:bidi="ar-SA"/>
    </w:rPr>
    <w:tblPr/>
  </w:style>
  <w:style w:type="table" w:styleId="998">
    <w:name w:val="List Table 4"/>
    <w:next w:val="998"/>
    <w:link w:val="831"/>
    <w:uiPriority w:val="99"/>
    <w:qFormat/>
    <w:rPr>
      <w:lang w:val="en-US" w:eastAsia="zh-CN" w:bidi="ar-SA"/>
    </w:rPr>
    <w:tblPr/>
  </w:style>
  <w:style w:type="table" w:styleId="999">
    <w:name w:val="List Table 4 - Accent 1"/>
    <w:next w:val="999"/>
    <w:link w:val="831"/>
    <w:uiPriority w:val="99"/>
    <w:qFormat/>
    <w:rPr>
      <w:lang w:val="en-US" w:eastAsia="zh-CN" w:bidi="ar-SA"/>
    </w:rPr>
    <w:tblPr/>
  </w:style>
  <w:style w:type="table" w:styleId="1000">
    <w:name w:val="List Table 4 - Accent 2"/>
    <w:next w:val="1000"/>
    <w:link w:val="831"/>
    <w:uiPriority w:val="99"/>
    <w:qFormat/>
    <w:rPr>
      <w:lang w:val="en-US" w:eastAsia="zh-CN" w:bidi="ar-SA"/>
    </w:rPr>
    <w:tblPr/>
  </w:style>
  <w:style w:type="table" w:styleId="1001">
    <w:name w:val="List Table 4 - Accent 3"/>
    <w:next w:val="1001"/>
    <w:link w:val="831"/>
    <w:uiPriority w:val="99"/>
    <w:qFormat/>
    <w:rPr>
      <w:lang w:val="en-US" w:eastAsia="zh-CN" w:bidi="ar-SA"/>
    </w:rPr>
    <w:tblPr/>
  </w:style>
  <w:style w:type="table" w:styleId="1002">
    <w:name w:val="List Table 4 - Accent 4"/>
    <w:next w:val="1002"/>
    <w:link w:val="831"/>
    <w:uiPriority w:val="99"/>
    <w:qFormat/>
    <w:rPr>
      <w:lang w:val="en-US" w:eastAsia="zh-CN" w:bidi="ar-SA"/>
    </w:rPr>
    <w:tblPr/>
  </w:style>
  <w:style w:type="table" w:styleId="1003">
    <w:name w:val="List Table 4 - Accent 5"/>
    <w:next w:val="1003"/>
    <w:link w:val="831"/>
    <w:uiPriority w:val="99"/>
    <w:qFormat/>
    <w:rPr>
      <w:lang w:val="en-US" w:eastAsia="zh-CN" w:bidi="ar-SA"/>
    </w:rPr>
    <w:tblPr/>
  </w:style>
  <w:style w:type="table" w:styleId="1004">
    <w:name w:val="List Table 4 - Accent 6"/>
    <w:next w:val="1004"/>
    <w:link w:val="831"/>
    <w:uiPriority w:val="99"/>
    <w:qFormat/>
    <w:rPr>
      <w:lang w:val="en-US" w:eastAsia="zh-CN" w:bidi="ar-SA"/>
    </w:rPr>
    <w:tblPr/>
  </w:style>
  <w:style w:type="table" w:styleId="1005">
    <w:name w:val="List Table 5 Dark"/>
    <w:next w:val="1005"/>
    <w:link w:val="831"/>
    <w:uiPriority w:val="99"/>
    <w:qFormat/>
    <w:rPr>
      <w:lang w:val="en-US" w:eastAsia="zh-CN" w:bidi="ar-SA"/>
    </w:rPr>
    <w:tblPr/>
  </w:style>
  <w:style w:type="table" w:styleId="1006">
    <w:name w:val="List Table 5 Dark - Accent 1"/>
    <w:next w:val="1006"/>
    <w:link w:val="831"/>
    <w:uiPriority w:val="99"/>
    <w:qFormat/>
    <w:rPr>
      <w:lang w:val="en-US" w:eastAsia="zh-CN" w:bidi="ar-SA"/>
    </w:rPr>
    <w:tblPr/>
  </w:style>
  <w:style w:type="table" w:styleId="1007">
    <w:name w:val="List Table 5 Dark - Accent 2"/>
    <w:next w:val="1007"/>
    <w:link w:val="831"/>
    <w:uiPriority w:val="99"/>
    <w:qFormat/>
    <w:rPr>
      <w:lang w:val="en-US" w:eastAsia="zh-CN" w:bidi="ar-SA"/>
    </w:rPr>
    <w:tblPr/>
  </w:style>
  <w:style w:type="table" w:styleId="1008">
    <w:name w:val="List Table 5 Dark - Accent 3"/>
    <w:next w:val="1008"/>
    <w:link w:val="831"/>
    <w:uiPriority w:val="99"/>
    <w:qFormat/>
    <w:rPr>
      <w:lang w:val="en-US" w:eastAsia="zh-CN" w:bidi="ar-SA"/>
    </w:rPr>
    <w:tblPr/>
  </w:style>
  <w:style w:type="table" w:styleId="1009">
    <w:name w:val="List Table 5 Dark - Accent 4"/>
    <w:next w:val="1009"/>
    <w:link w:val="831"/>
    <w:uiPriority w:val="99"/>
    <w:qFormat/>
    <w:rPr>
      <w:lang w:val="en-US" w:eastAsia="zh-CN" w:bidi="ar-SA"/>
    </w:rPr>
    <w:tblPr/>
  </w:style>
  <w:style w:type="table" w:styleId="1010">
    <w:name w:val="List Table 5 Dark - Accent 5"/>
    <w:next w:val="1010"/>
    <w:link w:val="831"/>
    <w:uiPriority w:val="99"/>
    <w:qFormat/>
    <w:rPr>
      <w:lang w:val="en-US" w:eastAsia="zh-CN" w:bidi="ar-SA"/>
    </w:rPr>
    <w:tblPr/>
  </w:style>
  <w:style w:type="table" w:styleId="1011">
    <w:name w:val="List Table 5 Dark - Accent 6"/>
    <w:next w:val="1011"/>
    <w:link w:val="831"/>
    <w:uiPriority w:val="99"/>
    <w:qFormat/>
    <w:rPr>
      <w:lang w:val="en-US" w:eastAsia="zh-CN" w:bidi="ar-SA"/>
    </w:rPr>
    <w:tblPr/>
  </w:style>
  <w:style w:type="table" w:styleId="1012">
    <w:name w:val="List Table 6 Colorful"/>
    <w:next w:val="1012"/>
    <w:link w:val="831"/>
    <w:uiPriority w:val="99"/>
    <w:qFormat/>
    <w:rPr>
      <w:lang w:val="en-US" w:eastAsia="zh-CN" w:bidi="ar-SA"/>
    </w:rPr>
    <w:tblPr/>
  </w:style>
  <w:style w:type="table" w:styleId="1013">
    <w:name w:val="List Table 6 Colorful - Accent 1"/>
    <w:next w:val="1013"/>
    <w:link w:val="831"/>
    <w:uiPriority w:val="99"/>
    <w:qFormat/>
    <w:rPr>
      <w:lang w:val="en-US" w:eastAsia="zh-CN" w:bidi="ar-SA"/>
    </w:rPr>
    <w:tblPr/>
  </w:style>
  <w:style w:type="table" w:styleId="1014">
    <w:name w:val="List Table 6 Colorful - Accent 2"/>
    <w:next w:val="1014"/>
    <w:link w:val="831"/>
    <w:uiPriority w:val="99"/>
    <w:qFormat/>
    <w:rPr>
      <w:lang w:val="en-US" w:eastAsia="zh-CN" w:bidi="ar-SA"/>
    </w:rPr>
    <w:tblPr/>
  </w:style>
  <w:style w:type="table" w:styleId="1015">
    <w:name w:val="List Table 6 Colorful - Accent 3"/>
    <w:next w:val="1015"/>
    <w:link w:val="831"/>
    <w:uiPriority w:val="99"/>
    <w:qFormat/>
    <w:rPr>
      <w:lang w:val="en-US" w:eastAsia="zh-CN" w:bidi="ar-SA"/>
    </w:rPr>
    <w:tblPr/>
  </w:style>
  <w:style w:type="table" w:styleId="1016">
    <w:name w:val="List Table 6 Colorful - Accent 4"/>
    <w:next w:val="1016"/>
    <w:link w:val="831"/>
    <w:uiPriority w:val="99"/>
    <w:qFormat/>
    <w:rPr>
      <w:lang w:val="en-US" w:eastAsia="zh-CN" w:bidi="ar-SA"/>
    </w:rPr>
    <w:tblPr/>
  </w:style>
  <w:style w:type="table" w:styleId="1017">
    <w:name w:val="List Table 6 Colorful - Accent 5"/>
    <w:next w:val="1017"/>
    <w:link w:val="831"/>
    <w:uiPriority w:val="99"/>
    <w:qFormat/>
    <w:rPr>
      <w:lang w:val="en-US" w:eastAsia="zh-CN" w:bidi="ar-SA"/>
    </w:rPr>
    <w:tblPr/>
  </w:style>
  <w:style w:type="table" w:styleId="1018">
    <w:name w:val="List Table 6 Colorful - Accent 6"/>
    <w:next w:val="1018"/>
    <w:link w:val="831"/>
    <w:uiPriority w:val="99"/>
    <w:qFormat/>
    <w:rPr>
      <w:lang w:val="en-US" w:eastAsia="zh-CN" w:bidi="ar-SA"/>
    </w:rPr>
    <w:tblPr/>
  </w:style>
  <w:style w:type="table" w:styleId="1019">
    <w:name w:val="List Table 7 Colorful"/>
    <w:next w:val="1019"/>
    <w:link w:val="831"/>
    <w:uiPriority w:val="99"/>
    <w:qFormat/>
    <w:rPr>
      <w:lang w:val="en-US" w:eastAsia="zh-CN" w:bidi="ar-SA"/>
    </w:rPr>
    <w:tblPr/>
  </w:style>
  <w:style w:type="table" w:styleId="1020">
    <w:name w:val="List Table 7 Colorful - Accent 1"/>
    <w:next w:val="1020"/>
    <w:link w:val="831"/>
    <w:uiPriority w:val="99"/>
    <w:qFormat/>
    <w:rPr>
      <w:lang w:val="en-US" w:eastAsia="zh-CN" w:bidi="ar-SA"/>
    </w:rPr>
    <w:tblPr/>
  </w:style>
  <w:style w:type="table" w:styleId="1021">
    <w:name w:val="List Table 7 Colorful - Accent 2"/>
    <w:next w:val="1021"/>
    <w:link w:val="831"/>
    <w:uiPriority w:val="99"/>
    <w:qFormat/>
    <w:rPr>
      <w:lang w:val="en-US" w:eastAsia="zh-CN" w:bidi="ar-SA"/>
    </w:rPr>
    <w:tblPr/>
  </w:style>
  <w:style w:type="table" w:styleId="1022">
    <w:name w:val="List Table 7 Colorful - Accent 3"/>
    <w:next w:val="1022"/>
    <w:link w:val="831"/>
    <w:uiPriority w:val="99"/>
    <w:qFormat/>
    <w:rPr>
      <w:lang w:val="en-US" w:eastAsia="zh-CN" w:bidi="ar-SA"/>
    </w:rPr>
    <w:tblPr/>
  </w:style>
  <w:style w:type="table" w:styleId="1023">
    <w:name w:val="List Table 7 Colorful - Accent 4"/>
    <w:next w:val="1023"/>
    <w:link w:val="831"/>
    <w:uiPriority w:val="99"/>
    <w:qFormat/>
    <w:rPr>
      <w:lang w:val="en-US" w:eastAsia="zh-CN" w:bidi="ar-SA"/>
    </w:rPr>
    <w:tblPr/>
  </w:style>
  <w:style w:type="table" w:styleId="1024">
    <w:name w:val="List Table 7 Colorful - Accent 5"/>
    <w:next w:val="1024"/>
    <w:link w:val="831"/>
    <w:uiPriority w:val="99"/>
    <w:qFormat/>
    <w:rPr>
      <w:lang w:val="en-US" w:eastAsia="zh-CN" w:bidi="ar-SA"/>
    </w:rPr>
    <w:tblPr/>
  </w:style>
  <w:style w:type="table" w:styleId="1025">
    <w:name w:val="List Table 7 Colorful - Accent 6"/>
    <w:next w:val="1025"/>
    <w:link w:val="831"/>
    <w:uiPriority w:val="99"/>
    <w:qFormat/>
    <w:rPr>
      <w:lang w:val="en-US" w:eastAsia="zh-CN" w:bidi="ar-SA"/>
    </w:rPr>
    <w:tblPr/>
  </w:style>
  <w:style w:type="table" w:styleId="1026">
    <w:name w:val="Lined - Accent"/>
    <w:next w:val="1026"/>
    <w:link w:val="831"/>
    <w:uiPriority w:val="99"/>
    <w:qFormat/>
    <w:rPr>
      <w:color w:val="404040"/>
      <w:lang w:val="en-US" w:eastAsia="zh-CN" w:bidi="ar-SA"/>
    </w:rPr>
    <w:tblPr/>
  </w:style>
  <w:style w:type="table" w:styleId="1027">
    <w:name w:val="Lined - Accent 1"/>
    <w:next w:val="1027"/>
    <w:link w:val="831"/>
    <w:uiPriority w:val="99"/>
    <w:qFormat/>
    <w:rPr>
      <w:color w:val="404040"/>
      <w:lang w:val="en-US" w:eastAsia="zh-CN" w:bidi="ar-SA"/>
    </w:rPr>
    <w:tblPr/>
  </w:style>
  <w:style w:type="table" w:styleId="1028">
    <w:name w:val="Lined - Accent 2"/>
    <w:next w:val="1028"/>
    <w:link w:val="831"/>
    <w:uiPriority w:val="99"/>
    <w:qFormat/>
    <w:rPr>
      <w:color w:val="404040"/>
      <w:lang w:val="en-US" w:eastAsia="zh-CN" w:bidi="ar-SA"/>
    </w:rPr>
    <w:tblPr/>
  </w:style>
  <w:style w:type="table" w:styleId="1029">
    <w:name w:val="Lined - Accent 3"/>
    <w:next w:val="1029"/>
    <w:link w:val="831"/>
    <w:uiPriority w:val="99"/>
    <w:qFormat/>
    <w:rPr>
      <w:color w:val="404040"/>
      <w:lang w:val="en-US" w:eastAsia="zh-CN" w:bidi="ar-SA"/>
    </w:rPr>
    <w:tblPr/>
  </w:style>
  <w:style w:type="table" w:styleId="1030">
    <w:name w:val="Lined - Accent 4"/>
    <w:next w:val="1030"/>
    <w:link w:val="831"/>
    <w:uiPriority w:val="99"/>
    <w:qFormat/>
    <w:rPr>
      <w:color w:val="404040"/>
      <w:lang w:val="en-US" w:eastAsia="zh-CN" w:bidi="ar-SA"/>
    </w:rPr>
    <w:tblPr/>
  </w:style>
  <w:style w:type="table" w:styleId="1031">
    <w:name w:val="Lined - Accent 5"/>
    <w:next w:val="1031"/>
    <w:link w:val="831"/>
    <w:uiPriority w:val="99"/>
    <w:qFormat/>
    <w:rPr>
      <w:color w:val="404040"/>
      <w:lang w:val="en-US" w:eastAsia="zh-CN" w:bidi="ar-SA"/>
    </w:rPr>
    <w:tblPr/>
  </w:style>
  <w:style w:type="table" w:styleId="1032">
    <w:name w:val="Lined - Accent 6"/>
    <w:next w:val="1032"/>
    <w:link w:val="831"/>
    <w:uiPriority w:val="99"/>
    <w:qFormat/>
    <w:rPr>
      <w:color w:val="404040"/>
      <w:lang w:val="en-US" w:eastAsia="zh-CN" w:bidi="ar-SA"/>
    </w:rPr>
    <w:tblPr/>
  </w:style>
  <w:style w:type="table" w:styleId="1033">
    <w:name w:val="Bordered &amp; Lined - Accent"/>
    <w:next w:val="1033"/>
    <w:link w:val="831"/>
    <w:uiPriority w:val="99"/>
    <w:qFormat/>
    <w:rPr>
      <w:color w:val="404040"/>
      <w:lang w:val="en-US" w:eastAsia="zh-CN" w:bidi="ar-SA"/>
    </w:rPr>
    <w:tblPr/>
  </w:style>
  <w:style w:type="table" w:styleId="1034">
    <w:name w:val="Bordered &amp; Lined - Accent 1"/>
    <w:next w:val="1034"/>
    <w:link w:val="831"/>
    <w:uiPriority w:val="99"/>
    <w:qFormat/>
    <w:rPr>
      <w:color w:val="404040"/>
      <w:lang w:val="en-US" w:eastAsia="zh-CN" w:bidi="ar-SA"/>
    </w:rPr>
    <w:tblPr/>
  </w:style>
  <w:style w:type="table" w:styleId="1035">
    <w:name w:val="Bordered &amp; Lined - Accent 2"/>
    <w:next w:val="1035"/>
    <w:link w:val="831"/>
    <w:uiPriority w:val="99"/>
    <w:qFormat/>
    <w:rPr>
      <w:color w:val="404040"/>
      <w:lang w:val="en-US" w:eastAsia="zh-CN" w:bidi="ar-SA"/>
    </w:rPr>
    <w:tblPr/>
  </w:style>
  <w:style w:type="table" w:styleId="1036">
    <w:name w:val="Bordered &amp; Lined - Accent 3"/>
    <w:next w:val="1036"/>
    <w:link w:val="831"/>
    <w:uiPriority w:val="99"/>
    <w:qFormat/>
    <w:rPr>
      <w:color w:val="404040"/>
      <w:lang w:val="en-US" w:eastAsia="zh-CN" w:bidi="ar-SA"/>
    </w:rPr>
    <w:tblPr/>
  </w:style>
  <w:style w:type="table" w:styleId="1037">
    <w:name w:val="Bordered &amp; Lined - Accent 4"/>
    <w:next w:val="1037"/>
    <w:link w:val="831"/>
    <w:uiPriority w:val="99"/>
    <w:qFormat/>
    <w:rPr>
      <w:color w:val="404040"/>
      <w:lang w:val="en-US" w:eastAsia="zh-CN" w:bidi="ar-SA"/>
    </w:rPr>
    <w:tblPr/>
  </w:style>
  <w:style w:type="table" w:styleId="1038">
    <w:name w:val="Bordered &amp; Lined - Accent 5"/>
    <w:next w:val="1038"/>
    <w:link w:val="831"/>
    <w:uiPriority w:val="99"/>
    <w:qFormat/>
    <w:rPr>
      <w:color w:val="404040"/>
      <w:lang w:val="en-US" w:eastAsia="zh-CN" w:bidi="ar-SA"/>
    </w:rPr>
    <w:tblPr/>
  </w:style>
  <w:style w:type="table" w:styleId="1039">
    <w:name w:val="Bordered &amp; Lined - Accent 6"/>
    <w:next w:val="1039"/>
    <w:link w:val="831"/>
    <w:uiPriority w:val="99"/>
    <w:qFormat/>
    <w:rPr>
      <w:color w:val="404040"/>
      <w:lang w:val="en-US" w:eastAsia="zh-CN" w:bidi="ar-SA"/>
    </w:rPr>
    <w:tblPr/>
  </w:style>
  <w:style w:type="table" w:styleId="1040">
    <w:name w:val="Bordered"/>
    <w:next w:val="1040"/>
    <w:link w:val="831"/>
    <w:uiPriority w:val="99"/>
    <w:qFormat/>
    <w:rPr>
      <w:lang w:val="en-US" w:eastAsia="zh-CN" w:bidi="ar-SA"/>
    </w:rPr>
    <w:tblPr/>
  </w:style>
  <w:style w:type="table" w:styleId="1041">
    <w:name w:val="Bordered - Accent 1"/>
    <w:next w:val="1041"/>
    <w:link w:val="831"/>
    <w:uiPriority w:val="99"/>
    <w:qFormat/>
    <w:rPr>
      <w:lang w:val="en-US" w:eastAsia="zh-CN" w:bidi="ar-SA"/>
    </w:rPr>
    <w:tblPr/>
  </w:style>
  <w:style w:type="table" w:styleId="1042">
    <w:name w:val="Bordered - Accent 2"/>
    <w:next w:val="1042"/>
    <w:link w:val="831"/>
    <w:uiPriority w:val="99"/>
    <w:qFormat/>
    <w:rPr>
      <w:lang w:val="en-US" w:eastAsia="zh-CN" w:bidi="ar-SA"/>
    </w:rPr>
    <w:tblPr/>
  </w:style>
  <w:style w:type="table" w:styleId="1043">
    <w:name w:val="Bordered - Accent 3"/>
    <w:next w:val="1043"/>
    <w:link w:val="831"/>
    <w:uiPriority w:val="99"/>
    <w:qFormat/>
    <w:rPr>
      <w:lang w:val="en-US" w:eastAsia="zh-CN" w:bidi="ar-SA"/>
    </w:rPr>
    <w:tblPr/>
  </w:style>
  <w:style w:type="table" w:styleId="1044">
    <w:name w:val="Bordered - Accent 4"/>
    <w:next w:val="1044"/>
    <w:link w:val="831"/>
    <w:uiPriority w:val="99"/>
    <w:qFormat/>
    <w:rPr>
      <w:lang w:val="en-US" w:eastAsia="zh-CN" w:bidi="ar-SA"/>
    </w:rPr>
    <w:tblPr/>
  </w:style>
  <w:style w:type="table" w:styleId="1045">
    <w:name w:val="Bordered - Accent 5"/>
    <w:next w:val="1045"/>
    <w:link w:val="831"/>
    <w:uiPriority w:val="99"/>
    <w:qFormat/>
    <w:rPr>
      <w:lang w:val="en-US" w:eastAsia="zh-CN" w:bidi="ar-SA"/>
    </w:rPr>
    <w:tblPr/>
  </w:style>
  <w:style w:type="table" w:styleId="1046">
    <w:name w:val="Bordered - Accent 6"/>
    <w:next w:val="1046"/>
    <w:link w:val="831"/>
    <w:uiPriority w:val="99"/>
    <w:qFormat/>
    <w:rPr>
      <w:lang w:val="en-US" w:eastAsia="zh-CN" w:bidi="ar-SA"/>
    </w:rPr>
    <w:tblPr/>
  </w:style>
  <w:style w:type="paragraph" w:styleId="1047">
    <w:name w:val="TOC Heading"/>
    <w:next w:val="1047"/>
    <w:link w:val="831"/>
    <w:uiPriority w:val="39"/>
    <w:unhideWhenUsed/>
    <w:qFormat/>
    <w:rPr>
      <w:rFonts w:eastAsia="Arial"/>
      <w:sz w:val="21"/>
      <w:szCs w:val="22"/>
      <w:lang w:val="en-US" w:eastAsia="zh-CN" w:bidi="ar-SA"/>
    </w:rPr>
  </w:style>
  <w:style w:type="paragraph" w:styleId="1048">
    <w:name w:val="纯文本1"/>
    <w:basedOn w:val="831"/>
    <w:next w:val="1048"/>
    <w:link w:val="831"/>
    <w:qFormat/>
    <w:rPr>
      <w:rFonts w:ascii="宋体" w:hAnsi="Courier New" w:eastAsia="宋体"/>
      <w:sz w:val="28"/>
      <w:szCs w:val="28"/>
    </w:rPr>
  </w:style>
  <w:style w:type="paragraph" w:styleId="1049">
    <w:name w:val="索引 41"/>
    <w:basedOn w:val="831"/>
    <w:next w:val="831"/>
    <w:link w:val="831"/>
    <w:uiPriority w:val="99"/>
    <w:unhideWhenUsed/>
    <w:qFormat/>
    <w:pPr>
      <w:ind w:left="600"/>
    </w:pPr>
    <w:rPr>
      <w:rFonts w:ascii="Verdana" w:hAnsi="Verdana"/>
      <w:szCs w:val="20"/>
    </w:rPr>
  </w:style>
  <w:style w:type="paragraph" w:styleId="1050">
    <w:name w:val="首行缩进"/>
    <w:basedOn w:val="831"/>
    <w:next w:val="1050"/>
    <w:link w:val="831"/>
    <w:qFormat/>
    <w:pPr>
      <w:ind w:firstLine="480"/>
      <w:spacing w:line="360" w:lineRule="auto"/>
    </w:pPr>
    <w:rPr>
      <w:rFonts w:ascii="宋体" w:hAnsi="宋体"/>
      <w:sz w:val="24"/>
      <w:szCs w:val="24"/>
    </w:rPr>
  </w:style>
  <w:style w:type="paragraph" w:styleId="1051">
    <w:name w:val="修订"/>
    <w:next w:val="1051"/>
    <w:link w:val="831"/>
    <w:uiPriority w:val="99"/>
    <w:unhideWhenUsed/>
    <w:rPr>
      <w:rFonts w:eastAsia="Arial"/>
      <w:sz w:val="21"/>
      <w:szCs w:val="22"/>
      <w:lang w:val="en-US" w:eastAsia="zh-CN" w:bidi="ar-SA"/>
    </w:rPr>
  </w:style>
  <w:style w:type="paragraph" w:styleId="1052">
    <w:name w:val="AONormal"/>
    <w:next w:val="1052"/>
    <w:link w:val="831"/>
    <w:qFormat/>
    <w:pPr>
      <w:ind w:firstLine="440"/>
      <w:spacing w:line="400" w:lineRule="exact"/>
    </w:pPr>
    <w:rPr>
      <w:rFonts w:ascii="华文楷体" w:hAnsi="华文楷体" w:eastAsia="华文楷体" w:cs="华文楷体"/>
      <w:sz w:val="22"/>
      <w:szCs w:val="21"/>
      <w:lang w:val="en-US" w:eastAsia="zh-CN" w:bidi="ar-SA"/>
    </w:rPr>
  </w:style>
  <w:style w:type="table" w:styleId="1053">
    <w:name w:val="网格型1"/>
    <w:basedOn w:val="1054"/>
    <w:next w:val="1053"/>
    <w:link w:val="831"/>
    <w:uiPriority w:val="59"/>
    <w:qFormat/>
    <w:tblPr/>
  </w:style>
  <w:style w:type="table" w:styleId="1054">
    <w:name w:val="普通表格1"/>
    <w:next w:val="1054"/>
    <w:link w:val="831"/>
    <w:uiPriority w:val="99"/>
    <w:unhideWhenUsed/>
    <w:qFormat/>
    <w:rPr>
      <w:lang w:val="en-US" w:eastAsia="zh-CN" w:bidi="ar-SA"/>
    </w:rPr>
    <w:tblPr/>
  </w:style>
  <w:style w:type="paragraph" w:styleId="1055">
    <w:name w:val="标题 411"/>
    <w:basedOn w:val="831"/>
    <w:next w:val="831"/>
    <w:link w:val="831"/>
    <w:qFormat/>
    <w:pPr>
      <w:keepLines/>
      <w:keepNext/>
      <w:spacing w:before="280" w:after="290" w:line="376" w:lineRule="auto"/>
      <w:outlineLvl w:val="3"/>
    </w:pPr>
    <w:rPr>
      <w:rFonts w:ascii="Cambria" w:hAnsi="Cambria"/>
      <w:b/>
      <w:bCs/>
      <w:sz w:val="28"/>
      <w:szCs w:val="28"/>
    </w:rPr>
  </w:style>
  <w:style w:type="paragraph" w:styleId="1056">
    <w:name w:val="正文文本1"/>
    <w:basedOn w:val="831"/>
    <w:next w:val="1056"/>
    <w:link w:val="831"/>
    <w:qFormat/>
    <w:pPr>
      <w:jc w:val="both"/>
      <w:spacing w:line="500" w:lineRule="exact"/>
      <w:tabs>
        <w:tab w:val="left" w:pos="993" w:leader="none"/>
        <w:tab w:val="left" w:pos="1134" w:leader="none"/>
      </w:tabs>
    </w:pPr>
  </w:style>
  <w:style w:type="paragraph" w:styleId="1057">
    <w:name w:val="正文_0"/>
    <w:next w:val="1057"/>
    <w:link w:val="831"/>
    <w:qFormat/>
    <w:pPr>
      <w:jc w:val="both"/>
      <w:widowControl w:val="off"/>
    </w:pPr>
    <w:rPr>
      <w:rFonts w:ascii="Calibri" w:hAnsi="Calibri" w:cs="Calibri"/>
      <w:sz w:val="21"/>
      <w:szCs w:val="24"/>
      <w:lang w:val="en-US" w:eastAsia="zh-CN" w:bidi="ar-SA"/>
    </w:rPr>
  </w:style>
  <w:style w:type="paragraph" w:styleId="1058">
    <w:name w:val="页脚1"/>
    <w:basedOn w:val="831"/>
    <w:next w:val="1058"/>
    <w:link w:val="831"/>
    <w:uiPriority w:val="99"/>
    <w:qFormat/>
    <w:pPr>
      <w:tabs>
        <w:tab w:val="center" w:pos="4153" w:leader="none"/>
        <w:tab w:val="right" w:pos="8306" w:leader="none"/>
      </w:tabs>
    </w:pPr>
    <w:rPr>
      <w:sz w:val="18"/>
      <w:szCs w:val="18"/>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11111111</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jly</dc:creator>
  <cp:lastModifiedBy>汪丹丹</cp:lastModifiedBy>
  <cp:revision>4</cp:revision>
  <dcterms:created xsi:type="dcterms:W3CDTF">2026-05-18T07:27:00Z</dcterms:created>
  <dcterms:modified xsi:type="dcterms:W3CDTF">2026-05-18T08:23:30Z</dcterms:modified>
  <cp:version>983040</cp:version>
</cp:coreProperties>
</file>