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line="240" w:lineRule="auto"/>
        <w:widowControl w:val="off"/>
        <w:rPr>
          <w:rFonts w:ascii="方正小标宋简体" w:hAnsi="Arial" w:eastAsia="方正小标宋简体" w:cs="Times New Roman"/>
          <w:bCs/>
          <w:color w:val="auto"/>
          <w:sz w:val="52"/>
          <w:szCs w:val="52"/>
          <w:highlight w:val="none"/>
          <w:lang w:val="en-US" w:eastAsia="zh-CN" w:bidi="ar-SA"/>
        </w:rPr>
      </w:pPr>
      <w:r>
        <w:rPr>
          <w:rFonts w:hint="eastAsia" w:ascii="方正小标宋简体" w:hAnsi="Arial" w:eastAsia="方正小标宋简体" w:cs="Times New Roman"/>
          <w:bCs/>
          <w:color w:val="auto"/>
          <w:sz w:val="52"/>
          <w:szCs w:val="52"/>
          <w:highlight w:val="none"/>
          <w:lang w:val="en-US" w:eastAsia="zh-CN" w:bidi="ar-SA"/>
        </w:rPr>
        <w:t xml:space="preserve">如皋市政府采购公开招标文件</w:t>
      </w:r>
      <w:r/>
    </w:p>
    <w:p>
      <w:pPr>
        <w:ind w:firstLine="0"/>
        <w:jc w:val="center"/>
        <w:spacing w:before="120" w:after="120" w:line="240" w:lineRule="auto"/>
        <w:widowControl w:val="off"/>
        <w:rPr>
          <w:rFonts w:ascii="方正小标宋简体" w:hAnsi="Arial" w:eastAsia="方正小标宋简体" w:cs="Times New Roman"/>
          <w:color w:val="auto"/>
          <w:sz w:val="44"/>
          <w:szCs w:val="44"/>
          <w:highlight w:val="none"/>
          <w:lang w:val="en-US" w:eastAsia="zh-CN" w:bidi="ar-SA"/>
        </w:rPr>
      </w:pPr>
      <w:r>
        <w:rPr>
          <w:rFonts w:ascii="方正小标宋简体" w:hAnsi="Arial" w:eastAsia="方正小标宋简体" w:cs="Times New Roman"/>
          <w:bCs/>
          <w:color w:val="auto"/>
          <w:sz w:val="44"/>
          <w:szCs w:val="44"/>
          <w:highlight w:val="none"/>
          <w:lang w:val="en-US" w:eastAsia="zh-CN" w:bidi="ar-SA"/>
        </w:rPr>
      </w:r>
      <w:r>
        <w:rPr>
          <w:rFonts w:ascii="方正小标宋简体" w:hAnsi="Arial" w:eastAsia="方正小标宋简体" w:cs="Times New Roman"/>
          <w:bCs/>
          <w:color w:val="auto"/>
          <w:sz w:val="44"/>
          <w:szCs w:val="44"/>
          <w:highlight w:val="none"/>
          <w:lang w:val="en-US" w:eastAsia="zh-CN" w:bidi="ar-SA"/>
        </w:rPr>
      </w:r>
      <w:r/>
    </w:p>
    <w:p>
      <w:pPr>
        <w:ind w:firstLine="0"/>
        <w:jc w:val="center"/>
        <w:spacing w:before="120" w:after="120" w:line="240" w:lineRule="auto"/>
        <w:widowControl w:val="off"/>
        <w:rPr>
          <w:rFonts w:ascii="方正小标宋简体" w:hAnsi="Arial" w:eastAsia="方正小标宋简体" w:cs="Times New Roman"/>
          <w:color w:val="auto"/>
          <w:sz w:val="44"/>
          <w:szCs w:val="44"/>
          <w:highlight w:val="none"/>
          <w:lang w:val="en-US" w:eastAsia="zh-CN" w:bidi="ar-SA"/>
        </w:rPr>
      </w:pPr>
      <w:r>
        <w:rPr>
          <w:rFonts w:ascii="方正小标宋简体" w:hAnsi="Arial" w:eastAsia="方正小标宋简体" w:cs="Times New Roman"/>
          <w:color w:val="auto"/>
          <w:sz w:val="44"/>
          <w:szCs w:val="44"/>
          <w:highlight w:val="none"/>
          <w:lang w:val="en-US" w:eastAsia="zh-CN" w:bidi="ar-SA"/>
        </w:rPr>
      </w:r>
      <w:r>
        <w:rPr>
          <w:rFonts w:ascii="方正小标宋简体" w:hAnsi="Arial" w:eastAsia="方正小标宋简体" w:cs="Times New Roman"/>
          <w:color w:val="auto"/>
          <w:sz w:val="44"/>
          <w:szCs w:val="44"/>
          <w:highlight w:val="none"/>
          <w:lang w:val="en-US" w:eastAsia="zh-CN" w:bidi="ar-SA"/>
        </w:rPr>
      </w:r>
      <w:r/>
    </w:p>
    <w:p>
      <w:pPr>
        <w:ind w:firstLine="0"/>
        <w:jc w:val="center"/>
        <w:spacing w:before="120" w:after="120" w:line="240" w:lineRule="auto"/>
        <w:widowControl w:val="off"/>
        <w:rPr>
          <w:rFonts w:ascii="方正小标宋简体" w:hAnsi="Arial" w:eastAsia="方正小标宋简体" w:cs="Times New Roman"/>
          <w:color w:val="auto"/>
          <w:sz w:val="44"/>
          <w:szCs w:val="44"/>
          <w:highlight w:val="none"/>
          <w:lang w:val="en-US" w:eastAsia="zh-CN" w:bidi="ar-SA"/>
        </w:rPr>
      </w:pPr>
      <w:r>
        <w:rPr>
          <w:rFonts w:ascii="方正小标宋简体" w:hAnsi="Arial" w:eastAsia="方正小标宋简体" w:cs="Times New Roman"/>
          <w:bCs/>
          <w:color w:val="auto"/>
          <w:sz w:val="44"/>
          <w:szCs w:val="44"/>
          <w:highlight w:val="none"/>
          <w:lang w:val="en-US" w:eastAsia="zh-CN" w:bidi="ar-SA"/>
        </w:rPr>
      </w:r>
      <w:r/>
    </w:p>
    <w:p>
      <w:pPr>
        <w:ind w:firstLine="480"/>
        <w:jc w:val="center"/>
        <w:spacing w:before="120" w:after="120" w:line="240" w:lineRule="auto"/>
        <w:widowControl w:val="off"/>
        <w:rPr>
          <w:rFonts w:hint="eastAsia" w:ascii="Arial" w:hAnsi="Arial" w:eastAsia="宋体" w:cs="Times New Roman"/>
          <w:b/>
          <w:bCs/>
          <w:color w:val="auto"/>
          <w:sz w:val="32"/>
          <w:szCs w:val="24"/>
          <w:highlight w:val="none"/>
          <w:u w:val="single"/>
          <w:lang w:val="en-US" w:eastAsia="zh-CN" w:bidi="ar-SA"/>
        </w:rPr>
      </w:pPr>
      <w:r>
        <w:rPr>
          <w:rFonts w:ascii="Arial" w:hAnsi="Arial" w:eastAsia="宋体" w:cs="Times New Roman"/>
          <w:b/>
          <w:bCs/>
          <w:color w:val="auto"/>
          <w:sz w:val="32"/>
          <w:szCs w:val="24"/>
          <w:highlight w:val="none"/>
          <w:lang w:val="en-US" w:eastAsia="zh-CN" w:bidi="ar-SA"/>
        </w:rPr>
        <w:t xml:space="preserve">项目名称：</w:t>
      </w:r>
      <w:r>
        <w:rPr>
          <w:rFonts w:hint="eastAsia" w:ascii="Arial" w:hAnsi="Arial" w:eastAsia="宋体" w:cs="Times New Roman"/>
          <w:b/>
          <w:bCs/>
          <w:color w:val="auto"/>
          <w:sz w:val="32"/>
          <w:szCs w:val="24"/>
          <w:highlight w:val="none"/>
          <w:u w:val="single"/>
          <w:lang w:val="en-US" w:eastAsia="zh-CN" w:bidi="ar-SA"/>
        </w:rPr>
        <w:t xml:space="preserve">安全生产考试点特种作业考试设备更新项目</w:t>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t xml:space="preserve">项目编号：JSZC-320682-NTJW-G2026-0021</w:t>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24"/>
          <w:highlight w:val="none"/>
          <w:lang w:val="en-US" w:eastAsia="zh-CN" w:bidi="ar-SA"/>
        </w:rPr>
      </w: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32"/>
          <w:highlight w:val="none"/>
          <w:lang w:val="en-US" w:eastAsia="zh-CN" w:bidi="ar-SA"/>
        </w:rPr>
      </w:r>
      <w:r>
        <w:rPr>
          <w:rFonts w:hint="eastAsia" w:ascii="Arial" w:hAnsi="Arial" w:eastAsia="宋体" w:cs="Times New Roman"/>
          <w:b/>
          <w:bCs/>
          <w:color w:val="auto"/>
          <w:sz w:val="32"/>
          <w:szCs w:val="32"/>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32"/>
          <w:highlight w:val="none"/>
          <w:lang w:val="en-US" w:eastAsia="zh-CN" w:bidi="ar-SA"/>
        </w:rPr>
      </w:r>
      <w:r>
        <w:rPr>
          <w:rFonts w:hint="eastAsia" w:ascii="Arial" w:hAnsi="Arial" w:eastAsia="宋体" w:cs="Times New Roman"/>
          <w:b/>
          <w:bCs/>
          <w:color w:val="auto"/>
          <w:sz w:val="32"/>
          <w:szCs w:val="32"/>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32"/>
          <w:highlight w:val="none"/>
          <w:lang w:val="en-US" w:eastAsia="zh-CN" w:bidi="ar-SA"/>
        </w:rPr>
      </w:r>
      <w:r>
        <w:rPr>
          <w:rFonts w:hint="eastAsia" w:ascii="Arial" w:hAnsi="Arial" w:eastAsia="宋体" w:cs="Times New Roman"/>
          <w:b/>
          <w:bCs/>
          <w:color w:val="auto"/>
          <w:sz w:val="32"/>
          <w:szCs w:val="32"/>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32"/>
          <w:highlight w:val="none"/>
          <w:lang w:val="en-US" w:eastAsia="zh-CN" w:bidi="ar-SA"/>
        </w:rPr>
      </w:r>
      <w:r>
        <w:rPr>
          <w:rFonts w:hint="eastAsia" w:ascii="Arial" w:hAnsi="Arial" w:eastAsia="宋体" w:cs="Times New Roman"/>
          <w:b/>
          <w:bCs/>
          <w:color w:val="auto"/>
          <w:sz w:val="32"/>
          <w:szCs w:val="32"/>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32"/>
          <w:highlight w:val="none"/>
          <w:lang w:val="en-US" w:eastAsia="zh-CN" w:bidi="ar-SA"/>
        </w:rPr>
      </w:r>
      <w:r>
        <w:rPr>
          <w:rFonts w:hint="eastAsia" w:ascii="Arial" w:hAnsi="Arial" w:eastAsia="宋体" w:cs="Times New Roman"/>
          <w:b/>
          <w:bCs/>
          <w:color w:val="auto"/>
          <w:sz w:val="32"/>
          <w:szCs w:val="32"/>
          <w:highlight w:val="none"/>
          <w:lang w:val="en-US" w:eastAsia="zh-CN" w:bidi="ar-SA"/>
        </w:rPr>
      </w:r>
      <w:r/>
    </w:p>
    <w:p>
      <w:pPr>
        <w:ind w:firstLine="2393"/>
        <w:jc w:val="left"/>
        <w:spacing w:before="120" w:after="120" w:line="240" w:lineRule="auto"/>
        <w:widowControl w:val="off"/>
        <w:rPr>
          <w:rFonts w:hint="eastAsia" w:ascii="Arial" w:hAnsi="Arial" w:eastAsia="宋体" w:cs="Times New Roman"/>
          <w:b/>
          <w:bCs/>
          <w:color w:val="auto"/>
          <w:sz w:val="32"/>
          <w:szCs w:val="32"/>
          <w:highlight w:val="none"/>
          <w:lang w:val="en-US" w:eastAsia="zh-CN" w:bidi="ar-SA"/>
        </w:rPr>
      </w:pPr>
      <w:r>
        <w:rPr>
          <w:rFonts w:hint="eastAsia" w:ascii="Arial" w:hAnsi="Arial" w:eastAsia="宋体" w:cs="Times New Roman"/>
          <w:b/>
          <w:bCs/>
          <w:color w:val="auto"/>
          <w:sz w:val="32"/>
          <w:szCs w:val="24"/>
          <w:highlight w:val="none"/>
          <w:lang w:val="en-US" w:eastAsia="zh-CN" w:bidi="ar-SA"/>
        </w:rPr>
      </w:r>
      <w:r/>
    </w:p>
    <w:p>
      <w:pPr>
        <w:ind w:firstLine="2393"/>
        <w:jc w:val="left"/>
        <w:spacing w:before="120" w:after="120" w:line="240" w:lineRule="auto"/>
        <w:widowControl w:val="off"/>
        <w:rPr>
          <w:rFonts w:ascii="Arial" w:hAnsi="Arial" w:eastAsia="宋体" w:cs="Times New Roman"/>
          <w:b/>
          <w:bCs/>
          <w:color w:val="auto"/>
          <w:sz w:val="32"/>
          <w:szCs w:val="24"/>
          <w:highlight w:val="none"/>
          <w:lang w:val="en-US" w:eastAsia="zh-CN" w:bidi="ar-SA"/>
        </w:rPr>
      </w:pPr>
      <w:r>
        <w:rPr>
          <w:rFonts w:ascii="Arial" w:hAnsi="Arial" w:eastAsia="宋体" w:cs="Times New Roman"/>
          <w:b/>
          <w:bCs/>
          <w:color w:val="auto"/>
          <w:sz w:val="32"/>
          <w:szCs w:val="24"/>
          <w:highlight w:val="none"/>
          <w:lang w:val="en-US" w:eastAsia="zh-CN" w:bidi="ar-SA"/>
        </w:rPr>
      </w:r>
      <w:r/>
    </w:p>
    <w:p>
      <w:pPr>
        <w:ind w:firstLine="993"/>
        <w:jc w:val="both"/>
        <w:spacing w:before="120" w:after="120" w:line="240" w:lineRule="auto"/>
        <w:widowControl w:val="off"/>
        <w:tabs>
          <w:tab w:val="left" w:pos="8645" w:leader="none"/>
        </w:tabs>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t xml:space="preserve">采购人名称：如皋市应急管理局</w:t>
      </w:r>
      <w:r/>
    </w:p>
    <w:p>
      <w:pPr>
        <w:ind w:firstLine="993"/>
        <w:jc w:val="left"/>
        <w:spacing w:before="120" w:after="120" w:line="240" w:lineRule="auto"/>
        <w:widowControl w:val="off"/>
        <w:rPr>
          <w:rFonts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t xml:space="preserve">采购代理机构名称：南通泾天纬地项目管理有限公司</w:t>
      </w:r>
      <w:r/>
    </w:p>
    <w:p>
      <w:pPr>
        <w:ind w:firstLine="0"/>
        <w:jc w:val="center"/>
        <w:spacing w:before="120" w:after="120" w:line="240" w:lineRule="auto"/>
        <w:widowControl w:val="off"/>
        <w:rPr>
          <w:rFonts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lang w:val="en-US" w:eastAsia="zh-CN" w:bidi="ar-SA"/>
        </w:rPr>
        <w:t xml:space="preserve">2026年4月14日</w:t>
      </w:r>
      <w:r/>
    </w:p>
    <w:p>
      <w:pPr>
        <w:rPr>
          <w:highlight w:val="none"/>
        </w:rPr>
      </w:pPr>
      <w:r>
        <w:rPr>
          <w:highlight w:val="none"/>
        </w:rPr>
        <w:br w:type="page" w:clear="all"/>
      </w:r>
      <w:r/>
    </w:p>
    <w:p>
      <w:pPr>
        <w:pStyle w:val="880"/>
        <w:ind w:left="0" w:right="0" w:firstLine="0"/>
        <w:jc w:val="center"/>
        <w:keepLines w:val="0"/>
        <w:keepNext w:val="0"/>
        <w:spacing w:before="120" w:beforeAutospacing="0" w:after="120" w:afterAutospacing="0" w:line="360" w:lineRule="auto"/>
        <w:widowControl w:val="off"/>
        <w:rPr>
          <w:rFonts w:hint="default" w:ascii="方正小标宋简体" w:hAnsi="Arial" w:eastAsia="方正小标宋简体" w:cs="Times New Roman"/>
          <w:bCs/>
          <w:sz w:val="32"/>
          <w:szCs w:val="32"/>
          <w:highlight w:val="none"/>
        </w:rPr>
        <w:outlineLvl w:val="0"/>
        <w:suppressLineNumbers w:val="0"/>
      </w:pPr>
      <w:r/>
      <w:bookmarkStart w:id="0" w:name="_Toc25440"/>
      <w:r/>
      <w:bookmarkEnd w:id="0"/>
      <w:r>
        <w:rPr>
          <w:rFonts w:hint="default" w:ascii="方正小标宋简体" w:hAnsi="方正小标宋简体" w:eastAsia="方正小标宋简体" w:cs="方正小标宋简体"/>
          <w:bCs/>
          <w:sz w:val="32"/>
          <w:szCs w:val="32"/>
          <w:highlight w:val="none"/>
          <w:lang w:val="en-US" w:eastAsia="zh-CN" w:bidi="ar"/>
        </w:rPr>
        <w:t xml:space="preserve">第1章 公开招标公告</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1" w:name="_Toc6695"/>
      <w:r/>
      <w:bookmarkEnd w:id="1"/>
      <w:r/>
      <w:bookmarkStart w:id="2" w:name="_Toc28359089"/>
      <w:r/>
      <w:bookmarkEnd w:id="2"/>
      <w:r/>
      <w:bookmarkStart w:id="3" w:name="_Toc35393629"/>
      <w:r/>
      <w:bookmarkEnd w:id="3"/>
      <w:r/>
      <w:bookmarkStart w:id="4" w:name="_Toc11020"/>
      <w:r/>
      <w:bookmarkEnd w:id="4"/>
      <w:r/>
      <w:bookmarkStart w:id="5" w:name="_Toc28359012"/>
      <w:r/>
      <w:bookmarkEnd w:id="5"/>
      <w:r/>
      <w:bookmarkStart w:id="6" w:name="_Toc35393798"/>
      <w:r/>
      <w:bookmarkEnd w:id="6"/>
      <w:r/>
      <w:bookmarkStart w:id="7" w:name="OLE_LINK2"/>
      <w:r>
        <w:rPr>
          <w:rFonts w:hint="eastAsia" w:ascii="黑体" w:hAnsi="宋体" w:eastAsia="黑体" w:cs="黑体"/>
          <w:sz w:val="28"/>
          <w:szCs w:val="28"/>
          <w:highlight w:val="none"/>
        </w:rPr>
        <w:t xml:space="preserve">一、项目基本情况</w:t>
      </w:r>
      <w:bookmarkEnd w:id="7"/>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 项目名称：安全生产考试点特种作业考试设备更新项目</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 项目编号：JSZC-320682-NTJW-G2026-0021</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3. 预算金额：人民币188万元</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4. 最高限价：人民币188万元，报价超过最高限价视为无效响应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5. 采购需求：详见第三章。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 合同履行期限：合同签订后45日内完成供货及安装调试，交付使用。具体以采购人通知为准。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7. 本项目是否接受进口产品：否。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 本项目是否接受联合体：否。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 本项目是否专门面向中小企业采购：否。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10. 项目类型：货物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11. 项目所属行业：工业</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8" w:name="_Toc20653"/>
      <w:r/>
      <w:bookmarkEnd w:id="8"/>
      <w:r/>
      <w:bookmarkStart w:id="9" w:name="_Toc35393630"/>
      <w:r/>
      <w:bookmarkEnd w:id="9"/>
      <w:r/>
      <w:bookmarkStart w:id="10" w:name="_Toc28359090"/>
      <w:r/>
      <w:bookmarkEnd w:id="10"/>
      <w:r/>
      <w:bookmarkStart w:id="11" w:name="_Toc35393799"/>
      <w:r/>
      <w:bookmarkEnd w:id="11"/>
      <w:r/>
      <w:bookmarkStart w:id="12" w:name="_Toc28359013"/>
      <w:r/>
      <w:bookmarkEnd w:id="12"/>
      <w:r/>
      <w:bookmarkStart w:id="13" w:name="_Toc29828"/>
      <w:r>
        <w:rPr>
          <w:rFonts w:hint="eastAsia" w:ascii="黑体" w:hAnsi="宋体" w:eastAsia="黑体" w:cs="黑体"/>
          <w:sz w:val="28"/>
          <w:szCs w:val="28"/>
          <w:highlight w:val="none"/>
        </w:rPr>
        <w:t xml:space="preserve">二、投标人的资格要求</w:t>
      </w:r>
      <w:bookmarkEnd w:id="13"/>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1.《中华人民共和国政府采购法》第二十二条规定的条件：</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bookmarkStart w:id="14" w:name="_Toc28359014"/>
      <w:r/>
      <w:bookmarkEnd w:id="14"/>
      <w:r/>
      <w:bookmarkStart w:id="15" w:name="_Toc28359091"/>
      <w:r>
        <w:rPr>
          <w:rFonts w:hint="eastAsia" w:ascii="仿宋" w:hAnsi="仿宋" w:eastAsia="仿宋" w:cs="仿宋"/>
          <w:sz w:val="28"/>
          <w:szCs w:val="28"/>
          <w:highlight w:val="none"/>
          <w:shd w:val="clear" w:color="auto" w:fill="ffffff"/>
          <w:lang w:val="en-US" w:eastAsia="zh-CN" w:bidi="ar"/>
        </w:rPr>
        <w:t xml:space="preserve">（1）具有独立承担民事责任的能力</w:t>
      </w:r>
      <w:bookmarkEnd w:id="15"/>
      <w:r>
        <w:rPr>
          <w:rFonts w:hint="eastAsia" w:ascii="仿宋" w:hAnsi="仿宋" w:eastAsia="仿宋" w:cs="仿宋"/>
          <w:sz w:val="28"/>
          <w:szCs w:val="28"/>
          <w:highlight w:val="none"/>
          <w:shd w:val="clear" w:color="auto" w:fill="ffffff"/>
          <w:lang w:val="en-US" w:eastAsia="zh-CN" w:bidi="ar"/>
        </w:rPr>
        <w:t xml:space="preserve">；</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（2）具有良好的商业信誉和健全的财务会计制度；</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（3）具有履行合同所必需的设备和专业技术能力；</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（4）有依法缴纳税收和社会保障资金的良好记录；</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（5）参加政府采购活动前三年内，在经营活动中没有重大违法记录；</w:t>
      </w:r>
      <w:r/>
    </w:p>
    <w:p>
      <w:pPr>
        <w:pStyle w:val="880"/>
        <w:ind w:left="0" w:right="0" w:firstLine="560"/>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（6）法律、行政法规规定的其他条件。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Times New Roman"/>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 落实政府采购政策需满足的资格要求：</w:t>
      </w:r>
      <w:r/>
    </w:p>
    <w:p>
      <w:pPr>
        <w:pStyle w:val="880"/>
        <w:ind w:left="0" w:right="0" w:firstLine="482"/>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vertAlign w:val="baseline"/>
        </w:rPr>
        <w:suppressLineNumbers w:val="0"/>
      </w:pPr>
      <w:r>
        <w:rPr>
          <w:rFonts w:hint="eastAsia" w:ascii="仿宋" w:hAnsi="仿宋" w:eastAsia="仿宋" w:cs="仿宋"/>
          <w:sz w:val="28"/>
          <w:szCs w:val="28"/>
          <w:highlight w:val="none"/>
          <w:shd w:val="clear" w:color="auto" w:fill="ffffff"/>
          <w:vertAlign w:val="baseline"/>
          <w:lang w:val="en-US" w:eastAsia="zh-CN" w:bidi="ar"/>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pStyle w:val="880"/>
        <w:ind w:left="0" w:right="0" w:firstLine="482"/>
        <w:jc w:val="left"/>
        <w:keepLines w:val="0"/>
        <w:keepNext w:val="0"/>
        <w:spacing w:before="0" w:beforeAutospacing="0" w:after="0" w:afterAutospacing="0" w:line="500" w:lineRule="exact"/>
        <w:shd w:val="clear" w:color="auto" w:fill="ffffff"/>
        <w:widowControl/>
        <w:rPr>
          <w:rFonts w:hint="eastAsia" w:ascii="仿宋" w:hAnsi="仿宋" w:eastAsia="仿宋" w:cs="宋体"/>
          <w:iCs/>
          <w:sz w:val="28"/>
          <w:szCs w:val="28"/>
          <w:highlight w:val="none"/>
          <w:shd w:val="clear" w:color="auto" w:fill="ffffff"/>
          <w:vertAlign w:val="baseline"/>
        </w:rPr>
        <w:suppressLineNumbers w:val="0"/>
      </w:pPr>
      <w:r>
        <w:rPr>
          <w:rFonts w:hint="eastAsia" w:ascii="仿宋" w:hAnsi="仿宋" w:eastAsia="仿宋" w:cs="仿宋"/>
          <w:sz w:val="28"/>
          <w:szCs w:val="28"/>
          <w:highlight w:val="none"/>
          <w:shd w:val="clear" w:color="auto" w:fill="ffffff"/>
          <w:vertAlign w:val="baseline"/>
          <w:lang w:val="en-US" w:eastAsia="zh-CN" w:bidi="ar"/>
        </w:rPr>
        <w:t xml:space="preserve">（2）</w:t>
      </w:r>
      <w:r>
        <w:rPr>
          <w:rFonts w:hint="eastAsia" w:ascii="仿宋" w:hAnsi="仿宋" w:eastAsia="仿宋" w:cs="仿宋"/>
          <w:iCs/>
          <w:sz w:val="28"/>
          <w:szCs w:val="28"/>
          <w:highlight w:val="none"/>
          <w:shd w:val="clear" w:color="auto" w:fill="ffffff"/>
          <w:vertAlign w:val="baseline"/>
          <w:lang w:val="en-US" w:eastAsia="zh-CN" w:bidi="ar"/>
        </w:rPr>
        <w:t xml:space="preserve">投标产品属于财政部、国家发展改革委公布的“节能产品品目清单”范围内的，须提供国家确定的认证机构出具的、处于有效期之内的节能产品认证证书复印件，以及全国认证认可信息公共服务平台查询截图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仿宋"/>
          <w:iCs/>
          <w:sz w:val="28"/>
          <w:szCs w:val="28"/>
          <w:highlight w:val="none"/>
          <w:shd w:val="clear" w:color="auto" w:fill="ffffff"/>
          <w:vertAlign w:val="baseline"/>
          <w:lang w:val="en-US" w:eastAsia="zh-CN" w:bidi="ar"/>
        </w:rPr>
        <w:t xml:space="preserve">。</w:t>
      </w:r>
      <w:r/>
    </w:p>
    <w:p>
      <w:pPr>
        <w:pStyle w:val="880"/>
        <w:ind w:left="0" w:right="0" w:firstLine="482"/>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vertAlign w:val="baseline"/>
        </w:rPr>
        <w:suppressLineNumbers w:val="0"/>
      </w:pPr>
      <w:r>
        <w:rPr>
          <w:rFonts w:hint="eastAsia" w:ascii="仿宋" w:hAnsi="仿宋" w:eastAsia="仿宋" w:cs="仿宋"/>
          <w:iCs/>
          <w:sz w:val="28"/>
          <w:szCs w:val="28"/>
          <w:highlight w:val="none"/>
          <w:shd w:val="clear" w:color="auto" w:fill="ffffff"/>
          <w:vertAlign w:val="baseline"/>
          <w:lang w:val="en-US" w:eastAsia="zh-CN" w:bidi="ar"/>
        </w:rPr>
        <w:t xml:space="preserve">（3）</w:t>
      </w:r>
      <w:r>
        <w:rPr>
          <w:rFonts w:hint="eastAsia" w:ascii="仿宋" w:hAnsi="仿宋" w:eastAsia="仿宋" w:cs="仿宋"/>
          <w:iCs/>
          <w:sz w:val="28"/>
          <w:szCs w:val="28"/>
          <w:highlight w:val="none"/>
          <w:shd w:val="clear" w:color="auto" w:fill="ffffff"/>
          <w:vertAlign w:val="baseline"/>
          <w:lang w:val="en-US" w:eastAsia="zh-CN" w:bidi="ar"/>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仿宋"/>
          <w:iCs/>
          <w:sz w:val="28"/>
          <w:szCs w:val="28"/>
          <w:highlight w:val="none"/>
          <w:shd w:val="clear" w:color="auto" w:fill="ffffff"/>
          <w:vertAlign w:val="baseline"/>
          <w:lang w:val="en-US" w:eastAsia="zh-CN" w:bidi="ar"/>
        </w:rPr>
        <w:t xml:space="preserve">以及全国认证认可信息公共服务平台查询截图</w:t>
      </w:r>
      <w:r>
        <w:rPr>
          <w:rFonts w:hint="eastAsia" w:ascii="仿宋" w:hAnsi="仿宋" w:eastAsia="仿宋" w:cs="仿宋"/>
          <w:iCs/>
          <w:sz w:val="28"/>
          <w:szCs w:val="28"/>
          <w:highlight w:val="none"/>
          <w:shd w:val="clear" w:color="auto" w:fill="ffffff"/>
          <w:vertAlign w:val="baseline"/>
          <w:lang w:val="en-US" w:eastAsia="zh-CN" w:bidi="ar"/>
        </w:rPr>
        <w:t xml:space="preserve">。</w:t>
      </w:r>
      <w:r/>
    </w:p>
    <w:p>
      <w:pPr>
        <w:pStyle w:val="880"/>
        <w:ind w:left="0" w:right="0" w:firstLine="567"/>
        <w:jc w:val="left"/>
        <w:keepLines w:val="0"/>
        <w:keepNext w:val="0"/>
        <w:spacing w:before="0" w:beforeAutospacing="0" w:after="0" w:afterAutospacing="0" w:line="500" w:lineRule="exact"/>
        <w:shd w:val="clear" w:color="auto" w:fill="ffffff"/>
        <w:widowControl/>
        <w:rPr>
          <w:rFonts w:hint="eastAsia" w:ascii="仿宋" w:hAnsi="仿宋" w:eastAsia="仿宋" w:cs="宋体"/>
          <w:sz w:val="28"/>
          <w:szCs w:val="28"/>
          <w:highlight w:val="none"/>
          <w:u w:val="single"/>
          <w:shd w:val="clear" w:color="auto" w:fill="ffffff"/>
          <w:vertAlign w:val="baseline"/>
        </w:rPr>
        <w:suppressLineNumbers w:val="0"/>
      </w:pPr>
      <w:r>
        <w:rPr>
          <w:rFonts w:hint="eastAsia" w:ascii="仿宋" w:hAnsi="仿宋" w:eastAsia="仿宋" w:cs="仿宋"/>
          <w:sz w:val="28"/>
          <w:szCs w:val="28"/>
          <w:highlight w:val="none"/>
          <w:shd w:val="clear" w:color="auto" w:fill="ffffff"/>
          <w:vertAlign w:val="baseline"/>
          <w:lang w:val="en-US" w:eastAsia="zh-CN" w:bidi="ar"/>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4.本项目的特定资格要求：</w:t>
      </w:r>
      <w:r/>
    </w:p>
    <w:p>
      <w:pPr>
        <w:pStyle w:val="880"/>
        <w:ind w:left="0" w:right="0" w:firstLine="567"/>
        <w:jc w:val="left"/>
        <w:keepLines w:val="0"/>
        <w:keepNext w:val="0"/>
        <w:spacing w:before="0" w:beforeAutospacing="0" w:after="0" w:afterAutospacing="0" w:line="500" w:lineRule="exact"/>
        <w:shd w:val="clear" w:color="auto" w:fill="ffffff"/>
        <w:widowControl/>
        <w:rPr>
          <w:rFonts w:hint="eastAsia" w:ascii="仿宋" w:hAnsi="仿宋" w:eastAsia="仿宋" w:cs="宋体"/>
          <w:sz w:val="28"/>
          <w:szCs w:val="28"/>
          <w:highlight w:val="none"/>
          <w:shd w:val="clear" w:color="auto" w:fill="ffffff"/>
          <w:vertAlign w:val="baseline"/>
        </w:rPr>
        <w:suppressLineNumbers w:val="0"/>
      </w:pPr>
      <w:r>
        <w:rPr>
          <w:rFonts w:hint="eastAsia" w:ascii="仿宋" w:hAnsi="仿宋" w:eastAsia="仿宋" w:cs="仿宋"/>
          <w:b/>
          <w:bCs/>
          <w:sz w:val="28"/>
          <w:szCs w:val="28"/>
          <w:highlight w:val="none"/>
          <w:shd w:val="clear" w:color="auto" w:fill="ffffff"/>
          <w:vertAlign w:val="baseline"/>
          <w:lang w:val="en-US" w:eastAsia="zh-CN" w:bidi="ar"/>
        </w:rPr>
        <w:t xml:space="preserve">本项目需供应商提供所投</w:t>
      </w:r>
      <w:r>
        <w:rPr>
          <w:rFonts w:hint="eastAsia" w:ascii="仿宋" w:hAnsi="仿宋" w:eastAsia="仿宋" w:cs="仿宋"/>
          <w:b/>
          <w:bCs/>
          <w:sz w:val="28"/>
          <w:szCs w:val="28"/>
          <w:highlight w:val="none"/>
          <w:shd w:val="clear" w:color="auto" w:fill="ffffff"/>
          <w:vertAlign w:val="baseline"/>
          <w:lang w:val="en-US" w:eastAsia="zh-CN" w:bidi="ar"/>
        </w:rPr>
        <w:t xml:space="preserve">主要</w:t>
      </w:r>
      <w:r>
        <w:rPr>
          <w:rFonts w:hint="eastAsia" w:ascii="仿宋" w:hAnsi="仿宋" w:eastAsia="仿宋" w:cs="仿宋"/>
          <w:b/>
          <w:bCs/>
          <w:sz w:val="28"/>
          <w:szCs w:val="28"/>
          <w:highlight w:val="none"/>
          <w:shd w:val="clear" w:color="auto" w:fill="ffffff"/>
          <w:vertAlign w:val="baseline"/>
          <w:lang w:val="en-US" w:eastAsia="zh-CN" w:bidi="ar"/>
        </w:rPr>
        <w:t xml:space="preserve">产品《关于符合本国产品标准的声明函》，格式见附件。</w:t>
      </w:r>
      <w:r/>
    </w:p>
    <w:p>
      <w:pPr>
        <w:pStyle w:val="880"/>
        <w:ind w:left="0" w:right="0" w:firstLine="567"/>
        <w:jc w:val="left"/>
        <w:keepLines w:val="0"/>
        <w:keepNext w:val="0"/>
        <w:spacing w:before="0" w:beforeAutospacing="0" w:after="0" w:afterAutospacing="0" w:line="500" w:lineRule="exact"/>
        <w:shd w:val="clear" w:color="auto" w:fill="ffffff"/>
        <w:widowControl/>
        <w:rPr>
          <w:rFonts w:hint="eastAsia" w:ascii="仿宋" w:hAnsi="仿宋" w:eastAsia="仿宋" w:cs="Times New Roman"/>
          <w:sz w:val="28"/>
          <w:szCs w:val="28"/>
          <w:highlight w:val="none"/>
          <w:shd w:val="clear" w:color="auto" w:fill="ffffff"/>
          <w:vertAlign w:val="baseline"/>
        </w:rPr>
        <w:suppressLineNumbers w:val="0"/>
      </w:pPr>
      <w:r>
        <w:rPr>
          <w:rFonts w:hint="eastAsia" w:ascii="仿宋" w:hAnsi="仿宋" w:eastAsia="仿宋" w:cs="仿宋"/>
          <w:iCs/>
          <w:sz w:val="28"/>
          <w:szCs w:val="28"/>
          <w:highlight w:val="none"/>
          <w:shd w:val="clear" w:color="auto" w:fill="ffffff"/>
          <w:vertAlign w:val="baseline"/>
          <w:lang w:val="en-US" w:eastAsia="zh-CN" w:bidi="ar"/>
        </w:rPr>
        <w:t xml:space="preserve">5.</w:t>
      </w:r>
      <w:r>
        <w:rPr>
          <w:rFonts w:hint="eastAsia" w:ascii="仿宋" w:hAnsi="仿宋" w:eastAsia="仿宋" w:cs="宋体"/>
          <w:sz w:val="28"/>
          <w:szCs w:val="28"/>
          <w:highlight w:val="none"/>
          <w:shd w:val="clear" w:color="auto" w:fill="ffffff"/>
          <w:vertAlign w:val="baseline"/>
          <w:lang w:val="en-US" w:eastAsia="zh-CN" w:bidi="ar"/>
        </w:rPr>
        <w:t xml:space="preserve"> </w:t>
      </w:r>
      <w:r>
        <w:rPr>
          <w:rFonts w:hint="eastAsia" w:ascii="仿宋" w:hAnsi="仿宋" w:eastAsia="仿宋" w:cs="仿宋"/>
          <w:sz w:val="28"/>
          <w:szCs w:val="28"/>
          <w:highlight w:val="none"/>
          <w:shd w:val="clear" w:color="auto" w:fill="ffffff"/>
          <w:vertAlign w:val="baseline"/>
          <w:lang w:val="en-US" w:eastAsia="zh-CN" w:bidi="ar"/>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cs="仿宋"/>
          <w:iCs/>
          <w:sz w:val="28"/>
          <w:szCs w:val="28"/>
          <w:highlight w:val="none"/>
          <w:shd w:val="clear" w:color="auto" w:fill="ffffff"/>
          <w:vertAlign w:val="baseline"/>
          <w:lang w:val="en-US" w:eastAsia="zh-CN" w:bidi="ar"/>
        </w:rPr>
        <w:t xml:space="preserve">授权委托书。</w:t>
      </w:r>
      <w:r/>
    </w:p>
    <w:p>
      <w:pPr>
        <w:ind w:left="0" w:right="0" w:firstLine="565"/>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16" w:name="_Toc6532"/>
      <w:r/>
      <w:bookmarkEnd w:id="16"/>
      <w:r/>
      <w:bookmarkStart w:id="17" w:name="_Toc35393631"/>
      <w:r/>
      <w:bookmarkEnd w:id="17"/>
      <w:r/>
      <w:bookmarkStart w:id="18" w:name="_Toc19151"/>
      <w:r/>
      <w:bookmarkEnd w:id="18"/>
      <w:r/>
      <w:bookmarkStart w:id="19" w:name="_Toc35393800"/>
      <w:r>
        <w:rPr>
          <w:rFonts w:hint="eastAsia" w:ascii="黑体" w:hAnsi="宋体" w:eastAsia="黑体" w:cs="黑体"/>
          <w:sz w:val="28"/>
          <w:szCs w:val="28"/>
          <w:highlight w:val="none"/>
        </w:rPr>
        <w:t xml:space="preserve">三、获取公开招标文件</w:t>
      </w:r>
      <w:bookmarkEnd w:id="19"/>
      <w:r/>
      <w:r/>
    </w:p>
    <w:p>
      <w:pPr>
        <w:ind w:left="0" w:right="0" w:firstLine="600"/>
        <w:jc w:val="both"/>
        <w:keepLines w:val="0"/>
        <w:keepNext w:val="0"/>
        <w:spacing w:before="0" w:beforeAutospacing="0" w:after="0" w:afterAutospacing="0" w:line="360" w:lineRule="atLeast"/>
        <w:widowControl w:val="off"/>
        <w:rPr>
          <w:rFonts w:hint="eastAsia" w:ascii="仿宋" w:hAnsi="仿宋" w:eastAsia="仿宋" w:cs="仿宋"/>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30"/>
          <w:szCs w:val="30"/>
          <w:highlight w:val="none"/>
          <w:lang w:val="en-US" w:eastAsia="zh-CN" w:bidi="ar"/>
        </w:rPr>
        <w:t xml:space="preserve">1.时间：本公告发布之日起5个工作日 。</w:t>
      </w:r>
      <w:r/>
    </w:p>
    <w:p>
      <w:pPr>
        <w:ind w:left="0" w:right="0" w:firstLine="600"/>
        <w:jc w:val="both"/>
        <w:keepLines w:val="0"/>
        <w:keepNext w:val="0"/>
        <w:spacing w:before="0" w:beforeAutospacing="0" w:after="0" w:afterAutospacing="0" w:line="360" w:lineRule="atLeast"/>
        <w:widowControl w:val="off"/>
        <w:rPr>
          <w:rFonts w:hint="eastAsia" w:ascii="仿宋" w:hAnsi="仿宋" w:eastAsia="仿宋" w:cs="仿宋"/>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30"/>
          <w:szCs w:val="30"/>
          <w:highlight w:val="none"/>
          <w:lang w:val="en-US" w:eastAsia="zh-CN" w:bidi="ar"/>
        </w:rPr>
        <w:t xml:space="preserve">2.地点：江苏省政府采购网。</w:t>
      </w:r>
      <w:r/>
    </w:p>
    <w:p>
      <w:pPr>
        <w:ind w:left="0" w:right="0" w:firstLine="600"/>
        <w:jc w:val="both"/>
        <w:keepLines w:val="0"/>
        <w:keepNext w:val="0"/>
        <w:spacing w:before="0" w:beforeAutospacing="0" w:after="0" w:afterAutospacing="0" w:line="360" w:lineRule="atLeast"/>
        <w:widowControl w:val="off"/>
        <w:rPr>
          <w:rFonts w:hint="eastAsia" w:ascii="仿宋" w:hAnsi="仿宋" w:eastAsia="仿宋" w:cs="仿宋"/>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30"/>
          <w:szCs w:val="30"/>
          <w:highlight w:val="none"/>
          <w:lang w:val="en-US" w:eastAsia="zh-CN" w:bidi="ar"/>
        </w:rPr>
        <w:t xml:space="preserve">3.方式：本项目采用“苏采云”系统网上注册登记方式，具体详见《江苏省政府采购管理交易系统（苏采云）投标人操作手册》。</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20" w:name="_Toc28359092"/>
      <w:r/>
      <w:bookmarkEnd w:id="20"/>
      <w:r/>
      <w:bookmarkStart w:id="21" w:name="_Toc35393632"/>
      <w:r/>
      <w:bookmarkEnd w:id="21"/>
      <w:r/>
      <w:bookmarkStart w:id="22" w:name="_Toc28359015"/>
      <w:r/>
      <w:bookmarkEnd w:id="22"/>
      <w:r/>
      <w:bookmarkStart w:id="23" w:name="_Toc14471"/>
      <w:r/>
      <w:bookmarkEnd w:id="23"/>
      <w:r/>
      <w:bookmarkStart w:id="24" w:name="_Toc13487"/>
      <w:r/>
      <w:bookmarkEnd w:id="24"/>
      <w:r/>
      <w:bookmarkStart w:id="25" w:name="_Toc35393801"/>
      <w:r>
        <w:rPr>
          <w:rFonts w:hint="eastAsia" w:ascii="黑体" w:hAnsi="宋体" w:eastAsia="黑体" w:cs="黑体"/>
          <w:sz w:val="28"/>
          <w:szCs w:val="28"/>
          <w:highlight w:val="none"/>
        </w:rPr>
        <w:t xml:space="preserve">四、提交投标文件</w:t>
      </w:r>
      <w:bookmarkEnd w:id="25"/>
      <w:r>
        <w:rPr>
          <w:rFonts w:hint="eastAsia" w:ascii="黑体" w:hAnsi="宋体" w:eastAsia="黑体" w:cs="黑体"/>
          <w:sz w:val="28"/>
          <w:szCs w:val="28"/>
          <w:highlight w:val="none"/>
        </w:rPr>
        <w:t xml:space="preserve">截止时间、开标时间和地点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截止时间：</w:t>
      </w:r>
      <w:r>
        <w:rPr>
          <w:rFonts w:hint="eastAsia" w:ascii="仿宋" w:hAnsi="仿宋" w:eastAsia="仿宋" w:cs="仿宋"/>
          <w:bCs/>
          <w:sz w:val="28"/>
          <w:szCs w:val="28"/>
          <w:highlight w:val="none"/>
          <w:lang w:val="en-US" w:eastAsia="zh-CN" w:bidi="ar"/>
        </w:rPr>
        <w:t xml:space="preserve">详见采购公告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地点：通过“苏采云”系统提交，具体详见《江苏省政府采购管理交易系统（苏采云）投标人操作手册》。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sz w:val="28"/>
          <w:szCs w:val="28"/>
          <w:highlight w:val="none"/>
          <w:lang w:val="en-US" w:eastAsia="zh-CN" w:bidi="ar"/>
        </w:rPr>
        <w:t xml:space="preserve">开标时间：</w:t>
      </w:r>
      <w:r>
        <w:rPr>
          <w:rFonts w:hint="eastAsia" w:ascii="仿宋" w:hAnsi="仿宋" w:eastAsia="仿宋" w:cs="仿宋"/>
          <w:bCs/>
          <w:sz w:val="28"/>
          <w:szCs w:val="28"/>
          <w:highlight w:val="none"/>
          <w:lang w:val="en-US" w:eastAsia="zh-CN" w:bidi="ar"/>
        </w:rPr>
        <w:t xml:space="preserve">详见采购公告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bCs/>
          <w:sz w:val="28"/>
          <w:szCs w:val="28"/>
          <w:highlight w:val="none"/>
          <w:lang w:val="en-US" w:eastAsia="zh-CN" w:bidi="ar"/>
        </w:rPr>
        <w:t xml:space="preserve">开标地点：</w:t>
      </w:r>
      <w:r>
        <w:rPr>
          <w:rFonts w:hint="eastAsia" w:ascii="仿宋" w:hAnsi="仿宋" w:eastAsia="仿宋" w:cs="仿宋"/>
          <w:sz w:val="28"/>
          <w:szCs w:val="28"/>
          <w:highlight w:val="none"/>
          <w:lang w:val="en-US" w:eastAsia="zh-CN" w:bidi="ar"/>
        </w:rPr>
        <w:t xml:space="preserve">“苏采云”系统（网址：http://jszfcg.jsczt.cn）“开标大厅”。</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26" w:name="_Toc4442"/>
      <w:r/>
      <w:bookmarkEnd w:id="26"/>
      <w:r/>
      <w:bookmarkStart w:id="27" w:name="_Toc35393803"/>
      <w:r/>
      <w:bookmarkEnd w:id="27"/>
      <w:r/>
      <w:bookmarkStart w:id="28" w:name="_Toc35393634"/>
      <w:r/>
      <w:bookmarkEnd w:id="28"/>
      <w:r/>
      <w:bookmarkStart w:id="29" w:name="_Toc28359017"/>
      <w:r/>
      <w:bookmarkEnd w:id="29"/>
      <w:r/>
      <w:bookmarkStart w:id="30" w:name="_Toc17265"/>
      <w:r/>
      <w:bookmarkEnd w:id="30"/>
      <w:r/>
      <w:bookmarkStart w:id="31" w:name="_Toc28359094"/>
      <w:r>
        <w:rPr>
          <w:rFonts w:hint="eastAsia" w:ascii="黑体" w:hAnsi="宋体" w:eastAsia="黑体" w:cs="黑体"/>
          <w:sz w:val="28"/>
          <w:szCs w:val="28"/>
          <w:highlight w:val="none"/>
        </w:rPr>
        <w:t xml:space="preserve">五、公告期限</w:t>
      </w:r>
      <w:bookmarkEnd w:id="31"/>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rPr>
          <w:rFonts w:hint="eastAsia" w:ascii="仿宋" w:hAnsi="仿宋" w:eastAsia="仿宋" w:cs="仿宋"/>
          <w:sz w:val="28"/>
          <w:szCs w:val="28"/>
          <w:highlight w:val="none"/>
          <w:lang w:val="en-US" w:eastAsia="zh-CN" w:bidi="ar"/>
        </w:rPr>
        <w:t xml:space="preserve">自本公告发布之日起5个工作日。</w:t>
      </w:r>
      <w:r/>
    </w:p>
    <w:p>
      <w:pPr>
        <w:pStyle w:val="877"/>
        <w:ind w:left="0" w:right="0" w:firstLine="560"/>
        <w:spacing w:before="0" w:beforeAutospacing="1" w:after="0" w:afterAutospacing="0" w:line="500" w:lineRule="exact"/>
        <w:widowControl/>
        <w:rPr>
          <w:rFonts w:hint="eastAsia" w:ascii="黑体" w:hAnsi="宋体" w:eastAsia="黑体" w:cs="Times New Roman"/>
          <w:sz w:val="28"/>
          <w:szCs w:val="28"/>
          <w:highlight w:val="none"/>
        </w:rPr>
        <w:outlineLvl w:val="1"/>
      </w:pPr>
      <w:r/>
      <w:bookmarkStart w:id="32" w:name="_Toc35393635"/>
      <w:r/>
      <w:bookmarkEnd w:id="32"/>
      <w:r/>
      <w:bookmarkStart w:id="33" w:name="_Toc11567"/>
      <w:r/>
      <w:bookmarkEnd w:id="33"/>
      <w:r/>
      <w:bookmarkStart w:id="34" w:name="_Toc19138"/>
      <w:r/>
      <w:bookmarkEnd w:id="34"/>
      <w:r/>
      <w:bookmarkStart w:id="35" w:name="_Toc35393804"/>
      <w:r>
        <w:rPr>
          <w:rFonts w:hint="eastAsia" w:ascii="黑体" w:hAnsi="宋体" w:eastAsia="黑体" w:cs="黑体"/>
          <w:sz w:val="28"/>
          <w:szCs w:val="28"/>
          <w:highlight w:val="none"/>
        </w:rPr>
        <w:t xml:space="preserve">六、其他补充事宜</w:t>
      </w:r>
      <w:bookmarkEnd w:id="35"/>
      <w:r/>
      <w:r/>
    </w:p>
    <w:p>
      <w:pPr>
        <w:ind w:left="0" w:right="0" w:firstLine="565"/>
        <w:jc w:val="both"/>
        <w:keepLines w:val="0"/>
        <w:keepNext w:val="0"/>
        <w:spacing w:before="0" w:beforeAutospacing="0" w:after="0" w:afterAutospacing="0" w:line="500" w:lineRule="exact"/>
        <w:widowControl w:val="off"/>
        <w:rPr>
          <w:rFonts w:hint="eastAsia" w:ascii="仿宋" w:hAnsi="仿宋" w:eastAsia="仿宋" w:cs="宋体"/>
          <w:bCs/>
          <w:sz w:val="28"/>
          <w:szCs w:val="28"/>
          <w:highlight w:val="none"/>
        </w:rPr>
        <w:suppressLineNumbers w:val="0"/>
      </w:pPr>
      <w:r>
        <w:rPr>
          <w:rFonts w:hint="eastAsia" w:ascii="仿宋" w:hAnsi="仿宋" w:eastAsia="仿宋" w:cs="仿宋"/>
          <w:sz w:val="28"/>
          <w:szCs w:val="28"/>
          <w:highlight w:val="none"/>
          <w:lang w:val="en-US" w:eastAsia="zh-CN" w:bidi="ar"/>
        </w:rPr>
        <w:t xml:space="preserve">1.</w:t>
      </w:r>
      <w:r>
        <w:rPr>
          <w:rFonts w:hint="eastAsia" w:ascii="仿宋" w:hAnsi="仿宋" w:eastAsia="仿宋" w:cs="仿宋"/>
          <w:bCs/>
          <w:sz w:val="28"/>
          <w:szCs w:val="28"/>
          <w:highlight w:val="none"/>
          <w:lang w:val="en-US" w:eastAsia="zh-CN" w:bidi="ar"/>
        </w:rPr>
        <w:t xml:space="preserve">本项目采用电子化交易模式，</w:t>
      </w:r>
      <w:r>
        <w:rPr>
          <w:rFonts w:hint="eastAsia" w:ascii="仿宋" w:hAnsi="仿宋" w:eastAsia="仿宋" w:cs="仿宋"/>
          <w:sz w:val="28"/>
          <w:szCs w:val="28"/>
          <w:highlight w:val="none"/>
          <w:lang w:val="en-US" w:eastAsia="zh-CN" w:bidi="ar"/>
        </w:rPr>
        <w:t xml:space="preserve">具体详见《江苏省政府采购管理交易系统（苏采云）投标人操作手册》，特别</w:t>
      </w:r>
      <w:r>
        <w:rPr>
          <w:rFonts w:hint="eastAsia" w:ascii="仿宋" w:hAnsi="仿宋" w:eastAsia="仿宋" w:cs="仿宋"/>
          <w:bCs/>
          <w:sz w:val="28"/>
          <w:szCs w:val="28"/>
          <w:highlight w:val="none"/>
          <w:lang w:val="en-US" w:eastAsia="zh-CN" w:bidi="ar"/>
        </w:rPr>
        <w:t xml:space="preserve">注意以下事项：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bCs/>
          <w:sz w:val="28"/>
          <w:szCs w:val="28"/>
          <w:highlight w:val="none"/>
        </w:rPr>
        <w:suppressLineNumbers w:val="0"/>
      </w:pPr>
      <w:r>
        <w:rPr>
          <w:rFonts w:hint="eastAsia" w:ascii="仿宋" w:hAnsi="仿宋" w:eastAsia="仿宋" w:cs="仿宋"/>
          <w:bCs/>
          <w:sz w:val="28"/>
          <w:szCs w:val="28"/>
          <w:highlight w:val="none"/>
          <w:lang w:val="en-US" w:eastAsia="zh-CN" w:bidi="ar"/>
        </w:rPr>
        <w:t xml:space="preserve">（1）“苏采云”系统的网址为：http://jszfcg.jsczt.cn/</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rPr>
        <w:suppressLineNumbers w:val="0"/>
      </w:pPr>
      <w:r>
        <w:rPr>
          <w:rFonts w:hint="eastAsia" w:ascii="仿宋" w:hAnsi="仿宋" w:eastAsia="仿宋" w:cs="仿宋"/>
          <w:bCs/>
          <w:sz w:val="28"/>
          <w:szCs w:val="28"/>
          <w:highlight w:val="none"/>
          <w:lang w:val="en-US" w:eastAsia="zh-CN" w:bidi="ar"/>
        </w:rPr>
        <w:t xml:space="preserve">（2）</w:t>
      </w:r>
      <w:r>
        <w:rPr>
          <w:rFonts w:hint="eastAsia" w:ascii="仿宋" w:hAnsi="仿宋" w:eastAsia="仿宋" w:cs="仿宋"/>
          <w:sz w:val="28"/>
          <w:szCs w:val="28"/>
          <w:highlight w:val="none"/>
          <w:lang w:val="en-US" w:eastAsia="zh-CN" w:bidi="ar"/>
        </w:rPr>
        <w:t xml:space="preserve">投标人</w:t>
      </w:r>
      <w:r>
        <w:rPr>
          <w:rFonts w:hint="eastAsia" w:ascii="仿宋" w:hAnsi="仿宋" w:eastAsia="仿宋" w:cs="仿宋"/>
          <w:bCs/>
          <w:sz w:val="28"/>
          <w:szCs w:val="28"/>
          <w:highlight w:val="none"/>
          <w:lang w:val="en-US" w:eastAsia="zh-CN" w:bidi="ar"/>
        </w:rPr>
        <w:t xml:space="preserve">需办理“CA 数字证书”的，可参阅“江苏省政府采购网/办事指南/资料下载”中有关资料（</w:t>
      </w:r>
      <w:r>
        <w:rPr>
          <w:rFonts w:hint="default" w:ascii="Times New Roman" w:hAnsi="Times New Roman" w:eastAsia="宋体" w:cs="Times New Roman"/>
          <w:sz w:val="21"/>
          <w:szCs w:val="21"/>
          <w:highlight w:val="none"/>
          <w:lang w:val="en-US" w:eastAsia="zh-CN" w:bidi="ar"/>
        </w:rPr>
        <w:fldChar w:fldCharType="begin"/>
      </w:r>
      <w:r>
        <w:rPr>
          <w:rFonts w:hint="default" w:ascii="Times New Roman" w:hAnsi="Times New Roman" w:eastAsia="宋体" w:cs="Times New Roman"/>
          <w:sz w:val="21"/>
          <w:szCs w:val="21"/>
          <w:highlight w:val="none"/>
          <w:lang w:val="en-US" w:eastAsia="zh-CN" w:bidi="ar"/>
        </w:rPr>
        <w:instrText xml:space="preserve"> HYPERLINK "http://jsxcmm.com/help/gys.html" </w:instrText>
      </w:r>
      <w:r>
        <w:rPr>
          <w:rFonts w:hint="default" w:ascii="Times New Roman" w:hAnsi="Times New Roman" w:eastAsia="宋体" w:cs="Times New Roman"/>
          <w:sz w:val="21"/>
          <w:szCs w:val="21"/>
          <w:highlight w:val="none"/>
          <w:lang w:val="en-US" w:eastAsia="zh-CN" w:bidi="ar"/>
        </w:rPr>
        <w:fldChar w:fldCharType="separate"/>
      </w:r>
      <w:r>
        <w:rPr>
          <w:rStyle w:val="882"/>
          <w:rFonts w:hint="eastAsia" w:ascii="仿宋" w:hAnsi="仿宋" w:eastAsia="仿宋" w:cs="宋体"/>
          <w:bCs/>
          <w:sz w:val="28"/>
          <w:szCs w:val="28"/>
          <w:highlight w:val="none"/>
          <w:u w:val="single"/>
        </w:rPr>
        <w:t xml:space="preserve">http://jsxcmm.com/help/gys.html</w:t>
      </w:r>
      <w:r>
        <w:rPr>
          <w:rFonts w:hint="default" w:ascii="Times New Roman" w:hAnsi="Times New Roman" w:eastAsia="宋体" w:cs="Times New Roman"/>
          <w:sz w:val="21"/>
          <w:szCs w:val="21"/>
          <w:highlight w:val="none"/>
          <w:lang w:val="en-US" w:eastAsia="zh-CN" w:bidi="ar"/>
        </w:rPr>
        <w:fldChar w:fldCharType="end"/>
      </w:r>
      <w:r>
        <w:rPr>
          <w:rFonts w:hint="eastAsia" w:ascii="仿宋" w:hAnsi="仿宋" w:eastAsia="仿宋" w:cs="仿宋"/>
          <w:bCs/>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（3）使用谷歌浏览器。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（4）提前准备好麦克风、音响，摄像头，并检查保证能够正常使用。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bCs/>
          <w:sz w:val="28"/>
          <w:szCs w:val="28"/>
          <w:highlight w:val="none"/>
        </w:rPr>
        <w:suppressLineNumbers w:val="0"/>
      </w:pPr>
      <w:r>
        <w:rPr>
          <w:rFonts w:hint="eastAsia" w:ascii="仿宋" w:hAnsi="仿宋" w:eastAsia="仿宋" w:cs="仿宋"/>
          <w:sz w:val="28"/>
          <w:szCs w:val="28"/>
          <w:highlight w:val="none"/>
          <w:lang w:val="en-US" w:eastAsia="zh-CN" w:bidi="ar"/>
        </w:rPr>
        <w:t xml:space="preserve">（5）操作系统至少</w:t>
      </w:r>
      <w:r>
        <w:rPr>
          <w:rFonts w:hint="eastAsia" w:ascii="仿宋" w:hAnsi="仿宋" w:eastAsia="仿宋" w:cs="Times New Roman"/>
          <w:sz w:val="28"/>
          <w:szCs w:val="28"/>
          <w:highlight w:val="none"/>
          <w:lang w:val="en-US" w:eastAsia="zh-CN" w:bidi="ar"/>
        </w:rPr>
        <w:t xml:space="preserve">win7以上，建议使用win10操作系统。</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bCs/>
          <w:sz w:val="28"/>
          <w:szCs w:val="28"/>
          <w:highlight w:val="none"/>
          <w:lang w:val="en-US" w:eastAsia="zh-CN" w:bidi="ar"/>
        </w:rPr>
        <w:t xml:space="preserve">（6）供应商应当通过“苏采云”系统提交电子投标文件，投标文件不得超过150M。</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rPr>
          <w:rFonts w:hint="eastAsia" w:ascii="仿宋" w:hAnsi="仿宋" w:eastAsia="仿宋" w:cs="仿宋"/>
          <w:sz w:val="28"/>
          <w:szCs w:val="28"/>
          <w:highlight w:val="none"/>
          <w:lang w:val="en-US" w:eastAsia="zh-CN" w:bidi="ar"/>
        </w:rPr>
        <w:t xml:space="preserve">2. 投标保证金及履约保证金：免收</w:t>
      </w:r>
      <w:r/>
    </w:p>
    <w:p>
      <w:pPr>
        <w:pStyle w:val="877"/>
        <w:ind w:left="0" w:right="0" w:firstLine="560"/>
        <w:spacing w:before="0" w:beforeAutospacing="1" w:after="0" w:afterAutospacing="0" w:line="500" w:lineRule="exact"/>
        <w:widowControl/>
        <w:rPr>
          <w:rFonts w:hint="eastAsia" w:ascii="黑体" w:hAnsi="宋体" w:eastAsia="宋体" w:cs="宋体"/>
          <w:b/>
          <w:bCs w:val="0"/>
          <w:sz w:val="28"/>
          <w:szCs w:val="28"/>
          <w:highlight w:val="none"/>
        </w:rPr>
        <w:outlineLvl w:val="1"/>
      </w:pPr>
      <w:r/>
      <w:bookmarkStart w:id="36" w:name="_Toc25221"/>
      <w:r/>
      <w:bookmarkEnd w:id="36"/>
      <w:r/>
      <w:bookmarkStart w:id="37" w:name="_Toc31863"/>
      <w:r/>
      <w:bookmarkEnd w:id="37"/>
      <w:r/>
      <w:bookmarkStart w:id="38" w:name="_Toc28359095"/>
      <w:r/>
      <w:bookmarkEnd w:id="38"/>
      <w:r/>
      <w:bookmarkStart w:id="39" w:name="_Toc28359018"/>
      <w:r/>
      <w:bookmarkEnd w:id="39"/>
      <w:r/>
      <w:bookmarkStart w:id="40" w:name="_Toc35393805"/>
      <w:r/>
      <w:bookmarkEnd w:id="40"/>
      <w:r/>
      <w:bookmarkStart w:id="41" w:name="_Toc35393636"/>
      <w:r>
        <w:rPr>
          <w:rFonts w:hint="eastAsia" w:ascii="黑体" w:hAnsi="宋体" w:eastAsia="黑体" w:cs="黑体"/>
          <w:sz w:val="28"/>
          <w:szCs w:val="28"/>
          <w:highlight w:val="none"/>
        </w:rPr>
        <w:t xml:space="preserve">七、凡对本次采购提出询问，请按</w:t>
      </w:r>
      <w:bookmarkEnd w:id="41"/>
      <w:r>
        <w:rPr>
          <w:rFonts w:hint="eastAsia" w:ascii="黑体" w:hAnsi="宋体" w:eastAsia="黑体" w:cs="黑体"/>
          <w:sz w:val="28"/>
          <w:szCs w:val="28"/>
          <w:highlight w:val="none"/>
        </w:rPr>
        <w:t xml:space="preserve">以下方式联系。</w:t>
      </w:r>
      <w:r/>
    </w:p>
    <w:p>
      <w:pPr>
        <w:ind w:left="0" w:right="0" w:firstLine="54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bookmarkStart w:id="42" w:name="_Toc35393637"/>
      <w:r/>
      <w:bookmarkEnd w:id="42"/>
      <w:r/>
      <w:bookmarkStart w:id="43" w:name="_Toc35393806"/>
      <w:r/>
      <w:bookmarkEnd w:id="43"/>
      <w:r/>
      <w:bookmarkStart w:id="44" w:name="_Toc28359019"/>
      <w:r/>
      <w:bookmarkEnd w:id="44"/>
      <w:r/>
      <w:bookmarkStart w:id="45" w:name="_Toc28359096"/>
      <w:r>
        <w:rPr>
          <w:rFonts w:hint="eastAsia" w:ascii="仿宋" w:hAnsi="仿宋" w:eastAsia="仿宋" w:cs="仿宋"/>
          <w:sz w:val="28"/>
          <w:szCs w:val="28"/>
          <w:highlight w:val="none"/>
          <w:lang w:val="en-US" w:eastAsia="zh-CN" w:bidi="ar"/>
        </w:rPr>
        <w:t xml:space="preserve">1. 采购人信息</w:t>
      </w:r>
      <w:bookmarkEnd w:id="45"/>
      <w:r/>
      <w:r/>
    </w:p>
    <w:p>
      <w:pPr>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名</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称：</w:t>
      </w:r>
      <w:r>
        <w:rPr>
          <w:rFonts w:hint="eastAsia" w:ascii="仿宋" w:hAnsi="仿宋" w:eastAsia="仿宋" w:cs="仿宋"/>
          <w:sz w:val="28"/>
          <w:szCs w:val="28"/>
          <w:highlight w:val="none"/>
          <w:u w:val="single"/>
          <w:lang w:val="en-US" w:eastAsia="zh-CN" w:bidi="ar"/>
        </w:rPr>
        <w:t xml:space="preserve">如皋市应急管理局</w:t>
      </w:r>
      <w:r/>
    </w:p>
    <w:p>
      <w:pPr>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地</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址：</w:t>
      </w:r>
      <w:r>
        <w:rPr>
          <w:rFonts w:hint="eastAsia" w:ascii="仿宋" w:hAnsi="仿宋" w:eastAsia="仿宋" w:cs="仿宋"/>
          <w:sz w:val="28"/>
          <w:szCs w:val="28"/>
          <w:highlight w:val="none"/>
          <w:u w:val="single"/>
          <w:lang w:val="en-US" w:eastAsia="zh-CN" w:bidi="ar"/>
        </w:rPr>
        <w:t xml:space="preserve">如皋市行政中心A座10楼</w:t>
      </w:r>
      <w:r/>
    </w:p>
    <w:p>
      <w:pPr>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项目经办人姓名：石卫明</w:t>
      </w:r>
      <w:r/>
    </w:p>
    <w:p>
      <w:pPr>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项目经办人联系方式：</w:t>
      </w:r>
      <w:r>
        <w:rPr>
          <w:rFonts w:hint="eastAsia" w:ascii="仿宋" w:hAnsi="仿宋" w:eastAsia="仿宋" w:cs="仿宋"/>
          <w:sz w:val="28"/>
          <w:szCs w:val="28"/>
          <w:highlight w:val="none"/>
          <w:u w:val="single"/>
          <w:lang w:val="en-US" w:eastAsia="zh-CN" w:bidi="ar"/>
        </w:rPr>
        <w:t xml:space="preserve">15370685033 </w:t>
      </w:r>
      <w:r/>
    </w:p>
    <w:p>
      <w:pPr>
        <w:ind w:left="0" w:right="0" w:firstLine="54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bookmarkStart w:id="46" w:name="_Toc28359097"/>
      <w:r/>
      <w:bookmarkEnd w:id="46"/>
      <w:r/>
      <w:bookmarkStart w:id="47" w:name="_Toc28359020"/>
      <w:r/>
      <w:bookmarkEnd w:id="47"/>
      <w:r/>
      <w:bookmarkStart w:id="48" w:name="_Toc35393807"/>
      <w:r/>
      <w:bookmarkEnd w:id="48"/>
      <w:r/>
      <w:bookmarkStart w:id="49" w:name="_Toc35393638"/>
      <w:r>
        <w:rPr>
          <w:rFonts w:hint="eastAsia" w:ascii="仿宋" w:hAnsi="仿宋" w:eastAsia="仿宋" w:cs="仿宋"/>
          <w:sz w:val="28"/>
          <w:szCs w:val="28"/>
          <w:highlight w:val="none"/>
          <w:lang w:val="en-US" w:eastAsia="zh-CN" w:bidi="ar"/>
        </w:rPr>
        <w:t xml:space="preserve">2. 采购代理机构信息（如有）</w:t>
      </w:r>
      <w:bookmarkEnd w:id="49"/>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名</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称：南通泾天纬地项目管理有限公司</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地  址：如皋市如城街道惠政路269号纪庄大楼9层</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项目经办人姓名：纪巧丽</w:t>
      </w:r>
      <w:r/>
    </w:p>
    <w:p>
      <w:pPr>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项目经办人联系方式：0513-87610696</w:t>
      </w:r>
      <w:r/>
    </w:p>
    <w:p>
      <w:pPr>
        <w:ind w:left="0" w:right="0"/>
        <w:jc w:val="both"/>
        <w:keepLines w:val="0"/>
        <w:keepNext w:val="0"/>
        <w:spacing w:before="0" w:beforeAutospacing="0" w:after="0" w:afterAutospacing="0" w:line="500" w:lineRule="exact"/>
        <w:widowControl w:val="off"/>
        <w:rPr>
          <w:rFonts w:hint="eastAsia" w:ascii="仿宋" w:hAnsi="仿宋" w:eastAsia="仿宋" w:cs="Times New Roman"/>
          <w:b/>
          <w:bCs/>
          <w:sz w:val="28"/>
          <w:szCs w:val="28"/>
          <w:highlight w:val="none"/>
        </w:rPr>
        <w:suppressLineNumbers w:val="0"/>
      </w:pPr>
      <w:r>
        <w:rPr>
          <w:rFonts w:hint="eastAsia" w:ascii="仿宋" w:hAnsi="仿宋" w:eastAsia="仿宋" w:cs="仿宋"/>
          <w:b/>
          <w:bCs w:val="0"/>
          <w:sz w:val="28"/>
          <w:szCs w:val="28"/>
          <w:highlight w:val="none"/>
          <w:lang w:val="en-US" w:eastAsia="zh-CN" w:bidi="ar"/>
        </w:rPr>
      </w:r>
      <w:r>
        <w:rPr>
          <w:rFonts w:hint="eastAsia" w:ascii="仿宋" w:hAnsi="仿宋" w:eastAsia="仿宋" w:cs="仿宋"/>
          <w:b/>
          <w:bCs w:val="0"/>
          <w:sz w:val="28"/>
          <w:szCs w:val="28"/>
          <w:highlight w:val="none"/>
          <w:lang w:val="en-US" w:eastAsia="zh-CN" w:bidi="ar"/>
        </w:rPr>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
        </w:rPr>
        <w:suppressLineNumbers w:val="0"/>
      </w:pPr>
      <w:r>
        <w:rPr>
          <w:rFonts w:hint="eastAsia" w:ascii="仿宋" w:hAnsi="仿宋" w:eastAsia="仿宋" w:cs="仿宋"/>
          <w:b/>
          <w:bCs w:val="0"/>
          <w:sz w:val="28"/>
          <w:szCs w:val="28"/>
          <w:highlight w:val="none"/>
          <w:lang w:val="en-US" w:eastAsia="zh-CN" w:bidi="ar"/>
        </w:rPr>
      </w:r>
      <w:r>
        <w:rPr>
          <w:rFonts w:hint="eastAsia" w:ascii="仿宋" w:hAnsi="仿宋" w:eastAsia="仿宋" w:cs="仿宋"/>
          <w:b/>
          <w:bCs w:val="0"/>
          <w:sz w:val="28"/>
          <w:szCs w:val="28"/>
          <w:highlight w:val="none"/>
          <w:lang w:val="en-US" w:eastAsia="zh-CN" w:bidi="ar"/>
        </w:rPr>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
        </w:rPr>
        <w:suppressLineNumbers w:val="0"/>
      </w:pPr>
      <w:r>
        <w:rPr>
          <w:rFonts w:hint="eastAsia" w:ascii="仿宋" w:hAnsi="仿宋" w:eastAsia="仿宋" w:cs="仿宋"/>
          <w:b/>
          <w:bCs w:val="0"/>
          <w:sz w:val="28"/>
          <w:szCs w:val="28"/>
          <w:highlight w:val="none"/>
          <w:lang w:val="en-US" w:eastAsia="zh-CN" w:bidi="ar"/>
        </w:rPr>
        <w:t xml:space="preserve">附件：</w:t>
      </w:r>
      <w:r>
        <w:rPr>
          <w:rFonts w:hint="eastAsia" w:ascii="仿宋" w:hAnsi="仿宋" w:eastAsia="仿宋" w:cs="Times New Roman"/>
          <w:b/>
          <w:bCs w:val="0"/>
          <w:sz w:val="28"/>
          <w:szCs w:val="28"/>
          <w:highlight w:val="none"/>
          <w:lang w:val="en-US" w:eastAsia="zh-CN" w:bidi="ar"/>
        </w:rPr>
        <w:t xml:space="preserve"> </w:t>
      </w:r>
      <w:r>
        <w:rPr>
          <w:rFonts w:hint="eastAsia" w:ascii="仿宋" w:hAnsi="仿宋" w:eastAsia="仿宋" w:cs="仿宋"/>
          <w:b/>
          <w:bCs w:val="0"/>
          <w:sz w:val="28"/>
          <w:szCs w:val="28"/>
          <w:highlight w:val="none"/>
          <w:lang w:val="en-US" w:eastAsia="zh-CN" w:bidi="ar"/>
        </w:rPr>
        <w:t xml:space="preserve">1.</w:t>
      </w:r>
      <w:r>
        <w:rPr>
          <w:rFonts w:hint="eastAsia" w:ascii="仿宋" w:hAnsi="仿宋" w:eastAsia="仿宋" w:cs="仿宋"/>
          <w:b/>
          <w:bCs w:val="0"/>
          <w:sz w:val="28"/>
          <w:szCs w:val="28"/>
          <w:highlight w:val="none"/>
          <w:lang w:val="en-US" w:eastAsia="zh-CN" w:bidi="ar"/>
        </w:rPr>
        <w:t xml:space="preserve">办理政采贷和履约保函（保险）告知函</w:t>
      </w:r>
      <w:r>
        <w:rPr>
          <w:rFonts w:hint="eastAsia" w:ascii="仿宋" w:hAnsi="仿宋" w:eastAsia="仿宋" w:cs="仿宋"/>
          <w:b/>
          <w:bCs w:val="0"/>
          <w:sz w:val="28"/>
          <w:szCs w:val="28"/>
          <w:highlight w:val="none"/>
          <w:lang w:val="en-US" w:eastAsia="zh-CN" w:bidi="ar"/>
        </w:rPr>
      </w:r>
      <w:r/>
    </w:p>
    <w:p>
      <w:pPr>
        <w:ind w:left="0" w:right="0" w:firstLine="843"/>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highlight w:val="none"/>
        </w:rPr>
        <w:suppressLineNumbers w:val="0"/>
      </w:pPr>
      <w:r>
        <w:rPr>
          <w:rFonts w:hint="eastAsia" w:ascii="仿宋" w:hAnsi="仿宋" w:eastAsia="仿宋" w:cs="仿宋"/>
          <w:b/>
          <w:bCs w:val="0"/>
          <w:sz w:val="28"/>
          <w:szCs w:val="28"/>
          <w:highlight w:val="none"/>
          <w:lang w:val="en-US" w:eastAsia="zh-CN" w:bidi="ar"/>
        </w:rPr>
        <w:t xml:space="preserve">2.招标文件</w:t>
      </w:r>
      <w:r/>
    </w:p>
    <w:p>
      <w:pPr>
        <w:ind w:left="0" w:right="0" w:firstLine="843"/>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highlight w:val="none"/>
        </w:rPr>
        <w:suppressLineNumbers w:val="0"/>
      </w:pPr>
      <w:r>
        <w:rPr>
          <w:rFonts w:hint="eastAsia" w:ascii="仿宋" w:hAnsi="仿宋" w:eastAsia="仿宋" w:cs="仿宋"/>
          <w:b/>
          <w:bCs w:val="0"/>
          <w:sz w:val="28"/>
          <w:szCs w:val="28"/>
          <w:highlight w:val="none"/>
          <w:lang w:val="en-US" w:eastAsia="zh-CN" w:bidi="ar"/>
        </w:rPr>
        <w:t xml:space="preserve">3.采购人信用承诺</w:t>
      </w:r>
      <w:r/>
    </w:p>
    <w:p>
      <w:pPr>
        <w:ind w:left="0" w:right="0" w:firstLine="840"/>
        <w:jc w:val="center"/>
        <w:keepLines w:val="0"/>
        <w:keepNext w:val="0"/>
        <w:spacing w:before="0" w:beforeAutospacing="0" w:after="0" w:afterAutospacing="0"/>
        <w:widowControl w:val="off"/>
        <w:rPr>
          <w:rFonts w:hint="default" w:ascii="方正小标宋简体" w:hAnsi="Times New Roman" w:eastAsia="方正小标宋简体" w:cs="Times New Roman"/>
          <w:bCs/>
          <w:sz w:val="32"/>
          <w:szCs w:val="32"/>
          <w:highlight w:val="none"/>
        </w:rPr>
        <w:outlineLvl w:val="0"/>
        <w:suppressLineNumbers w:val="0"/>
      </w:pPr>
      <w:r>
        <w:rPr>
          <w:rFonts w:hint="eastAsia" w:ascii="仿宋" w:hAnsi="仿宋" w:eastAsia="仿宋" w:cs="Times New Roman"/>
          <w:sz w:val="28"/>
          <w:szCs w:val="28"/>
          <w:highlight w:val="none"/>
          <w:u w:val="single"/>
          <w:lang w:val="en-US" w:eastAsia="zh-CN" w:bidi="ar"/>
        </w:rPr>
        <w:br w:type="page" w:clear="all"/>
      </w:r>
      <w:bookmarkStart w:id="50" w:name="_Toc30905"/>
      <w:r/>
      <w:bookmarkEnd w:id="50"/>
      <w:r/>
      <w:bookmarkStart w:id="51" w:name="_Toc9546"/>
      <w:r>
        <w:rPr>
          <w:rFonts w:hint="default" w:ascii="方正小标宋简体" w:hAnsi="方正小标宋简体" w:eastAsia="方正小标宋简体" w:cs="方正小标宋简体"/>
          <w:bCs/>
          <w:sz w:val="32"/>
          <w:szCs w:val="32"/>
          <w:highlight w:val="none"/>
          <w:lang w:val="en-US" w:eastAsia="zh-CN" w:bidi="ar"/>
        </w:rPr>
        <w:t xml:space="preserve">第2章 投标须知</w:t>
      </w:r>
      <w:bookmarkEnd w:id="51"/>
      <w:r/>
      <w:r/>
    </w:p>
    <w:p>
      <w:pPr>
        <w:ind w:left="0" w:right="0" w:firstLine="548"/>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52" w:name="_Toc24917"/>
      <w:r/>
      <w:bookmarkEnd w:id="52"/>
      <w:r/>
      <w:bookmarkStart w:id="53" w:name="_Toc29243"/>
      <w:r>
        <w:rPr>
          <w:rFonts w:hint="eastAsia" w:ascii="黑体" w:hAnsi="宋体" w:eastAsia="黑体" w:cs="黑体"/>
          <w:sz w:val="28"/>
          <w:szCs w:val="28"/>
          <w:highlight w:val="none"/>
          <w:lang w:val="en-US" w:eastAsia="zh-CN" w:bidi="ar"/>
        </w:rPr>
        <w:t xml:space="preserve">1. 投标费用</w:t>
      </w:r>
      <w:bookmarkEnd w:id="53"/>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1.1 投标人应自行承担所有与投标有关的费用。不论最终的中标结果如何，采购人或者代理机构在任何情况下均无义务和责任承担这些费用。</w:t>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黑体" w:hAnsi="宋体" w:eastAsia="黑体" w:cs="Times New Roman"/>
          <w:sz w:val="28"/>
          <w:szCs w:val="28"/>
          <w:highlight w:val="none"/>
        </w:rPr>
        <w:outlineLvl w:val="1"/>
        <w:suppressLineNumbers w:val="0"/>
      </w:pPr>
      <w:r/>
      <w:bookmarkStart w:id="54" w:name="_Toc6855"/>
      <w:r/>
      <w:bookmarkEnd w:id="54"/>
      <w:r/>
      <w:bookmarkStart w:id="55" w:name="_Toc21206"/>
      <w:r>
        <w:rPr>
          <w:rFonts w:hint="eastAsia" w:ascii="黑体" w:hAnsi="宋体" w:eastAsia="黑体" w:cs="黑体"/>
          <w:sz w:val="28"/>
          <w:szCs w:val="28"/>
          <w:highlight w:val="none"/>
          <w:lang w:val="en-US" w:eastAsia="zh-CN" w:bidi="ar"/>
        </w:rPr>
        <w:t xml:space="preserve">2. 招标文件的约束力</w:t>
      </w:r>
      <w:bookmarkEnd w:id="55"/>
      <w:r/>
      <w:r/>
    </w:p>
    <w:p>
      <w:pPr>
        <w:ind w:left="118" w:right="0" w:firstLine="55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left="0" w:right="0" w:firstLine="697"/>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2.5 采购人或者采购代理机构在发布招标公告、资格预审公告或者发出投标邀请书后，除因重大变故采购任务取消情况外，不得擅自终止招标活动。</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56" w:name="_Hlt26954830"/>
      <w:r/>
      <w:bookmarkEnd w:id="56"/>
      <w:r/>
      <w:bookmarkStart w:id="57" w:name="_Hlt26954828"/>
      <w:r/>
      <w:bookmarkEnd w:id="57"/>
      <w:r/>
      <w:bookmarkStart w:id="58" w:name="_Hlt26670345"/>
      <w:r/>
      <w:bookmarkEnd w:id="58"/>
      <w:r/>
      <w:bookmarkStart w:id="59" w:name="_Hlt26670348"/>
      <w:r/>
      <w:bookmarkEnd w:id="59"/>
      <w:r/>
      <w:bookmarkStart w:id="60" w:name="_Toc30157"/>
      <w:r/>
      <w:bookmarkEnd w:id="60"/>
      <w:r/>
      <w:bookmarkStart w:id="61" w:name="_Hlt26668969"/>
      <w:r/>
      <w:bookmarkEnd w:id="61"/>
      <w:r/>
      <w:bookmarkStart w:id="62" w:name="_Hlt26954832"/>
      <w:r/>
      <w:bookmarkEnd w:id="62"/>
      <w:r/>
      <w:bookmarkStart w:id="63" w:name="_Hlt26670354"/>
      <w:r/>
      <w:bookmarkEnd w:id="63"/>
      <w:r/>
      <w:bookmarkStart w:id="64" w:name="_Toc16814"/>
      <w:r>
        <w:rPr>
          <w:rFonts w:hint="eastAsia" w:ascii="黑体" w:hAnsi="宋体" w:eastAsia="黑体" w:cs="黑体"/>
          <w:sz w:val="28"/>
          <w:szCs w:val="28"/>
          <w:highlight w:val="none"/>
          <w:lang w:val="en-US" w:eastAsia="zh-CN" w:bidi="ar"/>
        </w:rPr>
        <w:t xml:space="preserve">3.投标文件编制</w:t>
      </w:r>
      <w:bookmarkEnd w:id="64"/>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3.2 </w:t>
      </w:r>
      <w:r>
        <w:rPr>
          <w:rFonts w:hint="eastAsia" w:ascii="仿宋" w:hAnsi="仿宋" w:eastAsia="仿宋" w:cs="仿宋"/>
          <w:bCs/>
          <w:sz w:val="28"/>
          <w:szCs w:val="28"/>
          <w:highlight w:val="none"/>
          <w:lang w:val="en-US" w:eastAsia="zh-CN" w:bidi="ar"/>
        </w:rPr>
        <w:t xml:space="preserve">除技术性能另有规定外，投标文件所使用的度量衡单位，均须采用国家法定计量单位</w:t>
      </w:r>
      <w:r>
        <w:rPr>
          <w:rFonts w:hint="eastAsia" w:ascii="仿宋" w:hAnsi="仿宋" w:eastAsia="仿宋" w:cs="仿宋"/>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3.3 投标文件由开标一览表、资格审查文件、商务技术文件和报价文件等四部分组成，</w:t>
      </w:r>
      <w:r>
        <w:rPr>
          <w:rFonts w:hint="eastAsia" w:ascii="仿宋" w:hAnsi="仿宋" w:eastAsia="仿宋" w:cs="仿宋"/>
          <w:bCs/>
          <w:sz w:val="28"/>
          <w:szCs w:val="28"/>
          <w:highlight w:val="none"/>
          <w:lang w:val="en-US" w:eastAsia="zh-CN" w:bidi="ar"/>
        </w:rPr>
        <w:t xml:space="preserve">具体按照“第6章 投标文件组成”要求编写</w:t>
      </w:r>
      <w:r>
        <w:rPr>
          <w:rFonts w:hint="eastAsia" w:ascii="仿宋" w:hAnsi="仿宋" w:eastAsia="仿宋" w:cs="仿宋"/>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65" w:name="_Toc27414"/>
      <w:r/>
      <w:bookmarkEnd w:id="65"/>
      <w:r/>
      <w:bookmarkStart w:id="66" w:name="_Toc20060"/>
      <w:r>
        <w:rPr>
          <w:rFonts w:hint="eastAsia" w:ascii="黑体" w:hAnsi="宋体" w:eastAsia="黑体" w:cs="黑体"/>
          <w:sz w:val="28"/>
          <w:szCs w:val="28"/>
          <w:highlight w:val="none"/>
          <w:lang w:val="en-US" w:eastAsia="zh-CN" w:bidi="ar"/>
        </w:rPr>
        <w:t xml:space="preserve">4. 投标文件提交、撤回和修改</w:t>
      </w:r>
      <w:bookmarkEnd w:id="66"/>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sz w:val="28"/>
          <w:szCs w:val="28"/>
          <w:highlight w:val="none"/>
          <w:lang w:val="en-US" w:eastAsia="zh-CN" w:bidi="ar"/>
        </w:rPr>
        <w:t xml:space="preserve">4.1 供应商</w:t>
      </w:r>
      <w:r>
        <w:rPr>
          <w:rFonts w:hint="eastAsia" w:ascii="仿宋" w:hAnsi="仿宋" w:eastAsia="仿宋" w:cs="仿宋"/>
          <w:bCs/>
          <w:sz w:val="28"/>
          <w:szCs w:val="28"/>
          <w:highlight w:val="none"/>
          <w:lang w:val="en-US" w:eastAsia="zh-CN" w:bidi="ar"/>
        </w:rPr>
        <w:t xml:space="preserve">对CA证书妥善保管，如被他人盗用投标，因此带来的后果均由供应商自行承担。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sz w:val="28"/>
          <w:szCs w:val="28"/>
          <w:highlight w:val="none"/>
          <w:lang w:val="en-US" w:eastAsia="zh-CN" w:bidi="ar"/>
        </w:rPr>
        <w:t xml:space="preserve">4.2 </w:t>
      </w:r>
      <w:r>
        <w:rPr>
          <w:rFonts w:hint="eastAsia" w:ascii="仿宋" w:hAnsi="仿宋" w:eastAsia="仿宋" w:cs="仿宋"/>
          <w:bCs/>
          <w:sz w:val="28"/>
          <w:szCs w:val="28"/>
          <w:highlight w:val="none"/>
          <w:lang w:val="en-US" w:eastAsia="zh-CN" w:bidi="ar"/>
        </w:rPr>
        <w:t xml:space="preserve">供应商应当按照采购文件和“苏采云”系统的要求编制并加密投标文件。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4.3 供应商应当对采购文件提出的实质性要求和条件作出实质性响应，并在电子投标系统逐条应答。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4.4 供应商应对要求提供的资格证明文件（如资质证书、资格证书）、技术资料（如白皮书、彩页、手册、检测报告等）扫描上传至投标系统。</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bCs/>
          <w:sz w:val="28"/>
          <w:szCs w:val="28"/>
          <w:highlight w:val="none"/>
          <w:lang w:val="en-US" w:eastAsia="zh-CN" w:bidi="ar"/>
        </w:rPr>
        <w:t xml:space="preserve">4.5 供应商须通过“苏采云”系统提供的政府采购客户端工具（使用“CA数字证书”）加盖电子签章，并对电子投标文件加密。未按规定加密的投标文件，“苏采云”系统拒收并提示。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4.8供应商可在投标文件提交截止时间前，对其电子投标文件进行修改。在投标文件提交截止时间之后，供应商不得对其电子投标文件作任何修改。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4.9 采购代理机构可以通过修改招标文件，酌情延长投标文件提交截止时间。</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4.10 投标文件的有效期：从提交投标文件截止日起90天。</w:t>
      </w:r>
      <w:r/>
    </w:p>
    <w:p>
      <w:pPr>
        <w:ind w:left="0" w:right="0" w:firstLine="560"/>
        <w:jc w:val="both"/>
        <w:keepLines w:val="0"/>
        <w:keepNext w:val="0"/>
        <w:spacing w:before="0" w:beforeAutospacing="0" w:after="0" w:afterAutospacing="0" w:line="500" w:lineRule="exact"/>
        <w:widowControl w:val="off"/>
        <w:tabs>
          <w:tab w:val="left" w:pos="900" w:leader="none"/>
        </w:tabs>
        <w:rPr>
          <w:rFonts w:hint="eastAsia" w:ascii="仿宋" w:hAnsi="仿宋" w:eastAsia="仿宋" w:cs="Times New Roman"/>
          <w:sz w:val="28"/>
          <w:szCs w:val="28"/>
          <w:highlight w:val="none"/>
        </w:rPr>
        <w:outlineLvl w:val="1"/>
        <w:suppressLineNumbers w:val="0"/>
      </w:pPr>
      <w:r/>
      <w:bookmarkStart w:id="67" w:name="_Toc25308"/>
      <w:r/>
      <w:bookmarkEnd w:id="67"/>
      <w:r/>
      <w:bookmarkStart w:id="68" w:name="_Toc15140"/>
      <w:r>
        <w:rPr>
          <w:rFonts w:hint="eastAsia" w:ascii="黑体" w:hAnsi="宋体" w:eastAsia="黑体" w:cs="黑体"/>
          <w:sz w:val="28"/>
          <w:szCs w:val="28"/>
          <w:highlight w:val="none"/>
          <w:lang w:val="en-US" w:eastAsia="zh-CN" w:bidi="ar"/>
        </w:rPr>
        <w:t xml:space="preserve">5. 开标和评标</w:t>
      </w:r>
      <w:bookmarkEnd w:id="68"/>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 采购人或者采购代理机构将在公开招标公告中规定的时间和地点组织开标活动。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5.2开标前，供应商使用CA数字证书登录“苏采云”系统，并根据开标会议区发出投标文件解密的指令，在30分钟之内使用CA数字证书解密各自投标文件。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5.4因采购人原因或网上招投标平台发生故障，导致无法按时完成投标文件解密或评标工作无法进行的，可根据实际情况相应延迟解密时间或调整评标时间。</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5.5 </w:t>
      </w:r>
      <w:r>
        <w:rPr>
          <w:rFonts w:hint="eastAsia" w:ascii="仿宋" w:hAnsi="仿宋" w:eastAsia="仿宋" w:cs="仿宋"/>
          <w:bCs/>
          <w:sz w:val="28"/>
          <w:szCs w:val="28"/>
          <w:highlight w:val="none"/>
          <w:lang w:val="en-US" w:eastAsia="zh-CN" w:bidi="ar"/>
        </w:rPr>
        <w:t xml:space="preserve">供应商在评标全过程中应保持通信畅通，并安排专人与采购人或采购代理机构及评标委员会联系</w:t>
      </w:r>
      <w:r>
        <w:rPr>
          <w:rFonts w:hint="eastAsia" w:ascii="仿宋" w:hAnsi="仿宋" w:eastAsia="仿宋" w:cs="仿宋"/>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Cs/>
          <w:sz w:val="28"/>
          <w:szCs w:val="28"/>
          <w:highlight w:val="none"/>
        </w:rPr>
        <w:suppressLineNumbers w:val="0"/>
      </w:pPr>
      <w:r>
        <w:rPr>
          <w:rFonts w:hint="eastAsia" w:ascii="仿宋" w:hAnsi="仿宋" w:eastAsia="仿宋" w:cs="仿宋"/>
          <w:bCs/>
          <w:sz w:val="28"/>
          <w:szCs w:val="28"/>
          <w:highlight w:val="none"/>
          <w:lang w:val="en-US" w:eastAsia="zh-CN" w:bidi="ar"/>
        </w:rPr>
        <w:t xml:space="preserve">5.6 开标结束后，采购人或者采购代理机构依法对投标人的资格进行审查。合格投标人不足</w:t>
      </w:r>
      <w:r>
        <w:rPr>
          <w:rFonts w:hint="eastAsia" w:ascii="仿宋" w:hAnsi="仿宋" w:eastAsia="仿宋" w:cs="Times New Roman"/>
          <w:bCs/>
          <w:sz w:val="28"/>
          <w:szCs w:val="28"/>
          <w:highlight w:val="none"/>
          <w:lang w:val="en-US" w:eastAsia="zh-CN" w:bidi="ar"/>
        </w:rPr>
        <w:t xml:space="preserve">3家的，不得评标。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5.7评标委员会由采购人代表和评审专家组成，成员人数应当为</w:t>
      </w:r>
      <w:r>
        <w:rPr>
          <w:rFonts w:hint="eastAsia" w:ascii="仿宋" w:hAnsi="仿宋" w:eastAsia="仿宋" w:cs="Times New Roman"/>
          <w:sz w:val="28"/>
          <w:szCs w:val="28"/>
          <w:highlight w:val="none"/>
          <w:lang w:val="en-US" w:eastAsia="zh-CN" w:bidi="ar"/>
        </w:rPr>
        <w:t xml:space="preserve">5人以上单数，其中评审专家不得少于成员总数的三分之二。对于</w:t>
      </w:r>
      <w:r>
        <w:rPr>
          <w:rFonts w:hint="default" w:ascii="Times New Roman" w:hAnsi="Times New Roman" w:eastAsia="宋体" w:cs="Times New Roman"/>
          <w:sz w:val="21"/>
          <w:szCs w:val="21"/>
          <w:highlight w:val="none"/>
          <w:lang w:val="en-US" w:eastAsia="zh-CN" w:bidi="ar"/>
        </w:rPr>
        <w:fldChar w:fldCharType="begin"/>
      </w:r>
      <w:r>
        <w:rPr>
          <w:rFonts w:hint="default" w:ascii="Times New Roman" w:hAnsi="Times New Roman" w:eastAsia="宋体" w:cs="Times New Roman"/>
          <w:sz w:val="21"/>
          <w:szCs w:val="21"/>
          <w:highlight w:val="none"/>
          <w:lang w:val="en-US" w:eastAsia="zh-CN" w:bidi="ar"/>
        </w:rPr>
        <w:instrText xml:space="preserve"> HYPERLINK "https://baike.baidu.com/item/%E9%87%87%E8%B4%AD%E9%A2%84%E7%AE%97/6362950?fromModule=lemma_inlink" </w:instrText>
      </w:r>
      <w:r>
        <w:rPr>
          <w:rFonts w:hint="default" w:ascii="Times New Roman" w:hAnsi="Times New Roman" w:eastAsia="宋体" w:cs="Times New Roman"/>
          <w:sz w:val="21"/>
          <w:szCs w:val="21"/>
          <w:highlight w:val="none"/>
          <w:lang w:val="en-US" w:eastAsia="zh-CN" w:bidi="ar"/>
        </w:rPr>
        <w:fldChar w:fldCharType="separate"/>
      </w:r>
      <w:r>
        <w:rPr>
          <w:rStyle w:val="882"/>
          <w:rFonts w:hint="eastAsia" w:ascii="仿宋" w:hAnsi="仿宋" w:eastAsia="仿宋" w:cs="仿宋"/>
          <w:sz w:val="28"/>
          <w:szCs w:val="28"/>
          <w:highlight w:val="none"/>
        </w:rPr>
        <w:t xml:space="preserve">预算</w:t>
      </w:r>
      <w:r>
        <w:rPr>
          <w:rFonts w:hint="default" w:ascii="Times New Roman" w:hAnsi="Times New Roman" w:eastAsia="宋体" w:cs="Times New Roman"/>
          <w:sz w:val="21"/>
          <w:szCs w:val="21"/>
          <w:highlight w:val="none"/>
          <w:lang w:val="en-US" w:eastAsia="zh-CN" w:bidi="ar"/>
        </w:rPr>
        <w:fldChar w:fldCharType="end"/>
      </w:r>
      <w:r>
        <w:rPr>
          <w:rFonts w:hint="eastAsia" w:ascii="仿宋" w:hAnsi="仿宋" w:eastAsia="仿宋" w:cs="仿宋"/>
          <w:sz w:val="28"/>
          <w:szCs w:val="28"/>
          <w:highlight w:val="none"/>
          <w:lang w:val="en-US" w:eastAsia="zh-CN" w:bidi="ar"/>
        </w:rPr>
        <w:t xml:space="preserve">金额在</w:t>
      </w:r>
      <w:r>
        <w:rPr>
          <w:rFonts w:hint="eastAsia" w:ascii="仿宋" w:hAnsi="仿宋" w:eastAsia="仿宋" w:cs="Times New Roman"/>
          <w:sz w:val="28"/>
          <w:szCs w:val="28"/>
          <w:highlight w:val="none"/>
          <w:lang w:val="en-US" w:eastAsia="zh-CN" w:bidi="ar"/>
        </w:rPr>
        <w:t xml:space="preserve">1000万元以上</w:t>
      </w:r>
      <w:r>
        <w:rPr>
          <w:rFonts w:hint="eastAsia" w:ascii="仿宋" w:hAnsi="仿宋" w:eastAsia="仿宋" w:cs="仿宋"/>
          <w:sz w:val="28"/>
          <w:szCs w:val="28"/>
          <w:highlight w:val="none"/>
          <w:lang w:val="en-US" w:eastAsia="zh-CN" w:bidi="ar"/>
        </w:rPr>
        <w:t xml:space="preserve">、技术复杂或者社会影响较大的采购项目，评标委员会成员人数应当为</w:t>
      </w:r>
      <w:r>
        <w:rPr>
          <w:rFonts w:hint="eastAsia" w:ascii="仿宋" w:hAnsi="仿宋" w:eastAsia="仿宋" w:cs="Times New Roman"/>
          <w:sz w:val="28"/>
          <w:szCs w:val="28"/>
          <w:highlight w:val="none"/>
          <w:lang w:val="en-US" w:eastAsia="zh-CN" w:bidi="ar"/>
        </w:rPr>
        <w:t xml:space="preserve">7人以上单数</w:t>
      </w:r>
      <w:r>
        <w:rPr>
          <w:rFonts w:hint="eastAsia" w:ascii="仿宋" w:hAnsi="仿宋" w:eastAsia="仿宋" w:cs="仿宋"/>
          <w:sz w:val="28"/>
          <w:szCs w:val="28"/>
          <w:highlight w:val="none"/>
          <w:lang w:val="en-US" w:eastAsia="zh-CN" w:bidi="ar"/>
        </w:rPr>
        <w:t xml:space="preserve">。</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5.8 采购人或者采购代理机构应当从省级以上财政部门设立的政府采购评审专家库中，通过随机方式抽取评审专家。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5.9 对技术复杂、专业性强的采购项目，通过随机方式难以确定合适评审专家的，经主管</w:t>
      </w:r>
      <w:r>
        <w:rPr>
          <w:rFonts w:hint="default" w:ascii="Times New Roman" w:hAnsi="Times New Roman" w:eastAsia="宋体" w:cs="Times New Roman"/>
          <w:sz w:val="21"/>
          <w:szCs w:val="21"/>
          <w:highlight w:val="none"/>
          <w:lang w:val="en-US" w:eastAsia="zh-CN" w:bidi="ar"/>
        </w:rPr>
        <w:fldChar w:fldCharType="begin"/>
      </w:r>
      <w:r>
        <w:rPr>
          <w:rFonts w:hint="default" w:ascii="Times New Roman" w:hAnsi="Times New Roman" w:eastAsia="宋体" w:cs="Times New Roman"/>
          <w:sz w:val="21"/>
          <w:szCs w:val="21"/>
          <w:highlight w:val="none"/>
          <w:lang w:val="en-US" w:eastAsia="zh-CN" w:bidi="ar"/>
        </w:rPr>
        <w:instrText xml:space="preserve"> HYPERLINK "https://baike.baidu.com/item/%E9%A2%84%E7%AE%97%E5%8D%95%E4%BD%8D/2793664?fromModule=lemma_inlink" </w:instrText>
      </w:r>
      <w:r>
        <w:rPr>
          <w:rFonts w:hint="default" w:ascii="Times New Roman" w:hAnsi="Times New Roman" w:eastAsia="宋体" w:cs="Times New Roman"/>
          <w:sz w:val="21"/>
          <w:szCs w:val="21"/>
          <w:highlight w:val="none"/>
          <w:lang w:val="en-US" w:eastAsia="zh-CN" w:bidi="ar"/>
        </w:rPr>
        <w:fldChar w:fldCharType="separate"/>
      </w:r>
      <w:r>
        <w:rPr>
          <w:rStyle w:val="882"/>
          <w:rFonts w:hint="eastAsia" w:ascii="仿宋" w:hAnsi="仿宋" w:eastAsia="仿宋" w:cs="仿宋"/>
          <w:sz w:val="28"/>
          <w:szCs w:val="28"/>
          <w:highlight w:val="none"/>
        </w:rPr>
        <w:t xml:space="preserve">预算单位</w:t>
      </w:r>
      <w:r>
        <w:rPr>
          <w:rFonts w:hint="default" w:ascii="Times New Roman" w:hAnsi="Times New Roman" w:eastAsia="宋体" w:cs="Times New Roman"/>
          <w:sz w:val="21"/>
          <w:szCs w:val="21"/>
          <w:highlight w:val="none"/>
          <w:lang w:val="en-US" w:eastAsia="zh-CN" w:bidi="ar"/>
        </w:rPr>
        <w:fldChar w:fldCharType="end"/>
      </w:r>
      <w:r>
        <w:rPr>
          <w:rFonts w:hint="eastAsia" w:ascii="仿宋" w:hAnsi="仿宋" w:eastAsia="仿宋" w:cs="仿宋"/>
          <w:sz w:val="28"/>
          <w:szCs w:val="28"/>
          <w:highlight w:val="none"/>
          <w:lang w:val="en-US" w:eastAsia="zh-CN" w:bidi="ar"/>
        </w:rPr>
        <w:t xml:space="preserve">同意，采购人可以自行选定相应专业领域的评审专家。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5.10 除了第5.9条规定的情形之外，评审专家对本单位的采购项目只能作为采购人代表参与评标。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5.11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5.12评标委员会评标时，可以通过视频会议，要求供应商对投标文件中含义不明确、同类问题表述不一致或者有明显文字和计算错误的内容等作出必要的澄清、说明或者更正。</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5.13 </w:t>
      </w:r>
      <w:r>
        <w:rPr>
          <w:rFonts w:hint="eastAsia" w:ascii="仿宋" w:hAnsi="仿宋" w:eastAsia="仿宋" w:cs="仿宋"/>
          <w:bCs/>
          <w:sz w:val="28"/>
          <w:szCs w:val="28"/>
          <w:highlight w:val="none"/>
          <w:lang w:val="en-US" w:eastAsia="zh-CN" w:bidi="ar"/>
        </w:rPr>
        <w:t xml:space="preserve">接到澄清要求的供应商，应在评标委员会规定的时间内做出澄清，澄清的内容作为投标文件的补充部分，</w:t>
      </w:r>
      <w:r>
        <w:rPr>
          <w:rFonts w:hint="eastAsia" w:ascii="仿宋" w:hAnsi="仿宋" w:eastAsia="仿宋" w:cs="仿宋"/>
          <w:sz w:val="28"/>
          <w:szCs w:val="28"/>
          <w:highlight w:val="none"/>
          <w:lang w:val="en-US" w:eastAsia="zh-CN" w:bidi="ar"/>
        </w:rPr>
        <w:t xml:space="preserve">但澄清、说明或者更正不得超出投标文件的范围或者改变投标文件的实质性内容。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5.14 </w:t>
      </w:r>
      <w:r>
        <w:rPr>
          <w:rFonts w:hint="eastAsia" w:ascii="仿宋" w:hAnsi="仿宋" w:eastAsia="仿宋" w:cs="仿宋"/>
          <w:b/>
          <w:bCs/>
          <w:sz w:val="28"/>
          <w:szCs w:val="28"/>
          <w:highlight w:val="none"/>
          <w:lang w:val="en-US" w:eastAsia="zh-CN" w:bidi="ar"/>
        </w:rPr>
        <w:t xml:space="preserve">出现下列情形之一的，评标委员会应当启动异常低价响应审查程序</w:t>
      </w:r>
      <w:r>
        <w:rPr>
          <w:rFonts w:hint="eastAsia" w:ascii="仿宋" w:hAnsi="仿宋" w:eastAsia="仿宋" w:cs="仿宋"/>
          <w:sz w:val="28"/>
          <w:szCs w:val="28"/>
          <w:highlight w:val="none"/>
          <w:lang w:val="en-US" w:eastAsia="zh-CN" w:bidi="ar"/>
        </w:rPr>
        <w:t xml:space="preserve">：</w:t>
      </w:r>
      <w:r>
        <w:rPr>
          <w:rFonts w:hint="eastAsia" w:ascii="仿宋" w:hAnsi="仿宋" w:eastAsia="仿宋" w:cs="Times New Roman"/>
          <w:sz w:val="28"/>
          <w:szCs w:val="28"/>
          <w:highlight w:val="none"/>
          <w:lang w:val="en-US" w:eastAsia="zh-CN" w:bidi="ar"/>
        </w:rPr>
        <w:t xml:space="preserve"> </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5.14.1.响应报价低于全部通过符合性审查供应商响应报价平均值50%的，即响应报价&lt;全部通过符合性审查供应商响应报价平均值×50%；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5.14.2响应报价低于通过符合性审查的次低报价供应商响应报价50%的，即响应报价&lt;通过符合性审查的次低报价供应商响应报价×50%；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5.14.3响应报价低于采购项目最高限价45%的，即响应报价&lt;采购项目最高限价×45%；</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5.14.4评标委员会基于专业判断，认为供应商报价过低，有可能影响产品质量或者不能诚信履约的其他情形。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评标委员会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5.15投标文件报价出现前后不一致的，除招标文件另有规定外，按照下列规定修正：</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5.15.1投标文件中开标一览表（报价表）内容与投标文件中相应内容不一致的，以开标一览表（报价表）为准；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5.15.2大写金额和小写金额不一致的，以大写金额为准；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5.15.3单价金额小数点或者百分比有明显错位的，以开标一览表的总价为准，并修改单价；</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5.15.4总价金额与按单价汇总金额不一致的，以单价金额计算结果为准。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5.15.6同时出现两种以上不一致的，按照前款规定的顺序修正。修正后的报价经投标人确认后产生约束力，投标人不确认的，其投标无效。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left="0" w:right="0" w:firstLine="482"/>
        <w:jc w:val="left"/>
        <w:keepLines w:val="0"/>
        <w:keepNext w:val="0"/>
        <w:spacing w:before="0" w:beforeAutospacing="0" w:after="0" w:afterAutospacing="0"/>
        <w:shd w:val="clear" w:color="auto" w:fill="ffffff"/>
        <w:widowControl/>
        <w:rPr>
          <w:rFonts w:hint="eastAsia" w:ascii="仿宋" w:hAnsi="仿宋" w:eastAsia="仿宋" w:cs="Times New Roman"/>
          <w:sz w:val="28"/>
          <w:szCs w:val="28"/>
          <w:highlight w:val="none"/>
          <w:shd w:val="clear" w:color="auto" w:fill="ffffff"/>
        </w:rPr>
        <w:suppressLineNumbers w:val="0"/>
      </w:pPr>
      <w:r>
        <w:rPr>
          <w:rFonts w:hint="eastAsia" w:ascii="仿宋" w:hAnsi="仿宋" w:eastAsia="仿宋" w:cs="仿宋"/>
          <w:sz w:val="28"/>
          <w:szCs w:val="28"/>
          <w:highlight w:val="none"/>
          <w:shd w:val="clear" w:color="auto" w:fill="ffffff"/>
          <w:lang w:val="en-US" w:eastAsia="zh-CN" w:bidi="ar"/>
        </w:rPr>
        <w:t xml:space="preserve">5.18</w:t>
      </w:r>
      <w:r>
        <w:rPr>
          <w:rFonts w:hint="eastAsia" w:ascii="仿宋" w:hAnsi="仿宋" w:eastAsia="仿宋" w:cs="Times New Roman"/>
          <w:sz w:val="28"/>
          <w:szCs w:val="28"/>
          <w:highlight w:val="none"/>
          <w:shd w:val="clear" w:color="auto" w:fill="ffffff"/>
          <w:lang w:val="en-US" w:eastAsia="zh-CN" w:bidi="ar"/>
        </w:rPr>
        <w:t xml:space="preserve"> </w:t>
      </w:r>
      <w:r>
        <w:rPr>
          <w:rFonts w:hint="eastAsia" w:ascii="仿宋" w:hAnsi="仿宋" w:eastAsia="仿宋" w:cs="仿宋"/>
          <w:sz w:val="28"/>
          <w:szCs w:val="28"/>
          <w:highlight w:val="none"/>
          <w:shd w:val="clear" w:color="auto" w:fill="ffffff"/>
          <w:lang w:val="en-US" w:eastAsia="zh-CN" w:bidi="ar"/>
        </w:rPr>
        <w:t xml:space="preserve">评标结果汇总完成后，除了分值汇总计算错误、分项评分超出评分标准范围、评标委员会成员对客观评审因素评分不一致，或者经评标委员会认定评分畸高、畸低等情形之外，任何人不得修改评标结果。</w:t>
      </w:r>
      <w:r/>
    </w:p>
    <w:p>
      <w:pPr>
        <w:ind w:left="0" w:right="0" w:firstLine="56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 有下列情形之一的，视为投标人串通投标，其投标无效：</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5.19.1不同投标人的投标文件由同一单位或者个人编制；</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5.19.2不同投标人的电子投标文件由同一台电子设备编制、打包、加密或者上传；</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5.19.3 不同投标人的投标文件由同一投标人的电子设备打印、复印；</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5.19.4不同投标人的投标报价用同一个预算编制软件密码锁制作或者出自同一投标人的电子文档；</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5.19.5不同投标人从同一个投标单位或者同一个自然人的互联网协议地址下载招标文件、上传投标文件；</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5.19.6 不同投标人的投标文件异常一致或者投标报价呈规律性差异；</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5.19.7 不同投标人委托同一单位或者个人办理投标事宜；</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5.19.8不同投标人的投标文件载明的项目管理成员或者联系人员为同一人；</w:t>
      </w:r>
      <w:r/>
    </w:p>
    <w:p>
      <w:pPr>
        <w:ind w:left="0" w:right="0" w:firstLine="570"/>
        <w:jc w:val="both"/>
        <w:keepLines w:val="0"/>
        <w:keepNext w:val="0"/>
        <w:spacing w:before="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5.19.9不同投标人的投标保证金虽然经由投标人自己的基本账户转出，但所需资金来自同一单位或者个人的账户。</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69" w:name="_Toc8455"/>
      <w:r/>
      <w:bookmarkEnd w:id="69"/>
      <w:r/>
      <w:bookmarkStart w:id="70" w:name="_Toc29853"/>
      <w:r>
        <w:rPr>
          <w:rFonts w:hint="eastAsia" w:ascii="黑体" w:hAnsi="宋体" w:eastAsia="黑体" w:cs="黑体"/>
          <w:sz w:val="28"/>
          <w:szCs w:val="28"/>
          <w:highlight w:val="none"/>
          <w:lang w:val="en-US" w:eastAsia="zh-CN" w:bidi="ar"/>
        </w:rPr>
        <w:t xml:space="preserve">6. 中标和合同</w:t>
      </w:r>
      <w:bookmarkEnd w:id="70"/>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6.1 采购代理机构应当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6.2 采购人自行组织招标的，应当在评标结束后5个工作日内确定中标人。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6.3 采购人在收到评标报告5个工作日内未按评标报告推荐的中标候选人顺序确定中标人，又不能说明合法理由的，视同按评标报告推荐的顺序确定排名第一的中标候选人为中标人。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6.4 中标通知书发出后，采购人不得违法改变中标结果，中标人无正当理由不得放弃中标。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6.6 采购人与中标人应当根据合同的约定依法履行合同义务。政府采购合同的履行、违约责任和解决争议的方法等适用《中华人民共和国民法典》。</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bCs/>
          <w:sz w:val="28"/>
          <w:szCs w:val="28"/>
          <w:highlight w:val="none"/>
        </w:rPr>
        <w:outlineLvl w:val="1"/>
        <w:suppressLineNumbers w:val="0"/>
      </w:pPr>
      <w:r/>
      <w:bookmarkStart w:id="71" w:name="_Toc5202"/>
      <w:r/>
      <w:bookmarkEnd w:id="71"/>
      <w:r/>
      <w:bookmarkStart w:id="72" w:name="_Toc31897"/>
      <w:r>
        <w:rPr>
          <w:rFonts w:hint="eastAsia" w:ascii="黑体" w:hAnsi="宋体" w:eastAsia="黑体" w:cs="黑体"/>
          <w:bCs/>
          <w:sz w:val="28"/>
          <w:szCs w:val="28"/>
          <w:highlight w:val="none"/>
          <w:lang w:val="en-US" w:eastAsia="zh-CN" w:bidi="ar"/>
        </w:rPr>
        <w:t xml:space="preserve">7.政府采购政策功能落实</w:t>
      </w:r>
      <w:bookmarkEnd w:id="72"/>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 对于非专门面向中小企业采购的项目，小微型企业享受价格扣除优惠。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7.1.3价格扣除比例或者价格分加分比例对小型企业和微型企业同等对待，不作区分。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7.1.4在政府采购活动中，供应商提供的货物、工程或者服务符合下列情形的，享受价格扣除政策：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7.1.4.1在货物采购项目中，货物由小微企业制造，即货物由小微企业生产且使用该小微企业商号或者注册商标；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7.1.4.2在工程采购项目中，工程由小微企业承建，即工程施工单位为小微企业；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7.1.4.3在服务采购项目中，服务由小微企业承接，即提供服务的人员为小微企业依照《中华人民共和国劳动合同法》订立劳动合同的从业人员。</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7.1.4.4以联合体形式参加政府采购活动，联合体各方均为小微企业的，联合体视同小微企业。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7.1.6 下列情形不享受价格扣除政策：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7.1.6.1在货物采购项目中，供应商提供的货物既有中小企业制造货物，也有大型企业制造货物的。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7.1.6.2响应供应商与大企业的负责人为同一人，或者与大企业存在直接控股、管理关系。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7.1.7《中小企业划型标准规定》（工信部联企业〔2011〕300号）</w:t>
      </w:r>
      <w:r/>
    </w:p>
    <w:tbl>
      <w:tblPr>
        <w:tblStyle w:val="8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61"/>
        <w:gridCol w:w="1748"/>
        <w:gridCol w:w="825"/>
        <w:gridCol w:w="2211"/>
        <w:gridCol w:w="1899"/>
        <w:gridCol w:w="125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计量</w:t>
            </w:r>
            <w:r/>
          </w:p>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b/>
                <w:bCs w:val="0"/>
                <w:sz w:val="21"/>
                <w:szCs w:val="21"/>
                <w:highlight w:val="none"/>
              </w:rPr>
              <w:suppressLineNumbers w:val="0"/>
            </w:pPr>
            <w:r>
              <w:rPr>
                <w:rFonts w:hint="eastAsia" w:ascii="仿宋" w:hAnsi="仿宋" w:eastAsia="仿宋" w:cs="仿宋"/>
                <w:b/>
                <w:bCs w:val="0"/>
                <w:sz w:val="21"/>
                <w:szCs w:val="21"/>
                <w:highlight w:val="none"/>
                <w:lang w:val="en-US" w:eastAsia="zh-CN" w:bidi="ar"/>
              </w:rPr>
              <w:t xml:space="preserve">微型</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农、林、牧、渔</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500≤Y&lt;20000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50≤Y&lt;500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Y&lt;50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2000≤Y&lt;40000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建筑业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6000≤Y&lt;80000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300≤Y&lt;6000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5000≤Z &lt;80000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300≤Z &lt;5000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Z&lt;300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批发业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20≤X&lt;200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5≤X&lt;20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X&lt;5</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5000≤Y&lt;50000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零售业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10≤X&lt;50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500≤Y&lt;20000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100≤Y&lt;500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交通运输业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200≤Y&lt;3000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Y&lt;200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仓储业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100≤X&lt;200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邮政业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X&lt;20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2000≤Y&lt;30000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住宿业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餐饮业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100≤Y&lt;2000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信息传输业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100≤X&lt;2000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1000≤Y&lt;100000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Y&lt;50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房地产开发经营</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1000≤Y&lt;200000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5000≤Z &lt;10000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2000≤Z &lt;5000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Z&lt;2000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物业管理</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300≤X&lt;1000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营业收入（Y）</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1000≤Y&lt;5000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500≤Y&lt;1000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Y&lt;500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租赁和商务服务业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r>
        <w:trPr>
          <w:cantSplit/>
          <w:jc w:val="center"/>
        </w:trPr>
        <w:tc>
          <w:tcPr>
            <w:shd w:val="clear" w:color="auto" w:fill="auto"/>
            <w:tcBorders>
              <w:top w:val="none" w:color="000000" w:sz="4" w:space="0"/>
              <w:left w:val="single" w:color="auto" w:sz="4" w:space="0"/>
              <w:bottom w:val="single" w:color="auto" w:sz="4" w:space="0"/>
              <w:right w:val="single" w:color="auto" w:sz="4" w:space="0"/>
            </w:tcBorders>
            <w:tcW w:w="195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highlight w:val="none"/>
              </w:rPr>
              <w:suppressLineNumbers w:val="0"/>
            </w:pPr>
            <w:r>
              <w:rPr>
                <w:rFonts w:hint="default" w:ascii="Times New Roman" w:hAnsi="Times New Roman" w:cs="Times New Roman"/>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资产总额（Z）</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8000≤Z &lt;120000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100≤Z &lt;8000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Z&lt;100</w:t>
            </w:r>
            <w:r/>
          </w:p>
        </w:tc>
      </w:tr>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Times New Roman"/>
                <w:sz w:val="21"/>
                <w:szCs w:val="21"/>
                <w:highlight w:val="none"/>
              </w:rPr>
              <w:suppressLineNumbers w:val="0"/>
            </w:pPr>
            <w:r>
              <w:rPr>
                <w:rFonts w:hint="eastAsia" w:ascii="仿宋" w:hAnsi="仿宋" w:eastAsia="仿宋" w:cs="仿宋"/>
                <w:sz w:val="21"/>
                <w:szCs w:val="21"/>
                <w:highlight w:val="none"/>
                <w:lang w:val="en-US" w:eastAsia="zh-CN"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830"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100≤X&lt;300</w:t>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10≤X&lt;100</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default" w:ascii="Times New Roman" w:hAnsi="Times New Roman" w:eastAsia="仿宋" w:cs="Times New Roman"/>
                <w:sz w:val="21"/>
                <w:szCs w:val="21"/>
                <w:highlight w:val="none"/>
              </w:rPr>
              <w:suppressLineNumbers w:val="0"/>
            </w:pPr>
            <w:r>
              <w:rPr>
                <w:rFonts w:hint="default" w:ascii="Times New Roman" w:hAnsi="Times New Roman" w:eastAsia="仿宋" w:cs="Times New Roman"/>
                <w:sz w:val="21"/>
                <w:szCs w:val="21"/>
                <w:highlight w:val="none"/>
                <w:lang w:val="en-US" w:eastAsia="zh-CN" w:bidi="ar"/>
              </w:rPr>
              <w:t xml:space="preserve">X&lt;10</w:t>
            </w:r>
            <w:r/>
          </w:p>
        </w:tc>
      </w:tr>
    </w:tbl>
    <w:p>
      <w:pPr>
        <w:ind w:left="0" w:right="0" w:firstLine="42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1"/>
          <w:szCs w:val="21"/>
          <w:highlight w:val="none"/>
          <w:lang w:val="en-US" w:eastAsia="zh-CN" w:bidi="ar"/>
        </w:rPr>
        <w:t xml:space="preserve">说明：大型、中型和小型企业须同时满足所列指标的下限，否则下划一档；微型企业只需满足所列指标中的一项即可。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 残疾人福利单位价格扣除</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7.2.1享受政府采购支持政策的残疾人福利性单位应当同时满足以下条件：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7.2.1.1安置的残疾人（指法定劳动年龄内，持有《中华人民共和国残疾人证》或者《中华人民共和国残疾军人证（</w:t>
      </w:r>
      <w:r>
        <w:rPr>
          <w:rFonts w:hint="eastAsia" w:ascii="仿宋" w:hAnsi="仿宋" w:eastAsia="仿宋" w:cs="Times New Roman"/>
          <w:sz w:val="28"/>
          <w:szCs w:val="28"/>
          <w:highlight w:val="none"/>
          <w:lang w:val="en-US" w:eastAsia="zh-CN" w:bidi="ar"/>
        </w:rPr>
        <w:t xml:space="preserve">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7.2.1.2 依法与安置的每位残疾人签订了一年以上（含一年）的劳动合同或服务协议；</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7.2.1.3为安置的每位残疾人按月足额缴纳了基本养老保险、基本医疗保险、失业保险、工伤保险和生育保险等社会保险费；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7.2.1.4 通过银行等金融机构向安置的每位残疾人，按月支付了不低于单位所在区县适用的经省级人民政府批准的月最低工资标准的工资；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7.2.1.5 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7.2.3残疾人福利单位需按照采购文件的要求提供《残疾人福利性单位声明函》，否则不予享受。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7.2.4 残疾人福利单位属于小型、微型企业的，不重复享受政策。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7.3 监狱和戒毒企业价格扣除</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7.3.2 监狱企业参加政府采购活动时，应当提供由省级以上监狱管理局、戒毒管理局（含新疆生产建设兵团）出具的属于监狱企业的证明文件。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7.3.3 在政府采购活动中，监狱企业视同小型、微型企业，享受预留份额、评审中价格扣除等政府采购促进中小企业发展的政府采购政策。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7.3.4 监狱企业属于小型、微型企业的，不重复享受政策。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7.4根据《财政部、发展改革委关于印发节能产品政府采购品目清单的通知》（</w:t>
      </w:r>
      <w:r>
        <w:rPr>
          <w:rFonts w:hint="eastAsia" w:ascii="仿宋" w:hAnsi="仿宋" w:eastAsia="仿宋" w:cs="仿宋"/>
          <w:sz w:val="26"/>
          <w:szCs w:val="26"/>
          <w:highlight w:val="none"/>
          <w:lang w:val="en-US" w:eastAsia="zh-CN" w:bidi="ar"/>
        </w:rPr>
        <w:t xml:space="preserve">财库〔2019〕19号</w:t>
      </w:r>
      <w:r>
        <w:rPr>
          <w:rFonts w:hint="eastAsia" w:ascii="仿宋" w:hAnsi="仿宋" w:eastAsia="仿宋" w:cs="仿宋"/>
          <w:sz w:val="28"/>
          <w:szCs w:val="28"/>
          <w:highlight w:val="none"/>
          <w:lang w:val="en-US" w:eastAsia="zh-CN" w:bidi="ar"/>
        </w:rPr>
        <w:t xml:space="preserve">）要求，下列产品实行强制采购或者优先采购：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7.5 根据《财政部、生态环境部关于印发环境标志产品政府采购品目清单的通知》（财库〔2019〕18号）要求，对于</w:t>
      </w:r>
      <w:r>
        <w:rPr>
          <w:rFonts w:hint="default" w:ascii="Times New Roman" w:hAnsi="Times New Roman" w:eastAsia="宋体" w:cs="Times New Roman"/>
          <w:sz w:val="21"/>
          <w:szCs w:val="21"/>
          <w:highlight w:val="none"/>
          <w:lang w:val="en-US" w:eastAsia="zh-CN" w:bidi="ar"/>
        </w:rPr>
        <w:fldChar w:fldCharType="begin"/>
      </w:r>
      <w:r>
        <w:rPr>
          <w:rFonts w:hint="default" w:ascii="Times New Roman" w:hAnsi="Times New Roman" w:eastAsia="宋体" w:cs="Times New Roman"/>
          <w:sz w:val="21"/>
          <w:szCs w:val="21"/>
          <w:highlight w:val="none"/>
          <w:lang w:val="en-US" w:eastAsia="zh-CN" w:bidi="ar"/>
        </w:rPr>
        <w:instrText xml:space="preserve"> HYPERLINK "http://gks.mof.gov.cn/zhengfucaigouguanli/201903/P020190329702478575295.pdf" </w:instrText>
      </w:r>
      <w:r>
        <w:rPr>
          <w:rFonts w:hint="default" w:ascii="Times New Roman" w:hAnsi="Times New Roman" w:eastAsia="宋体" w:cs="Times New Roman"/>
          <w:sz w:val="21"/>
          <w:szCs w:val="21"/>
          <w:highlight w:val="none"/>
          <w:lang w:val="en-US" w:eastAsia="zh-CN" w:bidi="ar"/>
        </w:rPr>
        <w:fldChar w:fldCharType="separate"/>
      </w:r>
      <w:r>
        <w:rPr>
          <w:rStyle w:val="882"/>
          <w:rFonts w:hint="eastAsia" w:ascii="仿宋" w:hAnsi="仿宋" w:eastAsia="仿宋" w:cs="仿宋"/>
          <w:sz w:val="28"/>
          <w:szCs w:val="28"/>
          <w:highlight w:val="none"/>
        </w:rPr>
        <w:t xml:space="preserve">环境标志产品政府采购品目清单</w:t>
      </w:r>
      <w:r>
        <w:rPr>
          <w:rFonts w:hint="default" w:ascii="Times New Roman" w:hAnsi="Times New Roman" w:eastAsia="宋体" w:cs="Times New Roman"/>
          <w:sz w:val="21"/>
          <w:szCs w:val="21"/>
          <w:highlight w:val="none"/>
          <w:lang w:val="en-US" w:eastAsia="zh-CN" w:bidi="ar"/>
        </w:rPr>
        <w:fldChar w:fldCharType="end"/>
      </w:r>
      <w:r>
        <w:rPr>
          <w:rFonts w:hint="eastAsia" w:ascii="仿宋" w:hAnsi="仿宋" w:eastAsia="仿宋" w:cs="仿宋"/>
          <w:sz w:val="28"/>
          <w:szCs w:val="28"/>
          <w:highlight w:val="none"/>
          <w:lang w:val="en-US" w:eastAsia="zh-CN" w:bidi="ar"/>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highlight w:val="none"/>
          <w:lang w:val="en-US" w:eastAsia="zh-CN" w:bidi="ar"/>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7.6根据《国务院办公厅关于在政府采购中实施本国产品标准及相关政策的通知》（国办发〔2025〕34号）要求，落实对本国产品支持政策。</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7.6.1 政府采购活动中既有本国产品又有非本国产品参与竞争的，依法对本国产品给予价格评审优惠，对本国产品的报价给予20%的价格扣除，用扣除后的价格参与评审。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7.6.4供应商对其提供的产品出具《关于符合本国产品标准的声明函》或财政部会同有关部门规定的有关证明文件。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7.7</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7.8.1商品包装层数不得超过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7.8.5塑料材质商品包装上呈现的印刷颜色不得超过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7.8.6纸质商品包装应使用</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7.9.1快递包装中重金属（铅、汞、镉、六价铬）总量应不大于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7.9.3快递包装中使用纸基材的包装材料，纸基材中的有机氯的含量应不大于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7.9.7快递中使用的集装袋应为单一材质制成，其重复使用次数应不小于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bCs/>
          <w:sz w:val="28"/>
          <w:szCs w:val="28"/>
          <w:highlight w:val="none"/>
        </w:rPr>
        <w:outlineLvl w:val="1"/>
        <w:suppressLineNumbers w:val="0"/>
      </w:pPr>
      <w:r/>
      <w:bookmarkStart w:id="73" w:name="_Toc19550"/>
      <w:r/>
      <w:bookmarkEnd w:id="73"/>
      <w:r/>
      <w:bookmarkStart w:id="74" w:name="_Toc13751"/>
      <w:r>
        <w:rPr>
          <w:rFonts w:hint="eastAsia" w:ascii="黑体" w:hAnsi="宋体" w:eastAsia="黑体" w:cs="黑体"/>
          <w:bCs/>
          <w:sz w:val="28"/>
          <w:szCs w:val="28"/>
          <w:highlight w:val="none"/>
          <w:lang w:val="en-US" w:eastAsia="zh-CN" w:bidi="ar"/>
        </w:rPr>
        <w:t xml:space="preserve">8.无效投标和招标活动终止</w:t>
      </w:r>
      <w:bookmarkEnd w:id="74"/>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 出现下列情形之一的，作无效投标处理。</w:t>
      </w:r>
      <w:r>
        <w:rPr>
          <w:rFonts w:hint="eastAsia" w:ascii="仿宋" w:hAnsi="仿宋" w:eastAsia="仿宋" w:cs="Times New Roman"/>
          <w:sz w:val="28"/>
          <w:szCs w:val="28"/>
          <w:highlight w:val="none"/>
          <w:lang w:val="en-US" w:eastAsia="zh-CN" w:bidi="ar"/>
        </w:rPr>
        <w:tab/>
      </w:r>
      <w:r>
        <w:rPr>
          <w:rFonts w:hint="eastAsia" w:ascii="仿宋" w:hAnsi="仿宋" w:eastAsia="仿宋" w:cs="Times New Roman"/>
          <w:sz w:val="28"/>
          <w:szCs w:val="28"/>
          <w:highlight w:val="none"/>
          <w:lang w:val="en-US" w:eastAsia="zh-CN" w:bidi="ar"/>
        </w:rPr>
        <w:tab/>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 不具备招标文件中规定的资格要求的。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8.1.2 报价超过了采购预算或最高限价的。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8.1.3 未通过符合性审查的。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8.1.4 不符合法律法规和招标文件中规定的其他实质性要求的。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8.1.6 投标文件含有采购人不能接受的附加条件的。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8.1.7 本项目采购产品被财政部、国家发展改革委、生态环境部等列入“节能产品品目清单”“环境标志产品品目清单”强制采购范围，而供应商所投标产品不在强制采购范围内的。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8.1.8 投标文件未按照招标文件要求加盖电子签章。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8.1.9 供应商在系统规定的时间内未成功解密电子投标文件的。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8.1.10 未完整上传投标文件电子文档的,或上传的文件打不开的。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8.1.11 不同的供应商投标文件制作机器码、文件创建标识码一致的。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8.1.12 不同投标人委托同一单位或者个人办理投标事宜。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8.1.13 同投标人的投标文件载明的项目管理成员或者联系人员为同一人。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8.1.14 不同投标人的投标文件异常一致或者投标报价呈规律性差异。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8.1.16其他法律法规及本招标文件规定的属于无效投标的情形。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8.2 出现下列情形之一的，本次招标活动将被终止：</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8.2.1 合格投标人不足3家的；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8.2.2 出现影响采购公正的违法、违规行为的；</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8.2.3  因重大变故，采购任务取消的。</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75" w:name="_Toc4521"/>
      <w:r/>
      <w:bookmarkEnd w:id="75"/>
      <w:r/>
      <w:bookmarkStart w:id="76" w:name="_Toc22291"/>
      <w:r>
        <w:rPr>
          <w:rFonts w:hint="eastAsia" w:ascii="黑体" w:hAnsi="宋体" w:eastAsia="黑体" w:cs="黑体"/>
          <w:sz w:val="28"/>
          <w:szCs w:val="28"/>
          <w:highlight w:val="none"/>
          <w:lang w:val="en-US" w:eastAsia="zh-CN" w:bidi="ar"/>
        </w:rPr>
        <w:t xml:space="preserve">9. 询问、质疑和投诉</w:t>
      </w:r>
      <w:bookmarkEnd w:id="76"/>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 供应商对政府采购活动事项有疑问的，可以向采购人或者采购代理机构提出询问，采购人或者采购代理机构应当在3个工作日内作出答复。</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highlight w:val="none"/>
        </w:rPr>
        <w:suppressLineNumbers w:val="0"/>
      </w:pPr>
      <w:r>
        <w:rPr>
          <w:rFonts w:hint="eastAsia" w:ascii="仿宋" w:hAnsi="仿宋" w:eastAsia="仿宋" w:cs="仿宋"/>
          <w:sz w:val="28"/>
          <w:szCs w:val="28"/>
          <w:highlight w:val="none"/>
          <w:lang w:val="en-US" w:eastAsia="zh-CN" w:bidi="ar"/>
        </w:rPr>
        <w:t xml:space="preserve">9.5 </w:t>
      </w:r>
      <w:r>
        <w:rPr>
          <w:rFonts w:hint="eastAsia" w:ascii="仿宋" w:hAnsi="仿宋" w:eastAsia="仿宋" w:cs="仿宋"/>
          <w:b/>
          <w:bCs w:val="0"/>
          <w:sz w:val="28"/>
          <w:szCs w:val="28"/>
          <w:highlight w:val="none"/>
          <w:lang w:val="en-US" w:eastAsia="zh-CN" w:bidi="ar"/>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bCs w:val="0"/>
          <w:sz w:val="28"/>
          <w:szCs w:val="28"/>
          <w:highlight w:val="none"/>
        </w:rPr>
        <w:suppressLineNumbers w:val="0"/>
      </w:pPr>
      <w:r>
        <w:rPr>
          <w:rFonts w:hint="eastAsia" w:ascii="仿宋" w:hAnsi="仿宋" w:eastAsia="仿宋" w:cs="仿宋"/>
          <w:sz w:val="28"/>
          <w:szCs w:val="28"/>
          <w:highlight w:val="none"/>
          <w:lang w:val="en-US" w:eastAsia="zh-CN" w:bidi="ar"/>
        </w:rPr>
        <w:t xml:space="preserve">9.6 </w:t>
      </w:r>
      <w:r>
        <w:rPr>
          <w:rFonts w:hint="eastAsia" w:ascii="仿宋" w:hAnsi="仿宋" w:eastAsia="仿宋" w:cs="仿宋"/>
          <w:b/>
          <w:bCs w:val="0"/>
          <w:sz w:val="28"/>
          <w:szCs w:val="28"/>
          <w:highlight w:val="none"/>
          <w:lang w:val="en-US" w:eastAsia="zh-CN" w:bidi="ar"/>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9.7 以下情形的质疑不予受理：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9.7.1 内容不符合《政府采购质疑和投诉办法》第十二条规定的质疑。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9.7.2 超出政府采购法定期限的质疑。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9.7.3未参加招标活动的供应商或在招标活动中自身权益未受到损害的供应商所提出的质疑。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9.7.4 供应商组成联合体参加招标活动，联合体中任何一方或多方未按要求签字、盖章、加盖公章的质疑。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9.9 质疑函范本</w:t>
      </w:r>
      <w:r/>
    </w:p>
    <w:p>
      <w:pPr>
        <w:ind w:left="0" w:right="0"/>
        <w:jc w:val="center"/>
        <w:keepLines w:val="0"/>
        <w:keepNext w:val="0"/>
        <w:spacing w:before="0" w:beforeAutospacing="0" w:after="0" w:afterAutospacing="0"/>
        <w:widowControl w:val="off"/>
        <w:rPr>
          <w:rFonts w:hint="eastAsia" w:ascii="仿宋" w:hAnsi="仿宋" w:eastAsia="仿宋" w:cs="仿宋"/>
          <w:b/>
          <w:bCs/>
          <w:sz w:val="32"/>
          <w:szCs w:val="32"/>
          <w:highlight w:val="none"/>
        </w:rPr>
        <w:suppressLineNumbers w:val="0"/>
      </w:pPr>
      <w:r>
        <w:rPr>
          <w:rFonts w:hint="eastAsia" w:ascii="仿宋" w:hAnsi="仿宋" w:eastAsia="仿宋" w:cs="仿宋"/>
          <w:b/>
          <w:bCs/>
          <w:sz w:val="32"/>
          <w:szCs w:val="32"/>
          <w:highlight w:val="none"/>
          <w:lang w:val="en-US" w:eastAsia="zh-CN" w:bidi="ar"/>
        </w:rPr>
        <w:t xml:space="preserve">质疑函</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8"/>
          <w:szCs w:val="28"/>
          <w:highlight w:val="none"/>
        </w:rPr>
        <w:suppressLineNumbers w:val="0"/>
      </w:pPr>
      <w:r>
        <w:rPr>
          <w:rFonts w:hint="eastAsia" w:ascii="黑体" w:hAnsi="宋体" w:eastAsia="黑体" w:cs="黑体"/>
          <w:bCs/>
          <w:sz w:val="28"/>
          <w:szCs w:val="28"/>
          <w:highlight w:val="none"/>
          <w:lang w:val="en-US" w:eastAsia="zh-CN" w:bidi="ar"/>
        </w:rPr>
        <w:t xml:space="preserve">一、质疑供应商基本信息</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质疑供应商：</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地址：邮编：</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联系人：联系电话：</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授权代表：联系电话：</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地址：邮编：</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8"/>
          <w:szCs w:val="28"/>
          <w:highlight w:val="none"/>
        </w:rPr>
        <w:suppressLineNumbers w:val="0"/>
      </w:pPr>
      <w:r>
        <w:rPr>
          <w:rFonts w:hint="eastAsia" w:ascii="黑体" w:hAnsi="宋体" w:eastAsia="黑体" w:cs="黑体"/>
          <w:bCs/>
          <w:sz w:val="28"/>
          <w:szCs w:val="28"/>
          <w:highlight w:val="none"/>
          <w:lang w:val="en-US" w:eastAsia="zh-CN" w:bidi="ar"/>
        </w:rPr>
        <w:t xml:space="preserve">二、质疑项目基本情况</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质疑项目的名称：</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质疑项目的编号：包号：</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采购人名称：</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采购文件获取日期：</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8"/>
          <w:szCs w:val="28"/>
          <w:highlight w:val="none"/>
        </w:rPr>
        <w:suppressLineNumbers w:val="0"/>
      </w:pPr>
      <w:r>
        <w:rPr>
          <w:rFonts w:hint="eastAsia" w:ascii="黑体" w:hAnsi="宋体" w:eastAsia="黑体" w:cs="黑体"/>
          <w:bCs/>
          <w:sz w:val="28"/>
          <w:szCs w:val="28"/>
          <w:highlight w:val="none"/>
          <w:lang w:val="en-US" w:eastAsia="zh-CN" w:bidi="ar"/>
        </w:rPr>
        <w:t xml:space="preserve">三、质疑事项具体内容</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质疑事项1：</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事实依据：</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法律依据：</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质疑事项2</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黑体" w:hAnsi="宋体" w:eastAsia="黑体" w:cs="仿宋"/>
          <w:bCs/>
          <w:sz w:val="28"/>
          <w:szCs w:val="28"/>
          <w:highlight w:val="none"/>
        </w:rPr>
        <w:suppressLineNumbers w:val="0"/>
      </w:pPr>
      <w:r>
        <w:rPr>
          <w:rFonts w:hint="eastAsia" w:ascii="黑体" w:hAnsi="宋体" w:eastAsia="黑体" w:cs="黑体"/>
          <w:bCs/>
          <w:sz w:val="28"/>
          <w:szCs w:val="28"/>
          <w:highlight w:val="none"/>
          <w:lang w:val="en-US" w:eastAsia="zh-CN" w:bidi="ar"/>
        </w:rPr>
        <w:t xml:space="preserve">四、与质疑事项相关的质疑请求</w:t>
      </w:r>
      <w:r/>
    </w:p>
    <w:p>
      <w:pPr>
        <w:ind w:left="0" w:right="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u w:val="single"/>
        </w:rPr>
        <w:suppressLineNumbers w:val="0"/>
      </w:pPr>
      <w:r>
        <w:rPr>
          <w:rFonts w:hint="eastAsia" w:ascii="仿宋" w:hAnsi="仿宋" w:eastAsia="仿宋" w:cs="仿宋"/>
          <w:sz w:val="28"/>
          <w:szCs w:val="28"/>
          <w:highlight w:val="none"/>
          <w:lang w:val="en-US" w:eastAsia="zh-CN" w:bidi="ar"/>
        </w:rPr>
        <w:t xml:space="preserve">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8"/>
          <w:szCs w:val="28"/>
          <w:highlight w:val="none"/>
        </w:rPr>
        <w:suppressLineNumbers w:val="0"/>
      </w:pPr>
      <w:r>
        <w:rPr>
          <w:rFonts w:hint="default" w:ascii="仿宋_GB2312" w:hAnsi="Times New Roman" w:eastAsia="仿宋_GB2312" w:cs="仿宋_GB2312"/>
          <w:sz w:val="28"/>
          <w:szCs w:val="28"/>
          <w:highlight w:val="none"/>
          <w:lang w:val="en-US" w:eastAsia="zh-CN" w:bidi="ar"/>
        </w:rPr>
        <w:t xml:space="preserve">签字（签章）：</w:t>
      </w:r>
      <w:r>
        <w:rPr>
          <w:rFonts w:hint="default" w:ascii="仿宋_GB2312" w:hAnsi="Times New Roman" w:eastAsia="仿宋_GB2312" w:cs="Times New Roman"/>
          <w:sz w:val="28"/>
          <w:szCs w:val="28"/>
          <w:highlight w:val="none"/>
          <w:lang w:val="en-US" w:eastAsia="zh-CN" w:bidi="ar"/>
        </w:rPr>
        <w:t xml:space="preserve">              </w:t>
      </w:r>
      <w:r>
        <w:rPr>
          <w:rFonts w:hint="default" w:ascii="仿宋_GB2312" w:hAnsi="Times New Roman" w:eastAsia="仿宋_GB2312" w:cs="仿宋_GB2312"/>
          <w:sz w:val="28"/>
          <w:szCs w:val="28"/>
          <w:highlight w:val="none"/>
          <w:lang w:val="en-US" w:eastAsia="zh-CN" w:bidi="ar"/>
        </w:rPr>
        <w:t xml:space="preserve">公章：</w:t>
      </w:r>
      <w:r>
        <w:rPr>
          <w:rFonts w:hint="default" w:ascii="仿宋_GB2312" w:hAnsi="Times New Roman" w:eastAsia="仿宋_GB2312" w:cs="Times New Roman"/>
          <w:sz w:val="28"/>
          <w:szCs w:val="28"/>
          <w:highlight w:val="none"/>
          <w:lang w:val="en-US" w:eastAsia="zh-CN" w:bidi="ar"/>
        </w:rPr>
        <w:t xml:space="preserve">                      </w:t>
      </w:r>
      <w:r/>
    </w:p>
    <w:p>
      <w:pPr>
        <w:ind w:left="0" w:right="56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default" w:ascii="仿宋_GB2312" w:hAnsi="Times New Roman" w:eastAsia="仿宋_GB2312" w:cs="仿宋_GB2312"/>
          <w:sz w:val="28"/>
          <w:szCs w:val="28"/>
          <w:highlight w:val="none"/>
          <w:lang w:val="en-US" w:eastAsia="zh-CN" w:bidi="ar"/>
        </w:rPr>
        <w:t xml:space="preserve">日期：</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9.10 质疑供应商对采购人、采购代理机构的答复不满意，或者采购人、采购代理机构未在规定时间内作出答复的，可以在答复期满后15个工作日内向财政部门提起投诉。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9.11 投诉人投诉时，应当提交投诉书和必要的证明材料，并按照被投诉采购人、采购代理机构（以下简称被投诉人）和与投诉事项有关的供应商数量提供投诉书的副本。</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9.13 投诉人应当将投诉书送达如皋市财政局政府采购管理科（如皋市解放路</w:t>
      </w:r>
      <w:r>
        <w:rPr>
          <w:rFonts w:hint="eastAsia" w:ascii="仿宋" w:hAnsi="仿宋" w:eastAsia="仿宋" w:cs="Times New Roman"/>
          <w:sz w:val="28"/>
          <w:szCs w:val="28"/>
          <w:highlight w:val="none"/>
          <w:lang w:val="en-US" w:eastAsia="zh-CN" w:bidi="ar"/>
        </w:rPr>
        <w:t xml:space="preserve">199号，行政中心</w:t>
      </w:r>
      <w:r>
        <w:rPr>
          <w:rFonts w:hint="eastAsia" w:ascii="仿宋" w:hAnsi="仿宋" w:eastAsia="仿宋" w:cs="仿宋"/>
          <w:sz w:val="28"/>
          <w:szCs w:val="28"/>
          <w:highlight w:val="none"/>
          <w:lang w:val="en-US" w:eastAsia="zh-CN" w:bidi="ar"/>
        </w:rPr>
        <w:t xml:space="preserve">A座710室，联系电话0513-87623860）。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9.14 投诉书范本</w:t>
      </w:r>
      <w:r/>
    </w:p>
    <w:p>
      <w:pPr>
        <w:ind w:left="0" w:right="0"/>
        <w:jc w:val="center"/>
        <w:keepLines w:val="0"/>
        <w:keepNext w:val="0"/>
        <w:spacing w:before="0" w:beforeAutospacing="0" w:after="0" w:afterAutospacing="0"/>
        <w:widowControl w:val="off"/>
        <w:rPr>
          <w:rFonts w:hint="eastAsia" w:ascii="宋体" w:hAnsi="宋体" w:eastAsia="宋体"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投诉书</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highlight w:val="none"/>
        </w:rPr>
        <w:suppressLineNumbers w:val="0"/>
      </w:pPr>
      <w:r>
        <w:rPr>
          <w:rFonts w:hint="eastAsia" w:ascii="黑体" w:hAnsi="宋体" w:eastAsia="黑体" w:cs="黑体"/>
          <w:sz w:val="24"/>
          <w:szCs w:val="24"/>
          <w:highlight w:val="none"/>
          <w:lang w:val="en-US" w:eastAsia="zh-CN" w:bidi="ar"/>
        </w:rPr>
        <w:t xml:space="preserve">一、投诉相关主体基本情况</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投诉人：</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地</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址：邮编：</w:t>
      </w:r>
      <w:r/>
    </w:p>
    <w:p>
      <w:pPr>
        <w:ind w:left="0" w:right="0"/>
        <w:jc w:val="left"/>
        <w:keepLines w:val="0"/>
        <w:keepNext w:val="0"/>
        <w:spacing w:before="0" w:beforeAutospacing="0" w:after="0" w:afterAutospacing="0"/>
        <w:widowControl w:val="off"/>
        <w:tabs>
          <w:tab w:val="left" w:pos="6510" w:leader="none"/>
        </w:tabs>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法定代表人/主要负责人：联系电话：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授权代表：联系电话：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地</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被投诉人1：</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地</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联系人：联系电话：</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被投诉人2</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相关供应商：</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地</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址：邮编：</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联系人：联系电话：</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highlight w:val="none"/>
        </w:rPr>
        <w:suppressLineNumbers w:val="0"/>
      </w:pPr>
      <w:r>
        <w:rPr>
          <w:rFonts w:hint="eastAsia" w:ascii="黑体" w:hAnsi="宋体" w:eastAsia="黑体" w:cs="黑体"/>
          <w:sz w:val="24"/>
          <w:szCs w:val="24"/>
          <w:highlight w:val="none"/>
          <w:lang w:val="en-US" w:eastAsia="zh-CN" w:bidi="ar"/>
        </w:rPr>
        <w:t xml:space="preserve">二、投诉项目基本情况</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采购项目名称：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采购项目编号：包号：</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采购人名称：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代理机构名称：</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采购文件公告：</w:t>
      </w:r>
      <w:r>
        <w:rPr>
          <w:rFonts w:hint="default" w:ascii="仿宋_GB2312" w:hAnsi="Times New Roman" w:eastAsia="仿宋_GB2312" w:cs="仿宋_GB2312"/>
          <w:sz w:val="24"/>
          <w:szCs w:val="24"/>
          <w:highlight w:val="none"/>
          <w:u w:val="single"/>
          <w:lang w:val="en-US" w:eastAsia="zh-CN" w:bidi="ar"/>
        </w:rPr>
        <w:t xml:space="preserve">是/否 </w:t>
      </w:r>
      <w:r>
        <w:rPr>
          <w:rFonts w:hint="default" w:ascii="仿宋_GB2312" w:hAnsi="Times New Roman" w:eastAsia="仿宋_GB2312" w:cs="仿宋_GB2312"/>
          <w:sz w:val="24"/>
          <w:szCs w:val="24"/>
          <w:highlight w:val="none"/>
          <w:lang w:val="en-US" w:eastAsia="zh-CN" w:bidi="ar"/>
        </w:rPr>
        <w:t xml:space="preserve">公告期限：</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采购结果公告：</w:t>
      </w:r>
      <w:r>
        <w:rPr>
          <w:rFonts w:hint="default" w:ascii="仿宋_GB2312" w:hAnsi="Times New Roman" w:eastAsia="仿宋_GB2312" w:cs="仿宋_GB2312"/>
          <w:sz w:val="24"/>
          <w:szCs w:val="24"/>
          <w:highlight w:val="none"/>
          <w:u w:val="single"/>
          <w:lang w:val="en-US" w:eastAsia="zh-CN" w:bidi="ar"/>
        </w:rPr>
        <w:t xml:space="preserve">是/否 </w:t>
      </w:r>
      <w:r>
        <w:rPr>
          <w:rFonts w:hint="default" w:ascii="仿宋_GB2312" w:hAnsi="Times New Roman" w:eastAsia="仿宋_GB2312" w:cs="仿宋_GB2312"/>
          <w:sz w:val="24"/>
          <w:szCs w:val="24"/>
          <w:highlight w:val="none"/>
          <w:lang w:val="en-US" w:eastAsia="zh-CN" w:bidi="ar"/>
        </w:rPr>
        <w:t xml:space="preserve">公告期限：</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highlight w:val="none"/>
        </w:rPr>
        <w:suppressLineNumbers w:val="0"/>
      </w:pPr>
      <w:r>
        <w:rPr>
          <w:rFonts w:hint="eastAsia" w:ascii="黑体" w:hAnsi="宋体" w:eastAsia="黑体" w:cs="黑体"/>
          <w:sz w:val="24"/>
          <w:szCs w:val="24"/>
          <w:highlight w:val="none"/>
          <w:lang w:val="en-US" w:eastAsia="zh-CN" w:bidi="ar"/>
        </w:rPr>
        <w:t xml:space="preserve">三、质疑基本情况</w:t>
      </w:r>
      <w:r/>
    </w:p>
    <w:p>
      <w:pPr>
        <w:ind w:left="0" w:right="0" w:firstLine="48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投诉人于年月日，向提出质疑，质疑事项为：</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Times New Roman"/>
          <w:sz w:val="24"/>
          <w:szCs w:val="24"/>
          <w:highlight w:val="none"/>
          <w:u w:val="single"/>
          <w:lang w:val="en-US" w:eastAsia="zh-CN" w:bidi="ar"/>
        </w:rPr>
        <w:t xml:space="preserve"> </w:t>
      </w:r>
      <w:r/>
    </w:p>
    <w:p>
      <w:pPr>
        <w:ind w:left="0" w:right="0" w:firstLine="36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u w:val="single"/>
          <w:lang w:val="en-US" w:eastAsia="zh-CN" w:bidi="ar"/>
        </w:rPr>
        <w:t xml:space="preserve">采购人/代理机构</w:t>
      </w:r>
      <w:r>
        <w:rPr>
          <w:rFonts w:hint="default" w:ascii="仿宋_GB2312" w:hAnsi="Times New Roman" w:eastAsia="仿宋_GB2312" w:cs="仿宋_GB2312"/>
          <w:sz w:val="24"/>
          <w:szCs w:val="24"/>
          <w:highlight w:val="none"/>
          <w:lang w:val="en-US" w:eastAsia="zh-CN" w:bidi="ar"/>
        </w:rPr>
        <w:t xml:space="preserve">于年月日，就质疑事项作出了答复/没有在法定期限内作出答复。</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highlight w:val="none"/>
        </w:rPr>
        <w:suppressLineNumbers w:val="0"/>
      </w:pPr>
      <w:r>
        <w:rPr>
          <w:rFonts w:hint="eastAsia" w:ascii="黑体" w:hAnsi="宋体" w:eastAsia="黑体" w:cs="黑体"/>
          <w:sz w:val="24"/>
          <w:szCs w:val="24"/>
          <w:highlight w:val="none"/>
          <w:lang w:val="en-US" w:eastAsia="zh-CN" w:bidi="ar"/>
        </w:rPr>
        <w:t xml:space="preserve">四、投诉事项具体内容</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投诉事项</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1：</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事实依据：</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Times New Roman"/>
          <w:sz w:val="24"/>
          <w:szCs w:val="24"/>
          <w:highlight w:val="none"/>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法律依据：</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Times New Roman"/>
          <w:sz w:val="24"/>
          <w:szCs w:val="24"/>
          <w:highlight w:val="none"/>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投诉事项2</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仿宋_GB2312"/>
          <w:sz w:val="24"/>
          <w:szCs w:val="24"/>
          <w:highlight w:val="none"/>
          <w:lang w:val="en-US" w:eastAsia="zh-CN" w:bidi="ar"/>
        </w:rPr>
        <w:t xml:space="preserve">……</w:t>
      </w:r>
      <w:r/>
    </w:p>
    <w:p>
      <w:pPr>
        <w:ind w:left="0" w:right="0"/>
        <w:jc w:val="both"/>
        <w:keepLines w:val="0"/>
        <w:keepNext w:val="0"/>
        <w:spacing w:before="0" w:beforeAutospacing="0" w:after="0" w:afterAutospacing="0"/>
        <w:widowControl w:val="off"/>
        <w:rPr>
          <w:rFonts w:hint="eastAsia" w:ascii="黑体" w:hAnsi="宋体" w:eastAsia="黑体" w:cs="Times New Roman"/>
          <w:sz w:val="24"/>
          <w:szCs w:val="24"/>
          <w:highlight w:val="none"/>
        </w:rPr>
        <w:suppressLineNumbers w:val="0"/>
      </w:pPr>
      <w:r>
        <w:rPr>
          <w:rFonts w:hint="eastAsia" w:ascii="黑体" w:hAnsi="宋体" w:eastAsia="黑体" w:cs="黑体"/>
          <w:sz w:val="24"/>
          <w:szCs w:val="24"/>
          <w:highlight w:val="none"/>
          <w:lang w:val="en-US" w:eastAsia="zh-CN" w:bidi="ar"/>
        </w:rPr>
        <w:t xml:space="preserve">五、与投诉事项相关的投诉请求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请求：</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u w:val="single"/>
        </w:rPr>
        <w:suppressLineNumbers w:val="0"/>
      </w:pPr>
      <w:r>
        <w:rPr>
          <w:rFonts w:hint="default" w:ascii="仿宋_GB2312" w:hAnsi="Times New Roman" w:eastAsia="仿宋_GB2312" w:cs="Times New Roman"/>
          <w:sz w:val="24"/>
          <w:szCs w:val="24"/>
          <w:highlight w:val="none"/>
          <w:u w:val="single"/>
          <w:lang w:val="en-US" w:eastAsia="zh-CN" w:bidi="ar"/>
        </w:rPr>
        <w:t xml:space="preserve"> </w:t>
      </w:r>
      <w:r/>
    </w:p>
    <w:p>
      <w:pPr>
        <w:ind w:left="0" w:right="0"/>
        <w:jc w:val="both"/>
        <w:keepLines w:val="0"/>
        <w:keepNext w:val="0"/>
        <w:spacing w:before="0" w:beforeAutospacing="0" w:after="0" w:afterAutospacing="0"/>
        <w:widowControl w:val="off"/>
        <w:rPr>
          <w:rFonts w:hint="default" w:ascii="仿宋_GB2312" w:hAnsi="Times New Roman" w:eastAsia="仿宋_GB2312"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签字（签章）：</w:t>
      </w:r>
      <w:r>
        <w:rPr>
          <w:rFonts w:hint="default" w:ascii="仿宋_GB2312" w:hAnsi="Times New Roman" w:eastAsia="仿宋_GB2312" w:cs="Times New Roman"/>
          <w:sz w:val="24"/>
          <w:szCs w:val="24"/>
          <w:highlight w:val="none"/>
          <w:lang w:val="en-US" w:eastAsia="zh-CN" w:bidi="ar"/>
        </w:rPr>
        <w:t xml:space="preserve">                   </w:t>
      </w:r>
      <w:r>
        <w:rPr>
          <w:rFonts w:hint="default" w:ascii="仿宋_GB2312" w:hAnsi="Times New Roman" w:eastAsia="仿宋_GB2312" w:cs="仿宋_GB2312"/>
          <w:sz w:val="24"/>
          <w:szCs w:val="24"/>
          <w:highlight w:val="none"/>
          <w:lang w:val="en-US" w:eastAsia="zh-CN" w:bidi="ar"/>
        </w:rPr>
        <w:t xml:space="preserve">公章：</w:t>
      </w:r>
      <w:r>
        <w:rPr>
          <w:rFonts w:hint="default" w:ascii="仿宋_GB2312" w:hAnsi="Times New Roman" w:eastAsia="仿宋_GB2312" w:cs="Times New Roman"/>
          <w:sz w:val="24"/>
          <w:szCs w:val="24"/>
          <w:highlight w:val="none"/>
          <w:lang w:val="en-US" w:eastAsia="zh-CN" w:bidi="ar"/>
        </w:rPr>
        <w:t xml:space="preserve">                      </w:t>
      </w:r>
      <w:r/>
    </w:p>
    <w:p>
      <w:pPr>
        <w:ind w:left="0" w:right="0" w:firstLine="480"/>
        <w:jc w:val="both"/>
        <w:keepLines w:val="0"/>
        <w:keepNext w:val="0"/>
        <w:spacing w:before="0" w:beforeAutospacing="0" w:after="0" w:afterAutospacing="0" w:line="500" w:lineRule="exact"/>
        <w:widowControl w:val="off"/>
        <w:rPr>
          <w:rFonts w:hint="eastAsia" w:ascii="仿宋" w:hAnsi="仿宋" w:eastAsia="仿宋" w:cs="Times New Roman"/>
          <w:sz w:val="24"/>
          <w:szCs w:val="24"/>
          <w:highlight w:val="none"/>
        </w:rPr>
        <w:suppressLineNumbers w:val="0"/>
      </w:pPr>
      <w:r>
        <w:rPr>
          <w:rFonts w:hint="default" w:ascii="仿宋_GB2312" w:hAnsi="Times New Roman" w:eastAsia="仿宋_GB2312" w:cs="仿宋_GB2312"/>
          <w:sz w:val="24"/>
          <w:szCs w:val="24"/>
          <w:highlight w:val="none"/>
          <w:lang w:val="en-US" w:eastAsia="zh-CN" w:bidi="ar"/>
        </w:rPr>
        <w:t xml:space="preserve">日期：</w:t>
      </w:r>
      <w:r>
        <w:rPr>
          <w:rFonts w:hint="default" w:ascii="仿宋_GB2312" w:hAnsi="Times New Roman" w:eastAsia="仿宋_GB2312" w:cs="Times New Roman"/>
          <w:sz w:val="24"/>
          <w:szCs w:val="24"/>
          <w:highlight w:val="none"/>
          <w:lang w:val="en-US" w:eastAsia="zh-CN" w:bidi="ar"/>
        </w:rPr>
        <w:t xml:space="preserve">    </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outlineLvl w:val="1"/>
        <w:suppressLineNumbers w:val="0"/>
      </w:pPr>
      <w:r/>
      <w:bookmarkStart w:id="77" w:name="_Toc14429"/>
      <w:r/>
      <w:bookmarkEnd w:id="77"/>
      <w:r/>
      <w:bookmarkStart w:id="78" w:name="_Toc9368"/>
      <w:r>
        <w:rPr>
          <w:rFonts w:hint="eastAsia" w:ascii="黑体" w:hAnsi="宋体" w:eastAsia="黑体" w:cs="黑体"/>
          <w:sz w:val="28"/>
          <w:szCs w:val="28"/>
          <w:highlight w:val="none"/>
          <w:lang w:val="en-US" w:eastAsia="zh-CN" w:bidi="ar"/>
        </w:rPr>
        <w:t xml:space="preserve">10. 政府采购合同信用融资扶持政策</w:t>
      </w:r>
      <w:bookmarkEnd w:id="78"/>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10.2中标供应商如需获得合同信用融资支持，可凭政府采购合同办理“政采贷”融资贷款，详情请见南通市政府采购网“易企服”综合服务平台－金融产品全周期－贷款产品专栏。</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79" w:name="_Toc8198"/>
      <w:r/>
      <w:bookmarkEnd w:id="79"/>
      <w:r/>
      <w:bookmarkStart w:id="80" w:name="_Toc25556"/>
      <w:r>
        <w:rPr>
          <w:rFonts w:hint="eastAsia" w:ascii="黑体" w:hAnsi="宋体" w:eastAsia="黑体" w:cs="黑体"/>
          <w:sz w:val="28"/>
          <w:szCs w:val="28"/>
          <w:highlight w:val="none"/>
          <w:lang w:val="en-US" w:eastAsia="zh-CN" w:bidi="ar"/>
        </w:rPr>
        <w:t xml:space="preserve">11.采购代理服务费</w:t>
      </w:r>
      <w:bookmarkEnd w:id="80"/>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11.1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元按伍仟元计取，由成交供应商承担。本项目预算中包含此费用，响应供应商在报价中需考虑此费用的代付，采购人不再另行支付。</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11.2采购代理服务费由成交供应商支付。成交供应商自成交结果公告发布之日起五个工作日内，向采购代理机构支付服务费。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11.3 采购代理机构账户信息：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rPr>
          <w:rFonts w:hint="eastAsia" w:ascii="仿宋" w:hAnsi="仿宋" w:eastAsia="仿宋" w:cs="仿宋"/>
          <w:sz w:val="28"/>
          <w:szCs w:val="28"/>
          <w:highlight w:val="none"/>
          <w:lang w:val="en-US" w:eastAsia="zh-CN" w:bidi="ar"/>
        </w:rPr>
        <w:t xml:space="preserve">收款单位名称为：南通泾天纬地项目管理有限公司；</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sz w:val="28"/>
          <w:szCs w:val="28"/>
          <w:highlight w:val="none"/>
        </w:rPr>
        <w:suppressLineNumbers w:val="0"/>
      </w:pPr>
      <w:r>
        <w:rPr>
          <w:rFonts w:hint="eastAsia" w:ascii="仿宋" w:hAnsi="仿宋" w:eastAsia="仿宋" w:cs="仿宋"/>
          <w:sz w:val="28"/>
          <w:szCs w:val="28"/>
          <w:highlight w:val="none"/>
          <w:lang w:val="en-US" w:eastAsia="zh-CN" w:bidi="ar"/>
        </w:rPr>
        <w:t xml:space="preserve">账户号码：32050164723600005459；</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开户行：建设银行如皋支行，行号：105306200016；</w:t>
      </w:r>
      <w:r/>
    </w:p>
    <w:p>
      <w:pPr>
        <w:ind w:left="630" w:right="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81" w:name="_Toc21802"/>
      <w:r/>
      <w:bookmarkEnd w:id="81"/>
      <w:r/>
      <w:bookmarkStart w:id="82" w:name="_Toc15095"/>
      <w:r>
        <w:rPr>
          <w:rFonts w:hint="eastAsia" w:ascii="黑体" w:hAnsi="宋体" w:eastAsia="黑体" w:cs="黑体"/>
          <w:sz w:val="28"/>
          <w:szCs w:val="28"/>
          <w:highlight w:val="none"/>
          <w:lang w:val="en-US" w:eastAsia="zh-CN" w:bidi="ar"/>
        </w:rPr>
        <w:t xml:space="preserve">12.</w:t>
      </w:r>
      <w:bookmarkEnd w:id="82"/>
      <w:r>
        <w:rPr>
          <w:rFonts w:hint="eastAsia" w:ascii="黑体" w:hAnsi="宋体" w:eastAsia="黑体" w:cs="黑体"/>
          <w:sz w:val="28"/>
          <w:szCs w:val="28"/>
          <w:highlight w:val="none"/>
          <w:lang w:val="en-US" w:eastAsia="zh-CN" w:bidi="ar"/>
        </w:rPr>
        <w:t xml:space="preserve">其他事项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（一）推荐品牌（如有）：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项目中有列明的品牌、型号为优先选用的品牌、型号，磋商响应供应商也可选用其他品牌、型号替代，但替代的品牌、型号在实质性要求和条件上要相当于或优于参考品牌、型号。相当于或优于参考品牌、型号的证明材料由磋商响应供应商提供，由评委确认。磋商响应供应商未提供证明材料的，视为无效投标。</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（二）产品要求：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（三）产品品牌与型号：</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ff"/>
          <w:sz w:val="28"/>
          <w:szCs w:val="28"/>
          <w:highlight w:val="none"/>
        </w:rPr>
        <w:suppressLineNumbers w:val="0"/>
      </w:pPr>
      <w:r>
        <w:rPr>
          <w:rFonts w:hint="eastAsia" w:ascii="仿宋" w:hAnsi="仿宋" w:eastAsia="仿宋" w:cs="Times New Roman"/>
          <w:color w:val="0000ff"/>
          <w:sz w:val="28"/>
          <w:szCs w:val="28"/>
          <w:highlight w:val="none"/>
          <w:lang w:val="en-US" w:eastAsia="zh-CN" w:bidi="ar"/>
        </w:rPr>
        <w:t xml:space="preserve"> </w:t>
      </w:r>
      <w:r/>
    </w:p>
    <w:p>
      <w:pPr>
        <w:ind w:left="0" w:right="0"/>
        <w:jc w:val="center"/>
        <w:keepLines w:val="0"/>
        <w:keepNext w:val="0"/>
        <w:spacing w:before="0" w:beforeAutospacing="0" w:after="0" w:afterAutospacing="0" w:line="600" w:lineRule="exact"/>
        <w:widowControl w:val="off"/>
        <w:rPr>
          <w:rFonts w:hint="default" w:ascii="方正小标宋简体" w:hAnsi="Times New Roman" w:eastAsia="方正小标宋简体" w:cs="Times New Roman"/>
          <w:bCs/>
          <w:color w:val="0000ff"/>
          <w:sz w:val="32"/>
          <w:szCs w:val="32"/>
          <w:highlight w:val="none"/>
        </w:rPr>
        <w:outlineLvl w:val="0"/>
        <w:suppressLineNumbers w:val="0"/>
      </w:pPr>
      <w:r>
        <w:rPr>
          <w:rFonts w:hint="default" w:ascii="方正小标宋简体" w:hAnsi="Times New Roman" w:eastAsia="方正小标宋简体" w:cs="Times New Roman"/>
          <w:bCs/>
          <w:color w:val="0000ff"/>
          <w:sz w:val="44"/>
          <w:szCs w:val="44"/>
          <w:highlight w:val="none"/>
          <w:lang w:val="en-US" w:eastAsia="zh-CN" w:bidi="ar"/>
        </w:rPr>
        <w:br w:type="page" w:clear="all"/>
      </w:r>
      <w:bookmarkStart w:id="83" w:name="_Toc28330"/>
      <w:r/>
      <w:bookmarkEnd w:id="83"/>
      <w:r/>
      <w:bookmarkStart w:id="84" w:name="_Toc22246"/>
      <w:r>
        <w:rPr>
          <w:rFonts w:hint="default" w:ascii="方正小标宋简体" w:hAnsi="方正小标宋简体" w:eastAsia="方正小标宋简体" w:cs="方正小标宋简体"/>
          <w:bCs/>
          <w:sz w:val="32"/>
          <w:szCs w:val="32"/>
          <w:highlight w:val="none"/>
          <w:lang w:val="en-US" w:eastAsia="zh-CN" w:bidi="ar"/>
        </w:rPr>
        <w:t xml:space="preserve">第3章 采购需求</w:t>
      </w:r>
      <w:bookmarkEnd w:id="84"/>
      <w:r/>
      <w:r/>
    </w:p>
    <w:p>
      <w:pPr>
        <w:ind w:left="0" w:right="0"/>
        <w:jc w:val="center"/>
        <w:keepLines w:val="0"/>
        <w:keepNext w:val="0"/>
        <w:spacing w:before="0" w:beforeAutospacing="0" w:after="0" w:afterAutospacing="0" w:line="600" w:lineRule="exact"/>
        <w:widowControl w:val="off"/>
        <w:rPr>
          <w:rFonts w:hint="eastAsia" w:ascii="仿宋" w:hAnsi="仿宋" w:eastAsia="仿宋" w:cs="Times New Roman"/>
          <w:b/>
          <w:bCs/>
          <w:color w:val="0000ff"/>
          <w:sz w:val="28"/>
          <w:szCs w:val="28"/>
          <w:highlight w:val="none"/>
        </w:rPr>
        <w:suppressLineNumbers w:val="0"/>
      </w:pPr>
      <w:r>
        <w:rPr>
          <w:rFonts w:hint="eastAsia" w:ascii="仿宋" w:hAnsi="仿宋" w:eastAsia="仿宋" w:cs="Times New Roman"/>
          <w:b/>
          <w:bCs/>
          <w:color w:val="0000ff"/>
          <w:sz w:val="28"/>
          <w:szCs w:val="28"/>
          <w:highlight w:val="none"/>
          <w:lang w:val="en-US" w:eastAsia="zh-CN" w:bidi="ar"/>
        </w:rPr>
        <w:t xml:space="preserve"> </w:t>
      </w:r>
      <w:r/>
    </w:p>
    <w:p>
      <w:pPr>
        <w:ind w:left="0" w:right="0" w:firstLine="562"/>
        <w:jc w:val="left"/>
        <w:keepLines w:val="0"/>
        <w:keepNext w:val="0"/>
        <w:spacing w:before="0" w:beforeAutospacing="0" w:after="0" w:afterAutospacing="0" w:line="600" w:lineRule="exact"/>
        <w:widowControl w:val="off"/>
        <w:rPr>
          <w:rFonts w:hint="eastAsia" w:ascii="仿宋" w:hAnsi="仿宋" w:eastAsia="仿宋" w:cs="Times New Roman"/>
          <w:b/>
          <w:bCs/>
          <w:sz w:val="28"/>
          <w:szCs w:val="28"/>
          <w:highlight w:val="none"/>
        </w:rPr>
        <w:suppressLineNumbers w:val="0"/>
      </w:pPr>
      <w:r>
        <w:rPr>
          <w:rFonts w:hint="eastAsia" w:ascii="仿宋" w:hAnsi="仿宋" w:eastAsia="仿宋" w:cs="仿宋"/>
          <w:b/>
          <w:bCs/>
          <w:sz w:val="28"/>
          <w:szCs w:val="28"/>
          <w:highlight w:val="none"/>
          <w:lang w:val="en-US" w:eastAsia="zh-CN" w:bidi="ar"/>
        </w:rPr>
        <w:t xml:space="preserve">投标人在制作投标文件时仔细研究采购需求说明。采购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562"/>
        <w:jc w:val="left"/>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b/>
          <w:bCs/>
          <w:sz w:val="28"/>
          <w:szCs w:val="28"/>
          <w:highlight w:val="none"/>
          <w:lang w:val="en-US" w:eastAsia="zh-CN" w:bidi="ar"/>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85" w:name="_Toc16279"/>
      <w:r/>
      <w:bookmarkEnd w:id="85"/>
      <w:r/>
      <w:bookmarkStart w:id="86" w:name="_Toc16261"/>
      <w:r>
        <w:rPr>
          <w:rFonts w:hint="eastAsia" w:ascii="黑体" w:hAnsi="宋体" w:eastAsia="黑体" w:cs="黑体"/>
          <w:sz w:val="28"/>
          <w:szCs w:val="28"/>
          <w:highlight w:val="none"/>
          <w:lang w:val="en-US" w:eastAsia="zh-CN" w:bidi="ar"/>
        </w:rPr>
        <w:t xml:space="preserve">一、项目简介</w:t>
      </w:r>
      <w:bookmarkEnd w:id="86"/>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为贯彻落实国家安全生产战略部署，构建专业化、智能化的特种作业考核体系，如皋市应急管理局启动安全生产特种作业考试中心设备采购项目。本项目以打造区域标杆性考核基地为核心目标，围绕低压电工作业、高压电工作业、焊接与热切割作业、高处作业等核心特种作业类别，系统性采购适配设备，全面提升考试中心考核能力与服务水平，满足实操考核需求，强化安全防护意识与应急处置能力。</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87" w:name="_Toc2128"/>
      <w:r/>
      <w:bookmarkEnd w:id="87"/>
      <w:r/>
      <w:bookmarkStart w:id="88" w:name="_Toc693"/>
      <w:r>
        <w:rPr>
          <w:rFonts w:hint="eastAsia" w:ascii="黑体" w:hAnsi="宋体" w:eastAsia="黑体" w:cs="黑体"/>
          <w:sz w:val="28"/>
          <w:szCs w:val="28"/>
          <w:highlight w:val="none"/>
          <w:lang w:val="en-US" w:eastAsia="zh-CN" w:bidi="ar"/>
        </w:rPr>
        <w:t xml:space="preserve">二、采购内容</w:t>
      </w:r>
      <w:bookmarkEnd w:id="88"/>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1.电力安全工器具与电工仪器仪表考位设备（低压电工实操考试K11），1套；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2.作业现场安全隐患排除考位考位设备（低压电工实操考试K21），1套；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3.电气设备安装考位设备（低压电工实操考试K31），3套；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4.低压开关柜考位设备（低压电工实操考试K31），1套；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5.临时用电系统考位设备（低压电工实操考试K32），1套；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6.电力安全工器具与电工仪器仪表考位设备（高压电工实操考试K11），1套；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7.作业现场安全隐患排除考位设备（高压电工实操考试K21），1套；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8.10/0.4kV变配电系统（成套开关柜）考位设备（高压电工实操考试K31），1套；包括：</w:t>
      </w:r>
      <w:r>
        <w:rPr>
          <w:rFonts w:hint="eastAsia" w:ascii="仿宋" w:hAnsi="仿宋" w:eastAsia="仿宋" w:cs="仿宋"/>
          <w:b/>
          <w:bCs w:val="0"/>
          <w:sz w:val="28"/>
          <w:szCs w:val="28"/>
          <w:highlight w:val="none"/>
          <w:lang w:val="en-US" w:eastAsia="zh-CN" w:bidi="ar"/>
        </w:rPr>
        <w:t xml:space="preserve">高压开关柜</w:t>
      </w:r>
      <w:r>
        <w:rPr>
          <w:rFonts w:hint="eastAsia" w:ascii="仿宋" w:hAnsi="仿宋" w:eastAsia="仿宋" w:cs="仿宋"/>
          <w:b w:val="0"/>
          <w:bCs/>
          <w:sz w:val="28"/>
          <w:szCs w:val="28"/>
          <w:highlight w:val="none"/>
          <w:lang w:val="en-US" w:eastAsia="zh-CN" w:bidi="ar"/>
        </w:rPr>
        <w:t xml:space="preserve">、干式电力变压器。低压开关柜等；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9. 10/0.4kV变配电系统（架空线路）考位设备（高压电工实操考试K32），1套；包括：柱上变压器台架、作业环境显示屏等；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10.电气设备安装考位设备（高压电工实操考试K33），1套；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11.安全用具考位设备（焊接作业实操考试K11），4套；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12.作业现场安全隐患排除考位设备（焊接作业实操考试K21），1套；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13.焊条电弧焊高处考位设备（焊接作业实操考试K31），2套；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14.二氧化碳气体保护焊考位设备（焊接作业实操考试K32），2套；</w:t>
      </w:r>
      <w:r/>
    </w:p>
    <w:p>
      <w:pPr>
        <w:ind w:left="559" w:right="0" w:firstLine="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15.氩弧焊考位设备（焊接作业实操考试K33），2套；</w:t>
      </w:r>
      <w:r>
        <w:rPr>
          <w:rFonts w:hint="eastAsia" w:ascii="仿宋" w:hAnsi="仿宋" w:eastAsia="仿宋" w:cs="Times New Roman"/>
          <w:b w:val="0"/>
          <w:bCs/>
          <w:sz w:val="28"/>
          <w:szCs w:val="28"/>
          <w:highlight w:val="none"/>
          <w:lang w:val="en-US" w:eastAsia="zh-CN" w:bidi="ar"/>
        </w:rPr>
        <w:br/>
      </w:r>
      <w:r>
        <w:rPr>
          <w:rFonts w:hint="eastAsia" w:ascii="仿宋" w:hAnsi="仿宋" w:eastAsia="仿宋" w:cs="仿宋"/>
          <w:b w:val="0"/>
          <w:bCs/>
          <w:sz w:val="28"/>
          <w:szCs w:val="28"/>
          <w:highlight w:val="none"/>
          <w:lang w:val="en-US" w:eastAsia="zh-CN" w:bidi="ar"/>
        </w:rPr>
        <w:t xml:space="preserve">16.气焊(割)考位（焊接作业实操考试K34），1套；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17.安全用具考位设备（高处作业实操考试K11），1套；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18.零部件判废考位设备（高处作业实操考试K21），1套；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19.作业现场安全隐患排除考位设备（高处作业实操考试K22），1套；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20.移动平台考位设备（高处作业实操考试K31），1套；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21.吊篮考位设备（高处作业实操考试K32），1套；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22.单人吊具考位设备（高处作业实操考试K33），1套；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23.登杆登塔考位设备（高处作业实操考试K34），1套；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24.触电事故现场应急处置考位设备（通用科目实操考试K41），2套；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25.焊工配套设备（气瓶房2、集中排风排烟系统8个工位、气路架设8个工位、电源布线），1项；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26.考试桌椅，50套；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27.机柜，1台；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28.摄像头（公共区域），6台；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29.摄像头（考试间），56台；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30.硬盘录像机，1台；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31.网线（含配套水晶头），10箱；</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32.监控硬盘，12只；</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33.监控交换机，4台；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34.汇聚交换机，4台；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35.楼层接入交换机，6台；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36.路由器，1台；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37.双通道闸机，1台；</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38.联排候考椅，8套；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39.办公桌椅3套。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b w:val="0"/>
          <w:bCs/>
          <w:sz w:val="28"/>
          <w:szCs w:val="28"/>
          <w:highlight w:val="none"/>
        </w:rPr>
        <w:suppressLineNumbers w:val="0"/>
      </w:pPr>
      <w:r>
        <w:rPr>
          <w:rFonts w:hint="eastAsia" w:ascii="仿宋" w:hAnsi="仿宋" w:eastAsia="仿宋" w:cs="仿宋"/>
          <w:b w:val="0"/>
          <w:bCs/>
          <w:sz w:val="28"/>
          <w:szCs w:val="28"/>
          <w:highlight w:val="none"/>
          <w:lang w:val="en-US" w:eastAsia="zh-CN" w:bidi="ar"/>
        </w:rPr>
        <w:t xml:space="preserve">40.配套安装改造，1项（详见清单）。</w:t>
      </w:r>
      <w:r/>
    </w:p>
    <w:p>
      <w:pPr>
        <w:ind w:left="0" w:right="0" w:firstLine="1405"/>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u w:val="single"/>
        </w:rPr>
        <w:suppressLineNumbers w:val="0"/>
      </w:pPr>
      <w:r>
        <w:rPr>
          <w:rFonts w:hint="eastAsia" w:ascii="仿宋" w:hAnsi="仿宋" w:eastAsia="仿宋" w:cs="仿宋"/>
          <w:b/>
          <w:bCs w:val="0"/>
          <w:sz w:val="28"/>
          <w:szCs w:val="28"/>
          <w:highlight w:val="none"/>
          <w:lang w:val="en-US" w:eastAsia="zh-CN" w:bidi="ar"/>
        </w:rPr>
        <w:t xml:space="preserve">目核心产品为：</w:t>
      </w:r>
      <w:r>
        <w:rPr>
          <w:rFonts w:hint="eastAsia" w:ascii="仿宋" w:hAnsi="仿宋" w:eastAsia="仿宋" w:cs="仿宋"/>
          <w:b/>
          <w:bCs w:val="0"/>
          <w:sz w:val="28"/>
          <w:szCs w:val="28"/>
          <w:highlight w:val="none"/>
          <w:u w:val="single"/>
          <w:lang w:val="en-US" w:eastAsia="zh-CN" w:bidi="ar"/>
        </w:rPr>
        <w:t xml:space="preserve">8号产品中：高压开关柜</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suppressLineNumbers w:val="0"/>
      </w:pPr>
      <w:r>
        <w:rPr>
          <w:rFonts w:hint="eastAsia" w:ascii="黑体" w:hAnsi="宋体" w:eastAsia="黑体" w:cs="Times New Roman"/>
          <w:sz w:val="28"/>
          <w:szCs w:val="28"/>
          <w:highlight w:val="none"/>
          <w:lang w:val="en-US" w:eastAsia="zh-CN" w:bidi="ar"/>
        </w:rPr>
        <w:t xml:space="preserve"> </w:t>
      </w:r>
      <w:r/>
    </w:p>
    <w:p>
      <w:pPr>
        <w:rPr>
          <w:rFonts w:hint="eastAsia" w:ascii="黑体" w:hAnsi="宋体" w:eastAsia="黑体" w:cs="Times New Roman"/>
          <w:sz w:val="28"/>
          <w:szCs w:val="28"/>
          <w:highlight w:val="none"/>
        </w:rPr>
        <w:sectPr>
          <w:footerReference w:type="default" r:id="rId9"/>
          <w:footnotePr/>
          <w:endnotePr/>
          <w:type w:val="nextPage"/>
          <w:pgSz w:w="11900" w:h="16840" w:orient="portrait"/>
          <w:pgMar w:top="1934" w:right="809" w:bottom="1187" w:left="1011" w:header="1" w:footer="1" w:gutter="0"/>
          <w:cols w:num="1" w:sep="0" w:space="425" w:equalWidth="1"/>
          <w:docGrid w:linePitch="360"/>
        </w:sectPr>
      </w:pPr>
      <w:r>
        <w:rPr>
          <w:rFonts w:hint="eastAsia" w:ascii="黑体" w:hAnsi="宋体" w:eastAsia="黑体" w:cs="Times New Roman"/>
          <w:sz w:val="28"/>
          <w:szCs w:val="28"/>
          <w:highlight w:val="none"/>
        </w:rPr>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sz w:val="28"/>
          <w:szCs w:val="28"/>
          <w:highlight w:val="none"/>
        </w:rPr>
        <w:outlineLvl w:val="1"/>
        <w:suppressLineNumbers w:val="0"/>
      </w:pPr>
      <w:r/>
      <w:bookmarkStart w:id="89" w:name="_Toc11544"/>
      <w:r/>
      <w:bookmarkEnd w:id="89"/>
      <w:r/>
      <w:bookmarkStart w:id="90" w:name="_Toc15910"/>
      <w:r>
        <w:rPr>
          <w:rFonts w:hint="eastAsia" w:ascii="黑体" w:hAnsi="宋体" w:eastAsia="黑体" w:cs="黑体"/>
          <w:sz w:val="28"/>
          <w:szCs w:val="28"/>
          <w:highlight w:val="none"/>
          <w:lang w:val="en-US" w:eastAsia="zh-CN" w:bidi="ar"/>
        </w:rPr>
        <w:t xml:space="preserve">三、</w:t>
      </w:r>
      <w:bookmarkEnd w:id="90"/>
      <w:r>
        <w:rPr>
          <w:rFonts w:hint="eastAsia" w:ascii="黑体" w:hAnsi="宋体" w:eastAsia="黑体" w:cs="黑体"/>
          <w:sz w:val="28"/>
          <w:szCs w:val="28"/>
          <w:highlight w:val="none"/>
          <w:lang w:val="en-US" w:eastAsia="zh-CN" w:bidi="ar"/>
        </w:rPr>
        <w:t xml:space="preserve">设备器材组成及技术要求</w:t>
      </w:r>
      <w:r/>
    </w:p>
    <w:p>
      <w:pPr>
        <w:ind w:firstLine="560"/>
        <w:keepLines w:val="0"/>
        <w:keepNext w:val="0"/>
        <w:pageBreakBefore w:val="0"/>
        <w:widowControl w:val="off"/>
        <w:rPr>
          <w:rFonts w:hint="eastAsia" w:ascii="仿宋" w:hAnsi="仿宋" w:eastAsia="仿宋" w:cs="仿宋"/>
          <w:sz w:val="28"/>
          <w:szCs w:val="28"/>
          <w:highlight w:val="none"/>
        </w:rPr>
        <w:outlineLvl w:val="2"/>
      </w:pPr>
      <w:r/>
      <w:bookmarkStart w:id="91" w:name="_Toc25455"/>
      <w:r/>
      <w:bookmarkEnd w:id="91"/>
      <w:r>
        <w:rPr>
          <w:rFonts w:hint="eastAsia" w:ascii="仿宋" w:hAnsi="仿宋" w:eastAsia="仿宋" w:cs="仿宋"/>
          <w:sz w:val="28"/>
          <w:szCs w:val="28"/>
          <w:highlight w:val="none"/>
        </w:rPr>
        <w:t xml:space="preserve">第一部分：特种作业人员安全技术实际操作考场考位主要设备配备</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特别说明（请投标人仔细研读，正确理解）：</w:t>
      </w:r>
      <w:r/>
    </w:p>
    <w:p>
      <w:pPr>
        <w:ind w:firstLine="560"/>
        <w:keepLines w:val="0"/>
        <w:keepNext w:val="0"/>
        <w:pageBreakBefore w:val="0"/>
        <w:widowControl w:val="off"/>
        <w:rPr>
          <w:rFonts w:hint="eastAsia" w:ascii="仿宋" w:hAnsi="仿宋" w:eastAsia="仿宋" w:cs="仿宋"/>
          <w:b/>
          <w:bCs/>
          <w:sz w:val="28"/>
          <w:szCs w:val="28"/>
          <w:highlight w:val="none"/>
        </w:rPr>
        <w:outlineLvl w:val="2"/>
      </w:pPr>
      <w:r>
        <w:rPr>
          <w:rFonts w:hint="eastAsia" w:ascii="仿宋" w:hAnsi="仿宋" w:eastAsia="仿宋" w:cs="仿宋"/>
          <w:sz w:val="28"/>
          <w:szCs w:val="28"/>
          <w:highlight w:val="none"/>
        </w:rPr>
        <w:t xml:space="preserve">1.投标人所投产品能满足《应急管理部关于印发〈安全生产考试机构和考试点管理规定〉的通知》（应急〔2025〕41号）文件，供应商所投设备技术参数必须满足41号文件要求；同时所投设备配备方案还能满足应急管理部关于印发《低压电工作业人员安全技术培训大纲和考核标准》等6个培训大纲和考核标准的通知(应急〔2025〕59号)文件中规定该文件规定要求。确保中标后能通过省级验收，如所投产品无法通过省级验收的，招标人有权单方面解除合同，一切责任由中标人承担。</w:t>
      </w: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t xml:space="preserve">★</w:t>
      </w:r>
      <w:r/>
      <w:r>
        <w:rPr>
          <w:rFonts w:hint="eastAsia" w:ascii="仿宋" w:hAnsi="仿宋" w:eastAsia="仿宋" w:cs="仿宋"/>
          <w:sz w:val="28"/>
          <w:szCs w:val="28"/>
          <w:highlight w:val="none"/>
        </w:rPr>
      </w:r>
      <w:r>
        <w:rPr>
          <w:rFonts w:hint="eastAsia" w:ascii="仿宋" w:hAnsi="仿宋" w:eastAsia="仿宋" w:cs="仿宋"/>
          <w:b/>
          <w:bCs/>
          <w:sz w:val="28"/>
          <w:szCs w:val="28"/>
          <w:highlight w:val="none"/>
        </w:rPr>
        <w:t xml:space="preserve">响应文件中须提交承诺函，承诺函格式自拟。不提供视为无效响应。</w:t>
      </w:r>
      <w:r/>
    </w:p>
    <w:p>
      <w:pPr>
        <w:ind w:firstLine="560"/>
        <w:keepLines w:val="0"/>
        <w:keepNext w:val="0"/>
        <w:pageBreakBefore w:val="0"/>
        <w:widowControl w:val="off"/>
        <w:rPr>
          <w:rFonts w:hint="eastAsia" w:ascii="仿宋" w:hAnsi="仿宋" w:eastAsia="仿宋" w:cs="仿宋"/>
          <w:b/>
          <w:bCs/>
          <w:sz w:val="28"/>
          <w:szCs w:val="28"/>
          <w:highlight w:val="none"/>
        </w:rPr>
        <w:outlineLvl w:val="2"/>
      </w:pPr>
      <w:r>
        <w:rPr>
          <w:rFonts w:hint="eastAsia" w:ascii="仿宋" w:hAnsi="仿宋" w:eastAsia="仿宋" w:cs="仿宋"/>
          <w:sz w:val="28"/>
          <w:szCs w:val="28"/>
          <w:highlight w:val="none"/>
        </w:rPr>
        <w:t xml:space="preserve">2.本次采购项目涉及特种作业实操考试设备及配套设备，应支持与国家、省考试考核系统互联互通，如试运行过程中或正式投入运行中出现与国家、省系统不兼容情况，且整改后仍无法满足的，将被视为虚假应标行为，招标人将取消中标人资格。</w:t>
      </w: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t xml:space="preserve">★</w:t>
      </w:r>
      <w:r/>
      <w:r>
        <w:rPr>
          <w:rFonts w:hint="eastAsia" w:ascii="仿宋" w:hAnsi="仿宋" w:eastAsia="仿宋" w:cs="仿宋"/>
          <w:b/>
          <w:bCs/>
          <w:sz w:val="28"/>
          <w:szCs w:val="28"/>
          <w:highlight w:val="none"/>
        </w:rPr>
        <w:t xml:space="preserve">响应文件中须提交承诺函，承诺函格式自拟。不提供视为无效响应。</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3.为避免盲目应标，投标人应认真对本项目使用现场进行全方位踏勘，并承担现场踏勘所需的全部费用。应对现场情况包括交通、水电、场地等进行周密的勘察和研究，根据自己的判断结论，制定设备组织方案、考位布局方案、安装方案等。中标后、签订合同时及实施过程中，投标人均不得以不了解现场情况为由，</w:t>
      </w: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t xml:space="preserve">★</w:t>
      </w:r>
      <w:r/>
      <w:r>
        <w:rPr>
          <w:rFonts w:hint="eastAsia" w:ascii="仿宋" w:hAnsi="仿宋" w:eastAsia="仿宋" w:cs="仿宋"/>
          <w:b/>
          <w:bCs/>
          <w:sz w:val="28"/>
          <w:szCs w:val="28"/>
          <w:highlight w:val="none"/>
        </w:rPr>
        <w:t xml:space="preserve">提出任何形式增加费用的要求。投标文件中须提供现场踏勘承诺函，格式见附件。</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现场踏勘联系人：石卫明 </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联系电话：15370685033</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现场踏勘时间：</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日上午9:00-11:00，下午2:00-5:00（</w:t>
      </w:r>
      <w:r>
        <w:rPr>
          <w:rFonts w:hint="eastAsia" w:ascii="仿宋" w:hAnsi="仿宋" w:eastAsia="仿宋" w:cs="仿宋"/>
          <w:sz w:val="28"/>
          <w:szCs w:val="28"/>
          <w:highlight w:val="none"/>
        </w:rPr>
        <w:t xml:space="preserve">节假日</w:t>
      </w:r>
      <w:r>
        <w:rPr>
          <w:rFonts w:hint="eastAsia" w:ascii="仿宋" w:hAnsi="仿宋" w:eastAsia="仿宋" w:cs="仿宋"/>
          <w:sz w:val="28"/>
          <w:szCs w:val="28"/>
          <w:highlight w:val="none"/>
        </w:rPr>
        <w:t xml:space="preserve">除外）</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4.第二部分需求中所有技术参数均为基本技术参数要求，不满足将视为无效响应。供应商须依据对其所投产品的品牌、型号等信息认真核实，填写的技术部分正负偏离表，评审时评委依据技术偏离进行评审。技术需求中参数要求若为固定值的，均指该参数的最低要求，供应商可选择优于最低要求的产品进行响应。中标后供货时招标人将严格核实货物技术资料，如所供产品的技术性能如与响应文件不一致，将无法通过验收，由此引发的一切后果由投标人承担。</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5.考试设备安装布置及监控点位、电源插座分包，详见附件《插座布置图及监控摄像布置图》。投标人可以在此基础上进行优化。</w:t>
      </w:r>
      <w:r/>
    </w:p>
    <w:p>
      <w:pPr>
        <w:ind w:firstLine="560"/>
        <w:keepLines w:val="0"/>
        <w:keepNext w:val="0"/>
        <w:pageBreakBefore w:val="0"/>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（一）低压电工作业实际操作考场考位主要设备配备表</w:t>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1.低压电工电力安全工器具与电工仪器仪表实操考核设备（科目一K11）</w:t>
      </w:r>
      <w:r/>
    </w:p>
    <w:tbl>
      <w:tblPr>
        <w:tblStyle w:val="870"/>
        <w:tblW w:w="48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369"/>
        <w:gridCol w:w="1139"/>
        <w:gridCol w:w="696"/>
        <w:gridCol w:w="585"/>
        <w:gridCol w:w="5976"/>
      </w:tblGrid>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单套数量</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标准要求</w:t>
            </w:r>
            <w:r/>
          </w:p>
        </w:tc>
      </w:tr>
      <w:tr>
        <w:trPr>
          <w:trHeight w:val="153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低压验电笔</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1.测量范围：500V及以下。</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2.数字显示：3V～500V。</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3.LCD数字显示，3V以上电压值存在的电场即可发光。</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4、应符合现行标准《测量、控制和实验室用电气设备的安全要求 第1部分：通用要求》(GB4793.1)的有关要求。</w:t>
            </w:r>
            <w:r/>
          </w:p>
        </w:tc>
      </w:tr>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携带型低压短路接地线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1.适用电压：0.4kV；接地棒长度：0.5m。</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2.应符合现行标准《便携式接地和接地短路装置》(DL/T879)、《带电作业用空心绝缘管、泡沫填充绝缘管和实心绝缘棒》(GB13398)的有关要求。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绝缘凳</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应符合现行标准《带电作业用绝缘硬梯》(GB/T17620)的有关要求。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绝缘梯</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应符合现行标准《带电作业用绝缘硬梯》(GB/T17620)的有关要求。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绝缘垫</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应符合现行标准《带电作业用绝缘垫》(DL/T853)的有关要求。</w:t>
            </w:r>
            <w:r/>
          </w:p>
        </w:tc>
      </w:tr>
      <w:tr>
        <w:trPr>
          <w:trHeight w:val="153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绝缘胶带</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卷</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1.材质：PVC</w:t>
            </w:r>
            <w:r>
              <w:rPr>
                <w:rFonts w:hint="eastAsia" w:ascii="仿宋" w:hAnsi="仿宋" w:eastAsia="仿宋" w:cs="仿宋"/>
                <w:sz w:val="21"/>
                <w:szCs w:val="21"/>
                <w:highlight w:val="none"/>
              </w:rPr>
              <w:br/>
            </w:r>
            <w:r>
              <w:rPr>
                <w:rFonts w:hint="eastAsia" w:ascii="仿宋" w:hAnsi="仿宋" w:eastAsia="仿宋" w:cs="仿宋"/>
                <w:sz w:val="21"/>
                <w:szCs w:val="21"/>
                <w:highlight w:val="none"/>
              </w:rPr>
              <w:t xml:space="preserve">2.长度：≥10m，厚度：≥0.17mm</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3.拉伸强度：≥2.2kN/m，伸长率：1≥70%</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4.≥180°剥离力：≥180N/m</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5.电气强度：≥5.5kV</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绝缘手套</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副</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应符合现行标准《带电作业用绝缘手套》(GB/T17622)的有关要求。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绝缘鞋</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双</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应符合现行标准《足部防护安全鞋》(GB21148)的有关要求。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安全帽</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顶</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应符合现行标准《头部防护安全帽》(GB2811)的有关要求。</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防护眼镜</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副</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1.颜色：透明色。</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2.应符合现行标准《眼面防护具通用技术规范》(GB14866)的有关要求。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安全绳</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根</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应符合现行标准《坠落防护安全绳》(GB24543)的有关要求。</w:t>
            </w:r>
            <w:r/>
          </w:p>
        </w:tc>
      </w:tr>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围杆作业用安全带</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1.围杆式。</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2.材质：高强度丙纶。</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3.应符合现行标准《坠落防护安全带》(GB6095)的有关要求。</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区域限制用安全带</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应符合现行标准《坠落防护安全带》(GB6095)的有关要求。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坠落悬挂用安全带</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应符合现行标准《坠落防护安全带》(GB6095)的有关要求。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脚扣</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应符合现行标准《环形混凝土电杆用脚扣》(DL/T1642)或《坠落防护登杆脚扣》(AQ6109)的有关要求。</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登高板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1.板长≥600㎜，板宽≥80㎜，板厚≥23㎜。</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2.尼龙绳索直径≥16mm，长度≥1800mm，承重200kg以上。</w:t>
            </w:r>
            <w:r/>
          </w:p>
        </w:tc>
      </w:tr>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根</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1.应符合《环形混凝土电杆》（GB/T4623）国家标准。</w:t>
            </w:r>
            <w:r>
              <w:rPr>
                <w:rFonts w:hint="eastAsia" w:ascii="仿宋" w:hAnsi="仿宋" w:eastAsia="仿宋" w:cs="仿宋"/>
                <w:sz w:val="21"/>
                <w:szCs w:val="21"/>
                <w:highlight w:val="none"/>
              </w:rPr>
              <w:br/>
            </w:r>
            <w:r>
              <w:rPr>
                <w:rFonts w:hint="eastAsia" w:ascii="仿宋" w:hAnsi="仿宋" w:eastAsia="仿宋" w:cs="仿宋"/>
                <w:sz w:val="21"/>
                <w:szCs w:val="21"/>
                <w:highlight w:val="none"/>
              </w:rPr>
              <w:t xml:space="preserve">电杆结构与安装工艺完整还原实际高处作业场景，满足高低压电工实操中架空线路作业安全绳、脚扣、登高板的实训考核，保证过程的安全性与场景真实性。</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工具袋</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中号；帆布</w:t>
            </w:r>
            <w:r/>
          </w:p>
        </w:tc>
      </w:tr>
      <w:tr>
        <w:trPr>
          <w:trHeight w:val="183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电工通用工具</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1.工具箱尺寸：≥415*290*82mm</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包含：锯子、批头*10、手电筒、美工刀、电工胶布、套筒（5-13）、刀片、十字螺丝刀、一字螺丝刀、棘轮手柄、零件盒、精密螺丝批、活动扳手、羊角锤、水泵钳、内六角（1.5-6）、数显电笔、3M卷尺、剪刀、钢丝钳、尖嘴钳、剥线钳。</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指针式万用表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数字式万用表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数字式钳形电流表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数字式一套，错挡不烧，方波输出40兆欧60毫法，符合现行标准《国家电气设备安全技术规范》(GB19517)的有关要求，并符合电气设备相关的其他国家标准。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指针式钳型电流表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24</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500V指针式兆欧表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25</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1000V指针式兆欧表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26</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数字式兆欧表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27</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数字式接地电阻测试仪</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28</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漏电保护器测试仪</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29</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电阻箱</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可调范围0-9999欧、最小进步值1欧、额定功率1w，符合现行标准《国家电气设备安全技术规范》(GB19517)的有关要求，并符合电气设备相关的其他国家标准。</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30</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C型漏电保护器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采用阻燃材料，符合现行标准《国家电气设备安全技术规范》(GB19517)的有关要求，并符合电气设备相关的其他国家标准。</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31</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D型漏电保护器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采用阻燃材料，符合现行标准《国家电气设备安全技术规范》(GB19517)的有关要求，并符合电气设备相关的其他国家标准。</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32</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干扰项</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低压验电笔</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无法正常使用的。</w:t>
            </w:r>
            <w:r/>
          </w:p>
        </w:tc>
      </w:tr>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33</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携带型低压短路接地线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缺少附件的。</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34</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安全帽</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顶</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非标的、过期的、缺少附件的、轻微损坏的。</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35</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安全带</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非标的、过期的、缺少附件的、轻微损坏的。</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36</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脚扣</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无法正常使用的。</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37</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登高板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无法正常使用的。</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38</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绝缘手套</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副</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过期的、损坏的。</w:t>
            </w:r>
            <w:r/>
          </w:p>
        </w:tc>
      </w:tr>
      <w:tr>
        <w:trPr>
          <w:trHeight w:val="39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39</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绝缘鞋</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双</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过期的、损坏的。</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40</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万用表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分别为外表无明显破损，未定期进行计量检定的和不能正常使用的。</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41</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钳形电流表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分别为外表无明显破损，未定期进行计量检定的和不能正常使用的。</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42</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兆欧表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分别为外表无明显破损，未定期进行计量检定的和不能正常使用的。</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43</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接地电阻测试仪</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分别为外表无明显破损，未定期进行计量检定的和不能正常使用的。</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44</w:t>
            </w:r>
            <w:r/>
          </w:p>
        </w:tc>
        <w:tc>
          <w:tcPr>
            <w:tcBorders>
              <w:top w:val="none" w:color="000000" w:sz="4" w:space="0"/>
              <w:left w:val="single" w:color="auto" w:sz="4" w:space="0"/>
              <w:bottom w:val="single" w:color="auto" w:sz="4" w:space="0"/>
              <w:right w:val="single" w:color="auto" w:sz="4" w:space="0"/>
            </w:tcBorders>
            <w:tcW w:w="36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漏电保护器测试仪</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分别为外表无明显破损，未定期进行计量检定的和不能正常使用的。</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45</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安全工器具存放柜</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加厚冷轧钢板，表面光滑不易变形，强度硬度较高。</w:t>
            </w:r>
            <w:r/>
          </w:p>
        </w:tc>
      </w:tr>
      <w:tr>
        <w:trPr>
          <w:trHeight w:val="12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46</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仪器仪表测试台</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能够模拟各类仪器仪表的电气物理量；使用安全电压，有短路保护、剩余电流动作保护和接地保护。符合现行标准《通用用电设备配电设计规范》(GB50055)、《低压配电设计规范》(GB50054)的有关要求。</w:t>
            </w:r>
            <w:r/>
          </w:p>
        </w:tc>
      </w:tr>
      <w:tr>
        <w:trPr>
          <w:trHeight w:val="924"/>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47</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安全标志</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配备禁止、警告、指令、提示等四类电气安全标志，符合现行标准《电气安全标志》(GB/T29481)、《安全标志及其使用导则》(GB2894)的有关要求。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48</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速差自控器(防坠器)</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满足考试要求。</w:t>
            </w:r>
            <w:r/>
          </w:p>
        </w:tc>
      </w:tr>
      <w:tr>
        <w:trPr>
          <w:trHeight w:val="620"/>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49</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安全防护垫</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1.厚度：≥30cm。</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2.材质：加厚有机硅帆布、高密度软海绵。</w:t>
            </w:r>
            <w:r/>
          </w:p>
        </w:tc>
      </w:tr>
      <w:tr>
        <w:trPr>
          <w:trHeight w:val="62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50</w:t>
            </w:r>
            <w:r/>
          </w:p>
        </w:tc>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绝缘垫</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应符合现行标准《带电作业用绝缘垫》(DL/T853)的有关要求。</w:t>
            </w:r>
            <w:r/>
          </w:p>
        </w:tc>
      </w:tr>
    </w:tbl>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2.低压电工K21作业现场安全隐患排除实操考核设备（科目二K21）</w:t>
      </w:r>
      <w:r/>
    </w:p>
    <w:tbl>
      <w:tblPr>
        <w:tblStyle w:val="870"/>
        <w:tblW w:w="49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497"/>
        <w:gridCol w:w="701"/>
        <w:gridCol w:w="589"/>
        <w:gridCol w:w="6030"/>
      </w:tblGrid>
      <w:tr>
        <w:trPr>
          <w:trHeight w:val="400"/>
        </w:trPr>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单套数量</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标准要求</w:t>
            </w:r>
            <w:r/>
          </w:p>
        </w:tc>
      </w:tr>
      <w:tr>
        <w:trPr>
          <w:trHeight w:val="2154"/>
        </w:trPr>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作业现场安全隐患排除考核设备</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实物实操装置由以下组件组成：</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一、隐患排查设备：</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实物实操装置由以下组件组成：</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1.穿戴劳动防护用品</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2.辨识移动电动工具使用风险隐患</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3.辨识电工登杆作业风险隐患</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4.辨识临时用电风险隐患</w:t>
            </w:r>
            <w:r/>
          </w:p>
        </w:tc>
      </w:tr>
      <w:tr>
        <w:trPr>
          <w:trHeight w:val="633"/>
        </w:trPr>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电力安全工器具</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bl>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3.低压电工K31电气设备安装实操考核设备（）科目三K31</w:t>
      </w:r>
      <w:r/>
    </w:p>
    <w:tbl>
      <w:tblPr>
        <w:tblStyle w:val="870"/>
        <w:tblW w:w="48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463"/>
        <w:gridCol w:w="903"/>
        <w:gridCol w:w="854"/>
        <w:gridCol w:w="5382"/>
      </w:tblGrid>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3169"/>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电路图</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1.考核用电路图，</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2.材质：塑封，</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3.电路图包含：</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（1）单相电能表带照明设备的接线电路图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（2）三相异步电动机单向连续运转电路接线（带点动控制）电路图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（3）带熔断器（断路器）、仪表、电流互感器的三项异步电动机电路的接线电路图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（4）三相异步电动机正反转运行电路的接线电路图</w:t>
            </w:r>
            <w:r/>
          </w:p>
        </w:tc>
      </w:tr>
      <w:tr>
        <w:trPr>
          <w:trHeight w:val="642"/>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单相电能表</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三相四线电能表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2.应符合现行标准《电测量设备》(GB/T17215)相应部分的要求。</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电流表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2.应符合现行标准《直接作用模拟指示电测量仪表及其附件》(GB/T7676)相应部分的要求。</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电涌保护器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2.应符合现行标准《低压电涌保护器(SPD)第11部分：低压电源系统的电涌保护器性能要求和试验方法》(GB/T18802.11)的有关要求。</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熔断器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断路器(带漏电保护器)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断路器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剩余电流动作保护器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交流接触器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热继电器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电流互感器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按钮开关</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1273"/>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万能转换开关</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三档旋钮开关</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2.应符合现行标准《家用和类似用途插头 插座》（GB/T 2099）相应部分的要求。</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双控开关</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2.应符合现行标准《家用和类似用途固定 式电气装置的开关》（GB/T 16915）相应  部分的要求。</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单控开关</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2.应符合现行标准《家用和类似用途固定 式电气装置的开关》（GB/T 16915）相应  部分的要求。</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三相异步电动机</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灯具</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配电箱</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电气设备固定背板</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接线端子</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77</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线芯压接工具及模具</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导线连接器</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79</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搪锡设备及焊锡丝</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连接管</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绝缘胶带</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rHeight w:val="642"/>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82</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接线工具</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剥线钳、老虎钳、尖嘴钳、工具刀、一字螺丝刀、十字螺丝刀。</w:t>
            </w:r>
            <w:r/>
          </w:p>
        </w:tc>
      </w:tr>
      <w:tr>
        <w:trPr>
          <w:trHeight w:val="1905"/>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电气设备安装实操装置</w:t>
            </w:r>
            <w:r/>
          </w:p>
        </w:tc>
        <w:tc>
          <w:tcPr>
            <w:shd w:val="clear" w:color="auto" w:fill="auto"/>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1.应支持单相电能表带照明灯安装接线、电动机单向连续运转接线（带点动控制）、带保护及仪表的电动机运行控制电路接线、三相异步电动机正反运行接线及安全操作等低压电工实操考核内容。</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2.应设置急停按钮、漏电保护等安全防护设备。</w:t>
            </w:r>
            <w:r/>
          </w:p>
        </w:tc>
      </w:tr>
      <w:tr>
        <w:trPr>
          <w:trHeight w:val="642"/>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1.材质：钢，承重：约100-500Kg。</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2.轻型≥120*40*200（±50mm），四层白色主架。</w:t>
            </w:r>
            <w:r/>
          </w:p>
        </w:tc>
      </w:tr>
      <w:tr>
        <w:trPr>
          <w:trHeight w:val="957"/>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652"/>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38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应符合现行标准《带电作业用绝缘垫》(DL/T853)的有关要求。</w:t>
            </w:r>
            <w:r/>
          </w:p>
        </w:tc>
      </w:tr>
    </w:tbl>
    <w:p>
      <w:pPr>
        <w:rPr>
          <w:rFonts w:hint="eastAsia" w:ascii="仿宋" w:hAnsi="仿宋" w:eastAsia="仿宋" w:cs="仿宋"/>
          <w:b/>
          <w:sz w:val="21"/>
          <w:szCs w:val="21"/>
          <w:highlight w:val="none"/>
        </w:rPr>
      </w:pPr>
      <w:r>
        <w:rPr>
          <w:rFonts w:hint="eastAsia" w:ascii="仿宋" w:hAnsi="仿宋" w:eastAsia="仿宋" w:cs="仿宋"/>
          <w:b/>
          <w:sz w:val="21"/>
          <w:szCs w:val="21"/>
          <w:highlight w:val="none"/>
        </w:rPr>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4.低压电工低压开关柜实操考核设备（K32</w:t>
      </w:r>
      <w:r>
        <w:rPr>
          <w:rFonts w:hint="default" w:ascii="仿宋" w:hAnsi="仿宋" w:eastAsia="仿宋" w:cs="仿宋"/>
          <w:b/>
          <w:bCs/>
          <w:sz w:val="28"/>
          <w:szCs w:val="28"/>
          <w:highlight w:val="none"/>
        </w:rPr>
        <w:t xml:space="preserve">）</w:t>
      </w:r>
      <w:r/>
    </w:p>
    <w:tbl>
      <w:tblPr>
        <w:tblStyle w:val="870"/>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494"/>
        <w:gridCol w:w="701"/>
        <w:gridCol w:w="588"/>
        <w:gridCol w:w="6017"/>
      </w:tblGrid>
      <w:tr>
        <w:trPr>
          <w:trHeight w:val="90"/>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单套数量</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标准要求</w:t>
            </w:r>
            <w:r/>
          </w:p>
        </w:tc>
      </w:tr>
      <w:tr>
        <w:trPr>
          <w:trHeight w:val="3395"/>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87</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进线柜</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pStyle w:val="880"/>
              <w:ind w:firstLine="480"/>
              <w:keepLines w:val="0"/>
              <w:keepNext w:val="0"/>
              <w:spacing w:before="0" w:beforeAutospacing="0" w:after="0" w:afterAutospacing="0" w:line="28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开关柜（整套）：包含进线柜、出线柜、补偿柜。进线柜：断路器、电流互感器、电压互感器及母排等元器件。出线柜：包括多个开关设备和电缆出线口等元器件。补偿柜：由电容器、投切开关、监控保护装置等元器件组成。</w:t>
            </w:r>
            <w:r/>
          </w:p>
          <w:p>
            <w:pPr>
              <w:pStyle w:val="880"/>
              <w:ind w:firstLine="480"/>
              <w:keepLines w:val="0"/>
              <w:keepNext w:val="0"/>
              <w:spacing w:before="0" w:beforeAutospacing="0" w:after="0" w:afterAutospacing="0" w:line="28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开关柜外柜体：</w:t>
            </w:r>
            <w:r/>
          </w:p>
          <w:p>
            <w:pPr>
              <w:pStyle w:val="880"/>
              <w:ind w:firstLine="480"/>
              <w:keepLines w:val="0"/>
              <w:keepNext w:val="0"/>
              <w:spacing w:before="0" w:beforeAutospacing="0" w:after="0" w:afterAutospacing="0" w:line="28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进线柜：尺寸：800X800X2200mm,配电压电流显示，真空断路器</w:t>
            </w:r>
            <w:r/>
          </w:p>
          <w:p>
            <w:pPr>
              <w:pStyle w:val="880"/>
              <w:ind w:firstLine="480"/>
              <w:keepLines w:val="0"/>
              <w:keepNext w:val="0"/>
              <w:spacing w:before="0" w:beforeAutospacing="0" w:after="0" w:afterAutospacing="0" w:line="28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出线柜：尺寸：600X800X2200mm</w:t>
            </w:r>
            <w:r/>
          </w:p>
          <w:p>
            <w:pPr>
              <w:pStyle w:val="880"/>
              <w:ind w:firstLine="480"/>
              <w:keepLines w:val="0"/>
              <w:keepNext w:val="0"/>
              <w:spacing w:before="0" w:beforeAutospacing="0" w:after="0" w:afterAutospacing="0" w:line="28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补偿柜：尺寸:600X800X2200mm</w:t>
            </w:r>
            <w:r/>
          </w:p>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符合现行标准《低压成套开关设备和控制设备》(GB/T7251)相应部分的要求</w:t>
            </w:r>
            <w:r/>
          </w:p>
        </w:tc>
      </w:tr>
      <w:tr>
        <w:trPr>
          <w:trHeight w:val="40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88</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出线柜</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396" w:type="dxa"/>
            <w:vAlign w:val="center"/>
            <w:vMerge w:val="restart"/>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低压接线模拟图板要求：</w:t>
            </w:r>
            <w:r/>
          </w:p>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1.接线模拟图板需含：电源指示灯 1 个，进线柜模拟开关1个，进线电源指示灯1个，母线带电指示灯1个，补偿柜投用开关1个，电容投用指示灯4个，出线柜电源指示灯1个，带电指示灯 5 个，模拟低压开关旋扭 5 个，一次接线图 1 幅。</w:t>
            </w:r>
            <w:r/>
          </w:p>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2.功能要求：</w:t>
            </w:r>
            <w:r/>
          </w:p>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模拟操作低压开关柜之间关系动作，反应出工作状态。</w:t>
            </w:r>
            <w:r/>
          </w:p>
        </w:tc>
      </w:tr>
      <w:tr>
        <w:trPr>
          <w:trHeight w:val="40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89</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补偿柜</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396" w:type="dxa"/>
            <w:vAlign w:val="center"/>
            <w:vMerge w:val="continue"/>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1938"/>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90</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接线模拟图板</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面</w:t>
            </w:r>
            <w:r/>
          </w:p>
        </w:tc>
        <w:tc>
          <w:tcPr>
            <w:tcBorders>
              <w:top w:val="single" w:color="auto" w:sz="4" w:space="0"/>
              <w:left w:val="single" w:color="auto" w:sz="4" w:space="0"/>
              <w:bottom w:val="single" w:color="auto" w:sz="4" w:space="0"/>
              <w:right w:val="single" w:color="auto" w:sz="4" w:space="0"/>
            </w:tcBorders>
            <w:tcW w:w="6396" w:type="dxa"/>
            <w:vAlign w:val="center"/>
            <w:vMerge w:val="continue"/>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56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91</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接地干线</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1.尺寸：≥4*40mm。</w:t>
            </w:r>
            <w:r/>
          </w:p>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2.颜色：黄绿色。</w:t>
            </w:r>
            <w:r/>
          </w:p>
        </w:tc>
      </w:tr>
      <w:tr>
        <w:trPr>
          <w:trHeight w:val="56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92</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836"/>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93</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5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0" w:right="0"/>
              <w:keepLines w:val="0"/>
              <w:keepNext w:val="0"/>
              <w:spacing w:before="0" w:beforeAutospacing="0" w:after="0" w:afterAutospacing="0" w:line="28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94</w:t>
            </w:r>
            <w:r/>
          </w:p>
        </w:tc>
        <w:tc>
          <w:tcPr>
            <w:tcBorders>
              <w:top w:val="single" w:color="auto" w:sz="4" w:space="0"/>
              <w:left w:val="single" w:color="auto" w:sz="4" w:space="0"/>
              <w:bottom w:val="single" w:color="auto" w:sz="4" w:space="0"/>
              <w:right w:val="single" w:color="auto" w:sz="4" w:space="0"/>
            </w:tcBorders>
            <w:tcW w:w="1573"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ind w:left="0" w:right="0" w:firstLine="48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96" w:type="dxa"/>
            <w:vAlign w:val="center"/>
            <w:textDirection w:val="lrTb"/>
            <w:noWrap w:val="false"/>
          </w:tcPr>
          <w:p>
            <w:pPr>
              <w:ind w:left="0" w:right="0"/>
              <w:keepLines w:val="0"/>
              <w:keepNext w:val="0"/>
              <w:spacing w:before="0" w:beforeAutospacing="0" w:after="0" w:afterAutospacing="0" w:line="28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1.应符合现行标准《带电作业用绝缘垫》(DL/T853)的有关要求。</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5.低压电工K33临时用电系统实操考核设备（K33）</w:t>
      </w:r>
      <w:r/>
    </w:p>
    <w:tbl>
      <w:tblPr>
        <w:tblStyle w:val="870"/>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374"/>
        <w:gridCol w:w="1159"/>
        <w:gridCol w:w="709"/>
        <w:gridCol w:w="594"/>
        <w:gridCol w:w="6089"/>
      </w:tblGrid>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单套数量</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标准要求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95</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临时用电系统施工图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应符合《施工现场临时用电安全技术规范》（JGJ46-2012）等现行标准规范要求。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96</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供电系统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符合现行标准《建筑与市政工程施工现场临时用电安全技术标准》(JGJ/T46)要求的，建筑施工现场临时用电工程专用的电源中性点直接接地的220/380V三相四线制低压电力系统，且符合下列规定：</w:t>
            </w:r>
            <w:r/>
          </w:p>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（1）应采用三级配电系统；</w:t>
            </w:r>
            <w:r/>
          </w:p>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（2）应采用TN-S系统；</w:t>
            </w:r>
            <w:r/>
          </w:p>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（3）应采用二级剩余电流动作保护系统。</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97</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总配电箱（整套）：</w:t>
            </w:r>
            <w:r>
              <w:rPr>
                <w:rFonts w:hint="eastAsia" w:ascii="仿宋" w:hAnsi="仿宋" w:eastAsia="仿宋" w:cs="仿宋"/>
                <w:sz w:val="24"/>
                <w:szCs w:val="24"/>
                <w:highlight w:val="none"/>
              </w:rPr>
              <w:b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包含</w:t>
            </w:r>
            <w:r>
              <w:rPr>
                <w:rFonts w:hint="eastAsia" w:ascii="仿宋" w:hAnsi="仿宋" w:eastAsia="仿宋" w:cs="仿宋"/>
                <w:sz w:val="24"/>
                <w:szCs w:val="24"/>
                <w:highlight w:val="none"/>
              </w:rPr>
              <w:t xml:space="preserve">配电箱*1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电压表*1；电流表*3、三相四线电能表*1、转换开关*1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电流互感器*3、隔离开关*1、总断路器*1、分断路器*2</w:t>
            </w:r>
            <w:r>
              <w:rPr>
                <w:rFonts w:hint="eastAsia" w:ascii="仿宋" w:hAnsi="仿宋" w:eastAsia="仿宋" w:cs="仿宋"/>
                <w:sz w:val="24"/>
                <w:szCs w:val="24"/>
                <w:highlight w:val="none"/>
              </w:rPr>
              <w:t xml:space="preserve">等元器件；</w:t>
            </w:r>
            <w:r/>
          </w:p>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元器件配备与电路图匹配，分断路器为透明塑壳，分断时可见分断点，带漏电保护，符合现行标准《电测量设备》（GB/T17215）、《低压开关设备和控制设备》（GB/T14048）、《互感器》（GB/T20840）、《低压开关设备和控制设备》（GB/T14048）相应部分的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98</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分配电箱(整套)：</w:t>
            </w:r>
            <w:r>
              <w:rPr>
                <w:rFonts w:hint="eastAsia" w:ascii="仿宋" w:hAnsi="仿宋" w:eastAsia="仿宋" w:cs="仿宋"/>
                <w:sz w:val="24"/>
                <w:szCs w:val="24"/>
                <w:highlight w:val="none"/>
              </w:rPr>
              <w:b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包含</w:t>
            </w:r>
            <w:r>
              <w:rPr>
                <w:rFonts w:hint="eastAsia" w:ascii="仿宋" w:hAnsi="仿宋" w:eastAsia="仿宋" w:cs="仿宋"/>
                <w:sz w:val="24"/>
                <w:szCs w:val="24"/>
                <w:highlight w:val="none"/>
              </w:rPr>
              <w:t xml:space="preserve">配电箱*1、总断路器*1、分断路器*2</w:t>
            </w:r>
            <w:r>
              <w:rPr>
                <w:rFonts w:hint="eastAsia" w:ascii="仿宋" w:hAnsi="仿宋" w:eastAsia="仿宋" w:cs="仿宋"/>
                <w:sz w:val="24"/>
                <w:szCs w:val="24"/>
                <w:highlight w:val="none"/>
              </w:rPr>
              <w:t xml:space="preserve">等元器件。元器件配备与电路图匹配，含动力回路、照明回路、断路器为透明塑壳，在分断时可见分断点，符合现行标准《低压开关设备和控制设备》(GB/T14048)相应部分的要求。</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99</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动力开关箱（整套）：</w:t>
            </w:r>
            <w:r>
              <w:rPr>
                <w:rFonts w:hint="eastAsia" w:ascii="仿宋" w:hAnsi="仿宋" w:eastAsia="仿宋" w:cs="仿宋"/>
                <w:sz w:val="24"/>
                <w:szCs w:val="24"/>
                <w:highlight w:val="none"/>
              </w:rPr>
              <w:b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包含开关箱*1、断路器*1等元器件，</w:t>
            </w:r>
            <w:r/>
          </w:p>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元器件配件与电路图匹配，断路器为透明塑壳，在分断时可见分断点，带漏电保护。符合现行标准《低压开关设备和控制设备》(GB/T14048)相应部分的要求。</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照明开关箱(整套)：</w:t>
            </w:r>
            <w:r>
              <w:rPr>
                <w:rFonts w:hint="eastAsia" w:ascii="仿宋" w:hAnsi="仿宋" w:eastAsia="仿宋" w:cs="仿宋"/>
                <w:sz w:val="24"/>
                <w:szCs w:val="24"/>
                <w:highlight w:val="none"/>
              </w:rPr>
              <w:b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包含开关箱*1、断路器*1等元器件，元器件配件与电路图匹配，断路器为透明塑壳，在分断时可见分断点，带漏电保护。符合现行标准《低压开关设备和控制设备》(GB/T14048)相应部分的要求。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101</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单股、多股等各种颜色与多种规格线径导线</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102</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接线端子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1.螺丝工艺：表面镀锌。</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2.产品规格：10A 20A 60A。</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3.材质：加厚黄铜。</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103</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材质：纯铜，与电路图匹配。</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104</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接地装置及临时接地连接点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按照现场实际情况而定，应符合现行标准《建筑与市政工程施工现场临时用电安全技术标准》(JGJ/T46)的有关要求。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105</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电动机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1.适用电压：380V。</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2.外带启动装置。</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3.安装结构型式：卧式。</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4.工作原理：异步电动机。</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106</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照明灯具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1.尺寸（宽*高）：215*180mm.</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2.适用电压：220V</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3.功率:≥50W。</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4.颜色：白光。</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107</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接线工具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剥线钳、老虎钳、尖嘴钳、工具刀、一字螺丝刀、十字螺丝刀、千分尺、绝缘胶布。</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108</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109</w:t>
            </w:r>
            <w:r/>
          </w:p>
        </w:tc>
        <w:tc>
          <w:tcPr>
            <w:tcBorders>
              <w:top w:val="none" w:color="000000" w:sz="4" w:space="0"/>
              <w:left w:val="single" w:color="auto" w:sz="4" w:space="0"/>
              <w:bottom w:val="single" w:color="auto" w:sz="4" w:space="0"/>
              <w:right w:val="single" w:color="auto" w:sz="4" w:space="0"/>
            </w:tcBorders>
            <w:tcW w:w="37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总配电箱分断路器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与电路图不匹配，不带漏电保护。</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110</w:t>
            </w:r>
            <w:r/>
          </w:p>
        </w:tc>
        <w:tc>
          <w:tcPr>
            <w:tcBorders>
              <w:top w:val="none" w:color="000000" w:sz="4" w:space="0"/>
              <w:left w:val="single" w:color="auto" w:sz="4" w:space="0"/>
              <w:bottom w:val="single" w:color="auto" w:sz="4" w:space="0"/>
              <w:right w:val="single" w:color="auto" w:sz="4" w:space="0"/>
            </w:tcBorders>
            <w:tcW w:w="37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分配电箱分断路器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与电路图不匹配。</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111</w:t>
            </w:r>
            <w:r/>
          </w:p>
        </w:tc>
        <w:tc>
          <w:tcPr>
            <w:tcBorders>
              <w:top w:val="none" w:color="000000" w:sz="4" w:space="0"/>
              <w:left w:val="single" w:color="auto" w:sz="4" w:space="0"/>
              <w:bottom w:val="single" w:color="auto" w:sz="4" w:space="0"/>
              <w:right w:val="single" w:color="auto" w:sz="4" w:space="0"/>
            </w:tcBorders>
            <w:tcW w:w="37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动力开关箱断路器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与电路图不匹配，不带漏电保护。</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112</w:t>
            </w:r>
            <w:r/>
          </w:p>
        </w:tc>
        <w:tc>
          <w:tcPr>
            <w:tcBorders>
              <w:top w:val="none" w:color="000000" w:sz="4" w:space="0"/>
              <w:left w:val="single" w:color="auto" w:sz="4" w:space="0"/>
              <w:bottom w:val="single" w:color="auto" w:sz="4" w:space="0"/>
              <w:right w:val="single" w:color="auto" w:sz="4" w:space="0"/>
            </w:tcBorders>
            <w:tcW w:w="374"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照明开关箱断路器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与电路图不匹配，不带漏电保护。</w:t>
            </w:r>
            <w:r/>
          </w:p>
        </w:tc>
      </w:tr>
      <w:tr>
        <w:trPr>
          <w:trHeight w:val="397"/>
        </w:trPr>
        <w:tc>
          <w:tcPr>
            <w:tcBorders>
              <w:top w:val="single" w:color="auto" w:sz="4" w:space="0"/>
              <w:left w:val="single" w:color="auto" w:sz="4" w:space="0"/>
              <w:bottom w:val="single" w:color="auto" w:sz="4" w:space="0"/>
              <w:right w:val="single" w:color="auto" w:sz="4" w:space="0"/>
            </w:tcBorders>
            <w:tcW w:w="607"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113</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608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应符合现行标准《带电作业用绝缘垫》(DL/T853)的有关要求。</w:t>
            </w:r>
            <w:r/>
          </w:p>
        </w:tc>
      </w:tr>
    </w:tbl>
    <w:p>
      <w:pPr>
        <w:rPr>
          <w:rFonts w:hint="eastAsia" w:ascii="仿宋" w:hAnsi="仿宋" w:eastAsia="仿宋" w:cs="仿宋"/>
          <w:b/>
          <w:sz w:val="32"/>
          <w:szCs w:val="32"/>
          <w:highlight w:val="none"/>
        </w:rPr>
        <w:outlineLvl w:val="1"/>
      </w:pPr>
      <w:r>
        <w:rPr>
          <w:rFonts w:hint="eastAsia" w:ascii="仿宋" w:hAnsi="仿宋" w:eastAsia="仿宋" w:cs="仿宋"/>
          <w:b/>
          <w:sz w:val="32"/>
          <w:szCs w:val="32"/>
          <w:highlight w:val="none"/>
        </w:rPr>
        <w:t xml:space="preserve">（二）高压电工实操考试系统</w:t>
      </w:r>
      <w:r/>
    </w:p>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6.</w:t>
      </w:r>
      <w:r>
        <w:rPr>
          <w:rFonts w:hint="default" w:ascii="仿宋" w:hAnsi="仿宋" w:eastAsia="仿宋" w:cs="仿宋"/>
          <w:b/>
          <w:bCs/>
          <w:sz w:val="28"/>
          <w:szCs w:val="28"/>
          <w:highlight w:val="none"/>
        </w:rPr>
        <w:t xml:space="preserve">高压电工电力安全工器具与电工仪器仪表实操考核设备（科目一K11）</w:t>
      </w:r>
      <w:r/>
    </w:p>
    <w:tbl>
      <w:tblPr>
        <w:tblStyle w:val="870"/>
        <w:tblW w:w="4843"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437"/>
        <w:gridCol w:w="860"/>
        <w:gridCol w:w="862"/>
        <w:gridCol w:w="852"/>
        <w:gridCol w:w="5592"/>
      </w:tblGrid>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高压验电器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1.额定电压：10kV；测量电压范围：0.1~10kV。</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2.应符合现行标准《电容型验电器》(DL/T740)的有关要求。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高压放电棒</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1.适用电压：≥10kV；带接地线夹。</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2.应符合现行标准《便携式接地和接地短路装置》(DL/T879)、《带电作业用空心绝缘管、泡沫填充绝缘管和实心绝缘棒》(GB13398)的有关要求。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高压验电信号发生器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1.适用验电器电压等级：0.4-10kV(可切换电压)。</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2.应符合现行标准《合成信号发生器通用规范》(GB/T12114)的有关要求。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携带型高压短路接地线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1.适用电压：≥10kV；接地棒长度：≥1m。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2.应符合现行标准《便携式接地和接地短路装置》(DL/T879)、《带电作业用空心绝缘管、泡沫填充绝缘管和实心绝缘棒》(GB13398)的有关要求。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带防雨罩绝缘操作杆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不带防雨罩绝缘操作杆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绝缘夹钳</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1.适用电压：≥10kV；自锁式。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低压验电器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1.额定电压：0.2-10KV；伸缩型。</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2.应符合现行标准《电容型验电器》(DL/T740)的有关要求。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低压验电笔</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1.测量范围：500V及以下。</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2.数字显示：3V～500V。</w:t>
            </w:r>
            <w:r/>
          </w:p>
          <w:p>
            <w:pPr>
              <w:ind w:left="0" w:right="0"/>
              <w:keepLines w:val="0"/>
              <w:keepNext w:val="0"/>
              <w:spacing w:before="0" w:beforeAutospacing="0" w:after="0" w:afterAutospacing="0"/>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3.LCD数字显示，3V以上电压值存在的电场即可发光。</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4、应符合现行标准《测量、控制和实验室用电气设备的安全要求 第1部分：通用要求》(GB4793.1)的有关要求。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携带型低压短路接地线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1.适用电压：≥0.4kV；接地棒长度：≥0.5m。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2.应符合现行标准《便携式接地和接地短路装置》(DL/T879)、《带电作业用空心绝缘管、泡沫填充绝缘管和实心绝缘棒》(GB13398)的有关要求。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传递绳</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1.直径：≥3cm。麻绳。</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2.材质：黄麻。</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绝缘凳</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1.尺寸（长*宽*高）：≥30*50*40cm。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2.应符合现行标准《带电作业用绝缘硬梯》(GB/T17620)的有关要求。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绝缘梯</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1.尺寸：高度1.2m(3层高度)，每层踏面尺寸：90*40cm。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2.应符合现行标准《带电作业用绝缘硬梯》(GB/T17620)的有关要求。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2.应符合现行标准《带电作业用绝缘垫》(DL/T853)的有关要求。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绝缘手套</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1.适用电压：12kV，直板。</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2.应符合现行标准《带电作业用绝缘手套》(GB/T17622)的有关要求。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绝缘靴</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2.应符合现行标准《足部防护安全鞋》(GB21148)的有关要求。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绝缘鞋</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1.材质：橡胶底+帆布鞋帮。</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2.应符合现行标准《足部防护安全鞋》(GB21148)的有关要求。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1.颜色：黄色，国标加厚V-2型。</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2.应符合现行标准《头部防护安全帽》(GB2811)的有关要求。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防护眼镜</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1.颜色：透明色。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2.应符合现行标准《眼面防护具通用技术规范》(GB14866)的有关要求。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安全绳</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1.尺寸：≥15m/条。</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2.应符合现行标准《坠落防护安全绳》(GB24543)的有关要求。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围杆作业用安全带</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1.围杆式。</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2.应符合现行标准《坠落防护安全带》(GB6095)的有关要求。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区域限制用安全带</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1.橘色单钩。</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2.应符合现行标准《坠落防护安全带》(GB6095)的有关要求。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坠落悬挂用安全带</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1.缓冲双大钩。</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2.应符合现行标准《坠落防护安全带》(GB6095)的有关要求。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脚扣</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1.应符合现行标准《环形混凝土电杆用脚扣》(DL/T1642)或《坠落防护登杆脚扣》(AQ6109)的有关要求。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25</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登高板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1.板长≥600㎜，板宽≥80㎜，板厚≥23㎜。</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2.尼龙绳索直径≥16mm，长度≥1800mm，承重200kg以上。</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26</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60" w:beforeAutospacing="0" w:after="100" w:afterAutospacing="1"/>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1.应符合《环形混凝土电杆》（GB/T4623）国家标准。</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电杆结构与安装工艺完整还原实际高处作业场景，满足低压电工实操中架空线路作业安全绳、脚扣、登高板的实训考核，保证过程的安全性与场景真实性。</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27</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1.中号。</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2.材质：帆布。</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28</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电工通用工具</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1.工具箱尺寸：280*245*65mm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2.包含钢管柄羊角锤、零件盒、尖嘴钳6寸、活扳手6寸、钢卷尺3米、18MM美工刀、十字螺丝批、一字螺丝批、中空杆、数显电笔、精密螺丝批、剪刀、10PC批头、内六角8件套、电工胶带。</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29</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数字式万用表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ff0000"/>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30</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指针式万用表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31</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数字式钳形电流表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32</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指针式钳形电流表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33</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500V指针式兆欧表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34</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1000V指针式兆欧表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35</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2500V指针式兆欧表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36</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数字式绝缘电阻测试仪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37</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38</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直流单臂电桥</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39</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直流电阻测试仪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40</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电阻箱</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符合现行标准《国家电气设备安全技术规范》(GB19517)的有关要求，并符合电气设备相关的其他国家标准。</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41</w:t>
            </w:r>
            <w:r/>
          </w:p>
        </w:tc>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高压验电器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高压放电棒</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缺少附件的。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高压验电信号发生器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携带型高压短路接地线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缺少附件的。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45</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绝缘操作杆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带防雨罩，无法正常使用的。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46</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绝缘操作杆</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不带防雨罩，无法正常使用的。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47</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绝缘夹钳</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把</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48</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低压验电器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49</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低压验电笔</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携带型低压短路接地线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缺少附件的。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安全带</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53</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脚扣</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54</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登高板</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无法正常使用的。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55</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绝缘手套</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防护等级不足的、过期的、损坏的。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绝缘靴</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防护等级不足的、过期的、损坏的。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57</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绝缘鞋</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过期的、损坏的。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万用表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59</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钳形电流表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兆欧表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61</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63</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直流单臂电桥</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64</w:t>
            </w:r>
            <w:r/>
          </w:p>
        </w:tc>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直流电阻测试仪</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分别为外表无明显破损，未定期进行计量检定的和不能正常使用的。</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65</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安全工器具存放柜</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firstLine="42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加厚冷轧钢板，表面光滑不易变形，强度硬度较高</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66</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仪器仪表测试台</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pStyle w:val="880"/>
              <w:ind w:firstLine="480"/>
              <w:keepLines w:val="0"/>
              <w:keepNext w:val="0"/>
              <w:spacing w:before="0" w:beforeAutospacing="0" w:after="0" w:afterAutospacing="0" w:line="288"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能够模拟各类仪器仪表的电气物理量；使用安全电压，有短路保护、剩余电流动作保护和接地保护。符合现行标准《通用用电设备配电设计规范》(GB50055)、《低压配电设计规范》(GB50054)的有关要求。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67</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配备禁止、警告、指令、提示等四类电气安全标志，符合现行标准《电气安全标志》(GB/T29481)、《安全标志及其使用导则》(GB2894)的有关要求。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68</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速差自控器(防坠器)</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满足考试要求</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69</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安全防护垫</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1.厚度：≥30cm。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w:t>
            </w:r>
            <w:r>
              <w:rPr>
                <w:rFonts w:hint="eastAsia" w:ascii="仿宋" w:hAnsi="仿宋" w:eastAsia="仿宋" w:cs="仿宋"/>
                <w:sz w:val="24"/>
                <w:szCs w:val="24"/>
                <w:highlight w:val="none"/>
              </w:rPr>
              <w:t xml:space="preserve">加厚有机硅帆布、高密度软海绵</w:t>
            </w:r>
            <w:r/>
          </w:p>
        </w:tc>
      </w:tr>
      <w:tr>
        <w:trPr/>
        <w:tc>
          <w:tcPr>
            <w:tcBorders>
              <w:top w:val="single" w:color="auto" w:sz="4" w:space="0"/>
              <w:left w:val="single" w:color="auto" w:sz="4" w:space="0"/>
              <w:bottom w:val="single" w:color="auto" w:sz="4" w:space="0"/>
              <w:right w:val="single" w:color="auto" w:sz="4" w:space="0"/>
            </w:tcBorders>
            <w:tcW w:w="359"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70</w:t>
            </w:r>
            <w:r/>
          </w:p>
        </w:tc>
        <w:tc>
          <w:tcPr>
            <w:gridSpan w:val="2"/>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left="0" w:right="0" w:firstLine="48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301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2.应符合现行标准《带电作业用绝缘垫》(DL/T853)的有关要求。</w:t>
            </w:r>
            <w:r/>
          </w:p>
        </w:tc>
      </w:tr>
    </w:tbl>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7.</w:t>
      </w:r>
      <w:r>
        <w:rPr>
          <w:rFonts w:hint="default" w:ascii="仿宋" w:hAnsi="仿宋" w:eastAsia="仿宋" w:cs="仿宋"/>
          <w:b/>
          <w:bCs/>
          <w:sz w:val="28"/>
          <w:szCs w:val="28"/>
          <w:highlight w:val="none"/>
        </w:rPr>
        <w:t xml:space="preserve">高压电工作业现场安全隐患排除实操考核设备（科目二K21）</w:t>
      </w:r>
      <w:r/>
    </w:p>
    <w:tbl>
      <w:tblPr>
        <w:tblStyle w:val="870"/>
        <w:tblW w:w="49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44"/>
        <w:gridCol w:w="1176"/>
        <w:gridCol w:w="696"/>
        <w:gridCol w:w="5780"/>
      </w:tblGrid>
      <w:tr>
        <w:trPr>
          <w:trHeight w:val="627"/>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1612"/>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作业现场安全隐患排除考核设备</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实物实操装置由以下组件组成：</w:t>
            </w:r>
            <w:r/>
          </w:p>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实物实操装置由以下组件组成：</w:t>
            </w:r>
            <w:r/>
          </w:p>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1.穿戴劳动防护用品</w:t>
            </w:r>
            <w:r/>
          </w:p>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2.辨识开关柜停（送）电作业风险隐患</w:t>
            </w:r>
            <w:r/>
          </w:p>
          <w:p>
            <w:pPr>
              <w:pStyle w:val="880"/>
              <w:keepLines w:val="0"/>
              <w:keepNext w:val="0"/>
              <w:spacing w:before="0" w:beforeAutospacing="0" w:after="0" w:afterAutospacing="0" w:line="288" w:lineRule="auto"/>
              <w:widowControl w:val="off"/>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3.辨识柱上变压器停（送）电作业风险隐患</w:t>
            </w:r>
            <w:r/>
          </w:p>
        </w:tc>
      </w:tr>
      <w:tr>
        <w:trPr>
          <w:trHeight w:val="972"/>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72</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电力安全工器具</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符合现行标准《国家电气设备安全技术规范》(GB19517)的有关要求，并符合电气设备相关的其他国家标准。</w:t>
            </w:r>
            <w:r/>
          </w:p>
        </w:tc>
      </w:tr>
    </w:tbl>
    <w:p>
      <w:pPr>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8.</w:t>
      </w:r>
      <w:r>
        <w:rPr>
          <w:rFonts w:hint="default" w:ascii="仿宋" w:hAnsi="仿宋" w:eastAsia="仿宋" w:cs="仿宋"/>
          <w:b/>
          <w:bCs/>
          <w:sz w:val="28"/>
          <w:szCs w:val="28"/>
          <w:highlight w:val="none"/>
        </w:rPr>
        <w:t xml:space="preserve">高压电工K31 10/0.4k V变配电系统(成套开关柜)实操考核设备（科目三K31）</w:t>
      </w:r>
      <w:r/>
    </w:p>
    <w:tbl>
      <w:tblPr>
        <w:tblStyle w:val="870"/>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21"/>
        <w:gridCol w:w="1176"/>
        <w:gridCol w:w="696"/>
        <w:gridCol w:w="5711"/>
      </w:tblGrid>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73</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高压开关柜▲</w:t>
            </w:r>
            <w:r>
              <w:rPr>
                <w:rFonts w:hint="eastAsia" w:ascii="仿宋" w:hAnsi="仿宋" w:eastAsia="仿宋" w:cs="仿宋"/>
                <w:sz w:val="24"/>
                <w:szCs w:val="24"/>
                <w:highlight w:val="none"/>
              </w:rPr>
              <w:t xml:space="preserve">(整套)：</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进线柜*1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计量柜*1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PT柜*1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出线柜*1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操作开关柜的附属配件及工器具*1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高压设备采用KYN28-12户内交流高压金属铠装移开式开关设备，主结构采用敷铝锌钢板，柜门采用静电喷塑涂覆，颜色RAL7035，具有较强的抗冲击和耐腐蚀能力。产品外壳具有IP4X级的防护等级。</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进线柜、计量柜、PT柜、出线柜各1台，具体参数如下：</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外形尺寸：(宽X深X高)：800mm×1500mm×2300mm</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开关柜“五防”和联锁功能：</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a）</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开关柜具有可靠的“五防”功能：防止误分、误合断路器；防止带负荷分、合隔离开关（插头）；防止带电分、合接地开关；防止带接地开关送电；防止误入带电间隔</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b）</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电缆室门与接地开关采取机械闭锁方式，并有紧急解锁装置。</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c）</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当断路器处在合闸位置时，断路器小车无法推进或拉出。</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d）</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当断路器小车未到工作或试验位置时，断路器无法进行合闸操作。</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e）</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当接地开关处在合闸位置时，断路器小车无法从试验位置进入工作位置。</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f）</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当断路器小车处在试验位置与工作位置之间（包括工作位置）时，无法操作接地刀闸。</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设备主要元器件及技术参数如下：</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 真空断路器主要参数：</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额定电压：12KV</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额定频率：50Hz</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额定电流：≥630A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额定短路开断电流：≥25kA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机械寿命（免维护）≥30000次</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操动机构：电动并可手动</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电流互感器参数：</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绕组1：准确级0.2S  额定负荷15VA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绕组2：准确级0.5   额定负荷15VA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绕组3：准确级10P20  额定负荷15VA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电压互感器参数：</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额定电压比：10/</w:t>
            </w:r>
            <w:r>
              <w:rPr>
                <w:rFonts w:hint="default" w:ascii="仿宋" w:hAnsi="仿宋" w:eastAsia="仿宋" w:cs="仿宋"/>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3.8pt;mso-wrap-distance-left:0.0pt;mso-wrap-distance-top:0.0pt;mso-wrap-distance-right:0.0pt;mso-wrap-distance-bottom:0.0pt;" filled="f" stroked="f">
                  <v:path textboxrect="0,0,0,0"/>
                  <v:imagedata r:id="rId12" o:title=""/>
                </v:shape>
                <o:OLEObject DrawAspect="Content" r:id="rId13" ObjectID="_1525041" ProgID="Equation.DSMT4" ShapeID="_x0000_i1" Type="Embed"/>
              </w:object>
            </w:r>
            <w:r>
              <w:rPr>
                <w:rFonts w:hint="eastAsia" w:ascii="仿宋" w:hAnsi="仿宋" w:eastAsia="仿宋" w:cs="仿宋"/>
                <w:sz w:val="21"/>
                <w:szCs w:val="21"/>
                <w:highlight w:val="none"/>
              </w:rPr>
              <w:t xml:space="preserve">：0.1/</w:t>
            </w:r>
            <w:r>
              <w:rPr>
                <w:rFonts w:hint="default" w:ascii="仿宋" w:hAnsi="仿宋" w:eastAsia="仿宋" w:cs="仿宋"/>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3.8pt;mso-wrap-distance-left:0.0pt;mso-wrap-distance-top:0.0pt;mso-wrap-distance-right:0.0pt;mso-wrap-distance-bottom:0.0pt;" filled="f" stroked="f">
                  <v:path textboxrect="0,0,0,0"/>
                  <v:imagedata r:id="rId14" o:title=""/>
                </v:shape>
                <o:OLEObject DrawAspect="Content" r:id="rId15" ObjectID="_1525042" ProgID="Equation.DSMT4" ShapeID="_x0000_i2" Type="Embed"/>
              </w:object>
            </w:r>
            <w:r>
              <w:rPr>
                <w:rFonts w:hint="eastAsia" w:ascii="仿宋" w:hAnsi="仿宋" w:eastAsia="仿宋" w:cs="仿宋"/>
                <w:sz w:val="21"/>
                <w:szCs w:val="21"/>
                <w:highlight w:val="none"/>
              </w:rPr>
              <w:t xml:space="preserve">：0.1/3</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准确级：0.2/0.5/3P</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额定容量：20VA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熔断器参数：</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额定电流：0.5A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额定短路开断电流：50kA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避雷器参数：</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型式：复合绝缘金属氧化物避雷器</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额定电压：17/12kV</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持续运行电压：13.6/9.6kV</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标称放电电流：5kA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接地开关</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每组接地开关应装设一个机械式的分/合闸位置指示器；装设观察窗，以便操作人员检查触头的位置。</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额定短时耐受电流及持续时间：31.5kA/4s</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额定峰值耐受电流：80kA</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机械稳定性：≥3000次</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操动机构：手动</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操作方式：三相机械联动</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综合保护装置</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开入量监测功能满足：开关状态、储能状态、隔离开关状态、接地开关状态、闭锁重合、轻瓦斯告警、重瓦斯跳闸、高温告警、超温跳闸、开关跳闸等。具有通讯功能。</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仪表</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所有电流、电压表计（量程0-10kV）采用指针表，测量精度 0.5 级。</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所有仪表设备，辅件及附件应按有关IEC 标准及规范制造并经型式及常规试验。</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开关状态指示仪</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额定工作电压AC220V，显示开关状态、小车工作位置/试验位置，需满足一次侧不带的情况下能、断路器合闸时有三相带电指示。</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温湿度监测仪</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仪表门上配有温湿度监测仪，实时监测柜内温度、湿度。</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74</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干式电力变压器▲</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10/0.4kV干式电力变压器应符合现行标准《干式电力变压器技术参数和要求》(GB/T10228)的有关要求</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75</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低压开关柜（整套）▲</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出线柜*1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进线柜*1</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补偿柜*1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pStyle w:val="880"/>
              <w:ind w:firstLine="420"/>
              <w:keepLines w:val="0"/>
              <w:keepNext w:val="0"/>
              <w:spacing w:before="0" w:beforeAutospacing="0" w:after="0" w:afterAutospacing="0" w:line="3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包含进线柜、出线柜、补偿柜。进线柜：断路器、电流互感器、电压互感器及母排等元器件。出线柜：包括多个开关设备和电缆出线口等元器件。补偿柜：由电容器、投切开关、监控保护装置等元器件组成。</w:t>
            </w:r>
            <w:r/>
          </w:p>
          <w:p>
            <w:pPr>
              <w:pStyle w:val="880"/>
              <w:ind w:firstLine="42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开关柜外柜体：GCS系列或MNS系列或GCK系列或GGD系列，与生产实际型号一致，符合现行标准《低压成套开关设备和控制设备》(GB/T7251)相应部分的要求</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76</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接线模拟图板</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1含高压接线模拟图板1面和低压接线模拟图板1面。</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2.功能要求：</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模拟操作低压开关柜之间关系动作，反应出工作状态。</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77</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电力电缆</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高压柜进变压器用尺寸3*35m²，材质：纯铜。</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变压器出线到低压柜用尺寸4*25m²+1*16m²，材质：纯铜。</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78</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接地干线</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1.尺寸：≥4*40mm。</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2.颜色：黄绿色。</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79</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23"/>
        </w:trPr>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80</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1.配备禁止标志（禁止合闸有人工作）、警告标志（止步高压危险）、指令标志（必须接地）、提示标志（在此工作）等四类电气安全标志挂牌。</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2.应符合现行标准《电气安全标志》(GB/T29481)、《安全标志及其使用导则》(GB2894)的有关要求。</w:t>
            </w:r>
            <w:r/>
          </w:p>
        </w:tc>
      </w:tr>
      <w:tr>
        <w:trPr>
          <w:trHeight w:val="23"/>
        </w:trPr>
        <w:tc>
          <w:tcPr>
            <w:tcBorders>
              <w:top w:val="single" w:color="auto" w:sz="4" w:space="0"/>
              <w:left w:val="single" w:color="auto" w:sz="4" w:space="0"/>
              <w:bottom w:val="single" w:color="000000"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0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2.应符合现行标准《带电作业用绝缘垫》(DL/T853)的有关要求。</w:t>
            </w:r>
            <w:r/>
          </w:p>
        </w:tc>
      </w:tr>
    </w:tbl>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9.高压电工10/0.4k V变配电系统(架空线路)实操考核设备位（K32）</w:t>
      </w:r>
      <w:r/>
    </w:p>
    <w:tbl>
      <w:tblPr>
        <w:tblStyle w:val="870"/>
        <w:tblW w:w="49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40"/>
        <w:gridCol w:w="1190"/>
        <w:gridCol w:w="659"/>
        <w:gridCol w:w="5992"/>
      </w:tblGrid>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82</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隔离开关</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1.额定电压：10kV</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2.接线方式：上进下出</w:t>
            </w:r>
            <w:r/>
          </w:p>
        </w:tc>
      </w:tr>
      <w:tr>
        <w:trPr>
          <w:trHeight w:val="162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83</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10kV架空绝缘电缆及验电接地环</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1.架空长度≥2.5m,送电端需接隔离开关，受电端带验电接地环，接变压器台架上的跌落式熔断器。</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2.验电接地环电压等级：10kV。</w:t>
            </w:r>
            <w:r/>
          </w:p>
        </w:tc>
      </w:tr>
      <w:tr>
        <w:trPr>
          <w:trHeight w:val="130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84</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跌落式熔断器</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1.适用电压：10KV；材质：陶瓷。</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2.离地高度≥2.5m。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3.应符合现行标准《高压交流熔断器》(GB/T15166)相应部分的要求。</w:t>
            </w:r>
            <w:r/>
          </w:p>
        </w:tc>
      </w:tr>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85</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验电接地环</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1.验电接地环电压等级：10kV。</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2.安装在跌落式熔断器与避雷器之间的高压线上。</w:t>
            </w:r>
            <w:r/>
          </w:p>
        </w:tc>
      </w:tr>
      <w:tr>
        <w:trPr>
          <w:trHeight w:val="34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86</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避雷器</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1.电压等级：10kV。</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2.材质：氧化锌。</w:t>
            </w:r>
            <w:r/>
          </w:p>
        </w:tc>
      </w:tr>
      <w:tr>
        <w:trPr>
          <w:trHeight w:val="98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87</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油浸式电力变压器</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应符合现行标准《油浸式电力变压器技术参数和要求》(GB/T6451)的有关要求。</w:t>
            </w:r>
            <w:r/>
          </w:p>
        </w:tc>
      </w:tr>
      <w:tr>
        <w:trPr>
          <w:trHeight w:val="130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88</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低压配电柜</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1.形式：户内落地。</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2.箱体材质：冷轧板喷塑。</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3.箱体配置：隔离开关、断路器、电压表、计量仪表、电力电容器，导线。</w:t>
            </w:r>
            <w:r/>
          </w:p>
        </w:tc>
      </w:tr>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89</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接地扁铁</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1.规格≥4*40mm。</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2.材质：钢。</w:t>
            </w:r>
            <w:r/>
          </w:p>
        </w:tc>
      </w:tr>
      <w:tr>
        <w:trPr>
          <w:trHeight w:val="162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90</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0.4kV架空绝缘导线及验电接地环</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1.架空长度≥2.5m,送电端需接隔离开关，受电端带验电接地环。</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2.验电接地环电压等级：≥0.4kV。</w:t>
            </w:r>
            <w:r/>
          </w:p>
        </w:tc>
      </w:tr>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配套设备设施</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导线（10平方）、绝缘子、电杆、金具、杆上配变安全运行标志。</w:t>
            </w:r>
            <w:r/>
          </w:p>
        </w:tc>
      </w:tr>
      <w:tr>
        <w:trPr>
          <w:trHeight w:val="98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92</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作业环境显示屏</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系统支持考生对天气气候环境进行选择，包含温度、雨、雪、雾、风向、风速等天气气候信息。考试时手动切换选择天气气候。</w:t>
            </w:r>
            <w:r/>
          </w:p>
        </w:tc>
      </w:tr>
      <w:tr>
        <w:trPr>
          <w:trHeight w:val="669"/>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93</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2.材质：绝缘、底座橡胶底座。</w:t>
            </w:r>
            <w:r/>
          </w:p>
        </w:tc>
      </w:tr>
      <w:tr>
        <w:trPr>
          <w:trHeight w:val="700"/>
        </w:trPr>
        <w:tc>
          <w:tcPr>
            <w:tcBorders>
              <w:top w:val="single" w:color="auto" w:sz="4" w:space="0"/>
              <w:left w:val="single" w:color="auto" w:sz="4" w:space="0"/>
              <w:bottom w:val="single" w:color="auto" w:sz="4" w:space="0"/>
              <w:right w:val="single" w:color="auto" w:sz="4" w:space="0"/>
            </w:tcBorders>
            <w:tcW w:w="268"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94</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应符合现行标准《电气安全标志》(GB/T29481)、《安全标志及其使用导则》(GB2894)的有关要求。</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10.高压电工电气设备安装实操考核设备（K33）</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885"/>
        <w:gridCol w:w="1154"/>
        <w:gridCol w:w="678"/>
        <w:gridCol w:w="6092"/>
      </w:tblGrid>
      <w:tr>
        <w:trPr/>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95</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电路图</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1.考核用电路图，</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2.材质：塑封，</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3.电路图包含：</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（1）单相电能表带照明设备的接线电路图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（2）三相异步电动机单向连续运转电路接线（带点动控制）电路图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（3）带熔断器（断路器）、仪表、电流互感器的三项异步电动机电路的接线电路图</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（4）三相异步电动机正反转运行电路的接线电路图</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96</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单相电能表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97</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三相四线电能表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2.应符合现行标准《电测量设备》(GB/T17215)相应部分的要求。</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98</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电流表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2.应符合现行标准《直接作用模拟指示电测量仪表及其附件》(GB/T7676)相应部分的要求。</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99</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电涌保护器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2.应符合现行标准《低压电涌保护器(SPD)第11部分：低压电源系统的电涌保护器性能要求和试验方法》(GB/T18802.11)的有关要求。</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熔断器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101</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断路器(带漏电保护器)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断路器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103</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剩余电流动作保护器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104</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交流接触器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105</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热继电器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106</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电流互感器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按钮开关</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108</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万能转换开关</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三档旋钮开关</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1.与电路图匹配。</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110</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双控开关</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单控开关</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三相异步电动机</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灯具</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电气设备固定背板</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（网孔版）</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接线端子</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119</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线芯压接工具及模具</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导线连接器</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121</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搪锡设备</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122</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焊锡丝</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123</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连接管</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124</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绝缘胶带</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应符合现行标准《低压开关设备和控制设备》(GB/T14048)相应部分的要求，或应符合低压开关设备和控制设备相关的其他国家标准。</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125</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接线工具</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剥线钳、老虎钳、尖嘴钳、工具刀、一字螺丝刀、十字螺丝刀。</w:t>
            </w:r>
            <w:r/>
          </w:p>
        </w:tc>
      </w:tr>
      <w:tr>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126</w:t>
            </w:r>
            <w:r/>
          </w:p>
        </w:tc>
        <w:tc>
          <w:tcPr>
            <w:shd w:val="clear" w:color="auto" w:fill="auto"/>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电气设备安装实操装置</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1.应支持单相电能表带照明灯安装接线、电动机单向连续运转接线（带点动控制）、带保护及仪表的电动机运行控制电路接线、三相异步电动机正反运行接线及安全操作等低压电工实操考核内容。</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2.应设置急停按钮、漏电保护等安全防护设备。</w:t>
            </w:r>
            <w:r/>
          </w:p>
        </w:tc>
      </w:tr>
      <w:tr>
        <w:trPr/>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127</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1.材质：钢，承重：约100-500Kg。</w:t>
            </w:r>
            <w:r/>
          </w:p>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2.轻型≥120*40*200（±50mm），四层白色主架。</w:t>
            </w:r>
            <w:r/>
          </w:p>
        </w:tc>
      </w:tr>
      <w:tr>
        <w:trPr/>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128</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129</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绝缘垫</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tcPr>
          <w:p>
            <w:pPr>
              <w:ind w:left="0" w:right="0" w:firstLine="48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182" w:type="pct"/>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应符合现行标准《带电作业用绝缘垫》(DL/T853)的有关要求。</w:t>
            </w:r>
            <w:r/>
          </w:p>
        </w:tc>
      </w:tr>
    </w:tbl>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outlineLvl w:val="1"/>
      </w:pPr>
      <w:r>
        <w:rPr>
          <w:rFonts w:hint="eastAsia" w:ascii="仿宋" w:hAnsi="仿宋" w:eastAsia="仿宋" w:cs="仿宋"/>
          <w:b/>
          <w:sz w:val="32"/>
          <w:szCs w:val="32"/>
          <w:highlight w:val="none"/>
        </w:rPr>
        <w:t xml:space="preserve">（三）焊接作业实操考试系统</w:t>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11.熔化焊接与热切割作业安全用具考位实操考核设备（科目一K11）</w:t>
      </w:r>
      <w:r/>
    </w:p>
    <w:tbl>
      <w:tblPr>
        <w:tblStyle w:val="870"/>
        <w:tblW w:w="49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462"/>
        <w:gridCol w:w="958"/>
        <w:gridCol w:w="673"/>
        <w:gridCol w:w="764"/>
        <w:gridCol w:w="6035"/>
      </w:tblGrid>
      <w:tr>
        <w:trPr>
          <w:trHeight w:val="429"/>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323"/>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ABS材质，防砸，耐冲击，电绝缘，达到国标检测标准，双耳精工缎带帽衬，旋钮式调节。符合现行标准《头部防护安全帽》(GB2811)的有关要求。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手持式面罩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pStyle w:val="880"/>
              <w:ind w:firstLine="480"/>
              <w:keepLines w:val="0"/>
              <w:keepNext w:val="0"/>
              <w:spacing w:before="0" w:beforeAutospacing="0" w:after="0" w:afterAutospacing="0" w:line="30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符合现行标准《职业眼面部防护焊接防护第1部分：焊接防护具》(GB/T3609.1)的有关要求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头戴式面罩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符合现行标准《职业眼面部防护焊接防护第1部分：焊接防护具》(GB/T3609.1)的有关要求。</w:t>
            </w:r>
            <w:r/>
          </w:p>
        </w:tc>
      </w:tr>
      <w:tr>
        <w:trPr>
          <w:trHeight w:val="6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安全帽与面罩组合式面罩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应符合现行标准《职业眼面部防护焊接防护第1部分：焊接防护具》(GB/T3609.1)的有关要求。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焊接护目镜</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应符合现行标准《职业眼面部防护焊接防护第1部分：焊接防护具》(GB/T3609.1)的有关要求。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滤光片</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应符合现行标准《职业眼面部防护焊接防护第1部分：焊接防护具》(GB/T3609.1)的有关要求。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防冲击护目镜</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应符合现行标准《眼面防护具通用技术规范》(GB14866)的有关要求。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防尘口罩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防毒面具</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应符合现行标准《焊接与切割安全》(GB9448)的有关要求。</w:t>
            </w:r>
            <w:r/>
          </w:p>
        </w:tc>
      </w:tr>
      <w:tr>
        <w:trPr>
          <w:trHeight w:val="5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耳套</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1.环箍材质：钢。</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2.类型：头戴式。</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3.功能：隔音降噪。</w:t>
            </w:r>
            <w:r/>
          </w:p>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4.应符合现行标准《焊接与切割安全》(GB9448)的有关要求。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耳塞</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手套</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应符合现行标准《焊工防护手套》(AQ6103)的有关要求。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防护服</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应符合现行标准《防护服装焊接服》(GB8965.2)的有关要求。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披肩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头蓬</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firstLine="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套袖</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firstLine="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围裙</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firstLine="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18</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护腿</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firstLine="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脚盖</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firstLine="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20</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安全鞋</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符合现行标准《焊接与切割安全》(GB9448)的有关要求。</w:t>
            </w:r>
            <w:r/>
          </w:p>
        </w:tc>
      </w:tr>
      <w:tr>
        <w:trPr>
          <w:trHeight w:val="4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坠落悬挂用安全带</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符合现行标准《坠落防护安全带》(GB6095)的有关要求。</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22</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23</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面罩</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损坏的手持式、头戴式、安全帽与面罩组合式面罩。</w:t>
            </w:r>
            <w:r/>
          </w:p>
        </w:tc>
      </w:tr>
      <w:tr>
        <w:trPr>
          <w:trHeight w:val="4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平光眼镜</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损坏的平光眼镜</w:t>
            </w:r>
            <w:r/>
          </w:p>
        </w:tc>
      </w:tr>
      <w:tr>
        <w:trPr>
          <w:trHeight w:val="4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25</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白玻璃片</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大小与滤光片一致。</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26</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手套</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帆布、棉纱。</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27</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工作服</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长袖棉质、长袖化纤。</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28</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帽子</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化纤</w:t>
            </w:r>
            <w:r/>
          </w:p>
        </w:tc>
      </w:tr>
      <w:tr>
        <w:trPr>
          <w:trHeight w:val="2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29</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鞋</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布面胶鞋</w:t>
            </w:r>
            <w:r/>
          </w:p>
        </w:tc>
      </w:tr>
      <w:tr>
        <w:trPr>
          <w:trHeight w:val="706"/>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30</w:t>
            </w:r>
            <w:r/>
          </w:p>
        </w:tc>
        <w:tc>
          <w:tcPr>
            <w:tcBorders>
              <w:top w:val="none" w:color="000000" w:sz="4" w:space="0"/>
              <w:left w:val="single" w:color="auto" w:sz="4" w:space="0"/>
              <w:bottom w:val="single" w:color="auto" w:sz="4" w:space="0"/>
              <w:right w:val="single" w:color="auto" w:sz="4" w:space="0"/>
            </w:tcBorders>
            <w:tcW w:w="47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坠落悬挂用安全带</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p>
        </w:tc>
      </w:tr>
      <w:tr>
        <w:trPr>
          <w:trHeight w:val="305"/>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31</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150*40*200cm，四层，黑色</w:t>
            </w:r>
            <w:r/>
          </w:p>
        </w:tc>
      </w:tr>
      <w:tr>
        <w:trPr>
          <w:trHeight w:val="207"/>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32</w:t>
            </w:r>
            <w:r/>
          </w:p>
        </w:tc>
        <w:tc>
          <w:tcPr>
            <w:gridSpan w:val="2"/>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衣架</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430" w:type="dxa"/>
            <w:vAlign w:val="center"/>
            <w:textDirection w:val="lrTb"/>
            <w:noWrap w:val="false"/>
          </w:tcPr>
          <w:p>
            <w:pPr>
              <w:ind w:left="0" w:right="0"/>
              <w:keepLines w:val="0"/>
              <w:keepNext w:val="0"/>
              <w:spacing w:before="0" w:beforeAutospacing="0" w:after="0" w:afterAutospacing="0" w:line="30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单杆式，1.2米长，黑色加粗，带轮</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12.熔化焊接与热切割作业现场安全隐患排除实操考核设备（科目二K21）</w:t>
      </w:r>
      <w:r/>
    </w:p>
    <w:tbl>
      <w:tblPr>
        <w:tblStyle w:val="870"/>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1116"/>
        <w:gridCol w:w="995"/>
        <w:gridCol w:w="778"/>
        <w:gridCol w:w="6161"/>
      </w:tblGrid>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平地焊条电弧焊作业现场风险隐患辨识实物实操装置</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1.实物实操装置由以下组件组成：</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（1）外壳破损的焊条电弧焊机且未接地保护</w:t>
            </w:r>
            <w:r>
              <w:rPr>
                <w:rFonts w:hint="eastAsia" w:ascii="仿宋" w:hAnsi="仿宋" w:eastAsia="仿宋" w:cs="仿宋"/>
                <w:color w:val="ff0000"/>
                <w:sz w:val="24"/>
                <w:szCs w:val="24"/>
                <w:highlight w:val="none"/>
              </w:rPr>
              <w:t xml:space="preserve">（焊机利旧，不列入报价）</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（2）焊钳</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（3）外皮破损的焊机二次线</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（4）一次线过长且盘绕在焊机上</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注：（1）—（4）为1套，需1套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（5）操作台,1个；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（6）压力不足的干粉灭火器,1个；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（7）压力不足的二氧化碳灭火器,1个；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（8）灭火器放置箱,1个；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（9）纸箱，1个。</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平地气焊作业现场风险隐患辨识实物实操装置</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1.实物实操装置由以下组件组成：</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（1）外壳破损的焊条电弧焊机且未接地保护</w:t>
            </w:r>
            <w:r>
              <w:rPr>
                <w:rFonts w:hint="eastAsia" w:ascii="仿宋" w:hAnsi="仿宋" w:eastAsia="仿宋" w:cs="仿宋"/>
                <w:color w:val="ff0000"/>
                <w:sz w:val="24"/>
                <w:szCs w:val="24"/>
                <w:highlight w:val="none"/>
              </w:rPr>
              <w:t xml:space="preserve">（焊机利旧，不列入报价）</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（2）焊钳</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（3）外皮破损的焊机二次线</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（4）一次线过长且盘绕在焊机上</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注：（1）—（4）为1套，需1套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（5）操作台,1个；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（6）压力不足的干粉灭火器,1个；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（7）压力不足的二氧化碳灭火器,1个；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（8）灭火器放置箱,1个；</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（9）纸箱,1个；</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氩弧焊作业现场风险隐患辨识实操装置</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氩弧焊作业现场风险隐患辨识实操装置</w:t>
            </w:r>
            <w:r>
              <w:rPr>
                <w:rFonts w:hint="eastAsia" w:ascii="仿宋" w:hAnsi="仿宋" w:eastAsia="仿宋" w:cs="仿宋"/>
                <w:sz w:val="24"/>
                <w:szCs w:val="24"/>
                <w:highlight w:val="none"/>
              </w:rPr>
              <w:t xml:space="preserve">搭配现场场景化装饰，营造高处气割作业现场。</w:t>
            </w:r>
            <w:r/>
          </w:p>
          <w:p>
            <w:pPr>
              <w:numPr>
                <w:ilvl w:val="0"/>
                <w:numId w:val="1"/>
              </w:numPr>
              <w:ind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实物实操装置由以下组件组成：</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rPr>
                <w:rFonts w:hint="eastAsia" w:ascii="仿宋" w:hAnsi="仿宋" w:eastAsia="仿宋" w:cs="仿宋"/>
                <w:color w:val="000000"/>
                <w:sz w:val="24"/>
                <w:szCs w:val="24"/>
                <w:highlight w:val="none"/>
              </w:rPr>
              <w:t xml:space="preserve">实物仿真汽油桶、油漆桶，木板、纸板</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rPr>
                <w:rFonts w:hint="eastAsia" w:ascii="仿宋" w:hAnsi="仿宋" w:eastAsia="仿宋" w:cs="仿宋"/>
                <w:color w:val="000000"/>
                <w:sz w:val="24"/>
                <w:szCs w:val="24"/>
                <w:highlight w:val="none"/>
              </w:rPr>
              <w:t xml:space="preserve">压力值过低的干粉和二氧化碳灭火器</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rPr>
                <w:rFonts w:hint="eastAsia" w:ascii="仿宋" w:hAnsi="仿宋" w:eastAsia="仿宋" w:cs="仿宋"/>
                <w:color w:val="000000"/>
                <w:sz w:val="24"/>
                <w:szCs w:val="24"/>
                <w:highlight w:val="none"/>
              </w:rPr>
              <w:t xml:space="preserve">未接地保护的焊机</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rPr>
                <w:rFonts w:hint="eastAsia" w:ascii="仿宋" w:hAnsi="仿宋" w:eastAsia="仿宋" w:cs="仿宋"/>
                <w:color w:val="000000"/>
                <w:sz w:val="24"/>
                <w:szCs w:val="24"/>
                <w:highlight w:val="none"/>
              </w:rPr>
              <w:t xml:space="preserve">长度6米的焊机电源线</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rPr>
                <w:rFonts w:hint="eastAsia" w:ascii="仿宋" w:hAnsi="仿宋" w:eastAsia="仿宋" w:cs="仿宋"/>
                <w:color w:val="000000"/>
                <w:sz w:val="24"/>
                <w:szCs w:val="24"/>
                <w:highlight w:val="none"/>
              </w:rPr>
              <w:t xml:space="preserve">外皮破损的二次线</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rPr>
                <w:rFonts w:hint="eastAsia" w:ascii="仿宋" w:hAnsi="仿宋" w:eastAsia="仿宋" w:cs="仿宋"/>
                <w:color w:val="000000"/>
                <w:sz w:val="24"/>
                <w:szCs w:val="24"/>
                <w:highlight w:val="none"/>
              </w:rPr>
              <w:t xml:space="preserve">无防倾倒装置和防撞胶圈的氩气瓶</w:t>
            </w:r>
            <w:r/>
          </w:p>
          <w:p>
            <w:pPr>
              <w:ind w:left="0" w:right="0"/>
              <w:keepLines w:val="0"/>
              <w:keepNext w:val="0"/>
              <w:spacing w:before="0" w:beforeAutospacing="0" w:after="0" w:afterAutospacing="0"/>
              <w:widowControl/>
              <w:tabs>
                <w:tab w:val="left" w:pos="312"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rPr>
              <w:t xml:space="preserve">（7）</w:t>
            </w:r>
            <w:r>
              <w:rPr>
                <w:rFonts w:hint="eastAsia" w:ascii="仿宋" w:hAnsi="仿宋" w:eastAsia="仿宋" w:cs="仿宋"/>
                <w:color w:val="000000"/>
                <w:sz w:val="24"/>
                <w:szCs w:val="24"/>
                <w:highlight w:val="none"/>
              </w:rPr>
              <w:t xml:space="preserve">破损的压力表</w:t>
            </w:r>
            <w:r/>
          </w:p>
          <w:p>
            <w:pPr>
              <w:ind w:left="0" w:right="0"/>
              <w:keepLines w:val="0"/>
              <w:keepNext w:val="0"/>
              <w:spacing w:before="0" w:beforeAutospacing="0" w:after="0" w:afterAutospacing="0"/>
              <w:widowControl/>
              <w:tabs>
                <w:tab w:val="left" w:pos="312"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（8）白纱手套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（9）损坏的氩弧焊枪</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36</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高处气割作业现场风险隐患辨识实物实操装置</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高处气割作业现场风险隐患辨识实物实操装置搭配现场场景化装饰，营造高处气割作业现场。</w:t>
            </w:r>
            <w:r/>
          </w:p>
          <w:p>
            <w:pPr>
              <w:numPr>
                <w:ilvl w:val="0"/>
                <w:numId w:val="2"/>
              </w:numPr>
              <w:ind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实物实操装置由以下组件组成：</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（1）假人模特穿戴工作服、安全帽、安全鞋、安全带，处于门式架高处作业状态,1套；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（2）压力不足的干粉灭火器,1套；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（3）压力不足的二氧化碳灭火器,1套；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（4）无防倾倒装置，无防震胶圈，检验有效期内外，无回火器氧气气瓶和乙炔气瓶及附件，氧气瓶与乙炔瓶距离小于5米，气瓶距离气割点小于10米,1套；。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（5）与割炬连接处未使用专用卡箍固定的且老化破裂的颜色错误的胶管,1套；</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（6）实物仿真汽油桶,1个；</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（7）实物仿真油漆桶,1个；</w:t>
            </w:r>
            <w:r/>
          </w:p>
          <w:p>
            <w:pPr>
              <w:ind w:left="0" w:right="0"/>
              <w:keepLines w:val="0"/>
              <w:keepNext w:val="0"/>
              <w:spacing w:before="0" w:beforeAutospacing="0" w:after="0" w:afterAutospacing="0"/>
              <w:widowControl/>
              <w:tabs>
                <w:tab w:val="left" w:pos="312" w:leader="none"/>
              </w:tabs>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（8）移动式操作平台(门式架)，状态脚轮未锁定、防护栏杆缺失,1个；</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13.焊条电弧焊高处实操考核设备（科目三K31）</w:t>
      </w:r>
      <w:r/>
    </w:p>
    <w:tbl>
      <w:tblPr>
        <w:tblStyle w:val="870"/>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471"/>
        <w:gridCol w:w="1171"/>
        <w:gridCol w:w="861"/>
        <w:gridCol w:w="416"/>
        <w:gridCol w:w="6167"/>
      </w:tblGrid>
      <w:tr>
        <w:trPr>
          <w:trHeight w:val="80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2258"/>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37</w:t>
            </w:r>
            <w:r/>
          </w:p>
        </w:tc>
        <w:tc>
          <w:tcPr>
            <w:gridSpan w:val="2"/>
            <w:shd w:val="clear" w:color="auto" w:fill="auto"/>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焊条电弧焊机</w:t>
            </w:r>
            <w:r/>
          </w:p>
        </w:tc>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ff0000"/>
                <w:sz w:val="24"/>
                <w:szCs w:val="24"/>
                <w:highlight w:val="none"/>
              </w:rPr>
              <w:suppressLineNumbers w:val="0"/>
            </w:pPr>
            <w:r>
              <w:rPr>
                <w:rFonts w:hint="eastAsia" w:ascii="仿宋" w:hAnsi="仿宋" w:eastAsia="仿宋" w:cs="仿宋"/>
                <w:sz w:val="24"/>
                <w:szCs w:val="24"/>
                <w:highlight w:val="none"/>
              </w:rPr>
              <w:t xml:space="preserve">1.焊机参数要求：</w:t>
            </w:r>
            <w:r>
              <w:rPr>
                <w:rFonts w:hint="eastAsia" w:ascii="仿宋" w:hAnsi="仿宋" w:eastAsia="仿宋" w:cs="仿宋"/>
                <w:color w:val="ff0000"/>
                <w:sz w:val="24"/>
                <w:szCs w:val="24"/>
                <w:highlight w:val="none"/>
              </w:rPr>
              <w:t xml:space="preserve">（焊机利旧，不列入报价）</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(1)额定输入电压：三相380V±15%；</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(2)额定输入功率：≥14kW。</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(3)频率：50/60Hz</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(4)功率因数：≥0.93</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(5)空载电压：≥68V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(6)电流调节范围：40-480A</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2.应符合现行标准《弧焊设备第1部分：焊接电源》(GB/T15579.1)、《电弧焊机通用技术条件》(GB/T8118)的有关要求。</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38</w:t>
            </w:r>
            <w:r/>
          </w:p>
        </w:tc>
        <w:tc>
          <w:tcPr>
            <w:gridSpan w:val="2"/>
            <w:shd w:val="clear" w:color="auto" w:fill="auto"/>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电焊钳及配套电缆线</w:t>
            </w:r>
            <w:r/>
          </w:p>
        </w:tc>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default" w:ascii="宋体" w:hAnsi="宋体" w:eastAsia="宋体"/>
                <w:sz w:val="21"/>
                <w:szCs w:val="24"/>
                <w:highlight w:val="none"/>
              </w:rPr>
              <w:t xml:space="preserve">与焊机匹配，电缆线长度不小于3m。</w:t>
            </w:r>
            <w:r>
              <w:rPr>
                <w:rFonts w:hint="default" w:ascii="宋体" w:hAnsi="宋体" w:eastAsia="宋体"/>
                <w:sz w:val="21"/>
                <w:szCs w:val="24"/>
                <w:highlight w:val="none"/>
              </w:rPr>
              <w:br/>
            </w:r>
            <w:r>
              <w:rPr>
                <w:rFonts w:hint="default" w:ascii="宋体" w:hAnsi="宋体" w:eastAsia="宋体"/>
                <w:sz w:val="21"/>
                <w:szCs w:val="24"/>
                <w:highlight w:val="none"/>
              </w:rPr>
              <w:t xml:space="preserve">应符合现行标准《弧焊设备第11部分：电焊钳》(GB/T15579.11)的有关要求。</w:t>
            </w:r>
            <w:r/>
          </w:p>
        </w:tc>
      </w:tr>
      <w:tr>
        <w:trPr>
          <w:trHeight w:val="908"/>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39</w:t>
            </w:r>
            <w:r/>
          </w:p>
        </w:tc>
        <w:tc>
          <w:tcPr>
            <w:gridSpan w:val="2"/>
            <w:shd w:val="clear" w:color="auto" w:fill="auto"/>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焊接夹钳及配套电缆线</w:t>
            </w:r>
            <w:r/>
          </w:p>
        </w:tc>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default" w:ascii="宋体" w:hAnsi="宋体" w:eastAsia="宋体"/>
                <w:sz w:val="21"/>
                <w:szCs w:val="24"/>
                <w:highlight w:val="none"/>
              </w:rPr>
              <w:t xml:space="preserve">与焊机匹配，电缆线长度不小于3m。</w:t>
            </w:r>
            <w:r>
              <w:rPr>
                <w:rFonts w:hint="default" w:ascii="宋体" w:hAnsi="宋体" w:eastAsia="宋体"/>
                <w:sz w:val="21"/>
                <w:szCs w:val="24"/>
                <w:highlight w:val="none"/>
              </w:rPr>
              <w:br/>
            </w:r>
            <w:r>
              <w:rPr>
                <w:rFonts w:hint="default" w:ascii="宋体" w:hAnsi="宋体" w:eastAsia="宋体"/>
                <w:sz w:val="21"/>
                <w:szCs w:val="24"/>
                <w:highlight w:val="none"/>
              </w:rPr>
              <w:t xml:space="preserve">焊接夹钳及配套电缆线应符合现行标准《弧焊设备第13部分：焊接夹钳》(GB/T15579.13)的有关要求。</w:t>
            </w:r>
            <w:r/>
          </w:p>
        </w:tc>
      </w:tr>
      <w:tr>
        <w:trPr>
          <w:trHeight w:val="286"/>
        </w:trPr>
        <w:tc>
          <w:tcPr>
            <w:shd w:val="clear" w:color="auto" w:fill="auto"/>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40</w:t>
            </w:r>
            <w:r/>
          </w:p>
        </w:tc>
        <w:tc>
          <w:tcPr>
            <w:gridSpan w:val="2"/>
            <w:shd w:val="clear" w:color="auto" w:fill="auto"/>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焊条</w:t>
            </w:r>
            <w:r/>
          </w:p>
        </w:tc>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Φ2.5～4.0mm,低碳钢焊条</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41</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焊条保温桶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容量：≥5kg</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42</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焊条头回收桶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43</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焊接板材</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1.规格：厚度4～10mm、长度≥150mm、宽度≥50mm。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2.牌号：Q235。</w:t>
            </w:r>
            <w:r/>
          </w:p>
        </w:tc>
      </w:tr>
      <w:tr>
        <w:trPr>
          <w:trHeight w:val="286"/>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44</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工作台</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两边带挡板≥300mm高，加一台≥6寸台虎钳</w:t>
            </w:r>
            <w:r/>
          </w:p>
        </w:tc>
      </w:tr>
      <w:tr>
        <w:trPr>
          <w:trHeight w:val="286"/>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45</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材质：Q235钢</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46</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常用工器具</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包括但不限于：活扳手、清渣锤、钳子、一字螺丝刀、十字螺丝刀、宽刃扁錾、角磨机、钢丝刷等</w:t>
            </w:r>
            <w:r/>
          </w:p>
        </w:tc>
      </w:tr>
      <w:tr>
        <w:trPr>
          <w:trHeight w:val="286"/>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47</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材质：帆布</w:t>
            </w:r>
            <w:r/>
          </w:p>
        </w:tc>
      </w:tr>
      <w:tr>
        <w:trPr>
          <w:trHeight w:val="831"/>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48</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移动式操作平台(门式架)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1.满足搭设1层所需的构配件。</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2.门架及配件应符合现行标准《门式钢管脚手架》(JG/T13)的有关要求。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3.脚轮应符合现行标准《工业脚轮和车轮》(GB/T14687)的有关要求，可调高度、可制动，万向脚轮。</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49</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焊渣接火斗</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材质：钢材</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50</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焊接防火布</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防火阻燃、防水、耐酸碱</w:t>
            </w:r>
            <w:r/>
          </w:p>
        </w:tc>
      </w:tr>
      <w:tr>
        <w:trPr>
          <w:trHeight w:val="42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51</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干粉灭火器</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55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52</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二氧化碳灭火器</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303"/>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53</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1.高≥1.2m长≥4m黄黑色。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447"/>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54</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2.应符合现行标准《安全标志及其使用导则》(GB2894)的有关要求。</w:t>
            </w:r>
            <w:r/>
          </w:p>
        </w:tc>
      </w:tr>
      <w:tr>
        <w:trPr>
          <w:trHeight w:val="96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55</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实物仿真汽油桶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96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实物仿真油漆桶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695"/>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57</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木板或木棍</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材质：木材</w:t>
            </w:r>
            <w:r/>
          </w:p>
        </w:tc>
      </w:tr>
      <w:tr>
        <w:trPr>
          <w:trHeight w:val="695"/>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纸板或纸团</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材质：纸</w:t>
            </w:r>
            <w:r/>
          </w:p>
        </w:tc>
      </w:tr>
      <w:tr>
        <w:trPr>
          <w:trHeight w:val="96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59</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实物仿真氧气瓶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968"/>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实物仿真乙炔瓶</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569"/>
        </w:trPr>
        <w:tc>
          <w:tcPr>
            <w:tcBorders>
              <w:top w:val="single" w:color="auto" w:sz="4" w:space="0"/>
              <w:left w:val="single" w:color="auto" w:sz="4" w:space="0"/>
              <w:bottom w:val="single" w:color="auto" w:sz="4" w:space="0"/>
              <w:right w:val="single" w:color="auto" w:sz="4" w:space="0"/>
            </w:tcBorders>
            <w:tcW w:w="597"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61</w:t>
            </w:r>
            <w:r/>
          </w:p>
        </w:tc>
        <w:tc>
          <w:tcPr>
            <w:gridSpan w:val="2"/>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速差自控器(防坠器)</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1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满足考试要求</w:t>
            </w:r>
            <w:r/>
          </w:p>
        </w:tc>
      </w:tr>
    </w:tbl>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14.二氧化碳气体保护焊实操考核设备（K32）</w:t>
      </w:r>
      <w:r/>
    </w:p>
    <w:tbl>
      <w:tblPr>
        <w:tblStyle w:val="870"/>
        <w:tblW w:w="50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469"/>
        <w:gridCol w:w="975"/>
        <w:gridCol w:w="684"/>
        <w:gridCol w:w="777"/>
        <w:gridCol w:w="6147"/>
      </w:tblGrid>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62</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二氧化碳气体保护焊机</w:t>
            </w:r>
            <w:r>
              <w:rPr>
                <w:rFonts w:hint="eastAsia" w:ascii="仿宋" w:hAnsi="仿宋" w:eastAsia="仿宋" w:cs="仿宋"/>
                <w:color w:val="ff0000"/>
                <w:sz w:val="24"/>
                <w:szCs w:val="24"/>
                <w:highlight w:val="none"/>
              </w:rPr>
              <w:t xml:space="preserve">（焊机利旧，不列入报价）</w:t>
            </w:r>
            <w:r>
              <w:rPr>
                <w:rFonts w:hint="eastAsia" w:ascii="仿宋" w:hAnsi="仿宋" w:eastAsia="仿宋" w:cs="仿宋"/>
                <w:sz w:val="24"/>
                <w:szCs w:val="24"/>
                <w:highlight w:val="none"/>
              </w:rPr>
              <w:b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1.焊机参数要求：(1)额定输入电压：三相380V±15％；</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(2)额定输入功率：≥14kW；</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(3)频率：50/60Hz</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(4)功率因数：≥0.93</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(5)空载电压：≥61V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(6)电流调节范围：60-450A</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2.应符合现行标准《弧焊设备第1部分：焊接电源》(GB/T15579.1)、《电弧焊机通用技术条件》(GB/T8118)的有关要求。</w:t>
            </w:r>
            <w:r/>
          </w:p>
        </w:tc>
      </w:tr>
      <w:tr>
        <w:trPr>
          <w:trHeight w:val="290"/>
        </w:trPr>
        <w:tc>
          <w:tcPr>
            <w:shd w:val="clear" w:color="auto" w:fill="auto"/>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63</w:t>
            </w:r>
            <w:r/>
          </w:p>
        </w:tc>
        <w:tc>
          <w:tcPr>
            <w:gridSpan w:val="2"/>
            <w:shd w:val="clear" w:color="auto" w:fill="auto"/>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送丝装置</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default" w:ascii="宋体" w:hAnsi="仿宋" w:eastAsia="宋体" w:cs="仿宋"/>
                <w:sz w:val="24"/>
                <w:szCs w:val="24"/>
                <w:highlight w:val="none"/>
              </w:rPr>
              <w:suppressLineNumbers w:val="0"/>
            </w:pPr>
            <w:r>
              <w:rPr>
                <w:rFonts w:hint="default" w:ascii="宋体" w:hAnsi="宋体" w:eastAsia="宋体"/>
                <w:sz w:val="21"/>
                <w:szCs w:val="24"/>
                <w:highlight w:val="none"/>
              </w:rPr>
              <w:t xml:space="preserve">与焊机匹配。</w:t>
            </w:r>
            <w:r>
              <w:rPr>
                <w:rFonts w:hint="default" w:ascii="宋体" w:hAnsi="宋体" w:eastAsia="宋体"/>
                <w:sz w:val="21"/>
                <w:szCs w:val="24"/>
                <w:highlight w:val="none"/>
              </w:rPr>
              <w:br/>
            </w:r>
            <w:r>
              <w:rPr>
                <w:rFonts w:hint="default" w:ascii="宋体" w:hAnsi="宋体" w:eastAsia="宋体"/>
                <w:sz w:val="21"/>
                <w:szCs w:val="24"/>
                <w:highlight w:val="none"/>
              </w:rPr>
              <w:t xml:space="preserve">应符合现行标准《弧焊设备第5部分：送丝装置》(GB/T15579.5)的有关要求。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64</w:t>
            </w:r>
            <w:r/>
          </w:p>
        </w:tc>
        <w:tc>
          <w:tcPr>
            <w:gridSpan w:val="2"/>
            <w:shd w:val="clear" w:color="auto" w:fill="auto"/>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焊枪</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default" w:ascii="宋体" w:hAnsi="宋体" w:eastAsia="宋体"/>
                <w:sz w:val="21"/>
                <w:szCs w:val="24"/>
                <w:highlight w:val="none"/>
              </w:rPr>
              <w:t xml:space="preserve">与焊机匹配，长度不小于3m。</w:t>
            </w:r>
            <w:r>
              <w:rPr>
                <w:rFonts w:hint="default" w:ascii="宋体" w:hAnsi="宋体" w:eastAsia="宋体"/>
                <w:sz w:val="21"/>
                <w:szCs w:val="24"/>
                <w:highlight w:val="none"/>
              </w:rPr>
              <w:br/>
            </w:r>
            <w:r>
              <w:rPr>
                <w:rFonts w:hint="default" w:ascii="宋体" w:hAnsi="宋体" w:eastAsia="宋体"/>
                <w:sz w:val="21"/>
                <w:szCs w:val="24"/>
                <w:highlight w:val="none"/>
              </w:rPr>
              <w:t xml:space="preserve">应符合现行标准《弧焊设备第7部分：焊炬(枪)》(GB/T15579.7)的有关要求。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65</w:t>
            </w:r>
            <w:r/>
          </w:p>
        </w:tc>
        <w:tc>
          <w:tcPr>
            <w:gridSpan w:val="2"/>
            <w:shd w:val="clear" w:color="auto" w:fill="auto"/>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焊接夹钳及配套电缆线</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default" w:ascii="宋体" w:hAnsi="宋体" w:eastAsia="宋体"/>
                <w:sz w:val="21"/>
                <w:szCs w:val="24"/>
                <w:highlight w:val="none"/>
              </w:rPr>
              <w:t xml:space="preserve">与焊机匹配，电缆线长度不小于3m。</w:t>
            </w:r>
            <w:r>
              <w:rPr>
                <w:rFonts w:hint="default" w:ascii="宋体" w:hAnsi="宋体" w:eastAsia="宋体"/>
                <w:sz w:val="21"/>
                <w:szCs w:val="24"/>
                <w:highlight w:val="none"/>
              </w:rPr>
              <w:br/>
            </w:r>
            <w:r>
              <w:rPr>
                <w:rFonts w:hint="default" w:ascii="宋体" w:hAnsi="宋体" w:eastAsia="宋体"/>
                <w:sz w:val="21"/>
                <w:szCs w:val="24"/>
                <w:highlight w:val="none"/>
              </w:rPr>
              <w:t xml:space="preserve">应符合现行标准《弧焊设备第13部分：焊接夹钳》(GB/T15579.13)的有关要求。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66</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二氧化碳气瓶及相关附件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1.气瓶应在检验有效期内，有警示标签和充装产品合格标签。</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2.应符合现行标准《钢质焊接气瓶》(GB/T5100)的有关要求或《钢质无缝气瓶》(GB/T5099)相应部分的要求。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67</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气瓶防倾倒装置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1.材质：钢。</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2.≥40L单瓶蓝色加大口径≥27CM</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68</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二氧化碳减压器高压表、流量计及加热器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应符合现行标准《焊接、切割及类似工艺用气瓶减压器》(GB/T7899)的有关要求。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69</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二氧化碳焊丝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Φ0.8～1.2mm,实心焊丝或药芯焊丝。</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70</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焊丝头回收桶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71</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焊接板材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1.规格：厚度4～10mm、长度≥150mm、宽度≥50mm。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2.牌号：Q235。</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72</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两边带挡板≥300mm高，加一台≥6寸台虎钳</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73</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材质：Q235钢</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74</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常用工器具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包括但不限于：活扳手、清渣锤、钳子、斜口钳、一字螺丝刀、十字螺丝刀、宽刃扁錾、角磨机、钢丝刷等</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75</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应符合现行标准《焊接烟尘捕集和分离设备》(GB/T43917)相应部分的要求。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76</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干粉灭火器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77</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二氧化碳灭火器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78</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79</w:t>
            </w:r>
            <w:r/>
          </w:p>
        </w:tc>
        <w:tc>
          <w:tcPr>
            <w:gridSpan w:val="2"/>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2.应符合现行标准《安全标志及其使用导则》(GB2894)的有关要求。</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80</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实物仿真汽油桶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81</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实物仿真油漆桶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材质：马口铁，耐腐蚀</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82</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木板或木棍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材质：木材</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83</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纸板或纸团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材质：纸</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84</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实物仿真氧气瓶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23"/>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85</w:t>
            </w:r>
            <w:r/>
          </w:p>
        </w:tc>
        <w:tc>
          <w:tcPr>
            <w:tcBorders>
              <w:top w:val="single" w:color="auto" w:sz="4" w:space="0"/>
              <w:left w:val="single" w:color="auto" w:sz="4" w:space="0"/>
              <w:bottom w:val="single" w:color="auto" w:sz="4" w:space="0"/>
              <w:right w:val="single" w:color="auto" w:sz="4" w:space="0"/>
            </w:tcBorders>
            <w:tcW w:w="47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实物仿真乙炔瓶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15.氩弧焊实操考核设备K33</w:t>
      </w:r>
      <w:r/>
    </w:p>
    <w:tbl>
      <w:tblPr>
        <w:tblStyle w:val="870"/>
        <w:tblW w:w="5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475"/>
        <w:gridCol w:w="1034"/>
        <w:gridCol w:w="847"/>
        <w:gridCol w:w="582"/>
        <w:gridCol w:w="6221"/>
      </w:tblGrid>
      <w:tr>
        <w:trPr>
          <w:trHeight w:val="443"/>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443"/>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86</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氩弧焊机</w:t>
            </w:r>
            <w:r>
              <w:rPr>
                <w:rFonts w:hint="eastAsia" w:ascii="仿宋" w:hAnsi="仿宋" w:eastAsia="仿宋" w:cs="仿宋"/>
                <w:color w:val="ff0000"/>
                <w:sz w:val="24"/>
                <w:szCs w:val="24"/>
                <w:highlight w:val="none"/>
              </w:rPr>
              <w:t xml:space="preserve">（焊机利旧，不列入报价）</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ff0000"/>
                <w:sz w:val="24"/>
                <w:szCs w:val="24"/>
                <w:highlight w:val="none"/>
              </w:rPr>
              <w:suppressLineNumbers w:val="0"/>
            </w:pPr>
            <w:r>
              <w:rPr>
                <w:rFonts w:hint="eastAsia" w:ascii="仿宋" w:hAnsi="仿宋" w:eastAsia="仿宋" w:cs="仿宋"/>
                <w:sz w:val="24"/>
                <w:szCs w:val="24"/>
                <w:highlight w:val="none"/>
              </w:rPr>
              <w:t xml:space="preserve">1.焊机参数要求：</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(1)额定输入电压：三相380V±15％；</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(2)额定输入功率：≥14kW。</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(3)频率：50/60Hz</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(4)功率因数：≥0.93</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(5)空载电压：≥74V</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(6)电流调节范围：10-400A</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2.应符合现行标准《弧焊设备第1部分：焊接电源》(GB/T15579.1)、《电弧焊机通用技术条件》(GB/T8118)的有关要求。</w:t>
            </w:r>
            <w:r/>
          </w:p>
        </w:tc>
      </w:tr>
      <w:tr>
        <w:trPr>
          <w:trHeight w:val="189"/>
        </w:trPr>
        <w:tc>
          <w:tcPr>
            <w:shd w:val="clear" w:color="auto" w:fill="auto"/>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87</w:t>
            </w:r>
            <w:r/>
          </w:p>
        </w:tc>
        <w:tc>
          <w:tcPr>
            <w:gridSpan w:val="2"/>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焊枪</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与焊机匹配，长度不小于3m。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应符合现行标准《弧焊设备第7部分：焊炬(枪)》(GB/T15579.7)的有关要求。</w:t>
            </w:r>
            <w:r/>
          </w:p>
        </w:tc>
      </w:tr>
      <w:tr>
        <w:trPr>
          <w:trHeight w:val="591"/>
        </w:trPr>
        <w:tc>
          <w:tcPr>
            <w:shd w:val="clear" w:color="auto" w:fill="auto"/>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88</w:t>
            </w:r>
            <w:r/>
          </w:p>
        </w:tc>
        <w:tc>
          <w:tcPr>
            <w:gridSpan w:val="2"/>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焊接夹钳及配套电缆线</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与焊机匹配，电缆线长度不小于3m。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应符合现行标准《弧焊设备第13部分：焊接夹钳》(GB/T15579.13)的有关要求。</w:t>
            </w:r>
            <w:r/>
          </w:p>
        </w:tc>
      </w:tr>
      <w:tr>
        <w:trPr>
          <w:trHeight w:val="734"/>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89</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氩气瓶及相关附件</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firstLine="48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1.气瓶应在检验有效期内，有警示标签和充装产品合格标签。</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2.应符合现行标准《钢质焊接气瓶》(GB/T5100)的有关要求或《钢质无缝气瓶》(GB/T5099)相应部分的要求。</w:t>
            </w:r>
            <w:r/>
          </w:p>
        </w:tc>
      </w:tr>
      <w:tr>
        <w:trPr>
          <w:trHeight w:val="447"/>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90</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气瓶防倾倒装置</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1.材质：钢。</w:t>
            </w:r>
            <w:r/>
          </w:p>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2.≥40L单瓶蓝色加大口径≥27CM</w:t>
            </w:r>
            <w:r/>
          </w:p>
        </w:tc>
      </w:tr>
      <w:tr>
        <w:trPr>
          <w:trHeight w:val="736"/>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91</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氩气减压器高压表及流量计</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1.材质：黄铜。</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2.大焊氩气表、优质款氩气表。</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3.应符合现行标准《焊接、切割及类似工艺用气瓶减压器》(GB/T7899)的有关要求。</w:t>
            </w:r>
            <w:r/>
          </w:p>
        </w:tc>
      </w:tr>
      <w:tr>
        <w:trPr>
          <w:trHeight w:val="304"/>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92</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氩弧焊丝</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Φ2.0～2.5mm,实心焊丝。</w:t>
            </w:r>
            <w:r/>
          </w:p>
        </w:tc>
      </w:tr>
      <w:tr>
        <w:trPr>
          <w:trHeight w:val="189"/>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93</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铈钨极</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Φ1.0～2.5mm</w:t>
            </w:r>
            <w:r/>
          </w:p>
        </w:tc>
      </w:tr>
      <w:tr>
        <w:trPr>
          <w:trHeight w:val="371"/>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94</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焊丝头回收桶</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371"/>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95</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焊接板材</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1.规格：厚度3～6mm、长度≥150mm、宽度≥50mm。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2.牌号：Q235。</w:t>
            </w:r>
            <w:r/>
          </w:p>
        </w:tc>
      </w:tr>
      <w:tr>
        <w:trPr>
          <w:trHeight w:val="189"/>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96</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工作台</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两边带挡板≥300mm高，加一台≥6寸台虎钳</w:t>
            </w:r>
            <w:r/>
          </w:p>
        </w:tc>
      </w:tr>
      <w:tr>
        <w:trPr>
          <w:trHeight w:val="189"/>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97</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焊架</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材质：Q235钢</w:t>
            </w:r>
            <w:r/>
          </w:p>
        </w:tc>
      </w:tr>
      <w:tr>
        <w:trPr>
          <w:trHeight w:val="447"/>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98</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常用工器具</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包括但不限于：活扳手、清渣锤、钳子、一字螺丝刀、十字螺丝刀、宽刃扁錾、角磨机、钢丝刷等</w:t>
            </w:r>
            <w:r/>
          </w:p>
        </w:tc>
      </w:tr>
      <w:tr>
        <w:trPr>
          <w:trHeight w:val="189"/>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99</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材质：帆布</w:t>
            </w:r>
            <w:r/>
          </w:p>
        </w:tc>
      </w:tr>
      <w:tr>
        <w:trPr>
          <w:trHeight w:val="447"/>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干粉灭火器</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447"/>
        </w:trPr>
        <w:tc>
          <w:tcPr>
            <w:shd w:val="clear" w:color="auto" w:fill="auto"/>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101</w:t>
            </w:r>
            <w:r/>
          </w:p>
        </w:tc>
        <w:tc>
          <w:tcPr>
            <w:gridSpan w:val="2"/>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二氧化碳灭火器</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371"/>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102</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1.高≥1.2m长≥4m黄黑色。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553"/>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103</w:t>
            </w:r>
            <w:r/>
          </w:p>
        </w:tc>
        <w:tc>
          <w:tcPr>
            <w:gridSpan w:val="2"/>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2.应符合现行标准《安全标志及其使用导则》(GB2894)的有关要求。</w:t>
            </w:r>
            <w:r/>
          </w:p>
        </w:tc>
      </w:tr>
      <w:tr>
        <w:trPr>
          <w:trHeight w:val="553"/>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104</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实物仿真汽油桶</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1022"/>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105</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实物仿真油漆桶</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材质：马口铁</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耐腐蚀</w:t>
            </w:r>
            <w:r/>
          </w:p>
        </w:tc>
      </w:tr>
      <w:tr>
        <w:trPr>
          <w:trHeight w:val="734"/>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106</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木板或木棍</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材质：木材</w:t>
            </w:r>
            <w:r/>
          </w:p>
        </w:tc>
      </w:tr>
      <w:tr>
        <w:trPr>
          <w:trHeight w:val="734"/>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107</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纸板或纸团</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材质：纸</w:t>
            </w:r>
            <w:r/>
          </w:p>
        </w:tc>
      </w:tr>
      <w:tr>
        <w:trPr>
          <w:trHeight w:val="1022"/>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108</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实物仿真氧气瓶</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559"/>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109</w:t>
            </w:r>
            <w:r/>
          </w:p>
        </w:tc>
        <w:tc>
          <w:tcPr>
            <w:tcBorders>
              <w:top w:val="single" w:color="auto" w:sz="4" w:space="0"/>
              <w:left w:val="single" w:color="auto" w:sz="4" w:space="0"/>
              <w:bottom w:val="single" w:color="auto" w:sz="4" w:space="0"/>
              <w:right w:val="single" w:color="auto" w:sz="4" w:space="0"/>
            </w:tcBorders>
            <w:tcW w:w="47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实物仿真乙炔瓶</w:t>
            </w:r>
            <w:r/>
          </w:p>
        </w:tc>
        <w:tc>
          <w:tcPr>
            <w:tcBorders>
              <w:top w:val="single" w:color="auto" w:sz="4" w:space="0"/>
              <w:left w:val="single" w:color="auto" w:sz="4" w:space="0"/>
              <w:bottom w:val="single" w:color="auto" w:sz="4" w:space="0"/>
              <w:right w:val="single" w:color="auto" w:sz="4" w:space="0"/>
            </w:tcBorders>
            <w:tcW w:w="845" w:type="dxa"/>
            <w:vAlign w:val="top"/>
            <w:textDirection w:val="lrTb"/>
            <w:noWrap/>
          </w:tcPr>
          <w:p>
            <w:pPr>
              <w:ind w:left="0" w:right="0" w:firstLine="48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24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16.气焊（气割高处）实操考核设备K34</w:t>
      </w:r>
      <w:r/>
    </w:p>
    <w:tbl>
      <w:tblPr>
        <w:tblStyle w:val="870"/>
        <w:tblW w:w="49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461"/>
        <w:gridCol w:w="961"/>
        <w:gridCol w:w="665"/>
        <w:gridCol w:w="763"/>
        <w:gridCol w:w="6021"/>
      </w:tblGrid>
      <w:tr>
        <w:trPr>
          <w:trHeight w:val="693"/>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line="30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693"/>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110</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氧气瓶及相关附件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1.气瓶应在检验有效期内，有警示标签和充装产品合格标签。</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2.应符合现行标准《钢质焊接气瓶》(GB/T5100)的有关要求或《钢质无缝气瓶》(GB/T5099)相应部分的要求。</w:t>
            </w:r>
            <w:r/>
          </w:p>
        </w:tc>
      </w:tr>
      <w:tr>
        <w:trPr>
          <w:trHeight w:val="693"/>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111</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乙炔瓶及相关附件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1.气瓶应在检验有效期内，有警示标签和充装产品合格标签。</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2.应符合现行标准《钢质焊接气瓶》(GB/T5100)的有关要求或《钢质无缝气瓶》(GB/T5099)相应部分的要求。</w:t>
            </w:r>
            <w:r/>
          </w:p>
        </w:tc>
      </w:tr>
      <w:tr>
        <w:trPr>
          <w:trHeight w:val="349"/>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112</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气瓶防倾倒装置</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1.材质：钢。</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2.≥40L单瓶蓝色加大口径≥27CM</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113</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氧气减压器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应符合现行标准《焊接、切割及类似工艺用气瓶减压器》(GB/T7899)的有关要求。</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114</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乙炔减压器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应符合现行标准《焊接、切割及类似工艺用气瓶减压器》(GB/T7899)的有关要求。</w:t>
            </w:r>
            <w:r/>
          </w:p>
        </w:tc>
      </w:tr>
      <w:tr>
        <w:trPr>
          <w:trHeight w:val="518"/>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115</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氧气回火防止器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应符合现行标准《干式回火防止器》(JB/T7437)的有关要求。</w:t>
            </w:r>
            <w:r/>
          </w:p>
        </w:tc>
      </w:tr>
      <w:tr>
        <w:trPr>
          <w:trHeight w:val="518"/>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116</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乙炔回火防止器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应符合现行标准《干式回火防止器》(JB/T7437)的有关要求</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117</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氧气胶管</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1.长度不小于10m。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2.应符合现行标准《气体焊接设备焊接、切割和类似作业用橡胶软管》GB/T2550)的有关要求。</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118</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乙炔胶管</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1.长度不小于10m。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2.应符合现行标准《气体焊接设备焊接、切割和类似作业用橡胶软管》XGB/T2550)的有关要求。</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119</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焊炬</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1.H01-6。</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2.应符合现行标准《气焊设备焊接、切割及相关工艺用炬》(JB/T7947)的有关要求。</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120</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割炬</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1.G01-30。</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2.应符合现行标准《气焊设备焊接、切割及相关工艺用炬》(JB/T7947)的有关要求。</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121</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点火器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材质：塑料外壳</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类型：可充气</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122</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焊丝</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Φ2.0～3.0mm,H08A。</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123</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焊丝头回收桶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材质：Q235钢</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124</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气焊板材</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1.规格：厚度2～6mm、长度≥150mm、宽度≥50mm。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2.牌号：Q235。</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125</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气割板材</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1.规格：厚度4～12mm、长度≥150mm、宽度≥100mm。</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2.牌号：Q235。</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126</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工作台</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两边带挡板≥300mm高，加一台≥6寸台虎钳</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127</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材质：Q235钢</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128</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接火斗</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材质：钢材</w:t>
            </w:r>
            <w:r/>
          </w:p>
        </w:tc>
      </w:tr>
      <w:tr>
        <w:trPr>
          <w:trHeight w:val="518"/>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129</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肥皂水(气体检漏)</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容量：≥500ml</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清洁去污</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130</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常用工器具</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包括但不限于：活扳手、清渣锤、钳子、一字螺丝刀、十字螺丝刀、通针、气管卡箍、宽刃扁錾、角磨机、钢丝刷等</w:t>
            </w:r>
            <w:r/>
          </w:p>
        </w:tc>
      </w:tr>
      <w:tr>
        <w:trPr>
          <w:trHeight w:val="864"/>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131</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移动式操作平台(门式架)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1.满足搭设1层所需的构配件。</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2.门架及配件应符合现行标准《门式钢管脚手架》(JG/T13)的有关要求。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3.脚轮应符合现行标准《工业脚轮和车轮》(GB/T14687)的有关要求，可调高度、可制动，万向脚轮。</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132</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焊渣接火斗</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材质：钢材</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133</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焊接防火布</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防火阻燃、防水、耐酸碱</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134</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干粉灭火器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none" w:color="000000"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518"/>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135</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二氧化碳灭火器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none" w:color="000000"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1.手提式。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2.应符合现行标准《手提式灭火器》(GB4351)的有关要求。</w:t>
            </w:r>
            <w:r/>
          </w:p>
        </w:tc>
      </w:tr>
      <w:tr>
        <w:trPr>
          <w:trHeight w:val="392"/>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136</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521"/>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137</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2.应符合现行标准《安全标志及其使用导则》(GB2894)的有关要求。</w:t>
            </w:r>
            <w:r/>
          </w:p>
        </w:tc>
      </w:tr>
      <w:tr>
        <w:trPr>
          <w:trHeight w:val="895"/>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138</w:t>
            </w:r>
            <w:r/>
          </w:p>
        </w:tc>
        <w:tc>
          <w:tcPr>
            <w:tcBorders>
              <w:top w:val="none" w:color="000000"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实物仿真汽油桶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材质：铁</w:t>
            </w:r>
            <w:r/>
          </w:p>
        </w:tc>
      </w:tr>
      <w:tr>
        <w:trPr>
          <w:trHeight w:val="895"/>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139</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实物仿真油漆桶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材质：马口铁</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耐腐蚀</w:t>
            </w:r>
            <w:r/>
          </w:p>
        </w:tc>
      </w:tr>
      <w:tr>
        <w:trPr>
          <w:trHeight w:val="643"/>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140</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木板或木棍</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材质：木材</w:t>
            </w:r>
            <w:r/>
          </w:p>
        </w:tc>
      </w:tr>
      <w:tr>
        <w:trPr>
          <w:trHeight w:val="643"/>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141</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纸板或纸团</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材质：纸</w:t>
            </w:r>
            <w:r/>
          </w:p>
        </w:tc>
      </w:tr>
      <w:tr>
        <w:trPr>
          <w:trHeight w:val="895"/>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142</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实物仿真氧气瓶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895"/>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143</w:t>
            </w:r>
            <w:r/>
          </w:p>
        </w:tc>
        <w:tc>
          <w:tcPr>
            <w:tcBorders>
              <w:top w:val="single" w:color="auto" w:sz="4" w:space="0"/>
              <w:left w:val="single" w:color="auto" w:sz="4" w:space="0"/>
              <w:bottom w:val="single" w:color="auto" w:sz="4" w:space="0"/>
              <w:right w:val="single" w:color="auto" w:sz="4" w:space="0"/>
            </w:tcBorders>
            <w:tcW w:w="46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实物仿真乙炔瓶</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实物仿真</w:t>
            </w:r>
            <w:r/>
          </w:p>
        </w:tc>
      </w:tr>
      <w:tr>
        <w:trPr>
          <w:trHeight w:val="518"/>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144</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速差自控器(防坠器)</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02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满足考试要求</w:t>
            </w:r>
            <w:r/>
          </w:p>
        </w:tc>
      </w:tr>
    </w:tbl>
    <w:p>
      <w:pPr>
        <w:spacing w:line="500" w:lineRule="exact"/>
        <w:rPr>
          <w:rFonts w:hint="default" w:ascii="宋体" w:hAnsi="宋体" w:eastAsia="宋体"/>
          <w:b/>
          <w:sz w:val="24"/>
          <w:szCs w:val="24"/>
          <w:highlight w:val="none"/>
        </w:rPr>
        <w:outlineLvl w:val="1"/>
      </w:pPr>
      <w:r>
        <w:rPr>
          <w:rFonts w:hint="default" w:ascii="宋体" w:hAnsi="宋体" w:eastAsia="宋体"/>
          <w:b/>
          <w:sz w:val="24"/>
          <w:szCs w:val="24"/>
          <w:highlight w:val="none"/>
        </w:rPr>
        <w:t xml:space="preserve">（四）高处作业实操考试系统</w:t>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17.高处作业安全用具实操考核设备（科目一K11）</w:t>
      </w:r>
      <w:r/>
    </w:p>
    <w:tbl>
      <w:tblPr>
        <w:tblStyle w:val="870"/>
        <w:tblW w:w="4910"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643"/>
        <w:gridCol w:w="643"/>
        <w:gridCol w:w="672"/>
        <w:gridCol w:w="522"/>
        <w:gridCol w:w="6388"/>
      </w:tblGrid>
      <w:tr>
        <w:trPr>
          <w:trHeight w:val="1240"/>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rPr>
                <w:rFonts w:hint="eastAsia" w:ascii="仿宋" w:hAnsi="仿宋" w:eastAsia="仿宋" w:cs="仿宋"/>
                <w:color w:val="ff0000"/>
                <w:sz w:val="24"/>
                <w:szCs w:val="24"/>
                <w:highlight w:val="none"/>
              </w:rPr>
              <w:t xml:space="preserve">（利旧不列入报价）</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1.材质：ABS/PE/针织布。</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2.应符合现行标准《头部防护安全帽》(GB2811)的有关要求。</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围杆作业用安全带</w:t>
            </w:r>
            <w:r>
              <w:rPr>
                <w:rFonts w:hint="eastAsia" w:ascii="仿宋" w:hAnsi="仿宋" w:eastAsia="仿宋" w:cs="仿宋"/>
                <w:color w:val="ff0000"/>
                <w:sz w:val="24"/>
                <w:szCs w:val="24"/>
                <w:highlight w:val="none"/>
              </w:rPr>
              <w:t xml:space="preserve">（利旧不列入报价）</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1.类型：围杆作业式，圆钩围杆带+加厚护腰带+2米绳。</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2.应符合现行标准《坠落防护安全带》(GB6095)的有关要求。</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区域限制用安全带</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1.类型：区域限制全身五点式。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2.应符合现行标准《坠落防护安全带》(GB6095)的有关要求。</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坠落悬挂用安全带</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应符合现行标准《坠落防护安全带》(GB6095)的有关要求。</w:t>
            </w:r>
            <w:r/>
          </w:p>
        </w:tc>
      </w:tr>
      <w:tr>
        <w:trPr>
          <w:trHeight w:val="625"/>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安全鞋</w:t>
            </w:r>
            <w:r>
              <w:rPr>
                <w:rFonts w:hint="eastAsia" w:ascii="仿宋" w:hAnsi="仿宋" w:eastAsia="仿宋" w:cs="仿宋"/>
                <w:color w:val="ff0000"/>
                <w:sz w:val="24"/>
                <w:szCs w:val="24"/>
                <w:highlight w:val="none"/>
              </w:rPr>
              <w:t xml:space="preserve">（利旧不列入报价）</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1.材质：帆布 橡胶</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2.应符合现行标准《足部防护安全鞋》(GB21148)的有关要求。</w:t>
            </w:r>
            <w:r/>
          </w:p>
        </w:tc>
      </w:tr>
      <w:tr>
        <w:trPr>
          <w:trHeight w:val="625"/>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脚扣</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应符合现行标准《环形混凝土电杆用脚扣》(DL/T1642)或《坠落防护登杆脚扣》(AQ6109)的有关要求。</w:t>
            </w:r>
            <w:r/>
          </w:p>
        </w:tc>
      </w:tr>
      <w:tr>
        <w:trPr>
          <w:trHeight w:val="625"/>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工作服</w:t>
            </w:r>
            <w:r>
              <w:rPr>
                <w:rFonts w:hint="eastAsia" w:ascii="仿宋" w:hAnsi="仿宋" w:eastAsia="仿宋" w:cs="仿宋"/>
                <w:color w:val="ff0000"/>
                <w:sz w:val="24"/>
                <w:szCs w:val="24"/>
                <w:highlight w:val="none"/>
              </w:rPr>
              <w:t xml:space="preserve">（利旧不列入报价）</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1.橘色 套装（纯棉）175/XL。</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2.类型：全棉、长袖、紧口。</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反光背心</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1.材质：纱网/针织</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2.反光：高度化纤反光条</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3.颜色：蓝色</w:t>
            </w:r>
            <w:r/>
          </w:p>
        </w:tc>
      </w:tr>
      <w:tr>
        <w:trPr>
          <w:trHeight w:val="625"/>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手套</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1.材质：尼龙</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2.功能：耐磨、不易打滑</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干扰项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安全帽</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顶</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安全带</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非标的、过期的、缺少附件的、轻微损坏的。</w:t>
            </w:r>
            <w:r>
              <w:rPr>
                <w:rFonts w:hint="eastAsia" w:ascii="仿宋" w:hAnsi="仿宋" w:eastAsia="仿宋" w:cs="仿宋"/>
                <w:color w:val="ff0000"/>
                <w:sz w:val="24"/>
                <w:szCs w:val="24"/>
                <w:highlight w:val="none"/>
              </w:rPr>
              <w:t xml:space="preserve">（利旧不列入报价）</w:t>
            </w:r>
            <w:r/>
          </w:p>
        </w:tc>
      </w:tr>
      <w:tr>
        <w:trPr>
          <w:trHeight w:val="932"/>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安全鞋</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双</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非标的、损坏的。</w:t>
            </w:r>
            <w:r/>
          </w:p>
        </w:tc>
      </w:tr>
      <w:tr>
        <w:trPr>
          <w:trHeight w:val="625"/>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150*40*200cm，四层，黑色</w:t>
            </w:r>
            <w:r>
              <w:rPr>
                <w:rFonts w:hint="eastAsia" w:ascii="仿宋" w:hAnsi="仿宋" w:eastAsia="仿宋" w:cs="仿宋"/>
                <w:color w:val="ff0000"/>
                <w:sz w:val="24"/>
                <w:szCs w:val="24"/>
                <w:highlight w:val="none"/>
              </w:rPr>
              <w:t xml:space="preserve">（利旧不列入报价）</w:t>
            </w:r>
            <w:r/>
          </w:p>
        </w:tc>
      </w:tr>
      <w:tr>
        <w:trPr>
          <w:trHeight w:val="328"/>
        </w:trPr>
        <w:tc>
          <w:tcPr>
            <w:tcBorders>
              <w:top w:val="single" w:color="auto" w:sz="4" w:space="0"/>
              <w:left w:val="single" w:color="auto" w:sz="4" w:space="0"/>
              <w:bottom w:val="single" w:color="auto" w:sz="4" w:space="0"/>
              <w:right w:val="single" w:color="auto" w:sz="4" w:space="0"/>
            </w:tcBorders>
            <w:tcW w:w="53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衣架</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ind w:left="0" w:right="0" w:firstLine="42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单杆式，1.2米长，黑色加粗，带轮</w:t>
            </w:r>
            <w:r/>
          </w:p>
        </w:tc>
      </w:tr>
    </w:tbl>
    <w:p>
      <w:pPr>
        <w:widowControl/>
        <w:rPr>
          <w:rFonts w:hint="default" w:ascii="宋体" w:hAnsi="宋体" w:eastAsia="宋体"/>
          <w:sz w:val="24"/>
          <w:szCs w:val="24"/>
          <w:highlight w:val="none"/>
        </w:rPr>
      </w:pPr>
      <w:r>
        <w:rPr>
          <w:rFonts w:hint="default" w:ascii="宋体" w:hAnsi="宋体" w:eastAsia="宋体"/>
          <w:sz w:val="24"/>
          <w:szCs w:val="24"/>
          <w:highlight w:val="none"/>
        </w:rPr>
      </w:r>
      <w:r/>
    </w:p>
    <w:p>
      <w:pPr>
        <w:widowControl/>
        <w:rPr>
          <w:rFonts w:hint="eastAsia" w:ascii="仿宋" w:hAnsi="仿宋" w:eastAsia="仿宋" w:cs="仿宋"/>
          <w:b/>
          <w:sz w:val="32"/>
          <w:szCs w:val="32"/>
          <w:highlight w:val="none"/>
        </w:rPr>
        <w:outlineLvl w:val="2"/>
      </w:pPr>
      <w:r>
        <w:rPr>
          <w:rFonts w:hint="default" w:ascii="宋体" w:hAnsi="宋体" w:eastAsia="宋体"/>
          <w:sz w:val="24"/>
          <w:szCs w:val="24"/>
          <w:highlight w:val="none"/>
        </w:rPr>
        <w:t xml:space="preserve">18.高处作业零部件判废实操考核设备（科目二K21）</w:t>
      </w:r>
      <w:r/>
    </w:p>
    <w:tbl>
      <w:tblPr>
        <w:tblStyle w:val="870"/>
        <w:tblW w:w="4931"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275"/>
        <w:gridCol w:w="676"/>
        <w:gridCol w:w="524"/>
        <w:gridCol w:w="6430"/>
      </w:tblGrid>
      <w:tr>
        <w:trPr>
          <w:trHeight w:val="1282"/>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8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11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移动平台各类零部件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35" w:type="dxa"/>
            <w:vAlign w:val="center"/>
            <w:textDirection w:val="lrTb"/>
            <w:noWrap w:val="false"/>
          </w:tcPr>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无制动装置的轮子、腐蚀的钢管、弯曲的钢管、存在机械伤害的钢管、变形的钢管、存在贯穿伤的脚手板、腐蚀的爬梯、腐蚀的扣件、缺少部件的扣件；</w:t>
            </w:r>
            <w:r/>
          </w:p>
        </w:tc>
      </w:tr>
      <w:tr>
        <w:trPr>
          <w:trHeight w:val="11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吊篮各类零部件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35" w:type="dxa"/>
            <w:vAlign w:val="center"/>
            <w:textDirection w:val="lrTb"/>
            <w:noWrap w:val="false"/>
          </w:tcPr>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磨损钢丝绳、断股钢丝绳、锈蚀钢丝绳、断丝钢丝绳、硬弯钢丝绳、破损的悬挂石块、锈蚀安全锁、破损限位装置；</w:t>
            </w:r>
            <w:r/>
          </w:p>
        </w:tc>
      </w:tr>
      <w:tr>
        <w:trPr>
          <w:trHeight w:val="11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单人吊具各类零部件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35" w:type="dxa"/>
            <w:vAlign w:val="center"/>
            <w:textDirection w:val="lrTb"/>
            <w:noWrap w:val="false"/>
          </w:tcPr>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rPr>
              <w:t xml:space="preserve">锈蚀安全锁、存在机械伤害的安全锁、锈蚀自锁器、缺少部件的自锁器、存在机械伤害的安全绳、存在裂纹的吊具；</w:t>
            </w:r>
            <w:r/>
          </w:p>
        </w:tc>
      </w:tr>
      <w:tr>
        <w:trPr>
          <w:trHeight w:val="656"/>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8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150*40*200cm，四层，黑色</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19.高处作业现场安全隐患排除实操考核设备（K22）</w:t>
      </w:r>
      <w:r/>
    </w:p>
    <w:tbl>
      <w:tblPr>
        <w:tblStyle w:val="870"/>
        <w:tblW w:w="4970"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1285"/>
        <w:gridCol w:w="680"/>
        <w:gridCol w:w="529"/>
        <w:gridCol w:w="6480"/>
      </w:tblGrid>
      <w:tr>
        <w:trPr>
          <w:trHeight w:val="309"/>
        </w:trPr>
        <w:tc>
          <w:tcPr>
            <w:tcBorders>
              <w:top w:val="single" w:color="auto" w:sz="4" w:space="0"/>
              <w:left w:val="single" w:color="auto" w:sz="4" w:space="0"/>
              <w:bottom w:val="single" w:color="auto" w:sz="4" w:space="0"/>
              <w:right w:val="single" w:color="auto" w:sz="4" w:space="0"/>
            </w:tcBorders>
            <w:tcW w:w="55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309"/>
        </w:trPr>
        <w:tc>
          <w:tcPr>
            <w:tcBorders>
              <w:top w:val="single" w:color="auto" w:sz="4" w:space="0"/>
              <w:left w:val="single" w:color="auto" w:sz="4" w:space="0"/>
              <w:bottom w:val="single" w:color="auto" w:sz="4" w:space="0"/>
              <w:right w:val="single" w:color="auto" w:sz="4" w:space="0"/>
            </w:tcBorders>
            <w:tcW w:w="552"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作业现场安全隐患排除考核设备</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实物实操装置由以下组件组成：</w:t>
            </w:r>
            <w:r>
              <w:rPr>
                <w:rFonts w:hint="eastAsia" w:ascii="仿宋" w:hAnsi="仿宋" w:eastAsia="仿宋" w:cs="仿宋"/>
                <w:color w:val="ff0000"/>
                <w:sz w:val="24"/>
                <w:szCs w:val="24"/>
                <w:highlight w:val="none"/>
              </w:rPr>
              <w:t xml:space="preserve">（移动平台利旧不列入报价）</w:t>
            </w:r>
            <w:r/>
          </w:p>
          <w:p>
            <w:pPr>
              <w:ind w:left="0" w:right="0" w:firstLine="440"/>
              <w:keepLines w:val="0"/>
              <w:keepNext w:val="0"/>
              <w:spacing w:before="0" w:beforeAutospacing="0" w:after="0" w:afterAutospacing="0"/>
              <w:widowControl/>
              <w:rPr>
                <w:rFonts w:hint="eastAsia" w:ascii="仿宋" w:hAnsi="仿宋" w:eastAsia="仿宋" w:cs="仿宋"/>
                <w:sz w:val="22"/>
                <w:szCs w:val="22"/>
                <w:highlight w:val="none"/>
              </w:rPr>
              <w:suppressLineNumbers w:val="0"/>
            </w:pPr>
            <w:r>
              <w:rPr>
                <w:rFonts w:hint="eastAsia" w:ascii="仿宋" w:hAnsi="仿宋" w:eastAsia="仿宋" w:cs="仿宋"/>
                <w:sz w:val="22"/>
                <w:szCs w:val="22"/>
                <w:highlight w:val="none"/>
              </w:rPr>
              <w:t xml:space="preserve">1.辨识作业环境风险隐患</w:t>
            </w:r>
            <w:r/>
          </w:p>
          <w:p>
            <w:pPr>
              <w:ind w:left="0" w:right="0" w:firstLine="440"/>
              <w:keepLines w:val="0"/>
              <w:keepNext w:val="0"/>
              <w:spacing w:before="0" w:beforeAutospacing="0" w:after="0" w:afterAutospacing="0"/>
              <w:widowControl/>
              <w:rPr>
                <w:rFonts w:hint="eastAsia" w:ascii="仿宋" w:hAnsi="仿宋" w:eastAsia="仿宋" w:cs="仿宋"/>
                <w:sz w:val="22"/>
                <w:szCs w:val="22"/>
                <w:highlight w:val="none"/>
              </w:rPr>
              <w:suppressLineNumbers w:val="0"/>
            </w:pPr>
            <w:r>
              <w:rPr>
                <w:rFonts w:hint="eastAsia" w:ascii="仿宋" w:hAnsi="仿宋" w:eastAsia="仿宋" w:cs="仿宋"/>
                <w:sz w:val="22"/>
                <w:szCs w:val="22"/>
                <w:highlight w:val="none"/>
              </w:rPr>
              <w:t xml:space="preserve">2.辨识作业人员风险隐患</w:t>
            </w:r>
            <w:r/>
          </w:p>
          <w:p>
            <w:pPr>
              <w:ind w:left="0" w:right="0" w:firstLine="440"/>
              <w:keepLines w:val="0"/>
              <w:keepNext w:val="0"/>
              <w:spacing w:before="0" w:beforeAutospacing="0" w:after="0" w:afterAutospacing="0"/>
              <w:widowControl/>
              <w:rPr>
                <w:rFonts w:hint="eastAsia" w:ascii="仿宋" w:hAnsi="仿宋" w:eastAsia="仿宋" w:cs="仿宋"/>
                <w:sz w:val="22"/>
                <w:szCs w:val="22"/>
                <w:highlight w:val="none"/>
              </w:rPr>
              <w:suppressLineNumbers w:val="0"/>
            </w:pPr>
            <w:r>
              <w:rPr>
                <w:rFonts w:hint="eastAsia" w:ascii="仿宋" w:hAnsi="仿宋" w:eastAsia="仿宋" w:cs="仿宋"/>
                <w:sz w:val="22"/>
                <w:szCs w:val="22"/>
                <w:highlight w:val="none"/>
              </w:rPr>
              <w:t xml:space="preserve">3.辨识移动平台风险隐患</w:t>
            </w:r>
            <w:r/>
          </w:p>
          <w:p>
            <w:pPr>
              <w:ind w:left="0" w:right="0" w:firstLine="440"/>
              <w:keepLines w:val="0"/>
              <w:keepNext w:val="0"/>
              <w:spacing w:before="0" w:beforeAutospacing="0" w:after="0" w:afterAutospacing="0"/>
              <w:widowControl/>
              <w:rPr>
                <w:rFonts w:hint="eastAsia" w:ascii="仿宋" w:hAnsi="仿宋" w:eastAsia="仿宋" w:cs="仿宋"/>
                <w:sz w:val="22"/>
                <w:szCs w:val="22"/>
                <w:highlight w:val="none"/>
              </w:rPr>
              <w:suppressLineNumbers w:val="0"/>
            </w:pPr>
            <w:r>
              <w:rPr>
                <w:rFonts w:hint="eastAsia" w:ascii="仿宋" w:hAnsi="仿宋" w:eastAsia="仿宋" w:cs="仿宋"/>
                <w:sz w:val="22"/>
                <w:szCs w:val="22"/>
                <w:highlight w:val="none"/>
              </w:rPr>
              <w:t xml:space="preserve">4.辨识吊篮风险隐患</w:t>
            </w:r>
            <w:r/>
          </w:p>
          <w:p>
            <w:pPr>
              <w:ind w:left="0" w:right="0" w:firstLine="440"/>
              <w:keepLines w:val="0"/>
              <w:keepNext w:val="0"/>
              <w:spacing w:before="0" w:beforeAutospacing="0" w:after="0" w:afterAutospacing="0"/>
              <w:widowControl/>
              <w:rPr>
                <w:rFonts w:hint="eastAsia" w:ascii="仿宋" w:hAnsi="仿宋" w:eastAsia="仿宋" w:cs="仿宋"/>
                <w:sz w:val="22"/>
                <w:szCs w:val="22"/>
                <w:highlight w:val="none"/>
              </w:rPr>
              <w:suppressLineNumbers w:val="0"/>
            </w:pPr>
            <w:r>
              <w:rPr>
                <w:rFonts w:hint="eastAsia" w:ascii="仿宋" w:hAnsi="仿宋" w:eastAsia="仿宋" w:cs="仿宋"/>
                <w:sz w:val="22"/>
                <w:szCs w:val="22"/>
                <w:highlight w:val="none"/>
              </w:rPr>
              <w:t xml:space="preserve">5.辨识单人吊具风险隐患</w:t>
            </w:r>
            <w:r/>
          </w:p>
          <w:p>
            <w:pPr>
              <w:ind w:left="0" w:right="0" w:firstLine="44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2"/>
                <w:szCs w:val="22"/>
                <w:highlight w:val="none"/>
              </w:rPr>
              <w:t xml:space="preserve">6.辨识塔杆风险隐患</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20.移动平台实操考核设备（科目三K31）</w:t>
      </w:r>
      <w:r/>
    </w:p>
    <w:tbl>
      <w:tblPr>
        <w:tblStyle w:val="870"/>
        <w:tblW w:w="4921"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272"/>
        <w:gridCol w:w="675"/>
        <w:gridCol w:w="525"/>
        <w:gridCol w:w="6415"/>
      </w:tblGrid>
      <w:tr>
        <w:trPr>
          <w:trHeight w:val="1562"/>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1562"/>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移动式操作平台(门式架)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1.门架及配件应符合现行标准《门式钢管脚手架》(JG/T13)的有关要求。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2.脚轮应符合现行标准《工业脚轮和车轮》(GB/T14687)的有关要求，可调高度、可制动，万向脚轮。</w:t>
            </w:r>
            <w:r/>
          </w:p>
        </w:tc>
      </w:tr>
      <w:tr>
        <w:trPr>
          <w:trHeight w:val="2615"/>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移动操作架▲</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1"/>
                <w:szCs w:val="21"/>
                <w:highlight w:val="none"/>
              </w:rPr>
              <w:t xml:space="preserve">包括但不限于：防护栏杆、踢脚板、脚手板、钢管及连接件、爬梯、脚轮等，满足搭设1层所需的构配件。钢管及连接件符合现行标准《建筑施工扣件式钢管脚手架安全技术规范》(JGJ130)对构配件的质量要求，扣件符合现行标准《钢管脚手架扣件》(GB/T15831)的有关要求。脚轮为万向脚轮，符合现行标准《工业脚轮和车轮》(GB/T 14687)的有关要求，可调高度、可制动。</w:t>
            </w:r>
            <w:r/>
          </w:p>
        </w:tc>
      </w:tr>
      <w:tr>
        <w:trPr>
          <w:trHeight w:val="1251"/>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搭设平台所需的配套工器具</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活动扳手：10寸 3 把；梅花扳手：17-19 2 把；卷尺：3000mm 1套；警戒绳：一组两立杆，5米，不锈钢支座2组；安全标志：PVC 1套。</w:t>
            </w:r>
            <w:r/>
          </w:p>
        </w:tc>
      </w:tr>
      <w:tr>
        <w:trPr>
          <w:trHeight w:val="321"/>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中号，材质：帆布</w:t>
            </w:r>
            <w:r/>
          </w:p>
        </w:tc>
      </w:tr>
      <w:tr>
        <w:trPr>
          <w:trHeight w:val="941"/>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作业环境显示屏</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系统支持考生对天气气候环境进行选择，包含温度、雨、雪、雾、风向、风速等天气气候信息。考试时手动切换选择天气气候。</w:t>
            </w:r>
            <w:r/>
          </w:p>
        </w:tc>
      </w:tr>
      <w:tr>
        <w:trPr>
          <w:trHeight w:val="1562"/>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水平生命线装置</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应符合现行标准《坠落防护 水平生命线装置》(GB38454)的有关要求。</w:t>
            </w:r>
            <w:r/>
          </w:p>
        </w:tc>
      </w:tr>
      <w:tr>
        <w:trPr>
          <w:trHeight w:val="631"/>
        </w:trPr>
        <w:tc>
          <w:tcPr>
            <w:tcBorders>
              <w:top w:val="single" w:color="auto" w:sz="4" w:space="0"/>
              <w:left w:val="single" w:color="auto" w:sz="4" w:space="0"/>
              <w:bottom w:val="single" w:color="auto"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1571"/>
        </w:trPr>
        <w:tc>
          <w:tcPr>
            <w:tcBorders>
              <w:top w:val="single" w:color="auto" w:sz="4" w:space="0"/>
              <w:left w:val="single" w:color="auto" w:sz="4" w:space="0"/>
              <w:bottom w:val="single" w:color="000000" w:sz="4" w:space="0"/>
              <w:right w:val="single" w:color="auto" w:sz="4" w:space="0"/>
            </w:tcBorders>
            <w:tcW w:w="54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禁止、警告、指令、提示四类标示牌</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应符合现行标准《安全标志及其使用导则》(GB2894)的有关要求。</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21.吊篮实操考核设备（K32）</w:t>
      </w:r>
      <w:r/>
    </w:p>
    <w:tbl>
      <w:tblPr>
        <w:tblStyle w:val="870"/>
        <w:tblW w:w="4832"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1249"/>
        <w:gridCol w:w="720"/>
        <w:gridCol w:w="459"/>
        <w:gridCol w:w="6299"/>
      </w:tblGrid>
      <w:tr>
        <w:trPr>
          <w:trHeight w:val="1118"/>
        </w:trPr>
        <w:tc>
          <w:tcPr>
            <w:tcBorders>
              <w:top w:val="single" w:color="000000"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1118"/>
        </w:trPr>
        <w:tc>
          <w:tcPr>
            <w:tcBorders>
              <w:top w:val="single" w:color="000000"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高处作业吊篮▲</w:t>
            </w:r>
            <w:r>
              <w:rPr>
                <w:rFonts w:hint="eastAsia" w:ascii="仿宋" w:hAnsi="仿宋" w:eastAsia="仿宋" w:cs="仿宋"/>
                <w:sz w:val="24"/>
                <w:szCs w:val="24"/>
                <w:highlight w:val="none"/>
              </w:rPr>
              <w:t xml:space="preserve">(整套，含悬挂装置)</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firstLine="44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1.吊篮参数要求：</w:t>
            </w:r>
            <w:r>
              <w:rPr>
                <w:rFonts w:hint="eastAsia" w:ascii="仿宋" w:hAnsi="仿宋" w:eastAsia="仿宋" w:cs="仿宋"/>
                <w:sz w:val="24"/>
                <w:szCs w:val="24"/>
                <w:highlight w:val="none"/>
              </w:rPr>
              <w:br/>
            </w:r>
            <w:r>
              <w:rPr>
                <w:rFonts w:hint="eastAsia" w:ascii="仿宋" w:hAnsi="仿宋" w:eastAsia="仿宋" w:cs="仿宋"/>
                <w:sz w:val="21"/>
                <w:szCs w:val="21"/>
                <w:highlight w:val="none"/>
              </w:rPr>
              <w:t xml:space="preserve">（1）设备尺寸</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长6000mm*宽760*高1450mm</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额定载重：大于等于630kg</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提升速度：9.6m/min</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（2）悬挂机构</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前梁额定伸出量：1700mm</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前梁额定离地高度：1300mm-1800mm（调节间距100）</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重量：350kg（不含配重）</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（3）提升机</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数量：2</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（4）电动机</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功率：1.5KW</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电压：380V</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转速：1420n/min</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制动力矩：15N-m</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（4）安全锁</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数量：2</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允许冲击力：30KN</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（5）其他</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电箱：15kg</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整机：776kg</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配重：1000KG（25KG*40块）</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钢丝绳：4×31sw＋nf-Φ8.3破断拉力≥53000N</w:t>
            </w:r>
            <w:r/>
          </w:p>
          <w:p>
            <w:pPr>
              <w:ind w:left="0" w:right="0" w:firstLine="420"/>
              <w:keepLines w:val="0"/>
              <w:keepNext w:val="0"/>
              <w:spacing w:before="0" w:beforeAutospacing="0" w:after="0" w:afterAutospacing="0" w:line="288" w:lineRule="auto"/>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电缆线：3×2.5＋2×1.5YC-5</w:t>
            </w:r>
            <w:r/>
          </w:p>
          <w:p>
            <w:pPr>
              <w:ind w:left="0" w:right="0" w:firstLine="420"/>
              <w:keepLines w:val="0"/>
              <w:keepNext w:val="0"/>
              <w:spacing w:before="0" w:beforeAutospacing="0" w:after="0" w:afterAutospacing="0" w:line="288" w:lineRule="auto"/>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2、吊篮应符合现行标准《高处作业吊篮》(GB/T 19155)的有关要求。</w:t>
            </w:r>
            <w:r/>
          </w:p>
          <w:p>
            <w:pPr>
              <w:ind w:left="0" w:right="0" w:firstLine="420"/>
              <w:keepLines w:val="0"/>
              <w:keepNext w:val="0"/>
              <w:spacing w:before="0" w:beforeAutospacing="0" w:after="0" w:afterAutospacing="0" w:line="288" w:lineRule="auto"/>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3、吊篮应装设安全钢丝绳。</w:t>
            </w:r>
            <w:r/>
          </w:p>
          <w:p>
            <w:pPr>
              <w:ind w:left="0" w:right="0" w:firstLine="420"/>
              <w:keepLines w:val="0"/>
              <w:keepNext w:val="0"/>
              <w:spacing w:before="0" w:beforeAutospacing="0" w:after="0" w:afterAutospacing="0" w:line="288" w:lineRule="auto"/>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4、吊篮的防坠落装置(安全锁)应在标定期限内使用。</w:t>
            </w:r>
            <w:r/>
          </w:p>
          <w:p>
            <w:pPr>
              <w:ind w:left="0" w:right="0" w:firstLine="420"/>
              <w:keepLines w:val="0"/>
              <w:keepNext w:val="0"/>
              <w:spacing w:before="0" w:beforeAutospacing="0" w:after="0" w:afterAutospacing="0" w:line="288" w:lineRule="auto"/>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5、吊篮两端应装设限位器、限位开关(限行、断电)，保证吊篮起升至最高点时，其底部净空高度不小于2m。</w:t>
            </w:r>
            <w:r/>
          </w:p>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1"/>
                <w:szCs w:val="21"/>
                <w:highlight w:val="none"/>
              </w:rPr>
              <w:t xml:space="preserve">6、吊篮安装应编制专项施工方案并经批准、审核，吊篮安装应符合现行标准《高处作业吊篮安装、拆卸、使用技术规程》(JB/T11699)的有关规定。安装后应经调试、验收合格后方可投入使用。</w:t>
            </w:r>
            <w:r/>
          </w:p>
        </w:tc>
      </w:tr>
      <w:tr>
        <w:trPr>
          <w:trHeight w:val="630"/>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清洗作业工具</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滚刷、塑料水桶</w:t>
            </w:r>
            <w:r/>
          </w:p>
        </w:tc>
      </w:tr>
      <w:tr>
        <w:trPr>
          <w:trHeight w:val="93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作业平台</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固定式悬挂装置安装平台、扶梯、墙壁、女儿墙等，固定式墙壁高度不小于4m,悬挂装置安装平台有围栏防坠措施。</w:t>
            </w:r>
            <w:r/>
          </w:p>
        </w:tc>
      </w:tr>
      <w:tr>
        <w:trPr>
          <w:trHeight w:val="93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作业环境显示屏</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系统支持考生对天气气候环境进行选择，包含温度、雨、雪、雾、风向、风速等天气气候信息。考试时手动切换选择天气气候。</w:t>
            </w:r>
            <w:r/>
          </w:p>
        </w:tc>
      </w:tr>
      <w:tr>
        <w:trPr>
          <w:trHeight w:val="630"/>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1.高≥1.2m长≥4m黄黑色。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93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630"/>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150*40*200cm，四层，黑色</w:t>
            </w:r>
            <w:r/>
          </w:p>
        </w:tc>
      </w:tr>
      <w:tr>
        <w:trPr>
          <w:trHeight w:val="93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安全绳</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1.材质：高强度锦纶绳。</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应符合现行标准《坠落防护安全绳》(GB24543)的有关要求。</w:t>
            </w:r>
            <w:r/>
          </w:p>
        </w:tc>
      </w:tr>
      <w:tr>
        <w:trPr>
          <w:trHeight w:val="124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36</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安全绳自锁器</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1.材质：铝合金，尺寸：16-20mm。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2.与安全绳匹配。</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3.应符合现行标准《坠落防护带柔性导轨的自锁器》(GB/T24537)的有关要求</w:t>
            </w:r>
            <w:r/>
          </w:p>
        </w:tc>
      </w:tr>
      <w:tr>
        <w:trPr>
          <w:trHeight w:val="1259"/>
        </w:trPr>
        <w:tc>
          <w:tcPr>
            <w:tcBorders>
              <w:top w:val="single" w:color="auto" w:sz="4" w:space="0"/>
              <w:left w:val="single" w:color="auto" w:sz="4" w:space="0"/>
              <w:bottom w:val="single" w:color="auto" w:sz="4" w:space="0"/>
              <w:right w:val="single" w:color="auto" w:sz="4" w:space="0"/>
            </w:tcBorders>
            <w:tcW w:w="53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37</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低压验电笔</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69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1.测量范围≤500V/AC</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2.应符合现行标准《测量、控制和实验室用电气设备的安全要求第1部分：通用要求》(GB4793.1)的有关要求。</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22.吊具实操考核设备（K33）</w:t>
      </w:r>
      <w:r/>
    </w:p>
    <w:tbl>
      <w:tblPr>
        <w:tblStyle w:val="870"/>
        <w:tblW w:w="5099"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317"/>
        <w:gridCol w:w="699"/>
        <w:gridCol w:w="542"/>
        <w:gridCol w:w="6649"/>
      </w:tblGrid>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38</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座板式单人吊具▲</w:t>
            </w:r>
            <w:r>
              <w:rPr>
                <w:rFonts w:hint="eastAsia" w:ascii="仿宋" w:hAnsi="仿宋" w:eastAsia="仿宋" w:cs="仿宋"/>
                <w:sz w:val="24"/>
                <w:szCs w:val="24"/>
                <w:highlight w:val="none"/>
              </w:rPr>
              <w:t xml:space="preserve">(整套)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1.吊具包括挂点装置、悬吊下降系统、坠落保护系统等，应符合现行标准《座板式单人吊具悬吊作业安全技术规范》(GB23525)、《坠落防护装备通用技术规范》(GB42297)的有关要求。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2.挂点装置应符合现行标准《坠落防护挂点装置》(GB30862)的有关要求。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3.工作绳、安全绳应符合现行标准《坠落防护安全绳》(GB24543)的有关要求。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4.下降器应符合现行标准《座板式单人吊具悬吊作业安全技术规范》(GB23525)的有关要求。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5.连接器应符合现行标准《坠落防护连接器》(GB/T23469)的有关要求。</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6.自锁器应符合现行标准《坠落防护带柔性导轨的自锁器》(GB/T24537)的有关要求。</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39</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清洗作业工具</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滚刷、塑料水桶</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作业平台</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固定式悬挂装置安装平台、扶梯、墙壁、女儿墙等，固定式墙壁高度不小于2m,,悬挂装置安装平台有围栏防坠措施。</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作业环境显示屏</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系统支持考生对天气气候环境进行选择，包含温度、雨、雪、雾、风向、风速等天气气候信息。考试时手动切换选择天气气候。</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150*40*200cm，四层，黑色</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45</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体重秤</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firstLine="42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color w:val="000000"/>
                <w:sz w:val="21"/>
                <w:szCs w:val="21"/>
                <w:highlight w:val="none"/>
              </w:rPr>
              <w:t xml:space="preserve">穿戴好工作绳、下降器、连接器、座板装置、携带物后，人体总载重不超过100kg。</w:t>
            </w:r>
            <w:r/>
          </w:p>
        </w:tc>
      </w:tr>
      <w:tr>
        <w:trPr>
          <w:trHeight w:val="23"/>
        </w:trPr>
        <w:tc>
          <w:tcPr>
            <w:tcBorders>
              <w:top w:val="single" w:color="auto" w:sz="4" w:space="0"/>
              <w:left w:val="single" w:color="auto" w:sz="4" w:space="0"/>
              <w:bottom w:val="single" w:color="auto" w:sz="4" w:space="0"/>
              <w:right w:val="single" w:color="auto" w:sz="4" w:space="0"/>
            </w:tcBorders>
            <w:tcW w:w="566"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46</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安全防护垫</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56"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706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1.厚度≥30cm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2.材质：加厚有机硅帆布、高密度软海绵</w:t>
            </w:r>
            <w:r/>
          </w:p>
        </w:tc>
      </w:tr>
    </w:tbl>
    <w:p>
      <w:pPr>
        <w:rPr>
          <w:rFonts w:hint="default" w:ascii="宋体" w:hAnsi="宋体" w:eastAsia="宋体"/>
          <w:sz w:val="24"/>
          <w:szCs w:val="24"/>
          <w:highlight w:val="none"/>
        </w:rPr>
      </w:pPr>
      <w:r>
        <w:rPr>
          <w:rFonts w:hint="default" w:ascii="宋体" w:hAnsi="宋体" w:eastAsia="宋体"/>
          <w:sz w:val="24"/>
          <w:szCs w:val="24"/>
          <w:highlight w:val="none"/>
        </w:rPr>
      </w:r>
      <w:r/>
    </w:p>
    <w:p>
      <w:pPr>
        <w:rPr>
          <w:rFonts w:hint="eastAsia" w:ascii="仿宋" w:hAnsi="仿宋" w:eastAsia="仿宋" w:cs="仿宋"/>
          <w:b/>
          <w:bCs/>
          <w:sz w:val="28"/>
          <w:szCs w:val="28"/>
          <w:highlight w:val="none"/>
        </w:rPr>
        <w:outlineLvl w:val="2"/>
      </w:pPr>
      <w:r>
        <w:rPr>
          <w:rFonts w:hint="default" w:ascii="仿宋" w:hAnsi="仿宋" w:eastAsia="仿宋" w:cs="仿宋"/>
          <w:b/>
          <w:bCs/>
          <w:sz w:val="28"/>
          <w:szCs w:val="28"/>
          <w:highlight w:val="none"/>
        </w:rPr>
        <w:t xml:space="preserve">23.登杆登塔考核设备（K34）</w:t>
      </w:r>
      <w:r/>
    </w:p>
    <w:tbl>
      <w:tblPr>
        <w:tblStyle w:val="870"/>
        <w:tblW w:w="4950" w:type="pct"/>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280"/>
        <w:gridCol w:w="679"/>
        <w:gridCol w:w="527"/>
        <w:gridCol w:w="6452"/>
      </w:tblGrid>
      <w:tr>
        <w:trPr>
          <w:trHeight w:val="1260"/>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标准要求</w:t>
            </w:r>
            <w:r/>
          </w:p>
        </w:tc>
      </w:tr>
      <w:tr>
        <w:trPr>
          <w:trHeight w:val="948"/>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47</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电杆</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高度不小于4m。符合现行标准《环形混凝土电杆》(GB/T4623)的有关要求。</w:t>
            </w:r>
            <w:r/>
          </w:p>
        </w:tc>
      </w:tr>
      <w:tr>
        <w:trPr>
          <w:trHeight w:val="322"/>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48</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抱箍</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副</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与电杆匹配</w:t>
            </w:r>
            <w:r/>
          </w:p>
        </w:tc>
      </w:tr>
      <w:tr>
        <w:trPr>
          <w:trHeight w:val="1135"/>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49</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铁塔</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铁塔的1∶1局部结构，包含垂直、水平作业位置;高度不小于4m，配备防坠落导轨。符合现行标准《输电线路铁塔制造技术条件》(GB/T 2694)的有关要求。</w:t>
            </w:r>
            <w:r/>
          </w:p>
        </w:tc>
      </w:tr>
      <w:tr>
        <w:trPr>
          <w:trHeight w:val="948"/>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传递绳</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1.材质：尼龙</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2.尺寸：长≥10m；直径1≥0mm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3.功能：耐磨，强度高</w:t>
            </w:r>
            <w:r/>
          </w:p>
        </w:tc>
      </w:tr>
      <w:tr>
        <w:trPr>
          <w:trHeight w:val="384"/>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安装杆(塔)上设备设施所需的配套工器具</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line="288"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包括但不限于：扳手、卷尺、铁锤、手持电动套简扳手等，各类工器具的型号规格应满足作业需要</w:t>
            </w:r>
            <w:r/>
          </w:p>
        </w:tc>
      </w:tr>
      <w:tr>
        <w:trPr>
          <w:trHeight w:val="635"/>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工具袋</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1.材质：帆布</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2.尺寸：约35*27*12cm</w:t>
            </w:r>
            <w:r/>
          </w:p>
        </w:tc>
      </w:tr>
      <w:tr>
        <w:trPr>
          <w:trHeight w:val="948"/>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53</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作业环境显示屏</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系统支持考生对天气气候环境进行选择，包含温度、雨、雪、雾、风向、风速等天气气候信息。考试时手动切换选择天气气候。</w:t>
            </w:r>
            <w:r/>
          </w:p>
        </w:tc>
      </w:tr>
      <w:tr>
        <w:trPr>
          <w:trHeight w:val="635"/>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54</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安全围栏</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1.尺寸：高≥1.2m，长≥4m，颜色：黄黑色。</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2.材质：玻璃钢绝缘、底座橡胶底座。</w:t>
            </w:r>
            <w:r/>
          </w:p>
        </w:tc>
      </w:tr>
      <w:tr>
        <w:trPr>
          <w:trHeight w:val="948"/>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55</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安全标志</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1.配备禁止、警告、指令、提示等四类安全标志。</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2.应符合现行标准《安全标志及其使用导则》(GB2894)的有关要求。</w:t>
            </w:r>
            <w:r/>
          </w:p>
        </w:tc>
      </w:tr>
      <w:tr>
        <w:trPr>
          <w:trHeight w:val="635"/>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器材摆放架</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1"/>
                <w:szCs w:val="21"/>
                <w:highlight w:val="none"/>
              </w:rPr>
              <w:t xml:space="preserve">150*40*200cm，四层，黑色</w:t>
            </w:r>
            <w:r/>
          </w:p>
        </w:tc>
      </w:tr>
      <w:tr>
        <w:trPr>
          <w:trHeight w:val="948"/>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57</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速差自控器(防坠器)</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满足考试要求</w:t>
            </w:r>
            <w:r/>
          </w:p>
        </w:tc>
      </w:tr>
      <w:tr>
        <w:trPr>
          <w:trHeight w:val="645"/>
        </w:trPr>
        <w:tc>
          <w:tcPr>
            <w:tcBorders>
              <w:top w:val="single" w:color="auto" w:sz="4" w:space="0"/>
              <w:left w:val="single" w:color="auto" w:sz="4" w:space="0"/>
              <w:bottom w:val="single" w:color="auto" w:sz="4" w:space="0"/>
              <w:right w:val="single" w:color="auto" w:sz="4" w:space="0"/>
            </w:tcBorders>
            <w:tcW w:w="550" w:type="dxa"/>
            <w:vAlign w:val="center"/>
            <w:textDirection w:val="lrTb"/>
            <w:noWrap/>
          </w:tcPr>
          <w:p>
            <w:pPr>
              <w:ind w:left="0" w:right="0"/>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安全防护垫</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41" w:type="dxa"/>
            <w:vAlign w:val="center"/>
            <w:textDirection w:val="lrTb"/>
            <w:noWrap/>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张</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1.厚度≥30cm</w:t>
            </w:r>
            <w:r/>
          </w:p>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2.材质：加厚有机硅帆布、高密度软海绵。</w:t>
            </w:r>
            <w:r/>
          </w:p>
        </w:tc>
      </w:tr>
    </w:tbl>
    <w:p>
      <w:pPr>
        <w:pStyle w:val="868"/>
        <w:ind w:firstLine="480"/>
        <w:rPr>
          <w:rFonts w:hint="default"/>
          <w:sz w:val="32"/>
          <w:szCs w:val="32"/>
          <w:highlight w:val="none"/>
        </w:rPr>
      </w:pPr>
      <w:r>
        <w:rPr>
          <w:rFonts w:hint="default" w:ascii="宋体" w:eastAsia="宋体"/>
          <w:sz w:val="32"/>
          <w:szCs w:val="32"/>
          <w:highlight w:val="none"/>
        </w:rPr>
        <w:t xml:space="preserve">（五）通用科目实操考试系统</w:t>
      </w:r>
      <w:r/>
    </w:p>
    <w:p>
      <w:pPr>
        <w:pStyle w:val="875"/>
        <w:ind w:left="0" w:firstLine="560"/>
        <w:rPr>
          <w:rFonts w:hint="eastAsia"/>
          <w:sz w:val="24"/>
          <w:szCs w:val="24"/>
          <w:highlight w:val="none"/>
        </w:rPr>
        <w:outlineLvl w:val="2"/>
      </w:pPr>
      <w:r>
        <w:rPr>
          <w:rFonts w:hint="default" w:ascii="宋体" w:hAnsi="宋体" w:eastAsia="宋体"/>
          <w:color w:val="000000"/>
          <w:sz w:val="24"/>
          <w:szCs w:val="24"/>
          <w:highlight w:val="none"/>
        </w:rPr>
        <w:t xml:space="preserve">2</w:t>
      </w:r>
      <w:r>
        <w:rPr>
          <w:rFonts w:hint="default" w:ascii="仿宋" w:hAnsi="仿宋" w:eastAsia="仿宋" w:cs="仿宋"/>
          <w:b/>
          <w:bCs/>
          <w:sz w:val="28"/>
          <w:szCs w:val="28"/>
          <w:highlight w:val="none"/>
          <w:lang w:val="en-US" w:eastAsia="zh-CN" w:bidi="ar-SA"/>
        </w:rPr>
        <w:t xml:space="preserve">4.触电事故现场应急处置考位K41</w:t>
      </w:r>
      <w:r/>
    </w:p>
    <w:tbl>
      <w:tblPr>
        <w:tblStyle w:val="870"/>
        <w:tblpPr w:horzAnchor="page" w:tblpX="1621" w:vertAnchor="text" w:tblpY="383" w:leftFromText="180" w:topFromText="0" w:rightFromText="180" w:bottomFromText="0"/>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76"/>
        <w:gridCol w:w="1889"/>
        <w:gridCol w:w="649"/>
        <w:gridCol w:w="494"/>
        <w:gridCol w:w="5240"/>
      </w:tblGrid>
      <w:tr>
        <w:trPr>
          <w:trHeight w:val="23"/>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7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00"/>
                <w:sz w:val="21"/>
                <w:szCs w:val="21"/>
                <w:highlight w:val="none"/>
              </w:rPr>
              <w:suppressLineNumbers w:val="0"/>
            </w:pPr>
            <w:r/>
            <w:bookmarkStart w:id="92" w:name="_Toc19954"/>
            <w:r>
              <w:rPr>
                <w:rFonts w:hint="eastAsia" w:ascii="仿宋" w:hAnsi="仿宋" w:eastAsia="仿宋" w:cs="仿宋"/>
                <w:b/>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01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00"/>
                <w:sz w:val="24"/>
                <w:szCs w:val="24"/>
                <w:highlight w:val="none"/>
              </w:rPr>
              <w:suppressLineNumbers w:val="0"/>
            </w:pPr>
            <w:r>
              <w:rPr>
                <w:rFonts w:hint="eastAsia" w:ascii="仿宋" w:hAnsi="仿宋" w:eastAsia="仿宋" w:cs="仿宋"/>
                <w:b/>
                <w:color w:val="000000"/>
                <w:sz w:val="24"/>
                <w:szCs w:val="24"/>
                <w:highlight w:val="none"/>
              </w:rPr>
              <w:t xml:space="preserve">设备/设施/器材</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4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00"/>
                <w:sz w:val="24"/>
                <w:szCs w:val="24"/>
                <w:highlight w:val="none"/>
              </w:rPr>
              <w:suppressLineNumbers w:val="0"/>
            </w:pPr>
            <w:r>
              <w:rPr>
                <w:rFonts w:hint="eastAsia" w:ascii="仿宋" w:hAnsi="仿宋" w:eastAsia="仿宋" w:cs="仿宋"/>
                <w:b/>
                <w:color w:val="000000"/>
                <w:sz w:val="24"/>
                <w:szCs w:val="24"/>
                <w:highlight w:val="none"/>
              </w:rPr>
              <w:t xml:space="preserve">单套数量</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00"/>
                <w:sz w:val="24"/>
                <w:szCs w:val="24"/>
                <w:highlight w:val="none"/>
              </w:rPr>
              <w:suppressLineNumbers w:val="0"/>
            </w:pPr>
            <w:r>
              <w:rPr>
                <w:rFonts w:hint="eastAsia" w:ascii="仿宋" w:hAnsi="仿宋" w:eastAsia="仿宋" w:cs="仿宋"/>
                <w:b/>
                <w:color w:val="00000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80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00"/>
                <w:sz w:val="24"/>
                <w:szCs w:val="24"/>
                <w:highlight w:val="none"/>
              </w:rPr>
              <w:suppressLineNumbers w:val="0"/>
            </w:pPr>
            <w:r>
              <w:rPr>
                <w:rFonts w:hint="eastAsia" w:ascii="仿宋" w:hAnsi="仿宋" w:eastAsia="仿宋" w:cs="仿宋"/>
                <w:b/>
                <w:color w:val="000000"/>
                <w:sz w:val="24"/>
                <w:szCs w:val="24"/>
                <w:highlight w:val="none"/>
              </w:rPr>
              <w:t xml:space="preserve">标准要求</w:t>
            </w:r>
            <w:r/>
          </w:p>
        </w:tc>
      </w:tr>
      <w:tr>
        <w:trPr>
          <w:trHeight w:val="23"/>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7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010"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模拟人</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4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80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全身式</w:t>
            </w:r>
            <w:r/>
          </w:p>
        </w:tc>
      </w:tr>
      <w:tr>
        <w:trPr>
          <w:trHeight w:val="23"/>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7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010"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触电场景</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4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80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触电与急救场景搭设：</w:t>
            </w:r>
            <w:r/>
          </w:p>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1、模拟人：全身式假人</w:t>
            </w:r>
            <w:r/>
          </w:p>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2、触电场景：设置触电场景，包括配电箱、触电电缆等</w:t>
            </w:r>
            <w:r/>
          </w:p>
        </w:tc>
      </w:tr>
      <w:tr>
        <w:trPr>
          <w:trHeight w:val="23"/>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7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010"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其他设备、设施、器材</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4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4"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802" w:type="pct"/>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sz w:val="21"/>
                <w:szCs w:val="21"/>
                <w:highlight w:val="none"/>
              </w:rPr>
              <w:t xml:space="preserve">其他设备：绝缘工具、绝缘鞋、绝缘手套等</w:t>
            </w:r>
            <w:r/>
          </w:p>
        </w:tc>
      </w:tr>
    </w:tbl>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ind w:firstLine="643"/>
        <w:spacing w:line="219" w:lineRule="auto"/>
        <w:rPr>
          <w:rFonts w:hint="eastAsia" w:ascii="仿宋" w:hAnsi="仿宋" w:eastAsia="仿宋" w:cs="仿宋"/>
          <w:b/>
          <w:sz w:val="32"/>
          <w:szCs w:val="32"/>
          <w:highlight w:val="none"/>
        </w:rPr>
        <w:outlineLvl w:val="2"/>
      </w:pPr>
      <w:r>
        <w:rPr>
          <w:rFonts w:hint="eastAsia" w:ascii="仿宋" w:hAnsi="仿宋" w:eastAsia="仿宋" w:cs="仿宋"/>
          <w:b/>
          <w:sz w:val="32"/>
          <w:szCs w:val="32"/>
          <w:highlight w:val="none"/>
        </w:rPr>
        <w:t xml:space="preserve">25.焊工考试配套</w:t>
      </w:r>
      <w:bookmarkEnd w:id="92"/>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气瓶房（2个）</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（1）气体报警控制器▲</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检测对象：乙炔，氧气，二氧化碳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检测范围：30-50平，0-30.0%VOL,0-5.00%VOL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连接数量：连接1-16台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报警方式：液晶显示+声光指示灯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报警声音：≥85分贝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接收信号：RS485信号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输出信号：RS485、开关量信号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接线方式：两线制（总线主机）</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防护等级：IP66</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防爆等级：CT6级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安装方式：壁挂式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工作方式：24小时连续工作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检测方式：自然扩散</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储存记录：1000条报警记录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连接线缆：RVVP2x1.5mm2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供电方式：触电容量：250V/AC5A、AC220V,50HZ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工作环境：温度：-15℃~40℃湿度：≤90%RH大气压86kPa~106kPa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联动输出：2组无源常开/常闭触点，可联动风机、电磁阀等 </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（2）风机系统</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气体报警器浓度超标后，风机自动启动进行排风处理。并通知从机还有主机进行声光报警，当气体浓度降为安全值后，主机取消声光报警，但风机继续启动。工作人员得知可燃气体浓度超标后，观看该主机该探测器浓度值，降为安全值后，可通过主机手动关闭风机。</w:t>
      </w:r>
      <w:r/>
    </w:p>
    <w:p>
      <w:pPr>
        <w:ind w:firstLine="562"/>
        <w:spacing w:line="500" w:lineRule="exact"/>
        <w:rPr>
          <w:rFonts w:hint="eastAsia" w:ascii="仿宋" w:hAnsi="仿宋" w:eastAsia="仿宋" w:cs="仿宋"/>
          <w:sz w:val="28"/>
          <w:szCs w:val="28"/>
          <w:highlight w:val="none"/>
          <w:lang w:bidi="ar"/>
        </w:rPr>
      </w:pPr>
      <w:r>
        <w:rPr>
          <w:rFonts w:hint="eastAsia" w:ascii="仿宋" w:hAnsi="仿宋" w:eastAsia="仿宋" w:cs="仿宋"/>
          <w:b/>
          <w:sz w:val="28"/>
          <w:szCs w:val="28"/>
          <w:highlight w:val="none"/>
          <w:lang w:bidi="ar"/>
        </w:rPr>
        <w:t xml:space="preserve">（3）典型气体探测器▲</w:t>
      </w:r>
      <w:r>
        <w:rPr>
          <w:rFonts w:hint="eastAsia" w:ascii="仿宋" w:hAnsi="仿宋" w:eastAsia="仿宋" w:cs="仿宋"/>
          <w:sz w:val="28"/>
          <w:szCs w:val="28"/>
          <w:highlight w:val="none"/>
          <w:lang w:bidi="ar"/>
        </w:rPr>
        <w:t xml:space="preserve">（二氧化碳乙炔氧气等气源）</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高报：23%VOL0</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检测原理：催化燃烧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检测气体：二氧化碳 乙炔 氧气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默认量程：0-30.0%VOL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默认精度：0.1%VOL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报警数值：低报19%VOL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采样方式：扩散式</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使用温度：-10~50℃相对湿度(0-93)％RH(可凝露)大气压86kPa~106kPa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供电方式：DC24V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外壳材质：压铸铝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电气接口：G1/2内螺纹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防护等级：IP66 </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输出信号：两线线制RS485</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1组无源开关量输出。</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（4）报警气瓶柜▲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检测气体：甲烷（天然气），一氧化碳，丙烷，丙烯，丁烯，乙炔，乙醇，液化气，煤气，氢气。</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检测浓度：0.05%---0.2%</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工作电源：12V-24VDC/110V-220VAC</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工作环境：温度：-10-50℃， 湿度≤97%工作电流：100MA</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报警音量：≥85db</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响应时间：≤20s</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★报警气瓶柜具有防爆合格证，不提供视为无效响应。</w:t>
      </w:r>
      <w:r/>
    </w:p>
    <w:p>
      <w:pPr>
        <w:ind w:firstLine="562"/>
        <w:spacing w:line="500" w:lineRule="exact"/>
        <w:tabs>
          <w:tab w:val="left" w:pos="312" w:leader="none"/>
        </w:tabs>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bidi="ar"/>
        </w:rPr>
        <w:t xml:space="preserve">工位隔断▲（8个工位）</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尺寸：≥3000MM*3000MM*2000MM</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①弧光穿透率：0；</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②钢结构表面处理工艺：打磨后喷涂防腐漆，再喷涂面色具有防火功能；</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③</w:t>
      </w:r>
      <w:r>
        <w:rPr>
          <w:rFonts w:hint="eastAsia" w:ascii="仿宋" w:hAnsi="仿宋" w:eastAsia="仿宋" w:cs="仿宋"/>
          <w:sz w:val="28"/>
          <w:szCs w:val="28"/>
          <w:highlight w:val="none"/>
          <w:lang w:bidi="ar"/>
        </w:rPr>
        <w:t xml:space="preserve">隔断表面方便进行二次施工；</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④</w:t>
      </w:r>
      <w:r>
        <w:rPr>
          <w:rFonts w:hint="eastAsia" w:ascii="仿宋" w:hAnsi="仿宋" w:eastAsia="仿宋" w:cs="仿宋"/>
          <w:sz w:val="28"/>
          <w:szCs w:val="28"/>
          <w:highlight w:val="none"/>
          <w:lang w:bidi="ar"/>
        </w:rPr>
        <w:t xml:space="preserve">隔断内部采用钢结构骨架，主体采用焊培专用隔断板材搭建；（抗冲击强度不低于100KG）</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⑤</w:t>
      </w:r>
      <w:r>
        <w:rPr>
          <w:rFonts w:hint="eastAsia" w:ascii="仿宋" w:hAnsi="仿宋" w:eastAsia="仿宋" w:cs="仿宋"/>
          <w:sz w:val="28"/>
          <w:szCs w:val="28"/>
          <w:highlight w:val="none"/>
          <w:lang w:bidi="ar"/>
        </w:rPr>
        <w:t xml:space="preserve">隔断主体构架为钢结构，承担内部的照明、通风、气体汇流排、桥架，以及其他内部设备的挂靠和承重，隔断工位挂靠强度为：不低于300KG，完全可以满足检修时候的承重要求；</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⑥</w:t>
      </w:r>
      <w:r>
        <w:rPr>
          <w:rFonts w:hint="eastAsia" w:ascii="仿宋" w:hAnsi="仿宋" w:eastAsia="仿宋" w:cs="仿宋"/>
          <w:sz w:val="28"/>
          <w:szCs w:val="28"/>
          <w:highlight w:val="none"/>
          <w:lang w:bidi="ar"/>
        </w:rPr>
        <w:t xml:space="preserve">耐水防潮性能好：焊考专用隔断板材要求具有超强的耐水防潮防火性能。</w:t>
      </w:r>
      <w:r/>
    </w:p>
    <w:p>
      <w:pPr>
        <w:ind w:firstLine="560"/>
        <w:spacing w:line="500" w:lineRule="exact"/>
        <w:tabs>
          <w:tab w:val="left" w:pos="312" w:leader="none"/>
        </w:tabs>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⑦</w:t>
      </w:r>
      <w:r>
        <w:rPr>
          <w:rFonts w:hint="eastAsia" w:ascii="仿宋" w:hAnsi="仿宋" w:eastAsia="仿宋" w:cs="仿宋"/>
          <w:sz w:val="28"/>
          <w:szCs w:val="28"/>
          <w:highlight w:val="none"/>
          <w:lang w:bidi="ar"/>
        </w:rPr>
        <w:t xml:space="preserve">焊机存放架采用钣金焊接和折弯成型，根据现场焊机尺寸定制而成，三层。</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阻燃垫：厚度5mm，面积5平方米每块，阻燃级别V0级（橡胶板点燃后离开火焰2—10秒内自熄）、比重1.5—2g/立方厘米、扯断力2-9Mpa，</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（3）集中排风排烟集成除尘环保设备（8个工位）</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A、离心风机▲</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风机具有良好的气动性能、运转平稳、振动小、效率高、寿命长等特点。风机配有降噪箱，可有效控制噪音dB85左右。带有减震保护设备和软连接。外壳为坚固的焊接碳钢板材，做防腐措施。</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①</w:t>
      </w:r>
      <w:r>
        <w:rPr>
          <w:rFonts w:hint="eastAsia" w:ascii="仿宋" w:hAnsi="仿宋" w:eastAsia="仿宋" w:cs="仿宋"/>
          <w:sz w:val="28"/>
          <w:szCs w:val="28"/>
          <w:highlight w:val="none"/>
          <w:lang w:bidi="ar"/>
        </w:rPr>
        <w:t xml:space="preserve">每套系统风机风量Q=15000m³/H ，压力P=2300Pa；</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②</w:t>
      </w:r>
      <w:r>
        <w:rPr>
          <w:rFonts w:hint="eastAsia" w:ascii="仿宋" w:hAnsi="仿宋" w:eastAsia="仿宋" w:cs="仿宋"/>
          <w:sz w:val="28"/>
          <w:szCs w:val="28"/>
          <w:highlight w:val="none"/>
          <w:lang w:bidi="ar"/>
        </w:rPr>
        <w:t xml:space="preserve">功率：15kW；</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③</w:t>
      </w:r>
      <w:r>
        <w:rPr>
          <w:rFonts w:hint="eastAsia" w:ascii="仿宋" w:hAnsi="仿宋" w:eastAsia="仿宋" w:cs="仿宋"/>
          <w:sz w:val="28"/>
          <w:szCs w:val="28"/>
          <w:highlight w:val="none"/>
          <w:lang w:bidi="ar"/>
        </w:rPr>
        <w:t xml:space="preserve">允许通过硬质颗粒物浓度：150mg/m³；</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④</w:t>
      </w:r>
      <w:r>
        <w:rPr>
          <w:rFonts w:hint="eastAsia" w:ascii="仿宋" w:hAnsi="仿宋" w:eastAsia="仿宋" w:cs="仿宋"/>
          <w:sz w:val="28"/>
          <w:szCs w:val="28"/>
          <w:highlight w:val="none"/>
          <w:lang w:bidi="ar"/>
        </w:rPr>
        <w:t xml:space="preserve">允许通过酸性气体PH值：≥4；</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⑤</w:t>
      </w:r>
      <w:r>
        <w:rPr>
          <w:rFonts w:hint="eastAsia" w:ascii="仿宋" w:hAnsi="仿宋" w:eastAsia="仿宋" w:cs="仿宋"/>
          <w:sz w:val="28"/>
          <w:szCs w:val="28"/>
          <w:highlight w:val="none"/>
          <w:lang w:bidi="ar"/>
        </w:rPr>
        <w:t xml:space="preserve">允许通过气体温度：≥200℃；</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⑥</w:t>
      </w:r>
      <w:r>
        <w:rPr>
          <w:rFonts w:hint="eastAsia" w:ascii="仿宋" w:hAnsi="仿宋" w:eastAsia="仿宋" w:cs="仿宋"/>
          <w:sz w:val="28"/>
          <w:szCs w:val="28"/>
          <w:highlight w:val="none"/>
          <w:lang w:bidi="ar"/>
        </w:rPr>
        <w:t xml:space="preserve">震动等级：船用级；</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⑦</w:t>
      </w:r>
      <w:r>
        <w:rPr>
          <w:rFonts w:hint="eastAsia" w:ascii="仿宋" w:hAnsi="仿宋" w:eastAsia="仿宋" w:cs="仿宋"/>
          <w:sz w:val="28"/>
          <w:szCs w:val="28"/>
          <w:highlight w:val="none"/>
          <w:lang w:bidi="ar"/>
        </w:rPr>
        <w:t xml:space="preserve">室内平均噪声阈值：≤65dB；</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⑧</w:t>
      </w:r>
      <w:r>
        <w:rPr>
          <w:rFonts w:hint="eastAsia" w:ascii="仿宋" w:hAnsi="仿宋" w:eastAsia="仿宋" w:cs="仿宋"/>
          <w:sz w:val="28"/>
          <w:szCs w:val="28"/>
          <w:highlight w:val="none"/>
          <w:lang w:bidi="ar"/>
        </w:rPr>
        <w:t xml:space="preserve">主机压损：≤1200Pa；</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⑨</w:t>
      </w:r>
      <w:r>
        <w:rPr>
          <w:rFonts w:hint="eastAsia" w:ascii="仿宋" w:hAnsi="仿宋" w:eastAsia="仿宋" w:cs="仿宋"/>
          <w:sz w:val="28"/>
          <w:szCs w:val="28"/>
          <w:highlight w:val="none"/>
          <w:lang w:bidi="ar"/>
        </w:rPr>
        <w:t xml:space="preserve">主机机组耐压强度：≥7500Pa；</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⑩</w:t>
      </w:r>
      <w:r>
        <w:rPr>
          <w:rFonts w:hint="eastAsia" w:ascii="仿宋" w:hAnsi="仿宋" w:eastAsia="仿宋" w:cs="仿宋"/>
          <w:sz w:val="28"/>
          <w:szCs w:val="28"/>
          <w:highlight w:val="none"/>
          <w:lang w:bidi="ar"/>
        </w:rPr>
        <w:t xml:space="preserve">主机机组漏风率：≤5%；</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⑪</w:t>
      </w:r>
      <w:r>
        <w:rPr>
          <w:rFonts w:hint="eastAsia" w:ascii="仿宋" w:hAnsi="仿宋" w:eastAsia="仿宋" w:cs="仿宋"/>
          <w:sz w:val="28"/>
          <w:szCs w:val="28"/>
          <w:highlight w:val="none"/>
          <w:lang w:bidi="ar"/>
        </w:rPr>
        <w:t xml:space="preserve">动力系统电源：380V 50Hz。</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⑫</w:t>
      </w:r>
      <w:r>
        <w:rPr>
          <w:rFonts w:hint="eastAsia" w:ascii="仿宋" w:hAnsi="仿宋" w:eastAsia="仿宋" w:cs="仿宋"/>
          <w:sz w:val="28"/>
          <w:szCs w:val="28"/>
          <w:highlight w:val="none"/>
          <w:lang w:bidi="ar"/>
        </w:rPr>
        <w:t xml:space="preserve">应符合现行标准GB/T43917焊接烟尘《焊接烟尘捕集和分离设备》相应部分要求。</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B、变频器（总数量1套）▲</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①</w:t>
      </w:r>
      <w:r>
        <w:rPr>
          <w:rFonts w:hint="eastAsia" w:ascii="仿宋" w:hAnsi="仿宋" w:eastAsia="仿宋" w:cs="仿宋"/>
          <w:sz w:val="28"/>
          <w:szCs w:val="28"/>
          <w:highlight w:val="none"/>
          <w:lang w:bidi="ar"/>
        </w:rPr>
        <w:t xml:space="preserve"> 控制类型：无PG矢量(SVC) / V/F；</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②</w:t>
      </w:r>
      <w:r>
        <w:rPr>
          <w:rFonts w:hint="eastAsia" w:ascii="仿宋" w:hAnsi="仿宋" w:eastAsia="仿宋" w:cs="仿宋"/>
          <w:sz w:val="28"/>
          <w:szCs w:val="28"/>
          <w:highlight w:val="none"/>
          <w:lang w:bidi="ar"/>
        </w:rPr>
        <w:t xml:space="preserve">过载能力：150% 60s / 180% 10s ；</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③</w:t>
      </w:r>
      <w:r>
        <w:rPr>
          <w:rFonts w:hint="eastAsia" w:ascii="仿宋" w:hAnsi="仿宋" w:eastAsia="仿宋" w:cs="仿宋"/>
          <w:sz w:val="28"/>
          <w:szCs w:val="28"/>
          <w:highlight w:val="none"/>
          <w:lang w:bidi="ar"/>
        </w:rPr>
        <w:t xml:space="preserve"> 启动转矩：SVC 0.5Hz/150%；VC 0Hz/180%；</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④</w:t>
      </w:r>
      <w:r>
        <w:rPr>
          <w:rFonts w:hint="eastAsia" w:ascii="仿宋" w:hAnsi="仿宋" w:eastAsia="仿宋" w:cs="仿宋"/>
          <w:sz w:val="28"/>
          <w:szCs w:val="28"/>
          <w:highlight w:val="none"/>
          <w:lang w:bidi="ar"/>
        </w:rPr>
        <w:t xml:space="preserve">调速范围：SVC 1:100；VC 1:1000；</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⑤</w:t>
      </w:r>
      <w:r>
        <w:rPr>
          <w:rFonts w:hint="eastAsia" w:ascii="仿宋" w:hAnsi="仿宋" w:eastAsia="仿宋" w:cs="仿宋"/>
          <w:sz w:val="28"/>
          <w:szCs w:val="28"/>
          <w:highlight w:val="none"/>
          <w:lang w:bidi="ar"/>
        </w:rPr>
        <w:t xml:space="preserve">载波频率：1.0–6.0kHz ；</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⑥</w:t>
      </w:r>
      <w:r>
        <w:rPr>
          <w:rFonts w:hint="eastAsia" w:ascii="仿宋" w:hAnsi="仿宋" w:eastAsia="仿宋" w:cs="仿宋"/>
          <w:sz w:val="28"/>
          <w:szCs w:val="28"/>
          <w:highlight w:val="none"/>
          <w:lang w:bidi="ar"/>
        </w:rPr>
        <w:t xml:space="preserve">通讯：RS485 ；</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⑦</w:t>
      </w:r>
      <w:r>
        <w:rPr>
          <w:rFonts w:hint="eastAsia" w:ascii="仿宋" w:hAnsi="仿宋" w:eastAsia="仿宋" w:cs="仿宋"/>
          <w:sz w:val="28"/>
          <w:szCs w:val="28"/>
          <w:highlight w:val="none"/>
          <w:lang w:bidi="ar"/>
        </w:rPr>
        <w:t xml:space="preserve">制动：0.4–37kW内置制动单元； </w:t>
      </w:r>
      <w:r/>
    </w:p>
    <w:p>
      <w:pPr>
        <w:ind w:firstLine="560"/>
        <w:spacing w:line="500" w:lineRule="exact"/>
        <w:rPr>
          <w:rFonts w:hint="eastAsia" w:ascii="仿宋" w:hAnsi="仿宋" w:eastAsia="仿宋" w:cs="仿宋"/>
          <w:sz w:val="28"/>
          <w:szCs w:val="28"/>
          <w:highlight w:val="none"/>
          <w:lang w:bidi="ar"/>
        </w:rPr>
      </w:pPr>
      <w:r>
        <w:rPr>
          <w:rFonts w:hint="eastAsia" w:ascii="微软雅黑" w:hAnsi="微软雅黑" w:eastAsia="微软雅黑" w:cs="微软雅黑"/>
          <w:sz w:val="28"/>
          <w:szCs w:val="28"/>
          <w:highlight w:val="none"/>
          <w:lang w:bidi="ar"/>
        </w:rPr>
        <w:t xml:space="preserve">⑧</w:t>
      </w:r>
      <w:r>
        <w:rPr>
          <w:rFonts w:hint="eastAsia" w:ascii="仿宋" w:hAnsi="仿宋" w:eastAsia="仿宋" w:cs="仿宋"/>
          <w:sz w:val="28"/>
          <w:szCs w:val="28"/>
          <w:highlight w:val="none"/>
          <w:lang w:bidi="ar"/>
        </w:rPr>
        <w:t xml:space="preserve">保护：过流/过压/欠压/过热/过载/缺相/电机过热；</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C、除尘排烟净化主机（总1套）▲</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过滤面积：96平米</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过滤风速：0.744米/分钟</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处理风量：10000立方/小时</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排放标准：≤10mg/m³</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滤筒尺寸：325x1200</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滤筒数量：12条</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滤筒材质：聚酯无纺布</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脉冲阀尺寸：1.5寸直角阀</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脉冲阀数量：4套</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除尘器外形：1.6*1.2*2（m）</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净化效率：97%以上；</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备无耗材，极板可反复使用，10-100袋的脉冲集中除尘；</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可达标排放，不会二次污染环境；</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应符合现行标准GB/T43917焊接烟尘《焊接烟尘捕集和分离设备》相应部分要求。</w:t>
      </w:r>
      <w:r/>
    </w:p>
    <w:p>
      <w:pPr>
        <w:ind w:firstLine="562"/>
        <w:spacing w:line="500" w:lineRule="exact"/>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t xml:space="preserve">D、悬浮式捕捉系统（1套）▲</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各工位上方安装可移动式3米万向吸气管，内部使用具有全方位悬停特点，方便在焊接范围内进行高效烟尘收集。</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万向管自带悬挂系统，可360°自由旋转，覆盖工位内任意位置；自带阀门；</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工作半径（悬臂长度）：≥3米；</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表面瞬时可承受高温：≥220°C；</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吸气罩口形状：喇叭形，整体冲压成型，无焊点；</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表面处理工艺：镀膜；</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工作环境PH值：≥4；</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材料：PP；</w:t>
      </w:r>
      <w:r/>
    </w:p>
    <w:p>
      <w:pPr>
        <w:numPr>
          <w:ilvl w:val="0"/>
          <w:numId w:val="3"/>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在管道入口处加装手动流量调节阀。直径≥200 MM 伸展长度≥3M 口罩直径≥300MM 通风量≥1000-1400m3/h 力损失≥230-620pa</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sz w:val="28"/>
          <w:szCs w:val="28"/>
          <w:highlight w:val="none"/>
          <w:lang w:bidi="ar"/>
        </w:rPr>
        <w:t xml:space="preserve">E、排烟管道（1批）</w:t>
      </w:r>
      <w:r/>
    </w:p>
    <w:p>
      <w:pPr>
        <w:numPr>
          <w:ilvl w:val="0"/>
          <w:numId w:val="4"/>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1.主管道：Φ200-Φ300-Φ400-Φ500、材质：镀锌螺纹风管（全部采用热镀锌）；</w:t>
      </w:r>
      <w:r/>
    </w:p>
    <w:p>
      <w:pPr>
        <w:numPr>
          <w:ilvl w:val="0"/>
          <w:numId w:val="4"/>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2.镀锌螺纹风管厚度：1.0mm；依据《通风与空调工程施工质量验收规范》进行选取。</w:t>
      </w:r>
      <w:r/>
    </w:p>
    <w:p>
      <w:pPr>
        <w:numPr>
          <w:ilvl w:val="0"/>
          <w:numId w:val="4"/>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3.管道配件：大小头、T型三通、弯头、Y型三通等配件全部采用热镀锌，厚度：1mm。</w:t>
      </w:r>
      <w:r/>
    </w:p>
    <w:p>
      <w:pPr>
        <w:numPr>
          <w:ilvl w:val="0"/>
          <w:numId w:val="4"/>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4.连接方式：内衬铆接/法兰连接，烟肉花兰钢丝绳拉紧或墙面支架固定。</w:t>
      </w:r>
      <w:r/>
    </w:p>
    <w:p>
      <w:pPr>
        <w:numPr>
          <w:ilvl w:val="0"/>
          <w:numId w:val="4"/>
        </w:num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5.固定形式：吊筋/立柱/三脚架</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6.技术参数：可承受正压力+3</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F、烟囱（总数量1根）</w:t>
      </w:r>
      <w:r/>
    </w:p>
    <w:p>
      <w:pPr>
        <w:numPr>
          <w:ilvl w:val="0"/>
          <w:numId w:val="0"/>
        </w:numPr>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①烟囱直径：DNΦ500mm；</w:t>
      </w:r>
      <w:r/>
    </w:p>
    <w:p>
      <w:pPr>
        <w:numPr>
          <w:ilvl w:val="0"/>
          <w:numId w:val="0"/>
        </w:numPr>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②烟囱材料：镀锌螺纹风管；</w:t>
      </w:r>
      <w:r/>
    </w:p>
    <w:p>
      <w:pPr>
        <w:numPr>
          <w:ilvl w:val="0"/>
          <w:numId w:val="0"/>
        </w:numPr>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③固定方式：自立式钢烟囱；</w:t>
      </w:r>
      <w:r/>
    </w:p>
    <w:p>
      <w:pPr>
        <w:numPr>
          <w:ilvl w:val="0"/>
          <w:numId w:val="0"/>
        </w:numPr>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④垂直扩散速度：6-12m/s；</w:t>
      </w:r>
      <w:r/>
    </w:p>
    <w:p>
      <w:pPr>
        <w:numPr>
          <w:ilvl w:val="0"/>
          <w:numId w:val="0"/>
        </w:numPr>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⑤烟囱需安装有防雨罩。</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（四）气路架设</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A、单侧式氩气气体汇流排</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1.材质：无缝钢管；开放式结构设计</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2.分为左侧式气体汇流排，右侧式气体汇流排。</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3.管路系统采用螺纹接口，可有效防止泄漏。</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4.管路端部采用盲塞，可满足扩展需要。</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5.系统设有气体过滤装置，可有效过滤气体中的尘埃。</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6.预留压力开关接口</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7.整个系统经耐压测试，安全可靠</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8.可靠墙安装或水平安装</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9.标准尺寸：DN25  </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10.根据现场情况而定满足工位需求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B、气体终端装置（氩气及二氧化碳）</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非标定制 </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C、气体终端装置（氧气及乙炔）</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非标定制 </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D、供气管路</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非标定制  不锈钢</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E、气体汇流排成套装置</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非标定制</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F、配件</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①</w:t>
      </w:r>
      <w:r>
        <w:rPr>
          <w:rFonts w:hint="eastAsia" w:ascii="仿宋" w:hAnsi="仿宋" w:eastAsia="仿宋" w:cs="仿宋"/>
          <w:color w:val="auto"/>
          <w:sz w:val="28"/>
          <w:szCs w:val="28"/>
          <w:highlight w:val="none"/>
          <w:lang w:bidi="ar"/>
        </w:rPr>
        <w:t xml:space="preserve">氧气减压器：应符合现行标准《焊接、切割及类似工艺用气瓶减压器》（GB/T7899）的有关要求。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②</w:t>
      </w:r>
      <w:r>
        <w:rPr>
          <w:rFonts w:hint="eastAsia" w:ascii="仿宋" w:hAnsi="仿宋" w:eastAsia="仿宋" w:cs="仿宋"/>
          <w:color w:val="auto"/>
          <w:sz w:val="28"/>
          <w:szCs w:val="28"/>
          <w:highlight w:val="none"/>
          <w:lang w:bidi="ar"/>
        </w:rPr>
        <w:t xml:space="preserve">乙炔减压器：应符合现行标准《焊接、切割及类似工艺用气瓶减压器》（GB/T7899）的有关要求。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③</w:t>
      </w:r>
      <w:r>
        <w:rPr>
          <w:rFonts w:hint="eastAsia" w:ascii="仿宋" w:hAnsi="仿宋" w:eastAsia="仿宋" w:cs="仿宋"/>
          <w:color w:val="auto"/>
          <w:sz w:val="28"/>
          <w:szCs w:val="28"/>
          <w:highlight w:val="none"/>
          <w:lang w:bidi="ar"/>
        </w:rPr>
        <w:t xml:space="preserve">氧气回火防止器：应符合现行标准《干式回火防止器》（JB/T7437）的有关要求。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④</w:t>
      </w:r>
      <w:r>
        <w:rPr>
          <w:rFonts w:hint="eastAsia" w:ascii="仿宋" w:hAnsi="仿宋" w:eastAsia="仿宋" w:cs="仿宋"/>
          <w:color w:val="auto"/>
          <w:sz w:val="28"/>
          <w:szCs w:val="28"/>
          <w:highlight w:val="none"/>
          <w:lang w:bidi="ar"/>
        </w:rPr>
        <w:t xml:space="preserve">乙炔回火防止器：应符合现行标准《干式回火防止器》（JB/T7437）的有关要求。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⑤</w:t>
      </w:r>
      <w:r>
        <w:rPr>
          <w:rFonts w:hint="eastAsia" w:ascii="仿宋" w:hAnsi="仿宋" w:eastAsia="仿宋" w:cs="仿宋"/>
          <w:color w:val="auto"/>
          <w:sz w:val="28"/>
          <w:szCs w:val="28"/>
          <w:highlight w:val="none"/>
          <w:lang w:bidi="ar"/>
        </w:rPr>
        <w:t xml:space="preserve">氧气胶管：应符合现行标准《气体焊接设备焊接、切割和类似作业用橡胶软管》（GB/T2550）的有关要求。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⑥</w:t>
      </w:r>
      <w:r>
        <w:rPr>
          <w:rFonts w:hint="eastAsia" w:ascii="仿宋" w:hAnsi="仿宋" w:eastAsia="仿宋" w:cs="仿宋"/>
          <w:color w:val="auto"/>
          <w:sz w:val="28"/>
          <w:szCs w:val="28"/>
          <w:highlight w:val="none"/>
          <w:lang w:bidi="ar"/>
        </w:rPr>
        <w:t xml:space="preserve">乙炔胶管：应符合现行标准《气体焊接设备焊接、切割和类似作业用橡胶软管》（GB/T2550）的有关要求。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⑦</w:t>
      </w:r>
      <w:r>
        <w:rPr>
          <w:rFonts w:hint="eastAsia" w:ascii="仿宋" w:hAnsi="仿宋" w:eastAsia="仿宋" w:cs="仿宋"/>
          <w:color w:val="auto"/>
          <w:sz w:val="28"/>
          <w:szCs w:val="28"/>
          <w:highlight w:val="none"/>
          <w:lang w:bidi="ar"/>
        </w:rPr>
        <w:t xml:space="preserve">阀门、密封件 割枪等</w:t>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t xml:space="preserve">根据现场情况而定满足工位需求</w:t>
      </w:r>
      <w:r/>
    </w:p>
    <w:p>
      <w:pPr>
        <w:ind w:firstLine="562"/>
        <w:spacing w:line="500" w:lineRule="exact"/>
        <w:rPr>
          <w:rFonts w:hint="eastAsia" w:ascii="仿宋" w:hAnsi="仿宋" w:eastAsia="仿宋" w:cs="仿宋"/>
          <w:b/>
          <w:color w:val="auto"/>
          <w:sz w:val="28"/>
          <w:szCs w:val="28"/>
          <w:highlight w:val="none"/>
          <w:lang w:bidi="ar"/>
        </w:rPr>
      </w:pPr>
      <w:r>
        <w:rPr>
          <w:rFonts w:hint="eastAsia" w:ascii="仿宋" w:hAnsi="仿宋" w:eastAsia="仿宋" w:cs="仿宋"/>
          <w:b/>
          <w:color w:val="auto"/>
          <w:sz w:val="28"/>
          <w:szCs w:val="28"/>
          <w:highlight w:val="none"/>
          <w:lang w:bidi="ar"/>
        </w:rPr>
        <w:t xml:space="preserve">（五）电源布线</w:t>
      </w:r>
      <w:r/>
    </w:p>
    <w:p>
      <w:pPr>
        <w:ind w:firstLine="562"/>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b/>
          <w:color w:val="auto"/>
          <w:sz w:val="28"/>
          <w:szCs w:val="28"/>
          <w:highlight w:val="none"/>
          <w:lang w:bidi="ar"/>
        </w:rPr>
        <w:t xml:space="preserve">A、工位内部小型供电控制柜（数量6套）</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①</w:t>
      </w:r>
      <w:r>
        <w:rPr>
          <w:rFonts w:hint="eastAsia" w:ascii="仿宋" w:hAnsi="仿宋" w:eastAsia="仿宋" w:cs="仿宋"/>
          <w:color w:val="auto"/>
          <w:sz w:val="28"/>
          <w:szCs w:val="28"/>
          <w:highlight w:val="none"/>
          <w:lang w:bidi="ar"/>
        </w:rPr>
        <w:t xml:space="preserve">4P带漏保380V-63 1只；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②</w:t>
      </w:r>
      <w:r>
        <w:rPr>
          <w:rFonts w:hint="eastAsia" w:ascii="仿宋" w:hAnsi="仿宋" w:eastAsia="仿宋" w:cs="仿宋"/>
          <w:color w:val="auto"/>
          <w:sz w:val="28"/>
          <w:szCs w:val="28"/>
          <w:highlight w:val="none"/>
          <w:lang w:bidi="ar"/>
        </w:rPr>
        <w:t xml:space="preserve">3P-380V-32A空开2个；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③</w:t>
      </w:r>
      <w:r>
        <w:rPr>
          <w:rFonts w:hint="eastAsia" w:ascii="仿宋" w:hAnsi="仿宋" w:eastAsia="仿宋" w:cs="仿宋"/>
          <w:color w:val="auto"/>
          <w:sz w:val="28"/>
          <w:szCs w:val="28"/>
          <w:highlight w:val="none"/>
          <w:lang w:bidi="ar"/>
        </w:rPr>
        <w:t xml:space="preserve">2P-220V-16A空开1个；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④</w:t>
      </w:r>
      <w:r>
        <w:rPr>
          <w:rFonts w:hint="eastAsia" w:ascii="仿宋" w:hAnsi="仿宋" w:eastAsia="仿宋" w:cs="仿宋"/>
          <w:color w:val="auto"/>
          <w:sz w:val="28"/>
          <w:szCs w:val="28"/>
          <w:highlight w:val="none"/>
          <w:lang w:bidi="ar"/>
        </w:rPr>
        <w:t xml:space="preserve">220V模式化插座1个；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⑤</w:t>
      </w:r>
      <w:r>
        <w:rPr>
          <w:rFonts w:hint="eastAsia" w:ascii="仿宋" w:hAnsi="仿宋" w:eastAsia="仿宋" w:cs="仿宋"/>
          <w:color w:val="auto"/>
          <w:sz w:val="28"/>
          <w:szCs w:val="28"/>
          <w:highlight w:val="none"/>
          <w:lang w:bidi="ar"/>
        </w:rPr>
        <w:t xml:space="preserve">进线电缆单工位独立控制（每个工位独立配置一个小型电箱）；</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⑥</w:t>
      </w:r>
      <w:r>
        <w:rPr>
          <w:rFonts w:hint="eastAsia" w:ascii="仿宋" w:hAnsi="仿宋" w:eastAsia="仿宋" w:cs="仿宋"/>
          <w:color w:val="auto"/>
          <w:sz w:val="28"/>
          <w:szCs w:val="28"/>
          <w:highlight w:val="none"/>
          <w:lang w:bidi="ar"/>
        </w:rPr>
        <w:t xml:space="preserve">单工位控制柜规格：按实际工况使用要求；</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⑦</w:t>
      </w:r>
      <w:r>
        <w:rPr>
          <w:rFonts w:hint="eastAsia" w:ascii="仿宋" w:hAnsi="仿宋" w:eastAsia="仿宋" w:cs="仿宋"/>
          <w:color w:val="auto"/>
          <w:sz w:val="28"/>
          <w:szCs w:val="28"/>
          <w:highlight w:val="none"/>
          <w:lang w:bidi="ar"/>
        </w:rPr>
        <w:t xml:space="preserve">含接地线排；</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⑧</w:t>
      </w:r>
      <w:r>
        <w:rPr>
          <w:rFonts w:hint="eastAsia" w:ascii="仿宋" w:hAnsi="仿宋" w:eastAsia="仿宋" w:cs="仿宋"/>
          <w:color w:val="auto"/>
          <w:sz w:val="28"/>
          <w:szCs w:val="28"/>
          <w:highlight w:val="none"/>
          <w:lang w:bidi="ar"/>
        </w:rPr>
        <w:t xml:space="preserve">配备过载保护及漏电保护自动断电装置；</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⑨</w:t>
      </w:r>
      <w:r>
        <w:rPr>
          <w:rFonts w:hint="eastAsia" w:ascii="仿宋" w:hAnsi="仿宋" w:eastAsia="仿宋" w:cs="仿宋"/>
          <w:color w:val="auto"/>
          <w:sz w:val="28"/>
          <w:szCs w:val="28"/>
          <w:highlight w:val="none"/>
          <w:lang w:bidi="ar"/>
        </w:rPr>
        <w:t xml:space="preserve">进线电缆：电缆；</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⑩</w:t>
      </w:r>
      <w:r>
        <w:rPr>
          <w:rFonts w:hint="eastAsia" w:ascii="仿宋" w:hAnsi="仿宋" w:eastAsia="仿宋" w:cs="仿宋"/>
          <w:color w:val="auto"/>
          <w:sz w:val="28"/>
          <w:szCs w:val="28"/>
          <w:highlight w:val="none"/>
          <w:lang w:bidi="ar"/>
        </w:rPr>
        <w:t xml:space="preserve">电气元件均需采用知名品牌。</w:t>
      </w:r>
      <w:r/>
    </w:p>
    <w:p>
      <w:pPr>
        <w:ind w:firstLine="562"/>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b/>
          <w:color w:val="auto"/>
          <w:sz w:val="28"/>
          <w:szCs w:val="28"/>
          <w:highlight w:val="none"/>
          <w:lang w:bidi="ar"/>
        </w:rPr>
        <w:t xml:space="preserve">B、动力柜（数量1套）</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①</w:t>
      </w:r>
      <w:r>
        <w:rPr>
          <w:rFonts w:hint="eastAsia" w:ascii="仿宋" w:hAnsi="仿宋" w:eastAsia="仿宋" w:cs="仿宋"/>
          <w:color w:val="auto"/>
          <w:sz w:val="28"/>
          <w:szCs w:val="28"/>
          <w:highlight w:val="none"/>
          <w:lang w:bidi="ar"/>
        </w:rPr>
        <w:t xml:space="preserve">380V-350A空开1个；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②</w:t>
      </w:r>
      <w:r>
        <w:rPr>
          <w:rFonts w:hint="eastAsia" w:ascii="仿宋" w:hAnsi="仿宋" w:eastAsia="仿宋" w:cs="仿宋"/>
          <w:color w:val="auto"/>
          <w:sz w:val="28"/>
          <w:szCs w:val="28"/>
          <w:highlight w:val="none"/>
          <w:lang w:bidi="ar"/>
        </w:rPr>
        <w:t xml:space="preserve">380V-100A空开10个；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③</w:t>
      </w:r>
      <w:r>
        <w:rPr>
          <w:rFonts w:hint="eastAsia" w:ascii="仿宋" w:hAnsi="仿宋" w:eastAsia="仿宋" w:cs="仿宋"/>
          <w:color w:val="auto"/>
          <w:sz w:val="28"/>
          <w:szCs w:val="28"/>
          <w:highlight w:val="none"/>
          <w:lang w:bidi="ar"/>
        </w:rPr>
        <w:t xml:space="preserve">220V-16A空开11个；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④</w:t>
      </w:r>
      <w:r>
        <w:rPr>
          <w:rFonts w:hint="eastAsia" w:ascii="仿宋" w:hAnsi="仿宋" w:eastAsia="仿宋" w:cs="仿宋"/>
          <w:color w:val="auto"/>
          <w:sz w:val="28"/>
          <w:szCs w:val="28"/>
          <w:highlight w:val="none"/>
          <w:lang w:bidi="ar"/>
        </w:rPr>
        <w:t xml:space="preserve">220V模式化插座2个；</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⑤</w:t>
      </w:r>
      <w:r>
        <w:rPr>
          <w:rFonts w:hint="eastAsia" w:ascii="仿宋" w:hAnsi="仿宋" w:eastAsia="仿宋" w:cs="仿宋"/>
          <w:color w:val="auto"/>
          <w:sz w:val="28"/>
          <w:szCs w:val="28"/>
          <w:highlight w:val="none"/>
          <w:lang w:bidi="ar"/>
        </w:rPr>
        <w:t xml:space="preserve">进线电缆：电缆；</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⑥</w:t>
      </w:r>
      <w:r>
        <w:rPr>
          <w:rFonts w:hint="eastAsia" w:ascii="仿宋" w:hAnsi="仿宋" w:eastAsia="仿宋" w:cs="仿宋"/>
          <w:color w:val="auto"/>
          <w:sz w:val="28"/>
          <w:szCs w:val="28"/>
          <w:highlight w:val="none"/>
          <w:lang w:bidi="ar"/>
        </w:rPr>
        <w:t xml:space="preserve">进线电缆规格：≥国标16mm²；</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⑦</w:t>
      </w:r>
      <w:r>
        <w:rPr>
          <w:rFonts w:hint="eastAsia" w:ascii="仿宋" w:hAnsi="仿宋" w:eastAsia="仿宋" w:cs="仿宋"/>
          <w:color w:val="auto"/>
          <w:sz w:val="28"/>
          <w:szCs w:val="28"/>
          <w:highlight w:val="none"/>
          <w:lang w:bidi="ar"/>
        </w:rPr>
        <w:t xml:space="preserve">含接地线；</w:t>
      </w:r>
      <w:r/>
    </w:p>
    <w:p>
      <w:pPr>
        <w:ind w:firstLine="560"/>
        <w:spacing w:line="500" w:lineRule="exact"/>
        <w:rPr>
          <w:rFonts w:hint="eastAsia" w:ascii="仿宋" w:hAnsi="仿宋" w:eastAsia="仿宋" w:cs="仿宋"/>
          <w:color w:val="auto"/>
          <w:sz w:val="28"/>
          <w:szCs w:val="28"/>
          <w:highlight w:val="none"/>
          <w:lang w:bidi="ar"/>
        </w:rPr>
      </w:pPr>
      <w:r>
        <w:rPr>
          <w:rFonts w:hint="eastAsia" w:ascii="微软雅黑" w:hAnsi="微软雅黑" w:eastAsia="微软雅黑" w:cs="微软雅黑"/>
          <w:color w:val="auto"/>
          <w:sz w:val="28"/>
          <w:szCs w:val="28"/>
          <w:highlight w:val="none"/>
          <w:lang w:bidi="ar"/>
        </w:rPr>
        <w:t xml:space="preserve">⑧</w:t>
      </w:r>
      <w:r>
        <w:rPr>
          <w:rFonts w:hint="eastAsia" w:ascii="仿宋" w:hAnsi="仿宋" w:eastAsia="仿宋" w:cs="仿宋"/>
          <w:color w:val="auto"/>
          <w:sz w:val="28"/>
          <w:szCs w:val="28"/>
          <w:highlight w:val="none"/>
          <w:lang w:bidi="ar"/>
        </w:rPr>
        <w:t xml:space="preserve">金属穿线管，符合国家相关标准。具备耐腐蚀、耐磨损、强度高、易加工等特点。</w:t>
      </w:r>
      <w:r/>
    </w:p>
    <w:p>
      <w:pPr>
        <w:ind w:firstLine="560"/>
        <w:spacing w:line="50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r>
      <w:r/>
    </w:p>
    <w:p>
      <w:pPr>
        <w:ind w:firstLine="482"/>
        <w:spacing w:line="500" w:lineRule="exact"/>
        <w:rPr>
          <w:rFonts w:hint="eastAsia" w:ascii="仿宋" w:hAnsi="仿宋" w:eastAsia="仿宋" w:cs="仿宋"/>
          <w:b/>
          <w:color w:val="auto"/>
          <w:sz w:val="28"/>
          <w:szCs w:val="28"/>
          <w:highlight w:val="none"/>
        </w:rPr>
        <w:outlineLvl w:val="0"/>
      </w:pPr>
      <w:r/>
      <w:bookmarkStart w:id="93" w:name="_Toc6286"/>
      <w:r/>
      <w:bookmarkStart w:id="94" w:name="_Toc13505"/>
      <w:r>
        <w:rPr>
          <w:rFonts w:hint="eastAsia" w:ascii="仿宋" w:hAnsi="仿宋" w:eastAsia="仿宋" w:cs="仿宋"/>
          <w:b/>
          <w:color w:val="auto"/>
          <w:sz w:val="28"/>
          <w:szCs w:val="28"/>
          <w:highlight w:val="none"/>
        </w:rPr>
        <w:t xml:space="preserve">第二部分  理论考试区、候考区、档案室配套设备</w:t>
      </w:r>
      <w:bookmarkEnd w:id="93"/>
      <w:r/>
      <w:bookmarkEnd w:id="94"/>
      <w:r/>
      <w:r/>
    </w:p>
    <w:p>
      <w:pPr>
        <w:ind w:firstLine="482"/>
        <w:spacing w:line="500" w:lineRule="exact"/>
        <w:rPr>
          <w:rFonts w:hint="eastAsia"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（一）理论考试设备</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1.考试桌椅</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桌子：</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（1）尺寸：≥1m*0.6m*0.75m</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（2）桌面：≥20mm 环保板材</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（3）下体主料：≥40mm</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凳子：</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（4）尺寸：≥340mm×240mm×420mm</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（5）椅面：≥20mm E1级环保板</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（6）椅脚：耐磨防滑尼龙脚垫</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（7）环保材质，结构稳定，简单安装。</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2.网线等辅材</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网络传输线材参数</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（1）摄像头及数据的网络传输采用6类或6类以上网线。</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（2）网线水晶头制作要求:RJ45水晶头，解纽长度&lt;1.5cm。</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3.机柜▲</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≥1800mm*600mm*1200mm 含理线架PDU，42U</w:t>
      </w:r>
      <w:r/>
    </w:p>
    <w:p>
      <w:pPr>
        <w:ind w:firstLine="48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优质冷轧钢，静电喷塑</w:t>
      </w:r>
      <w:r/>
    </w:p>
    <w:p>
      <w:pPr>
        <w:ind w:firstLine="480"/>
        <w:spacing w:line="500" w:lineRule="exact"/>
        <w:rPr>
          <w:rFonts w:hint="eastAsia"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（二）监控系统</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6.公共区域摄像头▲</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（1）采用不低于400万像素双1/3英寸CMOS图像传感器，低照度效果好，图像清晰度高</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（2）设备采用4颗（暖光灯）补光，可见光：≥40米；</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（3）内置MIC</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（4）支持DC12V/POE供电方式</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（5）支持IP67防护等级</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7.考试间摄像头▲</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（1）传感器类型：1/3英寸CMOS；</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（2）像素：400万；最大分辨率：2560×1440；</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（3）最低照度：0.01lux（彩色模式）；0.001lux（黑白模式）；0lux（补光灯开启）；</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（4）最大补光距离：50m（红外）；30m（暖光）；</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（5）补光灯：不少于4颗（多晶（红外+暖光）灯）；</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（6）内置1个麦克风</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（7）支持DC12V/PoE供电方式，方便工程安装</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（8）支持IP67防护等级</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8.硬盘录像机▲</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（1）支持N+M集群管理功能</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（2）支持提供主动注册服务，前端相机支持以主动注册方式添加到设备上</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（3）支持前智能：人脸检测比对、视频结构化、周界防范、智能动检、立体行为分析、工装检测、人群分布、人数统计、热度图、车牌识别、声音检测、车辆密度、物品监控</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（4）支持电子云台，将全景画面中多个感兴趣区域提取成单独细节画面，当区域内有人、车目标经过时对应细节画面随目标跟踪展示。</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9.网线▲</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超5类无氧铜网线10件，超6类无氧铜网线,5件、跳线、水晶头若干。</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10.监控硬盘▲</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（1）单盘容量：8TB；</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（2）缓存：256MB；</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（3）转速：5400RPM；</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（4）硬盘接口：SATA</w:t>
      </w:r>
      <w:r/>
    </w:p>
    <w:p>
      <w:pPr>
        <w:ind w:firstLine="480"/>
        <w:spacing w:line="500" w:lineRule="exact"/>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rPr>
        <w:t xml:space="preserve">11.监控显示屏幕</w:t>
      </w:r>
      <w:r>
        <w:rPr>
          <w:rFonts w:hint="eastAsia" w:ascii="仿宋" w:hAnsi="仿宋" w:eastAsia="仿宋" w:cs="仿宋"/>
          <w:color w:val="ff0000"/>
          <w:sz w:val="28"/>
          <w:szCs w:val="28"/>
          <w:highlight w:val="none"/>
        </w:rPr>
        <w:t xml:space="preserve">（利旧不列入报价）</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12.监控交换机▲</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（1）支持放入400mm*300mm*100mm的标准弱电箱中部署，保障室内环境的美观；</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（2）要求所投产品支持POE和POE+远程供电，POE供电功率为125W；</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（3）符合国家低碳环保等政策要求，支持IEEE 802.3az标准的EEE节能技术；</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提供工信部设备进网许可证，不提供视为无效响应。</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13.汇聚交换机</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（1）交换容量≥336Gbps，包转发率≥50Mpps，固化10/100/1000M以太网电口≥16，1000M SFP千兆光接口≥2个；</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（2）支持POE和POE+,同时可POE供电端口≥16个，POE最大输出功率≥200W，PoE满载下整机最大功耗小于等于250W；</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（3）符合国家低碳环保等政策要求，支持IEEE 802.3az标准的EEE节能技术；</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（4）支持生成树协议STP(IEEE 802.1d)，RSTP(IEEE 802.1w)和MSTP(IEEE 802.1s)，完全保证快速收敛，提高容错能力，保证网络的稳定运行和链路的负载均衡，合理使用网络通道，提供冗余链路利用率；</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（5）支持快速以太网链路检测协议，可快速检测链路的通断和光纤链路的单向性，并支持端口下的环路检测功能，防止端口下因私接Hub等设备形成的环路而导致网络故障的现象；</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（6）支持SNMP、CLI(Telnet/Console)、Syslog、NTP、TFTP、Web；</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（7）支持基于网关的网络拓扑自动发现，并以图形化形式呈现；支持基于云的工具箱功能（配置下发、配置备份、配置恢复、命令调试、访问eWeb、访问Telnet、访问SSH、重启、设备升级）。</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14.楼层接入交换机</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（1）固化10/100/1000M以太网电口≥24，1000M/2.5G SFP千兆光接口≥4个；</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（2）设备采用静音无风扇节能设计；</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（3）支持IPV4/IPV6静态路由协议，支持RIP/RIPng、OSPFv2/OSPFv3三层路由协议；</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（4）支持生成树协议STP(IEEE 802.1d)，RSTP(IEEE 802.1w)和MSTP(IEEE 802.1s)，完全保证快速收敛，提高容错能力，保证网络的稳定运行和链路的负载均衡，合理使用网络通道，提供冗余链路利用率；</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（5）支持专门针对CPU的保护机制，能够针对发往CPU处理的各种报文进行流区分和优先级队列分级处理，保护交换机在各种环境下稳定工作；</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（6）支持创建交换机的业务模板，支持图形化界面提前规划各端口业务；</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（7）支持SNMP、CLI(Telnet/Console)、Syslog、NTP、TFTP、Web。</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提供工信部设备进网许可证，不提供视为无效响应</w:t>
      </w:r>
      <w:r>
        <w:rPr>
          <w:rFonts w:hint="eastAsia" w:ascii="仿宋" w:hAnsi="仿宋" w:eastAsia="仿宋" w:cs="仿宋"/>
          <w:color w:val="auto"/>
          <w:sz w:val="28"/>
          <w:szCs w:val="28"/>
          <w:highlight w:val="none"/>
        </w:rPr>
        <w:t xml:space="preserve">。</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15.路由器▲</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（1）转发性能支持3Mpps；</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（2）内存≥2GB，Flash≥4GB；</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（3）实配三层千兆电口≥2，二层千兆电口≥8支持二三层切换，可扩展千兆光口≥2个；支持业务槽位≥1个，可以灵活插卡扩展4G/5G/SFP接口；</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（4）支持基于DPI/五元组/DSCP等多种方式的应用识别能力；</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（5）支持1X、WEB、AAA、RADIUS等多种认证模式</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（6）支持IPSLA、NQA等多种链路探测协议</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（7）支持IPv4和IPv6双协议栈，支持IPV4静态路由、OSPFv2、BGP、IS-IS、路由策略，支持IPv6静态路由、OSPFv3、IS-ISv6、BGP4+；</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（8）MPLS VPN支持LDP等MPLS标签分发协议，支持三层VPN；</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（9）支持SNMP、netconf、gRPC等管理面协议，实现更加灵活的对接管理；</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（10）支持国密算法SM2/3/4；</w:t>
      </w:r>
      <w:r/>
    </w:p>
    <w:p>
      <w:pPr>
        <w:ind w:firstLine="562"/>
        <w:spacing w:line="500" w:lineRule="exact"/>
        <w:rPr>
          <w:rFonts w:hint="eastAsia"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（三）候考区</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16.双通道闸机▲</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功能要求：</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（1）支持二代身份证信息读取；</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（2）支持人脸识别；</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（3）支持管理员开启；</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（4）设备须具有零位自检功能，方便维护及使用；</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（5）具备开放式系统接口，可与考试管理系统等其他相关系统实现无缝对接，实现数据实时互通与协同运行。</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材质:SUS304不锈钢</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上盖厚度：≥1.5mm</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箱体厚度：≥1.0mm</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外尺寸：≥1200*300*980mm</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通道宽：≤550mm </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性能要求：</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（1）电源电压：AC220V±10%、50Hz</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（2）驱动电机：直流有刷电机　24V/20W</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（3）工作环境温度：－20℃～+70℃</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（4）相对湿度：相对湿度≤90%、不凝露</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（5）输入接口：12V电平信号或脉宽＞100ms的12V脉冲信号 </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（6）驱动电流：＞200mA；</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（7）最大通道宽 580mm；标准通道宽：550MM；</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（8）通行速度：≤40人/分钟；</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（9）闸门开、关时间≤1.5秒(可调)；</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（10）翼门开关角度:≥45度</w:t>
      </w:r>
      <w:r/>
    </w:p>
    <w:p>
      <w:pPr>
        <w:ind w:firstLine="63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17.联排候考椅▲</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钢制座椅，3联排;采用全封闭式横梁设计;加厚坐板不易变形;一体式加厚扶手;优质加厚不锈钢边条焊接后抛光，不易化，更加坚固耐用。</w:t>
      </w:r>
      <w:r/>
    </w:p>
    <w:p>
      <w:pPr>
        <w:ind w:firstLine="562"/>
        <w:spacing w:line="500" w:lineRule="exact"/>
        <w:rPr>
          <w:rFonts w:hint="eastAsia"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（四）办公室</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21.桌椅</w:t>
      </w:r>
      <w:r>
        <w:rPr>
          <w:rFonts w:hint="eastAsia" w:ascii="仿宋" w:hAnsi="仿宋" w:eastAsia="仿宋" w:cs="仿宋"/>
          <w:color w:val="auto"/>
          <w:sz w:val="28"/>
          <w:szCs w:val="28"/>
          <w:highlight w:val="none"/>
        </w:rPr>
        <w:t xml:space="preserve">▲</w:t>
      </w:r>
      <w: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（1）桌子：尺寸：长1400mm× 宽 700mm× 高 750mm；</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（2）耐磨三聚氰胺贴面，厚度≥0.7mm，纹理清晰，抗刮擦。</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（3）带有副柜/活动柜：材质：与桌面基材一致。锁具：可配置通用锁具，确保文件安全。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（4）椅子：材质：高弹力网布（透气性好）或优质工程塑料框架配合泡棉。</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（5）功能：需符合人体工学，提供腰部支撑。高度可独立调节或与椅背一体联动。</w:t>
      </w:r>
      <w:r/>
    </w:p>
    <w:p>
      <w:pPr>
        <w:ind w:firstLine="560"/>
        <w:rPr>
          <w:rFonts w:hint="eastAsia" w:ascii="仿宋" w:hAnsi="仿宋" w:eastAsia="仿宋" w:cs="仿宋"/>
          <w:b/>
          <w:color w:val="auto"/>
          <w:sz w:val="30"/>
          <w:szCs w:val="30"/>
          <w:highlight w:val="none"/>
        </w:rPr>
      </w:pPr>
      <w:r>
        <w:rPr>
          <w:rFonts w:hint="eastAsia" w:ascii="仿宋" w:hAnsi="仿宋" w:eastAsia="仿宋" w:cs="仿宋"/>
          <w:color w:val="auto"/>
          <w:sz w:val="28"/>
          <w:szCs w:val="28"/>
          <w:highlight w:val="none"/>
        </w:rPr>
        <w:t xml:space="preserve">（6）滑轮：PU静音轮，适合瓷砖及地板，推行顺滑无噪音。</w:t>
      </w:r>
      <w:r/>
    </w:p>
    <w:p>
      <w:pPr>
        <w:pStyle w:val="875"/>
        <w:jc w:val="both"/>
        <w:spacing w:line="261" w:lineRule="auto"/>
        <w:rPr>
          <w:rFonts w:hint="default" w:ascii="宋体" w:hAnsi="宋体" w:eastAsia="宋体" w:cs="宋体"/>
          <w:b/>
          <w:spacing w:val="-6"/>
          <w:sz w:val="28"/>
          <w:szCs w:val="28"/>
          <w:highlight w:val="none"/>
        </w:rPr>
        <w:outlineLvl w:val="0"/>
      </w:pPr>
      <w:r/>
      <w:bookmarkStart w:id="95" w:name="_Toc30645"/>
      <w:r/>
      <w:bookmarkStart w:id="96" w:name="_Toc9982"/>
      <w:r>
        <w:rPr>
          <w:rFonts w:hint="default" w:ascii="宋体" w:hAnsi="宋体" w:eastAsia="宋体" w:cs="宋体"/>
          <w:b/>
          <w:spacing w:val="-6"/>
          <w:sz w:val="28"/>
          <w:szCs w:val="28"/>
          <w:highlight w:val="none"/>
        </w:rPr>
        <w:t xml:space="preserve">第三部分  现有场地安装配套改造部分</w:t>
      </w:r>
      <w:bookmarkEnd w:id="95"/>
      <w:r/>
      <w:bookmarkEnd w:id="96"/>
      <w:r/>
      <w:r/>
    </w:p>
    <w:p>
      <w:pPr>
        <w:pStyle w:val="875"/>
        <w:spacing w:line="261" w:lineRule="auto"/>
        <w:rPr>
          <w:rFonts w:hint="default" w:ascii="宋体" w:hAnsi="宋体" w:eastAsia="宋体" w:cs="宋体"/>
          <w:b/>
          <w:spacing w:val="-6"/>
          <w:sz w:val="24"/>
          <w:szCs w:val="24"/>
          <w:highlight w:val="none"/>
        </w:rPr>
        <w:outlineLvl w:val="0"/>
      </w:pPr>
      <w:r>
        <w:rPr>
          <w:rFonts w:hint="default" w:ascii="宋体" w:hAnsi="宋体" w:eastAsia="宋体" w:cs="宋体"/>
          <w:b/>
          <w:spacing w:val="-6"/>
          <w:sz w:val="24"/>
          <w:szCs w:val="24"/>
          <w:highlight w:val="none"/>
        </w:rPr>
      </w:r>
      <w:r/>
    </w:p>
    <w:tbl>
      <w:tblPr>
        <w:tblStyle w:val="870"/>
        <w:tblW w:w="94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013"/>
        <w:gridCol w:w="3234"/>
        <w:gridCol w:w="627"/>
        <w:gridCol w:w="1159"/>
        <w:gridCol w:w="1054"/>
        <w:gridCol w:w="1054"/>
        <w:gridCol w:w="699"/>
      </w:tblGrid>
      <w:tr>
        <w:trPr>
          <w:trHeight w:val="805"/>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项目特征描述</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875"/>
              <w:ind w:left="0"/>
              <w:spacing w:line="261" w:lineRule="auto"/>
              <w:rPr>
                <w:rFonts w:hint="eastAsia"/>
                <w:spacing w:val="-6"/>
                <w:sz w:val="24"/>
                <w:szCs w:val="24"/>
                <w:highlight w:val="none"/>
              </w:rPr>
            </w:pPr>
            <w:r>
              <w:rPr>
                <w:rFonts w:hint="eastAsia"/>
                <w:spacing w:val="-6"/>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综合单价（元）</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合价（元）</w:t>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备注</w:t>
            </w:r>
            <w:r/>
          </w:p>
        </w:tc>
      </w:tr>
      <w:tr>
        <w:trPr>
          <w:trHeight w:val="1047"/>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一层内间吊顶拆除</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1、配合设备拆除2排吊顶</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2、垃圾清理</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3、人工费</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047"/>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一层成品钢丝网金属隔断</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1、2米高落地式可移动成品隔断</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2、含材料及人工</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2231"/>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一层强弱电改造</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1、一层增加10个五孔插座，增加10处网线插头</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2、增加PVC明线槽80米</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3、增加电线2.5m2-500米，网线400米</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4、含材料及人工（含机柜安装及调试）</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9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二层强弱电改造</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1、二层增加85个五孔插座，增加90处网线插头</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2、增加PVC明线槽220米</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3、增加电线2.5m2-1400米，网线800米</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4、含材料及人工（含机柜安装及调试）</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907"/>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二层拆除隔墙</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1、隔墙拆除</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2、垃圾下楼及外运</w:t>
            </w:r>
            <w:r/>
          </w:p>
          <w:p>
            <w:pP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3、拆除面修复</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42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二层墙体新建</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1、加气块20墙，砂浆砌筑（含材料及人工）</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2、墙面两侧抹灰，含墙体植筋</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3、含材料上楼及垃圾清理</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873"/>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气瓶间</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1、1.2m*1.2m*2m砖砌气瓶间</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2、每间一个防爆五孔插座</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3、每间各一个排气扇</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4、80cm外开普通防盗门1个</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5、增加一处防爆灯（配套开关及电线）</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间</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985"/>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空调外机移动</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1、空调内机外机拆除新装（利旧）</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2、增加铜管及内机吊装与调试</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3、外机重做基础（砖砌）</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4、清理绿化</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5、垃圾清理及外运</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05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静电地板铺设</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1、含主材</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2、含地板安装施工及材料上楼</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平方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05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ind w:left="0"/>
              <w:spacing w:line="261" w:lineRule="auto"/>
              <w:rPr>
                <w:rFonts w:hint="eastAsia"/>
                <w:spacing w:val="-6"/>
                <w:sz w:val="24"/>
                <w:szCs w:val="24"/>
                <w:highlight w:val="none"/>
              </w:rPr>
            </w:pPr>
            <w:r>
              <w:rPr>
                <w:rFonts w:hint="eastAsia"/>
                <w:spacing w:val="-6"/>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室外电缆敷设</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1、5*16的国标电缆60米</w:t>
            </w:r>
            <w:r>
              <w:rPr>
                <w:rFonts w:hint="eastAsia" w:ascii="仿宋" w:hAnsi="仿宋" w:eastAsia="仿宋" w:cs="仿宋"/>
                <w:color w:val="000000"/>
                <w:sz w:val="22"/>
                <w:szCs w:val="22"/>
                <w:highlight w:val="none"/>
                <w:lang w:bidi="ar"/>
              </w:rPr>
              <w:br/>
            </w:r>
            <w:r>
              <w:rPr>
                <w:rFonts w:hint="eastAsia" w:ascii="仿宋" w:hAnsi="仿宋" w:eastAsia="仿宋" w:cs="仿宋"/>
                <w:color w:val="000000"/>
                <w:sz w:val="22"/>
                <w:szCs w:val="22"/>
                <w:highlight w:val="none"/>
                <w:lang w:bidi="ar"/>
              </w:rPr>
              <w:t xml:space="preserve">2、含打孔，穿线布线</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05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ind w:left="0"/>
              <w:spacing w:line="261" w:lineRule="auto"/>
              <w:rPr>
                <w:rFonts w:hint="eastAsia"/>
                <w:spacing w:val="-6"/>
                <w:sz w:val="24"/>
                <w:szCs w:val="24"/>
                <w:highlight w:val="none"/>
              </w:rPr>
            </w:pPr>
            <w:r>
              <w:rPr>
                <w:rFonts w:hint="eastAsia"/>
                <w:spacing w:val="-6"/>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高处作业考核室搬运</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1、安全设施拆除搬运及上楼安装</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r>
        <w:trPr>
          <w:trHeight w:val="1060"/>
        </w:trPr>
        <w:tc>
          <w:tcPr>
            <w:tcBorders>
              <w:top w:val="single" w:color="000000" w:sz="4" w:space="0"/>
              <w:left w:val="single" w:color="000000" w:sz="8" w:space="0"/>
              <w:bottom w:val="single" w:color="000000" w:sz="4" w:space="0"/>
              <w:right w:val="single" w:color="000000" w:sz="4" w:space="0"/>
            </w:tcBorders>
            <w:tcW w:w="637" w:type="dxa"/>
            <w:vAlign w:val="center"/>
            <w:textDirection w:val="lrTb"/>
            <w:noWrap/>
          </w:tcPr>
          <w:p>
            <w:pPr>
              <w:pStyle w:val="875"/>
              <w:ind w:left="0"/>
              <w:spacing w:line="261" w:lineRule="auto"/>
              <w:rPr>
                <w:rFonts w:hint="eastAsia"/>
                <w:spacing w:val="-6"/>
                <w:sz w:val="24"/>
                <w:szCs w:val="24"/>
                <w:highlight w:val="none"/>
              </w:rPr>
            </w:pPr>
            <w:r>
              <w:rPr>
                <w:rFonts w:hint="eastAsia"/>
                <w:spacing w:val="-6"/>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标牌拆除及安装</w:t>
            </w:r>
            <w:r/>
          </w:p>
        </w:tc>
        <w:tc>
          <w:tcPr>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1、含吊车及人工拆除安装等辅材</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c>
          <w:tcPr>
            <w:tcBorders>
              <w:top w:val="single" w:color="000000" w:sz="4" w:space="0"/>
              <w:left w:val="single" w:color="000000" w:sz="4" w:space="0"/>
              <w:bottom w:val="single" w:color="000000" w:sz="4" w:space="0"/>
              <w:right w:val="single" w:color="000000" w:sz="8" w:space="0"/>
            </w:tcBorders>
            <w:tcW w:w="699" w:type="dxa"/>
            <w:vAlign w:val="center"/>
            <w:textDirection w:val="lrTb"/>
            <w:noWrap/>
          </w:tcPr>
          <w:p>
            <w:pPr>
              <w:pStyle w:val="875"/>
              <w:spacing w:line="261" w:lineRule="auto"/>
              <w:rPr>
                <w:rFonts w:hint="eastAsia"/>
                <w:spacing w:val="-6"/>
                <w:sz w:val="24"/>
                <w:szCs w:val="24"/>
                <w:highlight w:val="none"/>
              </w:rPr>
            </w:pPr>
            <w:r>
              <w:rPr>
                <w:rFonts w:hint="eastAsia"/>
                <w:spacing w:val="-6"/>
                <w:sz w:val="24"/>
                <w:szCs w:val="24"/>
                <w:highlight w:val="none"/>
              </w:rPr>
            </w:r>
            <w:r/>
          </w:p>
        </w:tc>
      </w:tr>
    </w:tbl>
    <w:p>
      <w:pPr>
        <w:ind w:firstLine="562"/>
        <w:spacing w:line="500" w:lineRule="exact"/>
        <w:rPr>
          <w:rFonts w:hint="eastAsia" w:ascii="黑体" w:hAnsi="黑体" w:eastAsia="黑体"/>
          <w:b/>
          <w:color w:val="auto"/>
          <w:sz w:val="28"/>
          <w:szCs w:val="28"/>
          <w:highlight w:val="none"/>
        </w:rPr>
        <w:outlineLvl w:val="1"/>
      </w:pPr>
      <w:r/>
      <w:bookmarkStart w:id="97" w:name="_Toc27292"/>
      <w:r/>
      <w:bookmarkStart w:id="98" w:name="_Toc30672"/>
      <w:r>
        <w:rPr>
          <w:rFonts w:hint="eastAsia" w:ascii="仿宋" w:hAnsi="仿宋" w:eastAsia="仿宋" w:cs="仿宋"/>
          <w:b/>
          <w:color w:val="auto"/>
          <w:sz w:val="28"/>
          <w:szCs w:val="28"/>
          <w:highlight w:val="none"/>
        </w:rPr>
        <w:t xml:space="preserve">注：标注</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rPr>
        <w:t xml:space="preserve">作为</w:t>
      </w:r>
      <w:r>
        <w:rPr>
          <w:rFonts w:hint="eastAsia" w:ascii="仿宋" w:hAnsi="仿宋" w:eastAsia="仿宋" w:cs="仿宋"/>
          <w:b/>
          <w:bCs/>
          <w:sz w:val="28"/>
          <w:szCs w:val="28"/>
          <w:highlight w:val="none"/>
        </w:rPr>
        <w:t xml:space="preserve">符合性</w:t>
      </w:r>
      <w:r>
        <w:rPr>
          <w:rFonts w:hint="eastAsia" w:ascii="仿宋" w:hAnsi="仿宋" w:eastAsia="仿宋" w:cs="仿宋"/>
          <w:b/>
          <w:bCs/>
          <w:sz w:val="28"/>
          <w:szCs w:val="28"/>
          <w:highlight w:val="none"/>
        </w:rPr>
        <w:t xml:space="preserve">审查</w:t>
      </w:r>
      <w:r>
        <w:rPr>
          <w:rFonts w:hint="eastAsia" w:ascii="仿宋" w:hAnsi="仿宋" w:eastAsia="仿宋" w:cs="仿宋"/>
          <w:b/>
          <w:bCs/>
          <w:sz w:val="28"/>
          <w:szCs w:val="28"/>
          <w:highlight w:val="none"/>
        </w:rPr>
        <w:t xml:space="preserve">项</w:t>
      </w:r>
      <w:r>
        <w:rPr>
          <w:rFonts w:hint="eastAsia" w:ascii="仿宋" w:hAnsi="仿宋" w:eastAsia="仿宋" w:cs="仿宋"/>
          <w:b/>
          <w:bCs/>
          <w:sz w:val="28"/>
          <w:szCs w:val="28"/>
          <w:highlight w:val="none"/>
        </w:rPr>
        <w:t xml:space="preserve">，</w:t>
      </w:r>
      <w:r>
        <w:rPr>
          <w:rFonts w:hint="eastAsia" w:ascii="仿宋" w:hAnsi="仿宋" w:eastAsia="仿宋" w:cs="仿宋"/>
          <w:b/>
          <w:color w:val="auto"/>
          <w:sz w:val="28"/>
          <w:szCs w:val="28"/>
          <w:highlight w:val="none"/>
        </w:rPr>
        <w:t xml:space="preserve">不满足</w:t>
      </w:r>
      <w:r>
        <w:rPr>
          <w:rFonts w:hint="eastAsia" w:ascii="仿宋" w:hAnsi="仿宋" w:eastAsia="仿宋" w:cs="仿宋"/>
          <w:b/>
          <w:color w:val="auto"/>
          <w:sz w:val="28"/>
          <w:szCs w:val="28"/>
          <w:highlight w:val="none"/>
        </w:rPr>
        <w:t xml:space="preserve">将</w:t>
      </w:r>
      <w:r>
        <w:rPr>
          <w:rFonts w:hint="eastAsia" w:ascii="仿宋" w:hAnsi="仿宋" w:eastAsia="仿宋" w:cs="仿宋"/>
          <w:b/>
          <w:color w:val="auto"/>
          <w:sz w:val="28"/>
          <w:szCs w:val="28"/>
          <w:highlight w:val="none"/>
        </w:rPr>
        <w:t xml:space="preserve">视为</w:t>
      </w:r>
      <w:r>
        <w:rPr>
          <w:rFonts w:hint="eastAsia" w:ascii="仿宋" w:hAnsi="仿宋" w:eastAsia="仿宋" w:cs="仿宋"/>
          <w:b/>
          <w:color w:val="auto"/>
          <w:sz w:val="28"/>
          <w:szCs w:val="28"/>
          <w:highlight w:val="none"/>
        </w:rPr>
        <w:t xml:space="preserve">无效</w:t>
      </w:r>
      <w:r>
        <w:rPr>
          <w:rFonts w:hint="eastAsia" w:ascii="仿宋" w:hAnsi="仿宋" w:eastAsia="仿宋" w:cs="仿宋"/>
          <w:b/>
          <w:color w:val="auto"/>
          <w:sz w:val="28"/>
          <w:szCs w:val="28"/>
          <w:highlight w:val="none"/>
        </w:rPr>
        <w:t xml:space="preserve">响应</w:t>
      </w: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rPr>
        <w:t xml:space="preserve">标注</w:t>
      </w:r>
      <w:r>
        <w:rPr>
          <w:rFonts w:hint="eastAsia" w:ascii="仿宋" w:hAnsi="仿宋" w:eastAsia="仿宋" w:cs="仿宋"/>
          <w:b/>
          <w:color w:val="auto"/>
          <w:sz w:val="28"/>
          <w:szCs w:val="28"/>
          <w:highlight w:val="none"/>
        </w:rPr>
        <w:t xml:space="preserve">“▲”为本项目主要产品</w:t>
      </w:r>
      <w:bookmarkEnd w:id="97"/>
      <w:r>
        <w:rPr>
          <w:rFonts w:hint="eastAsia" w:ascii="仿宋" w:hAnsi="仿宋" w:eastAsia="仿宋" w:cs="仿宋"/>
          <w:b/>
          <w:color w:val="auto"/>
          <w:sz w:val="28"/>
          <w:szCs w:val="28"/>
          <w:highlight w:val="none"/>
        </w:rPr>
        <w:t xml:space="preserve">。因本项目涉及器材种类繁多，且单个价格较小，编制响应文件依据主要产品填写技术部分正负偏离表、中小企业声明函以及关于符合本国产品标准的声明函。评委依据主要产品响应情况进行评审。</w:t>
      </w:r>
      <w:r/>
    </w:p>
    <w:p>
      <w:pPr>
        <w:ind w:firstLine="560"/>
        <w:spacing w:line="500" w:lineRule="exact"/>
        <w:rPr>
          <w:rFonts w:hint="eastAsia" w:ascii="黑体" w:hAnsi="黑体" w:eastAsia="黑体"/>
          <w:color w:val="auto"/>
          <w:sz w:val="28"/>
          <w:szCs w:val="28"/>
          <w:highlight w:val="none"/>
        </w:rPr>
        <w:outlineLvl w:val="1"/>
      </w:pPr>
      <w:r/>
      <w:bookmarkStart w:id="99" w:name="_Toc30289"/>
      <w:r>
        <w:rPr>
          <w:rFonts w:hint="eastAsia" w:ascii="黑体" w:hAnsi="黑体" w:eastAsia="黑体"/>
          <w:color w:val="auto"/>
          <w:sz w:val="28"/>
          <w:szCs w:val="28"/>
          <w:highlight w:val="none"/>
        </w:rPr>
        <w:t xml:space="preserve">四、质量标准</w:t>
      </w:r>
      <w:bookmarkEnd w:id="98"/>
      <w:r/>
      <w:bookmarkEnd w:id="99"/>
      <w:r/>
      <w:r/>
    </w:p>
    <w:p>
      <w:pPr>
        <w:ind w:firstLine="560"/>
        <w:spacing w:line="500" w:lineRule="exact"/>
        <w:rPr>
          <w:rFonts w:hint="eastAsia" w:ascii="仿宋" w:hAnsi="仿宋" w:eastAsia="仿宋"/>
          <w:color w:val="auto"/>
          <w:sz w:val="28"/>
          <w:szCs w:val="28"/>
          <w:highlight w:val="none"/>
        </w:rPr>
      </w:pPr>
      <w:r/>
      <w:bookmarkStart w:id="100" w:name="_Hlk40719223"/>
      <w:r>
        <w:rPr>
          <w:rFonts w:hint="eastAsia" w:ascii="仿宋" w:hAnsi="仿宋" w:eastAsia="仿宋"/>
          <w:color w:val="auto"/>
          <w:sz w:val="28"/>
          <w:szCs w:val="28"/>
          <w:highlight w:val="none"/>
        </w:rPr>
        <w:t xml:space="preserve">（一）响应供应商不能简单照搬招标文件提供的需求，必须按招标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（二）成交人须明确所投设备的生产厂家、品牌、型号、规格和外形、尺寸等。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成交人应保证货物是全新、未使用过的原厂合格产品，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（九）成交人所供货物最终验收后，成交人应对由于设计、工艺或材料的缺陷而发生的任何不足或故障负责，并承担由此引起的一切后果。</w:t>
      </w:r>
      <w:bookmarkEnd w:id="100"/>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560"/>
        <w:spacing w:line="500" w:lineRule="exact"/>
        <w:rPr>
          <w:rFonts w:hint="eastAsia" w:ascii="黑体" w:hAnsi="黑体" w:eastAsia="黑体"/>
          <w:color w:val="auto"/>
          <w:sz w:val="28"/>
          <w:szCs w:val="28"/>
          <w:highlight w:val="none"/>
        </w:rPr>
        <w:outlineLvl w:val="1"/>
      </w:pPr>
      <w:r/>
      <w:bookmarkStart w:id="101" w:name="_Toc7909"/>
      <w:r/>
      <w:bookmarkStart w:id="102" w:name="_Toc31783"/>
      <w:r>
        <w:rPr>
          <w:rFonts w:hint="eastAsia" w:ascii="黑体" w:hAnsi="黑体" w:eastAsia="黑体"/>
          <w:color w:val="auto"/>
          <w:sz w:val="28"/>
          <w:szCs w:val="28"/>
          <w:highlight w:val="none"/>
        </w:rPr>
        <w:t xml:space="preserve">五、交货期限和地点</w:t>
      </w:r>
      <w:bookmarkEnd w:id="101"/>
      <w:r/>
      <w:bookmarkEnd w:id="102"/>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交货务期限：合同签订后45日内完成供货及安装调试，交付使用。具体以采购人通知为准。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地点：采购人指定</w:t>
      </w:r>
      <w:r/>
    </w:p>
    <w:p>
      <w:pPr>
        <w:ind w:firstLine="560"/>
        <w:spacing w:line="500" w:lineRule="exact"/>
        <w:rPr>
          <w:rFonts w:hint="eastAsia" w:ascii="仿宋" w:hAnsi="仿宋" w:eastAsia="仿宋"/>
          <w:color w:val="auto"/>
          <w:sz w:val="28"/>
          <w:szCs w:val="28"/>
          <w:highlight w:val="none"/>
        </w:rPr>
      </w:pPr>
      <w:r>
        <w:rPr>
          <w:rFonts w:hint="eastAsia" w:ascii="黑体" w:hAnsi="黑体" w:eastAsia="黑体"/>
          <w:color w:val="auto"/>
          <w:sz w:val="28"/>
          <w:szCs w:val="28"/>
          <w:highlight w:val="none"/>
        </w:rPr>
        <w:t xml:space="preserve">六、验收方案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（一）本项目验收依据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1.法律法规：《中华人民共和国政府采购法》《中华人民共和国政府采购法实施条例》《政府采购需求管理办法》等。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2.合同文件：采购合同及附件、招标文件、投标文件、澄清文件等。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3.技术标准：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国家标准（GB）、行业标准（如项目各种设备专项标准）；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（二）中标人应提供的材料：</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1.验收申请；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2.技术图纸（包含安装隐蔽部位照片资料等）；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3.试运行记录；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4.培训记录；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5.供应商提供的主要产品说明书、质量保证书、合格证、检测报告（如有）。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（三）验收流程</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68"/>
        <w:gridCol w:w="4904"/>
        <w:gridCol w:w="3822"/>
      </w:tblGrid>
      <w:tr>
        <w:trPr>
          <w:tblHeade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验收维度</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验收内容</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合格标准</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数量验收</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核对货物清单（名称、品牌、型号、数量）</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与合同清单完全一致，无缺漏</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外观验收</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检查包装完好性、产品外观（划痕、变形、污损等）</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无运输损伤，标识清晰，附件齐全</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逐项核对招标文件/合同中的关键技术指标（如性能、材质、能耗等）</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提供第三方检测报告或现场测试数据，100%符合要求</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质量证明</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检查产品合格证、保修卡、说明书、原产地证明等</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文件齐全，信息与产品一致，加盖供应商公章</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安装调试</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如含安装服务，检查安装位置、布线规范、运行稳定性</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符合设计要求，试运行无故障</w:t>
            </w:r>
            <w:r/>
          </w:p>
        </w:tc>
      </w:tr>
      <w:tr>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0" w:type="auto"/>
            <w:vAlign w:val="center"/>
            <w:textDirection w:val="lrTb"/>
            <w:noWrap w:val="false"/>
          </w:tcPr>
          <w:p>
            <w:pPr>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核对售后服务承诺（培训、维修响应时间、备件供应等）</w:t>
            </w:r>
            <w:r/>
          </w:p>
        </w:tc>
        <w:tc>
          <w:tcPr>
            <w:shd w:val="clear" w:color="auto" w:fill="ffffff"/>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0" w:type="auto"/>
            <w:vAlign w:val="center"/>
            <w:textDirection w:val="lrTb"/>
            <w:noWrap w:val="false"/>
          </w:tcPr>
          <w:p>
            <w:pPr>
              <w:ind w:firstLine="480"/>
              <w:spacing w:line="2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提供书面承诺书，联系方式有效</w:t>
            </w:r>
            <w:r/>
          </w:p>
        </w:tc>
      </w:tr>
    </w:tbl>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（四）在接到成交单位以书面形式提出验收申请后，在</w:t>
      </w:r>
      <w:r>
        <w:rPr>
          <w:rFonts w:hint="eastAsia" w:ascii="仿宋" w:hAnsi="仿宋" w:eastAsia="仿宋"/>
          <w:color w:val="auto"/>
          <w:sz w:val="28"/>
          <w:szCs w:val="28"/>
          <w:highlight w:val="none"/>
          <w:u w:val="single"/>
        </w:rPr>
        <w:t xml:space="preserve">  5  </w:t>
      </w:r>
      <w:r>
        <w:rPr>
          <w:rFonts w:hint="eastAsia" w:ascii="仿宋" w:hAnsi="仿宋" w:eastAsia="仿宋"/>
          <w:color w:val="auto"/>
          <w:sz w:val="28"/>
          <w:szCs w:val="28"/>
          <w:highlight w:val="none"/>
        </w:rPr>
        <w:t xml:space="preserve">个工作日内及时组织相关专业技术人员（包括采购单位负责人、技术专家、财务/纪检代表等组成），必要时邀请财政等相关部门共同参与验收，并出具验收报告，作为支付货款的依据。</w:t>
      </w:r>
      <w:r/>
    </w:p>
    <w:p>
      <w:pPr>
        <w:ind w:firstLine="560"/>
        <w:spacing w:line="500" w:lineRule="exact"/>
        <w:rPr>
          <w:rFonts w:hint="eastAsia" w:ascii="黑体" w:hAnsi="黑体" w:eastAsia="黑体"/>
          <w:color w:val="auto"/>
          <w:sz w:val="28"/>
          <w:szCs w:val="28"/>
          <w:highlight w:val="none"/>
        </w:rPr>
        <w:outlineLvl w:val="1"/>
      </w:pPr>
      <w:r/>
      <w:bookmarkStart w:id="103" w:name="_Toc5952"/>
      <w:r/>
      <w:bookmarkStart w:id="104" w:name="_Toc2349"/>
      <w:r>
        <w:rPr>
          <w:rFonts w:hint="eastAsia" w:ascii="黑体" w:hAnsi="黑体" w:eastAsia="黑体"/>
          <w:color w:val="auto"/>
          <w:sz w:val="28"/>
          <w:szCs w:val="28"/>
          <w:highlight w:val="none"/>
        </w:rPr>
        <w:t xml:space="preserve">七、质量保证期限</w:t>
      </w:r>
      <w:bookmarkEnd w:id="103"/>
      <w:r/>
      <w:bookmarkEnd w:id="104"/>
      <w:r/>
      <w:r/>
    </w:p>
    <w:p>
      <w:pPr>
        <w:ind w:firstLine="560"/>
        <w:spacing w:line="500" w:lineRule="exact"/>
        <w:rPr>
          <w:rFonts w:hint="eastAsia" w:ascii="黑体" w:hAnsi="黑体" w:eastAsia="黑体"/>
          <w:color w:val="auto"/>
          <w:sz w:val="28"/>
          <w:szCs w:val="28"/>
          <w:highlight w:val="none"/>
        </w:rPr>
      </w:pPr>
      <w:r>
        <w:rPr>
          <w:rFonts w:hint="eastAsia" w:ascii="仿宋" w:hAnsi="仿宋" w:eastAsia="仿宋"/>
          <w:color w:val="auto"/>
          <w:sz w:val="28"/>
          <w:szCs w:val="28"/>
          <w:highlight w:val="none"/>
        </w:rPr>
        <w:t xml:space="preserve">自交货并验收合格之日起计壹年（整机）。</w:t>
      </w:r>
      <w:r/>
    </w:p>
    <w:p>
      <w:pPr>
        <w:ind w:firstLine="560"/>
        <w:spacing w:line="500" w:lineRule="exact"/>
        <w:rPr>
          <w:rFonts w:hint="eastAsia" w:ascii="黑体" w:hAnsi="黑体" w:eastAsia="黑体"/>
          <w:color w:val="auto"/>
          <w:sz w:val="28"/>
          <w:szCs w:val="28"/>
          <w:highlight w:val="none"/>
        </w:rPr>
        <w:outlineLvl w:val="1"/>
      </w:pPr>
      <w:r/>
      <w:bookmarkStart w:id="105" w:name="_Toc22701"/>
      <w:r/>
      <w:bookmarkStart w:id="106" w:name="_Toc6238"/>
      <w:r>
        <w:rPr>
          <w:rFonts w:hint="eastAsia" w:ascii="黑体" w:hAnsi="黑体" w:eastAsia="黑体"/>
          <w:color w:val="auto"/>
          <w:sz w:val="28"/>
          <w:szCs w:val="28"/>
          <w:highlight w:val="none"/>
        </w:rPr>
        <w:t xml:space="preserve">八、售后服务</w:t>
      </w:r>
      <w:bookmarkEnd w:id="105"/>
      <w:r/>
      <w:bookmarkEnd w:id="106"/>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olor w:val="auto"/>
          <w:sz w:val="28"/>
          <w:szCs w:val="28"/>
          <w:highlight w:val="none"/>
        </w:rPr>
        <w:t xml:space="preserve">提供产品售后服务机构名称、地址，以及专业技术人员名单和联系电话；</w:t>
      </w:r>
      <w:r/>
    </w:p>
    <w:p>
      <w:pPr>
        <w:pStyle w:val="886"/>
        <w:ind w:firstLine="7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2.保修期内：24小时作出相应的问题答复；如电话不能解决问题，维修人员将在3个工作日内到达现场（视用户地理位置而定）如果仍未解决问题的，厂家需要提供相同性能仪器，在维修期内供用户免费备用。</w:t>
      </w:r>
      <w:r/>
    </w:p>
    <w:p>
      <w:pPr>
        <w:pStyle w:val="886"/>
        <w:ind w:firstLine="758"/>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3.成交供应商须到采购方提供现场免费安装、调试设备，进行操作试验，直至运行正常，为仪器操作人员提供必需的免费的操作及维护培训，仪器运转正常后可免培训费提供人员培训。</w:t>
      </w:r>
      <w:r/>
    </w:p>
    <w:p>
      <w:pPr>
        <w:ind w:firstLine="560"/>
        <w:spacing w:line="500" w:lineRule="exact"/>
        <w:rPr>
          <w:rFonts w:hint="eastAsia" w:ascii="黑体" w:hAnsi="黑体" w:eastAsia="黑体"/>
          <w:color w:val="auto"/>
          <w:sz w:val="28"/>
          <w:szCs w:val="28"/>
          <w:highlight w:val="none"/>
        </w:rPr>
        <w:outlineLvl w:val="1"/>
      </w:pPr>
      <w:r/>
      <w:bookmarkStart w:id="107" w:name="_Toc30819"/>
      <w:r/>
      <w:bookmarkStart w:id="108" w:name="_Toc21795"/>
      <w:r>
        <w:rPr>
          <w:rFonts w:hint="eastAsia" w:ascii="黑体" w:hAnsi="黑体" w:eastAsia="黑体"/>
          <w:color w:val="auto"/>
          <w:sz w:val="28"/>
          <w:szCs w:val="28"/>
          <w:highlight w:val="none"/>
        </w:rPr>
        <w:t xml:space="preserve">九、付款方式</w:t>
      </w:r>
      <w:bookmarkEnd w:id="107"/>
      <w:r/>
      <w:bookmarkEnd w:id="108"/>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签订合同后15工作日内支付预付款，预付款为合同金额的30%；合同履行完毕，通过省级考试点验收合格后30个工作日内，支付合同金额的50%；设备使用12个月，无质量问题，一次性支付余款。</w:t>
      </w:r>
      <w:r/>
    </w:p>
    <w:p>
      <w:pPr>
        <w:ind w:firstLine="560"/>
        <w:spacing w:line="500" w:lineRule="exact"/>
        <w:rPr>
          <w:rFonts w:hint="eastAsia" w:ascii="仿宋" w:hAnsi="仿宋" w:eastAsia="仿宋"/>
          <w:color w:val="auto"/>
          <w:sz w:val="28"/>
          <w:szCs w:val="28"/>
          <w:highlight w:val="none"/>
        </w:rPr>
        <w:outlineLvl w:val="1"/>
      </w:pPr>
      <w:r/>
      <w:bookmarkStart w:id="109" w:name="_Toc8805"/>
      <w:r/>
      <w:bookmarkStart w:id="110" w:name="_Toc22738"/>
      <w:r>
        <w:rPr>
          <w:rFonts w:hint="eastAsia" w:ascii="黑体" w:hAnsi="黑体" w:eastAsia="黑体"/>
          <w:color w:val="auto"/>
          <w:sz w:val="28"/>
          <w:szCs w:val="28"/>
          <w:highlight w:val="none"/>
        </w:rPr>
        <w:t xml:space="preserve">十、其他要求</w:t>
      </w:r>
      <w:bookmarkEnd w:id="109"/>
      <w:r/>
      <w:bookmarkEnd w:id="110"/>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（一）报价要求：</w:t>
      </w:r>
      <w:r/>
    </w:p>
    <w:p>
      <w:pPr>
        <w:ind w:firstLine="562"/>
        <w:jc w:val="left"/>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报价要求：报价应包含设备的制造、包装、运输、装卸、安装、保险、验收、人员培训、检验、税金、代理服务费等与本项目相关的一切费用。成交价之外采购人不再支付任何费用。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（二）报价含响应供应商为完成采购文件全部要求内容应承担的一切成本、费用和支出以及供应商的合理利润等交付使用前一切费用。不接受选择性报价。</w:t>
      </w:r>
      <w:r/>
    </w:p>
    <w:p>
      <w:pPr>
        <w:ind w:firstLine="560"/>
        <w:jc w:val="left"/>
        <w:spacing w:line="50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（三）供应商中标后不得将中标项目分包或者转让给其他主体实施。</w:t>
      </w:r>
      <w:r/>
    </w:p>
    <w:p>
      <w:pPr>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人应保证货物是全新、未使用过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p>
      <w:pPr>
        <w:ind w:firstLine="560"/>
        <w:spacing w:line="500" w:lineRule="exact"/>
        <w:shd w:val="clear" w:color="auto" w:fill="ffffff"/>
        <w:widowControl/>
        <w:rPr>
          <w:rFonts w:hint="eastAsia" w:ascii="仿宋" w:hAnsi="仿宋" w:eastAsia="仿宋"/>
          <w:color w:val="0000ff"/>
          <w:sz w:val="28"/>
          <w:szCs w:val="28"/>
          <w:highlight w:val="none"/>
        </w:rPr>
      </w:pPr>
      <w:r>
        <w:rPr>
          <w:rFonts w:hint="eastAsia" w:ascii="仿宋" w:hAnsi="仿宋" w:eastAsia="仿宋"/>
          <w:color w:val="auto"/>
          <w:sz w:val="28"/>
          <w:szCs w:val="28"/>
          <w:highlight w:val="none"/>
        </w:rPr>
        <w:t xml:space="preserve">（五）根据国家认可的质检部门检验结果或者在质量保证期内，如果货物的数量、质量或规格与合同不符，或证明货物是有缺陷的，包括潜在的缺陷或使用不符合要求的材料等，采购人以书面形式向成交人提出本保证下的索赔。</w:t>
      </w:r>
      <w:r/>
    </w:p>
    <w:p>
      <w:pPr>
        <w:rPr>
          <w:highlight w:val="none"/>
        </w:rPr>
      </w:pPr>
      <w:r>
        <w:rPr>
          <w:highlight w:val="none"/>
        </w:rPr>
        <w:br w:type="page" w:clear="all"/>
      </w:r>
      <w:r/>
    </w:p>
    <w:p>
      <w:pPr>
        <w:pStyle w:val="883"/>
        <w:ind w:firstLine="0"/>
        <w:jc w:val="center"/>
        <w:spacing w:line="240" w:lineRule="auto"/>
        <w:rPr>
          <w:rFonts w:hint="eastAsia" w:ascii="方正小标宋简体" w:eastAsia="方正小标宋简体"/>
          <w:color w:val="auto"/>
          <w:sz w:val="32"/>
          <w:szCs w:val="32"/>
          <w:highlight w:val="none"/>
        </w:rPr>
        <w:outlineLvl w:val="0"/>
      </w:pPr>
      <w:r/>
      <w:bookmarkStart w:id="111" w:name="_Toc9247"/>
      <w:r/>
      <w:bookmarkStart w:id="112" w:name="_Toc31296"/>
      <w:r>
        <w:rPr>
          <w:rFonts w:hint="eastAsia" w:ascii="方正小标宋简体" w:eastAsia="方正小标宋简体"/>
          <w:color w:val="auto"/>
          <w:sz w:val="32"/>
          <w:szCs w:val="32"/>
          <w:highlight w:val="none"/>
        </w:rPr>
        <w:t xml:space="preserve">第4章 合同文本</w:t>
      </w:r>
      <w:bookmarkEnd w:id="111"/>
      <w:r/>
      <w:bookmarkEnd w:id="112"/>
      <w:r/>
      <w:r/>
    </w:p>
    <w:p>
      <w:pPr>
        <w:pStyle w:val="883"/>
        <w:ind w:firstLine="0"/>
        <w:jc w:val="center"/>
        <w:spacing w:line="240" w:lineRule="auto"/>
        <w:rPr>
          <w:rFonts w:hint="eastAsia"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r>
      <w:r/>
    </w:p>
    <w:p>
      <w:pPr>
        <w:jc w:val="center"/>
        <w:spacing w:before="19"/>
        <w:widowControl/>
        <w:rPr>
          <w:rFonts w:hint="eastAsia"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甲方 : 如皋市应急管理局</w:t>
      </w:r>
      <w:r/>
    </w:p>
    <w:p>
      <w:pPr>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乙方 : </w:t>
      </w:r>
      <w:r/>
    </w:p>
    <w:p>
      <w:pPr>
        <w:spacing w:before="19"/>
        <w:widowControl/>
        <w:rPr>
          <w:rFonts w:hint="eastAsia" w:ascii="仿宋" w:hAnsi="仿宋" w:eastAsia="仿宋"/>
          <w:color w:val="auto"/>
          <w:sz w:val="24"/>
          <w:szCs w:val="24"/>
          <w:highlight w:val="none"/>
        </w:rPr>
      </w:pPr>
      <w:r>
        <w:rPr>
          <w:rFonts w:hint="eastAsia" w:ascii="仿宋_GB2312" w:hAnsi="宋体" w:eastAsia="仿宋_GB2312"/>
          <w:color w:val="auto"/>
          <w:sz w:val="24"/>
          <w:szCs w:val="24"/>
          <w:highlight w:val="none"/>
        </w:rPr>
        <w:t xml:space="preserve">（如皋市应急管理局）（安全生产考试点特种作业考试设备更新项目）委托（南通泾天纬地项目管理有限公司）进行了政府采购。按照评委会评审推荐、甲方确定乙方为中标单位。现甲乙双方协商同意签订本合同。</w:t>
      </w:r>
      <w:r/>
    </w:p>
    <w:p>
      <w:pPr>
        <w:numPr>
          <w:ilvl w:val="0"/>
          <w:numId w:val="5"/>
        </w:numP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货物及其数量如下表</w:t>
      </w:r>
      <w:r>
        <w:rPr>
          <w:rFonts w:hint="eastAsia" w:ascii="仿宋" w:hAnsi="仿宋" w:eastAsia="仿宋"/>
          <w:color w:val="auto"/>
          <w:sz w:val="24"/>
          <w:szCs w:val="24"/>
          <w:highlight w:val="none"/>
        </w:rPr>
        <w:t xml:space="preserve">：</w:t>
      </w:r>
      <w:r/>
    </w:p>
    <w:tbl>
      <w:tblPr>
        <w:tblStyle w:val="87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2010"/>
        <w:gridCol w:w="1050"/>
        <w:gridCol w:w="1140"/>
        <w:gridCol w:w="1440"/>
        <w:gridCol w:w="570"/>
        <w:gridCol w:w="596"/>
        <w:gridCol w:w="1146"/>
        <w:gridCol w:w="1018"/>
      </w:tblGrid>
      <w:tr>
        <w:trPr>
          <w:cantSplit/>
          <w:trHeight w:val="9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单项</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电力安全工器具与电工仪器仪表考位（K11）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低压电工作业实际操作考场考位主要设备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电气设 备安装 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低压开 关柜考 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临时用 电系统 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电力安 全工器 具与电 工仪器 仪表考 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高压电工作业实际操作考场考位主要设备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10/0.4kV变配电系统(成套开关柜)考位（K31）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10/0.4kV变配电系统(架空线路)考位（K32）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电气设备安装考位（K33）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安全用具考位（K11）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熔化焊接与热切割作业实际操作考场考位主要设备</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焊条电弧焊考位（K31）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二氧化 碳气体保护焊 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氩弧焊 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气焊(割)考 位（K34）</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焊工配套</w:t>
            </w:r>
            <w:r>
              <w:rPr>
                <w:rFonts w:hint="eastAsia" w:ascii="仿宋" w:hAnsi="仿宋" w:eastAsia="仿宋" w:cs="仿宋"/>
                <w:b/>
                <w:sz w:val="18"/>
                <w:szCs w:val="18"/>
                <w:highlight w:val="none"/>
              </w:rPr>
              <w:t xml:space="preserve">（含气瓶房2、集中排风排烟系统8个工位、气路架设8个工位、电源布线）</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安全用具考位（K11）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高处安装、维护、拆除作业实际操作考场考位主要设备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零部件判废考位（K21）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移动平台考位（K31）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吊篮考位（K32）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单人吊 具考位（K33）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登杆登 塔考位（K34）</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触电事故现场应急处置考位（K41）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作业现场应急处置实际操作考场考位主要设备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考试桌椅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机柜（含网线等辅材）</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公共区域摄像头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考试间摄像头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硬盘录像机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理论考试设备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网线（含配套水晶头）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箱</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监控硬盘</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12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监控交换机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4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监控系统</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汇聚交换机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4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楼层接入交换机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6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路由器</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双通道闸机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联排候考椅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桌椅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widowControl/>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场地安装配套改造</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numPr>
          <w:ilvl w:val="0"/>
          <w:numId w:val="0"/>
        </w:numPr>
        <w:ind w:left="426"/>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numPr>
          <w:ilvl w:val="0"/>
          <w:numId w:val="5"/>
        </w:numP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质保期</w:t>
      </w:r>
      <w:r>
        <w:rPr>
          <w:rFonts w:hint="eastAsia" w:ascii="仿宋" w:hAnsi="仿宋" w:eastAsia="仿宋"/>
          <w:color w:val="auto"/>
          <w:sz w:val="24"/>
          <w:szCs w:val="24"/>
          <w:highlight w:val="none"/>
        </w:rPr>
        <w:t xml:space="preserve">：验收合格后壹年</w:t>
      </w:r>
      <w:r/>
    </w:p>
    <w:p>
      <w:pPr>
        <w:numPr>
          <w:ilvl w:val="0"/>
          <w:numId w:val="5"/>
        </w:numP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交货时间</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合同签订后45日内完成供货及安装调试，交付使用。</w:t>
      </w:r>
      <w:r/>
    </w:p>
    <w:p>
      <w:pPr>
        <w:numPr>
          <w:ilvl w:val="0"/>
          <w:numId w:val="5"/>
        </w:numP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交货地点</w:t>
      </w:r>
      <w:r>
        <w:rPr>
          <w:rFonts w:hint="eastAsia" w:ascii="仿宋" w:hAnsi="仿宋" w:eastAsia="仿宋"/>
          <w:color w:val="auto"/>
          <w:sz w:val="24"/>
          <w:szCs w:val="24"/>
          <w:highlight w:val="none"/>
        </w:rPr>
        <w:t xml:space="preserve">：如皋第一中专大明校区</w:t>
      </w:r>
      <w:r/>
    </w:p>
    <w:p>
      <w:pPr>
        <w:numPr>
          <w:ilvl w:val="0"/>
          <w:numId w:val="5"/>
        </w:numP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付款</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签订合同后15工作日内支付预付款，预付款为合同金额的30%；合同履行完毕，通过省级考试点验收合格后30个工作日内，支付合同金额的50%；设备使用12个月，无质量问题，一次性支付余款。</w:t>
      </w:r>
      <w:r/>
    </w:p>
    <w:p>
      <w:pPr>
        <w:numPr>
          <w:ilvl w:val="0"/>
          <w:numId w:val="5"/>
        </w:numPr>
        <w:spacing w:before="19"/>
        <w:widowControl/>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合同纠纷处理：</w:t>
      </w:r>
      <w:r>
        <w:rPr>
          <w:rFonts w:hint="eastAsia" w:ascii="仿宋" w:hAnsi="仿宋" w:eastAsia="仿宋"/>
          <w:color w:val="auto"/>
          <w:sz w:val="24"/>
          <w:szCs w:val="24"/>
          <w:highlight w:val="none"/>
        </w:rPr>
        <w:t xml:space="preserve">本合同执行过程中发生纠纷，由甲方和乙方协商处理。</w:t>
      </w:r>
      <w:r/>
    </w:p>
    <w:p>
      <w:pPr>
        <w:numPr>
          <w:ilvl w:val="0"/>
          <w:numId w:val="5"/>
        </w:numPr>
        <w:spacing w:before="19"/>
        <w:widowControl/>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合同生效：</w:t>
      </w:r>
      <w:r>
        <w:rPr>
          <w:rFonts w:hint="eastAsia" w:ascii="仿宋" w:hAnsi="仿宋" w:eastAsia="仿宋"/>
          <w:color w:val="auto"/>
          <w:sz w:val="24"/>
          <w:szCs w:val="24"/>
          <w:highlight w:val="none"/>
        </w:rPr>
        <w:t xml:space="preserve">本合同由甲乙双方签字盖章后生效。</w:t>
      </w:r>
      <w:r/>
    </w:p>
    <w:p>
      <w:pPr>
        <w:numPr>
          <w:ilvl w:val="0"/>
          <w:numId w:val="5"/>
        </w:numPr>
        <w:spacing w:before="19"/>
        <w:widowControl/>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组成本合同的文件包括：</w:t>
      </w:r>
      <w:r/>
    </w:p>
    <w:p>
      <w:pPr>
        <w:ind w:firstLine="480"/>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1.本合同专用条款；</w:t>
      </w:r>
      <w:r/>
    </w:p>
    <w:p>
      <w:pPr>
        <w:ind w:firstLine="480"/>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2、甲乙双方商定的其他必要文件。</w:t>
      </w:r>
      <w:r/>
    </w:p>
    <w:p>
      <w:pPr>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上述合同文件内容互为补充，如有不明确，由甲方负责解释。</w:t>
      </w:r>
      <w:r/>
    </w:p>
    <w:p>
      <w:pPr>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本合同一式两份，甲方持一份，乙方持一份。</w:t>
      </w:r>
      <w:r/>
    </w:p>
    <w:tbl>
      <w:tblPr>
        <w:tblStyle w:val="87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spacing w:before="19"/>
              <w:widowControl/>
              <w:rPr>
                <w:rFonts w:hint="eastAsia" w:ascii="仿宋" w:hAnsi="仿宋" w:eastAsia="仿宋"/>
                <w:b/>
                <w:color w:val="auto"/>
                <w:sz w:val="24"/>
                <w:szCs w:val="24"/>
                <w:highlight w:val="none"/>
                <w:u w:val="single"/>
              </w:rPr>
            </w:pPr>
            <w:r>
              <w:rPr>
                <w:rFonts w:hint="eastAsia" w:ascii="仿宋" w:hAnsi="仿宋" w:eastAsia="仿宋"/>
                <w:b/>
                <w:color w:val="auto"/>
                <w:sz w:val="24"/>
                <w:szCs w:val="24"/>
                <w:highlight w:val="none"/>
              </w:rPr>
              <w:t xml:space="preserve">甲方（公章）：如皋市应急管理局</w:t>
            </w:r>
            <w:r/>
          </w:p>
          <w:p>
            <w:pPr>
              <w:spacing w:before="19"/>
              <w:widowControl/>
              <w:rPr>
                <w:rFonts w:hint="eastAsia" w:ascii="仿宋" w:hAnsi="仿宋" w:eastAsia="仿宋"/>
                <w:b/>
                <w:color w:val="auto"/>
                <w:sz w:val="24"/>
                <w:szCs w:val="24"/>
                <w:highlight w:val="none"/>
                <w:u w:val="single"/>
              </w:rPr>
            </w:pPr>
            <w:r>
              <w:rPr>
                <w:rFonts w:hint="eastAsia" w:ascii="仿宋" w:hAnsi="仿宋" w:eastAsia="仿宋"/>
                <w:color w:val="auto"/>
                <w:sz w:val="24"/>
                <w:szCs w:val="24"/>
                <w:highlight w:val="none"/>
              </w:rPr>
              <w:t xml:space="preserve">地址：</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法定代表人（授权人）：</w:t>
            </w:r>
            <w:r/>
          </w:p>
          <w:p>
            <w:pPr>
              <w:jc w:val="right"/>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u w:val="single"/>
              </w:rPr>
            </w:r>
            <w:r/>
          </w:p>
          <w:p>
            <w:pPr>
              <w:jc w:val="right"/>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u w:val="single"/>
              </w:rPr>
            </w:r>
            <w:r/>
          </w:p>
          <w:p>
            <w:pPr>
              <w:jc w:val="right"/>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u w:val="single"/>
              </w:rPr>
            </w:r>
            <w:r/>
          </w:p>
          <w:p>
            <w:pPr>
              <w:jc w:val="right"/>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年月日</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spacing w:before="19"/>
              <w:widowControl/>
              <w:rPr>
                <w:rFonts w:hint="eastAsia" w:ascii="仿宋" w:hAnsi="仿宋" w:eastAsia="仿宋"/>
                <w:b/>
                <w:color w:val="auto"/>
                <w:sz w:val="24"/>
                <w:szCs w:val="24"/>
                <w:highlight w:val="none"/>
                <w:u w:val="single"/>
              </w:rPr>
            </w:pPr>
            <w:r>
              <w:rPr>
                <w:rFonts w:hint="eastAsia" w:ascii="仿宋" w:hAnsi="仿宋" w:eastAsia="仿宋"/>
                <w:b/>
                <w:color w:val="auto"/>
                <w:sz w:val="24"/>
                <w:szCs w:val="24"/>
                <w:highlight w:val="none"/>
              </w:rPr>
              <w:t xml:space="preserve">乙方（公章）：</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地址：</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法定代表人（授权人）：</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户名：</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开户银行：</w:t>
            </w:r>
            <w:r/>
          </w:p>
          <w:p>
            <w:pPr>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账号：</w:t>
            </w:r>
            <w:r/>
          </w:p>
          <w:p>
            <w:pPr>
              <w:jc w:val="right"/>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年月日</w:t>
            </w:r>
            <w:r/>
          </w:p>
        </w:tc>
      </w:tr>
    </w:tbl>
    <w:p>
      <w:pPr>
        <w:jc w:val="right"/>
        <w:spacing w:before="19"/>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right"/>
        <w:spacing w:before="19"/>
        <w:widowControl/>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u w:val="single"/>
        </w:rPr>
      </w:r>
      <w:r/>
    </w:p>
    <w:p>
      <w:pPr>
        <w:jc w:val="center"/>
        <w:spacing w:before="19"/>
        <w:widowControl/>
        <w:rPr>
          <w:rFonts w:hint="eastAsia" w:ascii="仿宋" w:hAnsi="仿宋" w:eastAsia="仿宋"/>
          <w:color w:val="auto"/>
          <w:sz w:val="24"/>
          <w:szCs w:val="24"/>
          <w:highlight w:val="none"/>
        </w:rPr>
      </w:pPr>
      <w:r>
        <w:rPr>
          <w:rFonts w:hint="eastAsia" w:ascii="仿宋" w:hAnsi="仿宋" w:eastAsia="仿宋"/>
          <w:b/>
          <w:color w:val="auto"/>
          <w:sz w:val="24"/>
          <w:szCs w:val="24"/>
          <w:highlight w:val="none"/>
          <w:u w:val="single"/>
        </w:rPr>
        <w:t xml:space="preserve">合同专用条款</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第一条 供货及知识产权</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color w:val="auto"/>
          <w:sz w:val="24"/>
          <w:szCs w:val="24"/>
          <w:highlight w:val="none"/>
        </w:rPr>
      </w:pPr>
      <w:r>
        <w:rPr>
          <w:rFonts w:hint="eastAsia" w:ascii="仿宋" w:hAnsi="仿宋" w:eastAsia="仿宋"/>
          <w:b/>
          <w:color w:val="auto"/>
          <w:sz w:val="24"/>
          <w:szCs w:val="24"/>
          <w:highlight w:val="none"/>
        </w:rPr>
        <w:t xml:space="preserve">第二条 合同总价款    </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第三条 质量保证期内的技术支持与售后服务</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1.所提供产品应包含不少于年的整机（含全部部件）免费上门保修服务，质量保证期从设备安装验收合格开始计算。</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3.应针对本项目指定专人作为售后联系人，7*8小时负责协调产品销售以及售后问题。</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5.在质量保证期内，未能在规定时间内修复情况下主动提供免费备机服务。</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6.在质量保证期内更换的任何配件，须为原设备厂家生产的；并且保证替代的零配件是新的未使用过和未经修复的。</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 提供的产品若有设计缺陷，应主动召回。</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9.软件免费维护和升级服务的内容，供应商可根据自身情况，提供相应的软件服务方案。</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10.损坏的信息存储介质不得收回，应免费由用户保留。</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第四条 质量保证期外的技术支持与服务</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按乙方投标文件执行。</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第五条 交货和验收</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1.乙方应按照本合同规定的时间、地点和方式向甲方交付货物。</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甲方应当在到货后五日内对货物进行验收，验收包括：型号、规格、数量、外观质量、以及货物包装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第六条 货款支付</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本合同项下所有款项均在乙方货物交付验收合格后，并提交所需单据后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个工作日内按合同约定的付款方支付货款。</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第七条 违约责任</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1.甲方无正当理由拒收货物、拒付货物款的，由甲方向乙方偿付合同总价的5%违约金。</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3.如乙方不能交付货物，乙方应向甲方支付合同总价5％的违约金。</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4.乙方逾期交付货物的，每逾期1天，乙方向甲方偿付逾期交货部分货款总额的5‰的滞纳金。如乙方逾期交货达10天，甲方有权解除合同，解除合同的通知自到达乙方时生效。</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5.乙方所交付的货物品种、型号、规格不符合合同规定的，甲方有权拒收。甲方拒收的，乙方应向甲方支付货款总额5%的违约金。</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7.乙方未按本合同的规定和服务承诺提供服务的，应按合同总价款的_3_%向甲方承担违约责任。</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第八条 合同的变更和终止</w:t>
      </w:r>
      <w:r/>
    </w:p>
    <w:p>
      <w:pPr>
        <w:pStyle w:val="879"/>
        <w:ind w:firstLine="480"/>
        <w:tabs>
          <w:tab w:val="clear" w:pos="4153" w:leader="none"/>
          <w:tab w:val="clear" w:pos="8306"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除《中华人民共和国政府采购法》第四十九条、第五十条第二款规定的情形外，本合同一经签订，甲乙双方不得擅自变更、中止或终止合同。</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第十三条 合同的转让</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乙方不得擅自部分或全部转让其应履行的合同义务。</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第十四条 争议的解决</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第十五条 合同生效及其他</w:t>
      </w:r>
      <w:r/>
    </w:p>
    <w:p>
      <w:pPr>
        <w:ind w:firstLine="480"/>
        <w:rPr>
          <w:rFonts w:hint="eastAsia" w:ascii="仿宋" w:hAnsi="仿宋" w:eastAsia="仿宋"/>
          <w:color w:val="auto"/>
          <w:sz w:val="24"/>
          <w:szCs w:val="24"/>
          <w:highlight w:val="none"/>
        </w:rPr>
        <w:outlineLvl w:val="0"/>
      </w:pPr>
      <w:r/>
      <w:bookmarkStart w:id="113" w:name="_Toc28315"/>
      <w:r/>
      <w:bookmarkStart w:id="114" w:name="_Toc2422"/>
      <w:r/>
      <w:bookmarkStart w:id="115" w:name="_Toc17884"/>
      <w:r>
        <w:rPr>
          <w:rFonts w:hint="eastAsia" w:ascii="仿宋" w:hAnsi="仿宋" w:eastAsia="仿宋"/>
          <w:color w:val="auto"/>
          <w:sz w:val="24"/>
          <w:szCs w:val="24"/>
          <w:highlight w:val="none"/>
        </w:rPr>
        <w:t xml:space="preserve">1.本合同自签订之日起生效。</w:t>
      </w:r>
      <w:bookmarkEnd w:id="113"/>
      <w:r/>
      <w:bookmarkEnd w:id="114"/>
      <w:r/>
      <w:bookmarkEnd w:id="115"/>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pStyle w:val="883"/>
        <w:ind w:firstLine="0"/>
        <w:jc w:val="center"/>
        <w:spacing w:line="240" w:lineRule="auto"/>
        <w:rPr>
          <w:rFonts w:hint="default"/>
          <w:b/>
          <w:color w:val="auto"/>
          <w:sz w:val="24"/>
          <w:szCs w:val="24"/>
          <w:highlight w:val="none"/>
        </w:rPr>
        <w:outlineLvl w:val="0"/>
      </w:pPr>
      <w:r/>
      <w:bookmarkStart w:id="116" w:name="_Toc407"/>
      <w:r/>
      <w:bookmarkStart w:id="117" w:name="_Toc3656"/>
      <w:r>
        <w:rPr>
          <w:rFonts w:hint="eastAsia" w:ascii="方正小标宋简体" w:eastAsia="方正小标宋简体"/>
          <w:color w:val="auto"/>
          <w:sz w:val="32"/>
          <w:szCs w:val="32"/>
          <w:highlight w:val="none"/>
        </w:rPr>
        <w:t xml:space="preserve">第5章 评标标准和方法</w:t>
      </w:r>
      <w:bookmarkEnd w:id="116"/>
      <w:r/>
      <w:bookmarkEnd w:id="117"/>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综合评分法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hint="eastAsia" w:ascii="仿宋" w:hAnsi="仿宋" w:eastAsia="仿宋"/>
          <w:color w:val="auto"/>
          <w:sz w:val="28"/>
          <w:szCs w:val="28"/>
          <w:highlight w:val="none"/>
        </w:rPr>
        <w:outlineLvl w:val="1"/>
      </w:pPr>
      <w:r/>
      <w:bookmarkStart w:id="118" w:name="_Toc420"/>
      <w:r/>
      <w:bookmarkStart w:id="119" w:name="_Toc27261"/>
      <w:r>
        <w:rPr>
          <w:rFonts w:hint="eastAsia" w:ascii="仿宋" w:hAnsi="仿宋" w:eastAsia="仿宋"/>
          <w:color w:val="auto"/>
          <w:sz w:val="28"/>
          <w:szCs w:val="28"/>
          <w:highlight w:val="none"/>
        </w:rPr>
        <w:t xml:space="preserve">5.评分表</w:t>
      </w:r>
      <w:bookmarkEnd w:id="118"/>
      <w:r/>
      <w:bookmarkEnd w:id="119"/>
      <w:r/>
      <w:r/>
    </w:p>
    <w:tbl>
      <w:tblPr>
        <w:tblStyle w:val="8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987"/>
        <w:gridCol w:w="574"/>
        <w:gridCol w:w="6544"/>
        <w:gridCol w:w="573"/>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tcPr>
          <w:p>
            <w:pPr>
              <w:ind w:left="0" w:right="0" w:firstLine="442"/>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功能展示</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tcPr>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根据考核要求制作以下考位应用流程视频进行演示，考位包括：</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（1）低压电工实操考试系统K31-电气设备安装考位；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（2）低压电工实操考试系统K32-低压开关柜考位；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（3）高压电工实操考试系统K31-10/0.4kV变配电系统（成套开关柜)考位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（4）高压电工实操考试系统K32-10/0.4kV变配电系统（架空线路)考位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（5）高处作业实操考试系统K32-吊篮考位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（6）高处作业实操考试系统K33-单人吊具考位</w:t>
            </w:r>
            <w:r/>
          </w:p>
          <w:p>
            <w:pPr>
              <w:ind w:left="0" w:right="0" w:firstLine="442"/>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以上考位演示视频直观、完整、实用性强每个考位得0.5分；比较直观、完整、实用性较强每个考位得0.3分；演示画面不清晰、有缺失，但基本符合要求，得0.1分；不提供不得分。本项最高6分。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主要产品技术项参数性能</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投低压电工实操考试系统/K33临时用电系统实操考核设备/总配电箱（整套）满足：主回路及分支回路采用排线接线方式，母线经校直、下料、折弯加工后，通过螺栓紧固搭接方式与总开关、分路开关及出线端子可靠连接；接触面清除氧化层并做防氧化处理，连接牢固、导电良好，母线排列整齐、绝缘间距符合规范要求，</w:t>
            </w:r>
            <w:r>
              <w:rPr>
                <w:rFonts w:ascii="FangSong" w:hAnsi="FangSong" w:eastAsia="FangSong" w:cs="FangSong"/>
                <w:b/>
                <w:color w:val="000000"/>
                <w:sz w:val="24"/>
              </w:rPr>
              <w:t xml:space="preserve">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须提供实物设备照片2张。</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2.所投低压电工作业/K11电力安全工器具与电工仪器仪表考位（K11）/仪器仪表测试台，需提供封面具有CNAS或CMA或ilac-MRA认证标识的检验报告为佐证，且报告中完整呈现本项全部功能参数。得1分；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须提供检验报告扫描件，同时提供全国认证认可信息公共服务平台查询截图。</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所投低压电工作业/K11电力安全工器具与电工仪器仪表考位（k11）/仪器仪表测试台，满足：为确保产品质量供应商需提供功能区布局，测试台需通过真实电气元件搭建不同测量电路，功能区需包括交直流电压测量区、电阻测试区、交流电流，接地电阻测量区及绝缘电阻测量区、漏电保护测试区等多个测量单元。对380V交流电机加设安全设计、合理利用空间，且不影响其他操作。得1分。</w:t>
            </w:r>
            <w:r/>
          </w:p>
          <w:p>
            <w:pPr>
              <w:ind w:left="239" w:right="0" w:firstLine="263"/>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须提供实物设备功能区实拍照片，并清晰标注测量单</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4.所投高压电工/电力安全工器具与电工仪器仪表考位（K11）/仪器仪表测试台具有CNAS或CMA或ilac-MRA认证标识的检验报告，且报告中完整呈现本项全部功能参数。得1分；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须提供检验报告扫描件，同时提供全国认证认可信息公共服务平台查询截图。</w:t>
            </w:r>
            <w:r/>
          </w:p>
          <w:p>
            <w:pPr>
              <w:ind w:left="0" w:right="0" w:firstLine="48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所投高压电工电力安全工器具与电工仪器仪表实操考核设备（k11）/仪器仪表测试台满足：为确保产品质量供应商需提供功能区布局（测试台需通过真实电气元件搭建不同测量电路，功能区需包括交直流电压测量区、电阻测试区、交流电流，接地电阻测量区及绝缘电阻测量区、漏电保护测试区等多个测量单元。对380V交流电机加设安全设计、合理利用空间，且不影响其他操作。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须提供实物设备功能区实拍照片，并清晰标注测量单元</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6.所投高压电工实操考试系统/K32高压电工10/0.4k V变配电系统(架空线路)实操考核设备位/作业环境显示屏：系统支持考生对天气（含晴天、雨、雪、雾场景）、温度、风向、风力环境进行选择,手动切换作业环境信息。</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提供三张设备照片，</w:t>
            </w:r>
            <w:r>
              <w:rPr>
                <w:rFonts w:ascii="FangSong" w:hAnsi="FangSong" w:eastAsia="FangSong" w:cs="FangSong"/>
                <w:b/>
                <w:color w:val="000000"/>
                <w:sz w:val="24"/>
                <w:highlight w:val="cyan"/>
              </w:rPr>
              <w:t xml:space="preserve">得2分</w:t>
            </w:r>
            <w:r>
              <w:rPr>
                <w:rFonts w:ascii="FangSong" w:hAnsi="FangSong" w:eastAsia="FangSong" w:cs="FangSong"/>
                <w:b/>
                <w:color w:val="000000"/>
                <w:sz w:val="24"/>
              </w:rPr>
              <w:t xml:space="preserve">。</w:t>
            </w:r>
            <w:r/>
          </w:p>
          <w:p>
            <w:pPr>
              <w:ind w:left="0" w:right="0" w:firstLine="48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7.所投高处作业实操考试系统/k34登杆登塔考核设备：具有CNA或CMA或ilac-MRA认证标识的检验报告及安全生产许可证。得1分；</w:t>
            </w:r>
            <w:r/>
          </w:p>
          <w:p>
            <w:pPr>
              <w:ind w:left="0" w:right="0" w:firstLine="482"/>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须提供检验报告扫描件，同时提供全国认证认可信息公共服务平台查询截图。</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8.所投焊条电弧焊高处实操考核设备（k31）/移动式操作平台(门式架)，提供铝合金脚手架检测报告及结构效果图的，得1分；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须提供检测报告及结构效果图并加盖投标CA签章。</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9、所投高处作业实操考试系统/登杆登塔考核设备（k34）/铁塔,具有封面具有CNAS或CMA或ilac-MRA认证标识的检验报告及安全生产许可证。得1分；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须提供检验报告及安全生产许可证扫描件。同时提供检验报告全国认证认可信息公共服务平台查询截图</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10.所投高处作业/登杆登塔考位（K34）/铁塔,具有CNAS或CMA或ilac-MRA认证标识的检验报告,得1分。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须提供检验报告扫描件，同时提供全国认证认可信息公共服务平台查询截图。</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11.所投熔化焊接作业/作业现场安全隐患排除考位K21/平地焊条电弧焊作业现场风险隐患辨识实物实操装置；</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提供平地焊接作业隐患排除实物实操装置的场景搭设实拍照片，以此证明所投装置的真实性，确保装置符合本招标参数中对核心组件配置、隐患点设置及场景营造的各项要求，得1分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12.所投熔化焊接作业/作业现场安全隐患排除考位K21/平地气焊作业现场风险隐患辨识实物实操装置</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提供平地气焊作业隐患排除实物实操装置的场景搭设实拍照片，以此证明所投装置的真实性，确保装置符合本招标参数中对核心组件配置、隐患点设置及场景营造的各项要求，得1分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13.熔化焊接作业/作业现场安全隐患排除考位K21/高处气割作业现场风险隐患辨识实物实操装置</w:t>
            </w:r>
            <w:r>
              <w:rPr>
                <w:rFonts w:ascii="FangSong" w:hAnsi="FangSong" w:eastAsia="FangSong" w:cs="FangSong"/>
                <w:b/>
                <w:color w:val="000000"/>
                <w:sz w:val="24"/>
              </w:rPr>
              <w:t xml:space="preserve">；</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提供平地焊接作业隐患排除实物实操装置的场景搭设实拍照片，以此证明所投装置的真实性，确保装置符合本招标参数中对核心组件配置、隐患点设置及场景营造的各项要求，得1分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14.所投公共区域摄像头（1分），具备：</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（1）开启智能行为分析功能后，设备在黑白模式下采用红外补光，当检测到目标后，可自动开启白光补光并切换到彩色模式，得0.5分；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（2）在IE浏览器下，具有双通道图像参数设置选项，可分别设置通道1、通道2的图像参数，得0.5分；</w:t>
            </w:r>
            <w:r/>
          </w:p>
          <w:p>
            <w:pPr>
              <w:ind w:left="0" w:right="0" w:firstLine="440"/>
              <w:jc w:val="both"/>
              <w:spacing w:before="0" w:after="0" w:line="2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提供公安部有效检测</w:t>
            </w:r>
            <w:r>
              <w:rPr>
                <w:rFonts w:ascii="FangSong" w:hAnsi="FangSong" w:eastAsia="FangSong" w:cs="FangSong"/>
                <w:b/>
                <w:color w:val="000000"/>
                <w:sz w:val="24"/>
                <w:highlight w:val="white"/>
              </w:rPr>
              <w:t xml:space="preserve">报告复印件。</w:t>
            </w:r>
            <w:r>
              <w:rPr>
                <w:highlight w:val="white"/>
              </w:rPr>
            </w:r>
          </w:p>
          <w:p>
            <w:pPr>
              <w:ind w:left="0" w:right="0" w:firstLine="440"/>
              <w:jc w:val="both"/>
              <w:spacing w:before="0" w:after="0" w:line="2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15.所投考试间摄像头（</w:t>
            </w:r>
            <w:r>
              <w:rPr>
                <w:rFonts w:ascii="FangSong" w:hAnsi="FangSong" w:eastAsia="FangSong" w:cs="FangSong"/>
                <w:color w:val="c0504d"/>
                <w:sz w:val="24"/>
                <w:highlight w:val="white"/>
              </w:rPr>
              <w:t xml:space="preserve">2分</w:t>
            </w:r>
            <w:r>
              <w:rPr>
                <w:rFonts w:ascii="FangSong" w:hAnsi="FangSong" w:eastAsia="FangSong" w:cs="FangSong"/>
                <w:color w:val="000000"/>
                <w:sz w:val="24"/>
                <w:highlight w:val="white"/>
              </w:rPr>
              <w:t xml:space="preserve">），具备：</w:t>
            </w:r>
            <w:r>
              <w:rPr>
                <w:highlight w:val="white"/>
              </w:rP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（1）设备内置4颗混合补光灯,可</w:t>
            </w:r>
            <w:r>
              <w:rPr>
                <w:rFonts w:ascii="FangSong" w:hAnsi="FangSong" w:eastAsia="FangSong" w:cs="FangSong"/>
                <w:color w:val="000000"/>
                <w:sz w:val="24"/>
              </w:rPr>
              <w:t xml:space="preserve">同时开启4颗红外补光灯或4颗白光补光灯，得0.5分；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（2）支持对人、机动车、全部(人或机动车)进行检测,当小狗、树叶等非人或车辆目标经过检测区域时,不会触发报警的，得0.5分；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（3）当补光灯开启后,补光亮度均匀,无明显波纹状、圆环状、麻点状、条纹状及不规则亮斑，得0.5分；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（4）设备可同时采用DC12V电源与POE供电,当一路电源停止供电后,样机可正常工作的，得0.5分。</w:t>
            </w:r>
            <w:r/>
          </w:p>
          <w:p>
            <w:pPr>
              <w:ind w:left="0" w:right="0" w:firstLine="440"/>
              <w:jc w:val="both"/>
              <w:spacing w:before="0" w:after="0" w:line="259" w:lineRule="atLeast"/>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提供公安部有效检</w:t>
            </w:r>
            <w:r>
              <w:rPr>
                <w:rFonts w:ascii="FangSong" w:hAnsi="FangSong" w:eastAsia="FangSong" w:cs="FangSong"/>
                <w:b/>
                <w:color w:val="000000"/>
                <w:sz w:val="24"/>
                <w:highlight w:val="white"/>
              </w:rPr>
              <w:t xml:space="preserve">测报告复印件</w:t>
            </w:r>
            <w:r>
              <w:rPr>
                <w:rFonts w:ascii="FangSong" w:hAnsi="FangSong" w:eastAsia="FangSong" w:cs="FangSong"/>
                <w:color w:val="000000"/>
                <w:sz w:val="24"/>
                <w:highlight w:val="white"/>
              </w:rPr>
              <w:t xml:space="preserve">。</w:t>
            </w:r>
            <w:r>
              <w:rPr>
                <w:highlight w:val="white"/>
              </w:rP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16.所投硬盘录像机（</w:t>
            </w:r>
            <w:r>
              <w:rPr>
                <w:rFonts w:ascii="FangSong" w:hAnsi="FangSong" w:eastAsia="FangSong" w:cs="FangSong"/>
                <w:color w:val="c0504d"/>
                <w:sz w:val="24"/>
                <w:highlight w:val="white"/>
              </w:rPr>
              <w:t xml:space="preserve">2分</w:t>
            </w:r>
            <w:r>
              <w:rPr>
                <w:rFonts w:ascii="FangSong" w:hAnsi="FangSong" w:eastAsia="FangSong" w:cs="FangSong"/>
                <w:color w:val="000000"/>
                <w:sz w:val="24"/>
                <w:highlight w:val="white"/>
              </w:rPr>
              <w:t xml:space="preserve">）</w:t>
            </w:r>
            <w:r>
              <w:rPr>
                <w:rFonts w:ascii="FangSong" w:hAnsi="FangSong" w:eastAsia="FangSong" w:cs="FangSong"/>
                <w:color w:val="000000"/>
                <w:sz w:val="24"/>
              </w:rPr>
              <w:t xml:space="preserve">，具备：</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（1）最大支持128路IPC接入，总码流为1600Mbps；最大存储码流为1600Mbps；最大转发码流为1280Mbps；最大回放码流为1280Mbps，得0.5分；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可自适应接入H.265、H.264、MPEG4、MJPEG、SmartH.264、SmartH.265、SVAC编码格式的网络视频并解码支持3路分辨率为8192×3840、帧率为25fps或8路分辨率为4000×3000、帧率为25fps或12路分辨率为4096×2160、帧率为25fps或24路分辨率为2560×1440、帧率为30fps或48路分辨率为1920×1080、帧率为30fps的视频，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（3）支持融合屏输出模式，支持将4个输出屏融合成1个完整画面。融合屏模式支持最大输出8K分辨率视频信号，得0.5分；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（4）内置1颗国产化芯片，具有1个内置扬声器、2个VGA接口、2个HDMI接口、2个DP接口、2个V-DP接口、12个SATA接口，得0.5分。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提供公安部有效检测报告复印件</w:t>
            </w:r>
            <w:r>
              <w:rPr>
                <w:rFonts w:ascii="FangSong" w:hAnsi="FangSong" w:eastAsia="FangSong" w:cs="FangSong"/>
                <w:color w:val="000000"/>
                <w:sz w:val="24"/>
              </w:rPr>
              <w:t xml:space="preserve">。</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17.所投监控交换机</w:t>
            </w:r>
            <w:r>
              <w:rPr>
                <w:rFonts w:ascii="FangSong" w:hAnsi="FangSong" w:eastAsia="FangSong" w:cs="FangSong"/>
                <w:color w:val="000000"/>
                <w:sz w:val="24"/>
                <w:highlight w:val="white"/>
              </w:rPr>
              <w:t xml:space="preserve">（</w:t>
            </w:r>
            <w:r>
              <w:rPr>
                <w:rFonts w:ascii="FangSong" w:hAnsi="FangSong" w:eastAsia="FangSong" w:cs="FangSong"/>
                <w:color w:val="c0504d"/>
                <w:sz w:val="24"/>
                <w:highlight w:val="white"/>
              </w:rPr>
              <w:t xml:space="preserve">3分</w:t>
            </w:r>
            <w:r>
              <w:rPr>
                <w:rFonts w:ascii="FangSong" w:hAnsi="FangSong" w:eastAsia="FangSong" w:cs="FangSong"/>
                <w:color w:val="000000"/>
                <w:sz w:val="24"/>
                <w:highlight w:val="white"/>
              </w:rPr>
              <w:t xml:space="preserve">），具</w:t>
            </w:r>
            <w:r>
              <w:rPr>
                <w:rFonts w:ascii="FangSong" w:hAnsi="FangSong" w:eastAsia="FangSong" w:cs="FangSong"/>
                <w:color w:val="000000"/>
                <w:sz w:val="24"/>
              </w:rPr>
              <w:t xml:space="preserve">备：</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（1）交换容量≥672Gbps，包转发率≥126Mpps，以官网最小值为准，</w:t>
            </w:r>
            <w:r>
              <w:rPr>
                <w:rFonts w:ascii="FangSong" w:hAnsi="FangSong" w:eastAsia="FangSong" w:cs="FangSong"/>
                <w:b/>
                <w:color w:val="000000"/>
                <w:sz w:val="24"/>
              </w:rPr>
              <w:t xml:space="preserve">提供官网相关截图证明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（2）固化10/100/1000M以太网电口≥8个，1G/2.5G/10G SFP+光接口≥1个</w:t>
            </w:r>
            <w:r>
              <w:rPr>
                <w:rFonts w:ascii="FangSong" w:hAnsi="FangSong" w:eastAsia="FangSong" w:cs="FangSong"/>
                <w:b/>
                <w:color w:val="000000"/>
                <w:sz w:val="24"/>
              </w:rPr>
              <w:t xml:space="preserve">，提供官网相关截图证明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（3）设备采用静音设计，噪声值＜20dBA，</w:t>
            </w:r>
            <w:r>
              <w:rPr>
                <w:rFonts w:ascii="FangSong" w:hAnsi="FangSong" w:eastAsia="FangSong" w:cs="FangSong"/>
                <w:b/>
                <w:color w:val="000000"/>
                <w:sz w:val="24"/>
              </w:rPr>
              <w:t xml:space="preserve">提供官网相关截图证明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（4）为保证设备在可各类工况下稳定运转，所投产品为工业级金属机身无风扇设计，IK防护测试级别至少达到IK05，</w:t>
            </w:r>
            <w:r>
              <w:rPr>
                <w:rFonts w:ascii="FangSong" w:hAnsi="FangSong" w:eastAsia="FangSong" w:cs="FangSong"/>
                <w:b/>
                <w:color w:val="000000"/>
                <w:sz w:val="24"/>
              </w:rPr>
              <w:t xml:space="preserve">提供官网截图和国家认可的检测机构出具的IK防护等级测试报告证明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（5）支持光模块与光链路故障的自动告警：在服务器端的拓扑中展示并查看详细信息，包括提供告警原因分析与处理建议，</w:t>
            </w:r>
            <w:r>
              <w:rPr>
                <w:rFonts w:ascii="FangSong" w:hAnsi="FangSong" w:eastAsia="FangSong" w:cs="FangSong"/>
                <w:b/>
                <w:color w:val="000000"/>
                <w:sz w:val="24"/>
              </w:rPr>
              <w:t xml:space="preserve">提供具有CMA或CNAS认证章的第三方权威机构检验报告证明</w:t>
            </w:r>
            <w:r>
              <w:rPr>
                <w:rFonts w:ascii="FangSong" w:hAnsi="FangSong" w:eastAsia="FangSong" w:cs="FangSong"/>
                <w:color w:val="000000"/>
                <w:sz w:val="24"/>
              </w:rPr>
              <w:t xml:space="preserve">的，得0.5分；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（6）支持光链路故障移动运维：当交换机上行链路断开、无法被网管软件发现纳管时，通过手机扫码一键拉取链路全部信息，无需逐点排查，快速定位异常，并给出故障诊断及处理意见，</w:t>
            </w:r>
            <w:r>
              <w:rPr>
                <w:rFonts w:ascii="FangSong" w:hAnsi="FangSong" w:eastAsia="FangSong" w:cs="FangSong"/>
                <w:b/>
                <w:color w:val="000000"/>
                <w:sz w:val="24"/>
              </w:rPr>
              <w:t xml:space="preserve">提供具有CMA或CNAS认证章的第三方权威机构检验报告证明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18.所投汇聚交换机，具备：</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设备采用静音无风扇节能设计，</w:t>
            </w:r>
            <w:r>
              <w:rPr>
                <w:rFonts w:ascii="FangSong" w:hAnsi="FangSong" w:eastAsia="FangSong" w:cs="FangSong"/>
                <w:b/>
                <w:color w:val="000000"/>
                <w:sz w:val="24"/>
              </w:rPr>
              <w:t xml:space="preserve">提供官网截图和链接</w:t>
            </w:r>
            <w:r>
              <w:rPr>
                <w:rFonts w:ascii="FangSong" w:hAnsi="FangSong" w:eastAsia="FangSong" w:cs="FangSong"/>
                <w:color w:val="000000"/>
                <w:sz w:val="24"/>
              </w:rPr>
              <w:t xml:space="preserve">，得1分；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19.所投楼层接入交换机</w:t>
            </w:r>
            <w:r>
              <w:rPr>
                <w:rFonts w:ascii="FangSong" w:hAnsi="FangSong" w:eastAsia="FangSong" w:cs="FangSong"/>
                <w:color w:val="000000"/>
                <w:sz w:val="24"/>
                <w:highlight w:val="white"/>
              </w:rPr>
              <w:t xml:space="preserve">（</w:t>
            </w:r>
            <w:r>
              <w:rPr>
                <w:rFonts w:ascii="FangSong" w:hAnsi="FangSong" w:eastAsia="FangSong" w:cs="FangSong"/>
                <w:color w:val="c0504d"/>
                <w:sz w:val="24"/>
                <w:highlight w:val="white"/>
              </w:rPr>
              <w:t xml:space="preserve">2分</w:t>
            </w:r>
            <w:r>
              <w:rPr>
                <w:rFonts w:ascii="FangSong" w:hAnsi="FangSong" w:eastAsia="FangSong" w:cs="FangSong"/>
                <w:color w:val="000000"/>
                <w:sz w:val="24"/>
                <w:highlight w:val="white"/>
              </w:rPr>
              <w:t xml:space="preserve">），</w:t>
            </w:r>
            <w:r>
              <w:rPr>
                <w:rFonts w:ascii="FangSong" w:hAnsi="FangSong" w:eastAsia="FangSong" w:cs="FangSong"/>
                <w:color w:val="000000"/>
                <w:sz w:val="24"/>
              </w:rPr>
              <w:t xml:space="preserve">具备：</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（1）交换容量≥672Gbps，包转发率≥126Mpps，</w:t>
            </w:r>
            <w:r>
              <w:rPr>
                <w:rFonts w:ascii="FangSong" w:hAnsi="FangSong" w:eastAsia="FangSong" w:cs="FangSong"/>
                <w:b/>
                <w:color w:val="000000"/>
                <w:sz w:val="24"/>
              </w:rPr>
              <w:t xml:space="preserve">以官网最小值为准，提供官网截图和链接证明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（2）采用绿色环保设计，整机最大功耗≤16W，</w:t>
            </w:r>
            <w:r>
              <w:rPr>
                <w:rFonts w:ascii="FangSong" w:hAnsi="FangSong" w:eastAsia="FangSong" w:cs="FangSong"/>
                <w:b/>
                <w:color w:val="000000"/>
                <w:sz w:val="24"/>
              </w:rPr>
              <w:t xml:space="preserve">提供官网截图和链接证明，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（3）交换机支持零配置上线。根据不同区域的业务创建相应业务模板后，绑定设备区域位置信息，设备开箱上电后配置即可自动从软件下发，无需在接入设备端刷入配置；</w:t>
            </w:r>
            <w:r>
              <w:rPr>
                <w:rFonts w:ascii="FangSong" w:hAnsi="FangSong" w:eastAsia="FangSong" w:cs="FangSong"/>
                <w:b/>
                <w:color w:val="000000"/>
                <w:sz w:val="24"/>
              </w:rPr>
              <w:t xml:space="preserve">提供具有CMA或CAL或CNAS认证章的第三方权威机构检验报告证明，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（4）支持光模块与光链路运维检测与故障告警，并可在拓扑中呈现并查看详细信息，包括提供告警原因分析与处理建议；</w:t>
            </w:r>
            <w:r>
              <w:rPr>
                <w:rFonts w:ascii="FangSong" w:hAnsi="FangSong" w:eastAsia="FangSong" w:cs="FangSong"/>
                <w:b/>
                <w:color w:val="000000"/>
                <w:sz w:val="24"/>
              </w:rPr>
              <w:t xml:space="preserve">提供具有CMA或CAL或CNAS认证章的第三方权威机构检验报告证明，</w:t>
            </w:r>
            <w:r>
              <w:rPr>
                <w:rFonts w:ascii="FangSong" w:hAnsi="FangSong" w:eastAsia="FangSong" w:cs="FangSong"/>
                <w:color w:val="000000"/>
                <w:sz w:val="24"/>
              </w:rPr>
              <w:t xml:space="preserve">得0.5分。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20.所投路由器，具备多功能健，支持一键升级一键开局功能，支持通过URL(手机/PC)、U盘、邮件、DHCP等多种配置开局，得1分。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须提供官网截图；</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w:t>
            </w:r>
            <w:r>
              <w:rPr>
                <w:rFonts w:ascii="FangSong" w:hAnsi="FangSong" w:eastAsia="FangSong" w:cs="FangSong"/>
                <w:color w:val="000000"/>
                <w:sz w:val="24"/>
              </w:rPr>
              <w:t xml:space="preserve">.焊接考试工位要求符合市焊接考试场地建设标准，各投标人在投标文件中清楚描述工位尺寸、材料以及结构方式等详细内容，并提供工位建设效果图的，</w:t>
            </w:r>
            <w:r>
              <w:rPr>
                <w:rFonts w:ascii="FangSong" w:hAnsi="FangSong" w:eastAsia="FangSong" w:cs="FangSong"/>
                <w:color w:val="000000"/>
                <w:sz w:val="24"/>
                <w:highlight w:val="white"/>
              </w:rPr>
              <w:t xml:space="preserve">得</w:t>
            </w:r>
            <w:r>
              <w:rPr>
                <w:rFonts w:ascii="FangSong" w:hAnsi="FangSong" w:eastAsia="FangSong" w:cs="FangSong"/>
                <w:color w:val="000000"/>
                <w:sz w:val="24"/>
                <w:highlight w:val="white"/>
              </w:rPr>
              <w:t xml:space="preserve">2分</w:t>
            </w:r>
            <w:r>
              <w:rPr>
                <w:rFonts w:ascii="FangSong" w:hAnsi="FangSong" w:eastAsia="FangSong" w:cs="FangSong"/>
                <w:color w:val="000000"/>
                <w:sz w:val="24"/>
              </w:rPr>
              <w:t xml:space="preserve">。</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须提供效果图，且效果图科学合理，能够满足采购人本项目实际需求，不提供或虽提供但过于简单不满足本项目需求的不得分。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依照招标人主体应遵守的相关文件和制度，根据本项目规划场地图纸和应急管理部2025年5月6日下发(应急〔2025〕41号） 《安全生产考试机构和考试点管理规定》的相关要求，投标人提供详细的项目由优化设计方案，方案包括：</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1.对本项目认识及理解；</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2.考试项目布局优化设计方案；</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3.消防通道、气瓶存放方案。</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上述3方面内容中每缺少一项内容扣2分，每有一处需求分析内容存在缺陷或不足的扣1分，扣完为止。（本项最多得2分）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本项最多得6分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注：实施方案内容存在缺陷或不足是指以下任意一种情形：</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供货安装调试方案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根据投标人所提供的供货安装调试方案进行综合评审。方案需包含以下内容：</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1.供货安装管理规划；</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2.试运行方案；</w:t>
            </w:r>
            <w:r/>
          </w:p>
          <w:p>
            <w:pPr>
              <w:ind w:left="0" w:right="0" w:firstLine="482"/>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上述2方面内容中每缺少一项内容扣1分，每有一处需求分析内容存在缺陷或不足的扣0.5分，扣完为止。（本项最多得2分）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注：实施方案内容存在缺陷或不足是指以下任意一种情形：</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根据投标人所提供的培训方案进行综合评审：方案需包含以下内容：</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1.人员培训承诺；</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2.培训计划；</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3.培训内容与方式；</w:t>
              <w:br/>
            </w:r>
            <w:r>
              <w:rPr>
                <w:rFonts w:ascii="FangSong" w:hAnsi="FangSong" w:eastAsia="FangSong" w:cs="FangSong"/>
                <w:b/>
                <w:color w:val="000000"/>
                <w:sz w:val="24"/>
              </w:rPr>
              <w:t xml:space="preserve">上述4方面内容中每缺少一项内容扣2分，每有一处需求分析内容存在缺陷或不足的扣1分，扣完为止。(本项最多得6分)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注：实施方案内容存在缺陷或不足是指以下任意一种情形：</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根据投标人所提供的售后服务方案进行综合评审。方案需包含以下内容：</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1.售后服务内容；</w:t>
            </w:r>
            <w:r/>
          </w:p>
          <w:p>
            <w:pPr>
              <w:ind w:left="0" w:right="0" w:firstLine="48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2.服务请求响应体系方案。</w:t>
              <w:br/>
            </w:r>
            <w:r>
              <w:rPr>
                <w:rFonts w:ascii="FangSong" w:hAnsi="FangSong" w:eastAsia="FangSong" w:cs="FangSong"/>
                <w:b/>
                <w:color w:val="000000"/>
                <w:sz w:val="24"/>
              </w:rPr>
              <w:t xml:space="preserve">上述2方面内容中每缺少一项内容扣1分，每有一处需求分析内容存在缺陷或不足的扣0.5分，扣完为止。(本项最多得2分)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注：实施方案内容存在缺陷或不足是指以下任意一种情形：</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具有ISO9001质量管理体系认证、ISO14001环境管理体系认证、ISO45001职业健康安全管理体系认证、ISO27001信息安全管理体系统认证、ISO20000信息技术服务管理体系认证、知识产权合规管理体系认证证书的，每有1个得0.5分；本项最多得3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须提供相应认证证书扫描件以及全国认证认可信息公共服务平台查询截图，不提供或提供不全不得分。</w:t>
              <w:br/>
            </w:r>
            <w:r>
              <w:rPr>
                <w:rFonts w:ascii="FangSong" w:hAnsi="FangSong" w:eastAsia="FangSong" w:cs="FangSong"/>
                <w:color w:val="000000"/>
                <w:sz w:val="24"/>
              </w:rPr>
              <w:t xml:space="preserve">  2.投标人具有ITSS信息技术服务标准符合性证书，一级得2分，二级得1.5分，三级及以下得1分，不提供不得分；本项最多得2分。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3.投标人具备信息系统建设和服务能力（CS）等级证书，CS5级的得2分；CS4级的得1.5分；CS3及以下级别的得1分；不具备不得分。本项最多得2分。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4.投标人具备电子与智能化工程专业承包资质，一级的得1分，二级的得0.5分；本项最多得1分。</w:t>
              <w:br/>
              <w:t xml:space="preserve">    </w:t>
            </w:r>
            <w:r>
              <w:rPr>
                <w:rFonts w:ascii="FangSong" w:hAnsi="FangSong" w:eastAsia="FangSong" w:cs="FangSong"/>
                <w:b/>
                <w:color w:val="000000"/>
                <w:sz w:val="24"/>
              </w:rPr>
              <w:t xml:space="preserve">以上2-4项须提供相应证书扫描件，且证书须在有效期内，未按要求提供不得分。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项目服务团队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1.投标人拟派项目负责人具有信息系统项目管理师（高级）证书、系统集成项目管理工程师、特种作业操作证、中级或以上职称资格的，符合一项得1分，本项最多得3分。</w:t>
              <w:br/>
              <w:t xml:space="preserve">    2.投标人拟派技术负责人，具有信息系统项目管理师（高级）证书、高级工程师资格，符合1项得0.5分，本项最多得1分。</w:t>
              <w:br/>
              <w:t xml:space="preserve">    3.投标人拟派项目组其他成员（项目负责人、技术负责人除外）具有注册安全工程师、注册信息安全工程师证书、网络工程师、系统集成项目管理工程师、特种作业操作证（高压电工）、特种作业操作证（低压电工）资格的，每提供一种得0.5分，满</w:t>
            </w:r>
            <w:r>
              <w:rPr>
                <w:rFonts w:ascii="FangSong" w:hAnsi="FangSong" w:eastAsia="FangSong" w:cs="FangSong"/>
                <w:color w:val="000000"/>
                <w:sz w:val="24"/>
              </w:rPr>
              <w:t xml:space="preserve">分3分，本项最多得3分。</w:t>
              <w:br/>
              <w:t xml:space="preserve">    </w:t>
            </w:r>
            <w:r>
              <w:rPr>
                <w:rFonts w:ascii="FangSong" w:hAnsi="FangSong" w:eastAsia="FangSong" w:cs="FangSong"/>
                <w:b/>
                <w:color w:val="000000"/>
                <w:sz w:val="24"/>
              </w:rPr>
              <w:t xml:space="preserve">以上1-3项中同一人员不重复计分。提供上述人员的相应证书扫描件，同时提供投标截止日前3个月内任意一个月投标人为上述人员缴纳社保的证明资料，未按要求提供者不得分。说明：如职称证书上未明确专业的则另需提供所要求专业的学历证书或职称评审表（职称评审表须齐全，不得漏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2021年1月1日以来投标人或产品制造商承担过类似项目业绩的（时间以合同签订日期为准），每提供1项业绩得1分，最高得3分。</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类似项目指项目中的销售主要产品包含：低压电工作业实际操作考场考位主要设备；高压电工作业实际操作考场考位主要设备；熔化焊接与热切割作业实际操作考场考位主要设备；高处安装、维护、拆除作业实际操作考场考位主要设备等至少一项。</w:t>
              <w:br/>
              <w:t xml:space="preserve">    </w:t>
            </w:r>
            <w:r>
              <w:rPr>
                <w:rFonts w:ascii="FangSong" w:hAnsi="FangSong" w:eastAsia="FangSong" w:cs="FangSong"/>
                <w:b/>
                <w:color w:val="000000"/>
                <w:sz w:val="24"/>
              </w:rPr>
              <w:t xml:space="preserve">须提供合同扫描件，提供不全不得分。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ind w:left="0" w:right="0" w:firstLine="44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价格分应当采用低价优先法计算，即满足招标文件要求且投标价格最低的投标报价为评标基准价，其价格分为满分。其他投标人的价格分统一按照下列公式计算：</w:t>
            </w:r>
            <w:r/>
          </w:p>
          <w:p>
            <w:pPr>
              <w:ind w:left="0" w:right="0" w:firstLine="44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投标报价得分=（评标基准价／投标报价）×价格分分值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tcPr>
          <w:p>
            <w:pPr>
              <w:spacing w:before="0" w:after="0" w:line="57" w:lineRule="atLeast"/>
            </w:pPr>
            <w:r/>
            <w:r/>
          </w:p>
        </w:tc>
      </w:tr>
    </w:tbl>
    <w:p>
      <w:pPr>
        <w:ind w:firstLine="562"/>
        <w:rPr>
          <w:rFonts w:hint="eastAsia" w:ascii="仿宋" w:hAnsi="仿宋" w:eastAsia="仿宋"/>
          <w:b/>
          <w:bCs/>
          <w:color w:val="auto"/>
          <w:sz w:val="28"/>
          <w:szCs w:val="28"/>
          <w:highlight w:val="none"/>
        </w:rPr>
        <w:outlineLvl w:val="1"/>
      </w:pPr>
      <w:r>
        <w:rPr>
          <w:rFonts w:hint="eastAsia" w:ascii="仿宋" w:hAnsi="仿宋" w:eastAsia="仿宋"/>
          <w:b/>
          <w:bCs/>
          <w:color w:val="auto"/>
          <w:sz w:val="28"/>
          <w:szCs w:val="28"/>
          <w:highlight w:val="none"/>
          <w:lang w:val="en-US" w:eastAsia="zh-CN"/>
        </w:rPr>
        <w:t xml:space="preserve">1.上述投标文件中所提供的相关证书等证明材料如有有效期的均须在有效期内。</w:t>
      </w:r>
      <w:r/>
    </w:p>
    <w:p>
      <w:pPr>
        <w:ind w:firstLine="562"/>
        <w:rPr>
          <w:rFonts w:hint="eastAsia" w:ascii="仿宋" w:hAnsi="仿宋" w:eastAsia="仿宋"/>
          <w:b/>
          <w:bCs/>
          <w:color w:val="auto"/>
          <w:sz w:val="28"/>
          <w:szCs w:val="28"/>
          <w:highlight w:val="none"/>
          <w:lang w:val="en-US" w:eastAsia="zh-CN"/>
        </w:rPr>
        <w:outlineLvl w:val="1"/>
      </w:pPr>
      <w:r>
        <w:rPr>
          <w:rFonts w:hint="eastAsia" w:ascii="仿宋" w:hAnsi="仿宋" w:eastAsia="仿宋"/>
          <w:b/>
          <w:bCs/>
          <w:color w:val="auto"/>
          <w:sz w:val="28"/>
          <w:szCs w:val="28"/>
          <w:highlight w:val="none"/>
          <w:lang w:val="en-US" w:eastAsia="zh-CN"/>
        </w:rPr>
        <w:t xml:space="preserve">2.在确认采购结果之前，采购人将对中标人投标文件中所提供的证明文件进行核实，如发现不一致，则另行确定中标结果。</w:t>
      </w:r>
      <w:r/>
    </w:p>
    <w:p>
      <w:pPr>
        <w:ind w:firstLine="562"/>
        <w:rPr>
          <w:rFonts w:hint="eastAsia" w:ascii="仿宋" w:hAnsi="仿宋" w:eastAsia="仿宋"/>
          <w:b/>
          <w:bCs/>
          <w:color w:val="auto"/>
          <w:sz w:val="28"/>
          <w:szCs w:val="28"/>
          <w:highlight w:val="none"/>
        </w:rPr>
        <w:outlineLvl w:val="1"/>
      </w:pPr>
      <w:r>
        <w:rPr>
          <w:rFonts w:hint="eastAsia" w:ascii="仿宋" w:hAnsi="仿宋" w:eastAsia="仿宋"/>
          <w:b/>
          <w:bCs/>
          <w:color w:val="auto"/>
          <w:sz w:val="28"/>
          <w:szCs w:val="28"/>
          <w:highlight w:val="none"/>
          <w:lang w:val="en-US" w:eastAsia="zh-CN"/>
        </w:rPr>
        <w:t xml:space="preserve">3.本项目商务技术评分标准中，投标人需有序放置于相应投标文件中，并在制作电子投标文件时设置好跳转，对重点部分着重标注标识，便于评委检索。若因错放，漏放造成的不得分情况由投标人自行承担。</w:t>
      </w:r>
      <w:r/>
    </w:p>
    <w:p>
      <w:pPr>
        <w:ind w:firstLine="560"/>
        <w:rPr>
          <w:rFonts w:hint="eastAsia" w:ascii="仿宋" w:hAnsi="仿宋" w:eastAsia="仿宋"/>
          <w:color w:val="auto"/>
          <w:sz w:val="28"/>
          <w:szCs w:val="28"/>
          <w:highlight w:val="none"/>
        </w:rPr>
        <w:outlineLvl w:val="1"/>
      </w:pPr>
      <w:r>
        <w:rPr>
          <w:rFonts w:hint="eastAsia" w:ascii="仿宋" w:hAnsi="仿宋" w:eastAsia="仿宋"/>
          <w:color w:val="auto"/>
          <w:sz w:val="28"/>
          <w:szCs w:val="28"/>
          <w:highlight w:val="none"/>
        </w:rPr>
      </w:r>
      <w:r/>
    </w:p>
    <w:p>
      <w:pPr>
        <w:rPr>
          <w:highlight w:val="none"/>
        </w:rPr>
      </w:pPr>
      <w:r>
        <w:rPr>
          <w:highlight w:val="none"/>
        </w:rPr>
        <w:br w:type="page" w:clear="all"/>
      </w:r>
      <w:r/>
    </w:p>
    <w:p>
      <w:pPr>
        <w:rPr>
          <w:highlight w:val="none"/>
        </w:rPr>
      </w:pPr>
      <w:r>
        <w:rPr>
          <w:highlight w:val="none"/>
        </w:rPr>
      </w:r>
      <w:r/>
    </w:p>
    <w:p>
      <w:pPr>
        <w:pStyle w:val="883"/>
        <w:ind w:firstLine="0"/>
        <w:jc w:val="center"/>
        <w:spacing w:line="240" w:lineRule="auto"/>
        <w:rPr>
          <w:rFonts w:hint="eastAsia" w:ascii="方正小标宋简体" w:eastAsia="方正小标宋简体"/>
          <w:color w:val="auto"/>
          <w:sz w:val="32"/>
          <w:szCs w:val="32"/>
          <w:highlight w:val="none"/>
        </w:rPr>
        <w:outlineLvl w:val="0"/>
      </w:pPr>
      <w:r/>
      <w:bookmarkStart w:id="120" w:name="_Toc7863"/>
      <w:r/>
      <w:bookmarkStart w:id="121" w:name="_Toc5770"/>
      <w:r>
        <w:rPr>
          <w:rFonts w:hint="eastAsia" w:ascii="方正小标宋简体" w:eastAsia="方正小标宋简体"/>
          <w:color w:val="auto"/>
          <w:sz w:val="32"/>
          <w:szCs w:val="32"/>
          <w:highlight w:val="none"/>
        </w:rPr>
        <w:t xml:space="preserve">第6章 投标文件组成</w:t>
      </w:r>
      <w:bookmarkEnd w:id="120"/>
      <w:r/>
      <w:bookmarkEnd w:id="121"/>
      <w:r/>
      <w:r/>
    </w:p>
    <w:p>
      <w:pPr>
        <w:pStyle w:val="883"/>
        <w:ind w:firstLine="0"/>
        <w:jc w:val="center"/>
        <w:spacing w:line="240" w:lineRule="auto"/>
        <w:rPr>
          <w:rFonts w:hint="eastAsia"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r>
      <w:r/>
    </w:p>
    <w:p>
      <w:pPr>
        <w:ind w:firstLine="880"/>
        <w:jc w:val="center"/>
        <w:rPr>
          <w:rFonts w:hint="eastAsia"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r>
      <w:r/>
    </w:p>
    <w:p>
      <w:pPr>
        <w:ind w:firstLine="2072"/>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r>
      <w:r/>
    </w:p>
    <w:p>
      <w:pPr>
        <w:ind w:firstLine="964"/>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项目名称：安全生产考试点特种作业考试设备更新项目</w:t>
      </w:r>
      <w:r/>
    </w:p>
    <w:p>
      <w:pPr>
        <w:ind w:firstLine="2072"/>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项目编号：JSZC-320682-NTJW-G2026-0021</w:t>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jc w:val="center"/>
        <w:rPr>
          <w:rFonts w:hint="default" w:ascii="宋体" w:hAnsi="宋体" w:eastAsia="宋体"/>
          <w:b/>
          <w:color w:val="auto"/>
          <w:sz w:val="32"/>
          <w:szCs w:val="32"/>
          <w:highlight w:val="none"/>
          <w:u w:val="single"/>
        </w:rPr>
      </w:pPr>
      <w:r>
        <w:rPr>
          <w:rFonts w:hint="default" w:ascii="宋体" w:hAnsi="宋体" w:eastAsia="宋体"/>
          <w:b/>
          <w:color w:val="auto"/>
          <w:sz w:val="32"/>
          <w:szCs w:val="32"/>
          <w:highlight w:val="none"/>
          <w:u w:val="single"/>
        </w:rPr>
      </w:r>
      <w:r/>
    </w:p>
    <w:p>
      <w:pPr>
        <w:pStyle w:val="877"/>
        <w:spacing w:line="240" w:lineRule="auto"/>
        <w:rPr>
          <w:rFonts w:hint="eastAsia" w:ascii="文鼎CS楷体" w:eastAsia="文鼎CS楷体"/>
          <w:b/>
          <w:color w:val="auto"/>
          <w:sz w:val="32"/>
          <w:szCs w:val="32"/>
          <w:highlight w:val="none"/>
        </w:rPr>
      </w:pPr>
      <w:r>
        <w:rPr>
          <w:rFonts w:hint="eastAsia" w:ascii="文鼎CS楷体" w:eastAsia="文鼎CS楷体"/>
          <w:b/>
          <w:color w:val="auto"/>
          <w:sz w:val="32"/>
          <w:szCs w:val="32"/>
          <w:highlight w:val="none"/>
        </w:rPr>
      </w:r>
      <w:r/>
    </w:p>
    <w:p>
      <w:pPr>
        <w:pStyle w:val="877"/>
        <w:spacing w:line="240" w:lineRule="auto"/>
        <w:rPr>
          <w:rFonts w:hint="eastAsia" w:ascii="文鼎CS楷体" w:eastAsia="文鼎CS楷体"/>
          <w:b/>
          <w:color w:val="auto"/>
          <w:sz w:val="32"/>
          <w:szCs w:val="32"/>
          <w:highlight w:val="none"/>
        </w:rPr>
      </w:pPr>
      <w:r>
        <w:rPr>
          <w:rFonts w:hint="eastAsia" w:ascii="文鼎CS楷体" w:eastAsia="文鼎CS楷体"/>
          <w:b/>
          <w:color w:val="auto"/>
          <w:sz w:val="32"/>
          <w:szCs w:val="32"/>
          <w:highlight w:val="none"/>
        </w:rPr>
      </w:r>
      <w:r/>
    </w:p>
    <w:p>
      <w:pPr>
        <w:rPr>
          <w:rFonts w:hint="eastAsia"/>
          <w:color w:val="auto"/>
          <w:sz w:val="32"/>
          <w:szCs w:val="32"/>
          <w:highlight w:val="none"/>
          <w:u w:val="single"/>
        </w:rPr>
      </w:pPr>
      <w:r>
        <w:rPr>
          <w:rFonts w:hint="default" w:ascii="宋体" w:eastAsia="宋体"/>
          <w:b/>
          <w:color w:val="auto"/>
          <w:sz w:val="32"/>
          <w:szCs w:val="32"/>
          <w:highlight w:val="none"/>
        </w:rPr>
        <w:t xml:space="preserve">供应商名称：</w:t>
      </w:r>
      <w:r/>
    </w:p>
    <w:p>
      <w:pPr>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地址： </w:t>
      </w:r>
      <w:r/>
    </w:p>
    <w:p>
      <w:pPr>
        <w:rPr>
          <w:rFonts w:hint="default" w:ascii="宋体" w:hAnsi="宋体" w:eastAsia="宋体"/>
          <w:b/>
          <w:color w:val="auto"/>
          <w:sz w:val="32"/>
          <w:szCs w:val="32"/>
          <w:highlight w:val="none"/>
        </w:rPr>
      </w:pPr>
      <w:r>
        <w:rPr>
          <w:rFonts w:hint="default" w:ascii="宋体" w:eastAsia="宋体"/>
          <w:b/>
          <w:color w:val="auto"/>
          <w:sz w:val="32"/>
          <w:szCs w:val="32"/>
          <w:highlight w:val="none"/>
        </w:rPr>
        <w:t xml:space="preserve">联系</w:t>
      </w:r>
      <w:r>
        <w:rPr>
          <w:rFonts w:hint="default" w:ascii="宋体" w:hAnsi="宋体" w:eastAsia="宋体"/>
          <w:b/>
          <w:color w:val="auto"/>
          <w:sz w:val="32"/>
          <w:szCs w:val="32"/>
          <w:highlight w:val="none"/>
        </w:rPr>
        <w:t xml:space="preserve">电话： </w:t>
      </w:r>
      <w:r/>
    </w:p>
    <w:p>
      <w:pPr>
        <w:jc w:val="center"/>
        <w:rPr>
          <w:rFonts w:hint="default" w:ascii="宋体" w:hAnsi="宋体" w:eastAsia="宋体"/>
          <w:b/>
          <w:color w:val="auto"/>
          <w:sz w:val="32"/>
          <w:szCs w:val="32"/>
          <w:highlight w:val="none"/>
        </w:rPr>
      </w:pPr>
      <w:r>
        <w:rPr>
          <w:rFonts w:hint="default" w:ascii="宋体" w:hAnsi="宋体" w:eastAsia="宋体"/>
          <w:b/>
          <w:color w:val="auto"/>
          <w:sz w:val="32"/>
          <w:szCs w:val="32"/>
          <w:highlight w:val="none"/>
        </w:rPr>
        <w:t xml:space="preserve">年月日</w:t>
      </w:r>
      <w:r/>
    </w:p>
    <w:p>
      <w:pPr>
        <w:ind w:firstLine="954"/>
        <w:rPr>
          <w:rFonts w:hint="eastAsia" w:ascii="黑体" w:hAnsi="黑体" w:eastAsia="黑体"/>
          <w:color w:val="auto"/>
          <w:sz w:val="28"/>
          <w:szCs w:val="28"/>
          <w:highlight w:val="none"/>
        </w:rPr>
        <w:outlineLvl w:val="1"/>
      </w:pPr>
      <w:r>
        <w:rPr>
          <w:rFonts w:hint="default" w:ascii="宋体" w:hAnsi="宋体" w:eastAsia="宋体"/>
          <w:b/>
          <w:color w:val="auto"/>
          <w:sz w:val="24"/>
          <w:szCs w:val="24"/>
          <w:highlight w:val="none"/>
        </w:rPr>
        <w:br w:type="page" w:clear="all"/>
      </w:r>
      <w:bookmarkStart w:id="122" w:name="_Toc28061"/>
      <w:r/>
      <w:bookmarkStart w:id="123" w:name="_Toc11193"/>
      <w:r>
        <w:rPr>
          <w:rFonts w:hint="eastAsia" w:ascii="黑体" w:hAnsi="黑体" w:eastAsia="黑体"/>
          <w:color w:val="auto"/>
          <w:sz w:val="28"/>
          <w:szCs w:val="28"/>
          <w:highlight w:val="none"/>
        </w:rPr>
        <w:t xml:space="preserve">一、开标一览表</w:t>
      </w:r>
      <w:bookmarkEnd w:id="122"/>
      <w:r/>
      <w:bookmarkEnd w:id="123"/>
      <w:r/>
      <w:r/>
    </w:p>
    <w:p>
      <w:pPr>
        <w:ind w:firstLine="720"/>
        <w:jc w:val="center"/>
        <w:rPr>
          <w:rFonts w:hint="eastAsia"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开标一览表（货物类）</w:t>
      </w:r>
      <w:r/>
    </w:p>
    <w:p>
      <w:pPr>
        <w:ind w:left="1080" w:right="-867" w:hanging="540"/>
        <w:tabs>
          <w:tab w:val="left" w:pos="1800" w:leader="none"/>
          <w:tab w:val="left" w:pos="558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项目名称：安全生产考试点特种作业考试设备更新项目　                </w:t>
      </w:r>
      <w:r/>
    </w:p>
    <w:p>
      <w:pPr>
        <w:ind w:left="1080" w:right="-867" w:hanging="540"/>
        <w:tabs>
          <w:tab w:val="left" w:pos="1800" w:leader="none"/>
          <w:tab w:val="left" w:pos="558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 JSZC-320682-NTJW-G2026-0021                包号：         </w:t>
      </w:r>
      <w:r/>
    </w:p>
    <w:tbl>
      <w:tblPr>
        <w:tblStyle w:val="870"/>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right="-199"/>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交货期</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交货地点</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trHeight w:val="842"/>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982"/>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1080" w:hanging="540"/>
              <w:jc w:val="center"/>
              <w:tabs>
                <w:tab w:val="left" w:pos="558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投标总报价：万元（小写）</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万元（大写）</w:t>
      </w:r>
      <w:r/>
    </w:p>
    <w:p>
      <w:pPr>
        <w:ind w:firstLine="560"/>
        <w:rPr>
          <w:rFonts w:hint="eastAsia" w:ascii="黑体" w:hAnsi="黑体" w:eastAsia="黑体"/>
          <w:color w:val="auto"/>
          <w:sz w:val="28"/>
          <w:szCs w:val="28"/>
          <w:highlight w:val="none"/>
        </w:rPr>
        <w:outlineLvl w:val="1"/>
      </w:pPr>
      <w:r/>
      <w:bookmarkStart w:id="124" w:name="_Toc16130"/>
      <w:r/>
      <w:bookmarkStart w:id="125" w:name="_Toc25685"/>
      <w:r>
        <w:rPr>
          <w:rFonts w:hint="eastAsia" w:ascii="黑体" w:hAnsi="黑体" w:eastAsia="黑体"/>
          <w:color w:val="auto"/>
          <w:sz w:val="28"/>
          <w:szCs w:val="28"/>
          <w:highlight w:val="none"/>
        </w:rPr>
        <w:t xml:space="preserve">注：如此表格式与系统提供不同，请以系统提供的格式为准。</w:t>
      </w:r>
      <w:bookmarkEnd w:id="124"/>
      <w:r/>
      <w:bookmarkEnd w:id="125"/>
      <w:r/>
      <w:r/>
    </w:p>
    <w:p>
      <w:pPr>
        <w:ind w:firstLine="560"/>
        <w:rPr>
          <w:rFonts w:hint="eastAsia" w:ascii="仿宋" w:hAnsi="仿宋" w:eastAsia="仿宋"/>
          <w:color w:val="auto"/>
          <w:sz w:val="28"/>
          <w:szCs w:val="28"/>
          <w:highlight w:val="none"/>
        </w:rPr>
        <w:outlineLvl w:val="1"/>
      </w:pPr>
      <w:r>
        <w:rPr>
          <w:rFonts w:hint="eastAsia" w:ascii="黑体" w:hAnsi="黑体" w:eastAsia="黑体"/>
          <w:color w:val="auto"/>
          <w:sz w:val="28"/>
          <w:szCs w:val="28"/>
          <w:highlight w:val="none"/>
        </w:rPr>
        <w:br w:type="page" w:clear="all"/>
      </w:r>
      <w:bookmarkStart w:id="126" w:name="_Toc16162"/>
      <w:r/>
      <w:bookmarkStart w:id="127" w:name="_Toc17802"/>
      <w:r>
        <w:rPr>
          <w:rFonts w:hint="eastAsia" w:ascii="黑体" w:hAnsi="黑体" w:eastAsia="黑体"/>
          <w:color w:val="auto"/>
          <w:sz w:val="28"/>
          <w:szCs w:val="28"/>
          <w:highlight w:val="none"/>
        </w:rPr>
        <w:t xml:space="preserve">二、资格证明文件</w:t>
      </w:r>
      <w:bookmarkEnd w:id="126"/>
      <w:r/>
      <w:bookmarkEnd w:id="127"/>
      <w:r/>
      <w:r/>
    </w:p>
    <w:p>
      <w:pPr>
        <w:ind w:firstLine="560"/>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hint="eastAsia"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252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hint="eastAsia"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在投标截止时间节点，没有被“信用中国”（www.creditchina.gov.cn）、“中国政府采购网”（www.ccgp.gov.cn）网站列入失信被执行人、重大税收违法案件当事人名单、政府采购严重违法失信行为记录名单。</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（六）项目实施所必须的许可资质证明材料（根据项目具体情况而定，如无可删除）。</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560"/>
        <w:jc w:val="righ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olor w:val="auto"/>
          <w:sz w:val="28"/>
          <w:szCs w:val="28"/>
          <w:highlight w:val="none"/>
          <w:lang w:bidi="ar"/>
        </w:rPr>
        <w:t xml:space="preserve">              </w:t>
      </w:r>
      <w:r/>
    </w:p>
    <w:p>
      <w:pPr>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lef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（八）法定代表人授权委托书。（法定代表人参加招标活动的，无需提供）</w:t>
      </w:r>
      <w:r/>
    </w:p>
    <w:p>
      <w:pPr>
        <w:jc w:val="center"/>
        <w:spacing w:line="500" w:lineRule="exact"/>
        <w:rPr>
          <w:rFonts w:hint="eastAsia"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7"/>
        <w:ind w:firstLine="48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7"/>
        <w:ind w:firstLine="232"/>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87"/>
        <w:ind w:firstLine="48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7"/>
        <w:ind w:firstLine="12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87"/>
        <w:ind w:firstLine="602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87"/>
        <w:ind w:firstLine="480"/>
        <w:spacing w:line="500" w:lineRule="exact"/>
        <w:rPr>
          <w:rFonts w:hint="eastAsia" w:ascii="仿宋" w:hAnsi="仿宋" w:eastAsia="仿宋"/>
          <w:color w:val="auto"/>
          <w:sz w:val="28"/>
          <w:szCs w:val="28"/>
          <w:highlight w:val="none"/>
        </w:rPr>
      </w:pPr>
      <w:r/>
      <w:bookmarkStart w:id="128" w:name="_格式3__银行出具的资信证明"/>
      <w:r/>
      <w:bookmarkEnd w:id="128"/>
      <w:r/>
      <w:bookmarkStart w:id="129" w:name="_Hlt26955070"/>
      <w:r/>
      <w:bookmarkEnd w:id="129"/>
      <w:r/>
      <w:bookmarkStart w:id="130" w:name="_Hlt26671380"/>
      <w:r/>
      <w:bookmarkEnd w:id="130"/>
      <w:r/>
      <w:r/>
    </w:p>
    <w:p>
      <w:pPr>
        <w:pStyle w:val="874"/>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4"/>
        <w:ind w:firstLine="49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（九）</w:t>
      </w:r>
      <w:r>
        <w:rPr>
          <w:rFonts w:hint="eastAsia" w:ascii="仿宋" w:hAnsi="仿宋" w:eastAsia="仿宋" w:cs="Arial"/>
          <w:color w:val="auto"/>
          <w:sz w:val="28"/>
          <w:szCs w:val="28"/>
          <w:highlight w:val="none"/>
        </w:rPr>
        <w:t xml:space="preserve">投标函</w:t>
      </w:r>
      <w:r/>
    </w:p>
    <w:p>
      <w:pPr>
        <w:jc w:val="center"/>
        <w:spacing w:before="50" w:line="500" w:lineRule="exact"/>
        <w:rPr>
          <w:rFonts w:hint="eastAsia"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致：如皋市应急管理局</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安全生产考试点特种作业考试设备更新项目</w:t>
      </w:r>
      <w:r>
        <w:rPr>
          <w:rFonts w:hint="eastAsia" w:ascii="仿宋" w:hAnsi="仿宋" w:eastAsia="仿宋"/>
          <w:color w:val="auto"/>
          <w:sz w:val="28"/>
          <w:szCs w:val="28"/>
          <w:highlight w:val="none"/>
        </w:rPr>
        <w:t xml:space="preserve">（项目编号：JSZC-320682-NTJW-G2026-0021）招标文件，正式授权下述签字人_________ （姓名和职务）代表我方______________（供应商的名称），全权处理本次项目招标采购的有关事宜。</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6.我方将根据招标文件的规定，严格履行合同的责任和义务，并保证在招标文件规定的时间内完成项目。</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887"/>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8.与本次招标采购有关的正式通讯地址为：</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87"/>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（十）其他资格证明材料（应当根据本项目供应商资格要求，详细列出需要提供的证明材料名称）</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hint="eastAsia" w:ascii="仿宋" w:hAnsi="仿宋" w:eastAsia="仿宋"/>
          <w:color w:val="0000ff"/>
          <w:sz w:val="28"/>
          <w:szCs w:val="28"/>
          <w:highlight w:val="none"/>
        </w:rPr>
      </w:pPr>
      <w:r>
        <w:rPr>
          <w:rFonts w:hint="eastAsia" w:ascii="仿宋" w:hAnsi="仿宋" w:eastAsia="仿宋"/>
          <w:color w:val="0000ff"/>
          <w:sz w:val="28"/>
          <w:szCs w:val="28"/>
          <w:highlight w:val="none"/>
        </w:rPr>
      </w:r>
      <w:r/>
    </w:p>
    <w:p>
      <w:pPr>
        <w:ind w:firstLine="560"/>
        <w:rPr>
          <w:rFonts w:hint="eastAsia" w:ascii="仿宋" w:hAnsi="仿宋" w:eastAsia="仿宋"/>
          <w:color w:val="0000ff"/>
          <w:sz w:val="28"/>
          <w:szCs w:val="28"/>
          <w:highlight w:val="none"/>
        </w:rPr>
      </w:pPr>
      <w:r>
        <w:rPr>
          <w:rFonts w:hint="eastAsia" w:ascii="仿宋" w:hAnsi="仿宋" w:eastAsia="仿宋"/>
          <w:color w:val="0000ff"/>
          <w:sz w:val="28"/>
          <w:szCs w:val="28"/>
          <w:highlight w:val="none"/>
        </w:rPr>
      </w:r>
      <w:r/>
    </w:p>
    <w:p>
      <w:pPr>
        <w:ind w:firstLine="560"/>
        <w:rPr>
          <w:rFonts w:hint="eastAsia" w:ascii="黑体" w:hAnsi="黑体" w:eastAsia="黑体"/>
          <w:color w:val="auto"/>
          <w:sz w:val="28"/>
          <w:szCs w:val="28"/>
          <w:highlight w:val="none"/>
        </w:rPr>
        <w:outlineLvl w:val="1"/>
      </w:pPr>
      <w:r>
        <w:rPr>
          <w:rFonts w:hint="eastAsia" w:ascii="黑体" w:hAnsi="黑体" w:eastAsia="黑体"/>
          <w:color w:val="0000ff"/>
          <w:sz w:val="28"/>
          <w:szCs w:val="28"/>
          <w:highlight w:val="none"/>
        </w:rPr>
        <w:br w:type="page" w:clear="all"/>
      </w:r>
      <w:bookmarkStart w:id="131" w:name="_Toc17148"/>
      <w:r/>
      <w:bookmarkStart w:id="132" w:name="_Toc14662"/>
      <w:r>
        <w:rPr>
          <w:rFonts w:hint="eastAsia" w:ascii="黑体" w:hAnsi="黑体" w:eastAsia="黑体"/>
          <w:color w:val="auto"/>
          <w:sz w:val="28"/>
          <w:szCs w:val="28"/>
          <w:highlight w:val="none"/>
        </w:rPr>
        <w:t xml:space="preserve">三、商务技术文件</w:t>
      </w:r>
      <w:bookmarkEnd w:id="131"/>
      <w:r/>
      <w:bookmarkEnd w:id="132"/>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（一）评分索引表（用于综合评分）</w:t>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评分索引表</w:t>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（线上评审项目无需提供）</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52"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467" w:type="dxa"/>
            <w:vAlign w:val="top"/>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bl>
    <w:p>
      <w:pPr>
        <w:ind w:firstLine="420"/>
        <w:rPr>
          <w:rFonts w:hint="eastAsia" w:ascii="仿宋" w:hAnsi="仿宋" w:eastAsia="仿宋"/>
          <w:color w:val="auto"/>
          <w:sz w:val="28"/>
          <w:szCs w:val="28"/>
          <w:highlight w:val="none"/>
        </w:rPr>
      </w:pPr>
      <w:r>
        <w:rPr>
          <w:rFonts w:hint="eastAsia" w:ascii="仿宋" w:hAnsi="仿宋" w:eastAsia="仿宋"/>
          <w:color w:val="auto"/>
          <w:sz w:val="21"/>
          <w:szCs w:val="21"/>
          <w:highlight w:val="none"/>
        </w:rPr>
        <w:t xml:space="preserve">注：按照招标文件要求详细填列，可增减行。</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（二）符合技术要求相关证明材料</w:t>
      </w:r>
      <w:r/>
    </w:p>
    <w:p>
      <w:pPr>
        <w:ind w:firstLine="562"/>
        <w:rPr>
          <w:rFonts w:hint="eastAsia"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1.提供所投监控交换机工信部设备进网许可证。</w:t>
      </w:r>
      <w:r/>
    </w:p>
    <w:p>
      <w:pPr>
        <w:ind w:firstLine="562"/>
        <w:rPr>
          <w:rFonts w:hint="eastAsia"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2.提供所投楼层接入交换机工信部设备进网许可证。</w:t>
      </w:r>
      <w:r/>
    </w:p>
    <w:p>
      <w:pPr>
        <w:ind w:firstLine="562"/>
        <w:rPr>
          <w:rFonts w:hint="eastAsia"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3.提供所投报警气瓶柜防爆合格证。</w:t>
      </w:r>
      <w:r/>
    </w:p>
    <w:p>
      <w:pPr>
        <w:ind w:firstLine="542"/>
        <w:spacing w:line="560" w:lineRule="exact"/>
        <w:rPr>
          <w:rFonts w:hint="eastAsia" w:ascii="仿宋" w:hAnsi="仿宋" w:eastAsia="仿宋" w:cs="仿宋"/>
          <w:b/>
          <w:color w:val="auto"/>
          <w:spacing w:val="-5"/>
          <w:sz w:val="28"/>
          <w:szCs w:val="28"/>
          <w:highlight w:val="none"/>
        </w:rPr>
      </w:pPr>
      <w:r>
        <w:rPr>
          <w:rFonts w:hint="eastAsia" w:ascii="仿宋" w:hAnsi="仿宋" w:eastAsia="仿宋" w:cs="仿宋"/>
          <w:b/>
          <w:color w:val="auto"/>
          <w:spacing w:val="-5"/>
          <w:sz w:val="28"/>
          <w:szCs w:val="28"/>
          <w:highlight w:val="none"/>
        </w:rPr>
        <w:t xml:space="preserve">4.</w:t>
      </w:r>
      <w:r>
        <w:rPr>
          <w:rFonts w:hint="eastAsia" w:ascii="仿宋" w:hAnsi="仿宋" w:eastAsia="仿宋" w:cs="仿宋"/>
          <w:color w:val="auto"/>
          <w:spacing w:val="-5"/>
          <w:sz w:val="28"/>
          <w:szCs w:val="28"/>
          <w:highlight w:val="none"/>
        </w:rPr>
        <w:t xml:space="preserve">投标人所投产品能满足《应急管理部关于印发〈安全生产考试机构和考试点管理规定〉的通知》（应急〔2025〕41号）文件，供应商所投设备技术参数必须满足41号文件要求；同时所投设备配备方案还能满足应急管理部关于印发《低压电工作业人员安全技术培训大纲和考核标准》等6个培训大纲和考核标准的通知(应急〔2025〕59号)文件中规定该文件规定要求。确保中标后能通过省级验收，如所投产品无法通过省级验收的，招标人有权单方面解除合同，一切责任由中标人承担。</w:t>
      </w:r>
      <w:r>
        <w:rPr>
          <w:rFonts w:hint="eastAsia" w:ascii="仿宋" w:hAnsi="仿宋" w:eastAsia="仿宋" w:cs="仿宋"/>
          <w:b/>
          <w:color w:val="auto"/>
          <w:spacing w:val="-5"/>
          <w:sz w:val="28"/>
          <w:szCs w:val="28"/>
          <w:highlight w:val="none"/>
        </w:rPr>
        <w:t xml:space="preserve">响应文件中须提交承诺函，承诺函格式自拟。不提供视为无效响应。</w:t>
      </w:r>
      <w:r/>
    </w:p>
    <w:p>
      <w:pPr>
        <w:ind w:firstLine="542"/>
        <w:spacing w:line="560" w:lineRule="exact"/>
        <w:rPr>
          <w:rFonts w:hint="eastAsia" w:ascii="仿宋" w:hAnsi="仿宋" w:eastAsia="仿宋" w:cs="仿宋"/>
          <w:b/>
          <w:color w:val="auto"/>
          <w:spacing w:val="-5"/>
          <w:sz w:val="28"/>
          <w:szCs w:val="28"/>
          <w:highlight w:val="none"/>
        </w:rPr>
      </w:pPr>
      <w:r>
        <w:rPr>
          <w:rFonts w:hint="eastAsia" w:ascii="仿宋" w:hAnsi="仿宋" w:eastAsia="仿宋" w:cs="仿宋"/>
          <w:b/>
          <w:color w:val="auto"/>
          <w:spacing w:val="-5"/>
          <w:sz w:val="28"/>
          <w:szCs w:val="28"/>
          <w:highlight w:val="none"/>
        </w:rPr>
        <w:t xml:space="preserve">5.</w:t>
      </w:r>
      <w:r>
        <w:rPr>
          <w:rFonts w:hint="eastAsia" w:ascii="仿宋" w:hAnsi="仿宋" w:eastAsia="仿宋" w:cs="仿宋"/>
          <w:color w:val="auto"/>
          <w:spacing w:val="-5"/>
          <w:sz w:val="28"/>
          <w:szCs w:val="28"/>
          <w:highlight w:val="none"/>
        </w:rPr>
        <w:t xml:space="preserve">本次采购项目涉及特种作业实操考试设备及配套设备，应支持与国家、省考试考核系统互联互通，如试运行过程中或正式投入运行中出现与国家、省系统不兼容情况，且整改后仍无法满足的，将被视为虚假应标行为，招标人将取消中标人资格。</w:t>
      </w:r>
      <w:r>
        <w:rPr>
          <w:rFonts w:hint="eastAsia" w:ascii="仿宋" w:hAnsi="仿宋" w:eastAsia="仿宋" w:cs="仿宋"/>
          <w:b/>
          <w:color w:val="auto"/>
          <w:spacing w:val="-5"/>
          <w:sz w:val="28"/>
          <w:szCs w:val="28"/>
          <w:highlight w:val="none"/>
        </w:rPr>
        <w:t xml:space="preserve">响应文件中须提交承诺函，承诺函格式自拟。不提供视为无效响应。</w:t>
      </w:r>
      <w:r/>
    </w:p>
    <w:p>
      <w:pPr>
        <w:ind w:firstLine="542"/>
        <w:rPr>
          <w:rFonts w:hint="eastAsia" w:ascii="仿宋" w:hAnsi="仿宋" w:eastAsia="仿宋"/>
          <w:b/>
          <w:color w:val="auto"/>
          <w:sz w:val="28"/>
          <w:szCs w:val="28"/>
          <w:highlight w:val="none"/>
        </w:rPr>
        <w:outlineLvl w:val="2"/>
      </w:pPr>
      <w:r>
        <w:rPr>
          <w:rFonts w:hint="eastAsia" w:ascii="仿宋" w:hAnsi="仿宋" w:eastAsia="仿宋" w:cs="仿宋"/>
          <w:b/>
          <w:color w:val="auto"/>
          <w:spacing w:val="-5"/>
          <w:sz w:val="28"/>
          <w:szCs w:val="28"/>
          <w:highlight w:val="none"/>
        </w:rPr>
        <w:t xml:space="preserve">6.</w:t>
      </w:r>
      <w:r>
        <w:rPr>
          <w:rFonts w:hint="eastAsia" w:ascii="仿宋" w:hAnsi="仿宋" w:eastAsia="仿宋" w:cs="仿宋"/>
          <w:color w:val="auto"/>
          <w:spacing w:val="-5"/>
          <w:sz w:val="28"/>
          <w:szCs w:val="28"/>
          <w:highlight w:val="none"/>
        </w:rPr>
        <w:t xml:space="preserve">为避免盲目应标，投标人应认真对本项目使用现场进行全方位踏勘，并承担现场踏勘所需的全部费用。应对现场情况包括交通、水电、场地等进行周密的勘察和研究，根据自己的判断结论，制定设备组织方案、考位布局方案、安装方案等。中标后、签订合同时及实施过程中，投标人均不得以不了解现场情况为由，提出任何形式增加费用的要求。</w:t>
      </w:r>
      <w:r>
        <w:rPr>
          <w:rFonts w:hint="eastAsia" w:ascii="仿宋" w:hAnsi="仿宋" w:eastAsia="仿宋" w:cs="仿宋"/>
          <w:b/>
          <w:color w:val="auto"/>
          <w:spacing w:val="-5"/>
          <w:sz w:val="28"/>
          <w:szCs w:val="28"/>
          <w:highlight w:val="none"/>
        </w:rPr>
        <w:t xml:space="preserve">投标文件中须提供现场踏勘承诺函，格式见附件。</w:t>
      </w:r>
      <w:r/>
    </w:p>
    <w:p>
      <w:pPr>
        <w:ind w:firstLine="562"/>
        <w:rPr>
          <w:rFonts w:hint="eastAsia" w:ascii="仿宋" w:hAnsi="仿宋" w:eastAsia="仿宋"/>
          <w:b/>
          <w:color w:val="auto"/>
          <w:sz w:val="28"/>
          <w:szCs w:val="28"/>
          <w:highlight w:val="none"/>
        </w:rPr>
        <w:outlineLvl w:val="2"/>
      </w:pPr>
      <w:r>
        <w:rPr>
          <w:rFonts w:hint="eastAsia" w:ascii="仿宋" w:hAnsi="仿宋" w:eastAsia="仿宋"/>
          <w:b/>
          <w:color w:val="auto"/>
          <w:sz w:val="28"/>
          <w:szCs w:val="28"/>
          <w:highlight w:val="none"/>
        </w:rPr>
      </w:r>
      <w:r/>
    </w:p>
    <w:p>
      <w:pPr>
        <w:ind w:firstLine="560"/>
        <w:rPr>
          <w:rFonts w:hint="eastAsia" w:ascii="仿宋" w:hAnsi="仿宋" w:eastAsia="仿宋"/>
          <w:color w:val="auto"/>
          <w:sz w:val="28"/>
          <w:szCs w:val="28"/>
          <w:highlight w:val="none"/>
        </w:rPr>
        <w:sectPr>
          <w:footerReference w:type="default" r:id="rId10"/>
          <w:footnotePr/>
          <w:endnotePr/>
          <w:type w:val="nextPage"/>
          <w:pgSz w:w="11906" w:h="16838" w:orient="portrait"/>
          <w:pgMar w:top="1418" w:right="1134" w:bottom="1134" w:left="1418" w:header="851" w:footer="992" w:gutter="0"/>
          <w:lnNumType w:countBy="0" w:distance="360"/>
          <w:cols w:num="1" w:sep="0" w:space="720" w:equalWidth="1"/>
          <w:docGrid w:linePitch="360"/>
        </w:sectPr>
        <w:outlineLvl w:val="2"/>
      </w:pPr>
      <w:r>
        <w:rPr>
          <w:rFonts w:hint="eastAsia" w:ascii="仿宋" w:hAnsi="仿宋" w:eastAsia="仿宋"/>
          <w:color w:val="auto"/>
          <w:sz w:val="28"/>
          <w:szCs w:val="28"/>
          <w:highlight w:val="none"/>
        </w:rPr>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r>
      <w:r/>
    </w:p>
    <w:p>
      <w:pP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（三）主要产品技术部分正负偏离表</w:t>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1.货物名称：高压开关柜   品牌、型号：            制造商</w:t>
      </w:r>
      <w:r/>
    </w:p>
    <w:tbl>
      <w:tblPr>
        <w:tblStyle w:val="870"/>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3"/>
        <w:gridCol w:w="3761"/>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76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外壳防护等级</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高压设备采用户内交流高压金属铠装移开式开关设备，主结构采用敷铝锌钢板，柜门采用静电喷塑涂覆，颜色RAL7035，具有较强的抗冲击和耐腐蚀能力。产品外壳具有IP4X级的防护等级。</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进线柜、计量柜、PT柜、出线柜各1台，</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外形尺寸</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外形尺寸：(宽X深X高)：800mm×1500mm×2300mm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“五防”和联锁功能</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开关柜“五防”和联锁功能：</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a）</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开关柜具有可靠的“五防”功能：防止误分、误合断路器；防止带负荷分、合隔离开关（插头）；防止带电分、合接地开关；防止带接地开关送电；防止误入带电间隔</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b）</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电缆室门与接地开关采取机械闭锁方式，并有紧急解锁装置。</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c）</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当断路器处在合闸位置时，断路器小车无法推进或拉出。</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d）</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当断路器小车未到工作或试验位置时，断路器无法进行合闸操作。</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e）</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当接地开关处在合闸位置时，断路器小车无法从试验位置进入工作位置。</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f）</w:t>
            </w:r>
            <w:r>
              <w:rPr>
                <w:rFonts w:hint="eastAsia" w:ascii="仿宋" w:hAnsi="仿宋" w:eastAsia="仿宋" w:cs="仿宋"/>
                <w:sz w:val="21"/>
                <w:szCs w:val="24"/>
                <w:highlight w:val="none"/>
              </w:rPr>
              <w:tab/>
            </w:r>
            <w:r>
              <w:rPr>
                <w:rFonts w:hint="eastAsia" w:ascii="仿宋" w:hAnsi="仿宋" w:eastAsia="仿宋" w:cs="仿宋"/>
                <w:sz w:val="21"/>
                <w:szCs w:val="24"/>
                <w:highlight w:val="none"/>
              </w:rPr>
              <w:t xml:space="preserve">当断路器小车处在试验位置与工作位置之间（包括工作位置）时，无法操作接地刀闸。</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真空断路器主要参数</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额定电压：12KV</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额定频率：50Hz</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额定电流：≥630A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额定短路开断电流：≥25kA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机械寿命（免维护）≥30000次</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操动机构：电动并可手动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电流互感器参数：</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绕组1：准确级0.2S  额定负荷15VA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绕组2：准确级0.5   额定负荷15VA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绕组3：准确级10P20  额定负荷15VA</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电压互感器参数</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额定电压比：10/</w:t>
            </w:r>
            <w:r>
              <w:rPr>
                <w:rFonts w:hint="default" w:ascii="仿宋" w:hAnsi="仿宋" w:eastAsia="仿宋" w:cs="仿宋"/>
                <w:sz w:val="21"/>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pt;height:13.8pt;mso-wrap-distance-left:0.0pt;mso-wrap-distance-top:0.0pt;mso-wrap-distance-right:0.0pt;mso-wrap-distance-bottom:0.0pt;" filled="f" stroked="f">
                  <v:path textboxrect="0,0,0,0"/>
                  <v:imagedata r:id="rId16" o:title=""/>
                </v:shape>
                <o:OLEObject DrawAspect="Content" r:id="rId17" ObjectID="_1525043" ProgID="Equation.DSMT4" ShapeID="_x0000_i3" Type="Embed"/>
              </w:object>
            </w:r>
            <w:r>
              <w:rPr>
                <w:rFonts w:hint="eastAsia" w:ascii="仿宋" w:hAnsi="仿宋" w:eastAsia="仿宋" w:cs="仿宋"/>
                <w:sz w:val="21"/>
                <w:szCs w:val="24"/>
                <w:highlight w:val="none"/>
              </w:rPr>
              <w:t xml:space="preserve">：0.1/</w:t>
            </w:r>
            <w:r>
              <w:rPr>
                <w:rFonts w:hint="default" w:ascii="仿宋" w:hAnsi="仿宋" w:eastAsia="仿宋" w:cs="仿宋"/>
                <w:sz w:val="21"/>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3.8pt;mso-wrap-distance-left:0.0pt;mso-wrap-distance-top:0.0pt;mso-wrap-distance-right:0.0pt;mso-wrap-distance-bottom:0.0pt;" filled="f" stroked="f">
                  <v:path textboxrect="0,0,0,0"/>
                  <v:imagedata r:id="rId18" o:title=""/>
                </v:shape>
                <o:OLEObject DrawAspect="Content" r:id="rId19" ObjectID="_1525044" ProgID="Equation.DSMT4" ShapeID="_x0000_i4" Type="Embed"/>
              </w:object>
            </w:r>
            <w:r>
              <w:rPr>
                <w:rFonts w:hint="eastAsia" w:ascii="仿宋" w:hAnsi="仿宋" w:eastAsia="仿宋" w:cs="仿宋"/>
                <w:sz w:val="21"/>
                <w:szCs w:val="24"/>
                <w:highlight w:val="none"/>
              </w:rPr>
              <w:t xml:space="preserve">：0.1/3</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准确级：0.2/0.5/3P</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额定容量：20VA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熔断器参数：</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额定电流：0.5A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额定短路开断电流：50kA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避雷器参数：</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型式：复合绝缘金属氧化物避雷器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额定电压：17/12kV</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持续运行电压：13.6/9.6kV</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标称放电电流：5kA</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接地开关</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每组接地开关应装设一个机械式的分/合闸位置指示器；装设观察窗，以便操作人员检查触头的位置。</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耐受电流</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额定短时耐受电流及持续时间：31.5kA/4s</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额定峰值耐受电流</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额定峰值耐受电流：80kA</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机械稳定性</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机械稳定性：≥3000次</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操动机构</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操动机构：手动</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操作方式</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操作方式：三相机械联动</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综合保护装置</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开入量监测功能满足：开关状态、储能状态、隔离开关状态、接地开关状态、闭锁重合、轻瓦斯告警、重瓦斯跳闸、高温告警、超温跳闸、开关跳闸等。具有通讯功能。</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仪表要求</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所有电流、电压表计（量程0-10kV）采用指针表，测量精度 0.5 级。</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所有仪表设备，辅件及附件应按有关IEC 标准及规范制造并经型式及常规试验。</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开关状态指示仪要求</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额定工作电压AC220V，显示开关状态、小车工作位置/试验位置，需满足一次侧不带的情况下能、断路器合闸时有三相带电指示。</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47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温度、湿度</w:t>
            </w:r>
            <w:r/>
          </w:p>
        </w:tc>
        <w:tc>
          <w:tcPr>
            <w:tcBorders>
              <w:top w:val="single" w:color="auto" w:sz="4" w:space="0"/>
              <w:left w:val="single" w:color="auto" w:sz="4" w:space="0"/>
              <w:bottom w:val="single" w:color="auto" w:sz="4" w:space="0"/>
              <w:right w:val="single" w:color="auto" w:sz="4" w:space="0"/>
            </w:tcBorders>
            <w:tcW w:w="376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柜内温度、湿度。</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温湿度监测仪</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仪表门上配有温湿度监测仪，实时监测</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2.货物名称：干式电力变压器  品牌、型号：            制造商</w:t>
      </w:r>
      <w:r/>
    </w:p>
    <w:tbl>
      <w:tblPr>
        <w:tblStyle w:val="87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4"/>
        <w:gridCol w:w="3763"/>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额定电压</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10/0.4kV干式电力变压器</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应符合现行标准《干式电力变压器技术参数和要求》(GB/T10228)的有关要求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3.货物名称：低压开关柜 品牌、型号：            制造商</w:t>
      </w:r>
      <w:r/>
    </w:p>
    <w:tbl>
      <w:tblPr>
        <w:tblStyle w:val="87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4"/>
        <w:gridCol w:w="3763"/>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元器件配置</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包含进线柜、出线柜、补偿柜。进线柜：断路器、电流互感器、电压互感器及母排等元器件。出线柜：包括多个开关设备和电缆出线口等元器件。补偿柜：由电容器、投切开关、监控保护装置等元器件组成。</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开关柜外柜体</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GCS系列或MNS系列或GCK系列或GGD系列，与生产实际型号一致，</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符合现行标准《低压成套开关设备和控制设备》(GB/T7251)相应部分的要求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4.货物名称：移动操作架 品牌、型号：            制造商</w:t>
      </w:r>
      <w:r/>
    </w:p>
    <w:tbl>
      <w:tblPr>
        <w:tblStyle w:val="87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4"/>
        <w:gridCol w:w="3763"/>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构配件组成</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包括但不限于：防护栏杆、踢脚板、脚手板、钢管及连接件、爬梯、脚轮等，满足搭设1层所需的构配件。</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钢管执行标准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钢管及连接件符合现行标准《建筑施工扣件式钢管脚手架安全技术规范》(JGJ130)对构配件的质量要求，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扣件执行标准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扣件符合现行标准《钢管脚手架扣件》(GB/T15831)的有关要求。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万向脚轮执行标准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脚轮为万向脚轮，符合现行标准《工业脚轮和车轮》(GB/T 14687)的有关要求，可调高度、可制动。</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5.货物名称：高处作业吊篮 品牌、型号：            制造商</w:t>
      </w:r>
      <w:r/>
    </w:p>
    <w:tbl>
      <w:tblPr>
        <w:tblStyle w:val="87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4"/>
        <w:gridCol w:w="3763"/>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尺寸</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长6000mm*宽760*高1450mm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额定载重：大于等于630kg</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提升速度：9.6m/min</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悬挂机构</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（2）悬挂机构</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前梁额定伸出量：1700mm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前梁额定离地高度：1300mm-1800mm（调节间距100）</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重量：350kg（不含配重）</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提升机数量</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（3）提升机</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数量：3</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电动机功率、电压、转速、制动力矩</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（4）电动机</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功率：1.5KW</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电压：380V</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转速：1420n/min</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制动力矩：15N-m</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安全锁允许冲击力</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（4）安全锁</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数量：5*2kg</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允许冲击力：30KN</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配重</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（5）其他</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配重：900KG（25KG*36块）</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钢丝绳破断拉力</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钢丝绳：4×31sw＋nf-Φ8.3破断拉力≥53000N</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电缆线规格</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电缆线：3×2.5＋2×1.5YC-5</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吊篮应符合现行标准《高处作业吊篮》(GB/T 19155)的有关要求。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全钢丝绳</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吊篮应装设安全钢丝绳</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吊篮有效期</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吊篮的防坠落装置(安全锁)应在标定期限内使用。</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底部净空高度</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吊篮两端应装设限位器、限位开关(限行、断电)，保证吊篮起升至最高点时，其底部净空高度不小于2m。</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调试、验收执行标准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吊篮安装应编制专项施工方案并经批准、审核，吊篮安装应符合现行标准《高处作业吊篮安装、拆卸、使用技术规程》(JB/T11699)的有关规定。安装后应经调试、验收合格后方可投入使用</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6.货物名称：座板式单人吊具：   品牌、型号：            制造商</w:t>
      </w:r>
      <w:r/>
    </w:p>
    <w:tbl>
      <w:tblPr>
        <w:tblStyle w:val="870"/>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4"/>
        <w:gridCol w:w="3763"/>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吊具执行标准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1.吊具包括挂点装置、悬吊下降系统、坠落保护系统等，应符合现行标准《座板式单人吊具悬吊作业安全技术规范》(GB23525)、《坠落防护装备通用技术规范》(GB42297)的有关要求。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挂点装置执行标准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2.挂点装置应符合现行标准《坠落防护挂点装置》(GB30862)的有关要求。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工作绳、安全绳执行标准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3.工作绳、安全绳应符合现行标准《坠落防护安全绳》(GB24543)的有关要求。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下降器执行标准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4.下降器应符合现行标准《座板式单人吊具悬吊作业安全技术规范》(GB23525)的有关要求。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连接器执行标准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5.连接器应符合现行标准《坠落防护连接器》(GB/T23469)的有关要求。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2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36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自锁器执行标准</w:t>
            </w:r>
            <w:r/>
          </w:p>
        </w:tc>
        <w:tc>
          <w:tcPr>
            <w:tcBorders>
              <w:top w:val="single" w:color="auto" w:sz="4" w:space="0"/>
              <w:left w:val="single" w:color="auto" w:sz="4" w:space="0"/>
              <w:bottom w:val="single" w:color="auto" w:sz="4" w:space="0"/>
              <w:right w:val="single" w:color="auto" w:sz="4" w:space="0"/>
            </w:tcBorders>
            <w:tcW w:w="34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6.自锁器应符合现行标准《坠落防护带柔性导轨的自锁器》(GB/T24537)的有关要求。</w:t>
            </w:r>
            <w:r/>
          </w:p>
        </w:tc>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8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8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7.货物名称：气体报警控制器   品牌、型号：            制造商</w:t>
      </w:r>
      <w:r/>
    </w:p>
    <w:tbl>
      <w:tblPr>
        <w:tblStyle w:val="870"/>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1185"/>
        <w:gridCol w:w="2630"/>
        <w:gridCol w:w="1809"/>
        <w:gridCol w:w="1809"/>
        <w:gridCol w:w="853"/>
        <w:gridCol w:w="771"/>
      </w:tblGrid>
      <w:tr>
        <w:trPr>
          <w:cantSplit/>
          <w:trHeight w:val="1322"/>
        </w:trPr>
        <w:tc>
          <w:tcPr>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63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检测对象</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检测对象：乙炔，氧气，二氧化碳 ，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检测范围</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30-50平，0-30.0%VOL,0-5.00%VOL </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连接数量：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连接1-16台</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579"/>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报警方式：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液晶显示+声光指示灯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69"/>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报警声音：</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≥85分贝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69"/>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接收信号：</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RS485信号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519"/>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输出信号：</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RS485、开关量信号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279"/>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线方式：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接两线制（总线主机）</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防护等级：</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IP66</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防爆等级：</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CT6级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安装方式：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壁挂式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24小时连续工作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自然扩散</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储存记录：</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1000条报警记录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连接线缆</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RVVP2x1.5mm2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供电方式</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触电容量：250V/AC5A、AC220V,50HZ</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工作环境</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温度：-15℃~40℃湿度：≤90%RH大气压86kPa~106kPa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8"/>
        </w:trPr>
        <w:tc>
          <w:tcPr>
            <w:tcBorders>
              <w:top w:val="single" w:color="auto" w:sz="4" w:space="0"/>
              <w:left w:val="single" w:color="auto" w:sz="4" w:space="0"/>
              <w:bottom w:val="single" w:color="auto" w:sz="4" w:space="0"/>
              <w:right w:val="single" w:color="auto" w:sz="4" w:space="0"/>
            </w:tcBorders>
            <w:tcW w:w="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118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联动输出</w:t>
            </w:r>
            <w:r/>
          </w:p>
        </w:tc>
        <w:tc>
          <w:tcPr>
            <w:tcBorders>
              <w:top w:val="single" w:color="auto" w:sz="4" w:space="0"/>
              <w:left w:val="single" w:color="auto" w:sz="4" w:space="0"/>
              <w:bottom w:val="single" w:color="auto" w:sz="4" w:space="0"/>
              <w:right w:val="single" w:color="auto" w:sz="4" w:space="0"/>
            </w:tcBorders>
            <w:tcW w:w="263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2组无源常开/常闭触点，可联动风机、电磁阀等 </w:t>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8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8.货物名称：典型气体探测器（二氧化碳乙炔氧气等气源）   品牌、型号：       制造商</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471"/>
        <w:gridCol w:w="326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高报：23%VOL0</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检测原理：催化燃烧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检测气体：二氧化碳 乙炔 氧气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默认量程：0-30.0%VOL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默认精度：0.1%VOL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报警数值：低报19%VOL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采样方式：扩散式</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使用温度：-10~50℃相对湿度(0-93)％RH(可凝露)大气压86kPa~106kPa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供电方式：DC24V</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外壳材质：压铸铝</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90"/>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电气接口：G1/2内螺纹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防护等级：IP66 </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47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26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输出信号：两线线制RS485</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1组无源开关量输出。</w:t>
            </w:r>
            <w:r/>
          </w:p>
        </w:tc>
        <w:tc>
          <w:tcPr>
            <w:tcBorders>
              <w:top w:val="single" w:color="auto" w:sz="4" w:space="0"/>
              <w:left w:val="single" w:color="auto" w:sz="4" w:space="0"/>
              <w:bottom w:val="single" w:color="auto" w:sz="4" w:space="0"/>
              <w:right w:val="single" w:color="auto" w:sz="4" w:space="0"/>
            </w:tcBorders>
            <w:tcW w:w="224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9.货物名称：报警气瓶柜   品牌、型号：         制造商</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493"/>
        <w:gridCol w:w="326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9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检测气体：</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甲烷（天然气），一氧化碳，丙烷，丙烯，丁烯，乙炔，乙醇，液化气，煤气，氢气。</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检测浓度：</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0.05%---0.2%</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工作电源：</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12V-24VDC/110V-220VAC</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工作环境：</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温度：-10-50℃， 湿度≤97%</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工作电流：</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100MA</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报警音量：</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≥85db</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5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响应时间：</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≤20s</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10.货物名称：工位隔断   品牌、型号：      制造商</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460"/>
        <w:gridCol w:w="3267"/>
        <w:gridCol w:w="2247"/>
        <w:gridCol w:w="1059"/>
        <w:gridCol w:w="958"/>
      </w:tblGrid>
      <w:tr>
        <w:trPr>
          <w:cantSplit/>
        </w:trPr>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1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40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尺寸</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尺寸：≥3000MM*3000MM*2000MM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1.弧光穿透率：0；</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.钢结构表面处理工艺</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2.钢结构表面处理工艺：打磨后喷涂防腐漆，再喷涂面色具有防火功能；</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287"/>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隔断表面</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3.隔断表面方便进行二次施工；</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钢结构骨架</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4.隔断内部采用钢结构骨架，主体采用焊培专用隔断板材搭建；（抗冲击强度不低于100KG）</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隔断工位挂靠强度</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5.隔断主体构架为钢结构，承担内部的照明、通风、气体汇流排、桥架、以及其他内部设备的挂靠和承重，隔断工位挂靠强度为：不低于300KG，完全可以满足检修时候的承重要求；</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耐水防潮性能</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6.耐水防潮性能好：焊考专用隔断板材要求具有超强的耐水防潮防火性能。</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焊机存放架</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7.焊机存放架采用钣金焊接和折弯成型，根据现场焊机尺寸定制而成，三层。</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阻燃垫：厚度5mm，面积5平方米每块，阻燃级别V0级（橡胶板点燃后离开火焰2-10秒内自息）、比重1.5-2g/立方厘米、扯断力2-9Mpa，</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7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21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防爆合格证</w:t>
            </w:r>
            <w:r/>
          </w:p>
        </w:tc>
        <w:tc>
          <w:tcPr>
            <w:tcBorders>
              <w:top w:val="single" w:color="auto" w:sz="4" w:space="0"/>
              <w:left w:val="single" w:color="auto" w:sz="4" w:space="0"/>
              <w:bottom w:val="single" w:color="auto" w:sz="4" w:space="0"/>
              <w:right w:val="single" w:color="auto" w:sz="4" w:space="0"/>
            </w:tcBorders>
            <w:tcW w:w="49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报警气瓶柜具有防爆合格证，不提供视为无效响应。</w:t>
            </w:r>
            <w:r/>
          </w:p>
        </w:tc>
        <w:tc>
          <w:tcPr>
            <w:tcBorders>
              <w:top w:val="single" w:color="auto" w:sz="4" w:space="0"/>
              <w:left w:val="single" w:color="auto" w:sz="4" w:space="0"/>
              <w:bottom w:val="single" w:color="auto" w:sz="4" w:space="0"/>
              <w:right w:val="single" w:color="auto" w:sz="4" w:space="0"/>
            </w:tcBorders>
            <w:tcW w:w="34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11.货物名称：离心风机   品牌、型号：        制造商</w:t>
      </w:r>
      <w:r/>
    </w:p>
    <w:tbl>
      <w:tblPr>
        <w:tblStyle w:val="8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416"/>
        <w:gridCol w:w="3267"/>
        <w:gridCol w:w="2247"/>
        <w:gridCol w:w="1059"/>
        <w:gridCol w:w="958"/>
      </w:tblGrid>
      <w:tr>
        <w:trPr>
          <w:cantSplit/>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9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风机</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选用离心风机，风机具有良好的气动性能、运转平稳、振动小、效率高、寿命长等特点。风机配有降噪箱，可有效控制噪音dB85左右。带有减震保护设备和软连接。外壳为坚固的焊接碳钢板材，做防腐措施。</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风量</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1.每套系统风机风量Q=15000m³/H ，压力P=2300Pa；</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功率</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2.功率：15Kw；</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通过硬质颗粒物浓度</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3.允许通过硬质颗粒物浓度：150mg/m³；</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允许通过酸性气体PH值</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4.允许通过酸性气体PH值：≥4；</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允许通过气体温度</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5.允许通过气体温度：≥200℃；</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震动等级</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6.震动等级：船用级；</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平均噪声阀值</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7.室内平均噪声阀值：≤65dB；</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主机压损</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8.主机压损：≤1200Pa；</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主机机组耐压强度</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9.主机机组耐压强度：≥7500Pa；</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主机机组漏风率</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10.主机机组漏风率：≤5%；</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动力系统电源</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11.动力系统电源：380V 50Hz。</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95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符合标准</w:t>
            </w:r>
            <w:r/>
          </w:p>
        </w:tc>
        <w:tc>
          <w:tcPr>
            <w:tcBorders>
              <w:top w:val="single" w:color="auto" w:sz="4" w:space="0"/>
              <w:left w:val="single" w:color="auto" w:sz="4" w:space="0"/>
              <w:bottom w:val="single" w:color="auto" w:sz="4" w:space="0"/>
              <w:right w:val="single" w:color="auto" w:sz="4" w:space="0"/>
            </w:tcBorders>
            <w:tcW w:w="44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12.应符合现行标准GB/T43917焊接烟尘《焊接烟尘捕集和分离设备》相应部分要求。</w:t>
            </w:r>
            <w:r/>
          </w:p>
        </w:tc>
        <w:tc>
          <w:tcPr>
            <w:tcBorders>
              <w:top w:val="single" w:color="auto" w:sz="4" w:space="0"/>
              <w:left w:val="single" w:color="auto" w:sz="4" w:space="0"/>
              <w:bottom w:val="single" w:color="auto" w:sz="4" w:space="0"/>
              <w:right w:val="single" w:color="auto" w:sz="4" w:space="0"/>
            </w:tcBorders>
            <w:tcW w:w="309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12.货物名称：变频器   品牌、型号：         制造商</w:t>
      </w:r>
      <w:r/>
    </w:p>
    <w:tbl>
      <w:tblPr>
        <w:tblStyle w:val="87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1133"/>
        <w:gridCol w:w="3613"/>
        <w:gridCol w:w="1041"/>
        <w:gridCol w:w="1998"/>
        <w:gridCol w:w="758"/>
      </w:tblGrid>
      <w:tr>
        <w:trPr>
          <w:jc w:val="center"/>
          <w:trHeight w:val="818"/>
          <w:tblHeader/>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结论</w:t>
            </w:r>
            <w:r/>
          </w:p>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（正偏离、符合或负偏离）</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b/>
                <w:sz w:val="21"/>
                <w:szCs w:val="24"/>
                <w:highlight w:val="none"/>
              </w:rPr>
            </w:pPr>
            <w:r>
              <w:rPr>
                <w:rFonts w:hint="eastAsia" w:ascii="仿宋" w:hAnsi="仿宋" w:eastAsia="仿宋" w:cs="仿宋"/>
                <w:b/>
                <w:sz w:val="21"/>
                <w:szCs w:val="24"/>
                <w:highlight w:val="none"/>
              </w:rPr>
              <w:t xml:space="preserve">备注</w:t>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 控制类型：无PG矢量(SVC) / V/F；</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2.过载能力：150% 60s / 180% 10s ；</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 启动转矩：SVC 0.5Hz/150%；VC 0Hz/180%；</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4.调速范围：SVC 1:100；VC 1:1000；</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5.载波频率：1.0–6.0kHz ；</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6.通讯：RS485 ；</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325"/>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7.制动：0.4–37kW内置制动单元；</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jc w:val="center"/>
          <w:trHeight w:val="571"/>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613" w:type="dxa"/>
            <w:vAlign w:val="center"/>
            <w:textDirection w:val="lrTb"/>
            <w:noWrap w:val="false"/>
          </w:tcPr>
          <w:p>
            <w:pPr>
              <w:jc w:val="left"/>
              <w:keepNext/>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8.保护：过流/过压/欠压/过热/过载/缺相/电机过热；</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keepNext/>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13.货物名称：除尘排烟净化主机   品牌、型号：         制造商</w:t>
      </w:r>
      <w:r/>
    </w:p>
    <w:tbl>
      <w:tblPr>
        <w:tblStyle w:val="870"/>
        <w:tblW w:w="49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0"/>
        <w:gridCol w:w="2237"/>
        <w:gridCol w:w="1053"/>
        <w:gridCol w:w="952"/>
      </w:tblGrid>
      <w:tr>
        <w:trPr>
          <w:cantSplit/>
          <w:trHeight w:val="122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过滤面积</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：96平米</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过滤风速</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：0.744米/分钟</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处理风量：</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10000立方/小时</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排放标准：</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≤10mg/m³</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滤筒尺寸：</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325x1200</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滤筒数量：</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12条</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滤筒材质：</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聚酯无纺布</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脉冲阀尺寸：</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1.5寸直角阀</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脉冲阀数量：</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4套</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除尘器外形：</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1.6*1.2*2（m）</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净化效率：</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97%以上；</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耗材</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备无耗材，极板可反复使用，10-100袋的脉冲集中除尘；</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排放</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可达标排放，不会二次污染环境；</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20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执行标准</w:t>
            </w:r>
            <w:r/>
          </w:p>
        </w:tc>
        <w:tc>
          <w:tcPr>
            <w:tcBorders>
              <w:top w:val="single" w:color="auto" w:sz="4" w:space="0"/>
              <w:left w:val="single" w:color="auto" w:sz="4" w:space="0"/>
              <w:bottom w:val="single" w:color="auto" w:sz="4" w:space="0"/>
              <w:right w:val="single" w:color="auto" w:sz="4" w:space="0"/>
            </w:tcBorders>
            <w:tcW w:w="346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应符合现行标准GB/T43917焊接烟尘《焊接烟尘捕集和分离设备》相应部分要求。</w:t>
            </w:r>
            <w:r/>
          </w:p>
        </w:tc>
        <w:tc>
          <w:tcPr>
            <w:tcBorders>
              <w:top w:val="single" w:color="auto" w:sz="4" w:space="0"/>
              <w:left w:val="single" w:color="auto" w:sz="4" w:space="0"/>
              <w:bottom w:val="single" w:color="auto" w:sz="4" w:space="0"/>
              <w:right w:val="single" w:color="auto" w:sz="4" w:space="0"/>
            </w:tcBorders>
            <w:tcW w:w="223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5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14.货物名称：悬浮式捕捉系统（1套）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trHeight w:val="1428"/>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1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17"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万向吸气管</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各工位上方安装可移动式3米万向吸气管，内部使用具有全方位悬停特点，方便在焊接范围内进行高效烟尘收集。</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悬挂系统</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万向管自带悬挂系统，可360°自由旋转，覆盖工位内任意位置；自带阀门；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工作半径</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（悬臂长度）：≥3米；</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表面瞬时可承受高温</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：≥220°C</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吸气罩口形状</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：喇叭形，整体冲压成型，无焊点；</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表面处理工艺</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：镀膜；</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工作环境PH值</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材料</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：PP；</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122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手动流量调节阀</w:t>
            </w:r>
            <w:r/>
          </w:p>
        </w:tc>
        <w:tc>
          <w:tcPr>
            <w:tcBorders>
              <w:top w:val="single" w:color="auto" w:sz="4" w:space="0"/>
              <w:left w:val="single" w:color="auto" w:sz="4" w:space="0"/>
              <w:bottom w:val="single" w:color="auto" w:sz="4" w:space="0"/>
              <w:right w:val="single" w:color="auto" w:sz="4" w:space="0"/>
            </w:tcBorders>
            <w:tcW w:w="341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在管道入口处加装手动流量调节阀。直径≥200 MM 伸展长度≥3M 口罩直径≥300MM 通风量</w:t>
            </w:r>
            <w:r/>
          </w:p>
        </w:tc>
        <w:tc>
          <w:tcPr>
            <w:tcBorders>
              <w:top w:val="single" w:color="auto" w:sz="4" w:space="0"/>
              <w:left w:val="single" w:color="auto" w:sz="4" w:space="0"/>
              <w:bottom w:val="single" w:color="auto" w:sz="4" w:space="0"/>
              <w:right w:val="single" w:color="auto" w:sz="4" w:space="0"/>
            </w:tcBorders>
            <w:tcW w:w="2217"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944"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15.货物名称：机柜   品牌、型号：         制造商</w:t>
      </w:r>
      <w:r/>
    </w:p>
    <w:tbl>
      <w:tblPr>
        <w:tblStyle w:val="870"/>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1"/>
        <w:gridCol w:w="2237"/>
        <w:gridCol w:w="1054"/>
        <w:gridCol w:w="952"/>
      </w:tblGrid>
      <w:tr>
        <w:trPr>
          <w:cantSplit/>
          <w:trHeight w:val="1222"/>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≥1800mm*600mm*1200mm 含理线架PDU，42U</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材质</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优质冷轧钢，静电喷塑</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16.货物名称：（公共区域）摄像头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cantSplit/>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像素</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（1）采用不低于400万像素双1/3英寸CMOS图像传感器，低照度效果好，图像清晰度高</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灯光</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（2）设备采用4颗（暖光灯）补光，可见光：≥40米；</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MIC</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（3）内置MIC</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供电方式</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（4）支持DC12V/POE供电方式</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92"/>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防护等级</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（5）支持IP67防护等级</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17.货物名称：（考试间）摄像头   品牌、型号：         制造商</w:t>
      </w:r>
      <w:r/>
    </w:p>
    <w:tbl>
      <w:tblPr>
        <w:tblStyle w:val="870"/>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1"/>
        <w:gridCol w:w="2237"/>
        <w:gridCol w:w="1054"/>
        <w:gridCol w:w="952"/>
      </w:tblGrid>
      <w:tr>
        <w:trPr>
          <w:cantSplit/>
          <w:trHeight w:val="1222"/>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传感器类型</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（1）传感器类型：1/3英寸CMOS；</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像素</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（2）像素：400万；最大分辨率：2560×1440；</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最低照度</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（3）最低照度：0.01lux（彩色模式）；0.001lux（黑白模式）；0lux（补光灯开启）；</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最大补光距离</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（4）最大补光距离：50m（红外）；30m（暖光）；</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补光灯</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（5）补光灯：不少于4颗（多晶（红外+暖光）灯）；</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麦克风</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（6）内置1个麦克风</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供电方式</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（7）支持DC12V/PoE供电方式，方便工程安装</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防护等级</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（8）支持IP67防护等级</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18.货物名称：.硬盘录像机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cantSplit/>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集群管理功能</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（1）支持N+M集群管理功能</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注册服务</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（2）支持提供主动注册服务，前端相机支持以主动注册方式添加到设备上</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支持前智能</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（3）支持前智能：人脸检测比对、视频结构化、周界防范、智能动检、立体行为分析、工装检测、人群分布、人数统计、热度图、车牌识别、声音检测、车辆密度、物品监控</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92"/>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支持电子云台</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（4）支持电子云台，将全景画面中多个感兴趣区域提取成单独细节画面，当区域内有人、车目标经过时对应细节画面随目标跟踪展示。</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19.货物名称：网线     品牌、型号：         制造商</w:t>
      </w:r>
      <w:r/>
    </w:p>
    <w:tbl>
      <w:tblPr>
        <w:tblStyle w:val="870"/>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1"/>
        <w:gridCol w:w="2237"/>
        <w:gridCol w:w="1054"/>
        <w:gridCol w:w="952"/>
      </w:tblGrid>
      <w:tr>
        <w:trPr>
          <w:cantSplit/>
          <w:trHeight w:val="1222"/>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网线</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超5类无氧铜网线10件，超6类无氧铜网线,5件、跳线、水晶头若干。</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20.货物名称：监控硬盘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cantSplit/>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sz w:val="21"/>
                <w:szCs w:val="24"/>
                <w:highlight w:val="none"/>
              </w:rPr>
            </w:pPr>
            <w:r>
              <w:rPr>
                <w:rFonts w:hint="default" w:ascii="宋体" w:eastAsia="宋体"/>
                <w:sz w:val="21"/>
                <w:szCs w:val="24"/>
                <w:highlight w:val="none"/>
              </w:rPr>
              <w:t xml:space="preserve">备注</w:t>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sz w:val="21"/>
                <w:szCs w:val="24"/>
                <w:highlight w:val="none"/>
              </w:rPr>
            </w:pPr>
            <w:r>
              <w:rPr>
                <w:rFonts w:hint="default" w:ascii="宋体" w:eastAsia="宋体"/>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sz w:val="21"/>
                <w:szCs w:val="24"/>
                <w:highlight w:val="none"/>
              </w:rPr>
            </w:pPr>
            <w:r>
              <w:rPr>
                <w:rFonts w:hint="default" w:ascii="宋体" w:eastAsia="宋体"/>
                <w:sz w:val="21"/>
                <w:szCs w:val="24"/>
                <w:highlight w:val="none"/>
              </w:rPr>
              <w:t xml:space="preserve">监控硬盘</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sz w:val="21"/>
                <w:szCs w:val="24"/>
                <w:highlight w:val="none"/>
              </w:rPr>
            </w:pPr>
            <w:r>
              <w:rPr>
                <w:rFonts w:hint="default" w:ascii="宋体" w:eastAsia="宋体"/>
                <w:sz w:val="21"/>
                <w:szCs w:val="24"/>
                <w:highlight w:val="none"/>
              </w:rPr>
              <w:t xml:space="preserve">（1）单盘容量：8TB；</w:t>
            </w:r>
            <w:r/>
          </w:p>
          <w:p>
            <w:pPr>
              <w:rPr>
                <w:rFonts w:hint="eastAsia"/>
                <w:sz w:val="21"/>
                <w:szCs w:val="24"/>
                <w:highlight w:val="none"/>
              </w:rPr>
            </w:pPr>
            <w:r>
              <w:rPr>
                <w:rFonts w:hint="default" w:ascii="宋体" w:eastAsia="宋体"/>
                <w:sz w:val="21"/>
                <w:szCs w:val="24"/>
                <w:highlight w:val="none"/>
              </w:rPr>
              <w:t xml:space="preserve">（2）缓存：256MB；</w:t>
            </w:r>
            <w:r/>
          </w:p>
          <w:p>
            <w:pPr>
              <w:rPr>
                <w:rFonts w:hint="eastAsia"/>
                <w:sz w:val="21"/>
                <w:szCs w:val="24"/>
                <w:highlight w:val="none"/>
              </w:rPr>
            </w:pPr>
            <w:r>
              <w:rPr>
                <w:rFonts w:hint="default" w:ascii="宋体" w:eastAsia="宋体"/>
                <w:sz w:val="21"/>
                <w:szCs w:val="24"/>
                <w:highlight w:val="none"/>
              </w:rPr>
              <w:t xml:space="preserve">（3）转速：5400RPM；</w:t>
            </w:r>
            <w:r/>
          </w:p>
          <w:p>
            <w:pPr>
              <w:rPr>
                <w:rFonts w:hint="eastAsia"/>
                <w:sz w:val="21"/>
                <w:szCs w:val="24"/>
                <w:highlight w:val="none"/>
              </w:rPr>
            </w:pPr>
            <w:r>
              <w:rPr>
                <w:rFonts w:hint="default" w:ascii="宋体" w:eastAsia="宋体"/>
                <w:sz w:val="21"/>
                <w:szCs w:val="24"/>
                <w:highlight w:val="none"/>
              </w:rPr>
              <w:t xml:space="preserve">（4）硬盘接口：SATA</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sz w:val="21"/>
                <w:szCs w:val="24"/>
                <w:highlight w:val="none"/>
              </w:rPr>
            </w:pPr>
            <w:r>
              <w:rPr>
                <w:rFonts w:hint="eastAsia"/>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sz w:val="21"/>
                <w:szCs w:val="24"/>
                <w:highlight w:val="none"/>
              </w:rPr>
            </w:pPr>
            <w:r>
              <w:rPr>
                <w:rFonts w:hint="eastAsia"/>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sz w:val="21"/>
                <w:szCs w:val="24"/>
                <w:highlight w:val="none"/>
              </w:rPr>
            </w:pPr>
            <w:r>
              <w:rPr>
                <w:rFonts w:hint="eastAsia"/>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21.货物名称：监控交换机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cantSplit/>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支持尺寸</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（1）支持放入400mm*300mm*100mm的标准弱电箱中部署，保障室内环境的美观；</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供电功率</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（2）要求所投产品支持POE和POE+远程供电，POE供电功率为125W；</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节能技术</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（3）符合国家低碳环保等政策要求，支持IEEE 802.3az标准的EEE节能技术；</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92"/>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许可证</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★提供工信部设备进网许可证。</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default" w:ascii="宋体" w:eastAsia="宋体"/>
          <w:sz w:val="21"/>
          <w:szCs w:val="24"/>
          <w:highlight w:val="none"/>
        </w:rPr>
      </w:pPr>
      <w:r>
        <w:rPr>
          <w:rFonts w:hint="default" w:ascii="宋体" w:eastAsia="宋体"/>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22.货物名称：路由器     品牌、型号：         制造商</w:t>
      </w:r>
      <w:r/>
    </w:p>
    <w:tbl>
      <w:tblPr>
        <w:tblStyle w:val="870"/>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1"/>
        <w:gridCol w:w="2237"/>
        <w:gridCol w:w="1054"/>
        <w:gridCol w:w="952"/>
      </w:tblGrid>
      <w:tr>
        <w:trPr>
          <w:cantSplit/>
          <w:trHeight w:val="1222"/>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转发性能支持</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（1）转发性能支持3Mpps；</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内存</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（2）内存≥2GB，Flash≥4GB；</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千兆电口</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（3）实配三层千兆电口≥2，二层千兆电口≥8支持二三层切换，可扩展千兆光口≥2个；支持业务槽位≥1个，可以灵活插卡扩展4G/5G/SFP接口；</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应用识别能力</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（4）支持基于DPI/五元组/DSCP等多种方式的应用识别能力；</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认证模式</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（5）支持1X、WEB、AAA、RADIUS等多种认证模式</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多种链路探测协议</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（6）支持IPSLA、NQA等多种链路探测协议</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路由策略</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（7）支持IPv4和IPv6双协议栈，支持IPV4静态路由、OSPFv2、BGP、IS-IS、路由策略，支持IPv6静态路由、OSPFv3、IS-ISv6、BGP4+；</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分发协议</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（8）MPLS VPN支持LDP等MPLS标签分发协议，支持三层VPN；</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管理面协议</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（9）支持SNMP、netconf、gRPC等管理面协议，实现更加灵活的对接管理；</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36"/>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righ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国密算法</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（10）支持国密算法SM2/3/4；</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23.货物名称：双通道闸机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功能要求</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（1）支持二代身份证信息读取；</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（2）支持人脸识别；</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（3）支持管理员开启；</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（4）设备须具有零位自检功能，方便维护及使用；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（5）具备开放式系统接口，可与考试管理系统等其他相关系统实现无缝对接，实现数据实时互通与协同运行。</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材质:SUS304不锈钢</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上盖厚度：≥1.5mm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箱体厚度：≥1.0mm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外尺寸：≥1200*300*980mm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通道宽：≤550mm </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性能要求</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（1）电源电压：AC220V±10%、50Hz</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（2）驱动电机：直流有刷电机　24V/20W</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（3）工作环境温度：－20℃～+70℃</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（4）相对湿度：相对湿度≤90%、不凝露</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（5）输入接口：12V电平信号或脉宽＞100ms的12V脉冲信号 </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（6）驱动电流：＞200mA；</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（7）最大通道宽 580mm；标准通道宽：550MM；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（8）通行速度：≤40人/分钟；</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（9）闸门开、关时间≤1.5秒(可调)；</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（10）翼门开关角度:≥45度</w:t>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default" w:ascii="宋体" w:eastAsia="宋体"/>
          <w:sz w:val="21"/>
          <w:szCs w:val="24"/>
          <w:highlight w:val="none"/>
        </w:rPr>
      </w:pPr>
      <w:r>
        <w:rPr>
          <w:rFonts w:hint="default" w:ascii="宋体" w:eastAsia="宋体"/>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24.货物名称：联排候考椅   品牌、型号：         制造商</w:t>
      </w:r>
      <w:r/>
    </w:p>
    <w:tbl>
      <w:tblPr>
        <w:tblStyle w:val="870"/>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09"/>
        <w:gridCol w:w="3461"/>
        <w:gridCol w:w="2237"/>
        <w:gridCol w:w="1054"/>
        <w:gridCol w:w="952"/>
      </w:tblGrid>
      <w:tr>
        <w:trPr>
          <w:cantSplit/>
          <w:trHeight w:val="1222"/>
        </w:trPr>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66"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17"/>
        </w:trPr>
        <w:tc>
          <w:tcPr>
            <w:tcBorders>
              <w:top w:val="single" w:color="auto" w:sz="4" w:space="0"/>
              <w:left w:val="single" w:color="auto" w:sz="4" w:space="0"/>
              <w:bottom w:val="single" w:color="auto" w:sz="4" w:space="0"/>
              <w:right w:val="single" w:color="auto" w:sz="4" w:space="0"/>
            </w:tcBorders>
            <w:tcW w:w="843"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65"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3联排</w:t>
            </w:r>
            <w:r/>
          </w:p>
        </w:tc>
        <w:tc>
          <w:tcPr>
            <w:tcBorders>
              <w:top w:val="single" w:color="auto" w:sz="4" w:space="0"/>
              <w:left w:val="single" w:color="auto" w:sz="4" w:space="0"/>
              <w:bottom w:val="single" w:color="auto" w:sz="4" w:space="0"/>
              <w:right w:val="single" w:color="auto" w:sz="4" w:space="0"/>
            </w:tcBorders>
            <w:tcW w:w="4766"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钢制座椅，3联排;采用全封闭式横梁设计;加厚坐板不易变形;一体式加厚扶手;优质加厚不锈钢边条焊接后抛光，不易化，更加坚固耐用。</w:t>
            </w:r>
            <w:r/>
          </w:p>
        </w:tc>
        <w:tc>
          <w:tcPr>
            <w:tcBorders>
              <w:top w:val="single" w:color="auto" w:sz="4" w:space="0"/>
              <w:left w:val="single" w:color="auto" w:sz="4" w:space="0"/>
              <w:bottom w:val="single" w:color="auto" w:sz="4" w:space="0"/>
              <w:right w:val="single" w:color="auto" w:sz="4" w:space="0"/>
            </w:tcBorders>
            <w:tcW w:w="308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5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311"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25.货物名称：桌椅（办公室）   品牌、型号：         制造商</w:t>
      </w:r>
      <w:r/>
    </w:p>
    <w:tbl>
      <w:tblPr>
        <w:tblStyle w:val="870"/>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220"/>
        <w:gridCol w:w="3414"/>
        <w:gridCol w:w="2217"/>
        <w:gridCol w:w="1045"/>
        <w:gridCol w:w="944"/>
      </w:tblGrid>
      <w:tr>
        <w:trPr>
          <w:cantSplit/>
          <w:trHeight w:val="14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700"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备注</w:t>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80" w:type="dxa"/>
            <w:vAlign w:val="top"/>
            <w:vMerge w:val="restart"/>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桌子</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（1）桌子：尺寸：长1400mm× 宽 700mm× 高 750mm；</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680" w:type="dxa"/>
            <w:vAlign w:val="top"/>
            <w:vMerge w:val="continue"/>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（2）耐磨三聚氰胺贴面，厚度≥0.7mm，纹理清晰，抗刮擦。</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80" w:type="dxa"/>
            <w:vAlign w:val="top"/>
            <w:vMerge w:val="continue"/>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（3）带有副柜/活动柜：材质：与桌面基材一致。锁具：可配置通用锁具，确保文件安全。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680" w:type="dxa"/>
            <w:vAlign w:val="top"/>
            <w:vMerge w:val="restart"/>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椅子</w:t>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（4）椅子：材质：高弹力网布（透气性好）或优质工程塑料框架配合泡棉。</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680" w:type="dxa"/>
            <w:vAlign w:val="top"/>
            <w:vMerge w:val="continue"/>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（5）功能：需符合人体工学，提供腰部支撑。高度可独立调节或与椅背一体联动。</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r>
        <w:trPr>
          <w:cantSplit/>
          <w:trHeight w:val="370"/>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680" w:type="dxa"/>
            <w:vAlign w:val="top"/>
            <w:vMerge w:val="continue"/>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4700"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t xml:space="preserve">（6）滑轮：PU静音轮，适合瓷砖及地板，推行顺滑无噪音。</w:t>
            </w:r>
            <w:r/>
          </w:p>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3052"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438"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c>
          <w:tcPr>
            <w:tcBorders>
              <w:top w:val="single" w:color="auto" w:sz="4" w:space="0"/>
              <w:left w:val="single" w:color="auto" w:sz="4" w:space="0"/>
              <w:bottom w:val="single" w:color="auto" w:sz="4" w:space="0"/>
              <w:right w:val="single" w:color="auto" w:sz="4" w:space="0"/>
            </w:tcBorders>
            <w:tcW w:w="1299" w:type="dxa"/>
            <w:vAlign w:val="top"/>
            <w:textDirection w:val="lrTb"/>
            <w:noWrap w:val="false"/>
          </w:tcPr>
          <w:p>
            <w:pPr>
              <w:rPr>
                <w:rFonts w:hint="eastAsia" w:ascii="仿宋" w:hAnsi="仿宋" w:eastAsia="仿宋" w:cs="仿宋"/>
                <w:sz w:val="21"/>
                <w:szCs w:val="24"/>
                <w:highlight w:val="none"/>
              </w:rPr>
            </w:pPr>
            <w:r>
              <w:rPr>
                <w:rFonts w:hint="eastAsia" w:ascii="仿宋" w:hAnsi="仿宋" w:eastAsia="仿宋" w:cs="仿宋"/>
                <w:sz w:val="21"/>
                <w:szCs w:val="24"/>
                <w:highlight w:val="none"/>
              </w:rPr>
            </w:r>
            <w:r/>
          </w:p>
        </w:tc>
      </w:tr>
    </w:tbl>
    <w:p>
      <w:pPr>
        <w:rPr>
          <w:rFonts w:hint="eastAsia"/>
          <w:sz w:val="21"/>
          <w:szCs w:val="24"/>
          <w:highlight w:val="none"/>
        </w:rPr>
      </w:pPr>
      <w:r>
        <w:rPr>
          <w:rFonts w:hint="eastAsia"/>
          <w:sz w:val="21"/>
          <w:szCs w:val="24"/>
          <w:highlight w:val="none"/>
        </w:rPr>
      </w:r>
      <w:r/>
    </w:p>
    <w:p>
      <w:pPr>
        <w:ind w:firstLine="420"/>
        <w:rPr>
          <w:rFonts w:hint="eastAsia"/>
          <w:sz w:val="21"/>
          <w:szCs w:val="24"/>
          <w:highlight w:val="none"/>
        </w:rPr>
      </w:pPr>
      <w:r>
        <w:rPr>
          <w:rFonts w:hint="default" w:ascii="宋体" w:eastAsia="宋体"/>
          <w:sz w:val="21"/>
          <w:szCs w:val="24"/>
          <w:highlight w:val="none"/>
        </w:rPr>
        <w:t xml:space="preserve">供应商应当明确响应产品的品牌、型号和具体技术指标数值，否则作为无效响应处理。</w:t>
      </w:r>
      <w:r/>
    </w:p>
    <w:p>
      <w:pPr>
        <w:ind w:firstLine="641"/>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（四）商务部分正负偏离表</w:t>
      </w:r>
      <w:r/>
    </w:p>
    <w:p>
      <w:pPr>
        <w:jc w:val="center"/>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87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61"/>
        <w:gridCol w:w="292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61"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交货务期限</w:t>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合同签订后45日内完成供货及安装调试，交付使用。具体以采购人通知为准。</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采购人指定</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自交货并验收合格之日起计壹年（整机）。</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售后服务</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1.提供产品售后服务机构名称、地址，以及专业技术人员名单和联系电话；</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2.保修期内：24小时作出相应的问题答复；如电话不能解决问题，维修人员将在3个工作日内到达现场（视用户地理位置而定）如果仍未解决问题的，厂家需要提供相同性能仪器，在维修期内供用户免费备用。</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3.成交供应商须到采购方提供现场免费安装、调试设备，进行操作试验，直至运行正常，为仪器操作人员提供必需的免费的操作及维护培训，仪器运转正常后可免培训费提供人员培训。</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付款方式</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签订合同后15工作日内支付预付款，预付款为合同金额的30%；合同履行完毕，通过省级考试点验收合格后30个工作日内，支付合同金额的50%；设备使用12个月，无质量问题，一次性支付余款。</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61"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其他要求</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24" w:type="dxa"/>
            <w:vAlign w:val="top"/>
            <w:textDirection w:val="lrTb"/>
            <w:noWrap w:val="false"/>
          </w:tcPr>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（一）报价要求：</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报价要求：报价应包含设备的制造、包装、运输、装卸、安装、保险、验收、人员培训、检验、税金、代理服务费等与本项目相关的一切费用。成交价之外采购人不再支付任何费用。</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（二）报价含响应供应商为完成采购文件全部要求内容应承担的一切成本、费用和支出以及供应商的合理利润等交付使用前一切费用。不接受选择性报价。</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（三）供应商中标后不得将中标项目分包或者转让给其他主体实施。</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四）成交人应保证货物是全新、未使用过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五）根据国家认可的质检部门检验结果或者在质量保证期内，如果货物的数量、质量或规格与合同不符，或证明货物是有缺陷的，包括潜在的缺陷或使用不符合要求的材料等，采购人以书面形式向成交人提出本保证下的索赔。</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tc>
      </w:tr>
    </w:tbl>
    <w:p>
      <w:pPr>
        <w:rPr>
          <w:rFonts w:hint="eastAsia" w:ascii="仿宋" w:hAnsi="仿宋" w:eastAsia="仿宋"/>
          <w:color w:val="auto"/>
          <w:sz w:val="21"/>
          <w:szCs w:val="21"/>
          <w:highlight w:val="none"/>
        </w:rPr>
      </w:pPr>
      <w:r>
        <w:rPr>
          <w:rFonts w:hint="eastAsia" w:ascii="仿宋" w:hAnsi="仿宋" w:eastAsia="仿宋"/>
          <w:color w:val="auto"/>
          <w:sz w:val="21"/>
          <w:szCs w:val="21"/>
          <w:highlight w:val="none"/>
        </w:rPr>
      </w:r>
      <w:r/>
    </w:p>
    <w:p>
      <w:pPr>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注：按照招标文件要求详细填列，可增减行。</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560"/>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br w:type="page" w:clear="all"/>
      </w:r>
      <w:bookmarkStart w:id="133" w:name="_Toc24806"/>
      <w:r/>
      <w:bookmarkStart w:id="134" w:name="_Toc5378"/>
      <w:r>
        <w:rPr>
          <w:rFonts w:hint="eastAsia" w:ascii="黑体" w:hAnsi="黑体" w:eastAsia="黑体"/>
          <w:color w:val="auto"/>
          <w:sz w:val="28"/>
          <w:szCs w:val="28"/>
          <w:highlight w:val="none"/>
        </w:rPr>
        <w:t xml:space="preserve">四、报价文件</w:t>
      </w:r>
      <w:bookmarkEnd w:id="133"/>
      <w:r/>
      <w:bookmarkEnd w:id="134"/>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（一）公开招标响应报价表</w:t>
      </w:r>
      <w:r/>
    </w:p>
    <w:p>
      <w:pPr>
        <w:ind w:firstLine="3040"/>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870"/>
        <w:tblW w:w="8807" w:type="dxa"/>
        <w:tblInd w:w="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项目名称：安全生产考试点特种作业考试设备更新项目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项目编号：JSZC-320682-NTJW-G2026-0021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小微企业、残疾人福利单位或者监狱和戒毒企业制造的产品或者承接的服务，报价折扣</w:t>
            </w:r>
            <w:r>
              <w:rPr>
                <w:rFonts w:hint="eastAsia" w:ascii="仿宋" w:hAnsi="仿宋" w:eastAsia="仿宋" w:cs="宋体"/>
                <w:color w:val="auto"/>
                <w:sz w:val="24"/>
                <w:szCs w:val="24"/>
                <w:highlight w:val="none"/>
                <w:u w:val="single"/>
              </w:rPr>
              <w:t xml:space="preserve">10%</w:t>
            </w:r>
            <w:r>
              <w:rPr>
                <w:rFonts w:hint="eastAsia" w:ascii="仿宋" w:hAnsi="仿宋" w:eastAsia="仿宋" w:cs="宋体"/>
                <w:color w:val="auto"/>
                <w:sz w:val="24"/>
                <w:szCs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小写：</w:t>
            </w:r>
            <w:r/>
          </w:p>
        </w:tc>
      </w:tr>
      <w:tr>
        <w:trPr>
          <w:trHeight w:val="96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大写：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Borders>
              <w:top w:val="none" w:color="000000" w:sz="4" w:space="0"/>
              <w:left w:val="single" w:color="auto" w:sz="4" w:space="0"/>
              <w:bottom w:val="none" w:color="000000" w:sz="4" w:space="0"/>
              <w:right w:val="single" w:color="auto" w:sz="4" w:space="0"/>
            </w:tcBorders>
            <w:tcW w:w="3293" w:type="dxa"/>
            <w:vAlign w:val="center"/>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小写：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color w:val="auto"/>
                <w:sz w:val="21"/>
                <w:szCs w:val="24"/>
                <w:highlight w:val="none"/>
              </w:rPr>
            </w:pPr>
            <w:r>
              <w:rPr>
                <w:rFonts w:hint="eastAsia"/>
                <w:color w:val="auto"/>
                <w:sz w:val="21"/>
                <w:szCs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hint="eastAsia"/>
                <w:color w:val="auto"/>
                <w:sz w:val="21"/>
                <w:szCs w:val="24"/>
                <w:highlight w:val="none"/>
              </w:rPr>
            </w:pPr>
            <w:r>
              <w:rPr>
                <w:rFonts w:hint="eastAsia"/>
                <w:color w:val="auto"/>
                <w:sz w:val="21"/>
                <w:szCs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olor w:val="auto"/>
                <w:sz w:val="24"/>
                <w:szCs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color w:val="auto"/>
                <w:sz w:val="24"/>
                <w:szCs w:val="24"/>
                <w:highlight w:val="none"/>
                <w:u w:val="single"/>
              </w:rPr>
              <w:t xml:space="preserve">4%</w:t>
            </w:r>
            <w:r>
              <w:rPr>
                <w:rFonts w:hint="eastAsia" w:ascii="仿宋" w:hAnsi="仿宋" w:eastAsia="仿宋"/>
                <w:color w:val="auto"/>
                <w:sz w:val="24"/>
                <w:szCs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小写：</w:t>
            </w:r>
            <w:r/>
          </w:p>
        </w:tc>
      </w:tr>
      <w:tr>
        <w:trPr>
          <w:trHeight w:val="2256"/>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大写：</w:t>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rPr>
          <w:rFonts w:hint="eastAsia" w:ascii="仿宋" w:hAnsi="仿宋" w:eastAsia="仿宋"/>
          <w:color w:val="auto"/>
          <w:sz w:val="28"/>
          <w:szCs w:val="28"/>
          <w:highlight w:val="none"/>
        </w:rPr>
        <w:sectPr>
          <w:footnotePr/>
          <w:endnotePr/>
          <w:type w:val="nextPage"/>
          <w:pgSz w:w="11906" w:h="16838" w:orient="portrait"/>
          <w:pgMar w:top="1418" w:right="1134" w:bottom="1134" w:left="1418" w:header="851" w:footer="992" w:gutter="0"/>
          <w:lnNumType w:countBy="0" w:distance="360"/>
          <w:cols w:num="1" w:sep="0" w:space="720" w:equalWidth="1"/>
          <w:docGrid w:linePitch="360"/>
        </w:sectPr>
        <w:outlineLvl w:val="2"/>
      </w:pPr>
      <w:r>
        <w:rPr>
          <w:rFonts w:hint="eastAsia" w:ascii="仿宋" w:hAnsi="仿宋" w:eastAsia="仿宋"/>
          <w:color w:val="auto"/>
          <w:sz w:val="28"/>
          <w:szCs w:val="28"/>
          <w:highlight w:val="none"/>
        </w:rPr>
        <w:br w:type="page" w:clear="all"/>
      </w:r>
      <w:r/>
    </w:p>
    <w:p>
      <w:pPr>
        <w:ind w:firstLine="560"/>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（二）公开招标响应报价明细表</w:t>
      </w:r>
      <w:r/>
    </w:p>
    <w:p>
      <w:pPr>
        <w:ind w:firstLine="3040"/>
        <w:rPr>
          <w:rFonts w:hint="default" w:ascii="宋体" w:hAnsi="宋体" w:eastAsia="宋体"/>
          <w:color w:val="auto"/>
          <w:sz w:val="24"/>
          <w:szCs w:val="24"/>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hint="default" w:ascii="宋体" w:hAnsi="宋体" w:eastAsia="宋体"/>
          <w:color w:val="auto"/>
          <w:sz w:val="21"/>
          <w:szCs w:val="24"/>
          <w:highlight w:val="none"/>
        </w:rPr>
      </w:pPr>
      <w:r>
        <w:rPr>
          <w:rFonts w:hint="default" w:ascii="宋体" w:hAnsi="宋体" w:eastAsia="宋体"/>
          <w:color w:val="auto"/>
          <w:sz w:val="21"/>
          <w:szCs w:val="24"/>
          <w:highlight w:val="none"/>
        </w:rPr>
      </w:r>
      <w:r/>
    </w:p>
    <w:p>
      <w:pPr>
        <w:pStyle w:val="878"/>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 安全生产考试点特种作业考试设备更新项目</w:t>
      </w:r>
      <w:r/>
    </w:p>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JSZC-320682-NTJW-G2026-0021                单位：元</w:t>
      </w:r>
      <w:r/>
    </w:p>
    <w:tbl>
      <w:tblPr>
        <w:tblStyle w:val="87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2010"/>
        <w:gridCol w:w="1050"/>
        <w:gridCol w:w="1140"/>
        <w:gridCol w:w="1440"/>
        <w:gridCol w:w="570"/>
        <w:gridCol w:w="596"/>
        <w:gridCol w:w="1146"/>
        <w:gridCol w:w="1019"/>
      </w:tblGrid>
      <w:tr>
        <w:trPr>
          <w:cantSplit/>
          <w:trHeight w:val="9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单项</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电力安全工器具与电工仪器仪表考位（K11）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低压电工作业实际操作考场考位主要设备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电气设 备安装 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低压开 关柜考 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临时用 电系统 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电力安 全工器 具与电 工仪器 仪表考 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高压电工作业实际操作考场考位主要设备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10/0.4kV变配电系统(成套开关柜)考位（K31）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10/0.4kV变配电系统(架空线路)考位（K32）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电气设备安装考位（K33）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安全用具考位（K11）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熔化焊接与热切割作业实际操作考场考位主要设备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焊条电弧焊考位（K31）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二氧化 碳气体保护焊 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氩弧焊 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气焊(割)考 位（K34）</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焊工配套</w:t>
            </w:r>
            <w:r>
              <w:rPr>
                <w:rFonts w:hint="eastAsia" w:ascii="仿宋" w:hAnsi="仿宋" w:eastAsia="仿宋" w:cs="仿宋"/>
                <w:b/>
                <w:sz w:val="18"/>
                <w:szCs w:val="18"/>
                <w:highlight w:val="none"/>
              </w:rPr>
              <w:t xml:space="preserve">（含气瓶房2、集中排风排烟系统8个工位、气路架设8个工位、电源布线）</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安全用具考位（K11）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高处安装、维护、拆除作业实际操作考场考位主要设备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零部件判废考位（K21）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作业现场安全隐患排除考位（K22）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移动平台考位（K31）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吊篮考位（K32）</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单人吊 具考位（K33）</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登杆登 塔考位（K34）</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触电事故现场应急处置考位（K41）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作业现场应急处置实际操作考场考位主要设备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考试桌椅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机柜（含网线等辅材）</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公共区域摄像头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考试间摄像头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硬盘录像机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理论考试设备</w:t>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网线（含配套水晶头）</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箱</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监控硬盘</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12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监控交换机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4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汇聚交换机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4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楼层接入交换机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bidi="ar"/>
              </w:rPr>
              <w:t xml:space="preserve">6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路由器</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407"/>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双通道闸机</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38</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联排候考椅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8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39</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桌椅</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套</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 </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widowControl/>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场地安装配套改造</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详见清单</w:t>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rPr>
          <w:rFonts w:hint="eastAsia" w:ascii="仿宋" w:hAnsi="仿宋" w:eastAsia="仿宋"/>
          <w:color w:val="auto"/>
          <w:sz w:val="21"/>
          <w:szCs w:val="21"/>
          <w:highlight w:val="none"/>
        </w:rPr>
      </w:pPr>
      <w:r>
        <w:rPr>
          <w:rFonts w:hint="eastAsia" w:ascii="仿宋" w:hAnsi="仿宋" w:eastAsia="仿宋"/>
          <w:color w:val="auto"/>
          <w:sz w:val="21"/>
          <w:szCs w:val="21"/>
          <w:highlight w:val="none"/>
        </w:rPr>
      </w:r>
      <w:r/>
    </w:p>
    <w:p>
      <w:pPr>
        <w:rPr>
          <w:rFonts w:hint="eastAsia" w:ascii="仿宋" w:hAnsi="仿宋" w:eastAsia="仿宋"/>
          <w:b/>
          <w:color w:val="auto"/>
          <w:sz w:val="21"/>
          <w:szCs w:val="21"/>
          <w:highlight w:val="none"/>
        </w:rPr>
      </w:pPr>
      <w:r>
        <w:rPr>
          <w:rFonts w:hint="eastAsia" w:ascii="仿宋" w:hAnsi="仿宋" w:eastAsia="仿宋"/>
          <w:color w:val="auto"/>
          <w:sz w:val="21"/>
          <w:szCs w:val="21"/>
          <w:highlight w:val="none"/>
        </w:rPr>
        <w:t xml:space="preserve">注：</w:t>
      </w:r>
      <w:r/>
    </w:p>
    <w:p>
      <w:pPr>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1.此表可以根据需要自行增减行数。</w:t>
      </w:r>
      <w:r/>
    </w:p>
    <w:p>
      <w:pPr>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2、项目如有分包，请各投标人按投报的分包分别列表。</w:t>
      </w:r>
      <w:r/>
    </w:p>
    <w:p>
      <w:pPr>
        <w:ind w:firstLine="560"/>
        <w:spacing w:line="500" w:lineRule="exact"/>
        <w:rPr>
          <w:rFonts w:hint="eastAsia" w:ascii="仿宋" w:hAnsi="仿宋" w:eastAsia="仿宋"/>
          <w:color w:val="auto"/>
          <w:sz w:val="28"/>
          <w:szCs w:val="28"/>
          <w:highlight w:val="none"/>
        </w:rPr>
        <w:sectPr>
          <w:footnotePr/>
          <w:endnotePr/>
          <w:type w:val="nextPage"/>
          <w:pgSz w:w="11906" w:h="16838" w:orient="portrait"/>
          <w:pgMar w:top="1418" w:right="1134" w:bottom="1134" w:left="1418" w:header="851" w:footer="992" w:gutter="0"/>
          <w:lnNumType w:countBy="0" w:distance="360"/>
          <w:cols w:num="1" w:sep="0" w:space="720" w:equalWidth="1"/>
          <w:docGrid w:linePitch="360"/>
        </w:sectPr>
        <w:outlineLvl w:val="2"/>
      </w:pPr>
      <w:r>
        <w:rPr>
          <w:rFonts w:hint="eastAsia" w:ascii="仿宋" w:hAnsi="仿宋" w:eastAsia="仿宋"/>
          <w:color w:val="auto"/>
          <w:sz w:val="28"/>
          <w:szCs w:val="28"/>
          <w:highlight w:val="none"/>
        </w:rPr>
        <w:br w:type="page" w:clear="all"/>
      </w:r>
      <w:r/>
    </w:p>
    <w:p>
      <w:pPr>
        <w:ind w:firstLine="560"/>
        <w:spacing w:line="500" w:lineRule="exact"/>
        <w:rPr>
          <w:rFonts w:hint="eastAsia"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（三）中小企业声明函</w:t>
      </w:r>
      <w:r/>
    </w:p>
    <w:p>
      <w:pPr>
        <w:jc w:val="center"/>
        <w:spacing w:line="500" w:lineRule="exact"/>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中小企业声明函（主要货物）</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（如皋市应急管理局）</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（安全生产考试点特种作业考试设备更新项目）</w:t>
      </w:r>
      <w:r>
        <w:rPr>
          <w:rFonts w:hint="eastAsia" w:ascii="仿宋" w:hAnsi="仿宋" w:eastAsia="仿宋"/>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 （</w:t>
      </w:r>
      <w:r>
        <w:rPr>
          <w:rFonts w:hint="eastAsia" w:ascii="仿宋" w:hAnsi="仿宋" w:eastAsia="仿宋"/>
          <w:b/>
          <w:color w:val="auto"/>
          <w:sz w:val="32"/>
          <w:szCs w:val="32"/>
          <w:highlight w:val="none"/>
        </w:rPr>
        <w:t xml:space="preserve">高压开关柜</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 （</w:t>
      </w:r>
      <w:r>
        <w:rPr>
          <w:rFonts w:hint="eastAsia" w:ascii="仿宋" w:hAnsi="仿宋" w:eastAsia="仿宋"/>
          <w:b/>
          <w:color w:val="auto"/>
          <w:sz w:val="32"/>
          <w:szCs w:val="32"/>
          <w:highlight w:val="none"/>
        </w:rPr>
        <w:t xml:space="preserve">干式电力变压器</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3 （</w:t>
      </w:r>
      <w:r>
        <w:rPr>
          <w:rFonts w:hint="eastAsia" w:ascii="仿宋" w:hAnsi="仿宋" w:eastAsia="仿宋"/>
          <w:b/>
          <w:color w:val="auto"/>
          <w:sz w:val="32"/>
          <w:szCs w:val="32"/>
          <w:highlight w:val="none"/>
        </w:rPr>
        <w:t xml:space="preserve">低压开关柜</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4. （</w:t>
      </w:r>
      <w:r>
        <w:rPr>
          <w:rFonts w:hint="eastAsia" w:ascii="仿宋" w:hAnsi="仿宋" w:eastAsia="仿宋"/>
          <w:b/>
          <w:color w:val="auto"/>
          <w:sz w:val="32"/>
          <w:szCs w:val="32"/>
          <w:highlight w:val="none"/>
        </w:rPr>
        <w:t xml:space="preserve">移动操作架</w:t>
      </w:r>
      <w:r>
        <w:rPr>
          <w:rFonts w:hint="eastAsia" w:ascii="仿宋" w:hAnsi="仿宋" w:eastAsia="仿宋"/>
          <w:color w:val="auto"/>
          <w:sz w:val="32"/>
          <w:szCs w:val="32"/>
          <w:highlight w:val="none"/>
        </w:rPr>
        <w:t xml:space="preserve">)（焊条电弧焊考位）（K21））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5. （</w:t>
      </w:r>
      <w:r>
        <w:rPr>
          <w:rFonts w:hint="eastAsia" w:ascii="仿宋" w:hAnsi="仿宋" w:eastAsia="仿宋"/>
          <w:b/>
          <w:color w:val="auto"/>
          <w:sz w:val="32"/>
          <w:szCs w:val="32"/>
          <w:highlight w:val="none"/>
        </w:rPr>
        <w:t xml:space="preserve">高处作业吊篮</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6. （</w:t>
      </w:r>
      <w:r>
        <w:rPr>
          <w:rFonts w:hint="eastAsia" w:ascii="仿宋" w:hAnsi="仿宋" w:eastAsia="仿宋"/>
          <w:b/>
          <w:color w:val="auto"/>
          <w:sz w:val="32"/>
          <w:szCs w:val="32"/>
          <w:highlight w:val="none"/>
        </w:rPr>
        <w:t xml:space="preserve">座板式单人吊具</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7. （</w:t>
      </w:r>
      <w:r>
        <w:rPr>
          <w:rFonts w:hint="eastAsia" w:ascii="仿宋" w:hAnsi="仿宋" w:eastAsia="仿宋"/>
          <w:b/>
          <w:color w:val="auto"/>
          <w:sz w:val="32"/>
          <w:szCs w:val="32"/>
          <w:highlight w:val="none"/>
        </w:rPr>
        <w:t xml:space="preserve">气体报警控制器</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hint="eastAsia" w:ascii="仿宋" w:hAnsi="仿宋" w:eastAsia="仿宋"/>
          <w:b/>
          <w:color w:val="auto"/>
          <w:sz w:val="32"/>
          <w:szCs w:val="32"/>
          <w:highlight w:val="none"/>
        </w:rPr>
        <w:t xml:space="preserve">典型气体探测器</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9. （</w:t>
      </w:r>
      <w:r>
        <w:rPr>
          <w:rFonts w:hint="eastAsia" w:ascii="仿宋" w:hAnsi="仿宋" w:eastAsia="仿宋"/>
          <w:b/>
          <w:color w:val="auto"/>
          <w:sz w:val="32"/>
          <w:szCs w:val="32"/>
          <w:highlight w:val="none"/>
        </w:rPr>
        <w:t xml:space="preserve">报警气瓶柜</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10. （</w:t>
      </w:r>
      <w:r>
        <w:rPr>
          <w:rFonts w:hint="eastAsia" w:ascii="仿宋" w:hAnsi="仿宋" w:eastAsia="仿宋"/>
          <w:b/>
          <w:color w:val="auto"/>
          <w:sz w:val="32"/>
          <w:szCs w:val="32"/>
          <w:highlight w:val="none"/>
        </w:rPr>
        <w:t xml:space="preserve">工位隔断</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11. （</w:t>
      </w:r>
      <w:r>
        <w:rPr>
          <w:rFonts w:hint="eastAsia" w:ascii="仿宋" w:hAnsi="仿宋" w:eastAsia="仿宋"/>
          <w:b/>
          <w:color w:val="auto"/>
          <w:sz w:val="32"/>
          <w:szCs w:val="32"/>
          <w:highlight w:val="none"/>
        </w:rPr>
        <w:t xml:space="preserve">离心风机</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12. （</w:t>
      </w:r>
      <w:r>
        <w:rPr>
          <w:rFonts w:hint="eastAsia" w:ascii="仿宋" w:hAnsi="仿宋" w:eastAsia="仿宋"/>
          <w:b/>
          <w:color w:val="auto"/>
          <w:sz w:val="32"/>
          <w:szCs w:val="32"/>
          <w:highlight w:val="none"/>
        </w:rPr>
        <w:t xml:space="preserve">变频器</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13. （</w:t>
      </w:r>
      <w:r>
        <w:rPr>
          <w:rFonts w:hint="eastAsia" w:ascii="仿宋" w:hAnsi="仿宋" w:eastAsia="仿宋"/>
          <w:b/>
          <w:color w:val="auto"/>
          <w:sz w:val="32"/>
          <w:szCs w:val="32"/>
          <w:highlight w:val="none"/>
        </w:rPr>
        <w:t xml:space="preserve">除尘排烟净化主机</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14. （</w:t>
      </w:r>
      <w:r>
        <w:rPr>
          <w:rFonts w:hint="eastAsia" w:ascii="仿宋" w:hAnsi="仿宋" w:eastAsia="仿宋"/>
          <w:b/>
          <w:color w:val="auto"/>
          <w:sz w:val="32"/>
          <w:szCs w:val="32"/>
          <w:highlight w:val="none"/>
        </w:rPr>
        <w:t xml:space="preserve">悬浮式捕捉系统</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15. （</w:t>
      </w:r>
      <w:r>
        <w:rPr>
          <w:rFonts w:hint="eastAsia" w:ascii="仿宋" w:hAnsi="仿宋" w:eastAsia="仿宋"/>
          <w:b/>
          <w:color w:val="auto"/>
          <w:sz w:val="32"/>
          <w:szCs w:val="32"/>
          <w:highlight w:val="none"/>
        </w:rPr>
        <w:t xml:space="preserve">机柜</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16. （</w:t>
      </w:r>
      <w:r>
        <w:rPr>
          <w:rFonts w:hint="eastAsia" w:ascii="仿宋" w:hAnsi="仿宋" w:eastAsia="仿宋"/>
          <w:b/>
          <w:color w:val="auto"/>
          <w:sz w:val="32"/>
          <w:szCs w:val="32"/>
          <w:highlight w:val="none"/>
        </w:rPr>
        <w:t xml:space="preserve">公共区域摄像头</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17. （</w:t>
      </w:r>
      <w:r>
        <w:rPr>
          <w:rFonts w:hint="eastAsia" w:ascii="仿宋" w:hAnsi="仿宋" w:eastAsia="仿宋"/>
          <w:b/>
          <w:color w:val="auto"/>
          <w:sz w:val="32"/>
          <w:szCs w:val="32"/>
          <w:highlight w:val="none"/>
        </w:rPr>
        <w:t xml:space="preserve">考试间摄像头</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18. （</w:t>
      </w:r>
      <w:r>
        <w:rPr>
          <w:rFonts w:hint="eastAsia" w:ascii="仿宋" w:hAnsi="仿宋" w:eastAsia="仿宋"/>
          <w:b/>
          <w:color w:val="auto"/>
          <w:sz w:val="32"/>
          <w:szCs w:val="32"/>
          <w:highlight w:val="none"/>
        </w:rPr>
        <w:t xml:space="preserve">硬盘录像机</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19. （</w:t>
      </w:r>
      <w:r>
        <w:rPr>
          <w:rFonts w:hint="eastAsia" w:ascii="仿宋" w:hAnsi="仿宋" w:eastAsia="仿宋"/>
          <w:b/>
          <w:color w:val="auto"/>
          <w:sz w:val="32"/>
          <w:szCs w:val="32"/>
          <w:highlight w:val="none"/>
        </w:rPr>
        <w:t xml:space="preserve">网线</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20. （</w:t>
      </w:r>
      <w:r>
        <w:rPr>
          <w:rFonts w:hint="eastAsia" w:ascii="仿宋" w:hAnsi="仿宋" w:eastAsia="仿宋"/>
          <w:b/>
          <w:color w:val="auto"/>
          <w:sz w:val="32"/>
          <w:szCs w:val="32"/>
          <w:highlight w:val="none"/>
        </w:rPr>
        <w:t xml:space="preserve">监控硬盘</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21.（</w:t>
      </w:r>
      <w:r>
        <w:rPr>
          <w:rFonts w:hint="eastAsia" w:ascii="仿宋" w:hAnsi="仿宋" w:eastAsia="仿宋"/>
          <w:b/>
          <w:color w:val="auto"/>
          <w:sz w:val="32"/>
          <w:szCs w:val="32"/>
          <w:highlight w:val="none"/>
        </w:rPr>
        <w:t xml:space="preserve">监控交换机</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22. （</w:t>
      </w:r>
      <w:r>
        <w:rPr>
          <w:rFonts w:hint="eastAsia" w:ascii="仿宋" w:hAnsi="仿宋" w:eastAsia="仿宋"/>
          <w:b/>
          <w:color w:val="auto"/>
          <w:sz w:val="32"/>
          <w:szCs w:val="32"/>
          <w:highlight w:val="none"/>
        </w:rPr>
        <w:t xml:space="preserve">路由器</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23. （</w:t>
      </w:r>
      <w:r>
        <w:rPr>
          <w:rFonts w:hint="eastAsia" w:ascii="仿宋" w:hAnsi="仿宋" w:eastAsia="仿宋"/>
          <w:b/>
          <w:color w:val="auto"/>
          <w:sz w:val="32"/>
          <w:szCs w:val="32"/>
          <w:highlight w:val="none"/>
        </w:rPr>
        <w:t xml:space="preserve">双通道闸机</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 ；</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24. （</w:t>
      </w:r>
      <w:r>
        <w:rPr>
          <w:rFonts w:hint="eastAsia" w:ascii="仿宋" w:hAnsi="仿宋" w:eastAsia="仿宋"/>
          <w:b/>
          <w:color w:val="auto"/>
          <w:sz w:val="32"/>
          <w:szCs w:val="32"/>
          <w:highlight w:val="none"/>
        </w:rPr>
        <w:t xml:space="preserve">联排候考椅</w:t>
      </w:r>
      <w:r>
        <w:rPr>
          <w:rFonts w:hint="eastAsia" w:ascii="仿宋" w:hAnsi="仿宋" w:eastAsia="仿宋"/>
          <w:color w:val="auto"/>
          <w:sz w:val="32"/>
          <w:szCs w:val="32"/>
          <w:highlight w:val="none"/>
        </w:rPr>
        <w:t xml:space="preserve">） ，属于（工业行业）行业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25. （</w:t>
      </w:r>
      <w:r>
        <w:rPr>
          <w:rFonts w:hint="eastAsia" w:ascii="仿宋" w:hAnsi="仿宋" w:eastAsia="仿宋"/>
          <w:b/>
          <w:color w:val="auto"/>
          <w:sz w:val="32"/>
          <w:szCs w:val="32"/>
          <w:highlight w:val="none"/>
        </w:rPr>
        <w:t xml:space="preserve">办公室桌椅</w:t>
      </w:r>
      <w:r>
        <w:rPr>
          <w:rFonts w:hint="eastAsia" w:ascii="仿宋" w:hAnsi="仿宋" w:eastAsia="仿宋"/>
          <w:color w:val="auto"/>
          <w:sz w:val="32"/>
          <w:szCs w:val="32"/>
          <w:highlight w:val="none"/>
        </w:rPr>
        <w:t xml:space="preserve">），属于（工业行业）行业 ；制造商为 （企业名称） ，从业人员人，营业收入为万元，资产总额为万元，属于 （中型企业、小型企业、微型企业）；</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jc w:val="right"/>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jc w:val="right"/>
        <w:spacing w:line="500" w:lineRule="exact"/>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hint="default" w:ascii="Calibri" w:hAnsi="Calibri" w:eastAsia="宋体"/>
          <w:color w:val="auto"/>
          <w:sz w:val="21"/>
          <w:szCs w:val="22"/>
          <w:highlight w:val="none"/>
        </w:rPr>
      </w:pPr>
      <w:r>
        <w:rPr>
          <w:rFonts w:hint="default" w:ascii="Calibri" w:hAnsi="Calibri" w:eastAsia="宋体"/>
          <w:color w:val="auto"/>
          <w:sz w:val="21"/>
          <w:szCs w:val="22"/>
          <w:highlight w:val="none"/>
        </w:rPr>
        <w:br w:type="page" w:clear="all"/>
      </w:r>
      <w:r/>
    </w:p>
    <w:p>
      <w:pPr>
        <w:spacing w:line="500" w:lineRule="exact"/>
        <w:rPr>
          <w:rFonts w:hint="eastAsia" w:ascii="仿宋" w:hAnsi="仿宋" w:eastAsia="仿宋" w:cs="Arial"/>
          <w:color w:val="auto"/>
          <w:sz w:val="28"/>
          <w:szCs w:val="28"/>
          <w:highlight w:val="none"/>
        </w:rPr>
      </w:pPr>
      <w:r>
        <w:rPr>
          <w:rFonts w:hint="eastAsia" w:ascii="仿宋" w:hAnsi="仿宋" w:eastAsia="仿宋"/>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p>
    <w:p>
      <w:pPr>
        <w:jc w:val="center"/>
        <w:rPr>
          <w:rFonts w:hint="eastAsia"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560" w:firstLine="560"/>
        <w:jc w:val="center"/>
        <w:spacing w:line="500" w:lineRule="exact"/>
        <w:tabs>
          <w:tab w:val="left" w:pos="48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注意：中标供应商提供的《中小企业声明函》《残疾人福利性单位声明函》将随中标结果同时公告，接受社会监督。</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（五）</w:t>
      </w:r>
      <w:r>
        <w:rPr>
          <w:rFonts w:hint="eastAsia" w:ascii="仿宋" w:hAnsi="仿宋" w:eastAsia="仿宋" w:cs="仿宋"/>
          <w:b/>
          <w:color w:val="auto"/>
          <w:sz w:val="28"/>
          <w:szCs w:val="28"/>
          <w:highlight w:val="none"/>
          <w:u w:val="single"/>
          <w:lang w:bidi="ar"/>
        </w:rPr>
        <w:t xml:space="preserve">主要产品</w:t>
      </w:r>
      <w:r>
        <w:rPr>
          <w:rFonts w:hint="eastAsia" w:ascii="仿宋" w:hAnsi="仿宋" w:eastAsia="仿宋" w:cs="仿宋"/>
          <w:color w:val="auto"/>
          <w:sz w:val="28"/>
          <w:szCs w:val="28"/>
          <w:highlight w:val="none"/>
          <w:lang w:bidi="ar"/>
        </w:rPr>
        <w:t xml:space="preserve">关于符合本国产品标准的声明函</w:t>
      </w:r>
      <w:r/>
    </w:p>
    <w:p>
      <w:pPr>
        <w:jc w:val="center"/>
        <w:rPr>
          <w:rFonts w:hint="eastAsia" w:ascii="方正小标宋简体" w:hAnsi="方正小标宋简体" w:eastAsia="方正小标宋简体"/>
          <w:b/>
          <w:color w:val="auto"/>
          <w:sz w:val="44"/>
          <w:szCs w:val="44"/>
          <w:highlight w:val="none"/>
        </w:rPr>
      </w:pPr>
      <w:r>
        <w:rPr>
          <w:rStyle w:val="888"/>
          <w:rFonts w:hint="eastAsia" w:ascii="方正小标宋简体" w:hAnsi="方正小标宋简体" w:eastAsia="方正小标宋简体" w:cs="方正小标宋简体"/>
          <w:color w:val="auto"/>
          <w:sz w:val="44"/>
          <w:szCs w:val="44"/>
          <w:highlight w:val="none"/>
          <w:lang w:bidi="ar"/>
        </w:rPr>
        <w:t xml:space="preserve">关于符合本国产品标准的声明函</w:t>
      </w:r>
      <w:r/>
    </w:p>
    <w:p>
      <w:pPr>
        <w:ind w:firstLine="420"/>
        <w:rPr>
          <w:rFonts w:hint="eastAsia" w:ascii="仿宋" w:hAnsi="仿宋" w:eastAsia="仿宋"/>
          <w:color w:val="auto"/>
          <w:sz w:val="21"/>
          <w:szCs w:val="21"/>
          <w:highlight w:val="none"/>
        </w:rPr>
      </w:pPr>
      <w:r>
        <w:rPr>
          <w:rFonts w:hint="eastAsia" w:ascii="仿宋" w:hAnsi="仿宋" w:eastAsia="仿宋"/>
          <w:color w:val="auto"/>
          <w:sz w:val="21"/>
          <w:szCs w:val="21"/>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仿宋" w:hAnsi="仿宋" w:eastAsia="仿宋"/>
          <w:sz w:val="32"/>
          <w:szCs w:val="32"/>
          <w:highlight w:val="none"/>
        </w:rPr>
      </w:pPr>
      <w:r>
        <w:rPr>
          <w:rFonts w:hint="eastAsia" w:ascii="仿宋" w:hAnsi="仿宋" w:eastAsia="仿宋" w:cs="仿宋"/>
          <w:sz w:val="32"/>
          <w:szCs w:val="32"/>
          <w:highlight w:val="none"/>
          <w:lang w:bidi="ar"/>
        </w:rPr>
        <w:t xml:space="preserve">1.</w:t>
      </w:r>
      <w:r>
        <w:rPr>
          <w:rFonts w:hint="eastAsia" w:ascii="仿宋" w:hAnsi="仿宋" w:eastAsia="仿宋" w:cs="仿宋"/>
          <w:i/>
          <w:sz w:val="32"/>
          <w:szCs w:val="32"/>
          <w:highlight w:val="none"/>
          <w:lang w:bidi="ar"/>
        </w:rPr>
        <w:t xml:space="preserve">（</w:t>
      </w:r>
      <w:r>
        <w:rPr>
          <w:rFonts w:hint="eastAsia" w:ascii="仿宋" w:hAnsi="仿宋" w:eastAsia="仿宋" w:cs="仿宋"/>
          <w:b/>
          <w:i/>
          <w:sz w:val="32"/>
          <w:szCs w:val="32"/>
          <w:highlight w:val="none"/>
          <w:lang w:bidi="ar"/>
        </w:rPr>
        <w:t xml:space="preserve">高压开关柜</w:t>
      </w:r>
      <w:r>
        <w:rPr>
          <w:rFonts w:hint="eastAsia" w:ascii="仿宋" w:hAnsi="仿宋" w:eastAsia="仿宋" w:cs="仿宋"/>
          <w:i/>
          <w:sz w:val="32"/>
          <w:szCs w:val="32"/>
          <w:highlight w:val="none"/>
          <w:lang w:bidi="ar"/>
        </w:rPr>
        <w:t xml:space="preserve">）</w:t>
      </w:r>
      <w:r>
        <w:rPr>
          <w:rFonts w:hint="eastAsia" w:ascii="仿宋" w:hAnsi="仿宋" w:eastAsia="仿宋" w:cs="仿宋"/>
          <w:i/>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w:t>
      </w:r>
      <w:r>
        <w:rPr>
          <w:rFonts w:hint="eastAsia" w:ascii="仿宋" w:hAnsi="仿宋" w:eastAsia="仿宋" w:cs="仿宋"/>
          <w:i/>
          <w:sz w:val="32"/>
          <w:szCs w:val="32"/>
          <w:highlight w:val="none"/>
          <w:lang w:bidi="ar"/>
        </w:rPr>
        <w:t xml:space="preserve">（厂名）</w:t>
      </w:r>
      <w:r>
        <w:rPr>
          <w:rFonts w:hint="eastAsia" w:ascii="仿宋" w:hAnsi="仿宋" w:eastAsia="仿宋" w:cs="仿宋"/>
          <w:i/>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w:t>
      </w:r>
      <w:r>
        <w:rPr>
          <w:rFonts w:hint="eastAsia" w:ascii="仿宋" w:hAnsi="仿宋" w:eastAsia="仿宋" w:cs="仿宋"/>
          <w:i/>
          <w:sz w:val="32"/>
          <w:szCs w:val="32"/>
          <w:highlight w:val="none"/>
          <w:lang w:bidi="ar"/>
        </w:rPr>
        <w:t xml:space="preserve">（生产厂址）</w:t>
      </w:r>
      <w:r>
        <w:rPr>
          <w:rFonts w:hint="eastAsia" w:ascii="仿宋" w:hAnsi="仿宋" w:eastAsia="仿宋" w:cs="仿宋"/>
          <w:sz w:val="32"/>
          <w:szCs w:val="32"/>
          <w:highlight w:val="none"/>
          <w:lang w:bidi="ar"/>
        </w:rPr>
        <w:t xml:space="preserve">。</w:t>
      </w:r>
      <w:r>
        <w:rPr>
          <w:rFonts w:hint="eastAsia" w:ascii="仿宋" w:hAnsi="仿宋" w:eastAsia="仿宋" w:cs="仿宋"/>
          <w:i/>
          <w:sz w:val="32"/>
          <w:szCs w:val="32"/>
          <w:highlight w:val="none"/>
          <w:lang w:bidi="ar"/>
        </w:rPr>
        <w:t xml:space="preserve">（产品名称1）</w:t>
      </w:r>
      <w:r>
        <w:rPr>
          <w:rFonts w:hint="eastAsia" w:ascii="仿宋" w:hAnsi="仿宋" w:eastAsia="仿宋" w:cs="仿宋"/>
          <w:sz w:val="32"/>
          <w:szCs w:val="32"/>
          <w:highlight w:val="none"/>
          <w:lang w:bidi="ar"/>
        </w:rPr>
        <w:t xml:space="preserve">的中国境内生产的组件成本占比≥</w:t>
      </w:r>
      <w:r>
        <w:rPr>
          <w:rFonts w:hint="eastAsia" w:ascii="仿宋" w:hAnsi="仿宋" w:eastAsia="仿宋" w:cs="仿宋"/>
          <w:i/>
          <w:sz w:val="32"/>
          <w:szCs w:val="32"/>
          <w:highlight w:val="none"/>
          <w:lang w:bidi="ar"/>
        </w:rPr>
        <w:t xml:space="preserve">（规定比例）</w:t>
      </w:r>
      <w:r>
        <w:rPr>
          <w:rFonts w:hint="eastAsia" w:ascii="仿宋" w:hAnsi="仿宋" w:eastAsia="仿宋" w:cs="仿宋"/>
          <w:i/>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w:t>
      </w:r>
      <w:r>
        <w:rPr>
          <w:rFonts w:hint="eastAsia" w:ascii="仿宋" w:hAnsi="仿宋" w:eastAsia="仿宋" w:cs="仿宋"/>
          <w:i/>
          <w:sz w:val="32"/>
          <w:szCs w:val="32"/>
          <w:highlight w:val="none"/>
          <w:lang w:bidi="ar"/>
        </w:rPr>
        <w:t xml:space="preserve">（产品名称1）</w:t>
      </w:r>
      <w:r>
        <w:rPr>
          <w:rFonts w:hint="eastAsia" w:ascii="仿宋" w:hAnsi="仿宋" w:eastAsia="仿宋" w:cs="仿宋"/>
          <w:sz w:val="32"/>
          <w:szCs w:val="32"/>
          <w:highlight w:val="none"/>
          <w:lang w:bidi="ar"/>
        </w:rPr>
        <w:t xml:space="preserve">的</w:t>
      </w:r>
      <w:r>
        <w:rPr>
          <w:rFonts w:hint="eastAsia" w:ascii="仿宋" w:hAnsi="仿宋" w:eastAsia="仿宋" w:cs="仿宋"/>
          <w:i/>
          <w:sz w:val="32"/>
          <w:szCs w:val="32"/>
          <w:highlight w:val="none"/>
          <w:lang w:bidi="ar"/>
        </w:rPr>
        <w:t xml:space="preserve">（关键组件）</w:t>
      </w:r>
      <w:r>
        <w:rPr>
          <w:rFonts w:hint="eastAsia" w:ascii="仿宋" w:hAnsi="仿宋" w:eastAsia="仿宋" w:cs="仿宋"/>
          <w:i/>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w:t>
      </w:r>
      <w:r>
        <w:rPr>
          <w:rFonts w:hint="eastAsia" w:ascii="仿宋" w:hAnsi="仿宋" w:eastAsia="仿宋" w:cs="仿宋"/>
          <w:i/>
          <w:sz w:val="32"/>
          <w:szCs w:val="32"/>
          <w:highlight w:val="none"/>
          <w:lang w:bidi="ar"/>
        </w:rPr>
        <w:t xml:space="preserve">（产品名称1）</w:t>
      </w:r>
      <w:r>
        <w:rPr>
          <w:rFonts w:hint="eastAsia" w:ascii="仿宋" w:hAnsi="仿宋" w:eastAsia="仿宋" w:cs="仿宋"/>
          <w:sz w:val="32"/>
          <w:szCs w:val="32"/>
          <w:highlight w:val="none"/>
          <w:lang w:bidi="ar"/>
        </w:rPr>
        <w:t xml:space="preserve">的</w:t>
      </w:r>
      <w:r>
        <w:rPr>
          <w:rFonts w:hint="eastAsia" w:ascii="仿宋" w:hAnsi="仿宋" w:eastAsia="仿宋" w:cs="仿宋"/>
          <w:i/>
          <w:sz w:val="32"/>
          <w:szCs w:val="32"/>
          <w:highlight w:val="none"/>
          <w:lang w:bidi="ar"/>
        </w:rPr>
        <w:t xml:space="preserve">（关键工序）</w:t>
      </w:r>
      <w:r>
        <w:rPr>
          <w:rFonts w:hint="eastAsia" w:ascii="仿宋" w:hAnsi="仿宋" w:eastAsia="仿宋" w:cs="仿宋"/>
          <w:i/>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sz w:val="32"/>
          <w:szCs w:val="32"/>
          <w:highlight w:val="none"/>
        </w:rPr>
      </w:pPr>
      <w:r>
        <w:rPr>
          <w:rFonts w:hint="eastAsia" w:ascii="仿宋" w:hAnsi="仿宋" w:eastAsia="仿宋" w:cs="仿宋"/>
          <w:sz w:val="32"/>
          <w:szCs w:val="32"/>
          <w:highlight w:val="none"/>
          <w:lang w:bidi="ar"/>
        </w:rPr>
        <w:t xml:space="preserve">2.</w:t>
      </w:r>
      <w:r>
        <w:rPr>
          <w:rFonts w:hint="eastAsia" w:ascii="仿宋" w:hAnsi="仿宋" w:eastAsia="仿宋" w:cs="仿宋"/>
          <w:i/>
          <w:sz w:val="32"/>
          <w:szCs w:val="32"/>
          <w:highlight w:val="none"/>
          <w:lang w:bidi="ar"/>
        </w:rPr>
        <w:t xml:space="preserve">（</w:t>
      </w:r>
      <w:r>
        <w:rPr>
          <w:rFonts w:hint="eastAsia" w:ascii="仿宋" w:hAnsi="仿宋" w:eastAsia="仿宋" w:cs="仿宋"/>
          <w:b/>
          <w:i/>
          <w:sz w:val="32"/>
          <w:szCs w:val="32"/>
          <w:highlight w:val="none"/>
          <w:lang w:bidi="ar"/>
        </w:rPr>
        <w:t xml:space="preserve">干式电力变压器</w:t>
      </w:r>
      <w:r>
        <w:rPr>
          <w:rFonts w:hint="eastAsia" w:ascii="仿宋" w:hAnsi="仿宋" w:eastAsia="仿宋" w:cs="仿宋"/>
          <w:i/>
          <w:sz w:val="32"/>
          <w:szCs w:val="32"/>
          <w:highlight w:val="none"/>
          <w:lang w:bidi="ar"/>
        </w:rPr>
        <w:t xml:space="preserve">）</w:t>
      </w:r>
      <w:r>
        <w:rPr>
          <w:rFonts w:hint="eastAsia" w:ascii="仿宋" w:hAnsi="仿宋" w:eastAsia="仿宋" w:cs="仿宋"/>
          <w:sz w:val="32"/>
          <w:szCs w:val="32"/>
          <w:highlight w:val="none"/>
          <w:lang w:bidi="ar"/>
        </w:rPr>
        <w:t xml:space="preserve">，生产厂为</w:t>
      </w:r>
      <w:r>
        <w:rPr>
          <w:rFonts w:hint="eastAsia" w:ascii="仿宋" w:hAnsi="仿宋" w:eastAsia="仿宋" w:cs="仿宋"/>
          <w:i/>
          <w:sz w:val="32"/>
          <w:szCs w:val="32"/>
          <w:highlight w:val="none"/>
          <w:lang w:bidi="ar"/>
        </w:rPr>
        <w:t xml:space="preserve">（厂名）</w:t>
      </w:r>
      <w:r>
        <w:rPr>
          <w:rFonts w:hint="eastAsia" w:ascii="仿宋" w:hAnsi="仿宋" w:eastAsia="仿宋" w:cs="仿宋"/>
          <w:sz w:val="32"/>
          <w:szCs w:val="32"/>
          <w:highlight w:val="none"/>
          <w:lang w:bidi="ar"/>
        </w:rPr>
        <w:t xml:space="preserve">，厂址为</w:t>
      </w:r>
      <w:r>
        <w:rPr>
          <w:rFonts w:hint="eastAsia" w:ascii="仿宋" w:hAnsi="仿宋" w:eastAsia="仿宋" w:cs="仿宋"/>
          <w:i/>
          <w:sz w:val="32"/>
          <w:szCs w:val="32"/>
          <w:highlight w:val="none"/>
          <w:lang w:bidi="ar"/>
        </w:rPr>
        <w:t xml:space="preserve">（生产厂址）</w:t>
      </w:r>
      <w:r>
        <w:rPr>
          <w:rFonts w:hint="eastAsia" w:ascii="仿宋" w:hAnsi="仿宋" w:eastAsia="仿宋" w:cs="仿宋"/>
          <w:sz w:val="32"/>
          <w:szCs w:val="32"/>
          <w:highlight w:val="none"/>
          <w:lang w:bidi="ar"/>
        </w:rPr>
        <w:t xml:space="preserve">。</w:t>
      </w:r>
      <w:r>
        <w:rPr>
          <w:rFonts w:hint="eastAsia" w:ascii="仿宋" w:hAnsi="仿宋" w:eastAsia="仿宋" w:cs="仿宋"/>
          <w:i/>
          <w:sz w:val="32"/>
          <w:szCs w:val="32"/>
          <w:highlight w:val="none"/>
          <w:lang w:bidi="ar"/>
        </w:rPr>
        <w:t xml:space="preserve">（产品名称2）</w:t>
      </w:r>
      <w:r>
        <w:rPr>
          <w:rFonts w:hint="eastAsia" w:ascii="仿宋" w:hAnsi="仿宋" w:eastAsia="仿宋" w:cs="仿宋"/>
          <w:sz w:val="32"/>
          <w:szCs w:val="32"/>
          <w:highlight w:val="none"/>
          <w:lang w:bidi="ar"/>
        </w:rPr>
        <w:t xml:space="preserve">的中国境内生产的组件成本占比≥</w:t>
      </w:r>
      <w:r>
        <w:rPr>
          <w:rFonts w:hint="eastAsia" w:ascii="仿宋" w:hAnsi="仿宋" w:eastAsia="仿宋" w:cs="仿宋"/>
          <w:i/>
          <w:sz w:val="32"/>
          <w:szCs w:val="32"/>
          <w:highlight w:val="none"/>
          <w:lang w:bidi="ar"/>
        </w:rPr>
        <w:t xml:space="preserve">（规定比例）</w:t>
      </w:r>
      <w:r>
        <w:rPr>
          <w:rFonts w:hint="eastAsia" w:ascii="仿宋" w:hAnsi="仿宋" w:eastAsia="仿宋" w:cs="仿宋"/>
          <w:sz w:val="32"/>
          <w:szCs w:val="32"/>
          <w:highlight w:val="none"/>
          <w:lang w:bidi="ar"/>
        </w:rPr>
        <w:t xml:space="preserve">。</w:t>
      </w:r>
      <w:r>
        <w:rPr>
          <w:rFonts w:hint="eastAsia" w:ascii="仿宋" w:hAnsi="仿宋" w:eastAsia="仿宋" w:cs="仿宋"/>
          <w:i/>
          <w:sz w:val="32"/>
          <w:szCs w:val="32"/>
          <w:highlight w:val="none"/>
          <w:lang w:bidi="ar"/>
        </w:rPr>
        <w:t xml:space="preserve">（产品名称2）</w:t>
      </w:r>
      <w:r>
        <w:rPr>
          <w:rFonts w:hint="eastAsia" w:ascii="仿宋" w:hAnsi="仿宋" w:eastAsia="仿宋" w:cs="仿宋"/>
          <w:sz w:val="32"/>
          <w:szCs w:val="32"/>
          <w:highlight w:val="none"/>
          <w:lang w:bidi="ar"/>
        </w:rPr>
        <w:t xml:space="preserve">的</w:t>
      </w:r>
      <w:r>
        <w:rPr>
          <w:rFonts w:hint="eastAsia" w:ascii="仿宋" w:hAnsi="仿宋" w:eastAsia="仿宋" w:cs="仿宋"/>
          <w:i/>
          <w:sz w:val="32"/>
          <w:szCs w:val="32"/>
          <w:highlight w:val="none"/>
          <w:lang w:bidi="ar"/>
        </w:rPr>
        <w:t xml:space="preserve">（关键组件）</w:t>
      </w:r>
      <w:r>
        <w:rPr>
          <w:rFonts w:hint="eastAsia" w:ascii="仿宋" w:hAnsi="仿宋" w:eastAsia="仿宋" w:cs="仿宋"/>
          <w:sz w:val="32"/>
          <w:szCs w:val="32"/>
          <w:highlight w:val="none"/>
          <w:lang w:bidi="ar"/>
        </w:rPr>
        <w:t xml:space="preserve">在中国境内生产。</w:t>
      </w:r>
      <w:r>
        <w:rPr>
          <w:rFonts w:hint="eastAsia" w:ascii="仿宋" w:hAnsi="仿宋" w:eastAsia="仿宋" w:cs="仿宋"/>
          <w:i/>
          <w:sz w:val="32"/>
          <w:szCs w:val="32"/>
          <w:highlight w:val="none"/>
          <w:lang w:bidi="ar"/>
        </w:rPr>
        <w:t xml:space="preserve">（产品名称2）</w:t>
      </w:r>
      <w:r>
        <w:rPr>
          <w:rFonts w:hint="eastAsia" w:ascii="仿宋" w:hAnsi="仿宋" w:eastAsia="仿宋" w:cs="仿宋"/>
          <w:sz w:val="32"/>
          <w:szCs w:val="32"/>
          <w:highlight w:val="none"/>
          <w:lang w:bidi="ar"/>
        </w:rPr>
        <w:t xml:space="preserve">的</w:t>
      </w:r>
      <w:r>
        <w:rPr>
          <w:rFonts w:hint="eastAsia" w:ascii="仿宋" w:hAnsi="仿宋" w:eastAsia="仿宋" w:cs="仿宋"/>
          <w:i/>
          <w:sz w:val="32"/>
          <w:szCs w:val="32"/>
          <w:highlight w:val="none"/>
          <w:lang w:bidi="ar"/>
        </w:rPr>
        <w:t xml:space="preserve">（关键工序）</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3.（</w:t>
      </w:r>
      <w:r>
        <w:rPr>
          <w:rFonts w:hint="eastAsia" w:ascii="仿宋" w:hAnsi="仿宋" w:eastAsia="仿宋" w:cs="仿宋"/>
          <w:b/>
          <w:sz w:val="32"/>
          <w:szCs w:val="32"/>
          <w:highlight w:val="none"/>
          <w:lang w:bidi="ar"/>
        </w:rPr>
        <w:t xml:space="preserve">低压开关柜</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在中国境内生产。（产品名称1）的（关键工序）5在中国境内完成。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4.（</w:t>
      </w:r>
      <w:r>
        <w:rPr>
          <w:rFonts w:hint="eastAsia" w:ascii="仿宋" w:hAnsi="仿宋" w:eastAsia="仿宋" w:cs="仿宋"/>
          <w:b/>
          <w:sz w:val="32"/>
          <w:szCs w:val="32"/>
          <w:highlight w:val="none"/>
          <w:lang w:bidi="ar"/>
        </w:rPr>
        <w:t xml:space="preserve">移动操作架</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在中国境内生产。（产品名称1）的（关键工序）5在中国境内完成。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5.（</w:t>
      </w:r>
      <w:r>
        <w:rPr>
          <w:rFonts w:hint="eastAsia" w:ascii="仿宋" w:hAnsi="仿宋" w:eastAsia="仿宋" w:cs="仿宋"/>
          <w:b/>
          <w:sz w:val="32"/>
          <w:szCs w:val="32"/>
          <w:highlight w:val="none"/>
          <w:lang w:bidi="ar"/>
        </w:rPr>
        <w:t xml:space="preserve">高处作业吊蓝</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6.（</w:t>
      </w:r>
      <w:r>
        <w:rPr>
          <w:rFonts w:hint="eastAsia" w:ascii="仿宋" w:hAnsi="仿宋" w:eastAsia="仿宋" w:cs="仿宋"/>
          <w:b/>
          <w:sz w:val="32"/>
          <w:szCs w:val="32"/>
          <w:highlight w:val="none"/>
          <w:lang w:bidi="ar"/>
        </w:rPr>
        <w:t xml:space="preserve">座板式单人吊具</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7.（</w:t>
      </w:r>
      <w:r>
        <w:rPr>
          <w:rFonts w:hint="eastAsia" w:ascii="仿宋" w:hAnsi="仿宋" w:eastAsia="仿宋" w:cs="仿宋"/>
          <w:b/>
          <w:sz w:val="32"/>
          <w:szCs w:val="32"/>
          <w:highlight w:val="none"/>
          <w:lang w:bidi="ar"/>
        </w:rPr>
        <w:t xml:space="preserve">气体报警控制器)</w:t>
      </w:r>
      <w:r>
        <w:rPr>
          <w:rFonts w:hint="eastAsia" w:ascii="仿宋" w:hAnsi="仿宋" w:eastAsia="仿宋" w:cs="仿宋"/>
          <w:sz w:val="32"/>
          <w:szCs w:val="32"/>
          <w:highlight w:val="none"/>
          <w:lang w:bidi="ar"/>
        </w:rPr>
        <w:t xml:space="preserve">（焊条电弧焊考位）（K21））</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lang w:bidi="ar"/>
        </w:rPr>
      </w:pPr>
      <w:r>
        <w:rPr>
          <w:rFonts w:hint="eastAsia" w:ascii="仿宋" w:hAnsi="仿宋" w:eastAsia="仿宋" w:cs="仿宋"/>
          <w:sz w:val="32"/>
          <w:szCs w:val="32"/>
          <w:highlight w:val="none"/>
          <w:lang w:bidi="ar"/>
        </w:rPr>
        <w:t xml:space="preserve">8.（</w:t>
      </w:r>
      <w:r>
        <w:rPr>
          <w:rFonts w:hint="eastAsia" w:ascii="仿宋" w:hAnsi="仿宋" w:eastAsia="仿宋" w:cs="仿宋"/>
          <w:b/>
          <w:sz w:val="32"/>
          <w:szCs w:val="32"/>
          <w:highlight w:val="none"/>
          <w:lang w:bidi="ar"/>
        </w:rPr>
        <w:t xml:space="preserve">典型气体探测器</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sz w:val="32"/>
          <w:szCs w:val="32"/>
          <w:highlight w:val="none"/>
          <w:lang w:bidi="ar"/>
        </w:rPr>
        <w:t xml:space="preserve">9.（</w:t>
      </w:r>
      <w:r>
        <w:rPr>
          <w:rFonts w:hint="eastAsia" w:ascii="仿宋" w:hAnsi="仿宋" w:eastAsia="仿宋" w:cs="仿宋"/>
          <w:b/>
          <w:sz w:val="32"/>
          <w:szCs w:val="32"/>
          <w:highlight w:val="none"/>
          <w:lang w:bidi="ar"/>
        </w:rPr>
        <w:t xml:space="preserve">报警气瓶柜</w:t>
      </w:r>
      <w:r>
        <w:rPr>
          <w:rFonts w:hint="eastAsia" w:ascii="仿宋" w:hAnsi="仿宋" w:eastAsia="仿宋" w:cs="仿宋"/>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10.（</w:t>
      </w:r>
      <w:r>
        <w:rPr>
          <w:rFonts w:hint="eastAsia" w:ascii="仿宋" w:hAnsi="仿宋" w:eastAsia="仿宋" w:cs="仿宋"/>
          <w:b/>
          <w:color w:val="auto"/>
          <w:sz w:val="32"/>
          <w:szCs w:val="32"/>
          <w:highlight w:val="none"/>
          <w:lang w:bidi="ar"/>
        </w:rPr>
        <w:t xml:space="preserve">工位隔断</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rPr>
          <w:rFonts w:hint="eastAsia" w:ascii="仿宋" w:hAnsi="仿宋" w:eastAsia="仿宋" w:cs="仿宋"/>
          <w:color w:val="auto"/>
          <w:sz w:val="32"/>
          <w:szCs w:val="32"/>
          <w:highlight w:val="none"/>
          <w:lang w:bidi="ar"/>
        </w:rPr>
        <w:t xml:space="preserve">。</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11.（</w:t>
      </w:r>
      <w:r>
        <w:rPr>
          <w:rFonts w:hint="eastAsia" w:ascii="仿宋" w:hAnsi="仿宋" w:eastAsia="仿宋" w:cs="仿宋"/>
          <w:b/>
          <w:color w:val="auto"/>
          <w:sz w:val="32"/>
          <w:szCs w:val="32"/>
          <w:highlight w:val="none"/>
          <w:lang w:bidi="ar"/>
        </w:rPr>
        <w:t xml:space="preserve">除尘风机</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12.（</w:t>
      </w:r>
      <w:r>
        <w:rPr>
          <w:rFonts w:hint="eastAsia" w:ascii="仿宋" w:hAnsi="仿宋" w:eastAsia="仿宋" w:cs="仿宋"/>
          <w:b/>
          <w:color w:val="auto"/>
          <w:sz w:val="32"/>
          <w:szCs w:val="32"/>
          <w:highlight w:val="none"/>
          <w:lang w:bidi="ar"/>
        </w:rPr>
        <w:t xml:space="preserve">变频器</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13.（</w:t>
      </w:r>
      <w:r>
        <w:rPr>
          <w:rFonts w:hint="eastAsia" w:ascii="仿宋" w:hAnsi="仿宋" w:eastAsia="仿宋" w:cs="仿宋"/>
          <w:b/>
          <w:color w:val="auto"/>
          <w:sz w:val="32"/>
          <w:szCs w:val="32"/>
          <w:highlight w:val="none"/>
          <w:lang w:bidi="ar"/>
        </w:rPr>
        <w:t xml:space="preserve">除尘排烟净化主机</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14.（</w:t>
      </w:r>
      <w:r>
        <w:rPr>
          <w:rFonts w:hint="eastAsia" w:ascii="仿宋" w:hAnsi="仿宋" w:eastAsia="仿宋" w:cs="仿宋"/>
          <w:b/>
          <w:color w:val="auto"/>
          <w:sz w:val="32"/>
          <w:szCs w:val="32"/>
          <w:highlight w:val="none"/>
          <w:lang w:bidi="ar"/>
        </w:rPr>
        <w:t xml:space="preserve">悬浮式捕捉系统</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15.（</w:t>
      </w:r>
      <w:r>
        <w:rPr>
          <w:rFonts w:hint="eastAsia" w:ascii="仿宋" w:hAnsi="仿宋" w:eastAsia="仿宋" w:cs="仿宋"/>
          <w:b/>
          <w:color w:val="auto"/>
          <w:sz w:val="32"/>
          <w:szCs w:val="32"/>
          <w:highlight w:val="none"/>
          <w:lang w:bidi="ar"/>
        </w:rPr>
        <w:t xml:space="preserve">机柜</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16.（</w:t>
      </w:r>
      <w:r>
        <w:rPr>
          <w:rFonts w:hint="eastAsia" w:ascii="仿宋" w:hAnsi="仿宋" w:eastAsia="仿宋" w:cs="仿宋"/>
          <w:b/>
          <w:color w:val="auto"/>
          <w:sz w:val="32"/>
          <w:szCs w:val="32"/>
          <w:highlight w:val="none"/>
          <w:lang w:bidi="ar"/>
        </w:rPr>
        <w:t xml:space="preserve">公共区域摄像头</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17.（</w:t>
      </w:r>
      <w:r>
        <w:rPr>
          <w:rFonts w:hint="eastAsia" w:ascii="仿宋" w:hAnsi="仿宋" w:eastAsia="仿宋" w:cs="仿宋"/>
          <w:b/>
          <w:color w:val="auto"/>
          <w:sz w:val="32"/>
          <w:szCs w:val="32"/>
          <w:highlight w:val="none"/>
          <w:lang w:bidi="ar"/>
        </w:rPr>
        <w:t xml:space="preserve">考试间摄像头</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18.（</w:t>
      </w:r>
      <w:r>
        <w:rPr>
          <w:rFonts w:hint="eastAsia" w:ascii="仿宋" w:hAnsi="仿宋" w:eastAsia="仿宋" w:cs="仿宋"/>
          <w:b/>
          <w:color w:val="auto"/>
          <w:sz w:val="32"/>
          <w:szCs w:val="32"/>
          <w:highlight w:val="none"/>
          <w:lang w:bidi="ar"/>
        </w:rPr>
        <w:t xml:space="preserve">硬盘录像机</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color w:val="auto"/>
          <w:sz w:val="32"/>
          <w:szCs w:val="32"/>
          <w:highlight w:val="none"/>
          <w:lang w:bidi="ar"/>
        </w:rPr>
        <w:t xml:space="preserve">19.（</w:t>
      </w:r>
      <w:r>
        <w:rPr>
          <w:rFonts w:hint="eastAsia" w:ascii="仿宋" w:hAnsi="仿宋" w:eastAsia="仿宋" w:cs="仿宋"/>
          <w:b/>
          <w:color w:val="auto"/>
          <w:sz w:val="32"/>
          <w:szCs w:val="32"/>
          <w:highlight w:val="none"/>
          <w:lang w:bidi="ar"/>
        </w:rPr>
        <w:t xml:space="preserve">网线</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rPr>
      </w:pPr>
      <w:r>
        <w:rPr>
          <w:rFonts w:hint="eastAsia" w:ascii="仿宋" w:hAnsi="仿宋" w:eastAsia="仿宋" w:cs="仿宋"/>
          <w:color w:val="auto"/>
          <w:sz w:val="32"/>
          <w:szCs w:val="32"/>
          <w:highlight w:val="none"/>
          <w:lang w:bidi="ar"/>
        </w:rPr>
        <w:t xml:space="preserve">20.（</w:t>
      </w:r>
      <w:r>
        <w:rPr>
          <w:rFonts w:hint="eastAsia" w:ascii="仿宋" w:hAnsi="仿宋" w:eastAsia="仿宋" w:cs="仿宋"/>
          <w:b/>
          <w:color w:val="auto"/>
          <w:sz w:val="32"/>
          <w:szCs w:val="32"/>
          <w:highlight w:val="none"/>
          <w:lang w:bidi="ar"/>
        </w:rPr>
        <w:t xml:space="preserve">监控硬盘</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sz w:val="32"/>
          <w:szCs w:val="32"/>
          <w:highlight w:val="none"/>
          <w:lang w:bidi="ar"/>
        </w:rPr>
      </w:pPr>
      <w:r>
        <w:rPr>
          <w:rFonts w:hint="eastAsia" w:ascii="仿宋" w:hAnsi="仿宋" w:eastAsia="仿宋" w:cs="仿宋"/>
          <w:color w:val="auto"/>
          <w:sz w:val="32"/>
          <w:szCs w:val="32"/>
          <w:highlight w:val="none"/>
          <w:lang w:bidi="ar"/>
        </w:rPr>
        <w:t xml:space="preserve">21.（</w:t>
      </w:r>
      <w:r>
        <w:rPr>
          <w:rFonts w:hint="eastAsia" w:ascii="仿宋" w:hAnsi="仿宋" w:eastAsia="仿宋" w:cs="仿宋"/>
          <w:b/>
          <w:color w:val="auto"/>
          <w:sz w:val="32"/>
          <w:szCs w:val="32"/>
          <w:highlight w:val="none"/>
          <w:lang w:bidi="ar"/>
        </w:rPr>
        <w:t xml:space="preserve">监控交换机</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22.（</w:t>
      </w:r>
      <w:r>
        <w:rPr>
          <w:rFonts w:hint="eastAsia" w:ascii="仿宋" w:hAnsi="仿宋" w:eastAsia="仿宋" w:cs="仿宋"/>
          <w:b/>
          <w:color w:val="auto"/>
          <w:sz w:val="32"/>
          <w:szCs w:val="32"/>
          <w:highlight w:val="none"/>
          <w:lang w:bidi="ar"/>
        </w:rPr>
        <w:t xml:space="preserve">路由器</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23.（</w:t>
      </w:r>
      <w:r>
        <w:rPr>
          <w:rFonts w:hint="eastAsia" w:ascii="仿宋" w:hAnsi="仿宋" w:eastAsia="仿宋" w:cs="仿宋"/>
          <w:b/>
          <w:color w:val="auto"/>
          <w:sz w:val="32"/>
          <w:szCs w:val="32"/>
          <w:highlight w:val="none"/>
          <w:lang w:bidi="ar"/>
        </w:rPr>
        <w:t xml:space="preserve">双通道闸机</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24.（</w:t>
      </w:r>
      <w:r>
        <w:rPr>
          <w:rFonts w:hint="eastAsia" w:ascii="仿宋" w:hAnsi="仿宋" w:eastAsia="仿宋" w:cs="仿宋"/>
          <w:b/>
          <w:color w:val="auto"/>
          <w:sz w:val="32"/>
          <w:szCs w:val="32"/>
          <w:highlight w:val="none"/>
          <w:lang w:bidi="ar"/>
        </w:rPr>
        <w:t xml:space="preserve">联排候考椅</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s="仿宋"/>
          <w:color w:val="auto"/>
          <w:sz w:val="32"/>
          <w:szCs w:val="32"/>
          <w:highlight w:val="none"/>
          <w:lang w:bidi="ar"/>
        </w:rPr>
      </w:pPr>
      <w:r>
        <w:rPr>
          <w:rFonts w:hint="eastAsia" w:ascii="仿宋" w:hAnsi="仿宋" w:eastAsia="仿宋" w:cs="仿宋"/>
          <w:color w:val="auto"/>
          <w:sz w:val="32"/>
          <w:szCs w:val="32"/>
          <w:highlight w:val="none"/>
          <w:lang w:bidi="ar"/>
        </w:rPr>
        <w:t xml:space="preserve">25.（</w:t>
      </w:r>
      <w:r>
        <w:rPr>
          <w:rFonts w:hint="eastAsia" w:ascii="仿宋" w:hAnsi="仿宋" w:eastAsia="仿宋" w:cs="仿宋"/>
          <w:b/>
          <w:color w:val="auto"/>
          <w:sz w:val="32"/>
          <w:szCs w:val="32"/>
          <w:highlight w:val="none"/>
          <w:lang w:bidi="ar"/>
        </w:rPr>
        <w:t xml:space="preserve">办公室桌椅</w:t>
      </w:r>
      <w:r>
        <w:rPr>
          <w:rFonts w:hint="eastAsia" w:ascii="仿宋" w:hAnsi="仿宋" w:eastAsia="仿宋" w:cs="仿宋"/>
          <w:color w:val="auto"/>
          <w:sz w:val="32"/>
          <w:szCs w:val="32"/>
          <w:highlight w:val="none"/>
          <w:lang w:bidi="ar"/>
        </w:rPr>
        <w:t xml:space="preserve">）</w:t>
      </w:r>
      <w:r>
        <w:rPr>
          <w:rFonts w:hint="eastAsia" w:ascii="仿宋" w:hAnsi="仿宋" w:eastAsia="仿宋" w:cs="仿宋"/>
          <w:sz w:val="32"/>
          <w:szCs w:val="32"/>
          <w:highlight w:val="none"/>
          <w:vertAlign w:val="superscript"/>
          <w:lang w:bidi="ar"/>
        </w:rPr>
        <w:t xml:space="preserve">1</w:t>
      </w:r>
      <w:r>
        <w:rPr>
          <w:rFonts w:hint="eastAsia" w:ascii="仿宋" w:hAnsi="仿宋" w:eastAsia="仿宋" w:cs="仿宋"/>
          <w:sz w:val="32"/>
          <w:szCs w:val="32"/>
          <w:highlight w:val="none"/>
          <w:lang w:bidi="ar"/>
        </w:rPr>
        <w:t xml:space="preserve">，生产厂为（厂名）</w:t>
      </w:r>
      <w:r>
        <w:rPr>
          <w:rFonts w:hint="eastAsia" w:ascii="仿宋" w:hAnsi="仿宋" w:eastAsia="仿宋" w:cs="仿宋"/>
          <w:sz w:val="32"/>
          <w:szCs w:val="32"/>
          <w:highlight w:val="none"/>
          <w:vertAlign w:val="superscript"/>
          <w:lang w:bidi="ar"/>
        </w:rPr>
        <w:t xml:space="preserve">2</w:t>
      </w:r>
      <w:r>
        <w:rPr>
          <w:rFonts w:hint="eastAsia" w:ascii="仿宋" w:hAnsi="仿宋" w:eastAsia="仿宋" w:cs="仿宋"/>
          <w:sz w:val="32"/>
          <w:szCs w:val="32"/>
          <w:highlight w:val="none"/>
          <w:lang w:bidi="ar"/>
        </w:rPr>
        <w:t xml:space="preserve">，厂址为（生产厂址）。（产品名称1）的中国境内生产的组件成本占比≥（规定比例）</w:t>
      </w:r>
      <w:r>
        <w:rPr>
          <w:rFonts w:hint="eastAsia" w:ascii="仿宋" w:hAnsi="仿宋" w:eastAsia="仿宋" w:cs="仿宋"/>
          <w:sz w:val="32"/>
          <w:szCs w:val="32"/>
          <w:highlight w:val="none"/>
          <w:vertAlign w:val="superscript"/>
          <w:lang w:bidi="ar"/>
        </w:rPr>
        <w:t xml:space="preserve">3</w:t>
      </w:r>
      <w:r>
        <w:rPr>
          <w:rFonts w:hint="eastAsia" w:ascii="仿宋" w:hAnsi="仿宋" w:eastAsia="仿宋" w:cs="仿宋"/>
          <w:sz w:val="32"/>
          <w:szCs w:val="32"/>
          <w:highlight w:val="none"/>
          <w:lang w:bidi="ar"/>
        </w:rPr>
        <w:t xml:space="preserve">。（产品名称1）的（关键组件）</w:t>
      </w:r>
      <w:r>
        <w:rPr>
          <w:rFonts w:hint="eastAsia" w:ascii="仿宋" w:hAnsi="仿宋" w:eastAsia="仿宋" w:cs="仿宋"/>
          <w:sz w:val="32"/>
          <w:szCs w:val="32"/>
          <w:highlight w:val="none"/>
          <w:vertAlign w:val="superscript"/>
          <w:lang w:bidi="ar"/>
        </w:rPr>
        <w:t xml:space="preserve">4</w:t>
      </w:r>
      <w:r>
        <w:rPr>
          <w:rFonts w:hint="eastAsia" w:ascii="仿宋" w:hAnsi="仿宋" w:eastAsia="仿宋" w:cs="仿宋"/>
          <w:sz w:val="32"/>
          <w:szCs w:val="32"/>
          <w:highlight w:val="none"/>
          <w:lang w:bidi="ar"/>
        </w:rPr>
        <w:t xml:space="preserve">在中国境内生产。（产品名称1）的（关键工序）</w:t>
      </w:r>
      <w:r>
        <w:rPr>
          <w:rFonts w:hint="eastAsia" w:ascii="仿宋" w:hAnsi="仿宋" w:eastAsia="仿宋" w:cs="仿宋"/>
          <w:sz w:val="32"/>
          <w:szCs w:val="32"/>
          <w:highlight w:val="none"/>
          <w:vertAlign w:val="superscript"/>
          <w:lang w:bidi="ar"/>
        </w:rPr>
        <w:t xml:space="preserve">5</w:t>
      </w:r>
      <w:r>
        <w:rPr>
          <w:rFonts w:hint="eastAsia" w:ascii="仿宋" w:hAnsi="仿宋" w:eastAsia="仿宋" w:cs="仿宋"/>
          <w:sz w:val="32"/>
          <w:szCs w:val="32"/>
          <w:highlight w:val="none"/>
          <w:lang w:bidi="ar"/>
        </w:rPr>
        <w:t xml:space="preserve">在中国境内完成。</w:t>
      </w:r>
      <w:r/>
    </w:p>
    <w:p>
      <w:pPr>
        <w:ind w:firstLine="640"/>
        <w:spacing w:line="540" w:lineRule="exact"/>
        <w:rPr>
          <w:rFonts w:hint="eastAsia" w:ascii="仿宋" w:hAnsi="仿宋" w:eastAsia="仿宋"/>
          <w:color w:val="auto"/>
          <w:sz w:val="32"/>
          <w:szCs w:val="32"/>
          <w:highlight w:val="none"/>
        </w:rPr>
      </w:pPr>
      <w:r>
        <w:rPr>
          <w:rFonts w:hint="eastAsia" w:ascii="仿宋" w:hAnsi="仿宋" w:eastAsia="仿宋" w:cs="仿宋"/>
          <w:color w:val="auto"/>
          <w:sz w:val="32"/>
          <w:szCs w:val="32"/>
          <w:highlight w:val="none"/>
          <w:lang w:bidi="ar"/>
        </w:rPr>
        <w:t xml:space="preserve">本公司（单位）对上述声明内容的真实性负责。如有虚假，愿承担相应法律责任。</w:t>
      </w:r>
      <w:r/>
    </w:p>
    <w:p>
      <w:pPr>
        <w:ind w:firstLine="640"/>
        <w:spacing w:line="540" w:lineRule="exact"/>
        <w:rPr>
          <w:rFonts w:hint="eastAsia" w:ascii="仿宋" w:hAnsi="仿宋" w:eastAsia="仿宋"/>
          <w:color w:val="auto"/>
          <w:sz w:val="32"/>
          <w:szCs w:val="32"/>
          <w:highlight w:val="none"/>
        </w:rPr>
      </w:pPr>
      <w:r>
        <w:rPr>
          <w:rFonts w:hint="eastAsia" w:ascii="微软雅黑" w:hAnsi="微软雅黑" w:eastAsia="微软雅黑" w:cs="微软雅黑"/>
          <w:color w:val="auto"/>
          <w:sz w:val="32"/>
          <w:szCs w:val="32"/>
          <w:highlight w:val="none"/>
          <w:lang w:bidi="ar"/>
        </w:rPr>
        <w:t xml:space="preserve"> </w:t>
      </w:r>
      <w:r/>
    </w:p>
    <w:p>
      <w:pPr>
        <w:ind w:firstLine="640"/>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公司（单位）名称（盖章）： </w:t>
      </w:r>
      <w:r/>
    </w:p>
    <w:p>
      <w:pPr>
        <w:jc w:val="center"/>
        <w:spacing w:line="540" w:lineRule="exact"/>
        <w:rPr>
          <w:rFonts w:hint="eastAsia" w:ascii="仿宋" w:hAnsi="仿宋" w:eastAsia="仿宋"/>
          <w:color w:val="auto"/>
          <w:sz w:val="32"/>
          <w:szCs w:val="32"/>
          <w:highlight w:val="none"/>
        </w:rPr>
      </w:pPr>
      <w:r>
        <w:rPr>
          <w:rFonts w:hint="eastAsia" w:ascii="MS Gothic" w:hAnsi="MS Gothic" w:eastAsia="MS Gothic" w:cs="MS Gothic"/>
          <w:color w:val="auto"/>
          <w:sz w:val="32"/>
          <w:szCs w:val="32"/>
          <w:highlight w:val="none"/>
          <w:lang w:bidi="ar"/>
        </w:rPr>
        <w:t xml:space="preserve">       </w:t>
      </w:r>
      <w:r>
        <w:rPr>
          <w:rFonts w:hint="eastAsia" w:ascii="仿宋" w:hAnsi="仿宋" w:eastAsia="仿宋" w:cs="仿宋"/>
          <w:color w:val="auto"/>
          <w:sz w:val="32"/>
          <w:szCs w:val="32"/>
          <w:highlight w:val="none"/>
          <w:lang w:bidi="ar"/>
        </w:rPr>
        <w:t xml:space="preserve">日期： </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1.产品如有型号，请在“产品名称”栏一并填写。</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2.生产厂名与厂址应与生产厂营业执照载明的相关信息保持一致。</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3.该产品的中国境内生产的组件成本占比相关要求实施前，“规定比例”栏可不填，下同。</w:t>
      </w:r>
      <w:r/>
    </w:p>
    <w:p>
      <w:pPr>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4.该产品的关键组件要求实施前，“关键组件”栏可不填，下同。</w:t>
      </w:r>
      <w:r/>
    </w:p>
    <w:p>
      <w:pPr>
        <w:ind w:firstLine="560"/>
        <w:spacing w:line="500" w:lineRule="exact"/>
        <w:rPr>
          <w:highlight w:val="none"/>
        </w:rPr>
      </w:pPr>
      <w:r>
        <w:rPr>
          <w:rFonts w:hint="eastAsia" w:ascii="仿宋" w:hAnsi="仿宋" w:eastAsia="仿宋" w:cs="仿宋"/>
          <w:color w:val="auto"/>
          <w:sz w:val="28"/>
          <w:szCs w:val="28"/>
          <w:highlight w:val="none"/>
          <w:lang w:bidi="ar"/>
        </w:rPr>
        <w:t xml:space="preserve">5.该产品的关键工序要求实施前，“关键工序”栏可不填，下同。</w:t>
      </w:r>
      <w:r>
        <w:rPr>
          <w:rFonts w:hint="eastAsia" w:ascii="仿宋" w:hAnsi="仿宋" w:eastAsia="仿宋" w:cs="仿宋"/>
          <w:color w:val="auto"/>
          <w:sz w:val="28"/>
          <w:szCs w:val="28"/>
          <w:highlight w:val="none"/>
          <w:lang w:bidi="ar"/>
        </w:rPr>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r>
      <w:r>
        <w:rPr>
          <w:rFonts w:hint="eastAsia" w:ascii="仿宋" w:hAnsi="仿宋" w:eastAsia="仿宋" w:cs="仿宋"/>
          <w:color w:val="auto"/>
          <w:sz w:val="28"/>
          <w:szCs w:val="28"/>
          <w:highlight w:val="none"/>
          <w:lang w:bidi="ar"/>
        </w:rPr>
      </w:r>
      <w:r/>
    </w:p>
    <w:p>
      <w:pPr>
        <w:ind w:firstLine="560"/>
        <w:spacing w:line="500" w:lineRule="exact"/>
        <w:rPr>
          <w:rFonts w:hint="eastAsia" w:ascii="仿宋" w:hAnsi="仿宋" w:eastAsia="仿宋" w:cs="仿宋"/>
          <w:color w:val="auto"/>
          <w:sz w:val="28"/>
          <w:szCs w:val="28"/>
          <w:highlight w:val="none"/>
          <w:lang w:bidi="ar"/>
        </w:rPr>
      </w:pPr>
      <w:r>
        <w:rPr>
          <w:rFonts w:hint="eastAsia" w:ascii="仿宋" w:hAnsi="仿宋" w:eastAsia="仿宋" w:cs="仿宋"/>
          <w:color w:val="auto"/>
          <w:sz w:val="28"/>
          <w:szCs w:val="28"/>
          <w:highlight w:val="none"/>
          <w:lang w:bidi="ar"/>
        </w:rPr>
      </w:r>
      <w:r>
        <w:rPr>
          <w:rFonts w:hint="eastAsia" w:ascii="仿宋" w:hAnsi="仿宋" w:eastAsia="仿宋" w:cs="仿宋"/>
          <w:color w:val="auto"/>
          <w:sz w:val="28"/>
          <w:szCs w:val="28"/>
          <w:highlight w:val="none"/>
          <w:lang w:bidi="ar"/>
        </w:rPr>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（六）附件：</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现场踏勘确认函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现场踏勘确认函</w:t>
      </w:r>
      <w:r/>
    </w:p>
    <w:p>
      <w:pPr>
        <w:ind w:left="0" w:right="0" w:firstLine="2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______________________________：</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依据贵单位（安全生产考试点特种作业考试设备更新项目）（编号：JSZC-320682-NTJW-G2026-0021）磋商文件的要求。我方已于   年   月  日自行对该项目进行了现场勘察，我公司现就现场勘察情况作如下承诺：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1.经现场勘察，我方已熟悉与该项目相关的物业管理现场、现场周围交通道路等所有情况。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2.我方承诺自行承担本次现场勘察所发生的所有费用并承担勘查现场的相关责任和风险。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3.我方承诺在任何情况下均不以不完全了解现场情况为理由而向采购人提出任何索赔的要求。</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                    （加盖公章）</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560"/>
        <w:jc w:val="right"/>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法定代表人或被授权人：         （签字或盖章）</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right"/>
        <w:spacing w:before="0" w:after="0" w:line="300" w:lineRule="atLeast"/>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    月    日</w:t>
      </w:r>
      <w:r/>
    </w:p>
    <w:p>
      <w:pPr>
        <w:shd w:val="nil"/>
      </w:pPr>
      <w:r/>
      <w:r>
        <w:rPr>
          <w:rFonts w:ascii="FangSong" w:hAnsi="FangSong" w:eastAsia="FangSong" w:cs="FangSong"/>
          <w:color w:val="000000"/>
          <w:sz w:val="28"/>
          <w:highlight w:val="none"/>
        </w:rPr>
      </w:r>
      <w:r/>
    </w:p>
    <w:p>
      <w:pPr>
        <w:ind w:firstLine="560"/>
        <w:spacing w:line="500" w:lineRule="exact"/>
        <w:rPr>
          <w:rFonts w:hint="eastAsia" w:ascii="仿宋" w:hAnsi="仿宋" w:eastAsia="仿宋" w:cs="仿宋"/>
          <w:color w:val="auto"/>
          <w:sz w:val="28"/>
          <w:szCs w:val="28"/>
          <w:highlight w:val="none"/>
          <w:lang w:bidi="ar"/>
        </w:rPr>
      </w:pPr>
      <w:r>
        <w:rPr>
          <w:highlight w:val="none"/>
        </w:rPr>
      </w:r>
      <w:r>
        <w:rPr>
          <w:highlight w:val="none"/>
        </w:rPr>
      </w:r>
      <w:r/>
    </w:p>
    <w:sectPr>
      <w:footnotePr/>
      <w:endnotePr/>
      <w:type w:val="nextPage"/>
      <w:pgSz w:w="11906" w:h="16838" w:orient="portrait"/>
      <w:pgMar w:top="1440" w:right="1800" w:bottom="1440" w:left="16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Calibri">
    <w:panose1 w:val="020F0502020204030204"/>
  </w:font>
  <w:font w:name="文鼎CS楷体">
    <w:panose1 w:val="020B050302020202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fldSimple w:instr="PAGE \* MERGEFORMAT">
      <w:r>
        <w:t xml:space="preserve">1</w:t>
      </w:r>
    </w:fldSimple>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2"/>
        <w:szCs w:val="21"/>
      </w:rPr>
    </w:pPr>
    <w:r>
      <w:rPr>
        <w:rFonts w:hint="default"/>
        <w:sz w:val="2"/>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tabs>
                              <w:tab w:val="center" w:pos="4153" w:leader="none"/>
                              <w:tab w:val="right" w:pos="8306" w:leader="none"/>
                            </w:tabs>
                            <w:rPr>
                              <w:rFonts w:hint="eastAsia"/>
                              <w:sz w:val="21"/>
                              <w:szCs w:val="24"/>
                            </w:rPr>
                          </w:pPr>
                          <w:r>
                            <w:rPr>
                              <w:rFonts w:hint="eastAsia"/>
                              <w:sz w:val="21"/>
                              <w:szCs w:val="24"/>
                            </w:rPr>
                            <w:fldChar w:fldCharType="begin"/>
                          </w:r>
                          <w:r>
                            <w:rPr>
                              <w:rFonts w:hint="eastAsia"/>
                              <w:sz w:val="21"/>
                              <w:szCs w:val="24"/>
                            </w:rPr>
                            <w:instrText xml:space="preserve"> PAGE  \* MERGEFORMAT </w:instrText>
                          </w:r>
                          <w:r>
                            <w:rPr>
                              <w:rFonts w:hint="eastAsia"/>
                              <w:sz w:val="21"/>
                              <w:szCs w:val="24"/>
                            </w:rPr>
                            <w:fldChar w:fldCharType="separate"/>
                          </w:r>
                          <w:r>
                            <w:rPr>
                              <w:rFonts w:hint="eastAsia"/>
                              <w:sz w:val="21"/>
                              <w:szCs w:val="24"/>
                            </w:rPr>
                            <w:t xml:space="preserve">69</w:t>
                          </w:r>
                          <w:r>
                            <w:rPr>
                              <w:rFonts w:hint="eastAsia"/>
                              <w:sz w:val="21"/>
                              <w:szCs w:val="24"/>
                            </w:rPr>
                            <w:fldChar w:fldCharType="end"/>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4153" w:leader="none"/>
                        <w:tab w:val="right" w:pos="8306" w:leader="none"/>
                      </w:tabs>
                      <w:rPr>
                        <w:rFonts w:hint="eastAsia"/>
                        <w:sz w:val="21"/>
                        <w:szCs w:val="24"/>
                      </w:rPr>
                    </w:pPr>
                    <w:r>
                      <w:rPr>
                        <w:rFonts w:hint="eastAsia"/>
                        <w:sz w:val="21"/>
                        <w:szCs w:val="24"/>
                      </w:rPr>
                      <w:fldChar w:fldCharType="begin"/>
                    </w:r>
                    <w:r>
                      <w:rPr>
                        <w:rFonts w:hint="eastAsia"/>
                        <w:sz w:val="21"/>
                        <w:szCs w:val="24"/>
                      </w:rPr>
                      <w:instrText xml:space="preserve"> PAGE  \* MERGEFORMAT </w:instrText>
                    </w:r>
                    <w:r>
                      <w:rPr>
                        <w:rFonts w:hint="eastAsia"/>
                        <w:sz w:val="21"/>
                        <w:szCs w:val="24"/>
                      </w:rPr>
                      <w:fldChar w:fldCharType="separate"/>
                    </w:r>
                    <w:r>
                      <w:rPr>
                        <w:rFonts w:hint="eastAsia"/>
                        <w:sz w:val="21"/>
                        <w:szCs w:val="24"/>
                      </w:rPr>
                      <w:t xml:space="preserve">69</w:t>
                    </w:r>
                    <w:r>
                      <w:rPr>
                        <w:rFonts w:hint="eastAsia"/>
                        <w:sz w:val="21"/>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1"/>
      <w:numFmt w:val="decimal"/>
      <w:isLgl w:val="false"/>
      <w:suff w:val="tab"/>
      <w:lvlText w:val="%1."/>
      <w:lvlJc w:val="left"/>
      <w:pPr>
        <w:ind w:left="0" w:firstLine="0"/>
        <w:tabs>
          <w:tab w:val="left" w:pos="312" w:leader="none"/>
        </w:tabs>
      </w:pPr>
      <w:rPr>
        <w:rFonts w:hint="eastAsia" w:ascii="Times New Roman" w:hAnsi="Times New Roman" w:eastAsia="Times New Roman" w:cs="Times New Roman"/>
        <w:u w:val="none"/>
      </w:rPr>
    </w:lvl>
    <w:lvl w:ilvl="1">
      <w:start w:val="1"/>
      <w:numFmt w:val="decimal"/>
      <w:isLgl w:val="false"/>
      <w:suff w:val="tab"/>
      <w:lvlText w:val="%2."/>
      <w:lvlJc w:val="left"/>
      <w:pPr>
        <w:ind w:left="1440" w:hanging="360"/>
        <w:tabs>
          <w:tab w:val="left" w:pos="1440" w:leader="none"/>
        </w:tabs>
      </w:pPr>
      <w:rPr>
        <w:rFonts w:hint="eastAsia" w:ascii="Times New Roman" w:hAnsi="Times New Roman" w:eastAsia="Times New Roman" w:cs="Times New Roman"/>
        <w:u w:val="none"/>
      </w:rPr>
    </w:lvl>
    <w:lvl w:ilvl="2">
      <w:start w:val="1"/>
      <w:numFmt w:val="decimal"/>
      <w:isLgl w:val="false"/>
      <w:suff w:val="tab"/>
      <w:lvlText w:val="%3."/>
      <w:lvlJc w:val="left"/>
      <w:pPr>
        <w:ind w:left="2160" w:hanging="360"/>
        <w:tabs>
          <w:tab w:val="left" w:pos="2160" w:leader="none"/>
        </w:tabs>
      </w:pPr>
      <w:rPr>
        <w:rFonts w:hint="eastAsia" w:ascii="Times New Roman" w:hAnsi="Times New Roman" w:eastAsia="Times New Roman" w:cs="Times New Roman"/>
        <w:u w:val="none"/>
      </w:rPr>
    </w:lvl>
    <w:lvl w:ilvl="3">
      <w:start w:val="1"/>
      <w:numFmt w:val="decimal"/>
      <w:isLgl w:val="false"/>
      <w:suff w:val="tab"/>
      <w:lvlText w:val="%4."/>
      <w:lvlJc w:val="left"/>
      <w:pPr>
        <w:ind w:left="2880" w:hanging="360"/>
        <w:tabs>
          <w:tab w:val="left" w:pos="2880" w:leader="none"/>
        </w:tabs>
      </w:pPr>
      <w:rPr>
        <w:rFonts w:hint="eastAsia" w:ascii="Times New Roman" w:hAnsi="Times New Roman" w:eastAsia="Times New Roman" w:cs="Times New Roman"/>
        <w:u w:val="none"/>
      </w:rPr>
    </w:lvl>
    <w:lvl w:ilvl="4">
      <w:start w:val="1"/>
      <w:numFmt w:val="decimal"/>
      <w:isLgl w:val="false"/>
      <w:suff w:val="tab"/>
      <w:lvlText w:val="%5."/>
      <w:lvlJc w:val="left"/>
      <w:pPr>
        <w:ind w:left="3600" w:hanging="360"/>
        <w:tabs>
          <w:tab w:val="left" w:pos="3600" w:leader="none"/>
        </w:tabs>
      </w:pPr>
      <w:rPr>
        <w:rFonts w:hint="eastAsia" w:ascii="Times New Roman" w:hAnsi="Times New Roman" w:eastAsia="Times New Roman" w:cs="Times New Roman"/>
        <w:u w:val="none"/>
      </w:rPr>
    </w:lvl>
    <w:lvl w:ilvl="5">
      <w:start w:val="1"/>
      <w:numFmt w:val="decimal"/>
      <w:isLgl w:val="false"/>
      <w:suff w:val="tab"/>
      <w:lvlText w:val="%6."/>
      <w:lvlJc w:val="left"/>
      <w:pPr>
        <w:ind w:left="4320" w:hanging="360"/>
        <w:tabs>
          <w:tab w:val="left" w:pos="4320" w:leader="none"/>
        </w:tabs>
      </w:pPr>
      <w:rPr>
        <w:rFonts w:hint="eastAsia" w:ascii="Times New Roman" w:hAnsi="Times New Roman" w:eastAsia="Times New Roman" w:cs="Times New Roman"/>
        <w:u w:val="none"/>
      </w:rPr>
    </w:lvl>
    <w:lvl w:ilvl="6">
      <w:start w:val="1"/>
      <w:numFmt w:val="decimal"/>
      <w:isLgl w:val="false"/>
      <w:suff w:val="tab"/>
      <w:lvlText w:val="%7."/>
      <w:lvlJc w:val="left"/>
      <w:pPr>
        <w:ind w:left="5040" w:hanging="360"/>
        <w:tabs>
          <w:tab w:val="left" w:pos="5040" w:leader="none"/>
        </w:tabs>
      </w:pPr>
      <w:rPr>
        <w:rFonts w:hint="eastAsia" w:ascii="Times New Roman" w:hAnsi="Times New Roman" w:eastAsia="Times New Roman" w:cs="Times New Roman"/>
        <w:u w:val="none"/>
      </w:rPr>
    </w:lvl>
    <w:lvl w:ilvl="7">
      <w:start w:val="1"/>
      <w:numFmt w:val="decimal"/>
      <w:isLgl w:val="false"/>
      <w:suff w:val="tab"/>
      <w:lvlText w:val="%8."/>
      <w:lvlJc w:val="left"/>
      <w:pPr>
        <w:ind w:left="5760" w:hanging="360"/>
        <w:tabs>
          <w:tab w:val="left" w:pos="5760" w:leader="none"/>
        </w:tabs>
      </w:pPr>
      <w:rPr>
        <w:rFonts w:hint="eastAsia" w:ascii="Times New Roman" w:hAnsi="Times New Roman" w:eastAsia="Times New Roman" w:cs="Times New Roman"/>
        <w:u w:val="none"/>
      </w:rPr>
    </w:lvl>
    <w:lvl w:ilvl="8">
      <w:start w:val="1"/>
      <w:numFmt w:val="decimal"/>
      <w:isLgl w:val="false"/>
      <w:suff w:val="tab"/>
      <w:lvlText w:val="%9."/>
      <w:lvlJc w:val="left"/>
      <w:pPr>
        <w:ind w:left="6480" w:hanging="360"/>
        <w:tabs>
          <w:tab w:val="left" w:pos="6480" w:leader="none"/>
        </w:tabs>
      </w:pPr>
      <w:rPr>
        <w:rFonts w:hint="eastAsia" w:ascii="Times New Roman" w:hAnsi="Times New Roman" w:eastAsia="Times New Roman" w:cs="Times New Roman"/>
        <w:u w:val="none"/>
      </w:rPr>
    </w:lvl>
  </w:abstractNum>
  <w:abstractNum w:abstractNumId="2">
    <w:multiLevelType w:val="hybridMultilevel"/>
    <w:lvl w:ilvl="0">
      <w:start w:val="1"/>
      <w:numFmt w:val="decimalEnclosedCircleChinese"/>
      <w:isLgl w:val="false"/>
      <w:suff w:val="nothing"/>
      <w:lvlText w:val="%1　"/>
      <w:lvlJc w:val="left"/>
      <w:pPr>
        <w:ind w:left="0" w:firstLine="400"/>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japaneseCounting"/>
      <w:isLgl w:val="false"/>
      <w:suff w:val="tab"/>
      <w:lvlText w:val="%1、"/>
      <w:lvlJc w:val="left"/>
      <w:pPr>
        <w:ind w:left="1146" w:hanging="720"/>
        <w:tabs>
          <w:tab w:val="left" w:pos="1146" w:leader="none"/>
        </w:tabs>
      </w:pPr>
      <w:rPr>
        <w:rFonts w:hint="default"/>
        <w:b/>
        <w:u w:val="none"/>
      </w:rPr>
    </w:lvl>
    <w:lvl w:ilvl="1">
      <w:start w:val="8"/>
      <w:numFmt w:val="japaneseCounting"/>
      <w:isLgl w:val="false"/>
      <w:suff w:val="tab"/>
      <w:lvlText w:val="%2、"/>
      <w:lvlJc w:val="left"/>
      <w:pPr>
        <w:ind w:left="1532" w:hanging="840"/>
        <w:tabs>
          <w:tab w:val="left" w:pos="1532" w:leader="none"/>
        </w:tabs>
      </w:pPr>
      <w:rPr>
        <w:rFonts w:hint="default"/>
        <w:u w:val="none"/>
      </w:rPr>
    </w:lvl>
    <w:lvl w:ilvl="2">
      <w:start w:val="1"/>
      <w:numFmt w:val="decimal"/>
      <w:isLgl w:val="false"/>
      <w:suff w:val="tab"/>
      <w:lvlText w:val="%3、"/>
      <w:lvlJc w:val="left"/>
      <w:pPr>
        <w:ind w:left="1832" w:hanging="720"/>
        <w:tabs>
          <w:tab w:val="left" w:pos="1832" w:leader="none"/>
        </w:tabs>
      </w:pPr>
      <w:rPr>
        <w:rFonts w:hint="default"/>
        <w:u w:val="none"/>
      </w:rPr>
    </w:lvl>
    <w:lvl w:ilvl="3">
      <w:start w:val="1"/>
      <w:numFmt w:val="decimal"/>
      <w:isLgl w:val="false"/>
      <w:suff w:val="tab"/>
      <w:lvlText w:val="%4."/>
      <w:lvlJc w:val="left"/>
      <w:pPr>
        <w:ind w:left="1952" w:hanging="420"/>
        <w:tabs>
          <w:tab w:val="left" w:pos="1952" w:leader="none"/>
        </w:tabs>
      </w:pPr>
      <w:rPr>
        <w:rFonts w:hint="default"/>
        <w:u w:val="none"/>
      </w:rPr>
    </w:lvl>
    <w:lvl w:ilvl="4">
      <w:start w:val="1"/>
      <w:numFmt w:val="lowerLetter"/>
      <w:isLgl w:val="false"/>
      <w:suff w:val="tab"/>
      <w:lvlText w:val="%5)"/>
      <w:lvlJc w:val="left"/>
      <w:pPr>
        <w:ind w:left="2372" w:hanging="420"/>
        <w:tabs>
          <w:tab w:val="left" w:pos="2372" w:leader="none"/>
        </w:tabs>
      </w:pPr>
      <w:rPr>
        <w:rFonts w:hint="default"/>
        <w:u w:val="none"/>
      </w:rPr>
    </w:lvl>
    <w:lvl w:ilvl="5">
      <w:start w:val="1"/>
      <w:numFmt w:val="lowerRoman"/>
      <w:isLgl w:val="false"/>
      <w:suff w:val="tab"/>
      <w:lvlText w:val="%6."/>
      <w:lvlJc w:val="right"/>
      <w:pPr>
        <w:ind w:left="2792" w:hanging="420"/>
        <w:tabs>
          <w:tab w:val="left" w:pos="2792" w:leader="none"/>
        </w:tabs>
      </w:pPr>
      <w:rPr>
        <w:rFonts w:hint="default"/>
        <w:u w:val="none"/>
      </w:rPr>
    </w:lvl>
    <w:lvl w:ilvl="6">
      <w:start w:val="1"/>
      <w:numFmt w:val="decimal"/>
      <w:isLgl w:val="false"/>
      <w:suff w:val="tab"/>
      <w:lvlText w:val="%7."/>
      <w:lvlJc w:val="left"/>
      <w:pPr>
        <w:ind w:left="3212" w:hanging="420"/>
        <w:tabs>
          <w:tab w:val="left" w:pos="3212" w:leader="none"/>
        </w:tabs>
      </w:pPr>
      <w:rPr>
        <w:rFonts w:hint="default"/>
        <w:u w:val="none"/>
      </w:rPr>
    </w:lvl>
    <w:lvl w:ilvl="7">
      <w:start w:val="1"/>
      <w:numFmt w:val="lowerLetter"/>
      <w:isLgl w:val="false"/>
      <w:suff w:val="tab"/>
      <w:lvlText w:val="%8)"/>
      <w:lvlJc w:val="left"/>
      <w:pPr>
        <w:ind w:left="3632" w:hanging="420"/>
        <w:tabs>
          <w:tab w:val="left" w:pos="3632" w:leader="none"/>
        </w:tabs>
      </w:pPr>
      <w:rPr>
        <w:rFonts w:hint="default"/>
        <w:u w:val="none"/>
      </w:rPr>
    </w:lvl>
    <w:lvl w:ilvl="8">
      <w:start w:val="1"/>
      <w:numFmt w:val="lowerRoman"/>
      <w:isLgl w:val="false"/>
      <w:suff w:val="tab"/>
      <w:lvlText w:val="%9."/>
      <w:lvlJc w:val="right"/>
      <w:pPr>
        <w:ind w:left="4052" w:hanging="420"/>
        <w:tabs>
          <w:tab w:val="left" w:pos="4052" w:leader="none"/>
        </w:tabs>
      </w:pPr>
      <w:rPr>
        <w:rFonts w:hint="default"/>
        <w:u w:val="none"/>
      </w:rPr>
    </w:lvl>
  </w:abstractNum>
  <w:abstractNum w:abstractNumId="4">
    <w:multiLevelType w:val="hybridMultilevel"/>
    <w:lvl w:ilvl="0">
      <w:start w:val="1"/>
      <w:numFmt w:val="decimal"/>
      <w:isLgl w:val="false"/>
      <w:suff w:val="tab"/>
      <w:lvlText w:val="%1."/>
      <w:lvlJc w:val="left"/>
      <w:pPr>
        <w:ind w:left="0" w:firstLine="0"/>
        <w:tabs>
          <w:tab w:val="left" w:pos="312" w:leader="none"/>
        </w:tabs>
      </w:pPr>
      <w:rPr>
        <w:rFonts w:hint="eastAsia" w:ascii="Times New Roman" w:hAnsi="Times New Roman" w:eastAsia="Times New Roman" w:cs="Times New Roman"/>
        <w:u w:val="none"/>
      </w:rPr>
    </w:lvl>
    <w:lvl w:ilvl="1">
      <w:start w:val="1"/>
      <w:numFmt w:val="decimal"/>
      <w:isLgl w:val="false"/>
      <w:suff w:val="tab"/>
      <w:lvlText w:val="%2."/>
      <w:lvlJc w:val="left"/>
      <w:pPr>
        <w:ind w:left="1440" w:hanging="360"/>
        <w:tabs>
          <w:tab w:val="left" w:pos="1440" w:leader="none"/>
        </w:tabs>
      </w:pPr>
      <w:rPr>
        <w:rFonts w:hint="eastAsia" w:ascii="Times New Roman" w:hAnsi="Times New Roman" w:eastAsia="Times New Roman" w:cs="Times New Roman"/>
        <w:u w:val="none"/>
      </w:rPr>
    </w:lvl>
    <w:lvl w:ilvl="2">
      <w:start w:val="1"/>
      <w:numFmt w:val="decimal"/>
      <w:isLgl w:val="false"/>
      <w:suff w:val="tab"/>
      <w:lvlText w:val="%3."/>
      <w:lvlJc w:val="left"/>
      <w:pPr>
        <w:ind w:left="2160" w:hanging="360"/>
        <w:tabs>
          <w:tab w:val="left" w:pos="2160" w:leader="none"/>
        </w:tabs>
      </w:pPr>
      <w:rPr>
        <w:rFonts w:hint="eastAsia" w:ascii="Times New Roman" w:hAnsi="Times New Roman" w:eastAsia="Times New Roman" w:cs="Times New Roman"/>
        <w:u w:val="none"/>
      </w:rPr>
    </w:lvl>
    <w:lvl w:ilvl="3">
      <w:start w:val="1"/>
      <w:numFmt w:val="decimal"/>
      <w:isLgl w:val="false"/>
      <w:suff w:val="tab"/>
      <w:lvlText w:val="%4."/>
      <w:lvlJc w:val="left"/>
      <w:pPr>
        <w:ind w:left="2880" w:hanging="360"/>
        <w:tabs>
          <w:tab w:val="left" w:pos="2880" w:leader="none"/>
        </w:tabs>
      </w:pPr>
      <w:rPr>
        <w:rFonts w:hint="eastAsia" w:ascii="Times New Roman" w:hAnsi="Times New Roman" w:eastAsia="Times New Roman" w:cs="Times New Roman"/>
        <w:u w:val="none"/>
      </w:rPr>
    </w:lvl>
    <w:lvl w:ilvl="4">
      <w:start w:val="1"/>
      <w:numFmt w:val="decimal"/>
      <w:isLgl w:val="false"/>
      <w:suff w:val="tab"/>
      <w:lvlText w:val="%5."/>
      <w:lvlJc w:val="left"/>
      <w:pPr>
        <w:ind w:left="3600" w:hanging="360"/>
        <w:tabs>
          <w:tab w:val="left" w:pos="3600" w:leader="none"/>
        </w:tabs>
      </w:pPr>
      <w:rPr>
        <w:rFonts w:hint="eastAsia" w:ascii="Times New Roman" w:hAnsi="Times New Roman" w:eastAsia="Times New Roman" w:cs="Times New Roman"/>
        <w:u w:val="none"/>
      </w:rPr>
    </w:lvl>
    <w:lvl w:ilvl="5">
      <w:start w:val="1"/>
      <w:numFmt w:val="decimal"/>
      <w:isLgl w:val="false"/>
      <w:suff w:val="tab"/>
      <w:lvlText w:val="%6."/>
      <w:lvlJc w:val="left"/>
      <w:pPr>
        <w:ind w:left="4320" w:hanging="360"/>
        <w:tabs>
          <w:tab w:val="left" w:pos="4320" w:leader="none"/>
        </w:tabs>
      </w:pPr>
      <w:rPr>
        <w:rFonts w:hint="eastAsia" w:ascii="Times New Roman" w:hAnsi="Times New Roman" w:eastAsia="Times New Roman" w:cs="Times New Roman"/>
        <w:u w:val="none"/>
      </w:rPr>
    </w:lvl>
    <w:lvl w:ilvl="6">
      <w:start w:val="1"/>
      <w:numFmt w:val="decimal"/>
      <w:isLgl w:val="false"/>
      <w:suff w:val="tab"/>
      <w:lvlText w:val="%7."/>
      <w:lvlJc w:val="left"/>
      <w:pPr>
        <w:ind w:left="5040" w:hanging="360"/>
        <w:tabs>
          <w:tab w:val="left" w:pos="5040" w:leader="none"/>
        </w:tabs>
      </w:pPr>
      <w:rPr>
        <w:rFonts w:hint="eastAsia" w:ascii="Times New Roman" w:hAnsi="Times New Roman" w:eastAsia="Times New Roman" w:cs="Times New Roman"/>
        <w:u w:val="none"/>
      </w:rPr>
    </w:lvl>
    <w:lvl w:ilvl="7">
      <w:start w:val="1"/>
      <w:numFmt w:val="decimal"/>
      <w:isLgl w:val="false"/>
      <w:suff w:val="tab"/>
      <w:lvlText w:val="%8."/>
      <w:lvlJc w:val="left"/>
      <w:pPr>
        <w:ind w:left="5760" w:hanging="360"/>
        <w:tabs>
          <w:tab w:val="left" w:pos="5760" w:leader="none"/>
        </w:tabs>
      </w:pPr>
      <w:rPr>
        <w:rFonts w:hint="eastAsia" w:ascii="Times New Roman" w:hAnsi="Times New Roman" w:eastAsia="Times New Roman" w:cs="Times New Roman"/>
        <w:u w:val="none"/>
      </w:rPr>
    </w:lvl>
    <w:lvl w:ilvl="8">
      <w:start w:val="1"/>
      <w:numFmt w:val="decimal"/>
      <w:isLgl w:val="false"/>
      <w:suff w:val="tab"/>
      <w:lvlText w:val="%9."/>
      <w:lvlJc w:val="left"/>
      <w:pPr>
        <w:ind w:left="6480" w:hanging="360"/>
        <w:tabs>
          <w:tab w:val="left" w:pos="6480" w:leader="none"/>
        </w:tabs>
      </w:pPr>
      <w:rPr>
        <w:rFonts w:hint="eastAsia" w:ascii="Times New Roman" w:hAnsi="Times New Roman" w:eastAsia="Times New Roman" w:cs="Times New Roman"/>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9"/>
    <w:link w:val="867"/>
    <w:uiPriority w:val="9"/>
    <w:rPr>
      <w:rFonts w:ascii="Arial" w:hAnsi="Arial" w:eastAsia="Arial" w:cs="Arial"/>
      <w:sz w:val="40"/>
      <w:szCs w:val="40"/>
    </w:rPr>
  </w:style>
  <w:style w:type="character" w:styleId="695">
    <w:name w:val="Heading 2 Char"/>
    <w:basedOn w:val="869"/>
    <w:link w:val="868"/>
    <w:uiPriority w:val="9"/>
    <w:rPr>
      <w:rFonts w:ascii="Arial" w:hAnsi="Arial" w:eastAsia="Arial" w:cs="Arial"/>
      <w:sz w:val="34"/>
    </w:rPr>
  </w:style>
  <w:style w:type="paragraph" w:styleId="696">
    <w:name w:val="Heading 3"/>
    <w:basedOn w:val="866"/>
    <w:next w:val="866"/>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basedOn w:val="869"/>
    <w:link w:val="696"/>
    <w:uiPriority w:val="9"/>
    <w:rPr>
      <w:rFonts w:ascii="Arial" w:hAnsi="Arial" w:eastAsia="Arial" w:cs="Arial"/>
      <w:sz w:val="30"/>
      <w:szCs w:val="30"/>
    </w:rPr>
  </w:style>
  <w:style w:type="paragraph" w:styleId="698">
    <w:name w:val="Heading 4"/>
    <w:basedOn w:val="866"/>
    <w:next w:val="866"/>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basedOn w:val="869"/>
    <w:link w:val="698"/>
    <w:uiPriority w:val="9"/>
    <w:rPr>
      <w:rFonts w:ascii="Arial" w:hAnsi="Arial" w:eastAsia="Arial" w:cs="Arial"/>
      <w:b/>
      <w:bCs/>
      <w:sz w:val="26"/>
      <w:szCs w:val="26"/>
    </w:rPr>
  </w:style>
  <w:style w:type="paragraph" w:styleId="700">
    <w:name w:val="Heading 5"/>
    <w:basedOn w:val="866"/>
    <w:next w:val="866"/>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69"/>
    <w:link w:val="700"/>
    <w:uiPriority w:val="9"/>
    <w:rPr>
      <w:rFonts w:ascii="Arial" w:hAnsi="Arial" w:eastAsia="Arial" w:cs="Arial"/>
      <w:b/>
      <w:bCs/>
      <w:sz w:val="24"/>
      <w:szCs w:val="24"/>
    </w:rPr>
  </w:style>
  <w:style w:type="paragraph" w:styleId="702">
    <w:name w:val="Heading 6"/>
    <w:basedOn w:val="866"/>
    <w:next w:val="866"/>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69"/>
    <w:link w:val="702"/>
    <w:uiPriority w:val="9"/>
    <w:rPr>
      <w:rFonts w:ascii="Arial" w:hAnsi="Arial" w:eastAsia="Arial" w:cs="Arial"/>
      <w:b/>
      <w:bCs/>
      <w:sz w:val="22"/>
      <w:szCs w:val="22"/>
    </w:rPr>
  </w:style>
  <w:style w:type="paragraph" w:styleId="704">
    <w:name w:val="Heading 7"/>
    <w:basedOn w:val="866"/>
    <w:next w:val="866"/>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69"/>
    <w:link w:val="704"/>
    <w:uiPriority w:val="9"/>
    <w:rPr>
      <w:rFonts w:ascii="Arial" w:hAnsi="Arial" w:eastAsia="Arial" w:cs="Arial"/>
      <w:b/>
      <w:bCs/>
      <w:i/>
      <w:iCs/>
      <w:sz w:val="22"/>
      <w:szCs w:val="22"/>
    </w:rPr>
  </w:style>
  <w:style w:type="paragraph" w:styleId="706">
    <w:name w:val="Heading 8"/>
    <w:basedOn w:val="866"/>
    <w:next w:val="866"/>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69"/>
    <w:link w:val="706"/>
    <w:uiPriority w:val="9"/>
    <w:rPr>
      <w:rFonts w:ascii="Arial" w:hAnsi="Arial" w:eastAsia="Arial" w:cs="Arial"/>
      <w:i/>
      <w:iCs/>
      <w:sz w:val="22"/>
      <w:szCs w:val="22"/>
    </w:rPr>
  </w:style>
  <w:style w:type="paragraph" w:styleId="708">
    <w:name w:val="Heading 9"/>
    <w:basedOn w:val="866"/>
    <w:next w:val="866"/>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69"/>
    <w:link w:val="708"/>
    <w:uiPriority w:val="9"/>
    <w:rPr>
      <w:rFonts w:ascii="Arial" w:hAnsi="Arial" w:eastAsia="Arial" w:cs="Arial"/>
      <w:i/>
      <w:iCs/>
      <w:sz w:val="21"/>
      <w:szCs w:val="21"/>
    </w:rPr>
  </w:style>
  <w:style w:type="paragraph" w:styleId="710">
    <w:name w:val="List Paragraph"/>
    <w:basedOn w:val="866"/>
    <w:uiPriority w:val="34"/>
    <w:qFormat/>
    <w:pPr>
      <w:contextualSpacing/>
      <w:ind w:left="720"/>
    </w:pPr>
  </w:style>
  <w:style w:type="paragraph" w:styleId="711">
    <w:name w:val="No Spacing"/>
    <w:uiPriority w:val="1"/>
    <w:qFormat/>
    <w:pPr>
      <w:spacing w:before="0" w:after="0" w:line="240" w:lineRule="auto"/>
    </w:pPr>
  </w:style>
  <w:style w:type="character" w:styleId="712">
    <w:name w:val="Title Char"/>
    <w:basedOn w:val="869"/>
    <w:link w:val="876"/>
    <w:uiPriority w:val="10"/>
    <w:rPr>
      <w:sz w:val="48"/>
      <w:szCs w:val="48"/>
    </w:rPr>
  </w:style>
  <w:style w:type="paragraph" w:styleId="713">
    <w:name w:val="Subtitle"/>
    <w:basedOn w:val="866"/>
    <w:next w:val="866"/>
    <w:link w:val="714"/>
    <w:uiPriority w:val="11"/>
    <w:qFormat/>
    <w:pPr>
      <w:spacing w:before="200" w:after="200"/>
    </w:pPr>
    <w:rPr>
      <w:sz w:val="24"/>
      <w:szCs w:val="24"/>
    </w:rPr>
  </w:style>
  <w:style w:type="character" w:styleId="714">
    <w:name w:val="Subtitle Char"/>
    <w:basedOn w:val="869"/>
    <w:link w:val="713"/>
    <w:uiPriority w:val="11"/>
    <w:rPr>
      <w:sz w:val="24"/>
      <w:szCs w:val="24"/>
    </w:rPr>
  </w:style>
  <w:style w:type="paragraph" w:styleId="715">
    <w:name w:val="Quote"/>
    <w:basedOn w:val="866"/>
    <w:next w:val="866"/>
    <w:link w:val="716"/>
    <w:uiPriority w:val="29"/>
    <w:qFormat/>
    <w:pPr>
      <w:ind w:left="720" w:right="720"/>
    </w:pPr>
    <w:rPr>
      <w:i/>
    </w:rPr>
  </w:style>
  <w:style w:type="character" w:styleId="716">
    <w:name w:val="Quote Char"/>
    <w:link w:val="715"/>
    <w:uiPriority w:val="29"/>
    <w:rPr>
      <w:i/>
    </w:rPr>
  </w:style>
  <w:style w:type="paragraph" w:styleId="717">
    <w:name w:val="Intense Quote"/>
    <w:basedOn w:val="866"/>
    <w:next w:val="86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6"/>
    <w:link w:val="720"/>
    <w:uiPriority w:val="99"/>
    <w:unhideWhenUsed/>
    <w:pPr>
      <w:spacing w:after="0" w:line="240" w:lineRule="auto"/>
      <w:tabs>
        <w:tab w:val="center" w:pos="7143" w:leader="none"/>
        <w:tab w:val="right" w:pos="14287" w:leader="none"/>
      </w:tabs>
    </w:pPr>
  </w:style>
  <w:style w:type="character" w:styleId="720">
    <w:name w:val="Header Char"/>
    <w:basedOn w:val="869"/>
    <w:link w:val="719"/>
    <w:uiPriority w:val="99"/>
  </w:style>
  <w:style w:type="character" w:styleId="721">
    <w:name w:val="Footer Char"/>
    <w:basedOn w:val="869"/>
    <w:link w:val="879"/>
    <w:uiPriority w:val="99"/>
  </w:style>
  <w:style w:type="paragraph" w:styleId="722">
    <w:name w:val="Caption"/>
    <w:basedOn w:val="866"/>
    <w:next w:val="866"/>
    <w:uiPriority w:val="35"/>
    <w:semiHidden/>
    <w:unhideWhenUsed/>
    <w:qFormat/>
    <w:pPr>
      <w:spacing w:line="276" w:lineRule="auto"/>
    </w:pPr>
    <w:rPr>
      <w:b/>
      <w:bCs/>
      <w:color w:val="4f81bd" w:themeColor="accent1"/>
      <w:sz w:val="18"/>
      <w:szCs w:val="18"/>
    </w:rPr>
  </w:style>
  <w:style w:type="character" w:styleId="723">
    <w:name w:val="Caption Char"/>
    <w:basedOn w:val="722"/>
    <w:link w:val="879"/>
    <w:uiPriority w:val="99"/>
  </w:style>
  <w:style w:type="table" w:styleId="724">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0">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1">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2">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3">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4">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5">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6">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7">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8">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9">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0">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2">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3">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4">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5">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6">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7">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6">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7">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8">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9">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0">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1">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3">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4">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5">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6">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7">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8">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7">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8">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9">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0">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1">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2">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9"/>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9"/>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1"/>
    <w:basedOn w:val="866"/>
    <w:next w:val="866"/>
    <w:uiPriority w:val="0"/>
    <w:unhideWhenUsed/>
    <w:qFormat/>
    <w:pPr>
      <w:keepLines/>
      <w:keepNext/>
      <w:spacing w:before="340" w:after="330" w:line="578" w:lineRule="auto"/>
      <w:outlineLvl w:val="0"/>
    </w:pPr>
    <w:rPr>
      <w:rFonts w:hint="eastAsia"/>
      <w:b/>
      <w:sz w:val="44"/>
      <w:szCs w:val="44"/>
    </w:rPr>
  </w:style>
  <w:style w:type="paragraph" w:styleId="868">
    <w:name w:val="Heading 2"/>
    <w:basedOn w:val="867"/>
    <w:next w:val="866"/>
    <w:uiPriority w:val="0"/>
    <w:unhideWhenUsed/>
    <w:qFormat/>
    <w:pPr>
      <w:spacing w:before="260" w:after="260" w:line="416" w:lineRule="auto"/>
      <w:outlineLvl w:val="1"/>
    </w:pPr>
    <w:rPr>
      <w:rFonts w:hint="default" w:ascii="Arial" w:hAnsi="Arial" w:eastAsia="黑体"/>
      <w:sz w:val="32"/>
      <w:szCs w:val="32"/>
    </w:rPr>
  </w:style>
  <w:style w:type="character" w:styleId="869" w:default="1">
    <w:name w:val="Default Paragraph Font"/>
    <w:uiPriority w:val="0"/>
    <w:semiHidden/>
  </w:style>
  <w:style w:type="table" w:styleId="87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1" w:customStyle="1">
    <w:name w:val="标准正文"/>
    <w:basedOn w:val="872"/>
    <w:uiPriority w:val="0"/>
    <w:qFormat/>
    <w:pPr>
      <w:ind w:firstLine="560"/>
      <w:spacing w:line="360" w:lineRule="auto"/>
    </w:pPr>
    <w:rPr>
      <w:sz w:val="24"/>
    </w:rPr>
  </w:style>
  <w:style w:type="paragraph" w:styleId="872">
    <w:name w:val="Body Text Indent"/>
    <w:basedOn w:val="866"/>
    <w:next w:val="873"/>
    <w:uiPriority w:val="0"/>
    <w:qFormat/>
    <w:pPr>
      <w:ind w:left="420"/>
      <w:spacing w:after="120"/>
    </w:pPr>
  </w:style>
  <w:style w:type="paragraph" w:styleId="873">
    <w:name w:val="envelope return"/>
    <w:basedOn w:val="866"/>
    <w:uiPriority w:val="99"/>
    <w:unhideWhenUsed/>
    <w:qFormat/>
    <w:rPr>
      <w:rFonts w:ascii="Arial" w:hAnsi="Arial"/>
    </w:rPr>
  </w:style>
  <w:style w:type="paragraph" w:styleId="874">
    <w:name w:val="Normal Indent"/>
    <w:basedOn w:val="866"/>
    <w:uiPriority w:val="0"/>
    <w:unhideWhenUsed/>
    <w:qFormat/>
    <w:pPr>
      <w:ind w:firstLine="420"/>
    </w:pPr>
    <w:rPr>
      <w:rFonts w:hint="eastAsia"/>
      <w:sz w:val="21"/>
      <w:szCs w:val="24"/>
    </w:rPr>
  </w:style>
  <w:style w:type="paragraph" w:styleId="875">
    <w:name w:val="Body Text"/>
    <w:basedOn w:val="866"/>
    <w:next w:val="876"/>
    <w:uiPriority w:val="0"/>
    <w:qFormat/>
    <w:pPr>
      <w:ind w:left="235" w:firstLine="0"/>
      <w:jc w:val="left"/>
      <w:keepLines w:val="0"/>
      <w:keepNext w:val="0"/>
      <w:widowControl w:val="off"/>
      <w:suppressLineNumbers w:val="0"/>
    </w:pPr>
    <w:rPr>
      <w:rFonts w:hint="eastAsia" w:ascii="仿宋" w:hAnsi="仿宋" w:eastAsia="仿宋" w:cs="仿宋"/>
      <w:sz w:val="24"/>
      <w:szCs w:val="24"/>
      <w:lang w:val="en-US" w:eastAsia="zh-CN" w:bidi="ar"/>
    </w:rPr>
  </w:style>
  <w:style w:type="paragraph" w:styleId="876">
    <w:name w:val="Title"/>
    <w:basedOn w:val="866"/>
    <w:next w:val="866"/>
    <w:uiPriority w:val="10"/>
    <w:unhideWhenUsed/>
    <w:qFormat/>
    <w:pPr>
      <w:jc w:val="center"/>
      <w:spacing w:before="240" w:after="60"/>
      <w:outlineLvl w:val="0"/>
    </w:pPr>
    <w:rPr>
      <w:rFonts w:hint="default" w:ascii="Cambria" w:hAnsi="Cambria" w:eastAsia="宋体"/>
      <w:b/>
      <w:sz w:val="32"/>
      <w:szCs w:val="32"/>
    </w:rPr>
  </w:style>
  <w:style w:type="paragraph" w:styleId="877">
    <w:name w:val="Plain Text"/>
    <w:basedOn w:val="866"/>
    <w:uiPriority w:val="0"/>
    <w:qFormat/>
    <w:pPr>
      <w:jc w:val="left"/>
      <w:keepLines w:val="0"/>
      <w:keepNext w:val="0"/>
      <w:spacing w:after="200" w:afterAutospacing="0" w:line="252" w:lineRule="auto"/>
      <w:widowControl/>
      <w:suppressLineNumbers w:val="0"/>
    </w:pPr>
    <w:rPr>
      <w:rFonts w:hint="eastAsia" w:ascii="宋体" w:hAnsi="Courier New" w:eastAsia="宋体" w:cs="Times New Roman"/>
      <w:sz w:val="21"/>
      <w:szCs w:val="21"/>
      <w:lang w:val="en-US" w:eastAsia="zh-CN" w:bidi="ar"/>
    </w:rPr>
  </w:style>
  <w:style w:type="paragraph" w:styleId="878">
    <w:name w:val="Date"/>
    <w:basedOn w:val="866"/>
    <w:next w:val="866"/>
    <w:uiPriority w:val="0"/>
    <w:unhideWhenUsed/>
    <w:qFormat/>
    <w:rPr>
      <w:rFonts w:hint="eastAsia"/>
      <w:sz w:val="24"/>
      <w:szCs w:val="20"/>
    </w:rPr>
  </w:style>
  <w:style w:type="paragraph" w:styleId="879">
    <w:name w:val="Footer"/>
    <w:basedOn w:val="866"/>
    <w:uiPriority w:val="0"/>
    <w:unhideWhenUsed/>
    <w:qFormat/>
    <w:pPr>
      <w:jc w:val="left"/>
      <w:tabs>
        <w:tab w:val="center" w:pos="4153" w:leader="none"/>
        <w:tab w:val="right" w:pos="8306" w:leader="none"/>
      </w:tabs>
    </w:pPr>
    <w:rPr>
      <w:rFonts w:hint="eastAsia"/>
      <w:sz w:val="18"/>
      <w:szCs w:val="18"/>
    </w:rPr>
  </w:style>
  <w:style w:type="paragraph" w:styleId="880">
    <w:name w:val="Normal (Web)"/>
    <w:basedOn w:val="866"/>
    <w:uiPriority w:val="0"/>
    <w:qFormat/>
    <w:pPr>
      <w:ind w:left="0" w:right="0"/>
      <w:jc w:val="left"/>
      <w:spacing w:before="0" w:beforeAutospacing="1" w:after="0" w:afterAutospacing="1"/>
      <w:widowControl/>
    </w:pPr>
    <w:rPr>
      <w:rFonts w:ascii="宋体" w:hAnsi="宋体" w:eastAsia="宋体" w:cs="宋体"/>
      <w:sz w:val="24"/>
      <w:szCs w:val="24"/>
      <w:lang w:val="en-US" w:eastAsia="zh-CN" w:bidi="ar"/>
    </w:rPr>
  </w:style>
  <w:style w:type="table" w:styleId="881">
    <w:name w:val="Table Grid"/>
    <w:basedOn w:val="870"/>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Hyperlink"/>
    <w:basedOn w:val="869"/>
    <w:uiPriority w:val="0"/>
    <w:qFormat/>
    <w:rPr>
      <w:color w:val="0000ff"/>
      <w:u w:val="single"/>
    </w:rPr>
  </w:style>
  <w:style w:type="paragraph" w:styleId="883" w:customStyle="1">
    <w:name w:val="普通正文"/>
    <w:basedOn w:val="866"/>
    <w:uiPriority w:val="0"/>
    <w:qFormat/>
    <w:pPr>
      <w:ind w:firstLine="480"/>
      <w:jc w:val="left"/>
      <w:spacing w:before="120" w:after="120" w:line="360" w:lineRule="auto"/>
    </w:pPr>
    <w:rPr>
      <w:rFonts w:ascii="Arial" w:hAnsi="Arial"/>
      <w:sz w:val="24"/>
    </w:rPr>
  </w:style>
  <w:style w:type="character" w:styleId="884" w:customStyle="1">
    <w:name w:val="10"/>
    <w:basedOn w:val="869"/>
    <w:uiPriority w:val="0"/>
    <w:qFormat/>
    <w:rPr>
      <w:rFonts w:hint="default" w:ascii="Times New Roman" w:hAnsi="Times New Roman" w:cs="Times New Roman"/>
    </w:rPr>
  </w:style>
  <w:style w:type="character" w:styleId="885" w:customStyle="1">
    <w:name w:val="15"/>
    <w:basedOn w:val="869"/>
    <w:uiPriority w:val="0"/>
    <w:qFormat/>
    <w:rPr>
      <w:rFonts w:hint="default" w:ascii="Times New Roman" w:hAnsi="Times New Roman" w:cs="Times New Roman"/>
      <w:color w:val="0000ff"/>
      <w:u w:val="single"/>
    </w:rPr>
  </w:style>
  <w:style w:type="paragraph" w:styleId="886" w:customStyle="1">
    <w:name w:val="正文1"/>
    <w:basedOn w:val="866"/>
    <w:uiPriority w:val="0"/>
    <w:unhideWhenUsed/>
    <w:qFormat/>
    <w:pPr>
      <w:ind w:firstLine="361"/>
      <w:spacing w:line="360" w:lineRule="auto"/>
    </w:pPr>
    <w:rPr>
      <w:rFonts w:hint="default" w:ascii="宋体" w:hAnsi="宋体" w:eastAsia="仿宋_GB2312"/>
      <w:sz w:val="21"/>
      <w:szCs w:val="24"/>
    </w:rPr>
  </w:style>
  <w:style w:type="paragraph" w:styleId="887" w:customStyle="1">
    <w:name w:val="Char1"/>
    <w:basedOn w:val="866"/>
    <w:uiPriority w:val="0"/>
    <w:unhideWhenUsed/>
    <w:qFormat/>
    <w:pPr>
      <w:tabs>
        <w:tab w:val="left" w:pos="360" w:leader="none"/>
      </w:tabs>
    </w:pPr>
    <w:rPr>
      <w:rFonts w:hint="eastAsia"/>
      <w:color w:val="000000"/>
      <w:sz w:val="24"/>
      <w:szCs w:val="24"/>
    </w:rPr>
  </w:style>
  <w:style w:type="character" w:styleId="888" w:customStyle="1">
    <w:name w:val="17"/>
    <w:basedOn w:val="869"/>
    <w:uiPriority w:val="0"/>
    <w:unhideWhenUsed/>
    <w:qFormat/>
    <w:rPr>
      <w:rFonts w:hint="eastAsia" w:ascii="Times New Roman" w:hAnsi="Times New Roman" w:eastAsia="Times New Roman" w:cs="Times New Roman"/>
      <w:b/>
      <w:sz w:val="24"/>
      <w:szCs w:val="24"/>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 Id="rId15" Type="http://schemas.openxmlformats.org/officeDocument/2006/relationships/oleObject" Target="embeddings/oleObject2.bin"/><Relationship Id="rId16" Type="http://schemas.openxmlformats.org/officeDocument/2006/relationships/image" Target="media/image3.wmf"/><Relationship Id="rId17" Type="http://schemas.openxmlformats.org/officeDocument/2006/relationships/oleObject" Target="embeddings/oleObject3.bin"/><Relationship Id="rId18" Type="http://schemas.openxmlformats.org/officeDocument/2006/relationships/image" Target="media/image4.wmf"/><Relationship Id="rId19"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经天纬地 公司账号</dc:creator>
  <cp:lastModifiedBy>张小琴</cp:lastModifiedBy>
  <cp:revision>3</cp:revision>
  <dcterms:created xsi:type="dcterms:W3CDTF">2026-04-16T08:11:00Z</dcterms:created>
  <dcterms:modified xsi:type="dcterms:W3CDTF">2026-04-17T04:25:57Z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D5A7E78AD93D491A83096AABCAD5DF32_11</vt:lpwstr>
  </property>
  <property fmtid="{D5CDD505-2E9C-101B-9397-08002B2CF9AE}" pid="4" name="KSOTemplateDocerSaveRecord">
    <vt:lpwstr>eyJoZGlkIjoiY2I2ZjlhM2M0MDllOTczMjNlYWIzZmMwM2RjY2I0MmIiLCJ1c2VySWQiOiIxMDMxNTEzNjU1In0=</vt:lpwstr>
  </property>
</Properties>
</file>