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3"/>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793"/>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封闭式框架协议采购</w:t>
      </w:r>
      <w:r>
        <w:rPr>
          <w:rFonts w:hint="eastAsia" w:ascii="黑体" w:hAnsi="华文中宋" w:eastAsia="黑体"/>
          <w:bCs/>
          <w:color w:val="000000"/>
          <w:spacing w:val="20"/>
          <w:sz w:val="84"/>
          <w:szCs w:val="84"/>
          <w:highlight w:val="none"/>
        </w:rPr>
      </w:r>
      <w:r/>
    </w:p>
    <w:p>
      <w:pPr>
        <w:pStyle w:val="793"/>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征集文件</w:t>
      </w:r>
      <w:r>
        <w:rPr>
          <w:rFonts w:hint="eastAsia" w:ascii="黑体" w:hAnsi="华文中宋" w:eastAsia="黑体"/>
          <w:bCs/>
          <w:color w:val="000000"/>
          <w:spacing w:val="20"/>
          <w:sz w:val="84"/>
          <w:szCs w:val="84"/>
          <w:highlight w:val="none"/>
        </w:rPr>
      </w:r>
      <w:r/>
    </w:p>
    <w:p>
      <w:pPr>
        <w:pStyle w:val="79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9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9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06"/>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JSZC-320213-JZCG-K2026-0009</w:t>
      </w:r>
      <w:r>
        <w:rPr>
          <w:rFonts w:hint="eastAsia" w:ascii="黑体" w:hAnsi="华文中宋" w:eastAsia="黑体"/>
          <w:bCs/>
          <w:color w:val="000000"/>
          <w:sz w:val="32"/>
          <w:szCs w:val="32"/>
          <w:highlight w:val="none"/>
          <w:lang w:eastAsia="zh-CN"/>
        </w:rPr>
      </w:r>
      <w:r/>
    </w:p>
    <w:p>
      <w:pPr>
        <w:pStyle w:val="706"/>
        <w:ind w:left="2530" w:hanging="64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2026-2027年度无锡市梁溪区物业管理服务框架协议采购</w:t>
      </w:r>
      <w:r>
        <w:rPr>
          <w:rFonts w:hint="eastAsia" w:ascii="黑体" w:hAnsi="华文中宋" w:eastAsia="黑体"/>
          <w:bCs/>
          <w:color w:val="000000"/>
          <w:sz w:val="32"/>
          <w:szCs w:val="32"/>
          <w:highlight w:val="none"/>
          <w:lang w:eastAsia="zh-CN"/>
        </w:rPr>
      </w:r>
      <w:r/>
    </w:p>
    <w:p>
      <w:pPr>
        <w:pStyle w:val="706"/>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征 集 人：</w:t>
      </w:r>
      <w:r>
        <w:rPr>
          <w:rFonts w:hint="eastAsia" w:ascii="黑体" w:hAnsi="华文中宋" w:eastAsia="黑体"/>
          <w:bCs/>
          <w:color w:val="000000"/>
          <w:sz w:val="32"/>
          <w:szCs w:val="32"/>
          <w:highlight w:val="none"/>
          <w:lang w:eastAsia="zh-CN"/>
        </w:rPr>
        <w:t xml:space="preserve">无锡市公共资源交易中心梁溪分中心</w:t>
      </w:r>
      <w:r>
        <w:rPr>
          <w:rFonts w:hint="eastAsia" w:ascii="黑体" w:hAnsi="华文中宋" w:eastAsia="黑体"/>
          <w:bCs/>
          <w:color w:val="000000"/>
          <w:sz w:val="32"/>
          <w:szCs w:val="32"/>
          <w:highlight w:val="none"/>
          <w:lang w:eastAsia="zh-CN"/>
        </w:rPr>
      </w:r>
      <w:r/>
    </w:p>
    <w:p>
      <w:pPr>
        <w:pStyle w:val="706"/>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9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9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9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9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93"/>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93"/>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706"/>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706"/>
        <w:numPr>
          <w:ilvl w:val="0"/>
          <w:numId w:val="5"/>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参加征集活动的邀请--------------------------</w:t>
      </w:r>
      <w:r>
        <w:rPr>
          <w:rFonts w:hint="eastAsia" w:ascii="宋体" w:hAnsi="宋体"/>
          <w:color w:val="000000"/>
          <w:sz w:val="30"/>
          <w:szCs w:val="30"/>
          <w:highlight w:val="none"/>
        </w:rPr>
      </w:r>
      <w:r/>
    </w:p>
    <w:p>
      <w:pPr>
        <w:pStyle w:val="706"/>
        <w:numPr>
          <w:ilvl w:val="0"/>
          <w:numId w:val="5"/>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供应商须知----------------------------------</w:t>
      </w:r>
      <w:r>
        <w:rPr>
          <w:rFonts w:hint="eastAsia" w:ascii="宋体" w:hAnsi="宋体"/>
          <w:color w:val="000000"/>
          <w:sz w:val="30"/>
          <w:szCs w:val="30"/>
          <w:highlight w:val="none"/>
        </w:rPr>
      </w:r>
      <w:r/>
    </w:p>
    <w:p>
      <w:pPr>
        <w:pStyle w:val="706"/>
        <w:numPr>
          <w:ilvl w:val="0"/>
          <w:numId w:val="5"/>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框架协议文本和采购合同文本------------------</w:t>
      </w:r>
      <w:r>
        <w:rPr>
          <w:rFonts w:hint="eastAsia" w:ascii="宋体" w:hAnsi="宋体"/>
          <w:color w:val="000000"/>
          <w:sz w:val="30"/>
          <w:szCs w:val="30"/>
          <w:highlight w:val="none"/>
        </w:rPr>
      </w:r>
      <w:r/>
    </w:p>
    <w:p>
      <w:pPr>
        <w:pStyle w:val="706"/>
        <w:numPr>
          <w:ilvl w:val="0"/>
          <w:numId w:val="5"/>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706"/>
        <w:numPr>
          <w:ilvl w:val="0"/>
          <w:numId w:val="5"/>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评审方法与评审标准--------------------------</w:t>
      </w:r>
      <w:r>
        <w:rPr>
          <w:rFonts w:hint="eastAsia" w:ascii="宋体" w:hAnsi="宋体"/>
          <w:color w:val="000000"/>
          <w:sz w:val="30"/>
          <w:szCs w:val="30"/>
          <w:highlight w:val="none"/>
        </w:rPr>
      </w:r>
      <w:r/>
    </w:p>
    <w:p>
      <w:pPr>
        <w:pStyle w:val="706"/>
        <w:numPr>
          <w:ilvl w:val="0"/>
          <w:numId w:val="5"/>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响应文件内容与格式--------------------------</w:t>
      </w:r>
      <w:r>
        <w:rPr>
          <w:rFonts w:hint="eastAsia" w:ascii="宋体" w:hAnsi="宋体"/>
          <w:color w:val="000000"/>
          <w:sz w:val="30"/>
          <w:szCs w:val="30"/>
          <w:highlight w:val="none"/>
        </w:rPr>
      </w:r>
      <w:r/>
    </w:p>
    <w:p>
      <w:pPr>
        <w:pStyle w:val="706"/>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参加征集活动的邀请</w:t>
      </w:r>
      <w:r>
        <w:rPr>
          <w:rFonts w:hint="eastAsia" w:ascii="黑体" w:hAnsi="黑体" w:eastAsia="黑体"/>
          <w:color w:val="000000"/>
          <w:sz w:val="36"/>
          <w:szCs w:val="36"/>
          <w:highlight w:val="none"/>
        </w:rPr>
      </w:r>
      <w:r/>
    </w:p>
    <w:p>
      <w:pPr>
        <w:pStyle w:val="706"/>
        <w:ind w:firstLine="480"/>
        <w:spacing w:line="500" w:lineRule="exact"/>
        <w:rPr>
          <w:rFonts w:hint="eastAsia" w:ascii="宋体" w:hAnsi="宋体"/>
          <w:color w:val="000000"/>
          <w:sz w:val="24"/>
          <w:szCs w:val="24"/>
          <w:highlight w:val="none"/>
        </w:rPr>
      </w:pPr>
      <w:r/>
      <w:bookmarkEnd w:id="0"/>
      <w:r>
        <w:rPr>
          <w:rFonts w:hint="eastAsia" w:ascii="宋体" w:hAnsi="宋体"/>
          <w:color w:val="000000"/>
          <w:sz w:val="24"/>
          <w:szCs w:val="24"/>
          <w:highlight w:val="none"/>
          <w:lang w:eastAsia="zh-CN"/>
        </w:rPr>
        <w:t xml:space="preserve">无锡市公共资源交易中心梁溪分中心</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2026-2027年度无锡市梁溪区物业管理服务框架协议采购</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JSZC-320213-JZCG-K2026-0009</w:t>
      </w:r>
      <w:r>
        <w:rPr>
          <w:rFonts w:hint="eastAsia" w:ascii="宋体" w:hAnsi="宋体"/>
          <w:color w:val="000000"/>
          <w:sz w:val="24"/>
          <w:szCs w:val="24"/>
          <w:highlight w:val="none"/>
        </w:rPr>
        <w:t xml:space="preserve">）进行封闭式框架协议采购，欢迎符合条件的供应商参加本次采购活动。</w:t>
      </w:r>
      <w:r>
        <w:rPr>
          <w:rFonts w:hint="eastAsia" w:ascii="宋体" w:hAnsi="宋体"/>
          <w:color w:val="000000"/>
          <w:sz w:val="24"/>
          <w:szCs w:val="24"/>
          <w:highlight w:val="none"/>
        </w:rPr>
      </w:r>
      <w:r/>
    </w:p>
    <w:p>
      <w:pPr>
        <w:pStyle w:val="709"/>
        <w:ind w:firstLine="452"/>
        <w:keepLines w:val="0"/>
        <w:keepNext w:val="0"/>
        <w:spacing w:before="0" w:after="0" w:line="500" w:lineRule="exact"/>
        <w:rPr>
          <w:rFonts w:hint="eastAsia"/>
          <w:color w:val="000000"/>
          <w:sz w:val="30"/>
          <w:szCs w:val="30"/>
          <w:highlight w:val="none"/>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color w:val="000000"/>
          <w:sz w:val="30"/>
          <w:szCs w:val="30"/>
          <w:highlight w:val="none"/>
        </w:rPr>
        <w:t xml:space="preserve">一、征集人信息</w:t>
      </w:r>
      <w:r>
        <w:rPr>
          <w:rFonts w:hint="eastAsia"/>
          <w:color w:val="000000"/>
          <w:sz w:val="30"/>
          <w:szCs w:val="30"/>
          <w:highlight w:val="none"/>
        </w:rPr>
      </w:r>
      <w:r/>
    </w:p>
    <w:p>
      <w:pPr>
        <w:pStyle w:val="706"/>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1.征集人名称：</w:t>
      </w:r>
      <w:r>
        <w:rPr>
          <w:rFonts w:hint="eastAsia" w:ascii="宋体" w:hAnsi="宋体"/>
          <w:color w:val="000000"/>
          <w:sz w:val="24"/>
          <w:szCs w:val="24"/>
          <w:highlight w:val="none"/>
          <w:lang w:eastAsia="zh-CN"/>
        </w:rPr>
        <w:t xml:space="preserve">无锡市公共资源交易中心梁溪分中心</w:t>
      </w:r>
      <w:r>
        <w:rPr>
          <w:rFonts w:hint="eastAsia" w:ascii="宋体" w:hAnsi="宋体" w:eastAsia="宋体"/>
          <w:color w:val="000000"/>
          <w:sz w:val="24"/>
          <w:szCs w:val="24"/>
          <w:highlight w:val="none"/>
          <w:lang w:eastAsia="zh-CN"/>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2.征集人地址：无锡市</w:t>
      </w:r>
      <w:r>
        <w:rPr>
          <w:rFonts w:hint="eastAsia" w:ascii="宋体" w:hAnsi="宋体"/>
          <w:color w:val="000000"/>
          <w:sz w:val="24"/>
          <w:szCs w:val="24"/>
          <w:highlight w:val="none"/>
          <w:lang w:val="en-US" w:eastAsia="zh-CN"/>
        </w:rPr>
        <w:t xml:space="preserve">梁溪区</w:t>
      </w:r>
      <w:r>
        <w:rPr>
          <w:rFonts w:hint="eastAsia" w:ascii="宋体" w:hAnsi="宋体" w:cs="宋体"/>
          <w:color w:val="000000"/>
          <w:sz w:val="24"/>
          <w:szCs w:val="24"/>
        </w:rPr>
        <w:t xml:space="preserve">清名路380号</w:t>
      </w:r>
      <w:r>
        <w:rPr>
          <w:rFonts w:hint="eastAsia" w:ascii="宋体" w:hAnsi="宋体"/>
          <w:color w:val="000000"/>
          <w:sz w:val="24"/>
          <w:szCs w:val="24"/>
          <w:highlight w:val="none"/>
        </w:rPr>
      </w:r>
      <w:r/>
    </w:p>
    <w:p>
      <w:pPr>
        <w:pStyle w:val="706"/>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3.征集人联系人：</w:t>
      </w:r>
      <w:r>
        <w:rPr>
          <w:rFonts w:hint="eastAsia" w:ascii="宋体" w:hAnsi="宋体"/>
          <w:color w:val="000000"/>
          <w:sz w:val="24"/>
          <w:szCs w:val="24"/>
          <w:highlight w:val="none"/>
          <w:lang w:val="en-US" w:eastAsia="zh-CN"/>
        </w:rPr>
        <w:t xml:space="preserve">马歌源</w:t>
      </w:r>
      <w:r>
        <w:rPr>
          <w:rFonts w:hint="eastAsia" w:ascii="宋体" w:hAnsi="宋体" w:eastAsia="宋体"/>
          <w:color w:val="000000"/>
          <w:sz w:val="24"/>
          <w:szCs w:val="24"/>
          <w:highlight w:val="none"/>
          <w:lang w:val="en-US" w:eastAsia="zh-CN"/>
        </w:rPr>
      </w:r>
      <w:r/>
    </w:p>
    <w:p>
      <w:pPr>
        <w:pStyle w:val="706"/>
        <w:ind w:firstLine="480"/>
        <w:spacing w:line="5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4.征集人联系方式：0510-</w:t>
      </w:r>
      <w:r>
        <w:rPr>
          <w:rFonts w:hint="eastAsia" w:ascii="宋体" w:hAnsi="宋体"/>
          <w:color w:val="000000"/>
          <w:sz w:val="24"/>
          <w:szCs w:val="24"/>
          <w:highlight w:val="none"/>
          <w:lang w:val="en-US" w:eastAsia="zh-CN"/>
        </w:rPr>
        <w:t xml:space="preserve">85058802</w:t>
      </w:r>
      <w:r>
        <w:rPr>
          <w:rFonts w:ascii="宋体" w:hAnsi="宋体" w:eastAsia="宋体"/>
          <w:color w:val="000000"/>
          <w:sz w:val="24"/>
          <w:szCs w:val="24"/>
          <w:highlight w:val="none"/>
          <w:lang w:val="en-US" w:eastAsia="zh-CN"/>
        </w:rPr>
      </w:r>
      <w:r/>
    </w:p>
    <w:p>
      <w:pPr>
        <w:pStyle w:val="70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二、</w:t>
      </w:r>
      <w:bookmarkEnd w:id="6"/>
      <w:r/>
      <w:bookmarkEnd w:id="7"/>
      <w:r/>
      <w:bookmarkEnd w:id="8"/>
      <w:r/>
      <w:bookmarkEnd w:id="9"/>
      <w:r/>
      <w:bookmarkEnd w:id="10"/>
      <w:r>
        <w:rPr>
          <w:rFonts w:hint="eastAsia"/>
          <w:color w:val="000000"/>
          <w:sz w:val="30"/>
          <w:szCs w:val="30"/>
          <w:highlight w:val="none"/>
        </w:rPr>
        <w:t xml:space="preserve">采购项目信息</w:t>
      </w:r>
      <w:r>
        <w:rPr>
          <w:color w:val="000000"/>
          <w:sz w:val="30"/>
          <w:szCs w:val="30"/>
          <w:highlight w:val="none"/>
        </w:rPr>
      </w:r>
      <w:r/>
    </w:p>
    <w:p>
      <w:pPr>
        <w:pStyle w:val="706"/>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JSZC-320213-JZCG-K2026-0009</w:t>
      </w:r>
      <w:r>
        <w:rPr>
          <w:rFonts w:hint="eastAsia" w:ascii="宋体" w:hAnsi="宋体" w:eastAsia="宋体"/>
          <w:color w:val="000000"/>
          <w:sz w:val="24"/>
          <w:szCs w:val="24"/>
          <w:highlight w:val="none"/>
          <w:lang w:eastAsia="zh-CN"/>
        </w:rPr>
      </w:r>
      <w:r/>
    </w:p>
    <w:p>
      <w:pPr>
        <w:pStyle w:val="706"/>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2026-2027年度无锡市梁溪区物业管理服务框架协议采购</w:t>
      </w:r>
      <w:r>
        <w:rPr>
          <w:rFonts w:hint="eastAsia" w:ascii="宋体" w:hAnsi="宋体" w:eastAsia="宋体"/>
          <w:color w:val="000000"/>
          <w:sz w:val="24"/>
          <w:szCs w:val="24"/>
          <w:highlight w:val="none"/>
          <w:lang w:eastAsia="zh-CN"/>
        </w:rPr>
      </w:r>
      <w:r/>
    </w:p>
    <w:p>
      <w:pPr>
        <w:pStyle w:val="706"/>
        <w:ind w:firstLine="480"/>
        <w:spacing w:line="500" w:lineRule="exact"/>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3.采购方式：封闭式框架协议采购</w:t>
      </w:r>
      <w:r>
        <w:rPr>
          <w:rFonts w:hint="eastAsia" w:ascii="宋体" w:hAnsi="宋体"/>
          <w:color w:val="000000"/>
          <w:sz w:val="24"/>
          <w:szCs w:val="24"/>
          <w:highlight w:val="none"/>
        </w:rPr>
      </w:r>
      <w:r/>
    </w:p>
    <w:p>
      <w:pPr>
        <w:pStyle w:val="706"/>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4.适用框架协议的采购人或者服务对象范围：</w:t>
      </w:r>
      <w:r>
        <w:rPr>
          <w:rFonts w:ascii="宋体" w:hAnsi="宋体" w:cs="宋体"/>
          <w:color w:val="000000"/>
          <w:sz w:val="24"/>
          <w:szCs w:val="24"/>
          <w:highlight w:val="none"/>
        </w:rPr>
        <w:t xml:space="preserve">无锡市</w:t>
      </w:r>
      <w:r>
        <w:rPr>
          <w:rFonts w:hint="eastAsia" w:ascii="宋体" w:hAnsi="宋体"/>
          <w:color w:val="000000"/>
          <w:sz w:val="24"/>
          <w:szCs w:val="24"/>
          <w:highlight w:val="white"/>
          <w:lang w:eastAsia="zh-CN"/>
        </w:rPr>
        <w:t xml:space="preserve">梁溪区</w:t>
      </w:r>
      <w:r>
        <w:rPr>
          <w:rFonts w:ascii="宋体" w:hAnsi="宋体" w:cs="宋体"/>
          <w:color w:val="000000"/>
          <w:sz w:val="24"/>
          <w:szCs w:val="24"/>
          <w:highlight w:val="none"/>
        </w:rPr>
        <w:t xml:space="preserve">国家机关、全额拨款事业单位和团体组织，其他差额拨款、自收自支事业单位可参照框架协议结果执行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0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5.最高限制单价：详见征集文件</w:t>
      </w:r>
      <w:r>
        <w:rPr>
          <w:rFonts w:hint="eastAsia" w:ascii="宋体" w:hAnsi="宋体" w:cs="宋体"/>
          <w:color w:val="000000"/>
          <w:sz w:val="24"/>
          <w:szCs w:val="24"/>
          <w:highlight w:val="none"/>
        </w:rPr>
        <w:t xml:space="preserve">第四章《采购需求》</w:t>
      </w:r>
      <w:r>
        <w:rPr>
          <w:rFonts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详见征集文件第四章《采购需求》</w:t>
      </w:r>
      <w:r>
        <w:rPr>
          <w:rFonts w:hint="eastAsia" w:ascii="宋体" w:hAnsi="宋体"/>
          <w:color w:val="000000"/>
          <w:sz w:val="24"/>
          <w:szCs w:val="24"/>
          <w:highlight w:val="none"/>
        </w:rPr>
      </w:r>
      <w:r/>
    </w:p>
    <w:p>
      <w:pPr>
        <w:pStyle w:val="70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7.本项目不接受联合体参与本次框架协议采购活动。</w:t>
      </w:r>
      <w:r>
        <w:rPr>
          <w:rFonts w:ascii="宋体" w:hAnsi="宋体" w:cs="宋体"/>
          <w:color w:val="000000"/>
          <w:sz w:val="24"/>
          <w:szCs w:val="24"/>
          <w:highlight w:val="none"/>
        </w:rPr>
      </w:r>
      <w:r/>
    </w:p>
    <w:p>
      <w:pPr>
        <w:pStyle w:val="709"/>
        <w:ind w:firstLine="452"/>
        <w:keepLines w:val="0"/>
        <w:keepNext w:val="0"/>
        <w:spacing w:before="0" w:after="0" w:line="500" w:lineRule="exact"/>
        <w:rPr>
          <w:color w:val="000000"/>
          <w:sz w:val="30"/>
          <w:szCs w:val="30"/>
          <w:highlight w:val="none"/>
        </w:rPr>
      </w:pPr>
      <w:r/>
      <w:bookmarkStart w:id="12" w:name="_Toc35393622"/>
      <w:r/>
      <w:bookmarkStart w:id="13" w:name="_Toc28359003"/>
      <w:r/>
      <w:bookmarkStart w:id="14" w:name="_Toc35393791"/>
      <w:r/>
      <w:bookmarkStart w:id="15" w:name="_Toc28359080"/>
      <w:r/>
      <w:bookmarkStart w:id="16" w:name="_Toc38985264"/>
      <w:r>
        <w:rPr>
          <w:rFonts w:hint="eastAsia"/>
          <w:color w:val="000000"/>
          <w:sz w:val="30"/>
          <w:szCs w:val="30"/>
          <w:highlight w:val="none"/>
        </w:rPr>
        <w:t xml:space="preserve">三、供应商的资格条件</w:t>
      </w:r>
      <w:bookmarkEnd w:id="12"/>
      <w:r/>
      <w:bookmarkEnd w:id="13"/>
      <w:r/>
      <w:bookmarkEnd w:id="14"/>
      <w:r/>
      <w:bookmarkEnd w:id="15"/>
      <w:r/>
      <w:bookmarkEnd w:id="16"/>
      <w:r>
        <w:rPr>
          <w:color w:val="000000"/>
          <w:sz w:val="30"/>
          <w:szCs w:val="30"/>
          <w:highlight w:val="none"/>
        </w:rPr>
      </w:r>
      <w:r/>
    </w:p>
    <w:p>
      <w:pPr>
        <w:pStyle w:val="706"/>
        <w:ind w:firstLine="480"/>
        <w:spacing w:line="500" w:lineRule="exact"/>
        <w:rPr>
          <w:rFonts w:ascii="宋体" w:hAnsi="宋体"/>
          <w:color w:val="000000"/>
          <w:sz w:val="24"/>
          <w:szCs w:val="24"/>
          <w:highlight w:val="none"/>
        </w:rPr>
      </w:pPr>
      <w:r/>
      <w:bookmarkStart w:id="17" w:name="_Toc38985265"/>
      <w:r/>
      <w:bookmarkStart w:id="18" w:name="_Toc28359081"/>
      <w:r/>
      <w:bookmarkStart w:id="19" w:name="_Toc35393792"/>
      <w:r/>
      <w:bookmarkStart w:id="20" w:name="_Toc28359004"/>
      <w:r/>
      <w:bookmarkStart w:id="21" w:name="_Toc35393623"/>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2.1中小企业政策：无</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706"/>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709"/>
        <w:ind w:firstLine="452"/>
        <w:keepLines w:val="0"/>
        <w:keepNext w:val="0"/>
        <w:spacing w:before="0" w:after="0" w:line="500" w:lineRule="exact"/>
        <w:rPr>
          <w:rFonts w:hint="eastAsia"/>
          <w:color w:val="000000"/>
          <w:sz w:val="30"/>
          <w:szCs w:val="30"/>
          <w:highlight w:val="none"/>
        </w:rPr>
      </w:pPr>
      <w:r>
        <w:rPr>
          <w:rFonts w:hint="eastAsia"/>
          <w:color w:val="000000"/>
          <w:sz w:val="30"/>
          <w:szCs w:val="30"/>
          <w:highlight w:val="none"/>
        </w:rPr>
        <w:t xml:space="preserve">四、框架协议的期限</w:t>
      </w:r>
      <w:r>
        <w:rPr>
          <w:rFonts w:hint="eastAsia"/>
          <w:color w:val="000000"/>
          <w:sz w:val="30"/>
          <w:szCs w:val="30"/>
          <w:highlight w:val="none"/>
        </w:rPr>
      </w:r>
      <w:r/>
    </w:p>
    <w:p>
      <w:pPr>
        <w:pStyle w:val="706"/>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从框架协议签订生效之日起</w:t>
      </w:r>
      <w:r>
        <w:rPr>
          <w:rFonts w:hint="eastAsia" w:ascii="宋体" w:hAnsi="宋体"/>
          <w:color w:val="000000"/>
          <w:sz w:val="24"/>
          <w:szCs w:val="24"/>
          <w:highlight w:val="none"/>
        </w:rPr>
        <w:t xml:space="preserve">至2027年12月31日（本项目框架协议的期限暂定为2年，若省厅另有统一征集的，按省厅征集要求及结果执行）</w:t>
      </w:r>
      <w:r>
        <w:rPr>
          <w:rFonts w:hint="eastAsia" w:ascii="宋体" w:hAnsi="宋体"/>
          <w:color w:val="000000"/>
          <w:sz w:val="24"/>
          <w:szCs w:val="24"/>
          <w:highlight w:val="none"/>
        </w:rPr>
      </w:r>
      <w:r/>
    </w:p>
    <w:p>
      <w:pPr>
        <w:pStyle w:val="709"/>
        <w:ind w:firstLine="452"/>
        <w:keepLines w:val="0"/>
        <w:keepNext w:val="0"/>
        <w:spacing w:before="0" w:after="0" w:line="500" w:lineRule="exact"/>
        <w:rPr>
          <w:rFonts w:hint="eastAsia"/>
          <w:color w:val="000000"/>
          <w:sz w:val="30"/>
          <w:szCs w:val="30"/>
          <w:highlight w:val="none"/>
        </w:rPr>
      </w:pPr>
      <w:r>
        <w:rPr>
          <w:rFonts w:hint="eastAsia"/>
          <w:color w:val="000000"/>
          <w:sz w:val="30"/>
          <w:szCs w:val="30"/>
          <w:highlight w:val="none"/>
        </w:rPr>
        <w:t xml:space="preserve">五、获取征集文件的时间、地点和方式</w:t>
      </w:r>
      <w:r>
        <w:rPr>
          <w:rFonts w:hint="eastAsia"/>
          <w:color w:val="000000"/>
          <w:sz w:val="30"/>
          <w:szCs w:val="30"/>
          <w:highlight w:val="none"/>
        </w:rPr>
      </w:r>
      <w:r/>
    </w:p>
    <w:p>
      <w:pPr>
        <w:pStyle w:val="706"/>
        <w:ind w:firstLine="480"/>
        <w:spacing w:line="5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时间：</w:t>
      </w:r>
      <w:r>
        <w:rPr>
          <w:rFonts w:ascii="宋体" w:hAnsi="宋体"/>
          <w:color w:val="000000"/>
          <w:sz w:val="24"/>
          <w:szCs w:val="24"/>
          <w:highlight w:val="none"/>
        </w:rPr>
        <w:t xml:space="preserve">自征集公告发布之日起至响应文件提交截止时间止</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地点：“江苏省政府采购（苏采云）平台”。</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方式：供应商应在“江苏政府采购网”自行浏览征集文件，如有参加意向须在本征集文件有效获取期内通过登录</w:t>
      </w:r>
      <w:r>
        <w:rPr>
          <w:rFonts w:ascii="宋体" w:hAnsi="宋体"/>
          <w:color w:val="000000"/>
          <w:sz w:val="24"/>
          <w:szCs w:val="24"/>
          <w:highlight w:val="none"/>
        </w:rPr>
        <w:t xml:space="preserve">“江苏省政府采购（苏采云）平台”（http://jszfcg.jscz.gov.cn/jszc/login）</w:t>
      </w:r>
      <w:r>
        <w:rPr>
          <w:rFonts w:hint="eastAsia" w:ascii="宋体" w:hAnsi="宋体"/>
          <w:color w:val="000000"/>
          <w:sz w:val="24"/>
          <w:szCs w:val="24"/>
          <w:highlight w:val="none"/>
        </w:rPr>
        <w:t xml:space="preserve">下载的方式依法获取征集文件（“项目参与”——“框架项目参与”——“封闭框架参与”找到需要获取征集文件的项目，点击“我要参与”——“参与投标”——“下载文件”）。在征集文件有效获取期限内，从“江苏省政府采购（苏采云）平台”获取的征集文件，视为依法获取的征集文件。本项目征集文件免费。</w:t>
      </w:r>
      <w:r>
        <w:rPr>
          <w:rFonts w:hint="eastAsia" w:ascii="宋体" w:hAnsi="宋体"/>
          <w:color w:val="000000"/>
          <w:sz w:val="24"/>
          <w:szCs w:val="24"/>
          <w:highlight w:val="none"/>
        </w:rPr>
      </w:r>
      <w:r/>
    </w:p>
    <w:p>
      <w:pPr>
        <w:pStyle w:val="709"/>
        <w:ind w:firstLine="452"/>
        <w:keepLines w:val="0"/>
        <w:keepNext w:val="0"/>
        <w:spacing w:before="0" w:after="0" w:line="500" w:lineRule="exact"/>
        <w:rPr>
          <w:rFonts w:hint="eastAsia"/>
          <w:color w:val="000000"/>
          <w:sz w:val="30"/>
          <w:szCs w:val="30"/>
          <w:highlight w:val="none"/>
        </w:rPr>
      </w:pPr>
      <w:r>
        <w:rPr>
          <w:color w:val="000000"/>
          <w:sz w:val="30"/>
          <w:szCs w:val="30"/>
          <w:highlight w:val="none"/>
        </w:rPr>
        <w:t xml:space="preserve">六、响应文件的提交方式、提交截止时间和地点，开启方式、时间和地点</w:t>
      </w:r>
      <w:r>
        <w:rPr>
          <w:rFonts w:hint="eastAsia"/>
          <w:color w:val="000000"/>
          <w:sz w:val="30"/>
          <w:szCs w:val="30"/>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响应文件的提交截止时间及开启时间：202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月19</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（北京时间），提交时间截止后同时开启。截止时间后上传的任何响应文件恕不接受。</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响应文件的提交方式和地点：供应商通过“江苏省政府采购（苏采云）平台”提交数据电文形式（电子形式）的响应文件。</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响应文件的开启方式和地点：供应商通过“江苏省政府采购（苏采云）平台”进入 “开标大厅”开启（解密）响应文件。</w:t>
      </w:r>
      <w:r>
        <w:rPr>
          <w:rFonts w:hint="eastAsia" w:ascii="宋体" w:hAnsi="宋体"/>
          <w:color w:val="000000"/>
          <w:sz w:val="24"/>
          <w:szCs w:val="24"/>
          <w:highlight w:val="none"/>
        </w:rPr>
      </w:r>
      <w:r/>
    </w:p>
    <w:p>
      <w:pPr>
        <w:pStyle w:val="709"/>
        <w:ind w:firstLine="452"/>
        <w:keepLines w:val="0"/>
        <w:keepNext w:val="0"/>
        <w:spacing w:before="0" w:after="0" w:line="500" w:lineRule="exact"/>
        <w:rPr>
          <w:color w:val="000000"/>
          <w:sz w:val="30"/>
          <w:szCs w:val="30"/>
          <w:highlight w:val="none"/>
        </w:rPr>
      </w:pPr>
      <w:r/>
      <w:bookmarkEnd w:id="17"/>
      <w:r/>
      <w:bookmarkEnd w:id="18"/>
      <w:r/>
      <w:bookmarkEnd w:id="19"/>
      <w:r/>
      <w:bookmarkEnd w:id="20"/>
      <w:r/>
      <w:bookmarkEnd w:id="21"/>
      <w:r/>
      <w:bookmarkStart w:id="22" w:name="_Toc35393625"/>
      <w:r/>
      <w:bookmarkStart w:id="23" w:name="_Toc35393794"/>
      <w:r/>
      <w:bookmarkStart w:id="24" w:name="_Toc38985267"/>
      <w:r/>
      <w:bookmarkStart w:id="25" w:name="_Toc28359007"/>
      <w:r/>
      <w:bookmarkStart w:id="26" w:name="_Toc28359084"/>
      <w:r>
        <w:rPr>
          <w:rFonts w:hint="eastAsia"/>
          <w:color w:val="000000"/>
          <w:sz w:val="30"/>
          <w:szCs w:val="30"/>
          <w:highlight w:val="none"/>
        </w:rPr>
        <w:t xml:space="preserve">七、公告期限</w:t>
      </w:r>
      <w:bookmarkEnd w:id="22"/>
      <w:r/>
      <w:bookmarkEnd w:id="23"/>
      <w:r/>
      <w:bookmarkEnd w:id="24"/>
      <w:r/>
      <w:bookmarkEnd w:id="25"/>
      <w:r/>
      <w:bookmarkEnd w:id="26"/>
      <w:r>
        <w:rPr>
          <w:color w:val="000000"/>
          <w:sz w:val="30"/>
          <w:szCs w:val="30"/>
          <w:highlight w:val="none"/>
        </w:rPr>
      </w:r>
      <w:r/>
    </w:p>
    <w:p>
      <w:pPr>
        <w:pStyle w:val="706"/>
        <w:ind w:firstLine="480"/>
        <w:spacing w:line="500" w:lineRule="exact"/>
        <w:rPr>
          <w:rFonts w:ascii="宋体" w:hAnsi="宋体" w:cs="宋体"/>
          <w:color w:val="000000"/>
          <w:sz w:val="24"/>
          <w:szCs w:val="24"/>
          <w:highlight w:val="none"/>
        </w:rPr>
      </w:pPr>
      <w:r/>
      <w:bookmarkStart w:id="27" w:name="_Toc35393795"/>
      <w:r/>
      <w:bookmarkStart w:id="28" w:name="_Toc38985268"/>
      <w:r/>
      <w:bookmarkStart w:id="29" w:name="_Toc35393626"/>
      <w:r>
        <w:rPr>
          <w:rFonts w:hint="eastAsia" w:ascii="宋体" w:hAnsi="宋体" w:cs="宋体"/>
          <w:color w:val="000000"/>
          <w:sz w:val="24"/>
          <w:szCs w:val="24"/>
          <w:highlight w:val="none"/>
        </w:rPr>
        <w:t xml:space="preserve">征集公告及征集文件公告期限为自本公告发布之日起5个工作日。</w:t>
      </w:r>
      <w:r>
        <w:rPr>
          <w:rFonts w:ascii="宋体" w:hAnsi="宋体" w:cs="宋体"/>
          <w:color w:val="000000"/>
          <w:sz w:val="24"/>
          <w:szCs w:val="24"/>
          <w:highlight w:val="none"/>
        </w:rPr>
      </w:r>
      <w:r/>
    </w:p>
    <w:p>
      <w:pPr>
        <w:pStyle w:val="709"/>
        <w:ind w:firstLine="452"/>
        <w:keepLines w:val="0"/>
        <w:keepNext w:val="0"/>
        <w:spacing w:before="0" w:after="0" w:line="500" w:lineRule="exact"/>
        <w:rPr>
          <w:color w:val="000000"/>
          <w:sz w:val="30"/>
          <w:szCs w:val="30"/>
          <w:highlight w:val="none"/>
        </w:rPr>
      </w:pPr>
      <w:r/>
      <w:bookmarkEnd w:id="27"/>
      <w:r/>
      <w:bookmarkEnd w:id="28"/>
      <w:r/>
      <w:bookmarkEnd w:id="29"/>
      <w:r>
        <w:rPr>
          <w:rFonts w:hint="eastAsia"/>
          <w:color w:val="000000"/>
          <w:sz w:val="30"/>
          <w:szCs w:val="30"/>
          <w:highlight w:val="none"/>
        </w:rPr>
        <w:t xml:space="preserve">八、省级以上财政部门规定的其他事项</w:t>
      </w:r>
      <w:r>
        <w:rPr>
          <w:color w:val="000000"/>
          <w:sz w:val="30"/>
          <w:szCs w:val="30"/>
          <w:highlight w:val="none"/>
        </w:rPr>
      </w:r>
      <w:r/>
    </w:p>
    <w:p>
      <w:pPr>
        <w:pStyle w:val="70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70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九、其他</w:t>
      </w:r>
      <w:r>
        <w:rPr>
          <w:color w:val="000000"/>
          <w:sz w:val="30"/>
          <w:szCs w:val="30"/>
          <w:highlight w:val="none"/>
        </w:rPr>
      </w:r>
      <w:r/>
    </w:p>
    <w:p>
      <w:pPr>
        <w:pStyle w:val="706"/>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号12号楼一楼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706"/>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（二）完成项目参与，获取征集文件</w:t>
      </w:r>
      <w:r>
        <w:rPr>
          <w:rFonts w:ascii="宋体" w:hAnsi="宋体" w:cs="宋体"/>
          <w:color w:val="000000"/>
          <w:sz w:val="24"/>
          <w:szCs w:val="24"/>
          <w:highlight w:val="none"/>
        </w:rPr>
      </w:r>
      <w:r/>
    </w:p>
    <w:p>
      <w:pPr>
        <w:pStyle w:val="706"/>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公告附件中查看征集文件，如确定参加本次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color w:val="000000"/>
          <w:sz w:val="24"/>
          <w:szCs w:val="24"/>
          <w:highlight w:val="none"/>
        </w:rPr>
        <w:t xml:space="preserve">征集</w:t>
      </w:r>
      <w:r>
        <w:rPr>
          <w:rFonts w:hint="eastAsia" w:ascii="宋体" w:hAnsi="宋体"/>
          <w:bCs/>
          <w:color w:val="000000"/>
          <w:sz w:val="24"/>
          <w:szCs w:val="24"/>
          <w:highlight w:val="none"/>
        </w:rPr>
        <w:t xml:space="preserve">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w:t>
      </w:r>
      <w:r>
        <w:rPr>
          <w:rFonts w:hint="eastAsia" w:ascii="宋体" w:hAnsi="宋体"/>
          <w:color w:val="000000"/>
          <w:sz w:val="24"/>
          <w:szCs w:val="24"/>
          <w:highlight w:val="none"/>
        </w:rPr>
        <w:t xml:space="preserve">（“项目参与”——“框架项目参与”——“封闭框架参与”找到需要获取征集文件的项目，点击“我要参与”——“参与投标”——“下载文件”）</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文件无效。</w:t>
      </w:r>
      <w:r>
        <w:rPr>
          <w:rFonts w:hint="eastAsia" w:ascii="宋体" w:hAnsi="宋体"/>
          <w:color w:val="000000"/>
          <w:sz w:val="24"/>
          <w:szCs w:val="24"/>
          <w:highlight w:val="none"/>
        </w:rPr>
      </w:r>
      <w:r/>
    </w:p>
    <w:p>
      <w:pPr>
        <w:pStyle w:val="70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注</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因</w:t>
      </w:r>
      <w:r>
        <w:rPr>
          <w:rFonts w:hint="eastAsia" w:ascii="宋体" w:hAnsi="宋体"/>
          <w:bCs/>
          <w:color w:val="000000"/>
          <w:sz w:val="24"/>
          <w:szCs w:val="24"/>
          <w:highlight w:val="none"/>
        </w:rPr>
        <w:t xml:space="preserve">“苏采云”系统原因，系统中如有针对本项目所称投标文件即指响应文件。</w:t>
      </w:r>
      <w:r>
        <w:rPr>
          <w:rFonts w:ascii="宋体" w:hAnsi="宋体"/>
          <w:color w:val="000000"/>
          <w:sz w:val="24"/>
          <w:szCs w:val="24"/>
          <w:highlight w:val="none"/>
        </w:rPr>
      </w:r>
      <w:r/>
    </w:p>
    <w:p>
      <w:pPr>
        <w:pStyle w:val="706"/>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（三）有关本次采购的事项若存在变动或修改，敬请及时关注“江苏政府采购网”发布的更正公告。</w:t>
      </w:r>
      <w:r>
        <w:rPr>
          <w:rFonts w:hint="eastAsia" w:ascii="宋体" w:hAnsi="宋体"/>
          <w:bCs/>
          <w:color w:val="000000"/>
          <w:sz w:val="24"/>
          <w:szCs w:val="24"/>
          <w:highlight w:val="none"/>
        </w:rPr>
      </w:r>
      <w:r/>
    </w:p>
    <w:p>
      <w:pPr>
        <w:pStyle w:val="706"/>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（四）本次采购不收取征集活动保证金。</w:t>
      </w:r>
      <w:r>
        <w:rPr>
          <w:rFonts w:hint="eastAsia" w:ascii="宋体" w:hAnsi="宋体"/>
          <w:bCs/>
          <w:color w:val="000000"/>
          <w:sz w:val="24"/>
          <w:szCs w:val="24"/>
          <w:highlight w:val="none"/>
        </w:rPr>
      </w:r>
      <w:r/>
    </w:p>
    <w:p>
      <w:pPr>
        <w:pStyle w:val="706"/>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706"/>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shd w:val="clear" w:color="ffffff" w:fill="d9d9d9"/>
        </w:rPr>
      </w:r>
      <w:r/>
    </w:p>
    <w:p>
      <w:pPr>
        <w:pStyle w:val="706"/>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3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30"/>
      <w:r/>
      <w:bookmarkStart w:id="31" w:name="_Toc120614213"/>
      <w:r/>
      <w:bookmarkStart w:id="32" w:name="_Toc513029202"/>
      <w:r/>
      <w:bookmarkStart w:id="33" w:name="_Toc20823274"/>
      <w:r/>
      <w:bookmarkStart w:id="34" w:name="_Toc16938518"/>
      <w:r>
        <w:rPr>
          <w:rFonts w:hint="eastAsia" w:ascii="黑体" w:hAnsi="黑体" w:eastAsia="黑体"/>
          <w:color w:val="000000"/>
          <w:sz w:val="36"/>
          <w:szCs w:val="36"/>
          <w:highlight w:val="none"/>
        </w:rPr>
        <w:t xml:space="preserve">供应商须知</w:t>
      </w:r>
      <w:bookmarkEnd w:id="31"/>
      <w:r/>
      <w:bookmarkEnd w:id="32"/>
      <w:r/>
      <w:bookmarkEnd w:id="33"/>
      <w:r/>
      <w:bookmarkEnd w:id="34"/>
      <w:r>
        <w:rPr>
          <w:rFonts w:hint="eastAsia" w:ascii="黑体" w:hAnsi="黑体" w:eastAsia="黑体"/>
          <w:color w:val="000000"/>
          <w:sz w:val="36"/>
          <w:szCs w:val="36"/>
          <w:highlight w:val="none"/>
        </w:rPr>
      </w:r>
      <w:r/>
    </w:p>
    <w:p>
      <w:pPr>
        <w:pStyle w:val="709"/>
        <w:ind w:firstLine="452"/>
        <w:keepLines w:val="0"/>
        <w:keepNext w:val="0"/>
        <w:spacing w:before="0" w:after="0" w:line="500" w:lineRule="exact"/>
        <w:rPr>
          <w:rFonts w:hint="eastAsia"/>
          <w:color w:val="000000"/>
          <w:sz w:val="30"/>
          <w:szCs w:val="30"/>
          <w:highlight w:val="none"/>
        </w:rPr>
      </w:pPr>
      <w:r/>
      <w:bookmarkStart w:id="35" w:name="_Toc20823275"/>
      <w:r/>
      <w:bookmarkStart w:id="36" w:name="_Toc16938519"/>
      <w:r/>
      <w:bookmarkStart w:id="37" w:name="_Toc513029203"/>
      <w:r/>
      <w:bookmarkStart w:id="38" w:name="_Toc120614214"/>
      <w:r>
        <w:rPr>
          <w:rFonts w:hint="eastAsia"/>
          <w:color w:val="000000"/>
          <w:sz w:val="30"/>
          <w:szCs w:val="30"/>
          <w:highlight w:val="none"/>
        </w:rPr>
        <w:t xml:space="preserve">一、总则</w:t>
      </w:r>
      <w:bookmarkEnd w:id="35"/>
      <w:r/>
      <w:bookmarkEnd w:id="36"/>
      <w:r/>
      <w:bookmarkEnd w:id="37"/>
      <w:r/>
      <w:bookmarkEnd w:id="38"/>
      <w:r>
        <w:rPr>
          <w:rFonts w:hint="eastAsia"/>
          <w:color w:val="000000"/>
          <w:sz w:val="30"/>
          <w:szCs w:val="30"/>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39" w:name="_Hlt16619475"/>
      <w:r/>
      <w:bookmarkEnd w:id="39"/>
      <w:r/>
      <w:bookmarkStart w:id="40" w:name="_Toc16938520"/>
      <w:r/>
      <w:bookmarkStart w:id="41" w:name="_Toc20823276"/>
      <w:r/>
      <w:bookmarkStart w:id="42" w:name="_Toc513029204"/>
      <w:r>
        <w:rPr>
          <w:rFonts w:hint="eastAsia" w:ascii="宋体" w:hAnsi="宋体" w:eastAsia="宋体"/>
          <w:bCs w:val="0"/>
          <w:color w:val="000000"/>
          <w:highlight w:val="none"/>
        </w:rPr>
        <w:t xml:space="preserve">1.采购方式</w:t>
      </w:r>
      <w:bookmarkEnd w:id="40"/>
      <w:r/>
      <w:bookmarkEnd w:id="41"/>
      <w:r/>
      <w:bookmarkEnd w:id="42"/>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1.1本次政府采购活动采取封闭式框架协议采购方式，本征集文件仅适用于征集公告中所述项目。</w:t>
      </w:r>
      <w:r>
        <w:rPr>
          <w:rFonts w:hint="eastAsia" w:ascii="宋体" w:hAnsi="宋体"/>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43" w:name="_Toc513029205"/>
      <w:r/>
      <w:bookmarkStart w:id="44" w:name="_Toc16938521"/>
      <w:r/>
      <w:bookmarkStart w:id="45" w:name="_Toc20823277"/>
      <w:r>
        <w:rPr>
          <w:rFonts w:hint="eastAsia" w:ascii="宋体" w:hAnsi="宋体" w:eastAsia="宋体"/>
          <w:bCs w:val="0"/>
          <w:color w:val="000000"/>
          <w:highlight w:val="none"/>
        </w:rPr>
        <w:t xml:space="preserve">2.</w:t>
      </w:r>
      <w:bookmarkEnd w:id="43"/>
      <w:r/>
      <w:bookmarkEnd w:id="44"/>
      <w:r/>
      <w:bookmarkEnd w:id="45"/>
      <w:r>
        <w:rPr>
          <w:rFonts w:hint="eastAsia" w:ascii="宋体" w:hAnsi="宋体" w:eastAsia="宋体"/>
          <w:bCs w:val="0"/>
          <w:color w:val="000000"/>
          <w:highlight w:val="none"/>
        </w:rPr>
        <w:t xml:space="preserve">征集人、供应商、联合体</w:t>
      </w:r>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2.1征集人：负责征集程序和订立框架协议的集中采购机构或者主管预算单位。本项目征集人及其相关信息详见第一章《参加征集活动的邀请》。</w:t>
      </w:r>
      <w:r>
        <w:rPr>
          <w:rFonts w:hint="eastAsia" w:ascii="宋体" w:hAnsi="宋体"/>
          <w:color w:val="000000"/>
          <w:sz w:val="24"/>
          <w:szCs w:val="24"/>
          <w:highlight w:val="none"/>
        </w:rPr>
      </w:r>
      <w:r/>
    </w:p>
    <w:p>
      <w:pPr>
        <w:pStyle w:val="70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2.2供应商：是指响应及参加征集活动的法人、其他组织或者自然人。合格的供应商应满足征集公告中供应商的资格要求以及本文件实质性要求和条件的规定。</w:t>
      </w:r>
      <w:r>
        <w:rPr>
          <w:rFonts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协议项下的政府采购活动。若联合体中任一成员单位中途退出，则该联合体的响应无效。</w:t>
      </w:r>
      <w:r>
        <w:rPr>
          <w:rFonts w:hint="eastAsia" w:ascii="宋体" w:hAnsi="宋体"/>
          <w:color w:val="000000"/>
          <w:sz w:val="24"/>
          <w:szCs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46" w:name="_Toc513029206"/>
      <w:r/>
      <w:bookmarkStart w:id="47" w:name="_Toc16938522"/>
      <w:r/>
      <w:bookmarkStart w:id="48" w:name="_Toc20823278"/>
      <w:r>
        <w:rPr>
          <w:rFonts w:hint="eastAsia" w:ascii="宋体" w:hAnsi="宋体" w:eastAsia="宋体"/>
          <w:bCs w:val="0"/>
          <w:color w:val="000000"/>
          <w:highlight w:val="none"/>
        </w:rPr>
        <w:t xml:space="preserve">3.适用法律</w:t>
      </w:r>
      <w:bookmarkEnd w:id="46"/>
      <w:r/>
      <w:bookmarkEnd w:id="47"/>
      <w:r/>
      <w:bookmarkEnd w:id="48"/>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3.1本次征集活动及由此产生的</w:t>
      </w:r>
      <w:r>
        <w:rPr>
          <w:rFonts w:hint="eastAsia" w:ascii="宋体" w:hAnsi="宋体"/>
          <w:color w:val="000000"/>
          <w:sz w:val="24"/>
          <w:szCs w:val="24"/>
          <w:highlight w:val="none"/>
        </w:rPr>
        <w:t xml:space="preserve">协议</w:t>
      </w:r>
      <w:r>
        <w:rPr>
          <w:rFonts w:hint="eastAsia" w:ascii="宋体" w:hAnsi="宋体"/>
          <w:color w:val="000000"/>
          <w:sz w:val="24"/>
          <w:highlight w:val="none"/>
        </w:rPr>
        <w:t xml:space="preserve">受中华人民共和国法律的制约和保护。</w:t>
      </w:r>
      <w:r>
        <w:rPr>
          <w:rFonts w:hint="eastAsia" w:ascii="宋体" w:hAnsi="宋体"/>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49" w:name="_Toc20823279"/>
      <w:r/>
      <w:bookmarkStart w:id="50" w:name="_Toc462564067"/>
      <w:r/>
      <w:bookmarkStart w:id="51" w:name="_Toc16938523"/>
      <w:r/>
      <w:bookmarkStart w:id="52" w:name="_Toc513029207"/>
      <w:r>
        <w:rPr>
          <w:rFonts w:hint="eastAsia" w:ascii="宋体" w:hAnsi="宋体" w:eastAsia="宋体"/>
          <w:bCs w:val="0"/>
          <w:color w:val="000000"/>
          <w:highlight w:val="none"/>
        </w:rPr>
        <w:t xml:space="preserve">4.征集活动费用</w:t>
      </w:r>
      <w:bookmarkEnd w:id="49"/>
      <w:r/>
      <w:bookmarkEnd w:id="50"/>
      <w:r/>
      <w:bookmarkEnd w:id="51"/>
      <w:r/>
      <w:bookmarkEnd w:id="52"/>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供应商应自行承担所有与参加本次征集活动有关的费用，无论征集过程中的做法和结果如何，征集人或</w:t>
      </w:r>
      <w:r>
        <w:rPr>
          <w:rFonts w:hint="eastAsia" w:ascii="宋体" w:hAnsi="宋体"/>
          <w:color w:val="000000"/>
          <w:sz w:val="24"/>
          <w:highlight w:val="none"/>
          <w:lang w:eastAsia="zh-CN"/>
        </w:rPr>
        <w:t xml:space="preserve">无锡市公共资源交易中心梁溪分中心</w:t>
      </w:r>
      <w:r>
        <w:rPr>
          <w:rFonts w:hint="eastAsia" w:ascii="宋体" w:hAnsi="宋体"/>
          <w:color w:val="000000"/>
          <w:sz w:val="24"/>
          <w:highlight w:val="none"/>
        </w:rPr>
        <w:t xml:space="preserve">（以下简称交易中心）在任何情况下均无义务和责任承担这些费用。</w:t>
      </w:r>
      <w:r>
        <w:rPr>
          <w:rFonts w:hint="eastAsia" w:ascii="宋体" w:hAnsi="宋体"/>
          <w:color w:val="000000"/>
          <w:sz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4.2本次征集文件工本费、入围服务费、采购代理机构代理费用的收取标准和方式均免费。</w:t>
      </w:r>
      <w:r>
        <w:rPr>
          <w:rFonts w:hint="eastAsia" w:ascii="宋体" w:hAnsi="宋体"/>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5.征集文件的约束力</w:t>
      </w:r>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供应商一旦参加本项目征集活动，即被认为接受了本征集文件的规定和约束。</w:t>
      </w:r>
      <w:r>
        <w:rPr>
          <w:rFonts w:hint="eastAsia" w:ascii="宋体" w:hAnsi="宋体"/>
          <w:color w:val="000000"/>
          <w:sz w:val="24"/>
          <w:szCs w:val="24"/>
          <w:highlight w:val="none"/>
        </w:rPr>
      </w:r>
      <w:r/>
    </w:p>
    <w:p>
      <w:pPr>
        <w:pStyle w:val="709"/>
        <w:ind w:firstLine="452"/>
        <w:keepLines w:val="0"/>
        <w:keepNext w:val="0"/>
        <w:spacing w:before="0" w:after="0" w:line="500" w:lineRule="exact"/>
        <w:rPr>
          <w:rFonts w:hint="eastAsia"/>
          <w:color w:val="000000"/>
          <w:sz w:val="30"/>
          <w:szCs w:val="30"/>
          <w:highlight w:val="none"/>
        </w:rPr>
      </w:pPr>
      <w:r/>
      <w:bookmarkStart w:id="53" w:name="_Toc20823281"/>
      <w:r/>
      <w:bookmarkStart w:id="54" w:name="_Toc16938525"/>
      <w:r/>
      <w:bookmarkStart w:id="55" w:name="_Toc120614215"/>
      <w:r/>
      <w:bookmarkStart w:id="56" w:name="_Toc513029209"/>
      <w:r>
        <w:rPr>
          <w:rFonts w:hint="eastAsia"/>
          <w:color w:val="000000"/>
          <w:sz w:val="30"/>
          <w:szCs w:val="30"/>
          <w:highlight w:val="none"/>
        </w:rPr>
        <w:t xml:space="preserve">二、征集文件</w:t>
      </w:r>
      <w:bookmarkEnd w:id="53"/>
      <w:r/>
      <w:bookmarkEnd w:id="54"/>
      <w:r/>
      <w:bookmarkEnd w:id="55"/>
      <w:r/>
      <w:bookmarkEnd w:id="56"/>
      <w:r>
        <w:rPr>
          <w:rFonts w:hint="eastAsia"/>
          <w:color w:val="000000"/>
          <w:sz w:val="30"/>
          <w:szCs w:val="30"/>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57" w:name="_Toc16938526"/>
      <w:r/>
      <w:bookmarkStart w:id="58" w:name="_Toc513029210"/>
      <w:r/>
      <w:bookmarkStart w:id="59" w:name="_Toc20823282"/>
      <w:r>
        <w:rPr>
          <w:rFonts w:hint="eastAsia" w:ascii="宋体" w:hAnsi="宋体" w:eastAsia="宋体"/>
          <w:bCs w:val="0"/>
          <w:color w:val="000000"/>
          <w:highlight w:val="none"/>
        </w:rPr>
        <w:t xml:space="preserve">6.征集文件构成</w:t>
      </w:r>
      <w:bookmarkEnd w:id="57"/>
      <w:r/>
      <w:bookmarkEnd w:id="58"/>
      <w:r/>
      <w:bookmarkEnd w:id="59"/>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征集文件由以下部分组成：</w:t>
      </w:r>
      <w:r>
        <w:rPr>
          <w:rFonts w:hint="eastAsia" w:ascii="宋体" w:hAnsi="宋体"/>
          <w:color w:val="000000"/>
          <w:sz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（1）参加征集活动的邀请</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（3）框架协议文本和采购合同文本</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706"/>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评审方法与评审标准</w:t>
      </w:r>
      <w:r>
        <w:rPr>
          <w:rFonts w:hint="eastAsia"/>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（6）响应文件内容与格式</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请仔细检查征集文件是否齐全，如有缺漏请立即与征集人联系解决。</w:t>
      </w:r>
      <w:r>
        <w:rPr>
          <w:rFonts w:hint="eastAsia" w:ascii="宋体" w:hAnsi="宋体"/>
          <w:color w:val="000000"/>
          <w:sz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rPr>
          <w:rFonts w:hint="eastAsia" w:ascii="宋体" w:hAnsi="宋体"/>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60" w:name="_Toc513029211"/>
      <w:r/>
      <w:bookmarkStart w:id="61" w:name="_Toc462564070"/>
      <w:r/>
      <w:bookmarkStart w:id="62" w:name="_Toc20823283"/>
      <w:r/>
      <w:bookmarkStart w:id="63" w:name="_Toc16938527"/>
      <w:r>
        <w:rPr>
          <w:rFonts w:hint="eastAsia" w:ascii="宋体" w:hAnsi="宋体" w:eastAsia="宋体"/>
          <w:bCs w:val="0"/>
          <w:color w:val="000000"/>
          <w:highlight w:val="none"/>
        </w:rPr>
        <w:t xml:space="preserve">7.征集文件的澄清</w:t>
      </w:r>
      <w:bookmarkEnd w:id="60"/>
      <w:r/>
      <w:bookmarkEnd w:id="61"/>
      <w:r/>
      <w:bookmarkEnd w:id="62"/>
      <w:r/>
      <w:bookmarkEnd w:id="63"/>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7.1供应商对征集文件如有疑问，可通过征集文件中载明的联系方式向征集人提出，征集人将在收到需澄清的问题后以适当形式予以答复，并在必要时将答复内容在征集文件发布媒体上以公告方式进行澄清。</w:t>
      </w:r>
      <w:r>
        <w:rPr>
          <w:rFonts w:hint="eastAsia" w:ascii="宋体" w:hAnsi="宋体"/>
          <w:bCs/>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64" w:name="_Toc462564071"/>
      <w:r/>
      <w:bookmarkStart w:id="65" w:name="_Toc513029212"/>
      <w:r/>
      <w:bookmarkStart w:id="66" w:name="_Toc20823284"/>
      <w:r/>
      <w:bookmarkStart w:id="67" w:name="_Toc16938528"/>
      <w:r>
        <w:rPr>
          <w:rFonts w:hint="eastAsia" w:ascii="宋体" w:hAnsi="宋体" w:eastAsia="宋体"/>
          <w:bCs w:val="0"/>
          <w:color w:val="000000"/>
          <w:highlight w:val="none"/>
        </w:rPr>
        <w:t xml:space="preserve">8.征集文件的修改</w:t>
      </w:r>
      <w:bookmarkEnd w:id="64"/>
      <w:r/>
      <w:bookmarkEnd w:id="65"/>
      <w:r/>
      <w:bookmarkEnd w:id="66"/>
      <w:r/>
      <w:bookmarkEnd w:id="67"/>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8.1在响应文件提交截止时间前，征集人可以对征集文件进行澄清和修改, 澄清或者修改的内容作为征集文件的组成部分。澄清或者修改的内容可能影响响应文件编制的，将在提交首次响应文件截止时间至少15日前，在</w:t>
      </w:r>
      <w:r>
        <w:rPr>
          <w:rFonts w:hint="eastAsia" w:ascii="宋体" w:hAnsi="宋体"/>
          <w:bCs/>
          <w:color w:val="000000"/>
          <w:sz w:val="24"/>
          <w:szCs w:val="24"/>
          <w:highlight w:val="none"/>
        </w:rPr>
        <w:t xml:space="preserve">江苏政府采购网</w:t>
      </w:r>
      <w:r>
        <w:rPr>
          <w:rFonts w:hint="eastAsia" w:ascii="宋体" w:hAnsi="宋体"/>
          <w:color w:val="000000"/>
          <w:sz w:val="24"/>
          <w:highlight w:val="none"/>
        </w:rPr>
        <w:t xml:space="preserve">上发布更正公告形式通知所有获取征集文件的供应商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更正公告内容将作为征集文件的组成部分，并对供应商具有约束力。不足15日的，将顺延提交首次响应文件截止时间。发布更正公告形式通知的方式将视同书面通知。</w:t>
      </w:r>
      <w:r>
        <w:rPr>
          <w:rFonts w:hint="eastAsia" w:ascii="宋体" w:hAnsi="宋体"/>
          <w:bCs/>
          <w:color w:val="000000"/>
          <w:sz w:val="24"/>
          <w:szCs w:val="24"/>
          <w:highlight w:val="none"/>
        </w:rPr>
        <w:t xml:space="preserve">因供应商未尽注意义务，未及时更新上传响应文件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全面地关注更正公告导致其提交的响应材料不符合本项目相关要求，而造成的损失及风险（包括但不限于未入围）由供应商自行承担。</w:t>
      </w:r>
      <w:r>
        <w:rPr>
          <w:rFonts w:hint="eastAsia" w:ascii="宋体" w:hAnsi="宋体"/>
          <w:color w:val="000000"/>
          <w:sz w:val="24"/>
          <w:highlight w:val="none"/>
        </w:rPr>
      </w:r>
      <w:r/>
    </w:p>
    <w:p>
      <w:pPr>
        <w:pStyle w:val="709"/>
        <w:ind w:firstLine="452"/>
        <w:keepLines w:val="0"/>
        <w:keepNext w:val="0"/>
        <w:spacing w:before="0" w:after="0" w:line="500" w:lineRule="exact"/>
        <w:rPr>
          <w:rFonts w:hint="eastAsia"/>
          <w:color w:val="000000"/>
          <w:sz w:val="30"/>
          <w:szCs w:val="30"/>
          <w:highlight w:val="none"/>
        </w:rPr>
      </w:pPr>
      <w:r/>
      <w:bookmarkStart w:id="68" w:name="_Toc120614216"/>
      <w:r/>
      <w:bookmarkStart w:id="69" w:name="_Toc16938529"/>
      <w:r/>
      <w:bookmarkStart w:id="70" w:name="_Toc20823285"/>
      <w:r/>
      <w:bookmarkStart w:id="71" w:name="_Toc513029213"/>
      <w:r/>
      <w:bookmarkStart w:id="72" w:name="_Toc462564072"/>
      <w:r>
        <w:rPr>
          <w:rFonts w:hint="eastAsia"/>
          <w:color w:val="000000"/>
          <w:sz w:val="30"/>
          <w:szCs w:val="30"/>
          <w:highlight w:val="none"/>
        </w:rPr>
        <w:t xml:space="preserve">三、响应文件的编制</w:t>
      </w:r>
      <w:bookmarkEnd w:id="68"/>
      <w:r/>
      <w:bookmarkEnd w:id="69"/>
      <w:r/>
      <w:bookmarkEnd w:id="70"/>
      <w:r/>
      <w:bookmarkEnd w:id="71"/>
      <w:r/>
      <w:bookmarkEnd w:id="72"/>
      <w:r>
        <w:rPr>
          <w:rFonts w:hint="eastAsia"/>
          <w:color w:val="000000"/>
          <w:sz w:val="30"/>
          <w:szCs w:val="30"/>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73" w:name="_Toc462564073"/>
      <w:r/>
      <w:bookmarkStart w:id="74" w:name="_Toc20823286"/>
      <w:r/>
      <w:bookmarkStart w:id="75" w:name="_Toc513029214"/>
      <w:r/>
      <w:bookmarkStart w:id="76" w:name="_Toc16938530"/>
      <w:r>
        <w:rPr>
          <w:rFonts w:hint="eastAsia" w:ascii="宋体" w:hAnsi="宋体" w:eastAsia="宋体"/>
          <w:bCs w:val="0"/>
          <w:color w:val="000000"/>
          <w:highlight w:val="none"/>
        </w:rPr>
        <w:t xml:space="preserve">9.响应文件的语言及度量衡单位</w:t>
      </w:r>
      <w:bookmarkEnd w:id="73"/>
      <w:r/>
      <w:bookmarkEnd w:id="74"/>
      <w:r/>
      <w:bookmarkEnd w:id="75"/>
      <w:r/>
      <w:bookmarkEnd w:id="76"/>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供应商提交的响应文件以及供应商与征集人就有关征集活动的所有来往通知、函件和文件均应使用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除技术性能另有规定外，响应文件所使用的度量衡单位，均须采用国家法定计量单位。</w:t>
      </w:r>
      <w:r>
        <w:rPr>
          <w:rFonts w:hint="eastAsia" w:ascii="宋体" w:hAnsi="宋体"/>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77" w:name="_Toc16938531"/>
      <w:r/>
      <w:bookmarkStart w:id="78" w:name="_Toc462564074"/>
      <w:r/>
      <w:bookmarkStart w:id="79" w:name="_Toc20823287"/>
      <w:r/>
      <w:bookmarkStart w:id="80" w:name="_Toc513029215"/>
      <w:r>
        <w:rPr>
          <w:rFonts w:hint="eastAsia" w:ascii="宋体" w:hAnsi="宋体" w:eastAsia="宋体"/>
          <w:bCs w:val="0"/>
          <w:color w:val="000000"/>
          <w:highlight w:val="none"/>
        </w:rPr>
        <w:t xml:space="preserve">10.响应文件构成</w:t>
      </w:r>
      <w:bookmarkEnd w:id="77"/>
      <w:r/>
      <w:bookmarkEnd w:id="78"/>
      <w:r/>
      <w:bookmarkEnd w:id="79"/>
      <w:r/>
      <w:bookmarkEnd w:id="80"/>
      <w:r>
        <w:rPr>
          <w:rFonts w:hint="eastAsia" w:ascii="宋体" w:hAnsi="宋体" w:eastAsia="宋体"/>
          <w:bCs w:val="0"/>
          <w:color w:val="000000"/>
          <w:highlight w:val="none"/>
        </w:rPr>
      </w:r>
      <w:r/>
    </w:p>
    <w:p>
      <w:pPr>
        <w:pStyle w:val="70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供应商编写的响应文件应包括资格证明文件、符合性证明文件（响应函、承诺书、报价一览表、响应偏离表、《采购需求》中如有要求须提供的证明文件等）、其他证明文件（《评审方法与评审标准》中涉及的证明文件、其他供应商认为应附的文件）等内容。</w:t>
      </w:r>
      <w:r>
        <w:rPr>
          <w:rFonts w:ascii="宋体" w:hAnsi="宋体"/>
          <w:color w:val="000000"/>
          <w:sz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10.2供应商应当提交的资格材料、所须提供的相关证明文件和要求以及响应文件的部分格式要求，详见第六章《响应文件内容与格式》。</w:t>
      </w:r>
      <w:r>
        <w:rPr>
          <w:rFonts w:hint="eastAsia" w:ascii="宋体" w:hAnsi="宋体"/>
          <w:color w:val="000000"/>
          <w:sz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10.3如标书制作工具中格式和内容与征集文件不一致的，请以征集文件为准。</w:t>
      </w:r>
      <w:r>
        <w:rPr>
          <w:rFonts w:hint="eastAsia" w:ascii="宋体" w:hAnsi="宋体"/>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81" w:name="_Hlt26670360"/>
      <w:r/>
      <w:bookmarkEnd w:id="81"/>
      <w:r/>
      <w:bookmarkStart w:id="82" w:name="_Hlt26954838"/>
      <w:r/>
      <w:bookmarkEnd w:id="82"/>
      <w:r/>
      <w:bookmarkStart w:id="83" w:name="_Hlt26668975"/>
      <w:r/>
      <w:bookmarkEnd w:id="83"/>
      <w:r/>
      <w:bookmarkStart w:id="84" w:name="_Toc14577357"/>
      <w:r/>
      <w:bookmarkStart w:id="85" w:name="_Toc513029219"/>
      <w:r/>
      <w:bookmarkStart w:id="86" w:name="_Toc49090509"/>
      <w:r/>
      <w:bookmarkStart w:id="87" w:name="_Toc513029216"/>
      <w:r/>
      <w:bookmarkStart w:id="88" w:name="_Toc14577354"/>
      <w:r/>
      <w:bookmarkStart w:id="89" w:name="_Toc49090507"/>
      <w:r>
        <w:rPr>
          <w:rFonts w:hint="eastAsia" w:ascii="宋体" w:hAnsi="宋体" w:eastAsia="宋体"/>
          <w:bCs w:val="0"/>
          <w:color w:val="000000"/>
          <w:highlight w:val="none"/>
        </w:rPr>
        <w:t xml:space="preserve">11.</w:t>
      </w:r>
      <w:bookmarkEnd w:id="84"/>
      <w:r/>
      <w:bookmarkEnd w:id="85"/>
      <w:r/>
      <w:bookmarkEnd w:id="86"/>
      <w:r>
        <w:rPr>
          <w:rFonts w:hint="eastAsia" w:ascii="宋体" w:hAnsi="宋体" w:eastAsia="宋体"/>
          <w:bCs w:val="0"/>
          <w:color w:val="000000"/>
          <w:highlight w:val="none"/>
        </w:rPr>
        <w:t xml:space="preserve">证明响应标的符合征集文件规定的文件</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bookmarkEnd w:id="87"/>
      <w:r/>
      <w:bookmarkEnd w:id="88"/>
      <w:r/>
      <w:bookmarkEnd w:id="89"/>
      <w:r/>
      <w:bookmarkStart w:id="90" w:name="_Toc14577355"/>
      <w:r/>
      <w:bookmarkStart w:id="91" w:name="_Toc49090508"/>
      <w:r>
        <w:rPr>
          <w:rFonts w:hint="eastAsia" w:ascii="宋体" w:hAnsi="宋体"/>
          <w:bCs/>
          <w:color w:val="000000"/>
          <w:sz w:val="24"/>
          <w:highlight w:val="none"/>
        </w:rPr>
        <w:t xml:space="preserve">11.1供应商应按照法律法规、规章和规范性文件以及征集文件要求提交证明文件，证明其响应标的符合征集文件规定。</w:t>
      </w:r>
      <w:r>
        <w:rPr>
          <w:rFonts w:hint="eastAsia" w:ascii="宋体" w:hAnsi="宋体"/>
          <w:bCs/>
          <w:color w:val="000000"/>
          <w:sz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11.2征集文件对证明文件无明确形式要求的，证明文件可以以文字资料、图纸和数据等形式提交。</w:t>
      </w:r>
      <w:r>
        <w:rPr>
          <w:rFonts w:hint="eastAsia" w:ascii="宋体" w:hAnsi="宋体"/>
          <w:color w:val="000000"/>
          <w:sz w:val="24"/>
          <w:szCs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92" w:name="_Toc49090510"/>
      <w:r/>
      <w:bookmarkStart w:id="93" w:name="_Toc14577359"/>
      <w:r>
        <w:rPr>
          <w:rFonts w:hint="eastAsia" w:ascii="宋体" w:hAnsi="宋体" w:eastAsia="宋体"/>
          <w:bCs w:val="0"/>
          <w:color w:val="000000"/>
          <w:highlight w:val="none"/>
        </w:rPr>
        <w:t xml:space="preserve">12.响应函、承诺书</w:t>
      </w:r>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供应商应按照征集文件中提供的格式，完整、正确填写响应函、承诺书。</w:t>
      </w:r>
      <w:r>
        <w:rPr>
          <w:rFonts w:hint="eastAsia" w:ascii="宋体" w:hAnsi="宋体"/>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End w:id="92"/>
      <w:r/>
      <w:bookmarkEnd w:id="93"/>
      <w:r>
        <w:rPr>
          <w:rFonts w:hint="eastAsia" w:ascii="宋体" w:hAnsi="宋体" w:eastAsia="宋体"/>
          <w:bCs w:val="0"/>
          <w:color w:val="000000"/>
          <w:highlight w:val="none"/>
        </w:rPr>
        <w:t xml:space="preserve">13.</w:t>
      </w:r>
      <w:bookmarkEnd w:id="90"/>
      <w:r/>
      <w:bookmarkEnd w:id="91"/>
      <w:r>
        <w:rPr>
          <w:rFonts w:hint="eastAsia" w:ascii="宋体" w:hAnsi="宋体" w:eastAsia="宋体"/>
          <w:bCs w:val="0"/>
          <w:color w:val="000000"/>
          <w:highlight w:val="none"/>
        </w:rPr>
        <w:t xml:space="preserve">报价一览表</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供应商应按照征集文件规定格式填报</w:t>
      </w:r>
      <w:bookmarkStart w:id="94" w:name="_Hlt26670399"/>
      <w:r/>
      <w:bookmarkEnd w:id="94"/>
      <w:r>
        <w:rPr>
          <w:rFonts w:hint="eastAsia" w:ascii="宋体" w:hAnsi="宋体"/>
          <w:color w:val="000000"/>
          <w:sz w:val="24"/>
          <w:highlight w:val="none"/>
        </w:rPr>
        <w:t xml:space="preserve">报价一览表。</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报价货币。响应文件中的单价和总价无特殊规定的采用人民币报价，以“元”为单位标注。</w:t>
      </w:r>
      <w:r>
        <w:rPr>
          <w:rFonts w:hint="eastAsia" w:ascii="宋体" w:hAnsi="宋体"/>
          <w:color w:val="000000"/>
          <w:sz w:val="24"/>
          <w:highlight w:val="none"/>
        </w:rPr>
        <w:t xml:space="preserve">征集文件中另有规定的按规定执行。</w:t>
      </w:r>
      <w:r>
        <w:rPr>
          <w:rFonts w:hint="eastAsia" w:ascii="宋体" w:hAnsi="宋体"/>
          <w:bCs/>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95" w:name="_Hlt26954842"/>
      <w:r/>
      <w:bookmarkEnd w:id="95"/>
      <w:r/>
      <w:bookmarkStart w:id="96" w:name="_Hlt26954844"/>
      <w:r/>
      <w:bookmarkEnd w:id="96"/>
      <w:r/>
      <w:bookmarkStart w:id="97" w:name="_Hlt26954848"/>
      <w:r/>
      <w:bookmarkEnd w:id="97"/>
      <w:r/>
      <w:bookmarkStart w:id="98" w:name="_Hlt26670403"/>
      <w:r/>
      <w:bookmarkEnd w:id="98"/>
      <w:r/>
      <w:bookmarkStart w:id="99" w:name="_Hlt26668983"/>
      <w:r/>
      <w:bookmarkEnd w:id="99"/>
      <w:r/>
      <w:bookmarkStart w:id="100" w:name="_Hlt26954731"/>
      <w:r/>
      <w:bookmarkEnd w:id="100"/>
      <w:r/>
      <w:bookmarkStart w:id="101" w:name="_Hlt26670425"/>
      <w:r/>
      <w:bookmarkEnd w:id="101"/>
      <w:r/>
      <w:bookmarkStart w:id="102" w:name="_Hlt26670486"/>
      <w:r/>
      <w:bookmarkEnd w:id="102"/>
      <w:r/>
      <w:bookmarkStart w:id="103" w:name="_Hlt26954846"/>
      <w:r/>
      <w:bookmarkEnd w:id="103"/>
      <w:r/>
      <w:bookmarkStart w:id="104" w:name="_Hlt26670482"/>
      <w:r/>
      <w:bookmarkEnd w:id="104"/>
      <w:r>
        <w:rPr>
          <w:rFonts w:hint="eastAsia" w:ascii="宋体" w:hAnsi="宋体" w:eastAsia="宋体"/>
          <w:bCs w:val="0"/>
          <w:color w:val="000000"/>
          <w:highlight w:val="none"/>
        </w:rPr>
        <w:t xml:space="preserve">14.响应偏离表</w:t>
      </w:r>
      <w:r>
        <w:rPr>
          <w:rFonts w:hint="eastAsia" w:ascii="宋体" w:hAnsi="宋体" w:eastAsia="宋体"/>
          <w:bCs w:val="0"/>
          <w:color w:val="000000"/>
          <w:highlight w:val="none"/>
        </w:rPr>
      </w:r>
      <w:r/>
    </w:p>
    <w:p>
      <w:pPr>
        <w:pStyle w:val="706"/>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供应商可在响应文件中提供认为需要的其他技术文件或说明。</w:t>
      </w:r>
      <w:r>
        <w:rPr>
          <w:rFonts w:ascii="宋体" w:hAnsi="Arial" w:cs="宋体"/>
          <w:color w:val="000000"/>
          <w:sz w:val="24"/>
          <w:highlight w:val="none"/>
          <w:lang w:val="zh-CN"/>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105" w:name="_Hlt26954734"/>
      <w:r/>
      <w:bookmarkEnd w:id="105"/>
      <w:r/>
      <w:bookmarkStart w:id="106" w:name="_Hlt26670489"/>
      <w:r/>
      <w:bookmarkEnd w:id="106"/>
      <w:r/>
      <w:bookmarkStart w:id="107" w:name="_Hlt26954850"/>
      <w:r/>
      <w:bookmarkEnd w:id="107"/>
      <w:r/>
      <w:bookmarkStart w:id="108" w:name="_Toc49090511"/>
      <w:r/>
      <w:bookmarkStart w:id="109" w:name="_Toc14577360"/>
      <w:r>
        <w:rPr>
          <w:rFonts w:hint="eastAsia" w:ascii="宋体" w:hAnsi="宋体" w:eastAsia="宋体"/>
          <w:bCs w:val="0"/>
          <w:color w:val="000000"/>
          <w:highlight w:val="none"/>
        </w:rPr>
        <w:t xml:space="preserve">15.响应文件有效期</w:t>
      </w:r>
      <w:bookmarkEnd w:id="108"/>
      <w:r/>
      <w:bookmarkEnd w:id="109"/>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15.1响应文件</w:t>
      </w:r>
      <w:r>
        <w:rPr>
          <w:rFonts w:hint="eastAsia" w:ascii="宋体" w:hAnsi="宋体"/>
          <w:bCs/>
          <w:color w:val="000000"/>
          <w:sz w:val="24"/>
          <w:highlight w:val="none"/>
        </w:rPr>
        <w:t xml:space="preserve">有效期为征集文件规定的提交响应文件截止之日后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。响应文件有效期比规定短的将被视为未实质性响应征集文件而予以拒绝。</w:t>
      </w:r>
      <w:r>
        <w:rPr>
          <w:rFonts w:hint="eastAsia" w:ascii="宋体" w:hAnsi="宋体"/>
          <w:bCs/>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16.响应文件有效期的延长</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在特殊情况下，征集人于原响应文件有效期满之前，可向供应商提出延长响应文件有效期的要求。这种要求与答复均应采用书面形式。供应商可以拒绝这一要求而放弃征集活动</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同意延长响应文件有效期的供应商既不能要求也不允许修改其响应文件</w:t>
      </w:r>
      <w:r>
        <w:rPr>
          <w:rFonts w:hint="eastAsia" w:ascii="宋体" w:hAnsi="宋体"/>
          <w:color w:val="000000"/>
          <w:sz w:val="24"/>
          <w:szCs w:val="24"/>
          <w:highlight w:val="none"/>
        </w:rPr>
        <w:t xml:space="preserve">，同时受响应文件有效期约束的所有权利与义务均延长至新的有效期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09"/>
        <w:ind w:firstLine="452"/>
        <w:keepLines w:val="0"/>
        <w:keepNext w:val="0"/>
        <w:spacing w:before="0" w:after="0" w:line="500" w:lineRule="exact"/>
        <w:rPr>
          <w:rFonts w:hint="eastAsia"/>
          <w:color w:val="000000"/>
          <w:sz w:val="30"/>
          <w:szCs w:val="30"/>
          <w:highlight w:val="none"/>
        </w:rPr>
      </w:pPr>
      <w:r/>
      <w:bookmarkStart w:id="110" w:name="_Hlt26954739"/>
      <w:r/>
      <w:bookmarkEnd w:id="110"/>
      <w:r/>
      <w:bookmarkStart w:id="111" w:name="_Hlt26954852"/>
      <w:r/>
      <w:bookmarkEnd w:id="111"/>
      <w:r/>
      <w:bookmarkStart w:id="112" w:name="_Toc120614217"/>
      <w:r/>
      <w:bookmarkStart w:id="113" w:name="_Toc16938540"/>
      <w:r/>
      <w:bookmarkStart w:id="114" w:name="_Toc20823296"/>
      <w:r/>
      <w:bookmarkStart w:id="115" w:name="_Toc513029224"/>
      <w:r>
        <w:rPr>
          <w:rFonts w:hint="eastAsia"/>
          <w:color w:val="000000"/>
          <w:sz w:val="30"/>
          <w:szCs w:val="30"/>
          <w:highlight w:val="none"/>
        </w:rPr>
        <w:t xml:space="preserve">四、响应文件的递交</w:t>
      </w:r>
      <w:bookmarkEnd w:id="112"/>
      <w:r/>
      <w:bookmarkEnd w:id="113"/>
      <w:r/>
      <w:bookmarkEnd w:id="114"/>
      <w:r/>
      <w:bookmarkEnd w:id="115"/>
      <w:r>
        <w:rPr>
          <w:rFonts w:hint="eastAsia"/>
          <w:color w:val="000000"/>
          <w:sz w:val="30"/>
          <w:szCs w:val="30"/>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116" w:name="_Toc20823297"/>
      <w:r/>
      <w:bookmarkStart w:id="117" w:name="_Toc462564084"/>
      <w:r/>
      <w:bookmarkStart w:id="118" w:name="_Toc16938541"/>
      <w:r/>
      <w:bookmarkStart w:id="119" w:name="_Toc513029225"/>
      <w:r>
        <w:rPr>
          <w:rFonts w:hint="eastAsia" w:ascii="宋体" w:hAnsi="宋体" w:eastAsia="宋体"/>
          <w:bCs w:val="0"/>
          <w:color w:val="000000"/>
          <w:highlight w:val="none"/>
        </w:rPr>
        <w:t xml:space="preserve">17.响应文件</w:t>
      </w:r>
      <w:bookmarkEnd w:id="116"/>
      <w:r/>
      <w:bookmarkEnd w:id="117"/>
      <w:r/>
      <w:bookmarkEnd w:id="118"/>
      <w:r/>
      <w:bookmarkEnd w:id="119"/>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电子响应文件的递交</w:t>
      </w:r>
      <w:r>
        <w:rPr>
          <w:rFonts w:hint="eastAsia" w:ascii="宋体" w:hAnsi="宋体"/>
          <w:bCs/>
          <w:color w:val="000000"/>
          <w:sz w:val="24"/>
          <w:highlight w:val="none"/>
        </w:rPr>
      </w:r>
      <w:r/>
    </w:p>
    <w:p>
      <w:pPr>
        <w:pStyle w:val="819"/>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供应商应当按照《操作手册》规定，在提交响应文件截止时间前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并上传电子响应文件。</w:t>
      </w:r>
      <w:bookmarkStart w:id="120" w:name="_Toc513029226"/>
      <w:r/>
      <w:bookmarkStart w:id="121" w:name="_Toc20823298"/>
      <w:r/>
      <w:bookmarkStart w:id="122" w:name="_Toc16938542"/>
      <w:r>
        <w:rPr>
          <w:rFonts w:hint="eastAsia" w:ascii="宋体" w:hAnsi="宋体"/>
          <w:bCs/>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w:t>
      </w:r>
      <w:bookmarkEnd w:id="120"/>
      <w:r/>
      <w:bookmarkEnd w:id="121"/>
      <w:r/>
      <w:bookmarkEnd w:id="122"/>
      <w:r>
        <w:rPr>
          <w:rFonts w:hint="eastAsia" w:ascii="宋体" w:hAnsi="宋体" w:eastAsia="宋体"/>
          <w:bCs w:val="0"/>
          <w:color w:val="000000"/>
          <w:highlight w:val="none"/>
        </w:rPr>
        <w:t xml:space="preserve">提交响应文件截止时间</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供应商上传电子响应文件的时间不得迟于征集公告中规定的提交响应文件截止时间。</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供应商应充分考虑网络环境、网络带宽等风险因素，如因供应商自身原因</w:t>
      </w:r>
      <w:r>
        <w:rPr>
          <w:rFonts w:hint="eastAsia" w:ascii="宋体" w:hAnsi="宋体"/>
          <w:bCs/>
          <w:color w:val="000000"/>
          <w:sz w:val="24"/>
          <w:highlight w:val="none"/>
          <w:lang w:eastAsia="zh-CN"/>
        </w:rPr>
        <w:t xml:space="preserve">造成</w:t>
      </w:r>
      <w:r>
        <w:rPr>
          <w:rFonts w:hint="eastAsia" w:ascii="宋体" w:hAnsi="宋体"/>
          <w:bCs/>
          <w:color w:val="000000"/>
          <w:sz w:val="24"/>
          <w:highlight w:val="none"/>
        </w:rPr>
        <w:t xml:space="preserve">电子响应文件上传不成功的</w:t>
      </w:r>
      <w:r>
        <w:rPr>
          <w:rFonts w:hint="eastAsia" w:ascii="宋体" w:hAnsi="宋体"/>
          <w:bCs/>
          <w:color w:val="000000"/>
          <w:sz w:val="24"/>
          <w:highlight w:val="none"/>
          <w:lang w:eastAsia="zh-CN"/>
        </w:rPr>
        <w:t xml:space="preserve">，视作</w:t>
      </w:r>
      <w:r>
        <w:rPr>
          <w:rFonts w:hint="eastAsia" w:ascii="宋体" w:hAnsi="宋体"/>
          <w:bCs/>
          <w:color w:val="000000"/>
          <w:sz w:val="24"/>
          <w:highlight w:val="none"/>
        </w:rPr>
        <w:t xml:space="preserve">供应商未按照征集文件要求上传电子响应文件，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无效响应处理。</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征集人可以按照规定，通过更正公告修改提交响应文件截止时间，供应商的所有权利和义务以及供应商受制的截止时间均应以延长后新的截止时间为准。</w:t>
      </w:r>
      <w:r>
        <w:rPr>
          <w:rFonts w:hint="eastAsia" w:ascii="宋体" w:hAnsi="宋体"/>
          <w:bCs/>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123" w:name="_Toc513029227"/>
      <w:r/>
      <w:bookmarkStart w:id="124" w:name="_Toc20823299"/>
      <w:r/>
      <w:bookmarkStart w:id="125" w:name="_Toc16938543"/>
      <w:r>
        <w:rPr>
          <w:rFonts w:hint="eastAsia" w:ascii="宋体" w:hAnsi="宋体" w:eastAsia="宋体"/>
          <w:bCs w:val="0"/>
          <w:color w:val="000000"/>
          <w:highlight w:val="none"/>
        </w:rPr>
        <w:t xml:space="preserve">19.响应文件</w:t>
      </w:r>
      <w:bookmarkEnd w:id="123"/>
      <w:r/>
      <w:bookmarkEnd w:id="124"/>
      <w:r/>
      <w:bookmarkEnd w:id="125"/>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在规定的提交响应文件截止时间后上传的任何响应文件将被拒绝接收。</w:t>
      </w:r>
      <w:r>
        <w:rPr>
          <w:rFonts w:hint="eastAsia" w:ascii="宋体" w:hAnsi="宋体"/>
          <w:bCs/>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126" w:name="_Toc513029228"/>
      <w:r/>
      <w:bookmarkStart w:id="127" w:name="_Toc16938544"/>
      <w:r/>
      <w:bookmarkStart w:id="128" w:name="_Toc20823300"/>
      <w:r>
        <w:rPr>
          <w:rFonts w:hint="eastAsia" w:ascii="宋体" w:hAnsi="宋体" w:eastAsia="宋体"/>
          <w:bCs w:val="0"/>
          <w:color w:val="000000"/>
          <w:highlight w:val="none"/>
        </w:rPr>
        <w:t xml:space="preserve">20.响应文件的撤回和修改</w:t>
      </w:r>
      <w:bookmarkEnd w:id="126"/>
      <w:r/>
      <w:bookmarkEnd w:id="127"/>
      <w:r/>
      <w:bookmarkEnd w:id="128"/>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20.1响应文件的撤回</w:t>
      </w:r>
      <w:r>
        <w:rPr>
          <w:rFonts w:hint="eastAsia" w:ascii="宋体" w:hAnsi="宋体"/>
          <w:color w:val="000000"/>
          <w:sz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20.1.1电子响应文件的撤回</w:t>
      </w:r>
      <w:r>
        <w:rPr>
          <w:rFonts w:hint="eastAsia" w:ascii="宋体" w:hAnsi="宋体"/>
          <w:color w:val="000000"/>
          <w:sz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供应商可在</w:t>
      </w:r>
      <w:r>
        <w:rPr>
          <w:rFonts w:hint="eastAsia" w:ascii="宋体" w:hAnsi="宋体"/>
          <w:bCs/>
          <w:color w:val="000000"/>
          <w:sz w:val="24"/>
          <w:highlight w:val="none"/>
        </w:rPr>
        <w:t xml:space="preserve">提交响应文件</w:t>
      </w:r>
      <w:r>
        <w:rPr>
          <w:rFonts w:hint="eastAsia" w:ascii="宋体" w:hAnsi="宋体"/>
          <w:color w:val="000000"/>
          <w:sz w:val="24"/>
          <w:highlight w:val="none"/>
        </w:rPr>
        <w:t xml:space="preserve">截止时间前，撤回其电子响应文件，具体操作方法见《操作手册》。</w:t>
      </w:r>
      <w:r>
        <w:rPr>
          <w:rFonts w:hint="eastAsia" w:ascii="宋体" w:hAnsi="宋体"/>
          <w:color w:val="000000"/>
          <w:sz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供应商撤回电子响应文件，则认为其不再参与本项目征集活动。</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20.2响应文件的修改</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20.2.1供应商可在</w:t>
      </w:r>
      <w:r>
        <w:rPr>
          <w:rFonts w:hint="eastAsia" w:ascii="宋体" w:hAnsi="宋体"/>
          <w:bCs/>
          <w:color w:val="000000"/>
          <w:sz w:val="24"/>
          <w:highlight w:val="none"/>
        </w:rPr>
        <w:t xml:space="preserve">提交响应文件</w:t>
      </w:r>
      <w:r>
        <w:rPr>
          <w:rFonts w:hint="eastAsia" w:ascii="宋体" w:hAnsi="宋体"/>
          <w:color w:val="000000"/>
          <w:sz w:val="24"/>
          <w:highlight w:val="none"/>
        </w:rPr>
        <w:t xml:space="preserve">截止时间前，对其电子响应文件进行修改，具体操作方法见《操作手册》。</w:t>
      </w:r>
      <w:r>
        <w:rPr>
          <w:rFonts w:hint="eastAsia" w:ascii="宋体" w:hAnsi="宋体"/>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在提交响应文件截止时间之后，供应商不得对其电子响应文件作任何修改。</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在提交响应文件截止时间至征集文件中规定的响应文件有效期满之间的这段时间内，供应商不得撤回其响应文件。</w:t>
      </w:r>
      <w:r>
        <w:rPr>
          <w:rFonts w:hint="eastAsia" w:ascii="宋体" w:hAnsi="宋体"/>
          <w:bCs/>
          <w:color w:val="000000"/>
          <w:sz w:val="24"/>
          <w:highlight w:val="none"/>
        </w:rPr>
      </w:r>
      <w:r/>
    </w:p>
    <w:p>
      <w:pPr>
        <w:pStyle w:val="709"/>
        <w:ind w:firstLine="452"/>
        <w:keepLines w:val="0"/>
        <w:keepNext w:val="0"/>
        <w:spacing w:before="0" w:after="0" w:line="500" w:lineRule="exact"/>
        <w:rPr>
          <w:rFonts w:hint="eastAsia"/>
          <w:color w:val="000000"/>
          <w:sz w:val="30"/>
          <w:szCs w:val="30"/>
          <w:highlight w:val="none"/>
        </w:rPr>
      </w:pPr>
      <w:r/>
      <w:bookmarkStart w:id="129" w:name="_Toc16938545"/>
      <w:r/>
      <w:bookmarkStart w:id="130" w:name="_Toc120614218"/>
      <w:r/>
      <w:bookmarkStart w:id="131" w:name="_Toc20823301"/>
      <w:r/>
      <w:bookmarkStart w:id="132" w:name="_Toc513029229"/>
      <w:r>
        <w:rPr>
          <w:rFonts w:hint="eastAsia"/>
          <w:color w:val="000000"/>
          <w:sz w:val="30"/>
          <w:szCs w:val="30"/>
          <w:highlight w:val="none"/>
        </w:rPr>
        <w:t xml:space="preserve">五、</w:t>
      </w:r>
      <w:bookmarkEnd w:id="129"/>
      <w:r/>
      <w:bookmarkEnd w:id="130"/>
      <w:r/>
      <w:bookmarkEnd w:id="131"/>
      <w:r/>
      <w:bookmarkEnd w:id="132"/>
      <w:r>
        <w:rPr>
          <w:rFonts w:hint="eastAsia"/>
          <w:color w:val="000000"/>
          <w:sz w:val="30"/>
          <w:szCs w:val="30"/>
          <w:highlight w:val="none"/>
        </w:rPr>
        <w:t xml:space="preserve">响应文件的解密与评审</w:t>
      </w:r>
      <w:r>
        <w:rPr>
          <w:rFonts w:hint="eastAsia"/>
          <w:color w:val="000000"/>
          <w:sz w:val="30"/>
          <w:szCs w:val="30"/>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133" w:name="_Toc16938546"/>
      <w:r/>
      <w:bookmarkStart w:id="134" w:name="_Toc513029230"/>
      <w:r/>
      <w:bookmarkStart w:id="135" w:name="_Toc20823302"/>
      <w:r>
        <w:rPr>
          <w:rFonts w:hint="eastAsia" w:ascii="宋体" w:hAnsi="宋体" w:eastAsia="宋体"/>
          <w:bCs w:val="0"/>
          <w:color w:val="000000"/>
          <w:highlight w:val="none"/>
        </w:rPr>
        <w:t xml:space="preserve">21.</w:t>
      </w:r>
      <w:bookmarkEnd w:id="133"/>
      <w:r/>
      <w:bookmarkEnd w:id="134"/>
      <w:r/>
      <w:bookmarkEnd w:id="135"/>
      <w:r>
        <w:rPr>
          <w:rFonts w:hint="eastAsia" w:ascii="宋体" w:hAnsi="宋体" w:eastAsia="宋体"/>
          <w:bCs w:val="0"/>
          <w:color w:val="000000"/>
          <w:highlight w:val="none"/>
        </w:rPr>
        <w:t xml:space="preserve">响应文件解密</w:t>
      </w:r>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21.1供应商应当按照《操作手册》规定，在</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规定的时间内对响应文件进行解密。</w:t>
      </w:r>
      <w:r>
        <w:rPr>
          <w:rFonts w:hint="eastAsia" w:ascii="宋体" w:hAnsi="宋体"/>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136" w:name="_Toc16938547"/>
      <w:r/>
      <w:bookmarkStart w:id="137" w:name="_Toc513029231"/>
      <w:r/>
      <w:bookmarkStart w:id="138" w:name="_Toc20823303"/>
      <w:r>
        <w:rPr>
          <w:rFonts w:hint="eastAsia" w:ascii="宋体" w:hAnsi="宋体" w:eastAsia="宋体"/>
          <w:bCs w:val="0"/>
          <w:color w:val="000000"/>
          <w:highlight w:val="none"/>
        </w:rPr>
        <w:t xml:space="preserve">22.评审小组</w:t>
      </w:r>
      <w:r>
        <w:rPr>
          <w:rFonts w:hint="eastAsia" w:ascii="宋体" w:hAnsi="宋体" w:eastAsia="宋体"/>
          <w:bCs w:val="0"/>
          <w:color w:val="000000"/>
          <w:highlight w:val="none"/>
        </w:rPr>
      </w:r>
      <w:r/>
    </w:p>
    <w:p>
      <w:pPr>
        <w:pStyle w:val="706"/>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22.1交易中心将组织评审小组对响应文件进行评审。评审小组依法组建，且人员构成符合政府采购有关规定。</w:t>
      </w:r>
      <w:r>
        <w:rPr>
          <w:rFonts w:hint="eastAsia" w:ascii="宋体" w:hAnsi="宋体"/>
          <w:b/>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22.2评审小组独立工作，负责对征集</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负责评审所有响应文件并确定入围供应商。如有争议最终由评审小组认定。</w:t>
      </w:r>
      <w:r>
        <w:rPr>
          <w:rFonts w:hint="eastAsia" w:ascii="宋体" w:hAnsi="宋体"/>
          <w:color w:val="000000"/>
          <w:sz w:val="24"/>
          <w:szCs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23.评审过程的保密与公正</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bookmarkEnd w:id="136"/>
      <w:r/>
      <w:bookmarkEnd w:id="137"/>
      <w:r/>
      <w:bookmarkEnd w:id="138"/>
      <w:r>
        <w:rPr>
          <w:rFonts w:hint="eastAsia" w:ascii="宋体" w:hAnsi="宋体"/>
          <w:bCs/>
          <w:color w:val="000000"/>
          <w:sz w:val="24"/>
          <w:highlight w:val="none"/>
        </w:rPr>
        <w:t xml:space="preserve">23.1评审小组、征集人和交易中心工作人员、相关监督人员等与评审工作有关的人员，对评审情况以及在评审过程中获悉的国家秘密、商业秘密负有保密责任。</w:t>
      </w:r>
      <w:r>
        <w:rPr>
          <w:rFonts w:hint="eastAsia" w:ascii="宋体" w:hAnsi="宋体"/>
          <w:bCs/>
          <w:color w:val="000000"/>
          <w:sz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在评审过程中，供应商不得以任何行为影响评审过程，否则其响应文件将被作为无效响应文件。</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征集人、交易中心和评审小组不向未入围的供应商解释未入围原因，也不公布评审过程中的相关细节。</w:t>
      </w:r>
      <w:r>
        <w:rPr>
          <w:rFonts w:hint="eastAsia" w:ascii="宋体" w:hAnsi="宋体"/>
          <w:color w:val="000000"/>
          <w:sz w:val="24"/>
          <w:szCs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139" w:name="_Toc20823304"/>
      <w:r/>
      <w:bookmarkStart w:id="140" w:name="_Toc513029232"/>
      <w:r/>
      <w:bookmarkStart w:id="141" w:name="_Toc16938548"/>
      <w:r>
        <w:rPr>
          <w:rFonts w:hint="eastAsia" w:ascii="宋体" w:hAnsi="宋体" w:eastAsia="宋体"/>
          <w:bCs w:val="0"/>
          <w:color w:val="000000"/>
          <w:highlight w:val="none"/>
        </w:rPr>
        <w:t xml:space="preserve">24.评审过程中的澄清</w:t>
      </w:r>
      <w:bookmarkEnd w:id="139"/>
      <w:r/>
      <w:bookmarkEnd w:id="140"/>
      <w:r/>
      <w:bookmarkEnd w:id="141"/>
      <w:r>
        <w:rPr>
          <w:rFonts w:hint="eastAsia" w:ascii="宋体" w:hAnsi="宋体" w:eastAsia="宋体"/>
          <w:bCs w:val="0"/>
          <w:color w:val="000000"/>
          <w:highlight w:val="none"/>
        </w:rPr>
      </w:r>
      <w:r/>
    </w:p>
    <w:p>
      <w:pPr>
        <w:pStyle w:val="706"/>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评审期间，评审小组对响应文件中含义不明确、同类问题表述不一致或者有明显文字和计算错误的内容，有权要求供应商作出必要的澄清、说明或者补正。</w:t>
      </w:r>
      <w:r>
        <w:rPr>
          <w:rFonts w:ascii="宋体" w:hAnsi="宋体"/>
          <w:color w:val="000000"/>
          <w:sz w:val="24"/>
          <w:szCs w:val="24"/>
          <w:highlight w:val="none"/>
        </w:rPr>
      </w:r>
      <w:r/>
    </w:p>
    <w:p>
      <w:pPr>
        <w:pStyle w:val="70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供应商的澄清、说明或者补正不得超出响应文件的范围或者改变响应文件的实质性内容。</w:t>
      </w:r>
      <w:r>
        <w:rPr>
          <w:rFonts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24.2需要供应商进行澄清、说明和补正的，评审小组将通过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向供应商发出“澄清要求函”，接到“澄清要求函”的供应商应当按照要求在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中提交“澄清响应函”并加盖CA电子公章。澄清、说明和补正的内容作为响应文件的补充部分，具体操作方式见《操作手册》。</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24.3接到评审小组澄清、说明和补正要求的供应商如未按规定及时做出澄清、说明和补正，其风险由供应商自行承担。</w:t>
      </w:r>
      <w:r>
        <w:rPr>
          <w:rFonts w:hint="eastAsia" w:ascii="宋体" w:hAnsi="宋体"/>
          <w:color w:val="000000"/>
          <w:sz w:val="24"/>
          <w:szCs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142" w:name="_Toc20823305"/>
      <w:r/>
      <w:bookmarkStart w:id="143" w:name="_Toc513029233"/>
      <w:r/>
      <w:bookmarkStart w:id="144" w:name="_Toc16938549"/>
      <w:r>
        <w:rPr>
          <w:rFonts w:hint="eastAsia" w:ascii="宋体" w:hAnsi="宋体" w:eastAsia="宋体"/>
          <w:bCs w:val="0"/>
          <w:color w:val="000000"/>
          <w:highlight w:val="none"/>
        </w:rPr>
        <w:t xml:space="preserve">25.评审程序</w:t>
      </w:r>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highlight w:val="none"/>
        </w:rPr>
      </w:pPr>
      <w:r/>
      <w:bookmarkEnd w:id="142"/>
      <w:r/>
      <w:bookmarkEnd w:id="143"/>
      <w:r/>
      <w:bookmarkEnd w:id="144"/>
      <w:r>
        <w:rPr>
          <w:rFonts w:hint="eastAsia" w:ascii="宋体" w:hAnsi="宋体"/>
          <w:color w:val="000000"/>
          <w:sz w:val="24"/>
          <w:highlight w:val="none"/>
        </w:rPr>
        <w:t xml:space="preserve">25.1对响应文件的审查</w:t>
      </w:r>
      <w:r>
        <w:rPr>
          <w:rFonts w:hint="eastAsia" w:ascii="宋体" w:hAnsi="宋体"/>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响应文件审查分为资格审查和符合性审查。</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25.1.1资格审查：依据法律法规和征集文件的规定，由评审小组对响应文件中的资格证明文件进行审查，以确定供应商是否具备参加征集活动的资格。</w:t>
      </w:r>
      <w:r>
        <w:rPr>
          <w:rFonts w:hint="eastAsia" w:ascii="宋体" w:hAnsi="宋体"/>
          <w:bCs/>
          <w:color w:val="000000"/>
          <w:sz w:val="24"/>
          <w:highlight w:val="none"/>
        </w:rPr>
      </w:r>
      <w:r/>
    </w:p>
    <w:p>
      <w:pPr>
        <w:pStyle w:val="706"/>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评审小组在进行资格审查的同时，将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查询供应商在提交响应文件截止时间之前，是否被列入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以确定供应商是否具备参加征集活动的资格。</w:t>
      </w:r>
      <w:r>
        <w:rPr>
          <w:rFonts w:hint="eastAsia" w:ascii="宋体" w:hAnsi="宋体" w:cs="宋体"/>
          <w:color w:val="000000"/>
          <w:sz w:val="24"/>
          <w:szCs w:val="24"/>
          <w:highlight w:val="none"/>
        </w:rPr>
        <w:t xml:space="preserve">查询结果以纸质形式打印后留存并归档。</w:t>
      </w:r>
      <w:r>
        <w:rPr>
          <w:rFonts w:hint="eastAsia" w:ascii="宋体" w:hAnsi="宋体" w:cs="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25.1.2符合性审查：依据征集文件的规定，由评审小组从响应文件的有效性、完整性和对征集文件的响应程度进行审查，以确定是否对征集文件的实质性要求作出响应。</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3未通过资格审查或符合性审查的供应商，将在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rPr>
        <w:t xml:space="preserve">审</w:t>
      </w:r>
      <w:r>
        <w:rPr>
          <w:rFonts w:ascii="宋体" w:hAnsi="宋体"/>
          <w:bCs/>
          <w:color w:val="000000"/>
          <w:sz w:val="24"/>
          <w:highlight w:val="none"/>
        </w:rPr>
        <w:t xml:space="preserve">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.2由评审小组审查每份响应文件是否实质性响应了征集文件的要求。实质性响应的响应文件应该是与征集文件要求的全部条款、条件和规格相符，没有重大偏离或保留。</w:t>
      </w:r>
      <w:r>
        <w:rPr>
          <w:rFonts w:hint="eastAsia" w:ascii="宋体" w:hAnsi="宋体"/>
          <w:color w:val="000000"/>
          <w:sz w:val="24"/>
          <w:highlight w:val="none"/>
        </w:rPr>
      </w:r>
      <w:r/>
    </w:p>
    <w:p>
      <w:pPr>
        <w:pStyle w:val="70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征集文件规定的实质性要求存在负偏离，或者在实质上与征集文件不一致，而且限制了协议中征集人的权利或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rFonts w:hint="eastAsia" w:ascii="宋体" w:hAnsi="宋体"/>
          <w:color w:val="000000"/>
          <w:sz w:val="24"/>
          <w:highlight w:val="none"/>
        </w:rPr>
      </w:r>
      <w:r/>
    </w:p>
    <w:p>
      <w:pPr>
        <w:pStyle w:val="70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.3如果响应文件实质上没有响应征集文件的要求，评审小组将予以拒绝，其响应文件无效，供应商不得通过修改或撤销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合要求的偏离或保留而使其响应成为实质性响应。</w:t>
      </w:r>
      <w:r>
        <w:rPr>
          <w:rFonts w:ascii="宋体" w:hAnsi="宋体"/>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评审小组将对确定为实质性响应的响应文件进行进一步审核，确定其是否有计算上或累加上的算术错误，修正错误的原则如下：</w:t>
      </w:r>
      <w:r>
        <w:rPr>
          <w:rFonts w:hint="eastAsia" w:ascii="宋体" w:hAnsi="宋体"/>
          <w:bCs/>
          <w:color w:val="000000"/>
          <w:sz w:val="24"/>
          <w:highlight w:val="none"/>
        </w:rPr>
      </w:r>
      <w:r/>
    </w:p>
    <w:p>
      <w:pPr>
        <w:pStyle w:val="706"/>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（1）响应文件中报价一览表内容与响应文件中相应内容不一致的，以报价一览表为准。</w:t>
      </w:r>
      <w:r>
        <w:rPr>
          <w:rFonts w:ascii="宋体" w:hAnsi="宋体"/>
          <w:bCs/>
          <w:color w:val="000000"/>
          <w:sz w:val="24"/>
          <w:highlight w:val="none"/>
        </w:rPr>
      </w:r>
      <w:r/>
    </w:p>
    <w:p>
      <w:pPr>
        <w:pStyle w:val="706"/>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706"/>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（3）单价金额小数点或者百分比有明显错位的，以报价一览表的总价（总数）为准，并修改单价。</w:t>
      </w:r>
      <w:r>
        <w:rPr>
          <w:rFonts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706"/>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评审小组将按上述修正错误的方法调整响应文件中的报价，并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告知供应商</w:t>
      </w:r>
      <w:r>
        <w:rPr>
          <w:rFonts w:ascii="宋体" w:hAnsi="宋体"/>
          <w:bCs/>
          <w:color w:val="000000"/>
          <w:sz w:val="24"/>
          <w:highlight w:val="none"/>
        </w:rPr>
        <w:t xml:space="preserve">，</w:t>
      </w:r>
      <w:r>
        <w:rPr>
          <w:rFonts w:hint="eastAsia" w:ascii="宋体" w:hAnsi="宋体"/>
          <w:bCs/>
          <w:color w:val="000000"/>
          <w:sz w:val="24"/>
          <w:highlight w:val="none"/>
        </w:rPr>
        <w:t xml:space="preserve">调整后的价格应对供应商具有约束力。如果供应商不确认或不接受修正后的价格，则其响应文件将被拒绝，其响应无效。</w:t>
      </w:r>
      <w:r>
        <w:rPr>
          <w:rFonts w:ascii="宋体" w:hAnsi="宋体"/>
          <w:bCs/>
          <w:color w:val="000000"/>
          <w:sz w:val="24"/>
          <w:highlight w:val="none"/>
        </w:rPr>
      </w:r>
      <w:r/>
    </w:p>
    <w:p>
      <w:pPr>
        <w:pStyle w:val="706"/>
        <w:ind w:firstLine="420"/>
        <w:spacing w:line="500" w:lineRule="exact"/>
        <w:rPr>
          <w:rFonts w:hint="eastAsia" w:ascii="宋体" w:hAnsi="宋体"/>
          <w:color w:val="000000"/>
          <w:sz w:val="24"/>
          <w:highlight w:val="none"/>
        </w:rPr>
      </w:pPr>
      <w:r/>
      <w:bookmarkStart w:id="145" w:name="_Toc20823306"/>
      <w:r/>
      <w:bookmarkStart w:id="146" w:name="_Toc16938550"/>
      <w:r/>
      <w:bookmarkStart w:id="147" w:name="_Toc513029234"/>
      <w:r>
        <w:rPr>
          <w:rFonts w:hint="eastAsia" w:ascii="宋体" w:hAnsi="宋体"/>
          <w:color w:val="000000"/>
          <w:sz w:val="24"/>
          <w:highlight w:val="none"/>
        </w:rPr>
        <w:t xml:space="preserve">25.6供应商在评审全过程中应保持通讯畅通，及时登录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并安排专人随时接受评审小组的相关询问。</w:t>
      </w:r>
      <w:r>
        <w:rPr>
          <w:rFonts w:hint="eastAsia" w:ascii="宋体" w:hAnsi="宋体"/>
          <w:color w:val="000000"/>
          <w:sz w:val="24"/>
          <w:highlight w:val="none"/>
        </w:rPr>
      </w:r>
      <w:r/>
    </w:p>
    <w:p>
      <w:pPr>
        <w:pStyle w:val="70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25.7供应商响应文件通过</w:t>
      </w:r>
      <w:r>
        <w:rPr>
          <w:rFonts w:hint="eastAsia" w:ascii="宋体" w:hAnsi="宋体"/>
          <w:bCs/>
          <w:color w:val="000000"/>
          <w:sz w:val="24"/>
          <w:highlight w:val="none"/>
        </w:rPr>
        <w:t xml:space="preserve">资格审查和符合性审查的，将根据本征集文件规定的</w:t>
      </w:r>
      <w:r>
        <w:rPr>
          <w:rFonts w:hint="eastAsia" w:ascii="宋体" w:hAnsi="宋体"/>
          <w:color w:val="000000"/>
          <w:sz w:val="24"/>
          <w:highlight w:val="none"/>
        </w:rPr>
        <w:t xml:space="preserve">评审方法与评审标准确定第一阶段入围供应商。第一阶段入围供应商的评审方法、评审标准、入围供应商的淘汰率以及入围供应商数量上限等内容详见第五章《评审方法与评审标准》。</w:t>
      </w:r>
      <w:r>
        <w:rPr>
          <w:rFonts w:hint="eastAsia" w:ascii="宋体" w:hAnsi="宋体"/>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45"/>
      <w:r/>
      <w:bookmarkEnd w:id="146"/>
      <w:r/>
      <w:bookmarkEnd w:id="147"/>
      <w:r>
        <w:rPr>
          <w:rFonts w:hint="eastAsia" w:ascii="宋体" w:hAnsi="宋体" w:eastAsia="宋体"/>
          <w:bCs w:val="0"/>
          <w:color w:val="000000"/>
          <w:highlight w:val="none"/>
        </w:rPr>
        <w:t xml:space="preserve">.响应文件无效情形和征集活动终止情形</w:t>
      </w:r>
      <w:r>
        <w:rPr>
          <w:rFonts w:hint="eastAsia" w:ascii="宋体" w:hAnsi="宋体" w:eastAsia="宋体"/>
          <w:bCs w:val="0"/>
          <w:color w:val="000000"/>
          <w:highlight w:val="none"/>
        </w:rPr>
      </w:r>
      <w:r/>
    </w:p>
    <w:p>
      <w:pPr>
        <w:pStyle w:val="706"/>
        <w:ind w:left="479"/>
        <w:spacing w:line="500" w:lineRule="exact"/>
        <w:rPr>
          <w:rFonts w:hint="eastAsia" w:ascii="宋体" w:hAnsi="宋体"/>
          <w:bCs/>
          <w:color w:val="000000"/>
          <w:sz w:val="24"/>
          <w:highlight w:val="none"/>
        </w:rPr>
      </w:pPr>
      <w:r/>
      <w:bookmarkStart w:id="148" w:name="_Toc20823307"/>
      <w:r/>
      <w:bookmarkStart w:id="149" w:name="_Toc16938551"/>
      <w:r/>
      <w:bookmarkStart w:id="150" w:name="_Toc513029235"/>
      <w:r>
        <w:rPr>
          <w:rFonts w:hint="eastAsia" w:ascii="宋体" w:hAnsi="宋体"/>
          <w:bCs/>
          <w:color w:val="000000"/>
          <w:sz w:val="24"/>
          <w:highlight w:val="none"/>
        </w:rPr>
        <w:t xml:space="preserve">26.1响应文件无效情形</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26.1.2供应商在“苏采云”系统规定的时间内未成功解密电子响应文件的。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26.1.3供应商</w:t>
      </w:r>
      <w:r>
        <w:rPr>
          <w:rFonts w:hint="eastAsia" w:ascii="宋体" w:hAnsi="宋体"/>
          <w:bCs/>
          <w:color w:val="000000"/>
          <w:sz w:val="24"/>
          <w:highlight w:val="none"/>
        </w:rPr>
        <w:t xml:space="preserve">未按照征集文件要求上传电子响应文件、</w:t>
      </w:r>
      <w:r>
        <w:rPr>
          <w:rFonts w:hint="eastAsia" w:ascii="宋体" w:hAnsi="宋体"/>
          <w:bCs/>
          <w:color w:val="000000"/>
          <w:sz w:val="24"/>
          <w:szCs w:val="24"/>
          <w:highlight w:val="none"/>
        </w:rPr>
        <w:t xml:space="preserve">电子响应文件未按规定期限提交的，纸质响应文件（如有）未按规定的期限、地点送达的。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26.1.4供应商</w:t>
      </w:r>
      <w:r>
        <w:rPr>
          <w:rFonts w:hint="eastAsia" w:ascii="宋体" w:hAnsi="宋体"/>
          <w:bCs/>
          <w:color w:val="000000"/>
          <w:sz w:val="24"/>
          <w:highlight w:val="none"/>
        </w:rPr>
        <w:t xml:space="preserve">的</w:t>
      </w:r>
      <w:r>
        <w:rPr>
          <w:rFonts w:hint="eastAsia" w:ascii="宋体" w:hAnsi="宋体"/>
          <w:bCs/>
          <w:color w:val="000000"/>
          <w:sz w:val="24"/>
          <w:szCs w:val="24"/>
          <w:highlight w:val="none"/>
        </w:rPr>
        <w:t xml:space="preserve">电子响应文件未按征集文件要求签章的。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26.1.5供应商的被授权代表无授权委托书或授权委托日期晚于提交响应文件截止日期的。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26.1.6供应商不具备征集文件中规定的资格要求或未按征集文件规定的要求提供资格证明文件的。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w:t>
      </w:r>
      <w:r>
        <w:rPr>
          <w:rFonts w:hint="eastAsia" w:ascii="宋体" w:hAnsi="宋体"/>
          <w:bCs/>
          <w:color w:val="000000"/>
          <w:sz w:val="24"/>
          <w:szCs w:val="24"/>
          <w:highlight w:val="none"/>
        </w:rPr>
        <w:t xml:space="preserve">供应商</w:t>
      </w:r>
      <w:r>
        <w:rPr>
          <w:rFonts w:hint="eastAsia" w:ascii="宋体" w:hAnsi="宋体"/>
          <w:bCs/>
          <w:color w:val="000000"/>
          <w:sz w:val="24"/>
          <w:highlight w:val="none"/>
        </w:rPr>
        <w:t xml:space="preserve">提交了两种（含两种）以上不同报价的。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w:t>
      </w:r>
      <w:r>
        <w:rPr>
          <w:rFonts w:hint="eastAsia" w:ascii="宋体" w:hAnsi="宋体"/>
          <w:bCs/>
          <w:color w:val="000000"/>
          <w:sz w:val="24"/>
          <w:szCs w:val="24"/>
          <w:highlight w:val="none"/>
        </w:rPr>
        <w:t xml:space="preserve">供应商</w:t>
      </w:r>
      <w:r>
        <w:rPr>
          <w:rFonts w:hint="eastAsia" w:ascii="宋体" w:hAnsi="宋体"/>
          <w:color w:val="000000"/>
          <w:sz w:val="24"/>
          <w:szCs w:val="24"/>
          <w:highlight w:val="none"/>
        </w:rPr>
        <w:t xml:space="preserve">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color w:val="000000"/>
          <w:sz w:val="24"/>
          <w:szCs w:val="24"/>
          <w:highlight w:val="none"/>
          <w:lang w:eastAsia="zh-CN"/>
        </w:rPr>
        <w:t xml:space="preserve">，</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后发现供应商存在其他不符合《中华人民共和国政府采购法》第二十二条规定条件的信用记录。</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26.1.9响应文件未按征集文件规定的内容和要求填写的。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26.1.10供应商报价超过本征集文件规定的最高限制单价的。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26.1.12响应文件含有征集人不能接受的附加条件的。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26.1.13电子响应文件图片、字迹模糊不清、无法辨认导致无法评审的。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26.1.14响应文件中有征集文件未允许提供的选择性内容。</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不同供应商委托同一单位或者个人办理征集活动事宜的。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不同供应商的单位负责人为同一人或者存在直接控股、管理关系的。</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26.1.17不同供应商的响应文件的装订形式、纸张情况、目录序号、排版格式、文字风格等存在明显的相似性或一致性，特征显示由同一单位或者同一个人编制的。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26.1.18不同供应商响应文件内容存在非正常一致、项目组成员出现同一人、响应文件中错误（或异常）一致或雷同、电子文档信息一致或雷同的、报价呈规律性差异的。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26.1.19不同供应商的响应资料相互混装、不同供应商的委托代理人、项目负责人以及其他相关人员有在同一个单位缴纳社会保险、同一响应文件中单位名称落款与公章不是同一单位的。</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706"/>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26.1.22</w:t>
      </w:r>
      <w:r>
        <w:rPr>
          <w:rFonts w:hint="eastAsia" w:ascii="宋体" w:hAnsi="宋体"/>
          <w:color w:val="000000"/>
          <w:sz w:val="24"/>
          <w:highlight w:val="none"/>
        </w:rPr>
        <w:t xml:space="preserve">根据《关于推动解决政府采购异常低价问题的通知》（财库〔2026〕2号）要求，政府采购评审中出现下列情形之一的，评审委员会应当启动异常低价投标（响应）审查程序：</w:t>
      </w:r>
      <w:r>
        <w:rPr>
          <w:rFonts w:ascii="宋体" w:hAnsi="宋体"/>
          <w:bCs/>
          <w:color w:val="000000"/>
          <w:sz w:val="24"/>
          <w:szCs w:val="24"/>
          <w:highlight w:val="none"/>
        </w:rPr>
      </w:r>
      <w:r/>
    </w:p>
    <w:p>
      <w:pPr>
        <w:pStyle w:val="70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70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70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70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70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706"/>
        <w:ind w:firstLine="480"/>
        <w:spacing w:line="500" w:lineRule="exact"/>
        <w:rPr>
          <w:rFonts w:hint="eastAsia" w:ascii="宋体" w:hAnsi="宋体"/>
          <w:bCs/>
          <w:color w:val="000000"/>
          <w:sz w:val="24"/>
          <w:highlight w:val="none"/>
          <w:shd w:val="clear" w:color="ffffff" w:fill="d9d9d9"/>
        </w:rPr>
      </w:pPr>
      <w:r>
        <w:rPr>
          <w:rFonts w:hint="eastAsia" w:ascii="宋体" w:hAnsi="宋体"/>
          <w:color w:val="000000"/>
          <w:sz w:val="24"/>
          <w:highlight w:val="none"/>
        </w:rPr>
        <w:t xml:space="preserve">如果项目或采购包存在有分项价格最高限价要求或单价最高限价（最高限制单价）要求时，有上述第（3）项情形的，应当启动异常低价投标（响应）审查程序。</w:t>
      </w:r>
      <w:r>
        <w:rPr>
          <w:rFonts w:hint="eastAsia" w:ascii="宋体" w:hAnsi="宋体"/>
          <w:bCs/>
          <w:color w:val="000000"/>
          <w:sz w:val="24"/>
          <w:highlight w:val="none"/>
          <w:shd w:val="clear" w:color="ffffff" w:fill="d9d9d9"/>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26.1.23响应文件内容不全或不符合征集文件中规定的其他实质性要求和条件的。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26.1.24投标系统中不同</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的MAC地址一致或标书制作工具客户端标识码一致的。</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其他法律法规及本征集文件规定的属无效响应的情形。</w:t>
      </w:r>
      <w:r>
        <w:rPr>
          <w:rFonts w:hint="eastAsia" w:ascii="宋体" w:hAnsi="宋体"/>
          <w:bCs/>
          <w:color w:val="000000"/>
          <w:sz w:val="24"/>
          <w:highlight w:val="none"/>
        </w:rPr>
      </w:r>
      <w:r/>
    </w:p>
    <w:p>
      <w:pPr>
        <w:pStyle w:val="706"/>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26.2征集活动终止情形</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26.2.1在“苏采云”系统规定时间内成功解密电子响应文件的供应商不足2家的。</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26.2.2</w:t>
      </w:r>
      <w:r>
        <w:rPr>
          <w:rFonts w:hint="eastAsia" w:ascii="宋体" w:hAnsi="宋体"/>
          <w:bCs/>
          <w:color w:val="000000"/>
          <w:sz w:val="24"/>
          <w:highlight w:val="none"/>
        </w:rPr>
        <w:t xml:space="preserve">出现影响采购公正的违法、违规行为的。</w:t>
      </w:r>
      <w:r>
        <w:rPr>
          <w:rFonts w:hint="eastAsia" w:ascii="宋体" w:hAnsi="宋体"/>
          <w:bCs/>
          <w:color w:val="000000"/>
          <w:sz w:val="24"/>
          <w:highlight w:val="none"/>
        </w:rPr>
      </w:r>
      <w:r/>
    </w:p>
    <w:p>
      <w:pPr>
        <w:pStyle w:val="706"/>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26.2.3在采购活动中因重大变故，采购任务取消的。</w:t>
      </w:r>
      <w:r>
        <w:rPr>
          <w:rFonts w:hint="eastAsia" w:ascii="宋体" w:hAnsi="宋体"/>
          <w:bCs/>
          <w:color w:val="000000"/>
          <w:sz w:val="24"/>
          <w:highlight w:val="none"/>
        </w:rPr>
      </w:r>
      <w:r/>
    </w:p>
    <w:p>
      <w:pPr>
        <w:pStyle w:val="706"/>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26.2.4因情况变化，不再符合规定的封闭式框架协议采购方式适用情形的。</w:t>
      </w:r>
      <w:r>
        <w:rPr>
          <w:rFonts w:hint="eastAsia" w:ascii="宋体" w:hAnsi="宋体"/>
          <w:bCs/>
          <w:color w:val="000000"/>
          <w:sz w:val="24"/>
          <w:highlight w:val="none"/>
        </w:rPr>
      </w:r>
      <w:r/>
    </w:p>
    <w:p>
      <w:pPr>
        <w:pStyle w:val="709"/>
        <w:ind w:firstLine="452"/>
        <w:keepLines w:val="0"/>
        <w:keepNext w:val="0"/>
        <w:spacing w:before="0" w:after="0" w:line="500" w:lineRule="exact"/>
        <w:rPr>
          <w:rFonts w:hint="eastAsia"/>
          <w:color w:val="000000"/>
          <w:sz w:val="30"/>
          <w:szCs w:val="30"/>
          <w:highlight w:val="none"/>
        </w:rPr>
      </w:pPr>
      <w:r/>
      <w:bookmarkStart w:id="151" w:name="_Toc120614219"/>
      <w:r>
        <w:rPr>
          <w:rFonts w:hint="eastAsia"/>
          <w:color w:val="000000"/>
          <w:sz w:val="30"/>
          <w:szCs w:val="30"/>
          <w:highlight w:val="none"/>
        </w:rPr>
        <w:t xml:space="preserve">六、</w:t>
      </w:r>
      <w:bookmarkEnd w:id="148"/>
      <w:r/>
      <w:bookmarkEnd w:id="149"/>
      <w:r/>
      <w:bookmarkEnd w:id="150"/>
      <w:r/>
      <w:bookmarkEnd w:id="151"/>
      <w:r>
        <w:rPr>
          <w:rFonts w:hint="eastAsia"/>
          <w:color w:val="000000"/>
          <w:sz w:val="30"/>
          <w:szCs w:val="30"/>
          <w:highlight w:val="none"/>
        </w:rPr>
        <w:t xml:space="preserve">入围及成交</w:t>
      </w:r>
      <w:r>
        <w:rPr>
          <w:rFonts w:hint="eastAsia"/>
          <w:color w:val="000000"/>
          <w:sz w:val="30"/>
          <w:szCs w:val="30"/>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Start w:id="152" w:name="_Toc16938554"/>
      <w:r/>
      <w:bookmarkStart w:id="153" w:name="_Toc20823310"/>
      <w:r>
        <w:rPr>
          <w:rFonts w:hint="eastAsia" w:ascii="宋体" w:hAnsi="宋体" w:eastAsia="宋体"/>
          <w:bCs w:val="0"/>
          <w:color w:val="000000"/>
          <w:highlight w:val="none"/>
        </w:rPr>
        <w:t xml:space="preserve">27.入围</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27.1评审小组对通过资格性检查和符合性检查的有效响应文件，根据征集文件规定的评审方法、评审标准确定入围供应商。征集人将在“江苏政府采购网”发布入围结果公告，公告期限为1个工作日。</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27.2入围结果确定后，征集人将向入围供应商发出入围通知书。如通过“苏采云”系统进行发放的，请入围供应商在入围结果公告届满之日起30日内</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使用CA数字证书登录“苏采云”系统及时下载入围通知书。因系统存储空间有限，自入围结果公告届满之日起30日后，“苏采云”系统不再保证提供下载入围通知书服务</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因未及时下载而造成的不利后果由入围供应商自行承担。</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27.3入围通知书将是框架协议的一个组成部分。对征集人和入围供应商均具有法律效力。入围通知书发出后，入围供应商无正当理由，不得主动放弃入围资格或者退出框架协议，否则应当依法承担法律责任。</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27.4供应商电子响应文件将作为本项目征集活动的电子档案保存，电子档案与纸档案具有同等效力。</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27.5入围供应商在框架协议约定期限内，应当以不高于其报价的价格向适用框架协议的采购人或服务对象提供便捷、优质服务。</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27.6若有充分证据证明入围供应商出现下列情况之一的，一经查实，将被取消入围资格：</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27.6.1</w:t>
      </w:r>
      <w:r>
        <w:rPr>
          <w:rFonts w:hint="eastAsia" w:ascii="宋体" w:hAnsi="宋体"/>
          <w:bCs/>
          <w:color w:val="000000"/>
          <w:sz w:val="24"/>
          <w:szCs w:val="24"/>
          <w:highlight w:val="none"/>
        </w:rPr>
        <w:t xml:space="preserve">提供虚假材料谋取入围或者合同成交的</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27.6.2向征集人、交易中心行贿或者提供其他不正当利益的。</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27.6.3属于本文件规定的无效响应条款的，但在评审过程中又未被评审小组发现的。</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27.6.4与征集人或者其他供应商恶意串通的。</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27.6.5采取不正当手段诋毁、排挤其他供应商的。</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27.6.6在征集过程中与征集人进行协商谈判、不按照征集文件和入围供应商的响应文件订立框架协议，或者与征集人另行订立背离框架协议实质性内容的协议的。</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27.6.7在框架协议约定期限内与采购人进行协商谈判、不按照框架协议订立合同的，或者与采购人另行订立背离框架协议实质性内容的合同的。</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27.6.8拒绝有关部门监督检查或者提供虚假情况的。</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27.7入围供应商的清退和补充规则</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27.7.1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27.7.2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rPr>
          <w:rFonts w:hint="eastAsia" w:ascii="宋体" w:hAnsi="宋体"/>
          <w:bCs/>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28.成交</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28.1确定第二阶段成交供应商的方式为直接选定。由采购人在“江苏省政府采购（苏采云）平台”中从第一阶段入围供应商中直接选定。第一阶段入围供应商的协议价格是采购人确定第二阶段成交供应商的最高限价。</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28.2采购人在确定成交供应商后，不得擅自改变框架协议约定的实质性条款。供应商履行合同后，依据采购合同的约定，与采购人进行费用结算。</w:t>
      </w:r>
      <w:r>
        <w:rPr>
          <w:rFonts w:hint="eastAsia" w:ascii="宋体" w:hAnsi="宋体"/>
          <w:bCs/>
          <w:color w:val="000000"/>
          <w:sz w:val="24"/>
          <w:highlight w:val="none"/>
        </w:rPr>
      </w:r>
      <w:r/>
    </w:p>
    <w:p>
      <w:pPr>
        <w:pStyle w:val="70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28.3采购人在确定成交供应商后，不得擅自改变框架协议约定的实质性条款。供应商履行合同后，依据采购合同的约定，与采购人进行费用结算。</w:t>
      </w:r>
      <w:r>
        <w:rPr>
          <w:rFonts w:hint="eastAsia" w:ascii="宋体" w:hAnsi="宋体"/>
          <w:bCs/>
          <w:color w:val="000000"/>
          <w:sz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End w:id="152"/>
      <w:r/>
      <w:bookmarkEnd w:id="153"/>
      <w:r/>
      <w:bookmarkStart w:id="154" w:name="_Toc200451960"/>
      <w:r>
        <w:rPr>
          <w:rFonts w:hint="eastAsia" w:ascii="宋体" w:hAnsi="宋体" w:eastAsia="宋体"/>
          <w:bCs w:val="0"/>
          <w:color w:val="000000"/>
          <w:highlight w:val="none"/>
        </w:rPr>
        <w:t xml:space="preserve">29.质疑处理</w:t>
      </w:r>
      <w:bookmarkEnd w:id="154"/>
      <w:r>
        <w:rPr>
          <w:rFonts w:hint="eastAsia" w:ascii="宋体" w:hAnsi="宋体" w:eastAsia="宋体"/>
          <w:bCs w:val="0"/>
          <w:color w:val="000000"/>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29.1 提出质疑的供应商应当是参与所</w:t>
      </w:r>
      <w:r>
        <w:rPr>
          <w:rFonts w:hint="eastAsia" w:ascii="宋体" w:hAnsi="宋体"/>
          <w:color w:val="000000"/>
          <w:sz w:val="24"/>
          <w:szCs w:val="24"/>
          <w:highlight w:val="none"/>
        </w:rPr>
        <w:t xml:space="preserve">质疑项目采购活动的供应商。潜在供应商依法获取其可质疑的征集文件的，可以对征集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供应商认为征集文件、采购过程和入围结果使自己的权益受到损害的，可以在知道或应知其权益受到损害之日起七个工作日内，以书面形式根据下述29.4条款的规定向征集人或集中采购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29.2.1</w:t>
      </w:r>
      <w:r>
        <w:rPr>
          <w:rFonts w:ascii="宋体" w:hAnsi="宋体"/>
          <w:color w:val="000000"/>
          <w:sz w:val="24"/>
          <w:szCs w:val="24"/>
          <w:highlight w:val="none"/>
        </w:rPr>
        <w:t xml:space="preserve">对可以质疑的</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文件提出质疑的，为收到</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文件之日或者</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文件公告期限届满之日；</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29.2.2</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过程提出质疑的，为各采购程序环节结束之日；</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29.2.3</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入围</w:t>
      </w:r>
      <w:r>
        <w:rPr>
          <w:rFonts w:ascii="宋体" w:hAnsi="宋体"/>
          <w:color w:val="000000"/>
          <w:sz w:val="24"/>
          <w:szCs w:val="24"/>
          <w:highlight w:val="none"/>
        </w:rPr>
        <w:t xml:space="preserve">结果提出质疑的，为</w:t>
      </w:r>
      <w:r>
        <w:rPr>
          <w:rFonts w:hint="eastAsia" w:ascii="宋体" w:hAnsi="宋体"/>
          <w:color w:val="000000"/>
          <w:sz w:val="24"/>
          <w:szCs w:val="24"/>
          <w:highlight w:val="none"/>
        </w:rPr>
        <w:t xml:space="preserve">入围</w:t>
      </w:r>
      <w:r>
        <w:rPr>
          <w:rFonts w:ascii="宋体" w:hAnsi="宋体"/>
          <w:color w:val="000000"/>
          <w:sz w:val="24"/>
          <w:szCs w:val="24"/>
          <w:highlight w:val="none"/>
        </w:rPr>
        <w:t xml:space="preserve">结果公告期限届满之日。</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供应商如组成联合体参加采购活动，则《质疑函范本》中要求签字、盖章、加盖公章之处，联合体各方均须按要求签字、盖章、加盖公章。</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29.4供应商（含潜在供应商）对征集文件的质疑请向征集人提出，由征集人负责答复。</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供应商对采购过程和入围结果的质疑请向征集人提出，征集人若委托集中采购机构进行征集的，可向集中采购机构提出，由征集人配合进行答复。</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征集人、集中采购机构只接收以纸质原件形式送达的质疑,质疑供应商可通过面交或邮寄方式送达（征集人和集中采购机构不接受未填写快递运单的快件）。</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 以下情形的质疑不予受理</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29.5.1 内容不符合《政府采购质疑和投诉办法》第十二条规定的质疑。</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29.5.2 超出政府采购法定期限的质疑。</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29.5.3 以传真、电子邮件等方式递交的非原件形式的质疑。</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29.5.4未参加采购活动的供应商或在采购活动中自身权益未受到损害的供应商所提出的质疑。</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29.5.5供应商组成联合体参加采购活动，联合体中任何一方或多方未按要求签字、盖章、加盖公章的质疑。</w:t>
      </w:r>
      <w:r>
        <w:rPr>
          <w:rFonts w:hint="eastAsia" w:ascii="宋体" w:hAnsi="宋体"/>
          <w:color w:val="000000"/>
          <w:sz w:val="24"/>
          <w:szCs w:val="24"/>
          <w:highlight w:val="none"/>
        </w:rPr>
      </w:r>
      <w:r/>
    </w:p>
    <w:p>
      <w:pPr>
        <w:pStyle w:val="706"/>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一经查实，征集人、集中采购机构有权依据政府采购的有关规定，报请政府采购监管部门对该供应商进行相应的行政处罚和记录该供应商的失信信息。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709"/>
        <w:ind w:firstLine="452"/>
        <w:keepLines w:val="0"/>
        <w:keepNext w:val="0"/>
        <w:spacing w:before="0" w:after="0" w:line="500" w:lineRule="exact"/>
        <w:rPr>
          <w:rFonts w:hint="eastAsia"/>
          <w:color w:val="000000"/>
          <w:sz w:val="30"/>
          <w:szCs w:val="30"/>
          <w:highlight w:val="none"/>
        </w:rPr>
      </w:pPr>
      <w:r/>
      <w:bookmarkStart w:id="155" w:name="_Toc120614220"/>
      <w:r/>
      <w:bookmarkStart w:id="156" w:name="_Toc20823308"/>
      <w:r/>
      <w:bookmarkStart w:id="157" w:name="_Toc16938552"/>
      <w:r/>
      <w:bookmarkStart w:id="158" w:name="_Toc513029236"/>
      <w:r>
        <w:rPr>
          <w:rFonts w:hint="eastAsia"/>
          <w:color w:val="000000"/>
          <w:sz w:val="30"/>
          <w:szCs w:val="30"/>
          <w:highlight w:val="none"/>
        </w:rPr>
        <w:t xml:space="preserve">七、</w:t>
      </w:r>
      <w:bookmarkEnd w:id="155"/>
      <w:r>
        <w:rPr>
          <w:rFonts w:hint="eastAsia"/>
          <w:color w:val="000000"/>
          <w:sz w:val="30"/>
          <w:szCs w:val="30"/>
          <w:highlight w:val="none"/>
        </w:rPr>
        <w:t xml:space="preserve">其他事项</w:t>
      </w:r>
      <w:r>
        <w:rPr>
          <w:rFonts w:hint="eastAsia"/>
          <w:color w:val="000000"/>
          <w:sz w:val="30"/>
          <w:szCs w:val="30"/>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bookmarkEnd w:id="156"/>
      <w:r/>
      <w:bookmarkEnd w:id="157"/>
      <w:r/>
      <w:bookmarkEnd w:id="158"/>
      <w:r/>
      <w:bookmarkStart w:id="159" w:name="_Toc20823309"/>
      <w:r/>
      <w:bookmarkStart w:id="160" w:name="_Toc513029237"/>
      <w:r/>
      <w:bookmarkStart w:id="161" w:name="_Toc16938553"/>
      <w:r>
        <w:rPr>
          <w:rFonts w:hint="eastAsia" w:ascii="宋体" w:hAnsi="宋体" w:eastAsia="宋体"/>
          <w:bCs w:val="0"/>
          <w:color w:val="000000"/>
          <w:highlight w:val="none"/>
        </w:rPr>
        <w:t xml:space="preserve">30.框架协议的签订</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30.1征集人在入围通知书发出之日起三十日内和入围供应商签订框架协议，</w:t>
      </w:r>
      <w:r>
        <w:rPr>
          <w:rFonts w:hint="eastAsia" w:ascii="宋体" w:hAnsi="宋体"/>
          <w:bCs/>
          <w:color w:val="000000"/>
          <w:sz w:val="24"/>
          <w:highlight w:val="none"/>
        </w:rPr>
        <w:t xml:space="preserve">如通过“苏采云”系统进行框架协议签订的，</w:t>
      </w:r>
      <w:r>
        <w:rPr>
          <w:rFonts w:hint="eastAsia" w:ascii="宋体" w:hAnsi="宋体"/>
          <w:bCs/>
          <w:color w:val="000000"/>
          <w:sz w:val="24"/>
          <w:szCs w:val="24"/>
          <w:highlight w:val="none"/>
        </w:rPr>
        <w:t xml:space="preserve">入围供应商在收到或应当收到入围通知后</w:t>
      </w:r>
      <w:r>
        <w:rPr>
          <w:rFonts w:hint="eastAsia" w:ascii="宋体" w:hAnsi="宋体"/>
          <w:color w:val="000000"/>
          <w:sz w:val="24"/>
          <w:szCs w:val="24"/>
          <w:highlight w:val="none"/>
        </w:rPr>
        <w:t xml:space="preserve">需及时使用CA数字证书登录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完成电子框架协议的签订工作</w:t>
      </w:r>
      <w:r>
        <w:rPr>
          <w:rFonts w:hint="eastAsia" w:ascii="宋体" w:hAnsi="宋体"/>
          <w:bCs/>
          <w:color w:val="000000"/>
          <w:sz w:val="24"/>
          <w:szCs w:val="24"/>
          <w:highlight w:val="none"/>
        </w:rPr>
        <w:t xml:space="preserve">。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30.2征集文件、入围供应商的响应文件及评审过程中有关澄清、承诺文件均应作为框架协议的附件。</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30.4入围供应商非因不可抗力未履行征集文件、响应文件和合同规定的义务，一经查实，征集人将根据具体情况提请市政府采购监督管理部门作出相应处理。</w:t>
      </w:r>
      <w:r>
        <w:rPr>
          <w:rFonts w:hint="eastAsia" w:ascii="宋体" w:hAnsi="宋体"/>
          <w:bCs/>
          <w:color w:val="000000"/>
          <w:sz w:val="24"/>
          <w:szCs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31.用户反馈和评价机制</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31.1本项目征集人</w:t>
      </w:r>
      <w:r>
        <w:rPr>
          <w:rFonts w:ascii="宋体" w:hAnsi="宋体"/>
          <w:bCs/>
          <w:color w:val="000000"/>
          <w:sz w:val="24"/>
          <w:szCs w:val="24"/>
          <w:highlight w:val="none"/>
        </w:rPr>
        <w:t xml:space="preserve">建立</w:t>
      </w:r>
      <w:r>
        <w:rPr>
          <w:rFonts w:hint="eastAsia" w:ascii="宋体" w:hAnsi="宋体"/>
          <w:bCs/>
          <w:color w:val="000000"/>
          <w:sz w:val="24"/>
          <w:szCs w:val="24"/>
          <w:highlight w:val="none"/>
        </w:rPr>
        <w:t xml:space="preserve">用户反馈和评价机制，接受采购人和服务对象对入围供应商履行框架协议和采购合同情况的反馈与评价，并将用户反馈和评价情况向采购人和服务对象公开，作为第二阶段选定成交供应商的参考。</w:t>
      </w:r>
      <w:r>
        <w:rPr>
          <w:rFonts w:hint="eastAsia" w:ascii="宋体" w:hAnsi="宋体"/>
          <w:bCs/>
          <w:color w:val="000000"/>
          <w:sz w:val="24"/>
          <w:szCs w:val="24"/>
          <w:highlight w:val="none"/>
        </w:rPr>
      </w:r>
      <w:r/>
    </w:p>
    <w:p>
      <w:pPr>
        <w:pStyle w:val="71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32.其他未尽事宜</w:t>
      </w:r>
      <w:r>
        <w:rPr>
          <w:rFonts w:hint="eastAsia" w:ascii="宋体" w:hAnsi="宋体" w:eastAsia="宋体"/>
          <w:bCs w:val="0"/>
          <w:color w:val="000000"/>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32.1关于本项目的报价要求、采购资金的支付方式、时间和条件、入围产品（服务）升级换代规则等详见本征集文件第三章《框架协议文本和采购合同文本》或第四章《采购需求》。</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32.2入围供应商须按照征集文件要求和框架协议约定接受采购人或者服务对象的合同授予，并履行政府采购合同。</w:t>
      </w:r>
      <w:r>
        <w:rPr>
          <w:rFonts w:hint="eastAsia" w:ascii="宋体" w:hAnsi="宋体"/>
          <w:bCs/>
          <w:color w:val="000000"/>
          <w:sz w:val="24"/>
          <w:szCs w:val="24"/>
          <w:highlight w:val="none"/>
        </w:rPr>
      </w:r>
      <w:r/>
    </w:p>
    <w:p>
      <w:pPr>
        <w:pStyle w:val="70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32.3省级以上财政部门规定的其他事项。</w:t>
      </w:r>
      <w:r>
        <w:rPr>
          <w:rFonts w:hint="eastAsia" w:ascii="宋体" w:hAnsi="宋体"/>
          <w:bCs/>
          <w:color w:val="000000"/>
          <w:sz w:val="24"/>
          <w:szCs w:val="24"/>
          <w:highlight w:val="none"/>
        </w:rPr>
      </w:r>
      <w:r/>
    </w:p>
    <w:p>
      <w:pPr>
        <w:pStyle w:val="706"/>
        <w:jc w:val="center"/>
        <w:spacing w:line="500" w:lineRule="exact"/>
        <w:tabs>
          <w:tab w:val="left" w:pos="1440" w:leader="none"/>
        </w:tabs>
        <w:rPr>
          <w:rFonts w:hint="eastAsia" w:ascii="黑体" w:hAnsi="黑体" w:eastAsia="黑体"/>
          <w:color w:val="000000"/>
          <w:sz w:val="36"/>
          <w:szCs w:val="36"/>
          <w:highlight w:val="none"/>
        </w:rPr>
        <w:outlineLvl w:val="0"/>
      </w:pPr>
      <w:r/>
      <w:bookmarkEnd w:id="159"/>
      <w:r/>
      <w:bookmarkEnd w:id="160"/>
      <w:r/>
      <w:bookmarkEnd w:id="161"/>
      <w:r/>
      <w:bookmarkStart w:id="162" w:name="_Toc16938558"/>
      <w:r/>
      <w:bookmarkStart w:id="163" w:name="_Toc120614221"/>
      <w:r/>
      <w:bookmarkStart w:id="164" w:name="_Toc479757207"/>
      <w:r/>
      <w:bookmarkStart w:id="165" w:name="_Toc513029242"/>
      <w:r/>
      <w:bookmarkStart w:id="166" w:name="_Toc20823314"/>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w:t>
      </w:r>
      <w:bookmarkEnd w:id="162"/>
      <w:r/>
      <w:bookmarkEnd w:id="163"/>
      <w:r/>
      <w:bookmarkEnd w:id="164"/>
      <w:r/>
      <w:bookmarkEnd w:id="165"/>
      <w:r/>
      <w:bookmarkEnd w:id="166"/>
      <w:r>
        <w:rPr>
          <w:rFonts w:hint="eastAsia" w:ascii="黑体" w:hAnsi="黑体" w:eastAsia="黑体"/>
          <w:color w:val="000000"/>
          <w:sz w:val="36"/>
          <w:szCs w:val="36"/>
          <w:highlight w:val="none"/>
        </w:rPr>
        <w:t xml:space="preserve">框架协议文本和采购合同文本</w:t>
      </w:r>
      <w:r>
        <w:rPr>
          <w:rFonts w:hint="eastAsia" w:ascii="黑体" w:hAnsi="黑体" w:eastAsia="黑体"/>
          <w:color w:val="000000"/>
          <w:sz w:val="36"/>
          <w:szCs w:val="36"/>
          <w:highlight w:val="none"/>
        </w:rPr>
      </w:r>
      <w:r/>
    </w:p>
    <w:p>
      <w:pPr>
        <w:pStyle w:val="706"/>
        <w:ind w:firstLine="602"/>
        <w:jc w:val="center"/>
        <w:spacing w:line="360" w:lineRule="auto"/>
        <w:rPr>
          <w:rFonts w:hint="eastAsia" w:ascii="宋体" w:hAnsi="宋体"/>
          <w:b/>
          <w:color w:val="000000"/>
          <w:sz w:val="30"/>
          <w:szCs w:val="30"/>
          <w:highlight w:val="none"/>
        </w:rPr>
      </w:pPr>
      <w:r/>
      <w:bookmarkStart w:id="167" w:name="_Toc513029243"/>
      <w:r/>
      <w:bookmarkStart w:id="168" w:name="_Toc16938559"/>
      <w:r/>
      <w:bookmarkStart w:id="169" w:name="_Toc20823315"/>
      <w:r>
        <w:rPr>
          <w:rFonts w:hint="eastAsia" w:ascii="宋体" w:hAnsi="宋体"/>
          <w:b/>
          <w:color w:val="000000"/>
          <w:sz w:val="30"/>
          <w:szCs w:val="30"/>
          <w:highlight w:val="none"/>
        </w:rPr>
        <w:t xml:space="preserve">第一部分  框架协议文本</w:t>
      </w:r>
      <w:r>
        <w:rPr>
          <w:rFonts w:hint="eastAsia" w:ascii="宋体" w:hAnsi="宋体"/>
          <w:b/>
          <w:color w:val="000000"/>
          <w:sz w:val="30"/>
          <w:szCs w:val="30"/>
          <w:highlight w:val="none"/>
        </w:rPr>
      </w:r>
      <w:r/>
    </w:p>
    <w:p>
      <w:pPr>
        <w:pStyle w:val="706"/>
        <w:ind w:firstLine="480"/>
        <w:spacing w:line="360" w:lineRule="auto"/>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2026-2027年度无锡市梁溪区物业管理服务框架协议采购</w:t>
      </w:r>
      <w:r>
        <w:rPr>
          <w:rFonts w:hint="eastAsia" w:ascii="宋体" w:hAnsi="宋体" w:eastAsia="宋体"/>
          <w:color w:val="000000"/>
          <w:sz w:val="24"/>
          <w:szCs w:val="24"/>
          <w:highlight w:val="none"/>
          <w:lang w:eastAsia="zh-CN"/>
        </w:rPr>
      </w:r>
      <w:r/>
    </w:p>
    <w:p>
      <w:pPr>
        <w:pStyle w:val="706"/>
        <w:ind w:firstLine="480"/>
        <w:spacing w:line="360" w:lineRule="auto"/>
        <w:rPr>
          <w:rFonts w:hint="eastAsia" w:ascii="黑体" w:eastAsia="宋体"/>
          <w:bCs/>
          <w:color w:val="000000"/>
          <w:sz w:val="30"/>
          <w:szCs w:val="30"/>
          <w:highlight w:val="none"/>
          <w:lang w:eastAsia="zh-CN"/>
        </w:rPr>
      </w:pPr>
      <w:r>
        <w:rPr>
          <w:rFonts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JSZC-320213-JZCG-K2026-0009</w:t>
      </w:r>
      <w:r>
        <w:rPr>
          <w:rFonts w:hint="eastAsia" w:ascii="黑体" w:eastAsia="宋体"/>
          <w:bCs/>
          <w:color w:val="000000"/>
          <w:sz w:val="30"/>
          <w:szCs w:val="30"/>
          <w:highlight w:val="none"/>
          <w:lang w:eastAsia="zh-CN"/>
        </w:rPr>
      </w:r>
      <w:r/>
    </w:p>
    <w:p>
      <w:pPr>
        <w:pStyle w:val="744"/>
        <w:ind w:firstLine="480"/>
        <w:spacing w:before="120" w:after="120" w:line="360" w:lineRule="auto"/>
        <w:rPr>
          <w:rFonts w:hint="eastAsia" w:hAnsi="宋体" w:eastAsia="宋体"/>
          <w:color w:val="000000"/>
          <w:sz w:val="24"/>
          <w:szCs w:val="24"/>
          <w:highlight w:val="none"/>
          <w:lang w:eastAsia="zh-CN"/>
        </w:rPr>
      </w:pPr>
      <w:r>
        <w:rPr>
          <w:rFonts w:hAnsi="宋体"/>
          <w:color w:val="000000"/>
          <w:sz w:val="24"/>
          <w:szCs w:val="24"/>
          <w:highlight w:val="none"/>
        </w:rPr>
        <w:t xml:space="preserve">甲方：（</w:t>
      </w:r>
      <w:r>
        <w:rPr>
          <w:rFonts w:hint="eastAsia" w:hAnsi="宋体"/>
          <w:color w:val="000000"/>
          <w:sz w:val="24"/>
          <w:szCs w:val="24"/>
          <w:highlight w:val="none"/>
        </w:rPr>
        <w:t xml:space="preserve">征集人</w:t>
      </w:r>
      <w:r>
        <w:rPr>
          <w:rFonts w:hAnsi="宋体"/>
          <w:color w:val="000000"/>
          <w:sz w:val="24"/>
          <w:szCs w:val="24"/>
          <w:highlight w:val="none"/>
        </w:rPr>
        <w:t xml:space="preserve">）</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eastAsia="zh-CN"/>
        </w:rPr>
        <w:t xml:space="preserve">无锡市公共资源交易中心梁溪分中心</w:t>
      </w:r>
      <w:r>
        <w:rPr>
          <w:rFonts w:hint="eastAsia" w:hAnsi="宋体" w:eastAsia="宋体"/>
          <w:color w:val="000000"/>
          <w:sz w:val="24"/>
          <w:szCs w:val="24"/>
          <w:highlight w:val="none"/>
          <w:lang w:eastAsia="zh-CN"/>
        </w:rPr>
      </w:r>
      <w:r/>
    </w:p>
    <w:p>
      <w:pPr>
        <w:pStyle w:val="744"/>
        <w:ind w:firstLine="480"/>
        <w:spacing w:before="120" w:after="120" w:line="360" w:lineRule="auto"/>
        <w:rPr>
          <w:rFonts w:hint="eastAsia" w:hAnsi="宋体"/>
          <w:color w:val="000000"/>
          <w:sz w:val="24"/>
          <w:szCs w:val="24"/>
          <w:highlight w:val="none"/>
        </w:rPr>
      </w:pPr>
      <w:r>
        <w:rPr>
          <w:rFonts w:hAnsi="宋体"/>
          <w:color w:val="000000"/>
          <w:sz w:val="24"/>
          <w:szCs w:val="24"/>
          <w:highlight w:val="none"/>
        </w:rPr>
        <w:t xml:space="preserve">乙方：（</w:t>
      </w:r>
      <w:r>
        <w:rPr>
          <w:rFonts w:hint="eastAsia" w:hAnsi="宋体"/>
          <w:color w:val="000000"/>
          <w:sz w:val="24"/>
          <w:szCs w:val="24"/>
          <w:highlight w:val="none"/>
        </w:rPr>
        <w:t xml:space="preserve">入围供应商）</w:t>
      </w:r>
      <w:r>
        <w:rPr>
          <w:rFonts w:hAnsi="宋体"/>
          <w:color w:val="000000"/>
          <w:sz w:val="24"/>
          <w:szCs w:val="24"/>
          <w:highlight w:val="none"/>
        </w:rPr>
        <w:t xml:space="preserve">_______</w:t>
      </w:r>
      <w:r>
        <w:rPr>
          <w:rFonts w:hAnsi="宋体"/>
          <w:color w:val="000000"/>
          <w:sz w:val="24"/>
          <w:szCs w:val="24"/>
          <w:highlight w:val="none"/>
          <w:u w:val="single"/>
        </w:rPr>
        <w:t xml:space="preserve">__</w:t>
      </w:r>
      <w:r>
        <w:rPr>
          <w:rFonts w:hint="eastAsia" w:hAnsi="宋体"/>
          <w:color w:val="000000"/>
          <w:sz w:val="24"/>
          <w:szCs w:val="24"/>
          <w:highlight w:val="none"/>
          <w:u w:val="single"/>
        </w:rPr>
        <w:t xml:space="preserve">     </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Ansi="宋体"/>
          <w:color w:val="000000"/>
          <w:sz w:val="24"/>
          <w:szCs w:val="24"/>
          <w:highlight w:val="none"/>
        </w:rPr>
        <w:t xml:space="preserve">甲、乙双方根据</w:t>
      </w:r>
      <w:r>
        <w:rPr>
          <w:rFonts w:hint="eastAsia" w:hAnsi="宋体"/>
          <w:color w:val="000000"/>
          <w:sz w:val="24"/>
          <w:szCs w:val="24"/>
          <w:highlight w:val="none"/>
          <w:u w:val="single"/>
          <w:lang w:eastAsia="zh-CN"/>
        </w:rPr>
        <w:t xml:space="preserve">JSZC-320213-JZCG-K2026-0009</w:t>
      </w:r>
      <w:r>
        <w:rPr>
          <w:rFonts w:hAnsi="宋体"/>
          <w:color w:val="000000"/>
          <w:sz w:val="24"/>
          <w:szCs w:val="24"/>
          <w:highlight w:val="none"/>
        </w:rPr>
        <w:t xml:space="preserve">项目</w:t>
      </w:r>
      <w:r>
        <w:rPr>
          <w:rFonts w:hint="eastAsia" w:hAnsi="宋体"/>
          <w:color w:val="000000"/>
          <w:sz w:val="24"/>
          <w:szCs w:val="24"/>
          <w:highlight w:val="none"/>
        </w:rPr>
        <w:t xml:space="preserve">框架协议采购</w:t>
      </w:r>
      <w:r>
        <w:rPr>
          <w:rFonts w:hAnsi="宋体"/>
          <w:color w:val="000000"/>
          <w:sz w:val="24"/>
          <w:szCs w:val="24"/>
          <w:highlight w:val="none"/>
        </w:rPr>
        <w:t xml:space="preserve">的结果，签署本</w:t>
      </w:r>
      <w:r>
        <w:rPr>
          <w:rFonts w:hint="eastAsia" w:hAnsi="宋体"/>
          <w:color w:val="000000"/>
          <w:sz w:val="24"/>
          <w:szCs w:val="24"/>
          <w:highlight w:val="none"/>
        </w:rPr>
        <w:t xml:space="preserve">文本</w:t>
      </w:r>
      <w:r>
        <w:rPr>
          <w:rFonts w:hAnsi="宋体"/>
          <w:color w:val="000000"/>
          <w:sz w:val="24"/>
          <w:szCs w:val="24"/>
          <w:highlight w:val="none"/>
        </w:rPr>
        <w:t xml:space="preserve">。</w:t>
      </w:r>
      <w:r>
        <w:rPr>
          <w:rFonts w:hint="eastAsia" w:hAnsi="宋体"/>
          <w:color w:val="000000"/>
          <w:sz w:val="24"/>
          <w:szCs w:val="24"/>
          <w:highlight w:val="none"/>
        </w:rPr>
      </w:r>
      <w:r/>
    </w:p>
    <w:p>
      <w:pPr>
        <w:pStyle w:val="744"/>
        <w:ind w:firstLine="482"/>
        <w:spacing w:before="120" w:after="120" w:line="360" w:lineRule="auto"/>
        <w:rPr>
          <w:rFonts w:hint="eastAsia"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项目基本情况</w:t>
      </w:r>
      <w:r>
        <w:rPr>
          <w:rFonts w:hint="eastAsia" w:hAnsi="宋体"/>
          <w:b/>
          <w:color w:val="000000"/>
          <w:sz w:val="24"/>
          <w:szCs w:val="24"/>
          <w:highlight w:val="none"/>
        </w:rPr>
      </w:r>
      <w:r/>
    </w:p>
    <w:p>
      <w:pPr>
        <w:pStyle w:val="744"/>
        <w:ind w:firstLine="480"/>
        <w:spacing w:before="120" w:after="120" w:line="360" w:lineRule="auto"/>
        <w:rPr>
          <w:rFonts w:hint="eastAsia" w:hAnsi="宋体"/>
          <w:color w:val="000000"/>
          <w:sz w:val="24"/>
          <w:szCs w:val="24"/>
          <w:highlight w:val="none"/>
          <w:u w:val="single"/>
        </w:rPr>
      </w:pPr>
      <w:r>
        <w:rPr>
          <w:rFonts w:hint="eastAsia" w:hAnsi="宋体"/>
          <w:color w:val="000000"/>
          <w:sz w:val="24"/>
          <w:szCs w:val="24"/>
          <w:highlight w:val="none"/>
        </w:rPr>
        <w:t xml:space="preserve">1.采购需求：</w:t>
      </w:r>
      <w:r>
        <w:rPr>
          <w:rFonts w:hint="eastAsia" w:hAnsi="宋体"/>
          <w:color w:val="000000"/>
          <w:sz w:val="24"/>
          <w:szCs w:val="24"/>
          <w:highlight w:val="none"/>
          <w:u w:val="single"/>
        </w:rPr>
        <w:t xml:space="preserve">见征集文件需求</w:t>
      </w:r>
      <w:r>
        <w:rPr>
          <w:rFonts w:hint="eastAsia" w:hAnsi="宋体"/>
          <w:color w:val="000000"/>
          <w:sz w:val="24"/>
          <w:szCs w:val="24"/>
          <w:highlight w:val="none"/>
          <w:u w:val="single"/>
        </w:rPr>
      </w:r>
      <w:r/>
    </w:p>
    <w:p>
      <w:pPr>
        <w:pStyle w:val="744"/>
        <w:ind w:firstLine="480"/>
        <w:spacing w:before="120" w:after="120" w:line="360" w:lineRule="auto"/>
        <w:rPr>
          <w:rFonts w:hint="eastAsia" w:hAnsi="宋体"/>
          <w:color w:val="000000"/>
          <w:sz w:val="24"/>
          <w:szCs w:val="24"/>
          <w:highlight w:val="none"/>
          <w:u w:val="single"/>
        </w:rPr>
      </w:pPr>
      <w:r>
        <w:rPr>
          <w:rFonts w:hint="eastAsia" w:hAnsi="宋体"/>
          <w:color w:val="000000"/>
          <w:sz w:val="24"/>
          <w:szCs w:val="24"/>
          <w:highlight w:val="none"/>
        </w:rPr>
        <w:t xml:space="preserve">2.服务最高限制单价：</w:t>
      </w:r>
      <w:r>
        <w:rPr>
          <w:rFonts w:hint="eastAsia" w:hAnsi="宋体"/>
          <w:color w:val="000000"/>
          <w:sz w:val="24"/>
          <w:szCs w:val="24"/>
          <w:highlight w:val="none"/>
          <w:u w:val="single"/>
        </w:rPr>
        <w:t xml:space="preserve">见征集文件</w:t>
      </w:r>
      <w:r>
        <w:rPr>
          <w:rFonts w:hint="eastAsia" w:hAnsi="宋体"/>
          <w:color w:val="000000"/>
          <w:sz w:val="24"/>
          <w:szCs w:val="24"/>
          <w:highlight w:val="none"/>
          <w:u w:val="single"/>
        </w:rPr>
      </w:r>
      <w:r/>
    </w:p>
    <w:p>
      <w:pPr>
        <w:pStyle w:val="706"/>
        <w:ind w:firstLine="480"/>
        <w:spacing w:line="500" w:lineRule="exact"/>
        <w:rPr>
          <w:rFonts w:hint="eastAsia" w:ascii="宋体" w:hAnsi="宋体"/>
          <w:color w:val="000000"/>
          <w:sz w:val="24"/>
          <w:szCs w:val="24"/>
          <w:highlight w:val="none"/>
          <w:u w:val="single"/>
        </w:rPr>
      </w:pPr>
      <w:r>
        <w:rPr>
          <w:rFonts w:hint="eastAsia" w:hAnsi="宋体"/>
          <w:color w:val="000000"/>
          <w:sz w:val="24"/>
          <w:szCs w:val="24"/>
          <w:highlight w:val="none"/>
        </w:rPr>
        <w:t xml:space="preserve">3.适用本次框架协议的采购人范围：</w:t>
      </w:r>
      <w:r>
        <w:rPr>
          <w:rFonts w:ascii="宋体" w:hAnsi="宋体"/>
          <w:color w:val="000000"/>
          <w:sz w:val="24"/>
          <w:szCs w:val="24"/>
          <w:highlight w:val="none"/>
          <w:u w:val="single"/>
        </w:rPr>
        <w:t xml:space="preserve">无锡市</w:t>
      </w:r>
      <w:r>
        <w:rPr>
          <w:rFonts w:hint="eastAsia" w:ascii="宋体" w:hAnsi="宋体"/>
          <w:color w:val="000000"/>
          <w:sz w:val="24"/>
          <w:szCs w:val="24"/>
          <w:highlight w:val="none"/>
          <w:u w:val="single"/>
          <w:lang w:val="en-US" w:eastAsia="zh-CN"/>
        </w:rPr>
        <w:t xml:space="preserve">梁溪区</w:t>
      </w:r>
      <w:r>
        <w:rPr>
          <w:rFonts w:ascii="宋体" w:hAnsi="宋体"/>
          <w:color w:val="000000"/>
          <w:sz w:val="24"/>
          <w:szCs w:val="24"/>
          <w:highlight w:val="none"/>
          <w:u w:val="single"/>
        </w:rPr>
        <w:t xml:space="preserve">国家机关、全额拨款事业单位和团体组织，其他差额拨款、自收自支事业单位可参照框架协议结果执行</w:t>
      </w:r>
      <w:r>
        <w:rPr>
          <w:rFonts w:hint="eastAsia" w:ascii="宋体" w:hAnsi="宋体"/>
          <w:color w:val="000000"/>
          <w:sz w:val="24"/>
          <w:szCs w:val="24"/>
          <w:highlight w:val="none"/>
          <w:u w:val="singl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4.履行合同的地域范围：</w:t>
      </w:r>
      <w:r>
        <w:rPr>
          <w:rFonts w:hint="eastAsia" w:hAnsi="宋体"/>
          <w:color w:val="000000"/>
          <w:sz w:val="24"/>
          <w:szCs w:val="24"/>
          <w:highlight w:val="none"/>
          <w:u w:val="single"/>
        </w:rPr>
        <w:t xml:space="preserve">由采购人指定</w:t>
      </w:r>
      <w:r>
        <w:rPr>
          <w:rFonts w:hint="eastAsia" w:hAnsi="宋体"/>
          <w:color w:val="000000"/>
          <w:sz w:val="24"/>
          <w:szCs w:val="24"/>
          <w:highlight w:val="none"/>
        </w:rPr>
      </w:r>
      <w:r/>
    </w:p>
    <w:p>
      <w:pPr>
        <w:pStyle w:val="744"/>
        <w:ind w:firstLine="482"/>
        <w:spacing w:before="120" w:after="120" w:line="360" w:lineRule="auto"/>
        <w:rPr>
          <w:rFonts w:hint="eastAsia" w:hAnsi="宋体"/>
          <w:b/>
          <w:color w:val="000000"/>
          <w:sz w:val="24"/>
          <w:szCs w:val="24"/>
          <w:highlight w:val="none"/>
        </w:rPr>
      </w:pPr>
      <w:r>
        <w:rPr>
          <w:rFonts w:hint="eastAsia" w:hAnsi="宋体"/>
          <w:b/>
          <w:color w:val="000000"/>
          <w:sz w:val="24"/>
          <w:szCs w:val="24"/>
          <w:highlight w:val="none"/>
        </w:rPr>
        <w:t xml:space="preserve">二、第一阶段入围服务的相关信息</w:t>
      </w:r>
      <w:r>
        <w:rPr>
          <w:rFonts w:hint="eastAsia" w:hAnsi="宋体"/>
          <w:b/>
          <w:color w:val="000000"/>
          <w:sz w:val="24"/>
          <w:szCs w:val="24"/>
          <w:highlight w:val="none"/>
        </w:rPr>
      </w:r>
      <w:r/>
    </w:p>
    <w:p>
      <w:pPr>
        <w:pStyle w:val="744"/>
        <w:ind w:firstLine="480"/>
        <w:spacing w:before="120" w:after="120" w:line="360" w:lineRule="auto"/>
        <w:rPr>
          <w:rFonts w:hint="eastAsia" w:hAnsi="宋体"/>
          <w:color w:val="000000"/>
          <w:sz w:val="24"/>
          <w:szCs w:val="24"/>
          <w:highlight w:val="none"/>
          <w:u w:val="single"/>
        </w:rPr>
      </w:pPr>
      <w:r>
        <w:rPr>
          <w:rFonts w:hint="eastAsia" w:hAnsi="宋体"/>
          <w:color w:val="000000"/>
          <w:sz w:val="24"/>
          <w:szCs w:val="24"/>
          <w:highlight w:val="none"/>
        </w:rPr>
        <w:t xml:space="preserve">1.入围服务详细技术规格：</w:t>
      </w:r>
      <w:r>
        <w:rPr>
          <w:rFonts w:hint="eastAsia" w:hAnsi="宋体"/>
          <w:color w:val="000000"/>
          <w:sz w:val="24"/>
          <w:szCs w:val="24"/>
          <w:highlight w:val="none"/>
          <w:u w:val="single"/>
        </w:rPr>
        <w:t xml:space="preserve">见响应文件</w:t>
      </w:r>
      <w:r>
        <w:rPr>
          <w:rFonts w:hint="eastAsia" w:hAnsi="宋体"/>
          <w:color w:val="000000"/>
          <w:sz w:val="24"/>
          <w:szCs w:val="24"/>
          <w:highlight w:val="none"/>
          <w:u w:val="single"/>
        </w:rPr>
      </w:r>
      <w:r/>
    </w:p>
    <w:p>
      <w:pPr>
        <w:pStyle w:val="744"/>
        <w:ind w:firstLine="480"/>
        <w:spacing w:before="120" w:after="120" w:line="360" w:lineRule="auto"/>
        <w:rPr>
          <w:rFonts w:hint="eastAsia" w:hAnsi="宋体"/>
          <w:color w:val="000000"/>
          <w:sz w:val="24"/>
          <w:szCs w:val="24"/>
          <w:highlight w:val="none"/>
          <w:u w:val="single"/>
        </w:rPr>
      </w:pPr>
      <w:r>
        <w:rPr>
          <w:rFonts w:hint="eastAsia" w:hAnsi="宋体"/>
          <w:color w:val="000000"/>
          <w:sz w:val="24"/>
          <w:szCs w:val="24"/>
          <w:highlight w:val="none"/>
        </w:rPr>
        <w:t xml:space="preserve">2.服务标准：</w:t>
      </w:r>
      <w:r>
        <w:rPr>
          <w:rFonts w:hint="eastAsia" w:hAnsi="宋体"/>
          <w:color w:val="000000"/>
          <w:sz w:val="24"/>
          <w:szCs w:val="24"/>
          <w:highlight w:val="none"/>
          <w:u w:val="single"/>
        </w:rPr>
        <w:t xml:space="preserve">见响应文件</w:t>
      </w:r>
      <w:r>
        <w:rPr>
          <w:rFonts w:hint="eastAsia" w:hAnsi="宋体"/>
          <w:color w:val="000000"/>
          <w:sz w:val="24"/>
          <w:szCs w:val="24"/>
          <w:highlight w:val="none"/>
          <w:u w:val="singl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3.服务协议价格：</w:t>
      </w:r>
      <w:r>
        <w:rPr>
          <w:rFonts w:hint="eastAsia" w:hAnsi="宋体"/>
          <w:color w:val="000000"/>
          <w:sz w:val="24"/>
          <w:szCs w:val="24"/>
          <w:highlight w:val="none"/>
          <w:u w:val="single"/>
        </w:rPr>
        <w:t xml:space="preserve">见响应文件</w:t>
      </w:r>
      <w:r>
        <w:rPr>
          <w:rFonts w:hint="eastAsia" w:hAnsi="宋体"/>
          <w:color w:val="000000"/>
          <w:sz w:val="24"/>
          <w:szCs w:val="24"/>
          <w:highlight w:val="none"/>
        </w:rPr>
      </w:r>
      <w:r/>
    </w:p>
    <w:p>
      <w:pPr>
        <w:pStyle w:val="744"/>
        <w:ind w:firstLine="482"/>
        <w:spacing w:before="120" w:after="120" w:line="360" w:lineRule="auto"/>
        <w:rPr>
          <w:rFonts w:hint="eastAsia" w:hAnsi="宋体"/>
          <w:b/>
          <w:color w:val="000000"/>
          <w:sz w:val="24"/>
          <w:szCs w:val="24"/>
          <w:highlight w:val="none"/>
        </w:rPr>
      </w:pPr>
      <w:r>
        <w:rPr>
          <w:rFonts w:hint="eastAsia" w:hAnsi="宋体"/>
          <w:b/>
          <w:color w:val="000000"/>
          <w:sz w:val="24"/>
          <w:szCs w:val="24"/>
          <w:highlight w:val="none"/>
        </w:rPr>
        <w:t xml:space="preserve">三、入围服务升级替换规则</w:t>
      </w:r>
      <w:r>
        <w:rPr>
          <w:rFonts w:hint="eastAsia" w:hAnsi="宋体"/>
          <w:b/>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本项目框架协议期内，在质量不降低、价格不提高的前提下可进行升级替换。如国家出台新的服务标准，供应商需满足新标准的要求。</w:t>
      </w:r>
      <w:r>
        <w:rPr>
          <w:rFonts w:hint="eastAsia" w:hAnsi="宋体"/>
          <w:color w:val="000000"/>
          <w:sz w:val="24"/>
          <w:szCs w:val="24"/>
          <w:highlight w:val="none"/>
        </w:rPr>
      </w:r>
      <w:r/>
    </w:p>
    <w:p>
      <w:pPr>
        <w:pStyle w:val="744"/>
        <w:ind w:firstLine="482"/>
        <w:spacing w:before="120" w:after="120" w:line="360" w:lineRule="auto"/>
        <w:rPr>
          <w:rFonts w:hint="eastAsia" w:hAnsi="宋体"/>
          <w:b/>
          <w:color w:val="000000"/>
          <w:sz w:val="24"/>
          <w:szCs w:val="24"/>
          <w:highlight w:val="none"/>
        </w:rPr>
      </w:pPr>
      <w:r>
        <w:rPr>
          <w:rFonts w:hint="eastAsia" w:hAnsi="宋体"/>
          <w:b/>
          <w:color w:val="000000"/>
          <w:sz w:val="24"/>
          <w:szCs w:val="24"/>
          <w:highlight w:val="none"/>
        </w:rPr>
        <w:t xml:space="preserve">四、确定第二阶段成交供应商的方式</w:t>
      </w:r>
      <w:r>
        <w:rPr>
          <w:rFonts w:hint="eastAsia" w:hAnsi="宋体"/>
          <w:b/>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采购人依据入围服务价格、质量、经营</w:t>
      </w:r>
      <w:r>
        <w:rPr>
          <w:rFonts w:hAnsi="宋体"/>
          <w:color w:val="000000"/>
          <w:sz w:val="24"/>
          <w:szCs w:val="24"/>
          <w:highlight w:val="none"/>
        </w:rPr>
        <w:t xml:space="preserve">活动中重大违法记录情况</w:t>
      </w:r>
      <w:r>
        <w:rPr>
          <w:rFonts w:hint="eastAsia" w:hAnsi="宋体"/>
          <w:color w:val="000000"/>
          <w:sz w:val="24"/>
          <w:szCs w:val="24"/>
          <w:highlight w:val="none"/>
        </w:rPr>
        <w:t xml:space="preserve">，以及服务便利性、用户评价等因素，从第一阶段入围供应商中直接选定。</w:t>
      </w:r>
      <w:r>
        <w:rPr>
          <w:rFonts w:hint="eastAsia" w:hAnsi="宋体"/>
          <w:color w:val="000000"/>
          <w:sz w:val="24"/>
          <w:szCs w:val="24"/>
          <w:highlight w:val="none"/>
        </w:rPr>
      </w:r>
      <w:r/>
    </w:p>
    <w:p>
      <w:pPr>
        <w:pStyle w:val="744"/>
        <w:ind w:firstLine="482"/>
        <w:spacing w:before="120" w:after="120" w:line="360" w:lineRule="auto"/>
        <w:rPr>
          <w:rFonts w:hint="eastAsia" w:hAnsi="宋体"/>
          <w:b/>
          <w:color w:val="000000"/>
          <w:sz w:val="24"/>
          <w:szCs w:val="24"/>
          <w:highlight w:val="none"/>
        </w:rPr>
      </w:pPr>
      <w:r>
        <w:rPr>
          <w:rFonts w:hint="eastAsia" w:hAnsi="宋体"/>
          <w:b/>
          <w:color w:val="000000"/>
          <w:sz w:val="24"/>
          <w:szCs w:val="24"/>
          <w:highlight w:val="none"/>
        </w:rPr>
        <w:t xml:space="preserve">五、支付方式、时间和条件</w:t>
      </w:r>
      <w:r>
        <w:rPr>
          <w:rFonts w:hint="eastAsia" w:hAnsi="宋体"/>
          <w:b/>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由采购人和成交供应商</w:t>
      </w:r>
      <w:r>
        <w:rPr>
          <w:rFonts w:hAnsi="宋体"/>
          <w:color w:val="000000"/>
          <w:sz w:val="24"/>
          <w:szCs w:val="24"/>
          <w:highlight w:val="none"/>
        </w:rPr>
        <w:t xml:space="preserve">根据相关法规自行协商</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744"/>
        <w:ind w:firstLine="482"/>
        <w:spacing w:before="120" w:after="120" w:line="360" w:lineRule="auto"/>
        <w:rPr>
          <w:rFonts w:hint="eastAsia" w:hAnsi="宋体"/>
          <w:b/>
          <w:color w:val="000000"/>
          <w:sz w:val="24"/>
          <w:szCs w:val="24"/>
          <w:highlight w:val="none"/>
        </w:rPr>
      </w:pPr>
      <w:r>
        <w:rPr>
          <w:rFonts w:hint="eastAsia" w:hAnsi="宋体"/>
          <w:b/>
          <w:color w:val="000000"/>
          <w:sz w:val="24"/>
          <w:szCs w:val="24"/>
          <w:highlight w:val="none"/>
        </w:rPr>
        <w:t xml:space="preserve">六、框架协议期限</w:t>
      </w:r>
      <w:r>
        <w:rPr>
          <w:rFonts w:hint="eastAsia" w:hAnsi="宋体"/>
          <w:b/>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从框架协议签订生效之日起至2027年12月31日</w:t>
      </w:r>
      <w:r>
        <w:rPr>
          <w:rFonts w:hint="eastAsia" w:hAnsi="宋体"/>
          <w:color w:val="000000"/>
          <w:sz w:val="24"/>
          <w:szCs w:val="24"/>
          <w:highlight w:val="none"/>
        </w:rPr>
      </w:r>
      <w:r/>
    </w:p>
    <w:p>
      <w:pPr>
        <w:pStyle w:val="744"/>
        <w:ind w:firstLine="482"/>
        <w:spacing w:before="120" w:after="120" w:line="360" w:lineRule="auto"/>
        <w:rPr>
          <w:rFonts w:hint="eastAsia" w:hAnsi="宋体"/>
          <w:b/>
          <w:color w:val="000000"/>
          <w:sz w:val="24"/>
          <w:szCs w:val="24"/>
          <w:highlight w:val="none"/>
        </w:rPr>
      </w:pPr>
      <w:r>
        <w:rPr>
          <w:rFonts w:hint="eastAsia" w:hAnsi="宋体"/>
          <w:b/>
          <w:color w:val="000000"/>
          <w:sz w:val="24"/>
          <w:szCs w:val="24"/>
          <w:highlight w:val="none"/>
        </w:rPr>
        <w:t xml:space="preserve">七、入围供应商的清退和补充规则</w:t>
      </w:r>
      <w:r>
        <w:rPr>
          <w:rFonts w:hint="eastAsia" w:hAnsi="宋体"/>
          <w:b/>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1.清退规则：</w:t>
      </w:r>
      <w:r>
        <w:rPr>
          <w:rFonts w:hint="eastAsia" w:hAnsi="宋体"/>
          <w:bCs/>
          <w:color w:val="000000"/>
          <w:sz w:val="24"/>
          <w:szCs w:val="24"/>
          <w:highlight w:val="none"/>
        </w:rPr>
        <w:t xml:space="preserve">入围供应商存在《政府采购框架协议采购方式管理暂行办法》第十九条规定情形以及征集文件中规定的其他相应情形的，尚未签订框架协议的，取消其入围资格；已经签订框架协议的，解除与其签订的框架协议。被取消入围资格或者被解除框架协议的供应商不得参加同一封闭式框架协议补充征集。</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2.补充规则：</w:t>
      </w:r>
      <w:r>
        <w:rPr>
          <w:rFonts w:hint="eastAsia" w:hAnsi="宋体"/>
          <w:bCs/>
          <w:color w:val="000000"/>
          <w:sz w:val="24"/>
          <w:szCs w:val="24"/>
          <w:highlight w:val="none"/>
        </w:rPr>
        <w:t xml:space="preserve">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rPr>
          <w:rFonts w:hint="eastAsia" w:hAnsi="宋体"/>
          <w:color w:val="000000"/>
          <w:sz w:val="24"/>
          <w:szCs w:val="24"/>
          <w:highlight w:val="none"/>
        </w:rPr>
      </w:r>
      <w:r/>
    </w:p>
    <w:p>
      <w:pPr>
        <w:pStyle w:val="744"/>
        <w:ind w:firstLine="482"/>
        <w:spacing w:before="120" w:after="120" w:line="360" w:lineRule="auto"/>
        <w:rPr>
          <w:rFonts w:hint="eastAsia" w:hAnsi="宋体"/>
          <w:b/>
          <w:color w:val="000000"/>
          <w:sz w:val="24"/>
          <w:szCs w:val="24"/>
          <w:highlight w:val="none"/>
        </w:rPr>
      </w:pPr>
      <w:r>
        <w:rPr>
          <w:rFonts w:hint="eastAsia" w:hAnsi="宋体"/>
          <w:b/>
          <w:color w:val="000000"/>
          <w:sz w:val="24"/>
          <w:szCs w:val="24"/>
          <w:highlight w:val="none"/>
        </w:rPr>
        <w:t xml:space="preserve">八、采购合同文本</w:t>
      </w:r>
      <w:r>
        <w:rPr>
          <w:rFonts w:hint="eastAsia" w:hAnsi="宋体"/>
          <w:b/>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见“五．采购合同文本”（乙方在“苏采云”系统中与采购人签订电子采购合同）</w:t>
      </w:r>
      <w:r>
        <w:rPr>
          <w:rFonts w:hint="eastAsia" w:hAnsi="宋体"/>
          <w:color w:val="000000"/>
          <w:sz w:val="24"/>
          <w:szCs w:val="24"/>
          <w:highlight w:val="none"/>
        </w:rPr>
      </w:r>
      <w:r/>
    </w:p>
    <w:p>
      <w:pPr>
        <w:pStyle w:val="744"/>
        <w:ind w:firstLine="482"/>
        <w:spacing w:before="120" w:after="120" w:line="360" w:lineRule="auto"/>
        <w:rPr>
          <w:rFonts w:hint="eastAsia" w:hAnsi="宋体"/>
          <w:b/>
          <w:color w:val="000000"/>
          <w:sz w:val="24"/>
          <w:szCs w:val="24"/>
          <w:highlight w:val="none"/>
        </w:rPr>
      </w:pPr>
      <w:r>
        <w:rPr>
          <w:rFonts w:hint="eastAsia" w:hAnsi="宋体"/>
          <w:b/>
          <w:color w:val="000000"/>
          <w:sz w:val="24"/>
          <w:szCs w:val="24"/>
          <w:highlight w:val="none"/>
        </w:rPr>
        <w:t xml:space="preserve">九</w:t>
      </w:r>
      <w:r>
        <w:rPr>
          <w:rFonts w:hAnsi="宋体"/>
          <w:b/>
          <w:color w:val="000000"/>
          <w:sz w:val="24"/>
          <w:szCs w:val="24"/>
          <w:highlight w:val="none"/>
        </w:rPr>
        <w:t xml:space="preserve">、</w:t>
      </w:r>
      <w:r>
        <w:rPr>
          <w:rFonts w:hint="eastAsia" w:hAnsi="宋体"/>
          <w:b/>
          <w:color w:val="000000"/>
          <w:sz w:val="24"/>
          <w:szCs w:val="24"/>
          <w:highlight w:val="none"/>
        </w:rPr>
        <w:t xml:space="preserve">甲乙双方</w:t>
      </w:r>
      <w:r>
        <w:rPr>
          <w:rFonts w:hAnsi="宋体"/>
          <w:b/>
          <w:color w:val="000000"/>
          <w:sz w:val="24"/>
          <w:szCs w:val="24"/>
          <w:highlight w:val="none"/>
        </w:rPr>
        <w:t xml:space="preserve">的权利和义务</w:t>
      </w:r>
      <w:r>
        <w:rPr>
          <w:rFonts w:hint="eastAsia" w:hAnsi="宋体"/>
          <w:b/>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1.甲方</w:t>
      </w:r>
      <w:r>
        <w:rPr>
          <w:rFonts w:hAnsi="宋体"/>
          <w:color w:val="000000"/>
          <w:sz w:val="24"/>
          <w:szCs w:val="24"/>
          <w:highlight w:val="none"/>
        </w:rPr>
        <w:t xml:space="preserve">的权利</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（1）确定</w:t>
      </w:r>
      <w:r>
        <w:rPr>
          <w:rFonts w:hAnsi="宋体"/>
          <w:color w:val="000000"/>
          <w:sz w:val="24"/>
          <w:szCs w:val="24"/>
          <w:highlight w:val="none"/>
        </w:rPr>
        <w:t xml:space="preserve">框架</w:t>
      </w:r>
      <w:r>
        <w:rPr>
          <w:rFonts w:hint="eastAsia" w:hAnsi="宋体"/>
          <w:color w:val="000000"/>
          <w:sz w:val="24"/>
          <w:szCs w:val="24"/>
          <w:highlight w:val="none"/>
        </w:rPr>
        <w:t xml:space="preserve">协议</w:t>
      </w:r>
      <w:r>
        <w:rPr>
          <w:rFonts w:hAnsi="宋体"/>
          <w:color w:val="000000"/>
          <w:sz w:val="24"/>
          <w:szCs w:val="24"/>
          <w:highlight w:val="none"/>
        </w:rPr>
        <w:t xml:space="preserve">采购需求。</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（2）确定最高</w:t>
      </w:r>
      <w:r>
        <w:rPr>
          <w:rFonts w:hAnsi="宋体"/>
          <w:color w:val="000000"/>
          <w:sz w:val="24"/>
          <w:szCs w:val="24"/>
          <w:highlight w:val="none"/>
        </w:rPr>
        <w:t xml:space="preserve">限制单价。</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（3）确定框架</w:t>
      </w:r>
      <w:r>
        <w:rPr>
          <w:rFonts w:hAnsi="宋体"/>
          <w:color w:val="000000"/>
          <w:sz w:val="24"/>
          <w:szCs w:val="24"/>
          <w:highlight w:val="none"/>
        </w:rPr>
        <w:t xml:space="preserve">协议</w:t>
      </w:r>
      <w:r>
        <w:rPr>
          <w:rFonts w:hint="eastAsia" w:hAnsi="宋体"/>
          <w:color w:val="000000"/>
          <w:sz w:val="24"/>
          <w:szCs w:val="24"/>
          <w:highlight w:val="none"/>
        </w:rPr>
        <w:t xml:space="preserve">有效期</w:t>
      </w:r>
      <w:r>
        <w:rPr>
          <w:rFonts w:hAnsi="宋体"/>
          <w:color w:val="000000"/>
          <w:sz w:val="24"/>
          <w:szCs w:val="24"/>
          <w:highlight w:val="none"/>
        </w:rPr>
        <w:t xml:space="preserve">。</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（4）制定统一</w:t>
      </w:r>
      <w:r>
        <w:rPr>
          <w:rFonts w:hAnsi="宋体"/>
          <w:color w:val="000000"/>
          <w:sz w:val="24"/>
          <w:szCs w:val="24"/>
          <w:highlight w:val="none"/>
        </w:rPr>
        <w:t xml:space="preserve">的采购合同文本</w:t>
      </w:r>
      <w:r>
        <w:rPr>
          <w:rFonts w:hint="eastAsia" w:hAnsi="宋体"/>
          <w:color w:val="000000"/>
          <w:sz w:val="24"/>
          <w:szCs w:val="24"/>
          <w:highlight w:val="none"/>
        </w:rPr>
        <w:t xml:space="preserve">供采购人</w:t>
      </w:r>
      <w:r>
        <w:rPr>
          <w:rFonts w:hAnsi="宋体"/>
          <w:color w:val="000000"/>
          <w:sz w:val="24"/>
          <w:szCs w:val="24"/>
          <w:highlight w:val="none"/>
        </w:rPr>
        <w:t xml:space="preserve">、</w:t>
      </w:r>
      <w:r>
        <w:rPr>
          <w:rFonts w:hint="eastAsia" w:hAnsi="宋体"/>
          <w:color w:val="000000"/>
          <w:sz w:val="24"/>
          <w:szCs w:val="24"/>
          <w:highlight w:val="none"/>
        </w:rPr>
        <w:t xml:space="preserve">供应商</w:t>
      </w:r>
      <w:r>
        <w:rPr>
          <w:rFonts w:hAnsi="宋体"/>
          <w:color w:val="000000"/>
          <w:sz w:val="24"/>
          <w:szCs w:val="24"/>
          <w:highlight w:val="none"/>
        </w:rPr>
        <w:t xml:space="preserve">使用，并明确要求</w:t>
      </w:r>
      <w:r>
        <w:rPr>
          <w:rFonts w:hint="eastAsia" w:hAnsi="宋体"/>
          <w:color w:val="000000"/>
          <w:sz w:val="24"/>
          <w:szCs w:val="24"/>
          <w:highlight w:val="none"/>
        </w:rPr>
        <w:t xml:space="preserve">采购人</w:t>
      </w:r>
      <w:r>
        <w:rPr>
          <w:rFonts w:hAnsi="宋体"/>
          <w:color w:val="000000"/>
          <w:sz w:val="24"/>
          <w:szCs w:val="24"/>
          <w:highlight w:val="none"/>
        </w:rPr>
        <w:t xml:space="preserve">、供应商</w:t>
      </w:r>
      <w:r>
        <w:rPr>
          <w:rFonts w:hint="eastAsia" w:hAnsi="宋体"/>
          <w:color w:val="000000"/>
          <w:sz w:val="24"/>
          <w:szCs w:val="24"/>
          <w:highlight w:val="none"/>
        </w:rPr>
        <w:t xml:space="preserve">不得</w:t>
      </w:r>
      <w:r>
        <w:rPr>
          <w:rFonts w:hAnsi="宋体"/>
          <w:color w:val="000000"/>
          <w:sz w:val="24"/>
          <w:szCs w:val="24"/>
          <w:highlight w:val="none"/>
        </w:rPr>
        <w:t xml:space="preserve">擅自改变框架</w:t>
      </w:r>
      <w:r>
        <w:rPr>
          <w:rFonts w:hint="eastAsia" w:hAnsi="宋体"/>
          <w:color w:val="000000"/>
          <w:sz w:val="24"/>
          <w:szCs w:val="24"/>
          <w:highlight w:val="none"/>
        </w:rPr>
        <w:t xml:space="preserve">协议</w:t>
      </w:r>
      <w:r>
        <w:rPr>
          <w:rFonts w:hAnsi="宋体"/>
          <w:color w:val="000000"/>
          <w:sz w:val="24"/>
          <w:szCs w:val="24"/>
          <w:highlight w:val="none"/>
        </w:rPr>
        <w:t xml:space="preserve">约定的</w:t>
      </w:r>
      <w:r>
        <w:rPr>
          <w:rFonts w:hint="eastAsia" w:hAnsi="宋体"/>
          <w:color w:val="000000"/>
          <w:sz w:val="24"/>
          <w:szCs w:val="24"/>
          <w:highlight w:val="none"/>
        </w:rPr>
        <w:t xml:space="preserve">合同</w:t>
      </w:r>
      <w:r>
        <w:rPr>
          <w:rFonts w:hAnsi="宋体"/>
          <w:color w:val="000000"/>
          <w:sz w:val="24"/>
          <w:szCs w:val="24"/>
          <w:highlight w:val="none"/>
        </w:rPr>
        <w:t xml:space="preserve">实质性条款。</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w:t>
      </w:r>
      <w:r>
        <w:rPr>
          <w:rFonts w:hAnsi="宋体"/>
          <w:color w:val="000000"/>
          <w:sz w:val="24"/>
          <w:szCs w:val="24"/>
          <w:highlight w:val="none"/>
        </w:rPr>
        <w:t xml:space="preserve">5</w:t>
      </w:r>
      <w:r>
        <w:rPr>
          <w:rFonts w:hint="eastAsia" w:hAnsi="宋体"/>
          <w:color w:val="000000"/>
          <w:sz w:val="24"/>
          <w:szCs w:val="24"/>
          <w:highlight w:val="none"/>
        </w:rPr>
        <w:t xml:space="preserve">）乙方存在</w:t>
      </w:r>
      <w:r>
        <w:rPr>
          <w:rFonts w:hAnsi="宋体"/>
          <w:color w:val="000000"/>
          <w:sz w:val="24"/>
          <w:szCs w:val="24"/>
          <w:highlight w:val="none"/>
        </w:rPr>
        <w:t xml:space="preserve">《</w:t>
      </w:r>
      <w:r>
        <w:rPr>
          <w:rFonts w:hint="eastAsia" w:hAnsi="宋体"/>
          <w:color w:val="000000"/>
          <w:sz w:val="24"/>
          <w:szCs w:val="24"/>
          <w:highlight w:val="none"/>
        </w:rPr>
        <w:t xml:space="preserve">政府采购框架协议采购方式管理暂行办法</w:t>
      </w:r>
      <w:r>
        <w:rPr>
          <w:rFonts w:hAnsi="宋体"/>
          <w:color w:val="000000"/>
          <w:sz w:val="24"/>
          <w:szCs w:val="24"/>
          <w:highlight w:val="none"/>
        </w:rPr>
        <w:t xml:space="preserve">》</w:t>
      </w:r>
      <w:r>
        <w:rPr>
          <w:rFonts w:hint="eastAsia" w:hAnsi="宋体"/>
          <w:color w:val="000000"/>
          <w:sz w:val="24"/>
          <w:szCs w:val="24"/>
          <w:highlight w:val="none"/>
        </w:rPr>
        <w:t xml:space="preserve">第十九条</w:t>
      </w:r>
      <w:r>
        <w:rPr>
          <w:rFonts w:hAnsi="宋体"/>
          <w:color w:val="000000"/>
          <w:sz w:val="24"/>
          <w:szCs w:val="24"/>
          <w:highlight w:val="none"/>
        </w:rPr>
        <w:t xml:space="preserve">第一款</w:t>
      </w:r>
      <w:r>
        <w:rPr>
          <w:rFonts w:hint="eastAsia" w:hAnsi="宋体"/>
          <w:color w:val="000000"/>
          <w:sz w:val="24"/>
          <w:szCs w:val="24"/>
          <w:highlight w:val="none"/>
        </w:rPr>
        <w:t xml:space="preserve">规定</w:t>
      </w:r>
      <w:r>
        <w:rPr>
          <w:rFonts w:hAnsi="宋体"/>
          <w:color w:val="000000"/>
          <w:sz w:val="24"/>
          <w:szCs w:val="24"/>
          <w:highlight w:val="none"/>
        </w:rPr>
        <w:t xml:space="preserve">的情形时</w:t>
      </w:r>
      <w:r>
        <w:rPr>
          <w:rFonts w:hint="eastAsia" w:hAnsi="宋体"/>
          <w:color w:val="000000"/>
          <w:sz w:val="24"/>
          <w:szCs w:val="24"/>
          <w:highlight w:val="none"/>
        </w:rPr>
        <w:t xml:space="preserve">，取消</w:t>
      </w:r>
      <w:r>
        <w:rPr>
          <w:rFonts w:hAnsi="宋体"/>
          <w:color w:val="000000"/>
          <w:sz w:val="24"/>
          <w:szCs w:val="24"/>
          <w:highlight w:val="none"/>
        </w:rPr>
        <w:t xml:space="preserve">入围供应商的入围资格，或解除与其签订的框架协议。</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w:t>
      </w:r>
      <w:r>
        <w:rPr>
          <w:rFonts w:hAnsi="宋体"/>
          <w:color w:val="000000"/>
          <w:sz w:val="24"/>
          <w:szCs w:val="24"/>
          <w:highlight w:val="none"/>
        </w:rPr>
        <w:t xml:space="preserve">6</w:t>
      </w:r>
      <w:r>
        <w:rPr>
          <w:rFonts w:hint="eastAsia" w:hAnsi="宋体"/>
          <w:color w:val="000000"/>
          <w:sz w:val="24"/>
          <w:szCs w:val="24"/>
          <w:highlight w:val="none"/>
        </w:rPr>
        <w:t xml:space="preserve">）在框架</w:t>
      </w:r>
      <w:r>
        <w:rPr>
          <w:rFonts w:hAnsi="宋体"/>
          <w:color w:val="000000"/>
          <w:sz w:val="24"/>
          <w:szCs w:val="24"/>
          <w:highlight w:val="none"/>
        </w:rPr>
        <w:t xml:space="preserve">协议</w:t>
      </w:r>
      <w:r>
        <w:rPr>
          <w:rFonts w:hint="eastAsia" w:hAnsi="宋体"/>
          <w:color w:val="000000"/>
          <w:sz w:val="24"/>
          <w:szCs w:val="24"/>
          <w:highlight w:val="none"/>
        </w:rPr>
        <w:t xml:space="preserve">期内，随时对乙方及其委托</w:t>
      </w:r>
      <w:r>
        <w:rPr>
          <w:rFonts w:hAnsi="宋体"/>
          <w:color w:val="000000"/>
          <w:sz w:val="24"/>
          <w:szCs w:val="24"/>
          <w:highlight w:val="none"/>
        </w:rPr>
        <w:t xml:space="preserve">的代理商</w:t>
      </w:r>
      <w:r>
        <w:rPr>
          <w:rFonts w:hint="eastAsia" w:hAnsi="宋体"/>
          <w:color w:val="000000"/>
          <w:sz w:val="24"/>
          <w:szCs w:val="24"/>
          <w:highlight w:val="none"/>
        </w:rPr>
        <w:t xml:space="preserve">履约情况进行检查。</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（7）在框架协议期内，乙方出现下列情况时，甲方按征集文件相关规定及其他相关法律法规进行处理：</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①提供的服务不符合国家有关规定、响应承诺和框架协议规定；</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②无正当理由拒不接受合同授予的；</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③具体项目成交价高于其入围价格或服务承诺；</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④使用不正当竞争手段，影响采购单位正常采购活动；</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⑤满意度调查中采购人反馈不满意，经核实确系供应商责任；</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⑥其他违法违规行为。</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2.甲方</w:t>
      </w:r>
      <w:r>
        <w:rPr>
          <w:rFonts w:hAnsi="宋体"/>
          <w:color w:val="000000"/>
          <w:sz w:val="24"/>
          <w:szCs w:val="24"/>
          <w:highlight w:val="none"/>
        </w:rPr>
        <w:t xml:space="preserve">的义务</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1</w:t>
      </w:r>
      <w:r>
        <w:rPr>
          <w:rFonts w:hAnsi="宋体"/>
          <w:color w:val="000000"/>
          <w:sz w:val="24"/>
          <w:szCs w:val="24"/>
          <w:highlight w:val="none"/>
        </w:rPr>
        <w:t xml:space="preserve">）为第二阶段合同授予提供工作便利</w:t>
      </w:r>
      <w:r>
        <w:rPr>
          <w:rFonts w:hint="eastAsia" w:hAnsi="宋体"/>
          <w:color w:val="000000"/>
          <w:sz w:val="24"/>
          <w:szCs w:val="24"/>
          <w:highlight w:val="none"/>
        </w:rPr>
        <w:t xml:space="preserve">。 </w:t>
      </w:r>
      <w:r>
        <w:rPr>
          <w:rFonts w:hint="eastAsia" w:hAnsi="宋体"/>
          <w:color w:val="000000"/>
          <w:sz w:val="24"/>
          <w:szCs w:val="24"/>
          <w:highlight w:val="none"/>
        </w:rPr>
      </w:r>
      <w:r/>
    </w:p>
    <w:p>
      <w:pPr>
        <w:pStyle w:val="768"/>
        <w:ind w:firstLine="480"/>
        <w:jc w:val="both"/>
        <w:spacing w:before="0" w:beforeAutospacing="0" w:after="0" w:afterAutospacing="0" w:line="360" w:lineRule="auto"/>
        <w:shd w:val="clear" w:color="auto" w:fill="ffffff"/>
        <w:rPr>
          <w:rFonts w:hint="eastAsia" w:cs="Times New Roman"/>
          <w:color w:val="000000"/>
          <w:highlight w:val="none"/>
        </w:rPr>
      </w:pPr>
      <w:r>
        <w:rPr>
          <w:rFonts w:cs="Times New Roman"/>
          <w:color w:val="000000"/>
          <w:highlight w:val="none"/>
        </w:rPr>
        <w:t xml:space="preserve">（</w:t>
      </w:r>
      <w:r>
        <w:rPr>
          <w:rFonts w:hint="eastAsia" w:cs="Times New Roman"/>
          <w:color w:val="000000"/>
          <w:highlight w:val="none"/>
        </w:rPr>
        <w:t xml:space="preserve">2</w:t>
      </w:r>
      <w:r>
        <w:rPr>
          <w:rFonts w:cs="Times New Roman"/>
          <w:color w:val="000000"/>
          <w:highlight w:val="none"/>
        </w:rPr>
        <w:t xml:space="preserve">）对第二阶段最高限价和需求标准执行情况进行管理</w:t>
      </w:r>
      <w:r>
        <w:rPr>
          <w:rFonts w:hint="eastAsia" w:cs="Times New Roman"/>
          <w:color w:val="000000"/>
          <w:highlight w:val="none"/>
        </w:rPr>
        <w:t xml:space="preserve">。</w:t>
      </w:r>
      <w:r>
        <w:rPr>
          <w:rFonts w:hint="eastAsia" w:cs="Times New Roman"/>
          <w:color w:val="000000"/>
          <w:highlight w:val="none"/>
        </w:rPr>
      </w:r>
      <w:r/>
    </w:p>
    <w:p>
      <w:pPr>
        <w:pStyle w:val="768"/>
        <w:ind w:firstLine="480"/>
        <w:jc w:val="both"/>
        <w:spacing w:before="0" w:beforeAutospacing="0" w:after="0" w:afterAutospacing="0" w:line="360" w:lineRule="auto"/>
        <w:shd w:val="clear" w:color="auto" w:fill="ffffff"/>
        <w:rPr>
          <w:rFonts w:hint="eastAsia" w:cs="Times New Roman"/>
          <w:color w:val="000000"/>
          <w:highlight w:val="none"/>
        </w:rPr>
      </w:pPr>
      <w:r>
        <w:rPr>
          <w:rFonts w:cs="Times New Roman"/>
          <w:color w:val="000000"/>
          <w:highlight w:val="none"/>
        </w:rPr>
        <w:t xml:space="preserve">（</w:t>
      </w:r>
      <w:r>
        <w:rPr>
          <w:rFonts w:hint="eastAsia" w:cs="Times New Roman"/>
          <w:color w:val="000000"/>
          <w:highlight w:val="none"/>
        </w:rPr>
        <w:t xml:space="preserve">3</w:t>
      </w:r>
      <w:r>
        <w:rPr>
          <w:rFonts w:cs="Times New Roman"/>
          <w:color w:val="000000"/>
          <w:highlight w:val="none"/>
        </w:rPr>
        <w:t xml:space="preserve">）对第二阶段确定成交供应商情况进行管理</w:t>
      </w:r>
      <w:r>
        <w:rPr>
          <w:rFonts w:hint="eastAsia" w:cs="Times New Roman"/>
          <w:color w:val="000000"/>
          <w:highlight w:val="none"/>
        </w:rPr>
        <w:t xml:space="preserve">。 </w:t>
      </w:r>
      <w:r>
        <w:rPr>
          <w:rFonts w:hint="eastAsia" w:cs="Times New Roman"/>
          <w:color w:val="000000"/>
          <w:highlight w:val="none"/>
        </w:rPr>
      </w:r>
      <w:r/>
    </w:p>
    <w:p>
      <w:pPr>
        <w:pStyle w:val="768"/>
        <w:ind w:firstLine="480"/>
        <w:jc w:val="both"/>
        <w:spacing w:before="0" w:beforeAutospacing="0" w:after="0" w:afterAutospacing="0" w:line="360" w:lineRule="auto"/>
        <w:shd w:val="clear" w:color="auto" w:fill="ffffff"/>
        <w:rPr>
          <w:rFonts w:hint="eastAsia" w:cs="Times New Roman"/>
          <w:color w:val="000000"/>
          <w:highlight w:val="none"/>
        </w:rPr>
      </w:pPr>
      <w:r>
        <w:rPr>
          <w:rFonts w:cs="Times New Roman"/>
          <w:color w:val="000000"/>
          <w:highlight w:val="none"/>
        </w:rPr>
        <w:t xml:space="preserve">（</w:t>
      </w:r>
      <w:r>
        <w:rPr>
          <w:rFonts w:hint="eastAsia" w:cs="Times New Roman"/>
          <w:color w:val="000000"/>
          <w:highlight w:val="none"/>
        </w:rPr>
        <w:t xml:space="preserve">4</w:t>
      </w:r>
      <w:r>
        <w:rPr>
          <w:rFonts w:cs="Times New Roman"/>
          <w:color w:val="000000"/>
          <w:highlight w:val="none"/>
        </w:rPr>
        <w:t xml:space="preserve">）根据框架协议约定，在质量不降低、价格不提高的前提下，对入围供应商因</w:t>
      </w:r>
      <w:r>
        <w:rPr>
          <w:rFonts w:hint="eastAsia" w:cs="Times New Roman"/>
          <w:color w:val="000000"/>
          <w:highlight w:val="none"/>
        </w:rPr>
        <w:t xml:space="preserve">服务</w:t>
      </w:r>
      <w:r>
        <w:rPr>
          <w:rFonts w:cs="Times New Roman"/>
          <w:color w:val="000000"/>
          <w:highlight w:val="none"/>
        </w:rPr>
        <w:t xml:space="preserve">升级换代、用新</w:t>
      </w:r>
      <w:r>
        <w:rPr>
          <w:rFonts w:hint="eastAsia" w:cs="Times New Roman"/>
          <w:color w:val="000000"/>
          <w:highlight w:val="none"/>
        </w:rPr>
        <w:t xml:space="preserve">服务</w:t>
      </w:r>
      <w:r>
        <w:rPr>
          <w:rFonts w:cs="Times New Roman"/>
          <w:color w:val="000000"/>
          <w:highlight w:val="none"/>
        </w:rPr>
        <w:t xml:space="preserve">替代原入围</w:t>
      </w:r>
      <w:r>
        <w:rPr>
          <w:rFonts w:hint="eastAsia" w:cs="Times New Roman"/>
          <w:color w:val="000000"/>
          <w:highlight w:val="none"/>
        </w:rPr>
        <w:t xml:space="preserve">服务</w:t>
      </w:r>
      <w:r>
        <w:rPr>
          <w:rFonts w:cs="Times New Roman"/>
          <w:color w:val="000000"/>
          <w:highlight w:val="none"/>
        </w:rPr>
        <w:t xml:space="preserve">的情形进行审核</w:t>
      </w:r>
      <w:r>
        <w:rPr>
          <w:rFonts w:hint="eastAsia" w:cs="Times New Roman"/>
          <w:color w:val="000000"/>
          <w:highlight w:val="none"/>
        </w:rPr>
        <w:t xml:space="preserve">。 </w:t>
      </w:r>
      <w:r>
        <w:rPr>
          <w:rFonts w:hint="eastAsia" w:cs="Times New Roman"/>
          <w:color w:val="000000"/>
          <w:highlight w:val="none"/>
        </w:rPr>
      </w:r>
      <w:r/>
    </w:p>
    <w:p>
      <w:pPr>
        <w:pStyle w:val="768"/>
        <w:ind w:firstLine="480"/>
        <w:jc w:val="both"/>
        <w:spacing w:before="0" w:beforeAutospacing="0" w:after="0" w:afterAutospacing="0" w:line="360" w:lineRule="auto"/>
        <w:shd w:val="clear" w:color="auto" w:fill="ffffff"/>
        <w:rPr>
          <w:rFonts w:hint="eastAsia" w:cs="Times New Roman"/>
          <w:color w:val="000000"/>
          <w:highlight w:val="none"/>
        </w:rPr>
      </w:pPr>
      <w:r>
        <w:rPr>
          <w:rFonts w:cs="Times New Roman"/>
          <w:color w:val="000000"/>
          <w:highlight w:val="none"/>
        </w:rPr>
        <w:t xml:space="preserve">（</w:t>
      </w:r>
      <w:r>
        <w:rPr>
          <w:rFonts w:hint="eastAsia" w:cs="Times New Roman"/>
          <w:color w:val="000000"/>
          <w:highlight w:val="none"/>
        </w:rPr>
        <w:t xml:space="preserve">5</w:t>
      </w:r>
      <w:r>
        <w:rPr>
          <w:rFonts w:cs="Times New Roman"/>
          <w:color w:val="000000"/>
          <w:highlight w:val="none"/>
        </w:rPr>
        <w:t xml:space="preserve">）建立用户反馈和评价机制，接受采购人对入围供应商履行框架协议和采购合同情况的反馈与评价，并将用户反馈和评价情况向采购人公开，作为第二阶段直接选定成交供应商的参考</w:t>
      </w:r>
      <w:r>
        <w:rPr>
          <w:rFonts w:hint="eastAsia" w:cs="Times New Roman"/>
          <w:color w:val="000000"/>
          <w:highlight w:val="none"/>
        </w:rPr>
        <w:t xml:space="preserve">。 </w:t>
      </w:r>
      <w:r>
        <w:rPr>
          <w:rFonts w:hint="eastAsia" w:cs="Times New Roman"/>
          <w:color w:val="000000"/>
          <w:highlight w:val="none"/>
        </w:rPr>
      </w:r>
      <w:r/>
    </w:p>
    <w:p>
      <w:pPr>
        <w:pStyle w:val="768"/>
        <w:ind w:firstLine="480"/>
        <w:jc w:val="both"/>
        <w:spacing w:before="0" w:beforeAutospacing="0" w:after="0" w:afterAutospacing="0" w:line="360" w:lineRule="auto"/>
        <w:shd w:val="clear" w:color="auto" w:fill="ffffff"/>
        <w:rPr>
          <w:rFonts w:hint="eastAsia" w:cs="Times New Roman"/>
          <w:color w:val="000000"/>
          <w:highlight w:val="none"/>
        </w:rPr>
      </w:pPr>
      <w:r>
        <w:rPr>
          <w:rFonts w:cs="Times New Roman"/>
          <w:color w:val="000000"/>
          <w:highlight w:val="none"/>
        </w:rPr>
        <w:t xml:space="preserve">（</w:t>
      </w:r>
      <w:r>
        <w:rPr>
          <w:rFonts w:hint="eastAsia" w:cs="Times New Roman"/>
          <w:color w:val="000000"/>
          <w:highlight w:val="none"/>
        </w:rPr>
        <w:t xml:space="preserve">6</w:t>
      </w:r>
      <w:r>
        <w:rPr>
          <w:rFonts w:cs="Times New Roman"/>
          <w:color w:val="000000"/>
          <w:highlight w:val="none"/>
        </w:rPr>
        <w:t xml:space="preserve">）公开封闭式框架协议的第二阶段成交结果</w:t>
      </w:r>
      <w:r>
        <w:rPr>
          <w:rFonts w:hint="eastAsia" w:cs="Times New Roman"/>
          <w:color w:val="000000"/>
          <w:highlight w:val="none"/>
        </w:rPr>
        <w:t xml:space="preserve">。 </w:t>
      </w:r>
      <w:r>
        <w:rPr>
          <w:rFonts w:hint="eastAsia" w:cs="Times New Roman"/>
          <w:color w:val="000000"/>
          <w:highlight w:val="none"/>
        </w:rPr>
      </w:r>
      <w:r/>
    </w:p>
    <w:p>
      <w:pPr>
        <w:pStyle w:val="768"/>
        <w:ind w:firstLine="480"/>
        <w:jc w:val="both"/>
        <w:spacing w:before="0" w:beforeAutospacing="0" w:after="0" w:afterAutospacing="0" w:line="360" w:lineRule="auto"/>
        <w:shd w:val="clear" w:color="auto" w:fill="ffffff"/>
        <w:rPr>
          <w:rFonts w:hint="eastAsia" w:cs="Times New Roman"/>
          <w:color w:val="000000"/>
          <w:highlight w:val="none"/>
        </w:rPr>
      </w:pPr>
      <w:r>
        <w:rPr>
          <w:rFonts w:cs="Times New Roman"/>
          <w:color w:val="000000"/>
          <w:highlight w:val="none"/>
        </w:rPr>
        <w:t xml:space="preserve">（</w:t>
      </w:r>
      <w:r>
        <w:rPr>
          <w:rFonts w:hint="eastAsia" w:cs="Times New Roman"/>
          <w:color w:val="000000"/>
          <w:highlight w:val="none"/>
        </w:rPr>
        <w:t xml:space="preserve">7</w:t>
      </w:r>
      <w:r>
        <w:rPr>
          <w:rFonts w:cs="Times New Roman"/>
          <w:color w:val="000000"/>
          <w:highlight w:val="none"/>
        </w:rPr>
        <w:t xml:space="preserve">）办理入围供应商清退和补充相关事宜。</w:t>
      </w:r>
      <w:r>
        <w:rPr>
          <w:rFonts w:hint="eastAsia" w:cs="Times New Roman"/>
          <w:color w:val="000000"/>
          <w:highlight w:val="none"/>
        </w:rPr>
      </w:r>
      <w:r/>
    </w:p>
    <w:p>
      <w:pPr>
        <w:pStyle w:val="768"/>
        <w:ind w:firstLine="480"/>
        <w:jc w:val="both"/>
        <w:spacing w:before="0" w:beforeAutospacing="0" w:after="0" w:afterAutospacing="0" w:line="360" w:lineRule="auto"/>
        <w:shd w:val="clear" w:color="auto" w:fill="ffffff"/>
        <w:rPr>
          <w:rFonts w:hint="eastAsia" w:cs="Times New Roman"/>
          <w:color w:val="000000"/>
          <w:highlight w:val="none"/>
        </w:rPr>
      </w:pPr>
      <w:r>
        <w:rPr>
          <w:rFonts w:hint="eastAsia" w:cs="Times New Roman"/>
          <w:color w:val="000000"/>
          <w:highlight w:val="none"/>
        </w:rPr>
        <w:t xml:space="preserve">（8）建立真实完整的框架协议采购档案，妥善保存每项采购活动的采购文件资料。</w:t>
      </w:r>
      <w:r>
        <w:rPr>
          <w:rFonts w:hint="eastAsia" w:cs="Times New Roman"/>
          <w:color w:val="000000"/>
          <w:highlight w:val="none"/>
        </w:rPr>
      </w:r>
      <w:r/>
    </w:p>
    <w:p>
      <w:pPr>
        <w:pStyle w:val="768"/>
        <w:ind w:firstLine="480"/>
        <w:jc w:val="both"/>
        <w:spacing w:before="0" w:beforeAutospacing="0" w:after="0" w:afterAutospacing="0" w:line="360" w:lineRule="auto"/>
        <w:shd w:val="clear" w:color="auto" w:fill="ffffff"/>
        <w:rPr>
          <w:rFonts w:hint="eastAsia" w:cs="Times New Roman"/>
          <w:color w:val="000000"/>
          <w:highlight w:val="none"/>
        </w:rPr>
      </w:pPr>
      <w:r>
        <w:rPr>
          <w:rFonts w:hint="eastAsia" w:cs="Times New Roman"/>
          <w:color w:val="000000"/>
          <w:highlight w:val="none"/>
        </w:rPr>
        <w:t xml:space="preserve">3.乙方</w:t>
      </w:r>
      <w:r>
        <w:rPr>
          <w:rFonts w:cs="Times New Roman"/>
          <w:color w:val="000000"/>
          <w:highlight w:val="none"/>
        </w:rPr>
        <w:t xml:space="preserve">的权利</w:t>
      </w:r>
      <w:r>
        <w:rPr>
          <w:rFonts w:hint="eastAsia" w:cs="Times New Roman"/>
          <w:color w:val="000000"/>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（1）乙方（及其委托</w:t>
      </w:r>
      <w:r>
        <w:rPr>
          <w:rFonts w:hAnsi="宋体"/>
          <w:color w:val="000000"/>
          <w:sz w:val="24"/>
          <w:szCs w:val="24"/>
          <w:highlight w:val="none"/>
        </w:rPr>
        <w:t xml:space="preserve">的代理</w:t>
      </w:r>
      <w:r>
        <w:rPr>
          <w:rFonts w:hint="eastAsia" w:hAnsi="宋体"/>
          <w:color w:val="000000"/>
          <w:sz w:val="24"/>
          <w:szCs w:val="24"/>
          <w:highlight w:val="none"/>
        </w:rPr>
        <w:t xml:space="preserve">商，</w:t>
      </w:r>
      <w:r>
        <w:rPr>
          <w:rFonts w:hAnsi="宋体"/>
          <w:color w:val="000000"/>
          <w:sz w:val="24"/>
          <w:szCs w:val="24"/>
          <w:highlight w:val="none"/>
        </w:rPr>
        <w:t xml:space="preserve">以下统称乙方</w:t>
      </w:r>
      <w:r>
        <w:rPr>
          <w:rFonts w:hint="eastAsia" w:hAnsi="宋体"/>
          <w:color w:val="000000"/>
          <w:sz w:val="24"/>
          <w:szCs w:val="24"/>
          <w:highlight w:val="none"/>
        </w:rPr>
        <w:t xml:space="preserve">）具有为采购人</w:t>
      </w:r>
      <w:r>
        <w:rPr>
          <w:rFonts w:hAnsi="宋体"/>
          <w:color w:val="000000"/>
          <w:sz w:val="24"/>
          <w:szCs w:val="24"/>
          <w:highlight w:val="none"/>
        </w:rPr>
        <w:t xml:space="preserve">提供相关服务</w:t>
      </w:r>
      <w:r>
        <w:rPr>
          <w:rFonts w:hint="eastAsia" w:hAnsi="宋体"/>
          <w:color w:val="000000"/>
          <w:sz w:val="24"/>
          <w:szCs w:val="24"/>
          <w:highlight w:val="none"/>
        </w:rPr>
        <w:t xml:space="preserve">的资格。</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（2）乙方有权拒绝采购人提出的以本次框架</w:t>
      </w:r>
      <w:r>
        <w:rPr>
          <w:rFonts w:hAnsi="宋体"/>
          <w:color w:val="000000"/>
          <w:sz w:val="24"/>
          <w:szCs w:val="24"/>
          <w:highlight w:val="none"/>
        </w:rPr>
        <w:t xml:space="preserve">协议采购</w:t>
      </w:r>
      <w:r>
        <w:rPr>
          <w:rFonts w:hint="eastAsia" w:hAnsi="宋体"/>
          <w:color w:val="000000"/>
          <w:sz w:val="24"/>
          <w:szCs w:val="24"/>
          <w:highlight w:val="none"/>
        </w:rPr>
        <w:t xml:space="preserve">名义购买非入围货物、服务、配件或满足</w:t>
      </w:r>
      <w:r>
        <w:rPr>
          <w:rFonts w:hAnsi="宋体"/>
          <w:color w:val="000000"/>
          <w:sz w:val="24"/>
          <w:szCs w:val="24"/>
          <w:highlight w:val="none"/>
        </w:rPr>
        <w:t xml:space="preserve">采购人</w:t>
      </w:r>
      <w:r>
        <w:rPr>
          <w:rFonts w:hint="eastAsia" w:hAnsi="宋体"/>
          <w:color w:val="000000"/>
          <w:sz w:val="24"/>
          <w:szCs w:val="24"/>
          <w:highlight w:val="none"/>
        </w:rPr>
        <w:t xml:space="preserve">超出响应承诺以外的其他要求。 </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（3）对采购人在购买入围服务过程中的不正当要求和违规行为进行投诉，并要求有关部门做出处理。 </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（4）有权拒绝任何个人以采购人名义按照协议价格购买入围服务和进行现金交易。</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4.乙方</w:t>
      </w:r>
      <w:r>
        <w:rPr>
          <w:rFonts w:hAnsi="宋体"/>
          <w:color w:val="000000"/>
          <w:sz w:val="24"/>
          <w:szCs w:val="24"/>
          <w:highlight w:val="none"/>
        </w:rPr>
        <w:t xml:space="preserve">的义务</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（1）严格执行国家法律法规，严格按照响应文件承诺的价格和服务履约，遵守本合同条款。 </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（2）乙方如委托代理商代其接受采购人合同授予并履行采购合同，在签订框架协议时需提供代理商委托代理协议和代理商名单，作为框架协议的附件。乙方委托的代理商应当符合《</w:t>
      </w:r>
      <w:r>
        <w:rPr>
          <w:rFonts w:hAnsi="宋体"/>
          <w:color w:val="000000"/>
          <w:sz w:val="24"/>
          <w:szCs w:val="24"/>
          <w:highlight w:val="none"/>
        </w:rPr>
        <w:t xml:space="preserve">中华人民共和国政府采购法</w:t>
      </w:r>
      <w:r>
        <w:rPr>
          <w:rFonts w:hint="eastAsia" w:hAnsi="宋体"/>
          <w:color w:val="000000"/>
          <w:sz w:val="24"/>
          <w:szCs w:val="24"/>
          <w:highlight w:val="none"/>
        </w:rPr>
        <w:t xml:space="preserve">》第二十二条第一款的规定。</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（3）随时接受并配合甲方的监督检查，并配合财政部门对采购人和其他入围供应商对框架</w:t>
      </w:r>
      <w:r>
        <w:rPr>
          <w:rFonts w:hAnsi="宋体"/>
          <w:color w:val="000000"/>
          <w:sz w:val="24"/>
          <w:szCs w:val="24"/>
          <w:highlight w:val="none"/>
        </w:rPr>
        <w:t xml:space="preserve">协议</w:t>
      </w:r>
      <w:r>
        <w:rPr>
          <w:rFonts w:hint="eastAsia" w:hAnsi="宋体"/>
          <w:color w:val="000000"/>
          <w:sz w:val="24"/>
          <w:szCs w:val="24"/>
          <w:highlight w:val="none"/>
        </w:rPr>
        <w:t xml:space="preserve">执行情况进行监督，发现违规违约情形的，及时向财政部门报告。 </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（4）在框架</w:t>
      </w:r>
      <w:r>
        <w:rPr>
          <w:rFonts w:hAnsi="宋体"/>
          <w:color w:val="000000"/>
          <w:sz w:val="24"/>
          <w:szCs w:val="24"/>
          <w:highlight w:val="none"/>
        </w:rPr>
        <w:t xml:space="preserve">协议</w:t>
      </w:r>
      <w:r>
        <w:rPr>
          <w:rFonts w:hint="eastAsia" w:hAnsi="宋体"/>
          <w:color w:val="000000"/>
          <w:sz w:val="24"/>
          <w:szCs w:val="24"/>
          <w:highlight w:val="none"/>
        </w:rPr>
        <w:t xml:space="preserve">有效期内，按照不高于协议</w:t>
      </w:r>
      <w:r>
        <w:rPr>
          <w:rFonts w:hAnsi="宋体"/>
          <w:color w:val="000000"/>
          <w:sz w:val="24"/>
          <w:szCs w:val="24"/>
          <w:highlight w:val="none"/>
        </w:rPr>
        <w:t xml:space="preserve">价格</w:t>
      </w:r>
      <w:r>
        <w:rPr>
          <w:rFonts w:hint="eastAsia" w:hAnsi="宋体"/>
          <w:color w:val="000000"/>
          <w:sz w:val="24"/>
          <w:szCs w:val="24"/>
          <w:highlight w:val="none"/>
        </w:rPr>
        <w:t xml:space="preserve">的价格，向采购人提供相关服务。 </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（5）乙方及其委托的聘用专家对本项目承担连带责任，乙方委托的聘用专家必须履行乙方在响应</w:t>
      </w:r>
      <w:r>
        <w:rPr>
          <w:rFonts w:hAnsi="宋体"/>
          <w:color w:val="000000"/>
          <w:sz w:val="24"/>
          <w:szCs w:val="24"/>
          <w:highlight w:val="none"/>
        </w:rPr>
        <w:t xml:space="preserve">文件</w:t>
      </w:r>
      <w:r>
        <w:rPr>
          <w:rFonts w:hint="eastAsia" w:hAnsi="宋体"/>
          <w:color w:val="000000"/>
          <w:sz w:val="24"/>
          <w:szCs w:val="24"/>
          <w:highlight w:val="none"/>
        </w:rPr>
        <w:t xml:space="preserve">中</w:t>
      </w:r>
      <w:r>
        <w:rPr>
          <w:rFonts w:hAnsi="宋体"/>
          <w:color w:val="000000"/>
          <w:sz w:val="24"/>
          <w:szCs w:val="24"/>
          <w:highlight w:val="none"/>
        </w:rPr>
        <w:t xml:space="preserve">承诺的责任和</w:t>
      </w:r>
      <w:r>
        <w:rPr>
          <w:rFonts w:hint="eastAsia" w:hAnsi="宋体"/>
          <w:color w:val="000000"/>
          <w:sz w:val="24"/>
          <w:szCs w:val="24"/>
          <w:highlight w:val="none"/>
        </w:rPr>
        <w:t xml:space="preserve">义务。 </w:t>
      </w:r>
      <w:r>
        <w:rPr>
          <w:rFonts w:hint="eastAsia" w:hAnsi="宋体"/>
          <w:color w:val="000000"/>
          <w:sz w:val="24"/>
          <w:szCs w:val="24"/>
          <w:highlight w:val="none"/>
        </w:rPr>
      </w:r>
      <w:r/>
    </w:p>
    <w:p>
      <w:pPr>
        <w:pStyle w:val="744"/>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（6）框架协议期内，在质量不降低、价格不提高的前提下，乙方如出现因服务升级换代，需用新服务替代原入围服务情形时，必须在“苏采云”系统中向甲方提出申请。</w:t>
      </w:r>
      <w:r>
        <w:rPr>
          <w:rFonts w:hint="eastAsia" w:hAnsi="宋体"/>
          <w:color w:val="000000"/>
          <w:sz w:val="24"/>
          <w:szCs w:val="24"/>
          <w:highlight w:val="none"/>
        </w:rPr>
      </w:r>
      <w:r/>
    </w:p>
    <w:p>
      <w:pPr>
        <w:pStyle w:val="706"/>
        <w:ind w:firstLine="482"/>
        <w:spacing w:before="156" w:after="156"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十、争议解决的办法</w:t>
      </w:r>
      <w:r>
        <w:rPr>
          <w:rFonts w:hint="eastAsia" w:ascii="宋体" w:hAnsi="宋体"/>
          <w:b/>
          <w:color w:val="000000"/>
          <w:sz w:val="24"/>
          <w:szCs w:val="24"/>
          <w:highlight w:val="none"/>
        </w:rPr>
      </w:r>
      <w:r/>
    </w:p>
    <w:p>
      <w:pPr>
        <w:pStyle w:val="706"/>
        <w:ind w:firstLine="480"/>
        <w:spacing w:before="156" w:after="156"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因本框架协议的签订、履行而发生的争议，甲乙双方应通过友好协商解决，如协商不成由甲方住所地人民法院管辖。</w:t>
      </w:r>
      <w:r>
        <w:rPr>
          <w:rFonts w:hint="eastAsia" w:ascii="宋体" w:hAnsi="宋体"/>
          <w:color w:val="000000"/>
          <w:sz w:val="24"/>
          <w:szCs w:val="24"/>
          <w:highlight w:val="none"/>
        </w:rPr>
      </w:r>
      <w:r/>
    </w:p>
    <w:p>
      <w:pPr>
        <w:pStyle w:val="744"/>
        <w:ind w:firstLine="482"/>
        <w:spacing w:before="120" w:after="120" w:line="360" w:lineRule="auto"/>
        <w:rPr>
          <w:rFonts w:hint="eastAsia"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w:t>
      </w:r>
      <w:r>
        <w:rPr>
          <w:rFonts w:hint="eastAsia" w:hAnsi="宋体"/>
          <w:b/>
          <w:color w:val="000000"/>
          <w:sz w:val="24"/>
          <w:szCs w:val="24"/>
          <w:highlight w:val="none"/>
        </w:rPr>
        <w:t xml:space="preserve">框架</w:t>
      </w:r>
      <w:r>
        <w:rPr>
          <w:rFonts w:hAnsi="宋体"/>
          <w:b/>
          <w:color w:val="000000"/>
          <w:sz w:val="24"/>
          <w:szCs w:val="24"/>
          <w:highlight w:val="none"/>
        </w:rPr>
        <w:t xml:space="preserve">协议文本的生效及其它</w:t>
      </w:r>
      <w:r>
        <w:rPr>
          <w:rFonts w:hint="eastAsia" w:hAnsi="宋体"/>
          <w:b/>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1.本框架协议文本</w:t>
      </w:r>
      <w:r>
        <w:rPr>
          <w:rFonts w:hAnsi="宋体"/>
          <w:color w:val="000000"/>
          <w:sz w:val="24"/>
          <w:szCs w:val="24"/>
          <w:highlight w:val="none"/>
        </w:rPr>
        <w:t xml:space="preserve">经</w:t>
      </w:r>
      <w:r>
        <w:rPr>
          <w:rFonts w:hint="eastAsia" w:hAnsi="宋体"/>
          <w:color w:val="000000"/>
          <w:sz w:val="24"/>
          <w:szCs w:val="24"/>
          <w:highlight w:val="none"/>
        </w:rPr>
        <w:t xml:space="preserve">甲乙</w:t>
      </w:r>
      <w:r>
        <w:rPr>
          <w:rFonts w:hAnsi="宋体"/>
          <w:color w:val="000000"/>
          <w:sz w:val="24"/>
          <w:szCs w:val="24"/>
          <w:highlight w:val="none"/>
        </w:rPr>
        <w:t xml:space="preserve">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2.</w:t>
      </w:r>
      <w:r>
        <w:rPr>
          <w:rFonts w:hAnsi="宋体"/>
          <w:color w:val="000000"/>
          <w:sz w:val="24"/>
          <w:szCs w:val="24"/>
          <w:highlight w:val="none"/>
        </w:rPr>
        <w:t xml:space="preserve">本</w:t>
      </w:r>
      <w:r>
        <w:rPr>
          <w:rFonts w:hint="eastAsia" w:hAnsi="宋体"/>
          <w:color w:val="000000"/>
          <w:sz w:val="24"/>
          <w:szCs w:val="24"/>
          <w:highlight w:val="none"/>
        </w:rPr>
        <w:t xml:space="preserve">框架</w:t>
      </w:r>
      <w:r>
        <w:rPr>
          <w:rFonts w:hAnsi="宋体"/>
          <w:color w:val="000000"/>
          <w:sz w:val="24"/>
          <w:szCs w:val="24"/>
          <w:highlight w:val="none"/>
        </w:rPr>
        <w:t xml:space="preserve">协议文本未尽事宜，遵照</w:t>
      </w:r>
      <w:r>
        <w:rPr>
          <w:rFonts w:hint="eastAsia" w:hAnsi="宋体"/>
          <w:color w:val="000000"/>
          <w:sz w:val="24"/>
          <w:szCs w:val="24"/>
          <w:highlight w:val="none"/>
        </w:rPr>
        <w:t xml:space="preserve">《中华人民共和国民法典》《中华人民共和国政府采购法》等</w:t>
      </w:r>
      <w:r>
        <w:rPr>
          <w:rFonts w:hAnsi="宋体"/>
          <w:color w:val="000000"/>
          <w:sz w:val="24"/>
          <w:szCs w:val="24"/>
          <w:highlight w:val="none"/>
        </w:rPr>
        <w:t xml:space="preserve">有关条文执行。</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3.</w:t>
      </w:r>
      <w:r>
        <w:rPr>
          <w:rFonts w:hAnsi="宋体"/>
          <w:color w:val="000000"/>
          <w:sz w:val="24"/>
          <w:szCs w:val="24"/>
          <w:highlight w:val="none"/>
        </w:rPr>
        <w:t xml:space="preserve">本</w:t>
      </w:r>
      <w:r>
        <w:rPr>
          <w:rFonts w:hint="eastAsia" w:hAnsi="宋体"/>
          <w:color w:val="000000"/>
          <w:sz w:val="24"/>
          <w:szCs w:val="24"/>
          <w:highlight w:val="none"/>
        </w:rPr>
        <w:t xml:space="preserve">框架</w:t>
      </w:r>
      <w:r>
        <w:rPr>
          <w:rFonts w:hAnsi="宋体"/>
          <w:color w:val="000000"/>
          <w:sz w:val="24"/>
          <w:szCs w:val="24"/>
          <w:highlight w:val="none"/>
        </w:rPr>
        <w:t xml:space="preserve">协议</w:t>
      </w:r>
      <w:r>
        <w:rPr>
          <w:rFonts w:hint="eastAsia" w:hAnsi="宋体"/>
          <w:color w:val="000000"/>
          <w:sz w:val="24"/>
          <w:szCs w:val="24"/>
          <w:highlight w:val="none"/>
        </w:rPr>
        <w:t xml:space="preserve">文本正本</w:t>
      </w:r>
      <w:r>
        <w:rPr>
          <w:rFonts w:hAnsi="宋体"/>
          <w:color w:val="000000"/>
          <w:sz w:val="24"/>
          <w:szCs w:val="24"/>
          <w:highlight w:val="none"/>
        </w:rPr>
        <w:t xml:space="preserve">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744"/>
        <w:ind w:left="480" w:firstLine="480"/>
        <w:spacing w:before="120" w:after="120" w:line="360" w:lineRule="auto"/>
        <w:rPr>
          <w:rFonts w:hint="eastAsia" w:hAnsi="宋体"/>
          <w:color w:val="000000"/>
          <w:sz w:val="24"/>
          <w:szCs w:val="24"/>
          <w:highlight w:val="none"/>
        </w:rPr>
      </w:pPr>
      <w:r>
        <w:rPr>
          <w:rFonts w:hAnsi="宋体"/>
          <w:color w:val="000000"/>
          <w:sz w:val="24"/>
          <w:szCs w:val="24"/>
          <w:highlight w:val="none"/>
        </w:rPr>
        <w:t xml:space="preserve">  </w:t>
      </w:r>
      <w:r>
        <w:rPr>
          <w:rFonts w:hint="eastAsia" w:hAnsi="宋体"/>
          <w:color w:val="000000"/>
          <w:sz w:val="24"/>
          <w:szCs w:val="24"/>
          <w:highlight w:val="none"/>
        </w:rPr>
      </w:r>
      <w:r/>
    </w:p>
    <w:p>
      <w:pPr>
        <w:pStyle w:val="744"/>
        <w:ind w:left="210" w:firstLine="480"/>
        <w:spacing w:before="120" w:after="120" w:line="360" w:lineRule="auto"/>
        <w:rPr>
          <w:rFonts w:hint="eastAsia" w:hAnsi="宋体"/>
          <w:color w:val="000000"/>
          <w:sz w:val="24"/>
          <w:szCs w:val="24"/>
          <w:highlight w:val="none"/>
        </w:rPr>
      </w:pPr>
      <w:r>
        <w:rPr>
          <w:rFonts w:hAnsi="宋体"/>
          <w:color w:val="000000"/>
          <w:sz w:val="24"/>
          <w:szCs w:val="24"/>
          <w:highlight w:val="none"/>
        </w:rPr>
        <w:t xml:space="preserve">甲方：                                        乙方： </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                地址： </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int="eastAsia" w:hAnsi="宋体"/>
          <w:color w:val="000000"/>
          <w:sz w:val="24"/>
          <w:szCs w:val="24"/>
          <w:highlight w:val="none"/>
        </w:rPr>
      </w:r>
      <w:r/>
    </w:p>
    <w:p>
      <w:pPr>
        <w:pStyle w:val="744"/>
        <w:ind w:firstLine="72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联系电话：                   </w:t>
      </w:r>
      <w:r>
        <w:rPr>
          <w:rFonts w:hAnsi="宋体"/>
          <w:color w:val="000000"/>
          <w:sz w:val="24"/>
          <w:szCs w:val="24"/>
          <w:highlight w:val="none"/>
        </w:rPr>
        <w:t xml:space="preserve">                </w:t>
      </w:r>
      <w:r>
        <w:rPr>
          <w:rFonts w:hint="eastAsia" w:hAnsi="宋体"/>
          <w:color w:val="000000"/>
          <w:sz w:val="24"/>
          <w:szCs w:val="24"/>
          <w:highlight w:val="none"/>
        </w:rPr>
        <w:t xml:space="preserve"> 联系电话：          </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                                          </w:t>
      </w:r>
      <w:r>
        <w:rPr>
          <w:rFonts w:hAnsi="宋体"/>
          <w:color w:val="000000"/>
          <w:sz w:val="24"/>
          <w:szCs w:val="24"/>
          <w:highlight w:val="none"/>
        </w:rPr>
        <w:t xml:space="preserve">签订日期：      年  </w:t>
      </w:r>
      <w:r>
        <w:rPr>
          <w:rFonts w:hint="eastAsia" w:hAnsi="宋体"/>
          <w:color w:val="000000"/>
          <w:sz w:val="24"/>
          <w:szCs w:val="24"/>
          <w:highlight w:val="none"/>
        </w:rPr>
        <w:t xml:space="preserve">  </w:t>
      </w:r>
      <w:r>
        <w:rPr>
          <w:rFonts w:hAnsi="宋体"/>
          <w:color w:val="000000"/>
          <w:sz w:val="24"/>
          <w:szCs w:val="24"/>
          <w:highlight w:val="none"/>
        </w:rPr>
        <w:t xml:space="preserve">月  </w:t>
      </w:r>
      <w:r>
        <w:rPr>
          <w:rFonts w:hint="eastAsia" w:hAnsi="宋体"/>
          <w:color w:val="000000"/>
          <w:sz w:val="24"/>
          <w:szCs w:val="24"/>
          <w:highlight w:val="none"/>
        </w:rPr>
        <w:t xml:space="preserve"> </w:t>
      </w:r>
      <w:r>
        <w:rPr>
          <w:rFonts w:hAnsi="宋体"/>
          <w:color w:val="000000"/>
          <w:sz w:val="24"/>
          <w:szCs w:val="24"/>
          <w:highlight w:val="none"/>
        </w:rPr>
        <w:t xml:space="preserve">日</w:t>
      </w:r>
      <w:r>
        <w:rPr>
          <w:rFonts w:hint="eastAsia" w:hAnsi="宋体"/>
          <w:color w:val="000000"/>
          <w:sz w:val="24"/>
          <w:szCs w:val="24"/>
          <w:highlight w:val="none"/>
        </w:rPr>
      </w:r>
      <w:r/>
    </w:p>
    <w:p>
      <w:pPr>
        <w:pStyle w:val="706"/>
        <w:ind w:firstLine="602"/>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第二部分  采购合同文本</w:t>
      </w:r>
      <w:r>
        <w:rPr>
          <w:rFonts w:hint="eastAsia" w:ascii="宋体" w:hAnsi="宋体"/>
          <w:b/>
          <w:color w:val="000000"/>
          <w:sz w:val="30"/>
          <w:szCs w:val="30"/>
          <w:highlight w:val="none"/>
        </w:rPr>
      </w:r>
      <w:r/>
    </w:p>
    <w:p>
      <w:pPr>
        <w:pStyle w:val="706"/>
        <w:jc w:val="left"/>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（以下为合同的通用条款，中标供应商不得提出实质性的修改，关于专用条款将由采购人与中标供应商结合本项目具体情况协商后签订） </w:t>
      </w:r>
      <w:r>
        <w:rPr>
          <w:rFonts w:ascii="宋体" w:hAnsi="宋体" w:cs="宋体"/>
          <w:color w:val="000000"/>
          <w:sz w:val="22"/>
          <w:highlight w:val="none"/>
        </w:rPr>
        <w:t xml:space="preserve">                   </w:t>
      </w:r>
      <w:r>
        <w:rPr>
          <w:color w:val="000000"/>
          <w:highlight w:val="none"/>
        </w:rPr>
      </w:r>
      <w:r/>
    </w:p>
    <w:p>
      <w:pPr>
        <w:pStyle w:val="706"/>
        <w:ind w:firstLine="48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甲方（采购人）：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color w:val="000000"/>
          <w:highlight w:val="none"/>
        </w:rPr>
      </w:r>
      <w:r/>
    </w:p>
    <w:p>
      <w:pPr>
        <w:pStyle w:val="706"/>
        <w:ind w:firstLine="480"/>
        <w:spacing w:before="120" w:after="120" w:line="360" w:lineRule="auto"/>
        <w:rPr>
          <w:color w:val="000000"/>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乙方（物业</w:t>
      </w:r>
      <w:r>
        <w:rPr>
          <w:rFonts w:hint="eastAsia" w:ascii="宋体" w:hAnsi="宋体" w:cs="宋体"/>
          <w:color w:val="000000"/>
          <w:sz w:val="24"/>
          <w:highlight w:val="none"/>
        </w:rPr>
        <w:t xml:space="preserve">入围</w:t>
      </w:r>
      <w:r>
        <w:rPr>
          <w:rFonts w:ascii="宋体" w:hAnsi="宋体" w:cs="宋体"/>
          <w:color w:val="000000"/>
          <w:sz w:val="24"/>
          <w:highlight w:val="none"/>
        </w:rPr>
        <w:t xml:space="preserve">供应商）：</w:t>
      </w:r>
      <w:r>
        <w:rPr>
          <w:rFonts w:hint="eastAsia" w:ascii="宋体" w:hAnsi="宋体" w:cs="宋体"/>
          <w:color w:val="000000"/>
          <w:sz w:val="24"/>
          <w:highlight w:val="none"/>
          <w:u w:val="single"/>
        </w:rPr>
        <w:t xml:space="preserve">                      </w:t>
      </w:r>
      <w:r>
        <w:rPr>
          <w:color w:val="000000"/>
          <w:highlight w:val="none"/>
          <w:u w:val="single"/>
        </w:rPr>
      </w:r>
      <w:r/>
    </w:p>
    <w:p>
      <w:pPr>
        <w:pStyle w:val="706"/>
        <w:ind w:firstLine="361"/>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rFonts w:ascii="宋体" w:hAnsi="宋体" w:cs="宋体"/>
          <w:color w:val="000000"/>
          <w:sz w:val="24"/>
          <w:highlight w:val="none"/>
        </w:rPr>
        <w:t xml:space="preserve">甲、乙双方根据</w:t>
      </w:r>
      <w:r>
        <w:rPr>
          <w:rFonts w:hint="eastAsia" w:ascii="宋体" w:hAnsi="宋体" w:cs="宋体"/>
          <w:color w:val="000000"/>
          <w:sz w:val="24"/>
          <w:highlight w:val="none"/>
          <w:lang w:eastAsia="zh-CN"/>
        </w:rPr>
        <w:t xml:space="preserve">JSZC-320213-JZCG-K2026-0009</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2026-2027年度无锡市梁溪区物业管理服务框架协议采购</w:t>
      </w:r>
      <w:r>
        <w:rPr>
          <w:rFonts w:ascii="宋体" w:hAnsi="宋体" w:cs="宋体"/>
          <w:color w:val="000000"/>
          <w:sz w:val="24"/>
          <w:highlight w:val="none"/>
        </w:rPr>
        <w:t xml:space="preserve">的结果，根据《中华人民共和国政府采购法》和《中华人民共和国</w:t>
      </w:r>
      <w:r>
        <w:rPr>
          <w:rFonts w:hint="eastAsia" w:ascii="宋体" w:hAnsi="宋体" w:cs="宋体"/>
          <w:color w:val="000000"/>
          <w:sz w:val="24"/>
          <w:highlight w:val="none"/>
        </w:rPr>
        <w:t xml:space="preserve">民法典</w:t>
      </w:r>
      <w:r>
        <w:rPr>
          <w:rFonts w:ascii="宋体" w:hAnsi="宋体" w:cs="宋体"/>
          <w:color w:val="000000"/>
          <w:sz w:val="24"/>
          <w:highlight w:val="none"/>
        </w:rPr>
        <w:t xml:space="preserve">》规定，在平等、自愿、协商一致的基础上，就甲方（采购人）委托乙方（</w:t>
      </w:r>
      <w:r>
        <w:rPr>
          <w:rFonts w:hint="eastAsia" w:ascii="宋体" w:hAnsi="宋体" w:cs="宋体"/>
          <w:color w:val="000000"/>
          <w:sz w:val="24"/>
          <w:highlight w:val="none"/>
        </w:rPr>
        <w:t xml:space="preserve">入围</w:t>
      </w:r>
      <w:r>
        <w:rPr>
          <w:rFonts w:ascii="宋体" w:hAnsi="宋体" w:cs="宋体"/>
          <w:color w:val="000000"/>
          <w:sz w:val="24"/>
          <w:highlight w:val="none"/>
        </w:rPr>
        <w:t xml:space="preserve">供应商）对</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w:t>
      </w:r>
      <w:r>
        <w:rPr>
          <w:rFonts w:ascii="宋体" w:hAnsi="宋体" w:cs="宋体"/>
          <w:color w:val="000000"/>
          <w:sz w:val="24"/>
          <w:highlight w:val="none"/>
        </w:rPr>
        <w:t xml:space="preserve">物业名称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实行专业化、一体化的物业管理服务订立本合同。</w:t>
      </w:r>
      <w:r>
        <w:rPr>
          <w:color w:val="000000"/>
          <w:highlight w:val="none"/>
        </w:rPr>
      </w:r>
      <w:r/>
    </w:p>
    <w:p>
      <w:pPr>
        <w:pStyle w:val="706"/>
        <w:ind w:firstLine="472"/>
        <w:spacing w:before="120" w:after="120" w:line="360" w:lineRule="auto"/>
        <w:tabs>
          <w:tab w:val="left" w:pos="7079"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一、采购标的</w:t>
      </w:r>
      <w:r>
        <w:rPr>
          <w:rFonts w:ascii="宋体" w:hAnsi="宋体" w:cs="宋体"/>
          <w:b/>
          <w:color w:val="000000"/>
          <w:sz w:val="24"/>
          <w:highlight w:val="none"/>
        </w:rPr>
        <w:tab/>
      </w:r>
      <w:r>
        <w:rPr>
          <w:color w:val="000000"/>
          <w:highlight w:val="none"/>
        </w:rPr>
      </w:r>
      <w:r/>
    </w:p>
    <w:p>
      <w:pPr>
        <w:pStyle w:val="706"/>
        <w:ind w:firstLine="480"/>
        <w:jc w:val="left"/>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1.1物业</w:t>
      </w:r>
      <w:r>
        <w:rPr>
          <w:rFonts w:hint="eastAsia" w:ascii="宋体" w:hAnsi="宋体" w:cs="宋体"/>
          <w:color w:val="000000"/>
          <w:sz w:val="24"/>
          <w:highlight w:val="none"/>
        </w:rPr>
        <w:t xml:space="preserve">名</w:t>
      </w:r>
      <w:r>
        <w:rPr>
          <w:rFonts w:ascii="宋体" w:hAnsi="宋体" w:cs="宋体"/>
          <w:color w:val="000000"/>
          <w:sz w:val="24"/>
          <w:highlight w:val="none"/>
        </w:rPr>
        <w:t xml:space="preserve">称：</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color w:val="000000"/>
          <w:highlight w:val="none"/>
        </w:rPr>
      </w:r>
      <w:r/>
    </w:p>
    <w:p>
      <w:pPr>
        <w:pStyle w:val="706"/>
        <w:ind w:firstLine="48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1.2本合同项下物业管理服务费用总价款为人民币（小写）</w:t>
      </w:r>
      <w:r>
        <w:rPr>
          <w:rFonts w:ascii="宋体" w:hAnsi="宋体" w:cs="宋体"/>
          <w:color w:val="000000"/>
          <w:sz w:val="24"/>
          <w:highlight w:val="none"/>
          <w:u w:val="single"/>
        </w:rPr>
        <w:t xml:space="preserve">            </w:t>
      </w:r>
      <w:r>
        <w:rPr>
          <w:rFonts w:ascii="宋体" w:hAnsi="宋体" w:cs="宋体"/>
          <w:color w:val="000000"/>
          <w:sz w:val="24"/>
          <w:highlight w:val="none"/>
        </w:rPr>
        <w:t xml:space="preserve">元</w:t>
      </w:r>
      <w:r>
        <w:rPr>
          <w:color w:val="000000"/>
          <w:highlight w:val="none"/>
        </w:rPr>
      </w:r>
      <w:r/>
    </w:p>
    <w:p>
      <w:pPr>
        <w:pStyle w:val="706"/>
        <w:ind w:firstLine="36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整（人民币大写</w:t>
      </w:r>
      <w:r>
        <w:rPr>
          <w:rFonts w:ascii="宋体" w:hAnsi="宋体" w:cs="宋体"/>
          <w:color w:val="000000"/>
          <w:sz w:val="24"/>
          <w:highlight w:val="none"/>
          <w:u w:val="single"/>
        </w:rPr>
        <w:t xml:space="preserve">：                   </w:t>
      </w:r>
      <w:r>
        <w:rPr>
          <w:rFonts w:ascii="宋体" w:hAnsi="宋体" w:cs="宋体"/>
          <w:color w:val="000000"/>
          <w:sz w:val="24"/>
          <w:highlight w:val="none"/>
        </w:rPr>
        <w:t xml:space="preserve">元整）。</w:t>
      </w:r>
      <w:r>
        <w:rPr>
          <w:color w:val="000000"/>
          <w:highlight w:val="none"/>
        </w:rPr>
      </w:r>
      <w:r/>
    </w:p>
    <w:p>
      <w:pPr>
        <w:pStyle w:val="706"/>
        <w:ind w:firstLine="473"/>
        <w:spacing w:before="120" w:after="120" w:line="360" w:lineRule="auto"/>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1.3服务期限：</w:t>
      </w:r>
      <w:r>
        <w:rPr>
          <w:rFonts w:ascii="宋体" w:hAnsi="宋体" w:cs="宋体"/>
          <w:color w:val="000000"/>
          <w:sz w:val="24"/>
          <w:highlight w:val="none"/>
          <w:u w:val="single"/>
        </w:rPr>
        <w:t xml:space="preserve">                    （以实际签约时间为准</w:t>
      </w:r>
      <w:r>
        <w:rPr>
          <w:rFonts w:hint="eastAsia" w:ascii="宋体" w:hAnsi="宋体" w:cs="宋体"/>
          <w:color w:val="000000"/>
          <w:sz w:val="24"/>
          <w:highlight w:val="none"/>
          <w:u w:val="single"/>
        </w:rPr>
        <w:t xml:space="preserve">，</w:t>
      </w:r>
      <w:r>
        <w:rPr>
          <w:rFonts w:ascii="宋体" w:hAnsi="宋体" w:cs="宋体"/>
          <w:color w:val="000000"/>
          <w:sz w:val="24"/>
          <w:highlight w:val="none"/>
          <w:u w:val="single"/>
        </w:rPr>
        <w:t xml:space="preserve">最多</w:t>
      </w:r>
      <w:r>
        <w:rPr>
          <w:rFonts w:hint="eastAsia" w:ascii="宋体" w:hAnsi="宋体" w:cs="宋体"/>
          <w:color w:val="000000"/>
          <w:sz w:val="24"/>
          <w:highlight w:val="none"/>
          <w:u w:val="single"/>
        </w:rPr>
        <w:t xml:space="preserve">1</w:t>
      </w:r>
      <w:r>
        <w:rPr>
          <w:rFonts w:ascii="宋体" w:hAnsi="宋体" w:cs="宋体"/>
          <w:color w:val="000000"/>
          <w:sz w:val="24"/>
          <w:highlight w:val="none"/>
          <w:u w:val="single"/>
        </w:rPr>
        <w:t xml:space="preserve">年）</w:t>
      </w:r>
      <w:r>
        <w:rPr>
          <w:rFonts w:ascii="宋体" w:hAnsi="宋体" w:cs="宋体"/>
          <w:color w:val="000000"/>
          <w:sz w:val="24"/>
          <w:highlight w:val="none"/>
          <w:u w:val="single"/>
        </w:rPr>
      </w:r>
      <w:r/>
    </w:p>
    <w:p>
      <w:pPr>
        <w:pStyle w:val="706"/>
        <w:ind w:firstLine="480"/>
        <w:jc w:val="left"/>
        <w:spacing w:before="120" w:after="120" w:line="360" w:lineRule="auto"/>
        <w:rPr>
          <w:color w:val="000000"/>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w:t>
      </w:r>
      <w:r>
        <w:rPr>
          <w:rFonts w:hint="eastAsia" w:ascii="宋体" w:hAnsi="宋体" w:cs="宋体"/>
          <w:color w:val="000000"/>
          <w:sz w:val="24"/>
          <w:highlight w:val="none"/>
        </w:rPr>
        <w:t xml:space="preserve">服务地点和方式：</w:t>
      </w:r>
      <w:r>
        <w:rPr>
          <w:rFonts w:hint="eastAsia" w:ascii="宋体" w:hAnsi="宋体" w:cs="宋体"/>
          <w:color w:val="000000"/>
          <w:sz w:val="24"/>
          <w:highlight w:val="none"/>
          <w:u w:val="single"/>
        </w:rPr>
        <w:t xml:space="preserve">                                                          </w:t>
      </w:r>
      <w:r>
        <w:rPr>
          <w:color w:val="000000"/>
          <w:highlight w:val="none"/>
          <w:u w:val="single"/>
        </w:rPr>
      </w:r>
      <w:r/>
    </w:p>
    <w:p>
      <w:pPr>
        <w:pStyle w:val="706"/>
        <w:ind w:firstLine="473"/>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1.5合同不可分割部分：</w:t>
      </w:r>
      <w:r>
        <w:rPr>
          <w:rFonts w:hint="eastAsia" w:ascii="宋体" w:hAnsi="宋体" w:cs="宋体"/>
          <w:color w:val="000000"/>
          <w:sz w:val="24"/>
          <w:highlight w:val="none"/>
          <w:lang w:eastAsia="zh-CN"/>
        </w:rPr>
        <w:t xml:space="preserve">JSZC-320213-JZCG-K2026-0009</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2026-2027年度无锡市梁溪区物业管理服务框架协议采购</w:t>
      </w:r>
      <w:r>
        <w:rPr>
          <w:rFonts w:ascii="宋体" w:hAnsi="宋体" w:cs="宋体"/>
          <w:color w:val="000000"/>
          <w:sz w:val="24"/>
          <w:highlight w:val="none"/>
        </w:rPr>
        <w:t xml:space="preserve">文件、响应文件、合同条款、专用条款（如果有）及中标通知书，乙方在</w:t>
      </w:r>
      <w:r>
        <w:rPr>
          <w:rFonts w:hint="eastAsia" w:ascii="宋体" w:hAnsi="宋体" w:cs="宋体"/>
          <w:color w:val="000000"/>
          <w:sz w:val="24"/>
          <w:highlight w:val="none"/>
        </w:rPr>
        <w:t xml:space="preserve">响应</w:t>
      </w:r>
      <w:r>
        <w:rPr>
          <w:rFonts w:ascii="宋体" w:hAnsi="宋体" w:cs="宋体"/>
          <w:color w:val="000000"/>
          <w:sz w:val="24"/>
          <w:highlight w:val="none"/>
        </w:rPr>
        <w:t xml:space="preserve">、评标过程中所作其它有关承诺、声明、书面澄清等均为合同不可分割的部分，与主合同具有同等法律效力。</w:t>
      </w:r>
      <w:r>
        <w:rPr>
          <w:color w:val="000000"/>
          <w:highlight w:val="none"/>
        </w:rPr>
      </w:r>
      <w:r/>
    </w:p>
    <w:p>
      <w:pPr>
        <w:pStyle w:val="706"/>
        <w:ind w:firstLine="472"/>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二、合同明细报价</w:t>
      </w:r>
      <w:r>
        <w:rPr>
          <w:color w:val="000000"/>
          <w:highlight w:val="none"/>
        </w:rPr>
      </w:r>
      <w:r/>
    </w:p>
    <w:p>
      <w:pPr>
        <w:pStyle w:val="706"/>
        <w:ind w:left="407" w:firstLine="12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2.1本合同执行期间合同总价款不变。</w:t>
      </w:r>
      <w:r>
        <w:rPr>
          <w:color w:val="000000"/>
          <w:highlight w:val="none"/>
        </w:rPr>
      </w:r>
      <w:r/>
    </w:p>
    <w:p>
      <w:pPr>
        <w:pStyle w:val="706"/>
        <w:ind w:left="415" w:hanging="56"/>
        <w:jc w:val="center"/>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价 格 表</w:t>
      </w:r>
      <w:r>
        <w:rPr>
          <w:color w:val="000000"/>
          <w:highlight w:val="none"/>
        </w:rPr>
      </w:r>
      <w:r/>
    </w:p>
    <w:p>
      <w:pPr>
        <w:pStyle w:val="706"/>
        <w:ind w:firstLine="360"/>
        <w:spacing w:line="360" w:lineRule="auto"/>
        <w:rPr>
          <w:rFonts w:hint="eastAsia"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06"/>
        <w:ind w:firstLine="36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联系电话：</w:t>
      </w:r>
      <w:r>
        <w:rPr>
          <w:rFonts w:ascii="宋体" w:hAnsi="宋体" w:cs="宋体"/>
          <w:color w:val="000000"/>
          <w:sz w:val="24"/>
          <w:highlight w:val="none"/>
          <w:u w:val="single"/>
        </w:rPr>
        <w:t xml:space="preserve">               </w:t>
      </w:r>
      <w:r>
        <w:rPr>
          <w:color w:val="000000"/>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1.服务单价</w:t>
      </w:r>
      <w:r>
        <w:rPr>
          <w:rFonts w:hint="eastAsia" w:hAnsi="宋体"/>
          <w:color w:val="000000"/>
          <w:sz w:val="24"/>
          <w:szCs w:val="24"/>
          <w:highlight w:val="none"/>
        </w:rPr>
      </w:r>
      <w:r/>
    </w:p>
    <w:p>
      <w:pPr>
        <w:pStyle w:val="744"/>
        <w:ind w:firstLine="480"/>
        <w:spacing w:before="120" w:after="120" w:line="360" w:lineRule="auto"/>
        <w:rPr>
          <w:rFonts w:hint="eastAsia" w:hAnsi="宋体" w:cs="宋体"/>
          <w:color w:val="000000"/>
          <w:sz w:val="24"/>
          <w:szCs w:val="24"/>
          <w:highlight w:val="none"/>
        </w:rPr>
      </w:pPr>
      <w:r>
        <w:rPr>
          <w:rFonts w:hint="eastAsia" w:hAnsi="宋体"/>
          <w:color w:val="000000"/>
          <w:sz w:val="24"/>
          <w:szCs w:val="24"/>
          <w:highlight w:val="none"/>
        </w:rPr>
        <w:t xml:space="preserve">①</w:t>
      </w:r>
      <w:r>
        <w:rPr>
          <w:rFonts w:hint="eastAsia" w:hAnsi="宋体" w:cs="宋体"/>
          <w:color w:val="000000"/>
          <w:sz w:val="24"/>
          <w:szCs w:val="24"/>
          <w:highlight w:val="none"/>
        </w:rPr>
        <w:t xml:space="preserve">公共区域保洁</w:t>
      </w:r>
      <w:r>
        <w:rPr>
          <w:rFonts w:hint="eastAsia" w:hAnsi="宋体"/>
          <w:color w:val="000000"/>
          <w:sz w:val="24"/>
          <w:szCs w:val="24"/>
          <w:highlight w:val="none"/>
        </w:rPr>
        <w:t xml:space="preserve">              ____________</w:t>
      </w:r>
      <w:r>
        <w:rPr>
          <w:rFonts w:hint="eastAsia" w:hAnsi="宋体" w:cs="宋体"/>
          <w:color w:val="000000"/>
          <w:sz w:val="24"/>
          <w:szCs w:val="24"/>
          <w:highlight w:val="none"/>
        </w:rPr>
        <w:t xml:space="preserve">元/㎡/月</w:t>
      </w:r>
      <w:r>
        <w:rPr>
          <w:rFonts w:hint="eastAsia" w:hAnsi="宋体" w:cs="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②</w:t>
      </w:r>
      <w:r>
        <w:rPr>
          <w:rFonts w:hint="eastAsia" w:hAnsi="宋体" w:cs="宋体"/>
          <w:color w:val="000000"/>
          <w:sz w:val="24"/>
          <w:szCs w:val="24"/>
          <w:highlight w:val="none"/>
        </w:rPr>
        <w:t xml:space="preserve">基本安全保卫</w:t>
      </w:r>
      <w:r>
        <w:rPr>
          <w:rFonts w:hint="eastAsia" w:hAnsi="宋体"/>
          <w:color w:val="000000"/>
          <w:sz w:val="24"/>
          <w:szCs w:val="24"/>
          <w:highlight w:val="none"/>
        </w:rPr>
        <w:t xml:space="preserve">              ____________</w:t>
      </w:r>
      <w:r>
        <w:rPr>
          <w:rFonts w:hint="eastAsia" w:hAnsi="宋体" w:cs="宋体"/>
          <w:color w:val="000000"/>
          <w:sz w:val="24"/>
          <w:szCs w:val="24"/>
          <w:highlight w:val="none"/>
        </w:rPr>
        <w:t xml:space="preserve">元/㎡/月</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③</w:t>
      </w:r>
      <w:r>
        <w:rPr>
          <w:rFonts w:hint="eastAsia" w:hAnsi="宋体" w:cs="宋体"/>
          <w:color w:val="000000"/>
          <w:sz w:val="24"/>
          <w:szCs w:val="24"/>
          <w:highlight w:val="none"/>
        </w:rPr>
        <w:t xml:space="preserve">绿化管理维护</w:t>
      </w:r>
      <w:r>
        <w:rPr>
          <w:rFonts w:hint="eastAsia" w:hAnsi="宋体"/>
          <w:color w:val="000000"/>
          <w:sz w:val="24"/>
          <w:szCs w:val="24"/>
          <w:highlight w:val="none"/>
        </w:rPr>
        <w:t xml:space="preserve">              ____________</w:t>
      </w:r>
      <w:r>
        <w:rPr>
          <w:rFonts w:hint="eastAsia" w:hAnsi="宋体" w:cs="宋体"/>
          <w:color w:val="000000"/>
          <w:sz w:val="24"/>
          <w:szCs w:val="24"/>
          <w:highlight w:val="none"/>
        </w:rPr>
        <w:t xml:space="preserve">元/㎡/月</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④</w:t>
      </w:r>
      <w:r>
        <w:rPr>
          <w:rFonts w:hint="eastAsia" w:hAnsi="宋体" w:cs="宋体"/>
          <w:color w:val="000000"/>
          <w:sz w:val="24"/>
          <w:szCs w:val="24"/>
          <w:highlight w:val="none"/>
        </w:rPr>
        <w:t xml:space="preserve">房屋日常管理与维修养护</w:t>
      </w:r>
      <w:r>
        <w:rPr>
          <w:rFonts w:hint="eastAsia" w:hAnsi="宋体"/>
          <w:color w:val="000000"/>
          <w:sz w:val="24"/>
          <w:szCs w:val="24"/>
          <w:highlight w:val="none"/>
        </w:rPr>
        <w:t xml:space="preserve">    ____________</w:t>
      </w:r>
      <w:r>
        <w:rPr>
          <w:rFonts w:hint="eastAsia" w:hAnsi="宋体" w:cs="宋体"/>
          <w:color w:val="000000"/>
          <w:sz w:val="24"/>
          <w:szCs w:val="24"/>
          <w:highlight w:val="none"/>
        </w:rPr>
        <w:t xml:space="preserve">元/㎡/月</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⑤</w:t>
      </w:r>
      <w:r>
        <w:rPr>
          <w:rFonts w:hint="eastAsia" w:hAnsi="宋体" w:cs="宋体"/>
          <w:color w:val="000000"/>
          <w:sz w:val="24"/>
          <w:szCs w:val="24"/>
          <w:highlight w:val="none"/>
        </w:rPr>
        <w:t xml:space="preserve">给排水系统管理维护</w:t>
      </w:r>
      <w:r>
        <w:rPr>
          <w:rFonts w:hint="eastAsia" w:hAnsi="宋体"/>
          <w:color w:val="000000"/>
          <w:sz w:val="24"/>
          <w:szCs w:val="24"/>
          <w:highlight w:val="none"/>
        </w:rPr>
        <w:t xml:space="preserve">        ____________</w:t>
      </w:r>
      <w:r>
        <w:rPr>
          <w:rFonts w:hint="eastAsia" w:hAnsi="宋体" w:cs="宋体"/>
          <w:color w:val="000000"/>
          <w:sz w:val="24"/>
          <w:szCs w:val="24"/>
          <w:highlight w:val="none"/>
        </w:rPr>
        <w:t xml:space="preserve">元/㎡/月</w:t>
      </w:r>
      <w:r>
        <w:rPr>
          <w:rFonts w:hint="eastAsia" w:hAnsi="宋体"/>
          <w:color w:val="000000"/>
          <w:sz w:val="24"/>
          <w:szCs w:val="24"/>
          <w:highlight w:val="none"/>
        </w:rPr>
      </w:r>
      <w:r/>
    </w:p>
    <w:p>
      <w:pPr>
        <w:pStyle w:val="744"/>
        <w:ind w:firstLine="480"/>
        <w:spacing w:before="120" w:after="120" w:line="360" w:lineRule="auto"/>
        <w:rPr>
          <w:rFonts w:hint="eastAsia" w:hAnsi="宋体"/>
          <w:color w:val="000000"/>
          <w:sz w:val="24"/>
          <w:szCs w:val="24"/>
          <w:highlight w:val="none"/>
        </w:rPr>
      </w:pPr>
      <w:r>
        <w:rPr>
          <w:rFonts w:hint="eastAsia" w:hAnsi="宋体"/>
          <w:color w:val="000000"/>
          <w:sz w:val="24"/>
          <w:szCs w:val="24"/>
          <w:highlight w:val="none"/>
        </w:rPr>
        <w:t xml:space="preserve">⑥</w:t>
      </w:r>
      <w:r>
        <w:rPr>
          <w:rFonts w:hint="eastAsia" w:hAnsi="宋体" w:cs="宋体"/>
          <w:color w:val="000000"/>
          <w:sz w:val="24"/>
          <w:szCs w:val="24"/>
          <w:highlight w:val="none"/>
        </w:rPr>
        <w:t xml:space="preserve">强弱电系统管理维护</w:t>
      </w:r>
      <w:r>
        <w:rPr>
          <w:rFonts w:hint="eastAsia" w:hAnsi="宋体"/>
          <w:color w:val="000000"/>
          <w:sz w:val="24"/>
          <w:szCs w:val="24"/>
          <w:highlight w:val="none"/>
        </w:rPr>
        <w:t xml:space="preserve">        ____________</w:t>
      </w:r>
      <w:r>
        <w:rPr>
          <w:rFonts w:hint="eastAsia" w:hAnsi="宋体" w:cs="宋体"/>
          <w:color w:val="000000"/>
          <w:sz w:val="24"/>
          <w:szCs w:val="24"/>
          <w:highlight w:val="none"/>
        </w:rPr>
        <w:t xml:space="preserve">元/㎡/月</w:t>
      </w:r>
      <w:r>
        <w:rPr>
          <w:rFonts w:hint="eastAsia" w:hAnsi="宋体"/>
          <w:color w:val="000000"/>
          <w:sz w:val="24"/>
          <w:szCs w:val="24"/>
          <w:highlight w:val="none"/>
        </w:rPr>
      </w:r>
      <w:r/>
    </w:p>
    <w:p>
      <w:pPr>
        <w:pStyle w:val="744"/>
        <w:ind w:firstLine="480"/>
        <w:spacing w:before="120" w:after="120" w:line="360" w:lineRule="auto"/>
        <w:rPr>
          <w:rFonts w:hint="eastAsia" w:hAnsi="宋体" w:cs="宋体"/>
          <w:color w:val="000000"/>
          <w:sz w:val="24"/>
          <w:szCs w:val="24"/>
          <w:highlight w:val="none"/>
        </w:rPr>
      </w:pPr>
      <w:r>
        <w:rPr>
          <w:rFonts w:hint="eastAsia" w:hAnsi="宋体"/>
          <w:color w:val="000000"/>
          <w:sz w:val="24"/>
          <w:szCs w:val="24"/>
          <w:highlight w:val="none"/>
        </w:rPr>
        <w:t xml:space="preserve">⑦</w:t>
      </w:r>
      <w:r>
        <w:rPr>
          <w:rFonts w:hint="eastAsia" w:hAnsi="宋体" w:cs="宋体"/>
          <w:color w:val="000000"/>
          <w:sz w:val="24"/>
          <w:szCs w:val="24"/>
          <w:highlight w:val="none"/>
        </w:rPr>
        <w:t xml:space="preserve">空调系统管理维护          </w:t>
      </w:r>
      <w:r>
        <w:rPr>
          <w:rFonts w:hint="eastAsia" w:hAnsi="宋体"/>
          <w:color w:val="000000"/>
          <w:sz w:val="24"/>
          <w:szCs w:val="24"/>
          <w:highlight w:val="none"/>
        </w:rPr>
        <w:t xml:space="preserve">____________</w:t>
      </w:r>
      <w:r>
        <w:rPr>
          <w:rFonts w:hint="eastAsia" w:hAnsi="宋体" w:cs="宋体"/>
          <w:color w:val="000000"/>
          <w:sz w:val="24"/>
          <w:szCs w:val="24"/>
          <w:highlight w:val="none"/>
        </w:rPr>
        <w:t xml:space="preserve">元/㎡/月</w:t>
      </w:r>
      <w:r>
        <w:rPr>
          <w:rFonts w:hint="eastAsia" w:hAnsi="宋体" w:cs="宋体"/>
          <w:color w:val="000000"/>
          <w:sz w:val="24"/>
          <w:szCs w:val="24"/>
          <w:highlight w:val="none"/>
        </w:rPr>
      </w:r>
      <w:r/>
    </w:p>
    <w:p>
      <w:pPr>
        <w:pStyle w:val="744"/>
        <w:ind w:firstLine="480"/>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2.服务面积（单位：平方米）：</w:t>
      </w:r>
      <w:r>
        <w:rPr>
          <w:rFonts w:hint="eastAsia" w:hAnsi="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9"/>
        <w:gridCol w:w="1309"/>
        <w:gridCol w:w="1310"/>
        <w:gridCol w:w="1310"/>
        <w:gridCol w:w="1310"/>
        <w:gridCol w:w="1310"/>
        <w:gridCol w:w="1311"/>
      </w:tblGrid>
      <w:tr>
        <w:trPr/>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公共区域保洁服务面积</w:t>
            </w:r>
            <w:r>
              <w:rPr>
                <w:rFonts w:hint="eastAsia" w:hAnsi="宋体"/>
                <w:color w:val="000000"/>
                <w:sz w:val="24"/>
                <w:szCs w:val="24"/>
                <w:highlight w:val="none"/>
              </w:rPr>
              <w:t xml:space="preserve">  </w:t>
            </w:r>
            <w:r>
              <w:rPr>
                <w:rFonts w:hint="eastAsia" w:hAnsi="宋体" w:cs="宋体"/>
                <w:color w:val="000000"/>
                <w:sz w:val="24"/>
                <w:szCs w:val="24"/>
                <w:highlight w:val="none"/>
              </w:rPr>
            </w:r>
            <w:r/>
          </w:p>
        </w:tc>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基本安全保卫服务面积</w:t>
            </w:r>
            <w:r>
              <w:rPr>
                <w:rFonts w:hint="eastAsia" w:hAnsi="宋体" w:cs="宋体"/>
                <w:color w:val="000000"/>
                <w:sz w:val="24"/>
                <w:szCs w:val="24"/>
                <w:highlight w:val="none"/>
              </w:rPr>
            </w:r>
            <w:r/>
          </w:p>
        </w:tc>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绿化管理维护服务面积</w:t>
            </w:r>
            <w:r>
              <w:rPr>
                <w:rFonts w:hint="eastAsia" w:hAnsi="宋体"/>
                <w:color w:val="000000"/>
                <w:sz w:val="24"/>
                <w:szCs w:val="24"/>
                <w:highlight w:val="none"/>
              </w:rPr>
              <w:t xml:space="preserve"> </w:t>
            </w:r>
            <w:r>
              <w:rPr>
                <w:rFonts w:hint="eastAsia" w:hAnsi="宋体" w:cs="宋体"/>
                <w:color w:val="000000"/>
                <w:sz w:val="24"/>
                <w:szCs w:val="24"/>
                <w:highlight w:val="none"/>
              </w:rPr>
            </w:r>
            <w:r/>
          </w:p>
        </w:tc>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房屋日常管理与维修养护服务面积</w:t>
            </w:r>
            <w:r>
              <w:rPr>
                <w:rFonts w:hint="eastAsia" w:hAnsi="宋体" w:cs="宋体"/>
                <w:color w:val="000000"/>
                <w:sz w:val="24"/>
                <w:szCs w:val="24"/>
                <w:highlight w:val="none"/>
              </w:rPr>
            </w:r>
            <w:r/>
          </w:p>
        </w:tc>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给排水系统管理维护服务面积</w:t>
            </w:r>
            <w:r>
              <w:rPr>
                <w:rFonts w:hint="eastAsia" w:hAnsi="宋体"/>
                <w:color w:val="000000"/>
                <w:sz w:val="24"/>
                <w:szCs w:val="24"/>
                <w:highlight w:val="none"/>
              </w:rPr>
              <w:t xml:space="preserve"> </w:t>
            </w:r>
            <w:r>
              <w:rPr>
                <w:rFonts w:hint="eastAsia" w:hAnsi="宋体" w:cs="宋体"/>
                <w:color w:val="000000"/>
                <w:sz w:val="24"/>
                <w:szCs w:val="24"/>
                <w:highlight w:val="none"/>
              </w:rPr>
            </w:r>
            <w:r/>
          </w:p>
        </w:tc>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强弱电系统管理维护服务面积</w:t>
            </w:r>
            <w:r>
              <w:rPr>
                <w:rFonts w:hint="eastAsia" w:hAnsi="宋体"/>
                <w:color w:val="000000"/>
                <w:sz w:val="24"/>
                <w:szCs w:val="24"/>
                <w:highlight w:val="none"/>
              </w:rPr>
              <w:t xml:space="preserve">  </w:t>
            </w:r>
            <w:r>
              <w:rPr>
                <w:rFonts w:hint="eastAsia" w:hAnsi="宋体" w:cs="宋体"/>
                <w:color w:val="000000"/>
                <w:sz w:val="24"/>
                <w:szCs w:val="24"/>
                <w:highlight w:val="none"/>
              </w:rPr>
            </w:r>
            <w:r/>
          </w:p>
        </w:tc>
        <w:tc>
          <w:tcPr>
            <w:tcW w:w="1449"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空调系统管理维护服务面积 </w:t>
            </w:r>
            <w:r>
              <w:rPr>
                <w:rFonts w:hint="eastAsia" w:hAnsi="宋体" w:cs="宋体"/>
                <w:color w:val="000000"/>
                <w:sz w:val="24"/>
                <w:szCs w:val="24"/>
                <w:highlight w:val="none"/>
              </w:rPr>
            </w:r>
            <w:r/>
          </w:p>
        </w:tc>
      </w:tr>
      <w:tr>
        <w:trPr/>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r>
            <w:r/>
          </w:p>
        </w:tc>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r>
            <w:r/>
          </w:p>
        </w:tc>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r>
            <w:r/>
          </w:p>
        </w:tc>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r>
            <w:r/>
          </w:p>
        </w:tc>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r>
            <w:r/>
          </w:p>
        </w:tc>
        <w:tc>
          <w:tcPr>
            <w:tcW w:w="1448"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r>
            <w:r/>
          </w:p>
        </w:tc>
        <w:tc>
          <w:tcPr>
            <w:tcW w:w="1449" w:type="dxa"/>
            <w:vAlign w:val="top"/>
            <w:textDirection w:val="lrTb"/>
            <w:noWrap w:val="false"/>
          </w:tcPr>
          <w:p>
            <w:pPr>
              <w:pStyle w:val="744"/>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r>
            <w:r/>
          </w:p>
        </w:tc>
      </w:tr>
    </w:tbl>
    <w:p>
      <w:pPr>
        <w:pStyle w:val="744"/>
        <w:ind w:firstLine="480"/>
        <w:spacing w:before="120" w:after="120" w:line="0" w:lineRule="atLeast"/>
        <w:rPr>
          <w:rFonts w:hint="eastAsia" w:hAnsi="宋体" w:cs="宋体"/>
          <w:color w:val="000000"/>
          <w:sz w:val="21"/>
          <w:highlight w:val="none"/>
        </w:rPr>
      </w:pPr>
      <w:r>
        <w:rPr>
          <w:rFonts w:hint="eastAsia" w:hAnsi="宋体"/>
          <w:bCs/>
          <w:color w:val="000000"/>
          <w:sz w:val="24"/>
          <w:szCs w:val="24"/>
          <w:highlight w:val="none"/>
        </w:rPr>
        <w:t xml:space="preserve">3、服务时间：</w:t>
      </w:r>
      <w:r>
        <w:rPr>
          <w:rFonts w:hint="eastAsia" w:hAnsi="宋体"/>
          <w:bCs/>
          <w:color w:val="000000"/>
          <w:sz w:val="24"/>
          <w:szCs w:val="24"/>
          <w:highlight w:val="none"/>
          <w:u w:val="single"/>
        </w:rPr>
        <w:t xml:space="preserve">                     </w:t>
      </w:r>
      <w:r>
        <w:rPr>
          <w:rFonts w:hint="eastAsia" w:hAnsi="宋体" w:cs="宋体"/>
          <w:color w:val="000000"/>
          <w:sz w:val="21"/>
          <w:highlight w:val="none"/>
        </w:rPr>
      </w:r>
      <w:r/>
    </w:p>
    <w:p>
      <w:pPr>
        <w:pStyle w:val="706"/>
        <w:ind w:firstLine="472"/>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三、技术资料</w:t>
      </w:r>
      <w:r>
        <w:rPr>
          <w:color w:val="000000"/>
          <w:highlight w:val="none"/>
        </w:rPr>
      </w:r>
      <w:r/>
    </w:p>
    <w:p>
      <w:pPr>
        <w:pStyle w:val="706"/>
        <w:ind w:left="359" w:firstLine="12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3.1乙方应按采购文件规定的时间向甲方提供有关技术资料。</w:t>
      </w:r>
      <w:r>
        <w:rPr>
          <w:color w:val="000000"/>
          <w:highlight w:val="none"/>
        </w:rPr>
      </w:r>
      <w:r/>
    </w:p>
    <w:p>
      <w:pPr>
        <w:pStyle w:val="706"/>
        <w:ind w:firstLine="48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highlight w:val="none"/>
        </w:rPr>
      </w:r>
      <w:r/>
    </w:p>
    <w:p>
      <w:pPr>
        <w:pStyle w:val="706"/>
        <w:ind w:left="359" w:firstLine="118"/>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四、转包或分包</w:t>
      </w:r>
      <w:r>
        <w:rPr>
          <w:color w:val="000000"/>
          <w:highlight w:val="none"/>
        </w:rPr>
      </w:r>
      <w:r/>
    </w:p>
    <w:p>
      <w:pPr>
        <w:pStyle w:val="706"/>
        <w:ind w:firstLine="48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4.1本项目不得分包及转包。</w:t>
      </w:r>
      <w:r>
        <w:rPr>
          <w:color w:val="000000"/>
          <w:highlight w:val="none"/>
        </w:rPr>
      </w:r>
      <w:r/>
    </w:p>
    <w:p>
      <w:pPr>
        <w:pStyle w:val="706"/>
        <w:ind w:firstLine="477"/>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五、双方权利义务</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5.1甲方权利义务：</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5.1.1代表和维护产权人及使用人的合法权益；</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5.1.2不得干涉乙方依法或依本合同规定内容所进行的管理活动；</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5.1.3负责处理非乙方原因而产生的各种纠纷；</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5.1.4审定乙方撰写的物业管理服务管理制度；</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5.1.5检查监督乙方管理工作的实施及制度的执行情况；</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5.1.6审定乙方提出的物业管理服务年度计划及财务预决算；</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5.1.7在乙方服务期间，提供物业管理办公用房</w:t>
      </w:r>
      <w:r>
        <w:rPr>
          <w:rFonts w:ascii="宋体" w:hAnsi="宋体" w:cs="宋体"/>
          <w:color w:val="000000"/>
          <w:sz w:val="24"/>
          <w:highlight w:val="none"/>
          <w:u w:val="single"/>
        </w:rPr>
        <w:t xml:space="preserve">     </w:t>
      </w:r>
      <w:r>
        <w:rPr>
          <w:rFonts w:ascii="宋体" w:hAnsi="宋体" w:cs="宋体"/>
          <w:color w:val="000000"/>
          <w:sz w:val="24"/>
          <w:highlight w:val="none"/>
        </w:rPr>
        <w:t xml:space="preserve">平方米供乙方使用，产权归业主所有；</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5.1.8提供乙方进行物业管理服务所必须的水、电供应；</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5.1.9协助乙方做好物业服务管理工作；</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5.1.10甲方的其他权利义务：</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5.1.11法规、政策规定由甲方承担的其他责任。</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5.2乙方权利义务：</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5.2.1根据有关</w:t>
      </w:r>
      <w:r>
        <w:rPr>
          <w:rFonts w:hint="eastAsia" w:ascii="宋体" w:hAnsi="宋体" w:cs="宋体"/>
          <w:color w:val="000000"/>
          <w:sz w:val="24"/>
          <w:highlight w:val="none"/>
        </w:rPr>
        <w:t xml:space="preserve">法律法规</w:t>
      </w:r>
      <w:r>
        <w:rPr>
          <w:rFonts w:ascii="宋体" w:hAnsi="宋体" w:cs="宋体"/>
          <w:color w:val="000000"/>
          <w:sz w:val="24"/>
          <w:highlight w:val="none"/>
        </w:rPr>
        <w:t xml:space="preserve">、本合同的规定及本物业的实际情况，制定物业服务管理制度及管理方案、年度管理计划、资金使用计划及决算报告等工作目标；</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5.2.2定期向甲方公布该物业服务管理费用收支情况；</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5.2.3在本物业管理区域内设立专门机构负责本物业的日常物业管理工作，并委派有岗位资质的人员履行本合同；</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5.2.4负责所有日常物业材料、用品及易耗品的更新；</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5.2.5自主开展物业管理活动，但不得侵害甲方、物业使用人及他人的合法权益，不得利用提供物业管理服务的便利获取不当利益；</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5.2.6建立、保存物业管理</w:t>
      </w:r>
      <w:r>
        <w:rPr>
          <w:rFonts w:hint="eastAsia" w:ascii="宋体" w:hAnsi="宋体" w:cs="宋体"/>
          <w:color w:val="000000"/>
          <w:sz w:val="24"/>
          <w:highlight w:val="none"/>
        </w:rPr>
        <w:t xml:space="preserve">账目</w:t>
      </w:r>
      <w:r>
        <w:rPr>
          <w:rFonts w:ascii="宋体" w:hAnsi="宋体" w:cs="宋体"/>
          <w:color w:val="000000"/>
          <w:sz w:val="24"/>
          <w:highlight w:val="none"/>
        </w:rPr>
        <w:t xml:space="preserve">，及时向甲方公告本管理区域内的重大物业服务事项；</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5.2.7合同终止时，向甲方移交全部物业管理用房、档案资料和注明应属甲方所有的其他资产和物资，并办理交接手续；</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5.2.8乙方的其他权利义务：</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5.2.9法规、政策规定由乙方承担的其他责任。</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5.3在管理过程中，因下列因素所致的损害，不论其为直接或间接，均构成对乙方的免责事由，乙方均不负赔偿之责：</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5.3.1天灾、地震等不可抗力的事由所致的损害；</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5.3.2暴动、持械抢劫、破坏、爆炸、火灾、刑事犯罪等违法行为等事由所致的损害，但因乙方故意或过失所致，不在此限；</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5.3.3因本合同标的物本身固有瑕疵所致的损害；</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5.3.4因甲方或第三者之故意、过失所致的损害；</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5.3.5因甲方或物业使用人专有部分的火灾、盗窃等所致的损害；</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5.3.6因乙方书面建议甲方改善或改进物业管理措施，而甲方未采纳所致的损害；</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5.3.7因甲方或物业使用人指挥调派乙方工作人员所致的损害；</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5.3.8本合同标的物之共用部分（含共用部位、共用设备设施）自然或人为的任何损坏。但因乙方故意或过失所致的，不在此限；</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5.3.9除上述各款外，</w:t>
      </w:r>
      <w:r>
        <w:rPr>
          <w:rFonts w:hint="eastAsia" w:ascii="宋体" w:hAnsi="宋体" w:cs="宋体"/>
          <w:color w:val="000000"/>
          <w:sz w:val="24"/>
          <w:highlight w:val="none"/>
        </w:rPr>
        <w:t xml:space="preserve">其他</w:t>
      </w:r>
      <w:r>
        <w:rPr>
          <w:rFonts w:ascii="宋体" w:hAnsi="宋体" w:cs="宋体"/>
          <w:color w:val="000000"/>
          <w:sz w:val="24"/>
          <w:highlight w:val="none"/>
        </w:rPr>
        <w:t xml:space="preserve">不可归责于乙方之事由的。</w:t>
      </w:r>
      <w:r>
        <w:rPr>
          <w:color w:val="000000"/>
          <w:highlight w:val="none"/>
        </w:rPr>
      </w:r>
      <w:r/>
    </w:p>
    <w:p>
      <w:pPr>
        <w:pStyle w:val="706"/>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5.4为维护公众、甲方及物业使用人的合法利益，在不可预见情况下，如发生煤气</w:t>
      </w:r>
      <w:r>
        <w:rPr>
          <w:rFonts w:hint="eastAsia" w:ascii="宋体" w:hAnsi="宋体" w:cs="宋体"/>
          <w:color w:val="000000"/>
          <w:sz w:val="24"/>
          <w:highlight w:val="none"/>
        </w:rPr>
        <w:t xml:space="preserve">泄漏</w:t>
      </w:r>
      <w:r>
        <w:rPr>
          <w:rFonts w:ascii="宋体" w:hAnsi="宋体" w:cs="宋体"/>
          <w:color w:val="000000"/>
          <w:sz w:val="24"/>
          <w:highlight w:val="none"/>
        </w:rPr>
        <w:t xml:space="preserve">、漏电、火灾、水管破裂、救助人命、协助公安机关执行任务等情况，乙方因采取紧急避险措施造成财产损失的，按有关法律规定处理。</w:t>
      </w:r>
      <w:r>
        <w:rPr>
          <w:color w:val="000000"/>
          <w:highlight w:val="none"/>
        </w:rPr>
      </w:r>
      <w:r/>
    </w:p>
    <w:p>
      <w:pPr>
        <w:pStyle w:val="706"/>
        <w:ind w:firstLine="482"/>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六、服务承诺</w:t>
      </w:r>
      <w:r>
        <w:rPr>
          <w:color w:val="000000"/>
          <w:highlight w:val="none"/>
        </w:rPr>
      </w:r>
      <w:r/>
    </w:p>
    <w:p>
      <w:pPr>
        <w:pStyle w:val="706"/>
        <w:ind w:firstLine="48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6.1建立质量管理体系并有效运行，物业管理服务能够接受质量审核。</w:t>
      </w:r>
      <w:r>
        <w:rPr>
          <w:color w:val="000000"/>
          <w:highlight w:val="none"/>
        </w:rPr>
      </w:r>
      <w:r/>
    </w:p>
    <w:p>
      <w:pPr>
        <w:pStyle w:val="706"/>
        <w:ind w:firstLine="48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6.2物业管理服务逐步达到接受创优评审条件。</w:t>
      </w:r>
      <w:r>
        <w:rPr>
          <w:color w:val="000000"/>
          <w:highlight w:val="none"/>
        </w:rPr>
      </w:r>
      <w:r/>
    </w:p>
    <w:p>
      <w:pPr>
        <w:pStyle w:val="706"/>
        <w:ind w:firstLine="48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6.3各项承诺指标及所采取的措施详见“征集文件”和“响应文件”。</w:t>
      </w:r>
      <w:r>
        <w:rPr>
          <w:color w:val="000000"/>
          <w:highlight w:val="none"/>
        </w:rPr>
      </w:r>
      <w:r/>
    </w:p>
    <w:p>
      <w:pPr>
        <w:pStyle w:val="706"/>
        <w:ind w:firstLine="48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6.4其他物业管理服务质量要求按国家和江苏省、</w:t>
      </w:r>
      <w:r>
        <w:rPr>
          <w:rFonts w:hint="eastAsia" w:ascii="宋体" w:hAnsi="宋体" w:cs="宋体"/>
          <w:color w:val="000000"/>
          <w:sz w:val="24"/>
          <w:highlight w:val="none"/>
        </w:rPr>
        <w:t xml:space="preserve">无锡</w:t>
      </w:r>
      <w:r>
        <w:rPr>
          <w:rFonts w:ascii="宋体" w:hAnsi="宋体" w:cs="宋体"/>
          <w:color w:val="000000"/>
          <w:sz w:val="24"/>
          <w:highlight w:val="none"/>
        </w:rPr>
        <w:t xml:space="preserve">市有关标准执行。</w:t>
      </w:r>
      <w:r>
        <w:rPr>
          <w:color w:val="000000"/>
          <w:highlight w:val="none"/>
        </w:rPr>
      </w:r>
      <w:r/>
    </w:p>
    <w:p>
      <w:pPr>
        <w:pStyle w:val="706"/>
        <w:ind w:firstLine="48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6.5 服务承诺</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color w:val="000000"/>
          <w:highlight w:val="none"/>
        </w:rPr>
      </w:r>
      <w:r/>
    </w:p>
    <w:p>
      <w:pPr>
        <w:pStyle w:val="706"/>
        <w:ind w:firstLine="482"/>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七、乙方人员配置</w:t>
      </w:r>
      <w:r>
        <w:rPr>
          <w:color w:val="000000"/>
          <w:highlight w:val="none"/>
        </w:rPr>
      </w:r>
      <w:r/>
    </w:p>
    <w:p>
      <w:pPr>
        <w:pStyle w:val="706"/>
        <w:ind w:firstLine="600"/>
        <w:spacing w:before="120" w:after="12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7.1乙方总配置人员</w:t>
      </w:r>
      <w:r>
        <w:rPr>
          <w:rFonts w:hint="eastAsia" w:ascii="宋体" w:hAnsi="宋体" w:cs="宋体"/>
          <w:color w:val="000000"/>
          <w:sz w:val="24"/>
          <w:highlight w:val="none"/>
        </w:rPr>
        <w:t xml:space="preserve">名单</w:t>
      </w:r>
      <w:r>
        <w:rPr>
          <w:rFonts w:ascii="宋体" w:hAnsi="宋体" w:cs="宋体"/>
          <w:color w:val="000000"/>
          <w:sz w:val="24"/>
          <w:highlight w:val="none"/>
        </w:rPr>
        <w:t xml:space="preserve">（附明细表）。</w:t>
      </w:r>
      <w:r>
        <w:rPr>
          <w:rFonts w:hint="eastAsia" w:ascii="宋体" w:hAnsi="宋体" w:cs="宋体"/>
          <w:color w:val="000000"/>
          <w:sz w:val="24"/>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7.2乙方的项目总负责人：</w:t>
      </w:r>
      <w:r>
        <w:rPr>
          <w:rFonts w:ascii="宋体" w:hAnsi="宋体" w:cs="宋体"/>
          <w:color w:val="000000"/>
          <w:sz w:val="24"/>
          <w:highlight w:val="none"/>
          <w:u w:val="single"/>
        </w:rPr>
        <w:t xml:space="preserve">      </w:t>
      </w:r>
      <w:r>
        <w:rPr>
          <w:rFonts w:ascii="宋体" w:hAnsi="宋体" w:cs="宋体"/>
          <w:color w:val="000000"/>
          <w:sz w:val="24"/>
          <w:highlight w:val="none"/>
        </w:rPr>
        <w:t xml:space="preserve">，有效身份证号码：</w:t>
      </w:r>
      <w:r>
        <w:rPr>
          <w:rFonts w:ascii="宋体" w:hAnsi="宋体" w:cs="宋体"/>
          <w:color w:val="000000"/>
          <w:sz w:val="24"/>
          <w:highlight w:val="none"/>
          <w:u w:val="single"/>
        </w:rPr>
        <w:t xml:space="preserve">                   </w:t>
      </w:r>
      <w:r>
        <w:rPr>
          <w:rFonts w:ascii="宋体" w:hAnsi="宋体" w:cs="宋体"/>
          <w:color w:val="000000"/>
          <w:sz w:val="24"/>
          <w:highlight w:val="none"/>
        </w:rPr>
        <w:t xml:space="preserve">。                    </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7.3乙方必须采取措施，确保乙方人员稳定，特别是骨干人员。骨干人员变动须经甲方同意，其他人员变动须甲方备案。</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7.4乙方项目总负责人及部门负责人须及时与甲方沟通，第一时间报告重大、紧急事件；每月须向甲方汇报上月工作情况，并提供相关报告。</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7.5物业人员要求：</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（1）所有相关人员的配备须获得相关主管部门认证的，须配证并持证上岗，且根据不同岗位统一着装。</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（2）所有相关人员要求政治上可靠，身体素质好，无不良行为记录。</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（3）重要岗位人员必须由甲方人事部门考核、政治审查通过方可录用。</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（4）为提高物业管理水平，所有物业人员还需进行相关的培训。除乙方对服务人员的培训外，需接受甲方对服务人员的集中进行培训，培训费用由乙方承担。</w:t>
      </w:r>
      <w:r>
        <w:rPr>
          <w:color w:val="000000"/>
          <w:highlight w:val="none"/>
        </w:rPr>
      </w:r>
      <w:r/>
    </w:p>
    <w:p>
      <w:pPr>
        <w:pStyle w:val="744"/>
        <w:ind w:firstLine="602"/>
        <w:spacing w:before="120" w:after="120"/>
        <w:rPr>
          <w:rFonts w:hint="eastAsia" w:hAnsi="宋体"/>
          <w:b/>
          <w:color w:val="000000"/>
          <w:sz w:val="24"/>
          <w:szCs w:val="24"/>
          <w:highlight w:val="none"/>
        </w:rPr>
      </w:pPr>
      <w:r>
        <w:rPr>
          <w:rFonts w:hint="eastAsia" w:hAnsi="宋体"/>
          <w:b/>
          <w:color w:val="000000"/>
          <w:sz w:val="24"/>
          <w:szCs w:val="24"/>
          <w:highlight w:val="none"/>
        </w:rPr>
        <w:t xml:space="preserve">八、合同款项支付注意事项</w:t>
      </w:r>
      <w:r>
        <w:rPr>
          <w:rFonts w:hint="eastAsia" w:hAnsi="宋体"/>
          <w:b/>
          <w:color w:val="000000"/>
          <w:sz w:val="24"/>
          <w:szCs w:val="24"/>
          <w:highlight w:val="none"/>
        </w:rPr>
      </w:r>
      <w:r/>
    </w:p>
    <w:p>
      <w:pPr>
        <w:pStyle w:val="706"/>
        <w:ind w:firstLine="590"/>
        <w:spacing w:before="120" w:after="12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甲乙双方第二阶段签订合同时，相关服务报价不得超过乙方框架协议第一阶段响应报价。</w:t>
      </w:r>
      <w:r>
        <w:rPr>
          <w:rFonts w:hint="eastAsia" w:ascii="宋体" w:hAnsi="宋体" w:cs="宋体"/>
          <w:color w:val="000000"/>
          <w:sz w:val="24"/>
          <w:highlight w:val="none"/>
        </w:rPr>
      </w:r>
      <w:r/>
    </w:p>
    <w:p>
      <w:pPr>
        <w:pStyle w:val="706"/>
        <w:ind w:firstLine="590"/>
        <w:spacing w:before="120" w:after="12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付款时间要求：原则上采购人收到发票后10个工作日内完成（涉及中小企业付款的，付款时间按照国家相关法律文件执行）</w:t>
      </w:r>
      <w:r>
        <w:rPr>
          <w:rFonts w:hint="eastAsia" w:ascii="宋体" w:hAnsi="宋体" w:cs="宋体"/>
          <w:color w:val="000000"/>
          <w:sz w:val="24"/>
          <w:highlight w:val="none"/>
        </w:rPr>
      </w:r>
      <w:r/>
    </w:p>
    <w:p>
      <w:pPr>
        <w:pStyle w:val="706"/>
        <w:ind w:firstLine="59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九、税费</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9.1本合同执行中相关的一切税费均由乙方负担。</w:t>
      </w:r>
      <w:r>
        <w:rPr>
          <w:color w:val="000000"/>
          <w:highlight w:val="none"/>
        </w:rPr>
      </w:r>
      <w:r/>
    </w:p>
    <w:p>
      <w:pPr>
        <w:pStyle w:val="706"/>
        <w:ind w:firstLine="59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十、考核</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10.1考核方案及要求：</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color w:val="000000"/>
          <w:highlight w:val="none"/>
        </w:rPr>
      </w:r>
      <w:r/>
    </w:p>
    <w:p>
      <w:pPr>
        <w:pStyle w:val="706"/>
        <w:ind w:firstLine="600"/>
        <w:spacing w:before="120" w:after="12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10.2进场和退场交接及要求：</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rFonts w:ascii="宋体" w:hAnsi="宋体" w:cs="宋体"/>
          <w:color w:val="000000"/>
          <w:sz w:val="24"/>
          <w:highlight w:val="none"/>
        </w:rPr>
      </w:r>
      <w:r/>
    </w:p>
    <w:p>
      <w:pPr>
        <w:pStyle w:val="706"/>
        <w:spacing w:before="120" w:after="12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706"/>
        <w:ind w:firstLine="59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十一、违约责任</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11.1甲方无正当理由，违反本合同第五条的有关规定，使乙方未能完成规定管理目标的，乙方有权要求甲方在一定期限内解决，逾期未解决，造成乙方经济损失的，由甲方向乙方偿付损失的费用</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 或依照法律程序解除部分或全部合同。</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11.2甲方未按合同规定的期限向乙方支付款项的，每逾期7个工作日甲方向乙方偿付欠款总额的1‰滞纳金，但累计滞纳金总额不超过欠款总额的5% 。</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11.3乙方无正当理由，违反本合同第五条及第六条的有关规定，未能达到规定管理目标及质量保证的，甲方有权要求乙方限期整改，逾期未整改，造成甲方经济损失的，同时乙方应向甲方支付合同总价5%的违约金。</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11.4乙方无正当理由，违反本合同的有关规定，擅自收费或擅自提高收费标准的，对擅自收费部分或超出标准的部分，甲方有权要求乙方双倍返还；造成甲方经济损失的，乙方应给予甲方经济赔偿。</w:t>
      </w:r>
      <w:r>
        <w:rPr>
          <w:color w:val="000000"/>
          <w:highlight w:val="none"/>
        </w:rPr>
      </w:r>
      <w:r/>
    </w:p>
    <w:p>
      <w:pPr>
        <w:pStyle w:val="706"/>
        <w:ind w:firstLine="60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11.5乙方在承担上述3、4款一项或多项违约责任后，仍应继续履行合同规定的义务（甲方解除合同的除外）。甲方未能及时追究乙方的任何一项违约责任并不表明甲方放弃追究乙方该项或其他违约责任。</w:t>
      </w:r>
      <w:r>
        <w:rPr>
          <w:rFonts w:ascii="宋体" w:hAnsi="宋体" w:cs="宋体"/>
          <w:b/>
          <w:color w:val="000000"/>
          <w:sz w:val="24"/>
          <w:highlight w:val="none"/>
        </w:rPr>
        <w:t xml:space="preserve">  </w:t>
      </w:r>
      <w:r>
        <w:rPr>
          <w:color w:val="000000"/>
          <w:highlight w:val="none"/>
        </w:rPr>
      </w:r>
      <w:r/>
    </w:p>
    <w:p>
      <w:pPr>
        <w:pStyle w:val="706"/>
        <w:ind w:firstLine="59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十二、诉讼</w:t>
      </w:r>
      <w:r>
        <w:rPr>
          <w:color w:val="000000"/>
          <w:highlight w:val="none"/>
        </w:rPr>
      </w:r>
      <w:r/>
    </w:p>
    <w:p>
      <w:pPr>
        <w:pStyle w:val="706"/>
        <w:ind w:left="479" w:firstLine="120"/>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12.1双方在执行合同中所发生的一切争议，应通过协商解决。如协商不成，可向合同签订地法院起诉，合同签订地在此约定为</w:t>
      </w:r>
      <w:r>
        <w:rPr>
          <w:rFonts w:hint="eastAsia" w:ascii="宋体" w:hAnsi="宋体" w:cs="宋体"/>
          <w:color w:val="000000"/>
          <w:sz w:val="24"/>
          <w:highlight w:val="none"/>
        </w:rPr>
        <w:t xml:space="preserve">无锡</w:t>
      </w:r>
      <w:r>
        <w:rPr>
          <w:rFonts w:ascii="宋体" w:hAnsi="宋体" w:cs="宋体"/>
          <w:color w:val="000000"/>
          <w:sz w:val="24"/>
          <w:highlight w:val="none"/>
        </w:rPr>
        <w:t xml:space="preserve">市。</w:t>
      </w:r>
      <w:r>
        <w:rPr>
          <w:color w:val="000000"/>
          <w:highlight w:val="none"/>
        </w:rPr>
      </w:r>
      <w:r/>
    </w:p>
    <w:p>
      <w:pPr>
        <w:pStyle w:val="706"/>
        <w:ind w:firstLine="361"/>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十三、合同生效及其它</w:t>
      </w:r>
      <w:r>
        <w:rPr>
          <w:color w:val="000000"/>
          <w:highlight w:val="none"/>
        </w:rPr>
      </w:r>
      <w:r/>
    </w:p>
    <w:p>
      <w:pPr>
        <w:pStyle w:val="706"/>
        <w:ind w:firstLine="60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13.1合同经甲乙双方盖章后即生效。</w:t>
      </w:r>
      <w:r>
        <w:rPr>
          <w:color w:val="000000"/>
          <w:highlight w:val="none"/>
        </w:rPr>
      </w:r>
      <w:r/>
    </w:p>
    <w:p>
      <w:pPr>
        <w:pStyle w:val="706"/>
        <w:ind w:firstLine="60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13.2合同在执行过程中出现的未尽事宜，双方在不违背本合同和征集文件的原则下协商解决，协商结果以书面形式签订补充协议，且补充协议与本合同具有同等效力。</w:t>
      </w:r>
      <w:r>
        <w:rPr>
          <w:color w:val="000000"/>
          <w:highlight w:val="none"/>
        </w:rPr>
      </w:r>
      <w:r/>
    </w:p>
    <w:p>
      <w:pPr>
        <w:pStyle w:val="706"/>
        <w:ind w:left="521" w:firstLine="12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13.3合同中未有约定的按照有关的法律法规以及国家行业标准或技术文件</w:t>
      </w:r>
      <w:r>
        <w:rPr>
          <w:color w:val="000000"/>
          <w:highlight w:val="none"/>
        </w:rPr>
      </w:r>
      <w:r/>
    </w:p>
    <w:p>
      <w:pPr>
        <w:pStyle w:val="706"/>
        <w:ind w:firstLine="36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规定予以解决。</w:t>
      </w:r>
      <w:r>
        <w:rPr>
          <w:color w:val="000000"/>
          <w:highlight w:val="none"/>
        </w:rPr>
      </w:r>
      <w:r/>
    </w:p>
    <w:p>
      <w:pPr>
        <w:pStyle w:val="706"/>
        <w:ind w:firstLine="60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13.4甲乙双方确认：对本合同条款及后果均已知悉，一致确认不存在欺诈、胁迫、乘人之危、重大误解、显失公平等任何可能导致合同无效或被撤销的情形。</w:t>
      </w:r>
      <w:r>
        <w:rPr>
          <w:color w:val="000000"/>
          <w:highlight w:val="none"/>
        </w:rPr>
      </w:r>
      <w:r/>
    </w:p>
    <w:p>
      <w:pPr>
        <w:pStyle w:val="706"/>
        <w:ind w:firstLine="60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13.5合同签订后甲乙双方即直接产生权利与义务的关系，合同执行过程中出现的问题应按照合同约定、法律法规的规定办理。在合同履行过程中，双方如有争议，由甲乙双方协商处理，若协商不成，可选择以下两种方式处理：</w:t>
      </w:r>
      <w:r>
        <w:rPr>
          <w:color w:val="000000"/>
          <w:highlight w:val="none"/>
        </w:rPr>
      </w:r>
      <w:r/>
    </w:p>
    <w:p>
      <w:pPr>
        <w:pStyle w:val="706"/>
        <w:ind w:left="315" w:firstLine="24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（1）向</w:t>
      </w:r>
      <w:r>
        <w:rPr>
          <w:rFonts w:hint="eastAsia" w:ascii="宋体" w:hAnsi="宋体" w:cs="宋体"/>
          <w:color w:val="000000"/>
          <w:sz w:val="24"/>
          <w:highlight w:val="none"/>
        </w:rPr>
        <w:t xml:space="preserve">无锡</w:t>
      </w:r>
      <w:r>
        <w:rPr>
          <w:rFonts w:ascii="宋体" w:hAnsi="宋体" w:cs="宋体"/>
          <w:color w:val="000000"/>
          <w:sz w:val="24"/>
          <w:highlight w:val="none"/>
        </w:rPr>
        <w:t xml:space="preserve">仲裁委员会申请仲裁。</w:t>
      </w:r>
      <w:r>
        <w:rPr>
          <w:color w:val="000000"/>
          <w:highlight w:val="none"/>
        </w:rPr>
      </w:r>
      <w:r/>
    </w:p>
    <w:p>
      <w:pPr>
        <w:pStyle w:val="706"/>
        <w:ind w:left="315" w:firstLine="24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（2）向需方所在地法院提起诉讼。</w:t>
      </w:r>
      <w:r>
        <w:rPr>
          <w:color w:val="000000"/>
          <w:highlight w:val="none"/>
        </w:rPr>
      </w:r>
      <w:r/>
    </w:p>
    <w:p>
      <w:pPr>
        <w:pStyle w:val="706"/>
        <w:ind w:firstLine="60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13.6本合同终止时，乙方应移交物业管理权，撤出本物业，协助甲方做好物业服务的交接和善后工作，移交或配合甲方移交管理用房和物业管理的全部档案资料等。</w:t>
      </w:r>
      <w:r>
        <w:rPr>
          <w:color w:val="000000"/>
          <w:highlight w:val="none"/>
        </w:rPr>
      </w:r>
      <w:r/>
    </w:p>
    <w:p>
      <w:pPr>
        <w:pStyle w:val="706"/>
        <w:ind w:firstLine="600"/>
        <w:spacing w:line="360" w:lineRule="auto"/>
        <w:tabs>
          <w:tab w:val="left" w:pos="525" w:leader="none"/>
          <w:tab w:val="left" w:pos="945"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13.7本物业管理合同终止后，在新的物业管理企业接管本物业前，除甲方要求乙方提前撤离外，新老物业管理公司的交接过渡期最长为1个月，在此期间乙方应提供过渡期物业管理服务，过渡期物业管理服务标准和服务费标准不变，由乙方收取；1个月过渡期满后，必须按规定进行交接、撤离。</w:t>
      </w:r>
      <w:r>
        <w:rPr>
          <w:color w:val="000000"/>
          <w:highlight w:val="none"/>
        </w:rPr>
      </w:r>
      <w:r/>
    </w:p>
    <w:p>
      <w:pPr>
        <w:pStyle w:val="706"/>
        <w:ind w:firstLine="708"/>
        <w:spacing w:before="120" w:after="12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 诚实信用</w:t>
      </w:r>
      <w:r>
        <w:rPr>
          <w:color w:val="000000"/>
          <w:highlight w:val="none"/>
        </w:rPr>
      </w:r>
      <w:r/>
    </w:p>
    <w:p>
      <w:pPr>
        <w:pStyle w:val="706"/>
        <w:ind w:firstLine="7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 乙方应诚实信用，严格按照采购文件要求和承诺履行合同，不向甲方进行商业贿赂或者提供任何不正当利益。</w:t>
      </w:r>
      <w:r>
        <w:rPr>
          <w:color w:val="000000"/>
          <w:highlight w:val="none"/>
        </w:rPr>
      </w:r>
      <w:r/>
    </w:p>
    <w:p>
      <w:pPr>
        <w:pStyle w:val="706"/>
        <w:ind w:firstLine="480"/>
        <w:spacing w:line="400" w:lineRule="exact"/>
        <w:rPr>
          <w:rFonts w:hint="eastAsia" w:ascii="宋体" w:hAnsi="宋体" w:cs="宋体"/>
          <w:color w:val="000000"/>
          <w:sz w:val="24"/>
          <w:highlight w:val="none"/>
        </w:rPr>
      </w:pPr>
      <w:r>
        <w:rPr>
          <w:rFonts w:ascii="宋体" w:hAnsi="宋体" w:cs="宋体"/>
          <w:color w:val="000000"/>
          <w:sz w:val="24"/>
          <w:highlight w:val="none"/>
        </w:rPr>
        <w:t xml:space="preserve">     </w:t>
      </w:r>
      <w:r>
        <w:rPr>
          <w:rFonts w:hint="eastAsia" w:ascii="宋体" w:hAnsi="宋体" w:cs="宋体"/>
          <w:color w:val="000000"/>
          <w:sz w:val="24"/>
          <w:highlight w:val="none"/>
        </w:rPr>
        <w:t xml:space="preserve">甲方（采购人）：（盖章）         乙方（供应商）：（盖章） </w:t>
      </w:r>
      <w:r>
        <w:rPr>
          <w:rFonts w:hint="eastAsia" w:ascii="宋体" w:hAnsi="宋体" w:cs="宋体"/>
          <w:color w:val="000000"/>
          <w:sz w:val="24"/>
          <w:highlight w:val="none"/>
        </w:rPr>
      </w:r>
      <w:r/>
    </w:p>
    <w:p>
      <w:pPr>
        <w:pStyle w:val="70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代表人：                       代表人： </w:t>
      </w:r>
      <w:r>
        <w:rPr>
          <w:rFonts w:hint="eastAsia" w:ascii="宋体" w:hAnsi="宋体" w:cs="宋体"/>
          <w:color w:val="000000"/>
          <w:sz w:val="24"/>
          <w:highlight w:val="none"/>
        </w:rPr>
      </w:r>
      <w:r/>
    </w:p>
    <w:p>
      <w:pPr>
        <w:pStyle w:val="70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                         电话： </w:t>
      </w:r>
      <w:r>
        <w:rPr>
          <w:rFonts w:hint="eastAsia" w:ascii="宋体" w:hAnsi="宋体" w:cs="宋体"/>
          <w:color w:val="000000"/>
          <w:sz w:val="24"/>
          <w:highlight w:val="none"/>
        </w:rPr>
      </w:r>
      <w:r/>
    </w:p>
    <w:p>
      <w:pPr>
        <w:pStyle w:val="70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hint="eastAsia" w:ascii="宋体" w:hAnsi="宋体" w:cs="宋体"/>
          <w:color w:val="000000"/>
          <w:sz w:val="24"/>
          <w:highlight w:val="none"/>
        </w:rPr>
      </w:r>
      <w:r/>
    </w:p>
    <w:p>
      <w:pPr>
        <w:pStyle w:val="70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账号：                         账号： </w:t>
      </w:r>
      <w:r>
        <w:rPr>
          <w:rFonts w:hint="eastAsia" w:ascii="宋体" w:hAnsi="宋体" w:cs="宋体"/>
          <w:color w:val="000000"/>
          <w:sz w:val="24"/>
          <w:highlight w:val="none"/>
        </w:rPr>
      </w:r>
      <w:r/>
    </w:p>
    <w:p>
      <w:pPr>
        <w:pStyle w:val="70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06"/>
        <w:ind w:firstLine="480"/>
        <w:spacing w:line="400" w:lineRule="exact"/>
        <w:rPr>
          <w:rFonts w:hint="eastAsia" w:ascii="宋体" w:hAnsi="宋体"/>
          <w:bCs/>
          <w:color w:val="000000"/>
          <w:sz w:val="24"/>
          <w:highlight w:val="none"/>
        </w:rPr>
      </w:pPr>
      <w:r>
        <w:rPr>
          <w:rFonts w:hint="eastAsia" w:ascii="宋体" w:hAnsi="宋体" w:cs="宋体"/>
          <w:color w:val="000000"/>
          <w:sz w:val="24"/>
          <w:highlight w:val="none"/>
        </w:rPr>
        <w:t xml:space="preserve">签订日期：    年    月    日</w:t>
      </w:r>
      <w:r>
        <w:rPr>
          <w:rFonts w:hint="eastAsia" w:ascii="宋体" w:hAnsi="宋体"/>
          <w:bCs/>
          <w:color w:val="000000"/>
          <w:sz w:val="24"/>
          <w:highlight w:val="none"/>
        </w:rPr>
      </w:r>
      <w:r/>
    </w:p>
    <w:p>
      <w:pPr>
        <w:pStyle w:val="706"/>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rPr>
        <w:br w:type="page" w:clear="all"/>
      </w:r>
      <w:bookmarkEnd w:id="167"/>
      <w:r/>
      <w:bookmarkEnd w:id="168"/>
      <w:r/>
      <w:bookmarkEnd w:id="169"/>
      <w:r/>
      <w:bookmarkStart w:id="170" w:name="_Hlt16619369"/>
      <w:r/>
      <w:bookmarkEnd w:id="170"/>
      <w:r/>
      <w:bookmarkStart w:id="171" w:name="_Hlt16619350"/>
      <w:r/>
      <w:bookmarkStart w:id="172" w:name="_Toc20823346"/>
      <w:r/>
      <w:bookmarkStart w:id="173" w:name="_Toc16938590"/>
      <w:r/>
      <w:bookmarkStart w:id="174" w:name="_Toc120614244"/>
      <w:r/>
      <w:bookmarkStart w:id="175" w:name="_Toc462564139"/>
      <w:r/>
      <w:bookmarkStart w:id="176" w:name="_Toc479757211"/>
      <w:r>
        <w:rPr>
          <w:rFonts w:hint="eastAsia" w:ascii="黑体" w:hAnsi="黑体" w:eastAsia="黑体"/>
          <w:color w:val="000000"/>
          <w:sz w:val="36"/>
          <w:szCs w:val="36"/>
          <w:highlight w:val="none"/>
        </w:rPr>
        <w:t xml:space="preserve">第</w:t>
      </w:r>
      <w:bookmarkEnd w:id="171"/>
      <w:r>
        <w:rPr>
          <w:rFonts w:hint="eastAsia" w:ascii="黑体" w:hAnsi="黑体" w:eastAsia="黑体"/>
          <w:color w:val="000000"/>
          <w:sz w:val="36"/>
          <w:szCs w:val="36"/>
          <w:highlight w:val="none"/>
        </w:rPr>
        <w:t xml:space="preserve">四章 采购需求</w:t>
      </w:r>
      <w:bookmarkEnd w:id="172"/>
      <w:r/>
      <w:bookmarkEnd w:id="173"/>
      <w:r/>
      <w:bookmarkEnd w:id="174"/>
      <w:r>
        <w:rPr>
          <w:rFonts w:hint="eastAsia" w:ascii="黑体" w:hAnsi="黑体" w:eastAsia="黑体"/>
          <w:color w:val="000000"/>
          <w:sz w:val="36"/>
          <w:szCs w:val="36"/>
          <w:highlight w:val="none"/>
        </w:rPr>
      </w:r>
      <w:r/>
    </w:p>
    <w:p>
      <w:pPr>
        <w:pStyle w:val="706"/>
        <w:ind w:firstLine="600"/>
        <w:jc w:val="left"/>
        <w:spacing w:line="360" w:lineRule="auto"/>
        <w:rPr>
          <w:rFonts w:hint="eastAsia" w:ascii="黑体" w:hAnsi="黑体" w:eastAsia="黑体"/>
          <w:color w:val="000000"/>
          <w:sz w:val="30"/>
          <w:szCs w:val="30"/>
          <w:highlight w:val="none"/>
        </w:rPr>
      </w:pPr>
      <w:r/>
      <w:bookmarkStart w:id="177" w:name="_Toc49090575"/>
      <w:r/>
      <w:bookmarkStart w:id="178" w:name="_Toc26554093"/>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70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供应商所响应内容必须满足以下要求，不得有负偏离。</w:t>
      </w:r>
      <w:r>
        <w:rPr>
          <w:rFonts w:hint="eastAsia" w:ascii="宋体" w:hAnsi="宋体"/>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本项目标的物所属行业：物业管理</w:t>
      </w:r>
      <w:r>
        <w:rPr>
          <w:rFonts w:hint="eastAsia" w:ascii="宋体" w:hAnsi="宋体"/>
          <w:bCs/>
          <w:color w:val="000000"/>
          <w:sz w:val="24"/>
          <w:szCs w:val="24"/>
          <w:highlight w:val="none"/>
        </w:rPr>
      </w:r>
      <w:r/>
    </w:p>
    <w:p>
      <w:pPr>
        <w:pStyle w:val="706"/>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ascii="宋体" w:hAnsi="宋体"/>
          <w:b/>
          <w:color w:val="000000"/>
          <w:sz w:val="30"/>
          <w:szCs w:val="30"/>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一、项目概况</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本次采购确定物业管理服务项目入围供应商若干家，根据集中采购目录以及市财政局的要求，对于采购预算在分散采购限额以下的物业管理服务项目实施框架协议采购。</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框架协议的期限：从框架协议签订生效之日起到2027年12月31日。（若我省另有统一征集的，按我省相关征集要求及结果执行）</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采购方式：封闭式框架协议采购</w:t>
      </w:r>
      <w:r>
        <w:rPr>
          <w:rFonts w:hint="eastAsia" w:ascii="宋体" w:hAnsi="宋体" w:cs="宋体"/>
          <w:color w:val="000000"/>
          <w:sz w:val="24"/>
          <w:szCs w:val="24"/>
          <w:highlight w:val="none"/>
        </w:rPr>
      </w:r>
      <w:r/>
    </w:p>
    <w:p>
      <w:pPr>
        <w:pStyle w:val="70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征集人：</w:t>
      </w:r>
      <w:r>
        <w:rPr>
          <w:rFonts w:hint="eastAsia" w:ascii="宋体" w:hAnsi="宋体" w:cs="宋体"/>
          <w:color w:val="000000"/>
          <w:sz w:val="24"/>
          <w:szCs w:val="24"/>
          <w:highlight w:val="none"/>
          <w:lang w:eastAsia="zh-CN"/>
        </w:rPr>
        <w:t xml:space="preserve">无锡市公共资源交易中心梁溪分中心</w:t>
      </w:r>
      <w:r>
        <w:rPr>
          <w:rFonts w:hint="eastAsia" w:ascii="宋体" w:hAnsi="宋体" w:eastAsia="宋体" w:cs="宋体"/>
          <w:color w:val="000000"/>
          <w:sz w:val="24"/>
          <w:szCs w:val="24"/>
          <w:highlight w:val="none"/>
          <w:lang w:eastAsia="zh-CN"/>
        </w:rPr>
      </w:r>
      <w:r/>
    </w:p>
    <w:p>
      <w:pPr>
        <w:pStyle w:val="70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适用框架协议的采购人或服务对象范围：</w:t>
      </w:r>
      <w:r>
        <w:rPr>
          <w:rFonts w:ascii="宋体" w:hAnsi="宋体" w:cs="宋体"/>
          <w:color w:val="000000"/>
          <w:sz w:val="24"/>
          <w:szCs w:val="24"/>
          <w:highlight w:val="none"/>
        </w:rPr>
        <w:t xml:space="preserve">无锡市</w:t>
      </w:r>
      <w:r>
        <w:rPr>
          <w:rFonts w:hint="eastAsia" w:ascii="宋体" w:hAnsi="宋体" w:cs="宋体"/>
          <w:color w:val="000000"/>
          <w:sz w:val="24"/>
          <w:szCs w:val="24"/>
          <w:highlight w:val="none"/>
          <w:lang w:val="en-US" w:eastAsia="zh-CN"/>
        </w:rPr>
        <w:t xml:space="preserve">梁溪区</w:t>
      </w:r>
      <w:r>
        <w:rPr>
          <w:rFonts w:ascii="宋体" w:hAnsi="宋体" w:cs="宋体"/>
          <w:color w:val="000000"/>
          <w:sz w:val="24"/>
          <w:szCs w:val="24"/>
          <w:highlight w:val="none"/>
        </w:rPr>
        <w:t xml:space="preserve">国家机关、全额拨款事业单位和团体组织，其他差额拨款、自收自支事业单位可参照框架协议结果执行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二、服务要求</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1.服务内容</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服务内容主要包括：公共区域保洁、基本安全保卫、绿化管理维护、房屋日常管理与维修养护、给排水系统管理维护、强弱电系统管理维护、空调系统管理维护。</w:t>
      </w:r>
      <w:r>
        <w:rPr>
          <w:rFonts w:hint="eastAsia" w:ascii="宋体" w:hAnsi="宋体" w:cs="宋体"/>
          <w:color w:val="000000"/>
          <w:sz w:val="24"/>
          <w:szCs w:val="24"/>
          <w:highlight w:val="none"/>
        </w:rPr>
      </w:r>
      <w:r/>
    </w:p>
    <w:p>
      <w:pPr>
        <w:pStyle w:val="706"/>
        <w:numPr>
          <w:ilvl w:val="0"/>
          <w:numId w:val="6"/>
        </w:numPr>
        <w:ind w:firstLine="480"/>
        <w:spacing w:line="360" w:lineRule="auto"/>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服务人员配备要求</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①供应商需为本项目配备一名项目负责人，并提供供应商近一年中任意一个月份（不含征集活动当月）为该员工依法缴纳社会保障资金的相关材料（提供相关主管部门证明或银行代扣证明），</w:t>
      </w:r>
      <w:r>
        <w:rPr>
          <w:rFonts w:hint="eastAsia" w:ascii="宋体" w:hAnsi="宋体" w:cs="宋体"/>
          <w:b/>
          <w:bCs/>
          <w:color w:val="000000"/>
          <w:sz w:val="24"/>
          <w:szCs w:val="24"/>
          <w:highlight w:val="none"/>
        </w:rPr>
        <w:t xml:space="preserve">未按要求提供证明材料的符合性审查不通过。</w:t>
      </w:r>
      <w:r>
        <w:rPr>
          <w:rFonts w:hint="eastAsia" w:ascii="宋体" w:hAnsi="宋体" w:cs="宋体"/>
          <w:b/>
          <w:bCs/>
          <w:color w:val="000000"/>
          <w:sz w:val="24"/>
          <w:szCs w:val="24"/>
          <w:highlight w:val="none"/>
        </w:rPr>
      </w:r>
      <w:r/>
    </w:p>
    <w:p>
      <w:pPr>
        <w:pStyle w:val="706"/>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三、报价方式：</w:t>
      </w:r>
      <w:r>
        <w:rPr>
          <w:rFonts w:hint="eastAsia" w:ascii="宋体" w:hAnsi="宋体" w:cs="宋体"/>
          <w:color w:val="000000"/>
          <w:sz w:val="24"/>
          <w:szCs w:val="24"/>
          <w:highlight w:val="none"/>
        </w:rPr>
      </w:r>
      <w:r/>
    </w:p>
    <w:tbl>
      <w:tblPr>
        <w:tblW w:w="10134"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1845"/>
        <w:gridCol w:w="2186"/>
        <w:gridCol w:w="1303"/>
        <w:gridCol w:w="1157"/>
        <w:gridCol w:w="846"/>
        <w:gridCol w:w="2269"/>
      </w:tblGrid>
      <w:tr>
        <w:trPr/>
        <w:tc>
          <w:tcPr>
            <w:tcMar>
              <w:left w:w="108" w:type="dxa"/>
              <w:top w:w="0" w:type="dxa"/>
              <w:right w:w="108" w:type="dxa"/>
              <w:bottom w:w="0" w:type="dxa"/>
            </w:tcMar>
            <w:tcW w:w="528"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Mar>
              <w:left w:w="108" w:type="dxa"/>
              <w:top w:w="0" w:type="dxa"/>
              <w:right w:w="108" w:type="dxa"/>
              <w:bottom w:w="0" w:type="dxa"/>
            </w:tcMar>
            <w:tcW w:w="1845"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报价内容</w:t>
            </w:r>
            <w:r>
              <w:rPr>
                <w:rFonts w:hint="eastAsia" w:ascii="宋体" w:hAnsi="宋体" w:cs="宋体"/>
                <w:color w:val="000000"/>
                <w:sz w:val="24"/>
                <w:szCs w:val="24"/>
                <w:highlight w:val="none"/>
              </w:rPr>
            </w:r>
            <w:r/>
          </w:p>
        </w:tc>
        <w:tc>
          <w:tcPr>
            <w:tcMar>
              <w:left w:w="108" w:type="dxa"/>
              <w:top w:w="0" w:type="dxa"/>
              <w:right w:w="108" w:type="dxa"/>
              <w:bottom w:w="0" w:type="dxa"/>
            </w:tcMar>
            <w:tcW w:w="2186"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最高限制单价</w:t>
            </w:r>
            <w:r>
              <w:rPr>
                <w:rFonts w:hint="eastAsia" w:ascii="宋体" w:hAnsi="宋体" w:cs="宋体"/>
                <w:color w:val="000000"/>
                <w:sz w:val="24"/>
                <w:szCs w:val="24"/>
                <w:highlight w:val="none"/>
              </w:rPr>
            </w:r>
            <w:r/>
          </w:p>
        </w:tc>
        <w:tc>
          <w:tcPr>
            <w:tcW w:w="1303"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报价单位</w:t>
            </w:r>
            <w:r>
              <w:rPr>
                <w:rFonts w:hint="eastAsia" w:ascii="宋体" w:hAnsi="宋体" w:cs="宋体"/>
                <w:color w:val="000000"/>
                <w:sz w:val="24"/>
                <w:szCs w:val="24"/>
                <w:highlight w:val="none"/>
              </w:rPr>
            </w:r>
            <w:r/>
          </w:p>
        </w:tc>
        <w:tc>
          <w:tcPr>
            <w:tcW w:w="1157" w:type="dxa"/>
            <w:vAlign w:val="top"/>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综合计算权重（%）</w:t>
            </w:r>
            <w:r>
              <w:rPr>
                <w:rFonts w:hint="eastAsia" w:ascii="宋体" w:hAnsi="宋体" w:cs="宋体"/>
                <w:color w:val="000000"/>
                <w:sz w:val="24"/>
                <w:szCs w:val="24"/>
                <w:highlight w:val="none"/>
              </w:rPr>
            </w:r>
            <w:r/>
          </w:p>
        </w:tc>
        <w:tc>
          <w:tcPr>
            <w:tcW w:w="846"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报价</w:t>
            </w:r>
            <w:r>
              <w:rPr>
                <w:rFonts w:hint="eastAsia" w:ascii="宋体" w:hAnsi="宋体" w:cs="宋体"/>
                <w:color w:val="000000"/>
                <w:sz w:val="24"/>
                <w:szCs w:val="24"/>
                <w:highlight w:val="none"/>
              </w:rPr>
            </w:r>
            <w:r/>
          </w:p>
        </w:tc>
        <w:tc>
          <w:tcPr>
            <w:tcW w:w="2269"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c>
          <w:tcPr>
            <w:tcMar>
              <w:left w:w="108" w:type="dxa"/>
              <w:top w:w="0" w:type="dxa"/>
              <w:right w:w="108" w:type="dxa"/>
              <w:bottom w:w="0" w:type="dxa"/>
            </w:tcMar>
            <w:tcW w:w="528"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Mar>
              <w:left w:w="108" w:type="dxa"/>
              <w:top w:w="0" w:type="dxa"/>
              <w:right w:w="108" w:type="dxa"/>
              <w:bottom w:w="0" w:type="dxa"/>
            </w:tcMar>
            <w:tcW w:w="1845"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公共区域保洁服务费</w:t>
            </w:r>
            <w:r>
              <w:rPr>
                <w:rFonts w:hint="eastAsia" w:ascii="宋体" w:hAnsi="宋体" w:cs="宋体"/>
                <w:color w:val="000000"/>
                <w:sz w:val="24"/>
                <w:szCs w:val="24"/>
                <w:highlight w:val="none"/>
              </w:rPr>
            </w:r>
            <w:r/>
          </w:p>
        </w:tc>
        <w:tc>
          <w:tcPr>
            <w:tcMar>
              <w:left w:w="108" w:type="dxa"/>
              <w:top w:w="0" w:type="dxa"/>
              <w:right w:w="108" w:type="dxa"/>
              <w:bottom w:w="0" w:type="dxa"/>
            </w:tcMar>
            <w:tcW w:w="218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1.8元/㎡/月</w:t>
            </w:r>
            <w:r>
              <w:rPr>
                <w:rFonts w:hint="eastAsia" w:ascii="宋体" w:hAnsi="宋体" w:cs="宋体"/>
                <w:color w:val="000000"/>
                <w:sz w:val="24"/>
                <w:szCs w:val="24"/>
                <w:highlight w:val="none"/>
              </w:rPr>
            </w:r>
            <w:r/>
          </w:p>
        </w:tc>
        <w:tc>
          <w:tcPr>
            <w:tcW w:w="130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元/㎡/月</w:t>
            </w:r>
            <w:r>
              <w:rPr>
                <w:rFonts w:hint="eastAsia" w:ascii="宋体" w:hAnsi="宋体" w:cs="宋体"/>
                <w:color w:val="000000"/>
                <w:sz w:val="24"/>
                <w:szCs w:val="24"/>
                <w:highlight w:val="none"/>
              </w:rPr>
            </w:r>
            <w:r/>
          </w:p>
        </w:tc>
        <w:tc>
          <w:tcPr>
            <w:tcW w:w="115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W w:w="84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W w:w="2269" w:type="dxa"/>
            <w:vAlign w:val="top"/>
            <w:textDirection w:val="lrTb"/>
            <w:noWrap w:val="false"/>
          </w:tcPr>
          <w:p>
            <w:pPr>
              <w:pStyle w:val="706"/>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包括建筑物和庭院中发生保洁服务活动的区域面积。此费用包含由承接主体承担的清洁药剂、清洁工具等低值易耗品费。</w:t>
            </w:r>
            <w:r>
              <w:rPr>
                <w:rFonts w:hint="eastAsia" w:ascii="宋体" w:hAnsi="宋体" w:cs="宋体"/>
                <w:color w:val="000000"/>
                <w:sz w:val="24"/>
                <w:szCs w:val="24"/>
                <w:highlight w:val="none"/>
              </w:rPr>
            </w:r>
            <w:r/>
          </w:p>
        </w:tc>
      </w:tr>
      <w:tr>
        <w:trPr/>
        <w:tc>
          <w:tcPr>
            <w:tcMar>
              <w:left w:w="108" w:type="dxa"/>
              <w:top w:w="0" w:type="dxa"/>
              <w:right w:w="108" w:type="dxa"/>
              <w:bottom w:w="0" w:type="dxa"/>
            </w:tcMar>
            <w:tcW w:w="528"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Mar>
              <w:left w:w="108" w:type="dxa"/>
              <w:top w:w="0" w:type="dxa"/>
              <w:right w:w="108" w:type="dxa"/>
              <w:bottom w:w="0" w:type="dxa"/>
            </w:tcMar>
            <w:tcW w:w="1845"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基本安全保卫服务费</w:t>
            </w:r>
            <w:r>
              <w:rPr>
                <w:rFonts w:hint="eastAsia" w:ascii="宋体" w:hAnsi="宋体" w:cs="宋体"/>
                <w:color w:val="000000"/>
                <w:sz w:val="24"/>
                <w:szCs w:val="24"/>
                <w:highlight w:val="none"/>
              </w:rPr>
            </w:r>
            <w:r/>
          </w:p>
        </w:tc>
        <w:tc>
          <w:tcPr>
            <w:tcMar>
              <w:left w:w="108" w:type="dxa"/>
              <w:top w:w="0" w:type="dxa"/>
              <w:right w:w="108" w:type="dxa"/>
              <w:bottom w:w="0" w:type="dxa"/>
            </w:tcMar>
            <w:tcW w:w="218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1.7元/㎡/月</w:t>
            </w:r>
            <w:r>
              <w:rPr>
                <w:rFonts w:hint="eastAsia" w:ascii="宋体" w:hAnsi="宋体" w:cs="宋体"/>
                <w:color w:val="000000"/>
                <w:sz w:val="24"/>
                <w:szCs w:val="24"/>
                <w:highlight w:val="none"/>
              </w:rPr>
            </w:r>
            <w:r/>
          </w:p>
        </w:tc>
        <w:tc>
          <w:tcPr>
            <w:tcW w:w="130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元/㎡/月</w:t>
            </w:r>
            <w:r>
              <w:rPr>
                <w:rFonts w:hint="eastAsia" w:ascii="宋体" w:hAnsi="宋体" w:cs="宋体"/>
                <w:color w:val="000000"/>
                <w:sz w:val="24"/>
                <w:szCs w:val="24"/>
                <w:highlight w:val="none"/>
              </w:rPr>
            </w:r>
            <w:r/>
          </w:p>
        </w:tc>
        <w:tc>
          <w:tcPr>
            <w:tcW w:w="115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r>
            <w:r/>
          </w:p>
        </w:tc>
        <w:tc>
          <w:tcPr>
            <w:tcW w:w="84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W w:w="2269" w:type="dxa"/>
            <w:vAlign w:val="top"/>
            <w:textDirection w:val="lrTb"/>
            <w:noWrap w:val="false"/>
          </w:tcPr>
          <w:p>
            <w:pPr>
              <w:pStyle w:val="706"/>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适用于无对外服务大厅的单位。此费用包含由承接主体承担的对讲机、安保服装、照明灯、应急包等材料费。</w:t>
            </w:r>
            <w:r>
              <w:rPr>
                <w:rFonts w:hint="eastAsia" w:ascii="宋体" w:hAnsi="宋体" w:cs="宋体"/>
                <w:color w:val="000000"/>
                <w:sz w:val="24"/>
                <w:szCs w:val="24"/>
                <w:highlight w:val="none"/>
              </w:rPr>
            </w:r>
            <w:r/>
          </w:p>
        </w:tc>
      </w:tr>
      <w:tr>
        <w:trPr/>
        <w:tc>
          <w:tcPr>
            <w:tcMar>
              <w:left w:w="108" w:type="dxa"/>
              <w:top w:w="0" w:type="dxa"/>
              <w:right w:w="108" w:type="dxa"/>
              <w:bottom w:w="0" w:type="dxa"/>
            </w:tcMar>
            <w:tcW w:w="528"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Mar>
              <w:left w:w="108" w:type="dxa"/>
              <w:top w:w="0" w:type="dxa"/>
              <w:right w:w="108" w:type="dxa"/>
              <w:bottom w:w="0" w:type="dxa"/>
            </w:tcMar>
            <w:tcW w:w="1845"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绿化管理维护服务费</w:t>
            </w:r>
            <w:r>
              <w:rPr>
                <w:rFonts w:hint="eastAsia" w:ascii="宋体" w:hAnsi="宋体" w:cs="宋体"/>
                <w:color w:val="000000"/>
                <w:sz w:val="24"/>
                <w:szCs w:val="24"/>
                <w:highlight w:val="none"/>
              </w:rPr>
            </w:r>
            <w:r/>
          </w:p>
        </w:tc>
        <w:tc>
          <w:tcPr>
            <w:tcMar>
              <w:left w:w="108" w:type="dxa"/>
              <w:top w:w="0" w:type="dxa"/>
              <w:right w:w="108" w:type="dxa"/>
              <w:bottom w:w="0" w:type="dxa"/>
            </w:tcMar>
            <w:tcW w:w="218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0.6元/㎡/月</w:t>
            </w:r>
            <w:r>
              <w:rPr>
                <w:rFonts w:hint="eastAsia" w:ascii="宋体" w:hAnsi="宋体" w:cs="宋体"/>
                <w:color w:val="000000"/>
                <w:sz w:val="24"/>
                <w:szCs w:val="24"/>
                <w:highlight w:val="none"/>
              </w:rPr>
            </w:r>
            <w:r/>
          </w:p>
        </w:tc>
        <w:tc>
          <w:tcPr>
            <w:tcW w:w="130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元/㎡/月</w:t>
            </w:r>
            <w:r>
              <w:rPr>
                <w:rFonts w:hint="eastAsia" w:ascii="宋体" w:hAnsi="宋体" w:cs="宋体"/>
                <w:color w:val="000000"/>
                <w:sz w:val="24"/>
                <w:szCs w:val="24"/>
                <w:highlight w:val="none"/>
              </w:rPr>
            </w:r>
            <w:r/>
          </w:p>
        </w:tc>
        <w:tc>
          <w:tcPr>
            <w:tcW w:w="115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84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W w:w="2269" w:type="dxa"/>
            <w:vAlign w:val="top"/>
            <w:textDirection w:val="lrTb"/>
            <w:noWrap w:val="false"/>
          </w:tcPr>
          <w:p>
            <w:pPr>
              <w:pStyle w:val="706"/>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室外绿化面积。包括林地、草地及水系面积，不包括室外道路面积。</w:t>
            </w:r>
            <w:r>
              <w:rPr>
                <w:rFonts w:hint="eastAsia" w:ascii="宋体" w:hAnsi="宋体" w:cs="宋体"/>
                <w:color w:val="000000"/>
                <w:sz w:val="24"/>
                <w:szCs w:val="24"/>
                <w:highlight w:val="none"/>
              </w:rPr>
            </w:r>
            <w:r/>
          </w:p>
        </w:tc>
      </w:tr>
      <w:tr>
        <w:trPr/>
        <w:tc>
          <w:tcPr>
            <w:tcMar>
              <w:left w:w="108" w:type="dxa"/>
              <w:top w:w="0" w:type="dxa"/>
              <w:right w:w="108" w:type="dxa"/>
              <w:bottom w:w="0" w:type="dxa"/>
            </w:tcMar>
            <w:tcW w:w="528"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Mar>
              <w:left w:w="108" w:type="dxa"/>
              <w:top w:w="0" w:type="dxa"/>
              <w:right w:w="108" w:type="dxa"/>
              <w:bottom w:w="0" w:type="dxa"/>
            </w:tcMar>
            <w:tcW w:w="1845"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房屋日常管理与维修养护服务费</w:t>
            </w:r>
            <w:r>
              <w:rPr>
                <w:rFonts w:hint="eastAsia" w:ascii="宋体" w:hAnsi="宋体" w:cs="宋体"/>
                <w:color w:val="000000"/>
                <w:sz w:val="24"/>
                <w:szCs w:val="24"/>
                <w:highlight w:val="none"/>
              </w:rPr>
            </w:r>
            <w:r/>
          </w:p>
        </w:tc>
        <w:tc>
          <w:tcPr>
            <w:tcMar>
              <w:left w:w="108" w:type="dxa"/>
              <w:top w:w="0" w:type="dxa"/>
              <w:right w:w="108" w:type="dxa"/>
              <w:bottom w:w="0" w:type="dxa"/>
            </w:tcMar>
            <w:tcW w:w="218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0.3元/㎡/月</w:t>
            </w:r>
            <w:r>
              <w:rPr>
                <w:rFonts w:hint="eastAsia" w:ascii="宋体" w:hAnsi="宋体" w:cs="宋体"/>
                <w:color w:val="000000"/>
                <w:sz w:val="24"/>
                <w:szCs w:val="24"/>
                <w:highlight w:val="none"/>
              </w:rPr>
            </w:r>
            <w:r/>
          </w:p>
        </w:tc>
        <w:tc>
          <w:tcPr>
            <w:tcW w:w="130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元/㎡/月</w:t>
            </w:r>
            <w:r>
              <w:rPr>
                <w:rFonts w:hint="eastAsia" w:ascii="宋体" w:hAnsi="宋体" w:cs="宋体"/>
                <w:color w:val="000000"/>
                <w:sz w:val="24"/>
                <w:szCs w:val="24"/>
                <w:highlight w:val="none"/>
              </w:rPr>
            </w:r>
            <w:r/>
          </w:p>
        </w:tc>
        <w:tc>
          <w:tcPr>
            <w:tcW w:w="115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84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W w:w="2269" w:type="dxa"/>
            <w:vAlign w:val="top"/>
            <w:textDirection w:val="lrTb"/>
            <w:noWrap w:val="false"/>
          </w:tcPr>
          <w:p>
            <w:pPr>
              <w:pStyle w:val="706"/>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仅限有独立办公用房的单位。此费用包含由承接主体承担的300元以下的单个维修零配件材料费。</w:t>
            </w:r>
            <w:r>
              <w:rPr>
                <w:rFonts w:hint="eastAsia" w:ascii="宋体" w:hAnsi="宋体" w:cs="宋体"/>
                <w:color w:val="000000"/>
                <w:sz w:val="24"/>
                <w:szCs w:val="24"/>
                <w:highlight w:val="none"/>
              </w:rPr>
            </w:r>
            <w:r/>
          </w:p>
        </w:tc>
      </w:tr>
      <w:tr>
        <w:trPr/>
        <w:tc>
          <w:tcPr>
            <w:tcMar>
              <w:left w:w="108" w:type="dxa"/>
              <w:top w:w="0" w:type="dxa"/>
              <w:right w:w="108" w:type="dxa"/>
              <w:bottom w:w="0" w:type="dxa"/>
            </w:tcMar>
            <w:tcW w:w="528"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Mar>
              <w:left w:w="108" w:type="dxa"/>
              <w:top w:w="0" w:type="dxa"/>
              <w:right w:w="108" w:type="dxa"/>
              <w:bottom w:w="0" w:type="dxa"/>
            </w:tcMar>
            <w:tcW w:w="1845"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给排水系统管理维护服务费</w:t>
            </w:r>
            <w:r>
              <w:rPr>
                <w:rFonts w:hint="eastAsia" w:ascii="宋体" w:hAnsi="宋体" w:cs="宋体"/>
                <w:color w:val="000000"/>
                <w:sz w:val="24"/>
                <w:szCs w:val="24"/>
                <w:highlight w:val="none"/>
              </w:rPr>
            </w:r>
            <w:r/>
          </w:p>
        </w:tc>
        <w:tc>
          <w:tcPr>
            <w:tcMar>
              <w:left w:w="108" w:type="dxa"/>
              <w:top w:w="0" w:type="dxa"/>
              <w:right w:w="108" w:type="dxa"/>
              <w:bottom w:w="0" w:type="dxa"/>
            </w:tcMar>
            <w:tcW w:w="218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0.3元/㎡/月</w:t>
            </w:r>
            <w:r>
              <w:rPr>
                <w:rFonts w:hint="eastAsia" w:ascii="宋体" w:hAnsi="宋体" w:cs="宋体"/>
                <w:color w:val="000000"/>
                <w:sz w:val="24"/>
                <w:szCs w:val="24"/>
                <w:highlight w:val="none"/>
              </w:rPr>
            </w:r>
            <w:r/>
          </w:p>
        </w:tc>
        <w:tc>
          <w:tcPr>
            <w:tcW w:w="130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元/㎡/月</w:t>
            </w:r>
            <w:r>
              <w:rPr>
                <w:rFonts w:hint="eastAsia" w:ascii="宋体" w:hAnsi="宋体" w:cs="宋体"/>
                <w:color w:val="000000"/>
                <w:sz w:val="24"/>
                <w:szCs w:val="24"/>
                <w:highlight w:val="none"/>
              </w:rPr>
            </w:r>
            <w:r/>
          </w:p>
        </w:tc>
        <w:tc>
          <w:tcPr>
            <w:tcW w:w="115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84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W w:w="2269" w:type="dxa"/>
            <w:vAlign w:val="top"/>
            <w:textDirection w:val="lrTb"/>
            <w:noWrap w:val="false"/>
          </w:tcPr>
          <w:p>
            <w:pPr>
              <w:pStyle w:val="706"/>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仅限有独立办公用房的单位。此费用包含由承接主体承担的300元以下的单个维修零配件材料费。</w:t>
            </w:r>
            <w:r>
              <w:rPr>
                <w:rFonts w:hint="eastAsia" w:ascii="宋体" w:hAnsi="宋体" w:cs="宋体"/>
                <w:color w:val="000000"/>
                <w:sz w:val="24"/>
                <w:szCs w:val="24"/>
                <w:highlight w:val="none"/>
              </w:rPr>
            </w:r>
            <w:r/>
          </w:p>
        </w:tc>
      </w:tr>
      <w:tr>
        <w:trPr/>
        <w:tc>
          <w:tcPr>
            <w:tcMar>
              <w:left w:w="108" w:type="dxa"/>
              <w:top w:w="0" w:type="dxa"/>
              <w:right w:w="108" w:type="dxa"/>
              <w:bottom w:w="0" w:type="dxa"/>
            </w:tcMar>
            <w:tcW w:w="528"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Mar>
              <w:left w:w="108" w:type="dxa"/>
              <w:top w:w="0" w:type="dxa"/>
              <w:right w:w="108" w:type="dxa"/>
              <w:bottom w:w="0" w:type="dxa"/>
            </w:tcMar>
            <w:tcW w:w="1845"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强弱电系统管理维护服务费</w:t>
            </w:r>
            <w:r>
              <w:rPr>
                <w:rFonts w:hint="eastAsia" w:ascii="宋体" w:hAnsi="宋体" w:cs="宋体"/>
                <w:color w:val="000000"/>
                <w:sz w:val="24"/>
                <w:szCs w:val="24"/>
                <w:highlight w:val="none"/>
              </w:rPr>
            </w:r>
            <w:r/>
          </w:p>
        </w:tc>
        <w:tc>
          <w:tcPr>
            <w:tcMar>
              <w:left w:w="108" w:type="dxa"/>
              <w:top w:w="0" w:type="dxa"/>
              <w:right w:w="108" w:type="dxa"/>
              <w:bottom w:w="0" w:type="dxa"/>
            </w:tcMar>
            <w:tcW w:w="218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0.9元/㎡/月</w:t>
            </w:r>
            <w:r>
              <w:rPr>
                <w:rFonts w:hint="eastAsia" w:ascii="宋体" w:hAnsi="宋体" w:cs="宋体"/>
                <w:color w:val="000000"/>
                <w:sz w:val="24"/>
                <w:szCs w:val="24"/>
                <w:highlight w:val="none"/>
              </w:rPr>
            </w:r>
            <w:r/>
          </w:p>
        </w:tc>
        <w:tc>
          <w:tcPr>
            <w:tcW w:w="130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元/㎡/月</w:t>
            </w:r>
            <w:r>
              <w:rPr>
                <w:rFonts w:hint="eastAsia" w:ascii="宋体" w:hAnsi="宋体" w:cs="宋体"/>
                <w:color w:val="000000"/>
                <w:sz w:val="24"/>
                <w:szCs w:val="24"/>
                <w:highlight w:val="none"/>
              </w:rPr>
            </w:r>
            <w:r/>
          </w:p>
        </w:tc>
        <w:tc>
          <w:tcPr>
            <w:tcW w:w="115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84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W w:w="2269" w:type="dxa"/>
            <w:vAlign w:val="top"/>
            <w:textDirection w:val="lrTb"/>
            <w:noWrap w:val="false"/>
          </w:tcPr>
          <w:p>
            <w:pPr>
              <w:pStyle w:val="706"/>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仅限有独立办公用房的单位。此费用包含由承接主体承担的300元以下的单个维修零配件材料费。</w:t>
            </w:r>
            <w:r>
              <w:rPr>
                <w:rFonts w:hint="eastAsia" w:ascii="宋体" w:hAnsi="宋体" w:cs="宋体"/>
                <w:color w:val="000000"/>
                <w:sz w:val="24"/>
                <w:szCs w:val="24"/>
                <w:highlight w:val="none"/>
              </w:rPr>
            </w:r>
            <w:r/>
          </w:p>
        </w:tc>
      </w:tr>
      <w:tr>
        <w:trPr/>
        <w:tc>
          <w:tcPr>
            <w:tcMar>
              <w:left w:w="108" w:type="dxa"/>
              <w:top w:w="0" w:type="dxa"/>
              <w:right w:w="108" w:type="dxa"/>
              <w:bottom w:w="0" w:type="dxa"/>
            </w:tcMar>
            <w:tcW w:w="528"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Mar>
              <w:left w:w="108" w:type="dxa"/>
              <w:top w:w="0" w:type="dxa"/>
              <w:right w:w="108" w:type="dxa"/>
              <w:bottom w:w="0" w:type="dxa"/>
            </w:tcMar>
            <w:tcW w:w="1845"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空调系统管理维护服务费</w:t>
            </w:r>
            <w:r>
              <w:rPr>
                <w:rFonts w:hint="eastAsia" w:ascii="宋体" w:hAnsi="宋体" w:cs="宋体"/>
                <w:color w:val="000000"/>
                <w:sz w:val="24"/>
                <w:szCs w:val="24"/>
                <w:highlight w:val="none"/>
              </w:rPr>
            </w:r>
            <w:r/>
          </w:p>
        </w:tc>
        <w:tc>
          <w:tcPr>
            <w:tcMar>
              <w:left w:w="108" w:type="dxa"/>
              <w:top w:w="0" w:type="dxa"/>
              <w:right w:w="108" w:type="dxa"/>
              <w:bottom w:w="0" w:type="dxa"/>
            </w:tcMar>
            <w:tcW w:w="218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0.6元/㎡/月</w:t>
            </w:r>
            <w:r>
              <w:rPr>
                <w:rFonts w:hint="eastAsia" w:ascii="宋体" w:hAnsi="宋体" w:cs="宋体"/>
                <w:color w:val="000000"/>
                <w:sz w:val="24"/>
                <w:szCs w:val="24"/>
                <w:highlight w:val="none"/>
              </w:rPr>
            </w:r>
            <w:r/>
          </w:p>
        </w:tc>
        <w:tc>
          <w:tcPr>
            <w:tcW w:w="130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元/㎡/月</w:t>
            </w:r>
            <w:r>
              <w:rPr>
                <w:rFonts w:hint="eastAsia" w:ascii="宋体" w:hAnsi="宋体" w:cs="宋体"/>
                <w:color w:val="000000"/>
                <w:sz w:val="24"/>
                <w:szCs w:val="24"/>
                <w:highlight w:val="none"/>
              </w:rPr>
            </w:r>
            <w:r/>
          </w:p>
        </w:tc>
        <w:tc>
          <w:tcPr>
            <w:tcW w:w="115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84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W w:w="2269" w:type="dxa"/>
            <w:vAlign w:val="top"/>
            <w:textDirection w:val="lrTb"/>
            <w:noWrap w:val="false"/>
          </w:tcPr>
          <w:p>
            <w:pPr>
              <w:pStyle w:val="706"/>
              <w:jc w:val="lef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仅限有独立办公用房的单位。</w:t>
            </w:r>
            <w:r>
              <w:rPr>
                <w:rFonts w:hint="eastAsia" w:ascii="宋体" w:hAnsi="宋体" w:cs="宋体"/>
                <w:color w:val="000000"/>
                <w:sz w:val="24"/>
                <w:szCs w:val="24"/>
                <w:highlight w:val="none"/>
              </w:rPr>
            </w:r>
            <w:r/>
          </w:p>
        </w:tc>
      </w:tr>
      <w:tr>
        <w:trPr/>
        <w:tc>
          <w:tcPr>
            <w:gridSpan w:val="2"/>
            <w:tcMar>
              <w:left w:w="108" w:type="dxa"/>
              <w:top w:w="0" w:type="dxa"/>
              <w:right w:w="108" w:type="dxa"/>
              <w:bottom w:w="0" w:type="dxa"/>
            </w:tcMar>
            <w:tcW w:w="2373" w:type="dxa"/>
            <w:vAlign w:val="top"/>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综合计算得数</w:t>
            </w:r>
            <w:r>
              <w:rPr>
                <w:rFonts w:hint="eastAsia" w:ascii="宋体" w:hAnsi="宋体" w:cs="宋体"/>
                <w:color w:val="000000"/>
                <w:sz w:val="24"/>
                <w:szCs w:val="24"/>
                <w:highlight w:val="none"/>
              </w:rPr>
            </w:r>
            <w:r/>
          </w:p>
        </w:tc>
        <w:tc>
          <w:tcPr>
            <w:gridSpan w:val="5"/>
            <w:tcMar>
              <w:left w:w="108" w:type="dxa"/>
              <w:top w:w="0" w:type="dxa"/>
              <w:right w:w="108" w:type="dxa"/>
              <w:bottom w:w="0" w:type="dxa"/>
            </w:tcMar>
            <w:tcW w:w="7761" w:type="dxa"/>
            <w:vAlign w:val="top"/>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供应商无需填报，以苏采云系统自动生成的数值为准（系统四舍五入至小数点后两位）</w:t>
            </w:r>
            <w:r>
              <w:rPr>
                <w:rFonts w:hint="eastAsia" w:ascii="宋体" w:hAnsi="宋体" w:cs="宋体"/>
                <w:color w:val="000000"/>
                <w:sz w:val="24"/>
                <w:szCs w:val="24"/>
                <w:highlight w:val="none"/>
              </w:rPr>
            </w:r>
            <w:r/>
          </w:p>
        </w:tc>
      </w:tr>
    </w:tbl>
    <w:p>
      <w:pPr>
        <w:pStyle w:val="70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供应商报价的综合计算得数中公共区域保洁服务费、基本安全保卫服务费的计算权重均为20%，绿化管理维护服务费、房屋日常管理与维修养护服务费、给排水系统管理维护服务费、强弱电系统管理维护服务费、空调系统管理维护服务费的计算权重均为12%。综合计算后，得数（价格）低的供应商，排序在前。</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计算公式如下：供应商报价的综合计算得数=公共区域保洁服务费报价栏中的数值*20%+基本安全保卫服务费报价栏中的数值*20%+绿化管理维护服务费报价栏中的数值*12%+房屋日常管理与维修养护服务费报价栏中的数值*12%+给排水系统管理维护服务费报价栏中的数值*12%+强弱电系统管理维护服务费报价栏中的数值*12%+空调系统管理维护服务费报价栏中的数值*12%</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计算公式举例如下：供应商报价中公共区域保洁服务费为1.5元/㎡/月（“苏采云”系统内填报报价时，填写“1.5”），基本安全保卫服务费为1.5元/㎡/月（“苏采云”系统内填报报价时，填写“1.5”），绿化管理维护服务费为0.5元/㎡/月（“苏采云”系统内填报报价时，填写“0.5”），房屋日常管理与维修</w:t>
      </w:r>
      <w:r>
        <w:rPr>
          <w:rFonts w:hint="eastAsia" w:ascii="宋体" w:hAnsi="宋体" w:cs="宋体"/>
          <w:color w:val="000000"/>
          <w:sz w:val="24"/>
          <w:szCs w:val="24"/>
          <w:highlight w:val="none"/>
        </w:rPr>
        <w:t xml:space="preserve">养护服务费为0.2元/㎡/月（“苏采云”系统内填报报价时，填写“0.2”），给排水系统管理维护服务费为0.2元/㎡/月（“苏采云”系统内填报报价时，填写“0.2”），强弱电系统管理维护服务费为0.8元/㎡/月（“苏采云”系统内填报报价时，填写“0.8”），空调系统管理维护服务费为0.5元/㎡/月（“苏采云”系统内填报报价时，填写“0.5”），则该供应商报价综合计算得数（由系统自动计算）为1.5*20%+1.5*20%+0.5*12%+0.2*12%+0.2*12%+0.8*12%+0.5*12%=0.86。</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4.最高限制单价包含了供应商的全部成本、税金和合理利润，不包括采购人单位自身设备运行燃料动力费、水电费以及单次单品超过 300 元的维修维护零配件材料费。</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5.供应商应对所有内容报价（综合计算得数供应商无需填报，以系统自动生成的数值为准，系统四舍五入至小数点后两位），</w:t>
      </w:r>
      <w:r>
        <w:rPr>
          <w:rFonts w:hint="eastAsia" w:ascii="宋体" w:hAnsi="宋体" w:cs="宋体"/>
          <w:b/>
          <w:bCs/>
          <w:color w:val="000000"/>
          <w:sz w:val="24"/>
          <w:szCs w:val="24"/>
          <w:highlight w:val="none"/>
        </w:rPr>
        <w:t xml:space="preserve">不得缺项、不得超过各项报价内容的最高限制单价</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人员工资</w:t>
      </w:r>
      <w:r>
        <w:rPr>
          <w:rFonts w:hint="eastAsia" w:ascii="宋体" w:hAnsi="宋体" w:cs="宋体"/>
          <w:color w:val="000000"/>
          <w:sz w:val="24"/>
          <w:szCs w:val="24"/>
          <w:highlight w:val="none"/>
        </w:rPr>
        <w:t xml:space="preserve">不得</w:t>
      </w:r>
      <w:r>
        <w:rPr>
          <w:rFonts w:ascii="宋体" w:hAnsi="宋体" w:cs="宋体"/>
          <w:color w:val="000000"/>
          <w:sz w:val="24"/>
          <w:szCs w:val="24"/>
          <w:highlight w:val="none"/>
        </w:rPr>
        <w:t xml:space="preserve">低于</w:t>
      </w:r>
      <w:r>
        <w:rPr>
          <w:rFonts w:hint="eastAsia" w:ascii="宋体" w:hAnsi="宋体" w:cs="宋体"/>
          <w:color w:val="000000"/>
          <w:sz w:val="24"/>
          <w:szCs w:val="24"/>
          <w:highlight w:val="none"/>
        </w:rPr>
        <w:t xml:space="preserve">无锡</w:t>
      </w:r>
      <w:r>
        <w:rPr>
          <w:rFonts w:ascii="宋体" w:hAnsi="宋体" w:cs="宋体"/>
          <w:color w:val="000000"/>
          <w:sz w:val="24"/>
          <w:szCs w:val="24"/>
          <w:highlight w:val="none"/>
        </w:rPr>
        <w:t xml:space="preserve">市最低工资标准。</w:t>
      </w:r>
      <w:r>
        <w:rPr>
          <w:rFonts w:hint="eastAsia" w:ascii="宋体" w:hAnsi="宋体" w:cs="宋体"/>
          <w:b/>
          <w:bCs/>
          <w:color w:val="000000"/>
          <w:sz w:val="24"/>
          <w:szCs w:val="24"/>
          <w:highlight w:val="none"/>
        </w:rPr>
        <w:t xml:space="preserve">供应商应按市场价格及自身实际情况客观报价，报价价格均应大于零，且各项内容报价最多均只能精确到小数点后两位，否则将被视为无效响应文件。</w:t>
      </w:r>
      <w:r>
        <w:rPr>
          <w:rFonts w:hint="eastAsia" w:ascii="宋体" w:hAnsi="宋体" w:cs="宋体"/>
          <w:color w:val="000000"/>
          <w:sz w:val="24"/>
          <w:szCs w:val="24"/>
          <w:highlight w:val="none"/>
        </w:rPr>
        <w:t xml:space="preserve">供应商所报价格即为第一阶段入围后的协议价格也是采购人确定第二阶段成交供应商的最高限价。  </w:t>
      </w:r>
      <w:r>
        <w:rPr>
          <w:rFonts w:hint="eastAsia" w:ascii="宋体" w:hAnsi="宋体" w:cs="宋体"/>
          <w:color w:val="000000"/>
          <w:sz w:val="24"/>
          <w:szCs w:val="24"/>
          <w:highlight w:val="none"/>
        </w:rPr>
      </w:r>
      <w:r/>
    </w:p>
    <w:p>
      <w:pPr>
        <w:pStyle w:val="706"/>
        <w:ind w:firstLine="480"/>
        <w:spacing w:line="360" w:lineRule="auto"/>
        <w:rPr>
          <w:color w:val="000000"/>
          <w:highlight w:val="none"/>
        </w:rPr>
      </w:pPr>
      <w:r>
        <w:rPr>
          <w:rFonts w:hint="eastAsia" w:ascii="宋体" w:hAnsi="宋体" w:cs="宋体"/>
          <w:color w:val="000000"/>
          <w:sz w:val="24"/>
          <w:szCs w:val="24"/>
          <w:highlight w:val="none"/>
        </w:rPr>
        <w:t xml:space="preserve">6.响应报价除应包括物业管理服务人员的工资（符合无锡市最低工资标准）、法定税费和合理利润外，还应包括体检、管理、劳务、服装、培训、通讯、安全保卫、调整风险及政策性文件规定等各项应有费用，以及为完成采购文件规定的物业管理工作所涉及的一切相关费用。供应商应当自行为服务人员办理必需的保险，有关人员伤亡及第三者责任险均应当考虑在报价因素中。供应商报价时应充分考虑服务期内所有可能影响到报价的因素，包括最低工资标准及社保基数的政策性调整。</w:t>
      </w:r>
      <w:r>
        <w:rPr>
          <w:color w:val="000000"/>
          <w:highlight w:val="none"/>
        </w:rPr>
      </w:r>
      <w:r/>
    </w:p>
    <w:p>
      <w:pPr>
        <w:pStyle w:val="706"/>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7.第二阶段费用结算方式：根据合同按实结算。</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四、服务内容和标准</w:t>
      </w:r>
      <w:r>
        <w:rPr>
          <w:rFonts w:hint="eastAsia" w:ascii="宋体" w:hAnsi="宋体" w:cs="宋体"/>
          <w:color w:val="000000"/>
          <w:sz w:val="24"/>
          <w:szCs w:val="24"/>
          <w:highlight w:val="none"/>
        </w:rPr>
      </w:r>
      <w:r/>
    </w:p>
    <w:tbl>
      <w:tblPr>
        <w:tblW w:w="9354"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1"/>
        <w:gridCol w:w="2267"/>
        <w:gridCol w:w="5896"/>
      </w:tblGrid>
      <w:tr>
        <w:trPr/>
        <w:tc>
          <w:tcPr>
            <w:tcW w:w="1191" w:type="dxa"/>
            <w:vAlign w:val="top"/>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top"/>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服务内容</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服务标准</w:t>
            </w:r>
            <w:r>
              <w:rPr>
                <w:rFonts w:hint="eastAsia" w:ascii="宋体" w:hAnsi="宋体" w:cs="宋体"/>
                <w:color w:val="000000"/>
                <w:sz w:val="24"/>
                <w:szCs w:val="24"/>
                <w:highlight w:val="none"/>
              </w:rPr>
            </w:r>
            <w:r/>
          </w:p>
        </w:tc>
      </w:tr>
      <w:tr>
        <w:trPr>
          <w:trHeight w:val="482"/>
        </w:trPr>
        <w:tc>
          <w:tcPr>
            <w:tcW w:w="1191" w:type="dxa"/>
            <w:vAlign w:val="center"/>
            <w:textDirection w:val="lrTb"/>
            <w:noWrap w:val="false"/>
          </w:tcPr>
          <w:p>
            <w:pPr>
              <w:pStyle w:val="706"/>
              <w:ind w:firstLine="202"/>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179" w:name="_Hlk167812830"/>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gridSpan w:val="2"/>
            <w:tcMar>
              <w:left w:w="108" w:type="dxa"/>
              <w:top w:w="0" w:type="dxa"/>
              <w:right w:w="108" w:type="dxa"/>
              <w:bottom w:w="0" w:type="dxa"/>
            </w:tcMar>
            <w:tcW w:w="816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公共区域保洁</w:t>
            </w:r>
            <w:r>
              <w:rPr>
                <w:rFonts w:hint="eastAsia" w:ascii="宋体" w:hAnsi="宋体" w:cs="宋体"/>
                <w:color w:val="000000"/>
                <w:sz w:val="24"/>
                <w:szCs w:val="24"/>
                <w:highlight w:val="none"/>
              </w:rPr>
            </w:r>
            <w:r/>
          </w:p>
        </w:tc>
      </w:tr>
      <w:tr>
        <w:trPr>
          <w:trHeight w:val="1767"/>
        </w:trPr>
        <w:tc>
          <w:tcPr>
            <w:tcW w:w="1191" w:type="dxa"/>
            <w:vAlign w:val="center"/>
            <w:textDirection w:val="lrTb"/>
            <w:noWrap w:val="false"/>
          </w:tcPr>
          <w:p>
            <w:pPr>
              <w:pStyle w:val="706"/>
              <w:ind w:firstLine="202"/>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基本要求</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center"/>
            <w:textDirection w:val="lrTb"/>
            <w:noWrap w:val="false"/>
          </w:tcPr>
          <w:p>
            <w:pPr>
              <w:pStyle w:val="706"/>
              <w:numPr>
                <w:ilvl w:val="0"/>
                <w:numId w:val="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建立保洁服务的工作制度及工作计划，并按照执行。</w:t>
            </w:r>
            <w:r>
              <w:rPr>
                <w:rFonts w:hint="eastAsia" w:ascii="宋体" w:hAnsi="宋体" w:cs="宋体"/>
                <w:color w:val="000000"/>
                <w:sz w:val="24"/>
                <w:szCs w:val="24"/>
                <w:highlight w:val="none"/>
              </w:rPr>
            </w:r>
            <w:r/>
          </w:p>
          <w:p>
            <w:pPr>
              <w:pStyle w:val="706"/>
              <w:numPr>
                <w:ilvl w:val="0"/>
                <w:numId w:val="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做好保洁服务工作记录，记录填写规范、保存完好。</w:t>
            </w:r>
            <w:r>
              <w:rPr>
                <w:rFonts w:hint="eastAsia" w:ascii="宋体" w:hAnsi="宋体" w:cs="宋体"/>
                <w:color w:val="000000"/>
                <w:sz w:val="24"/>
                <w:szCs w:val="24"/>
                <w:highlight w:val="none"/>
              </w:rPr>
            </w:r>
            <w:r/>
          </w:p>
          <w:p>
            <w:pPr>
              <w:pStyle w:val="706"/>
              <w:numPr>
                <w:ilvl w:val="0"/>
                <w:numId w:val="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作业时采取安全防护措施，防止对作业人员或他人造成伤害。相关耗材的环保、安全性等应当</w:t>
            </w:r>
            <w:r>
              <w:rPr>
                <w:rFonts w:hint="eastAsia" w:ascii="宋体" w:hAnsi="宋体" w:cs="宋体"/>
                <w:color w:val="000000"/>
                <w:sz w:val="24"/>
                <w:szCs w:val="24"/>
                <w:highlight w:val="none"/>
                <w:lang w:eastAsia="zh-CN"/>
              </w:rPr>
              <w:t xml:space="preserve">符合国家</w:t>
            </w:r>
            <w:r>
              <w:rPr>
                <w:rFonts w:hint="eastAsia" w:ascii="宋体" w:hAnsi="宋体" w:cs="宋体"/>
                <w:color w:val="000000"/>
                <w:sz w:val="24"/>
                <w:szCs w:val="24"/>
                <w:highlight w:val="none"/>
              </w:rPr>
              <w:t xml:space="preserve">相关规定要求。</w:t>
            </w:r>
            <w:r>
              <w:rPr>
                <w:rFonts w:hint="eastAsia" w:ascii="宋体" w:hAnsi="宋体" w:cs="宋体"/>
                <w:color w:val="000000"/>
                <w:sz w:val="24"/>
                <w:szCs w:val="24"/>
                <w:highlight w:val="none"/>
              </w:rPr>
            </w:r>
            <w:r/>
          </w:p>
          <w:p>
            <w:pPr>
              <w:pStyle w:val="706"/>
              <w:numPr>
                <w:ilvl w:val="0"/>
                <w:numId w:val="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进入保密区域时，有采购人相关人员全程在场。</w:t>
            </w:r>
            <w:r>
              <w:rPr>
                <w:rFonts w:hint="eastAsia" w:ascii="宋体" w:hAnsi="宋体" w:cs="宋体"/>
                <w:color w:val="000000"/>
                <w:sz w:val="24"/>
                <w:szCs w:val="24"/>
                <w:highlight w:val="none"/>
              </w:rPr>
            </w:r>
            <w:r/>
          </w:p>
        </w:tc>
      </w:tr>
      <w:tr>
        <w:trPr>
          <w:trHeight w:val="1767"/>
        </w:trPr>
        <w:tc>
          <w:tcPr>
            <w:tcW w:w="1191" w:type="dxa"/>
            <w:vAlign w:val="center"/>
            <w:textDirection w:val="lrTb"/>
            <w:noWrap w:val="false"/>
          </w:tcPr>
          <w:p>
            <w:pPr>
              <w:pStyle w:val="706"/>
              <w:ind w:firstLine="202"/>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办公用房区域保洁</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（1）大厅、楼内公共通道：</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①公共通道保持干净，无异味、无杂物、无积水，每日至少开展 1 次清洁作业。</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②门窗玻璃干净无尘，透光性好，每周至少开展 1 次清洁作业。</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③指示牌干净，无污渍，每日至少开展 1 次清洁作业。</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（2）电器、消防等设施设备：</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①配电箱、设备机房、会议室音视频设备、消防栓及开关插座等保持表面干净，无尘无污迹，每月至少 开展 1 次清洁作业。</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②监控摄像头、门禁系统等表面光亮，无尘、无斑点，每月至少开展 1 次清洁作业。</w:t>
            </w:r>
            <w:r>
              <w:rPr>
                <w:rFonts w:hint="eastAsia" w:ascii="宋体" w:hAnsi="宋体" w:cs="宋体"/>
                <w:color w:val="000000"/>
                <w:sz w:val="24"/>
                <w:szCs w:val="24"/>
                <w:highlight w:val="none"/>
              </w:rPr>
            </w:r>
            <w:r/>
          </w:p>
          <w:p>
            <w:pPr>
              <w:pStyle w:val="706"/>
              <w:numPr>
                <w:ilvl w:val="0"/>
                <w:numId w:val="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楼梯及楼梯间保持干净、无异味、无杂物、无积水，每日至少开展 1 次清洁作业。</w:t>
            </w:r>
            <w:r>
              <w:rPr>
                <w:rFonts w:hint="eastAsia" w:ascii="宋体" w:hAnsi="宋体" w:cs="宋体"/>
                <w:color w:val="000000"/>
                <w:sz w:val="24"/>
                <w:szCs w:val="24"/>
                <w:highlight w:val="none"/>
              </w:rPr>
            </w:r>
            <w:r/>
          </w:p>
          <w:p>
            <w:pPr>
              <w:pStyle w:val="706"/>
              <w:numPr>
                <w:ilvl w:val="0"/>
                <w:numId w:val="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开水间保持干净、无异味、无杂物、无积水，每日至少开展 1 次清洁作业。</w:t>
            </w:r>
            <w:r>
              <w:rPr>
                <w:rFonts w:hint="eastAsia" w:ascii="宋体" w:hAnsi="宋体" w:cs="宋体"/>
                <w:color w:val="000000"/>
                <w:sz w:val="24"/>
                <w:szCs w:val="24"/>
                <w:highlight w:val="none"/>
              </w:rPr>
            </w:r>
            <w:r/>
          </w:p>
          <w:p>
            <w:pPr>
              <w:pStyle w:val="706"/>
              <w:numPr>
                <w:ilvl w:val="0"/>
                <w:numId w:val="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作业工具间：</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①保持干净，无异味、无杂物、无积水，每日至少开展 1 次清洁作业。</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②作业工具摆放整齐有序，表面干净无渍，每日消毒。</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（6）公共卫生间：</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①保持干净，无异味，垃圾无溢出，每日至少开展 1 次清洁作业。</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②及时补充厕纸等必要用品。</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（7）电梯轿厢：</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①保持干净，无污渍、无粘贴物、无异味，每日至少开展 1 次清洁作业。</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②灯具、操作指示板明亮。</w:t>
            </w:r>
            <w:r>
              <w:rPr>
                <w:rFonts w:hint="eastAsia" w:ascii="宋体" w:hAnsi="宋体" w:cs="宋体"/>
                <w:color w:val="000000"/>
                <w:sz w:val="24"/>
                <w:szCs w:val="24"/>
                <w:highlight w:val="none"/>
              </w:rPr>
            </w:r>
            <w:r/>
          </w:p>
          <w:p>
            <w:pPr>
              <w:pStyle w:val="706"/>
              <w:numPr>
                <w:ilvl w:val="0"/>
                <w:numId w:val="9"/>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平台、屋顶、天沟保持干净，有杂物及时清扫，每月至少开展 1 次清洁作业。</w:t>
            </w:r>
            <w:r>
              <w:rPr>
                <w:rFonts w:hint="eastAsia" w:ascii="宋体" w:hAnsi="宋体" w:cs="宋体"/>
                <w:color w:val="000000"/>
                <w:sz w:val="24"/>
                <w:szCs w:val="24"/>
                <w:highlight w:val="none"/>
              </w:rPr>
            </w:r>
            <w:r/>
          </w:p>
          <w:p>
            <w:pPr>
              <w:pStyle w:val="706"/>
              <w:numPr>
                <w:ilvl w:val="0"/>
                <w:numId w:val="9"/>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石材地面、内墙做好养护工作，每季度开展 1 次清洁作业。</w:t>
            </w:r>
            <w:r>
              <w:rPr>
                <w:rFonts w:hint="eastAsia" w:ascii="宋体" w:hAnsi="宋体" w:cs="宋体"/>
                <w:color w:val="000000"/>
                <w:sz w:val="24"/>
                <w:szCs w:val="24"/>
                <w:highlight w:val="none"/>
              </w:rPr>
            </w:r>
            <w:r/>
          </w:p>
          <w:p>
            <w:pPr>
              <w:pStyle w:val="706"/>
              <w:numPr>
                <w:ilvl w:val="0"/>
                <w:numId w:val="9"/>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地毯干净、无油渍、无污渍、无褪色，每月至少开展 1 次清洁作业。</w:t>
            </w:r>
            <w:r>
              <w:rPr>
                <w:rFonts w:hint="eastAsia" w:ascii="宋体" w:hAnsi="宋体" w:cs="宋体"/>
                <w:color w:val="000000"/>
                <w:sz w:val="24"/>
                <w:szCs w:val="24"/>
                <w:highlight w:val="none"/>
              </w:rPr>
            </w:r>
            <w:r/>
          </w:p>
        </w:tc>
      </w:tr>
      <w:tr>
        <w:trPr>
          <w:trHeight w:val="1767"/>
        </w:trPr>
        <w:tc>
          <w:tcPr>
            <w:tcW w:w="1191" w:type="dxa"/>
            <w:vAlign w:val="center"/>
            <w:textDirection w:val="lrTb"/>
            <w:noWrap w:val="false"/>
          </w:tcPr>
          <w:p>
            <w:pPr>
              <w:pStyle w:val="706"/>
              <w:ind w:firstLine="202"/>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公共场地区域保洁</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center"/>
            <w:textDirection w:val="lrTb"/>
            <w:noWrap w:val="false"/>
          </w:tcPr>
          <w:p>
            <w:pPr>
              <w:pStyle w:val="706"/>
              <w:numPr>
                <w:ilvl w:val="0"/>
                <w:numId w:val="1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每日清扫道路地面、停车场等公共区域 2 次，保持干净、无杂物、无积水。</w:t>
            </w:r>
            <w:r>
              <w:rPr>
                <w:rFonts w:hint="eastAsia" w:ascii="宋体" w:hAnsi="宋体" w:cs="宋体"/>
                <w:color w:val="000000"/>
                <w:sz w:val="24"/>
                <w:szCs w:val="24"/>
                <w:highlight w:val="none"/>
              </w:rPr>
            </w:r>
            <w:r/>
          </w:p>
          <w:p>
            <w:pPr>
              <w:pStyle w:val="706"/>
              <w:numPr>
                <w:ilvl w:val="0"/>
                <w:numId w:val="1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雪、冰冻等恶劣天气时及时清扫积水、积雪，并采取安全防护措施。</w:t>
            </w:r>
            <w:r>
              <w:rPr>
                <w:rFonts w:hint="eastAsia" w:ascii="宋体" w:hAnsi="宋体" w:cs="宋体"/>
                <w:color w:val="000000"/>
                <w:sz w:val="24"/>
                <w:szCs w:val="24"/>
                <w:highlight w:val="none"/>
              </w:rPr>
            </w:r>
            <w:r/>
          </w:p>
          <w:p>
            <w:pPr>
              <w:pStyle w:val="706"/>
              <w:numPr>
                <w:ilvl w:val="0"/>
                <w:numId w:val="1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各种路标、宣传栏等保持干净，每月至少开展 1 次清洁作业。</w:t>
            </w:r>
            <w:r>
              <w:rPr>
                <w:rFonts w:hint="eastAsia" w:ascii="宋体" w:hAnsi="宋体" w:cs="宋体"/>
                <w:color w:val="000000"/>
                <w:sz w:val="24"/>
                <w:szCs w:val="24"/>
                <w:highlight w:val="none"/>
              </w:rPr>
            </w:r>
            <w:r/>
          </w:p>
          <w:p>
            <w:pPr>
              <w:pStyle w:val="706"/>
              <w:numPr>
                <w:ilvl w:val="0"/>
                <w:numId w:val="1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清洁室外照明设备，每月至少开展 1 次清洁作业。</w:t>
            </w:r>
            <w:r>
              <w:rPr>
                <w:rFonts w:hint="eastAsia" w:ascii="宋体" w:hAnsi="宋体" w:cs="宋体"/>
                <w:color w:val="000000"/>
                <w:sz w:val="24"/>
                <w:szCs w:val="24"/>
                <w:highlight w:val="none"/>
              </w:rPr>
            </w:r>
            <w:r/>
          </w:p>
          <w:p>
            <w:pPr>
              <w:pStyle w:val="706"/>
              <w:numPr>
                <w:ilvl w:val="0"/>
                <w:numId w:val="1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绿地内无杂物、无改变用途和破坏、践踏、占用现象，每天至少开展 1 次巡查。</w:t>
            </w:r>
            <w:r>
              <w:rPr>
                <w:rFonts w:hint="eastAsia" w:ascii="宋体" w:hAnsi="宋体" w:cs="宋体"/>
                <w:color w:val="000000"/>
                <w:sz w:val="24"/>
                <w:szCs w:val="24"/>
                <w:highlight w:val="none"/>
              </w:rPr>
            </w:r>
            <w:r/>
          </w:p>
          <w:p>
            <w:pPr>
              <w:pStyle w:val="706"/>
              <w:numPr>
                <w:ilvl w:val="0"/>
                <w:numId w:val="1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办公区外立面定期清洗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2米以上外窗玻璃擦拭，每年至少开展 1 次清洗。</w:t>
            </w:r>
            <w:r>
              <w:rPr>
                <w:rFonts w:hint="eastAsia" w:ascii="宋体" w:hAnsi="宋体" w:cs="宋体"/>
                <w:color w:val="000000"/>
                <w:sz w:val="24"/>
                <w:szCs w:val="24"/>
                <w:highlight w:val="none"/>
              </w:rPr>
            </w:r>
            <w:r/>
          </w:p>
        </w:tc>
      </w:tr>
      <w:tr>
        <w:trPr>
          <w:trHeight w:val="1767"/>
        </w:trPr>
        <w:tc>
          <w:tcPr>
            <w:tcW w:w="1191" w:type="dxa"/>
            <w:vAlign w:val="center"/>
            <w:textDirection w:val="lrTb"/>
            <w:noWrap w:val="false"/>
          </w:tcPr>
          <w:p>
            <w:pPr>
              <w:pStyle w:val="706"/>
              <w:ind w:firstLine="202"/>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垃圾处理</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center"/>
            <w:textDirection w:val="lrTb"/>
            <w:noWrap w:val="false"/>
          </w:tcPr>
          <w:p>
            <w:pPr>
              <w:pStyle w:val="706"/>
              <w:numPr>
                <w:ilvl w:val="0"/>
                <w:numId w:val="1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在指定位置摆放分类垃圾桶，并在显著处张贴垃圾分类标识。分类垃圾桶和垃圾分类标识根据</w:t>
            </w:r>
            <w:r>
              <w:rPr>
                <w:rFonts w:hint="eastAsia" w:ascii="宋体" w:hAnsi="宋体" w:cs="宋体"/>
                <w:color w:val="000000"/>
                <w:sz w:val="24"/>
                <w:szCs w:val="24"/>
                <w:highlight w:val="none"/>
                <w:lang w:eastAsia="zh-CN"/>
              </w:rPr>
              <w:t xml:space="preserve">所在城市</w:t>
            </w:r>
            <w:r>
              <w:rPr>
                <w:rFonts w:hint="eastAsia" w:ascii="宋体" w:hAnsi="宋体" w:cs="宋体"/>
                <w:color w:val="000000"/>
                <w:sz w:val="24"/>
                <w:szCs w:val="24"/>
                <w:highlight w:val="none"/>
              </w:rPr>
              <w:t xml:space="preserve">的要求设置。</w:t>
            </w:r>
            <w:r>
              <w:rPr>
                <w:rFonts w:hint="eastAsia" w:ascii="宋体" w:hAnsi="宋体" w:cs="宋体"/>
                <w:color w:val="000000"/>
                <w:sz w:val="24"/>
                <w:szCs w:val="24"/>
                <w:highlight w:val="none"/>
              </w:rPr>
            </w:r>
            <w:r/>
          </w:p>
          <w:p>
            <w:pPr>
              <w:pStyle w:val="706"/>
              <w:numPr>
                <w:ilvl w:val="0"/>
                <w:numId w:val="1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桶身表面干净无污渍，每日</w:t>
            </w:r>
            <w:r>
              <w:rPr>
                <w:rFonts w:hint="eastAsia" w:ascii="宋体" w:hAnsi="宋体" w:cs="宋体"/>
                <w:color w:val="000000"/>
                <w:sz w:val="24"/>
                <w:szCs w:val="24"/>
                <w:highlight w:val="none"/>
                <w:lang w:eastAsia="zh-CN"/>
              </w:rPr>
              <w:t xml:space="preserve">至少开展</w:t>
            </w:r>
            <w:r>
              <w:rPr>
                <w:rFonts w:hint="eastAsia" w:ascii="宋体" w:hAnsi="宋体" w:cs="宋体"/>
                <w:color w:val="000000"/>
                <w:sz w:val="24"/>
                <w:szCs w:val="24"/>
                <w:highlight w:val="none"/>
              </w:rPr>
              <w:t xml:space="preserve"> 1 次清洁作业。</w:t>
            </w:r>
            <w:r>
              <w:rPr>
                <w:rFonts w:hint="eastAsia" w:ascii="宋体" w:hAnsi="宋体" w:cs="宋体"/>
                <w:color w:val="000000"/>
                <w:sz w:val="24"/>
                <w:szCs w:val="24"/>
                <w:highlight w:val="none"/>
              </w:rPr>
            </w:r>
            <w:r/>
          </w:p>
          <w:p>
            <w:pPr>
              <w:pStyle w:val="706"/>
              <w:numPr>
                <w:ilvl w:val="0"/>
                <w:numId w:val="1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垃圾中转房保持整洁，无明显异味，每日至少开展 1 次清洁作业。</w:t>
            </w:r>
            <w:r>
              <w:rPr>
                <w:rFonts w:hint="eastAsia" w:ascii="宋体" w:hAnsi="宋体" w:cs="宋体"/>
                <w:color w:val="000000"/>
                <w:sz w:val="24"/>
                <w:szCs w:val="24"/>
                <w:highlight w:val="none"/>
              </w:rPr>
            </w:r>
            <w:r/>
          </w:p>
          <w:p>
            <w:pPr>
              <w:pStyle w:val="706"/>
              <w:numPr>
                <w:ilvl w:val="0"/>
                <w:numId w:val="1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化粪池清掏，无明显异味，每半年至少开展 1 次清洁作业。</w:t>
            </w:r>
            <w:r>
              <w:rPr>
                <w:rFonts w:hint="eastAsia" w:ascii="宋体" w:hAnsi="宋体" w:cs="宋体"/>
                <w:color w:val="000000"/>
                <w:sz w:val="24"/>
                <w:szCs w:val="24"/>
                <w:highlight w:val="none"/>
              </w:rPr>
            </w:r>
            <w:r/>
          </w:p>
          <w:p>
            <w:pPr>
              <w:pStyle w:val="706"/>
              <w:numPr>
                <w:ilvl w:val="0"/>
                <w:numId w:val="1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每个工作日内要对楼层产生的垃圾进行清理分类，并运至垃圾集中堆放点。</w:t>
            </w:r>
            <w:r>
              <w:rPr>
                <w:rFonts w:hint="eastAsia" w:ascii="宋体" w:hAnsi="宋体" w:cs="宋体"/>
                <w:color w:val="000000"/>
                <w:sz w:val="24"/>
                <w:szCs w:val="24"/>
                <w:highlight w:val="none"/>
              </w:rPr>
            </w:r>
            <w:r/>
          </w:p>
          <w:p>
            <w:pPr>
              <w:pStyle w:val="706"/>
              <w:numPr>
                <w:ilvl w:val="0"/>
                <w:numId w:val="1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垃圾装袋，日产日清。</w:t>
            </w:r>
            <w:r>
              <w:rPr>
                <w:rFonts w:hint="eastAsia" w:ascii="宋体" w:hAnsi="宋体" w:cs="宋体"/>
                <w:color w:val="000000"/>
                <w:sz w:val="24"/>
                <w:szCs w:val="24"/>
                <w:highlight w:val="none"/>
              </w:rPr>
            </w:r>
            <w:r/>
          </w:p>
          <w:p>
            <w:pPr>
              <w:pStyle w:val="706"/>
              <w:numPr>
                <w:ilvl w:val="0"/>
                <w:numId w:val="1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建立垃圾清运台账，交由规范的渠道回收处理。</w:t>
            </w:r>
            <w:r>
              <w:rPr>
                <w:rFonts w:hint="eastAsia" w:ascii="宋体" w:hAnsi="宋体" w:cs="宋体"/>
                <w:color w:val="000000"/>
                <w:sz w:val="24"/>
                <w:szCs w:val="24"/>
                <w:highlight w:val="none"/>
              </w:rPr>
            </w:r>
            <w:r/>
          </w:p>
          <w:p>
            <w:pPr>
              <w:pStyle w:val="706"/>
              <w:numPr>
                <w:ilvl w:val="0"/>
                <w:numId w:val="1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做好垃圾分类管理的宣传工作，督促并引导全员参与垃圾分类投放。</w:t>
            </w:r>
            <w:r>
              <w:rPr>
                <w:rFonts w:hint="eastAsia" w:ascii="宋体" w:hAnsi="宋体" w:cs="宋体"/>
                <w:color w:val="000000"/>
                <w:sz w:val="24"/>
                <w:szCs w:val="24"/>
                <w:highlight w:val="none"/>
              </w:rPr>
            </w:r>
            <w:r/>
          </w:p>
          <w:p>
            <w:pPr>
              <w:pStyle w:val="706"/>
              <w:numPr>
                <w:ilvl w:val="0"/>
                <w:numId w:val="1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垃圾分类投放管理工作的执行标准，按无锡市相关主管部门的要求执行。</w:t>
            </w:r>
            <w:r>
              <w:rPr>
                <w:rFonts w:hint="eastAsia" w:ascii="宋体" w:hAnsi="宋体" w:cs="宋体"/>
                <w:color w:val="000000"/>
                <w:sz w:val="24"/>
                <w:szCs w:val="24"/>
                <w:highlight w:val="none"/>
              </w:rPr>
            </w:r>
            <w:r/>
          </w:p>
        </w:tc>
      </w:tr>
      <w:tr>
        <w:trPr>
          <w:trHeight w:val="1767"/>
        </w:trPr>
        <w:tc>
          <w:tcPr>
            <w:tcW w:w="1191" w:type="dxa"/>
            <w:vAlign w:val="center"/>
            <w:textDirection w:val="lrTb"/>
            <w:noWrap w:val="false"/>
          </w:tcPr>
          <w:p>
            <w:pPr>
              <w:pStyle w:val="706"/>
              <w:ind w:firstLine="202"/>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卫生消毒</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center"/>
            <w:textDirection w:val="lrTb"/>
            <w:noWrap w:val="false"/>
          </w:tcPr>
          <w:p>
            <w:pPr>
              <w:pStyle w:val="706"/>
              <w:numPr>
                <w:ilvl w:val="0"/>
                <w:numId w:val="12"/>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办公用房区域、公共场所区域和周围环境预防性卫生消毒，消毒后及时通风，每周至少开展 1 次作业。</w:t>
            </w:r>
            <w:r>
              <w:rPr>
                <w:rFonts w:hint="eastAsia" w:ascii="宋体" w:hAnsi="宋体" w:cs="宋体"/>
                <w:color w:val="000000"/>
                <w:sz w:val="24"/>
                <w:szCs w:val="24"/>
                <w:highlight w:val="none"/>
              </w:rPr>
            </w:r>
            <w:r/>
          </w:p>
          <w:p>
            <w:pPr>
              <w:pStyle w:val="706"/>
              <w:numPr>
                <w:ilvl w:val="0"/>
                <w:numId w:val="12"/>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采取综合措施消灭老鼠、蟑螂，控制室内外蚊虫孳生，达到基本无蝇，每季度至少开展 1 次作业。</w:t>
            </w:r>
            <w:r>
              <w:rPr>
                <w:rFonts w:hint="eastAsia" w:ascii="宋体" w:hAnsi="宋体" w:cs="宋体"/>
                <w:color w:val="000000"/>
                <w:sz w:val="24"/>
                <w:szCs w:val="24"/>
                <w:highlight w:val="none"/>
              </w:rPr>
            </w:r>
            <w:r/>
          </w:p>
          <w:p>
            <w:pPr>
              <w:pStyle w:val="706"/>
              <w:numPr>
                <w:ilvl w:val="0"/>
                <w:numId w:val="12"/>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发生公共卫生事件时，邀请专业单位开展消毒、检测等工作。</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gridSpan w:val="2"/>
            <w:tcMar>
              <w:left w:w="108" w:type="dxa"/>
              <w:top w:w="0" w:type="dxa"/>
              <w:right w:w="108" w:type="dxa"/>
              <w:bottom w:w="0" w:type="dxa"/>
            </w:tcMar>
            <w:tcW w:w="816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基本安全保卫</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40"/>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基本要求</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（1）建立保安服务相关制度，并按照</w:t>
            </w:r>
            <w:r>
              <w:rPr>
                <w:rFonts w:hint="eastAsia" w:ascii="宋体" w:hAnsi="宋体" w:cs="宋体"/>
                <w:color w:val="000000"/>
                <w:sz w:val="24"/>
                <w:szCs w:val="24"/>
                <w:highlight w:val="none"/>
                <w:lang w:eastAsia="zh-CN"/>
              </w:rPr>
              <w:t xml:space="preserve">制度执行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（2）对巡查、值守及异常情况等做好相关记录，填写规范，保存完好。</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（3）配备保安服务必要的器材。</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40"/>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出入管理</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（1）办公楼（区）主出入口应当实行 24 小时值班制。</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（2）设置门岗。</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（3）在出入口对外来人员及其携带大件物品、外来车辆进行询问和记录，并与相关部门取得联系， 同意后方可进入。</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（4）大件物品搬出有相关部门开具的证明和清单，经核实后放行。</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（5）排查可疑人员，对于不出示证件、不按规定登记、不听劝阻而强行闯入者，及时劝离，必要时通知公安机关进行处理。</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（6）配合相关部门积极疏导上访人员，有效疏导如出入口人群集聚、车辆拥堵、货物堵塞道路等情况。</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（7）根据物业服务合同约定，对物品进出实行安检、登记、电话确认等分类管理措施。大宗物品</w:t>
            </w:r>
            <w:r>
              <w:rPr>
                <w:rFonts w:hint="eastAsia" w:ascii="宋体" w:hAnsi="宋体" w:cs="宋体"/>
                <w:color w:val="000000"/>
                <w:sz w:val="24"/>
                <w:szCs w:val="24"/>
                <w:highlight w:val="none"/>
                <w:lang w:eastAsia="zh-CN"/>
              </w:rPr>
              <w:t xml:space="preserve">进出</w:t>
            </w:r>
            <w:r>
              <w:rPr>
                <w:rFonts w:hint="eastAsia" w:ascii="宋体" w:hAnsi="宋体" w:cs="宋体"/>
                <w:color w:val="000000"/>
                <w:sz w:val="24"/>
                <w:szCs w:val="24"/>
                <w:highlight w:val="none"/>
              </w:rPr>
              <w:t xml:space="preserve">会同接收单位收件人审检，严防违禁品（包括毒品、军火弹药、管制刀具、易燃易爆品等）、限带品（包括动物、任何未经授权的专业摄影设备、无人机等）进入。</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（8）提供现场接待服务。</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①做好来访人员、车辆进出证件登记，及时通报。</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②严禁无关人员、可疑人员和危险物品进入办公楼（区）内。</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③物品摆放整齐有序、分类放置。</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④现场办理等待时间不超过 5 分钟，等待较长时间应当及时沟通。</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⑤对来访人员咨询、建议、求助等事项，及时处理或答复，处理和答复率 100%。</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⑥接待服务工作时间应当覆盖采购人工作时间。</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⑦与被访人进行核实确认；告知被访人的办公室门牌号；告知访客注意事项（根据实际需要填写注意事项）。</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40"/>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值班巡查</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1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建立 24 小时值班巡查制度。</w:t>
            </w:r>
            <w:r>
              <w:rPr>
                <w:rFonts w:hint="eastAsia" w:ascii="宋体" w:hAnsi="宋体" w:cs="宋体"/>
                <w:color w:val="000000"/>
                <w:sz w:val="24"/>
                <w:szCs w:val="24"/>
                <w:highlight w:val="none"/>
              </w:rPr>
            </w:r>
            <w:r/>
          </w:p>
          <w:p>
            <w:pPr>
              <w:pStyle w:val="706"/>
              <w:numPr>
                <w:ilvl w:val="0"/>
                <w:numId w:val="1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制定巡查路线，按照指定时间和路线执行，加强重点区域、重点部位及装修区域的巡查，设置巡更点，做好巡更记录。</w:t>
            </w:r>
            <w:r>
              <w:rPr>
                <w:rFonts w:hint="eastAsia" w:ascii="宋体" w:hAnsi="宋体" w:cs="宋体"/>
                <w:color w:val="000000"/>
                <w:sz w:val="24"/>
                <w:szCs w:val="24"/>
                <w:highlight w:val="none"/>
              </w:rPr>
            </w:r>
            <w:r/>
          </w:p>
          <w:p>
            <w:pPr>
              <w:pStyle w:val="706"/>
              <w:numPr>
                <w:ilvl w:val="0"/>
                <w:numId w:val="1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巡查期间保持通信设施设备畅通，遇到异常情况立即上报并在现场采取相应措施。</w:t>
            </w:r>
            <w:r>
              <w:rPr>
                <w:rFonts w:hint="eastAsia" w:ascii="宋体" w:hAnsi="宋体" w:cs="宋体"/>
                <w:color w:val="000000"/>
                <w:sz w:val="24"/>
                <w:szCs w:val="24"/>
                <w:highlight w:val="none"/>
              </w:rPr>
            </w:r>
            <w:r/>
          </w:p>
          <w:p>
            <w:pPr>
              <w:pStyle w:val="706"/>
              <w:numPr>
                <w:ilvl w:val="0"/>
                <w:numId w:val="1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收到监控室指令后，巡查人员及时到达指定地点并迅速采取相应措施。</w:t>
            </w:r>
            <w:r>
              <w:rPr>
                <w:rFonts w:hint="eastAsia" w:ascii="宋体" w:hAnsi="宋体" w:cs="宋体"/>
                <w:color w:val="000000"/>
                <w:sz w:val="24"/>
                <w:szCs w:val="24"/>
                <w:highlight w:val="none"/>
              </w:rPr>
            </w:r>
            <w:r/>
          </w:p>
          <w:p>
            <w:pPr>
              <w:pStyle w:val="706"/>
              <w:numPr>
                <w:ilvl w:val="0"/>
                <w:numId w:val="1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处理治安及其他突发事件； </w:t>
            </w:r>
            <w:r>
              <w:rPr>
                <w:rFonts w:hint="eastAsia" w:ascii="宋体" w:hAnsi="宋体" w:cs="宋体"/>
                <w:color w:val="000000"/>
                <w:sz w:val="24"/>
                <w:szCs w:val="24"/>
                <w:highlight w:val="none"/>
              </w:rPr>
            </w:r>
            <w:r/>
          </w:p>
          <w:p>
            <w:pPr>
              <w:pStyle w:val="706"/>
              <w:numPr>
                <w:ilvl w:val="0"/>
                <w:numId w:val="1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节假日、夜间巡逻时，增加巡逻次数，确保治安消防保卫工作不出问题。 </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40"/>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监控值守</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14"/>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监控室环境符合系统设备运行要求，定期进行检查和检测，确保系统功能正常。</w:t>
            </w:r>
            <w:r>
              <w:rPr>
                <w:rFonts w:hint="eastAsia" w:ascii="宋体" w:hAnsi="宋体" w:cs="宋体"/>
                <w:color w:val="000000"/>
                <w:sz w:val="24"/>
                <w:szCs w:val="24"/>
                <w:highlight w:val="none"/>
              </w:rPr>
            </w:r>
            <w:r/>
          </w:p>
          <w:p>
            <w:pPr>
              <w:pStyle w:val="706"/>
              <w:numPr>
                <w:ilvl w:val="0"/>
                <w:numId w:val="14"/>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监控设备 24 小时正常运行，监控室实行专人 24 小时值班制度。</w:t>
            </w:r>
            <w:r>
              <w:rPr>
                <w:rFonts w:hint="eastAsia" w:ascii="宋体" w:hAnsi="宋体" w:cs="宋体"/>
                <w:color w:val="000000"/>
                <w:sz w:val="24"/>
                <w:szCs w:val="24"/>
                <w:highlight w:val="none"/>
              </w:rPr>
            </w:r>
            <w:r/>
          </w:p>
          <w:p>
            <w:pPr>
              <w:pStyle w:val="706"/>
              <w:numPr>
                <w:ilvl w:val="0"/>
                <w:numId w:val="14"/>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监控记录画面清晰，视频监控无死角、无盲区。</w:t>
            </w:r>
            <w:r>
              <w:rPr>
                <w:rFonts w:hint="eastAsia" w:ascii="宋体" w:hAnsi="宋体" w:cs="宋体"/>
                <w:color w:val="000000"/>
                <w:sz w:val="24"/>
                <w:szCs w:val="24"/>
                <w:highlight w:val="none"/>
              </w:rPr>
            </w:r>
            <w:r/>
          </w:p>
          <w:p>
            <w:pPr>
              <w:pStyle w:val="706"/>
              <w:numPr>
                <w:ilvl w:val="0"/>
                <w:numId w:val="14"/>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值班期间遵守操作规程和保密制度，做好监控记录的保存工作。</w:t>
            </w:r>
            <w:r>
              <w:rPr>
                <w:rFonts w:hint="eastAsia" w:ascii="宋体" w:hAnsi="宋体" w:cs="宋体"/>
                <w:color w:val="000000"/>
                <w:sz w:val="24"/>
                <w:szCs w:val="24"/>
                <w:highlight w:val="none"/>
              </w:rPr>
            </w:r>
            <w:r/>
          </w:p>
          <w:p>
            <w:pPr>
              <w:pStyle w:val="706"/>
              <w:numPr>
                <w:ilvl w:val="0"/>
                <w:numId w:val="14"/>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监控记录保持完整，保存时间不应少于 90 天。</w:t>
            </w:r>
            <w:r>
              <w:rPr>
                <w:rFonts w:hint="eastAsia" w:ascii="宋体" w:hAnsi="宋体" w:cs="宋体"/>
                <w:color w:val="000000"/>
                <w:sz w:val="24"/>
                <w:szCs w:val="24"/>
                <w:highlight w:val="none"/>
              </w:rPr>
            </w:r>
            <w:r/>
          </w:p>
          <w:p>
            <w:pPr>
              <w:pStyle w:val="706"/>
              <w:numPr>
                <w:ilvl w:val="0"/>
                <w:numId w:val="14"/>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无关人员进入监控室或查阅监控记录，经授权人批准并做好相关记录。</w:t>
            </w:r>
            <w:r>
              <w:rPr>
                <w:rFonts w:hint="eastAsia" w:ascii="宋体" w:hAnsi="宋体" w:cs="宋体"/>
                <w:color w:val="000000"/>
                <w:sz w:val="24"/>
                <w:szCs w:val="24"/>
                <w:highlight w:val="none"/>
              </w:rPr>
            </w:r>
            <w:r/>
          </w:p>
          <w:p>
            <w:pPr>
              <w:pStyle w:val="706"/>
              <w:numPr>
                <w:ilvl w:val="0"/>
                <w:numId w:val="14"/>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监控室收到火情等报警信号、其他异常情况信号后，及时报警并安排其他安保人员前往现场进行处理。</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40"/>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车辆停放</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15"/>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车辆行驶路线设置合理、规范，导向标志完整、清晰。</w:t>
            </w:r>
            <w:r>
              <w:rPr>
                <w:rFonts w:hint="eastAsia" w:ascii="宋体" w:hAnsi="宋体" w:cs="宋体"/>
                <w:color w:val="000000"/>
                <w:sz w:val="24"/>
                <w:szCs w:val="24"/>
                <w:highlight w:val="none"/>
              </w:rPr>
            </w:r>
            <w:r/>
          </w:p>
          <w:p>
            <w:pPr>
              <w:pStyle w:val="706"/>
              <w:numPr>
                <w:ilvl w:val="0"/>
                <w:numId w:val="15"/>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合理规划车辆停放区域，张贴车辆引导标识，对车辆及停放区域实行规范管理。</w:t>
            </w:r>
            <w:r>
              <w:rPr>
                <w:rFonts w:hint="eastAsia" w:ascii="宋体" w:hAnsi="宋体" w:cs="宋体"/>
                <w:color w:val="000000"/>
                <w:sz w:val="24"/>
                <w:szCs w:val="24"/>
                <w:highlight w:val="none"/>
              </w:rPr>
            </w:r>
            <w:r/>
          </w:p>
          <w:p>
            <w:pPr>
              <w:pStyle w:val="706"/>
              <w:numPr>
                <w:ilvl w:val="0"/>
                <w:numId w:val="15"/>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严禁在办公楼的公用走道、楼梯间、安全出口处等公共区域停放车辆或充电。</w:t>
            </w:r>
            <w:r>
              <w:rPr>
                <w:rFonts w:hint="eastAsia" w:ascii="宋体" w:hAnsi="宋体" w:cs="宋体"/>
                <w:color w:val="000000"/>
                <w:sz w:val="24"/>
                <w:szCs w:val="24"/>
                <w:highlight w:val="none"/>
              </w:rPr>
            </w:r>
            <w:r/>
          </w:p>
          <w:p>
            <w:pPr>
              <w:pStyle w:val="706"/>
              <w:numPr>
                <w:ilvl w:val="0"/>
                <w:numId w:val="15"/>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非机动车定点有序停放。</w:t>
            </w:r>
            <w:r>
              <w:rPr>
                <w:rFonts w:hint="eastAsia" w:ascii="宋体" w:hAnsi="宋体" w:cs="宋体"/>
                <w:color w:val="000000"/>
                <w:sz w:val="24"/>
                <w:szCs w:val="24"/>
                <w:highlight w:val="none"/>
              </w:rPr>
            </w:r>
            <w:r/>
          </w:p>
          <w:p>
            <w:pPr>
              <w:pStyle w:val="706"/>
              <w:numPr>
                <w:ilvl w:val="0"/>
                <w:numId w:val="15"/>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发现车辆异常情况及时通知车主，并做好登记；发生交通事故、自然灾害等意外事故时及时赶 赴现场疏导和协助处理，响应时间不超过 3 分钟。</w:t>
            </w:r>
            <w:r>
              <w:rPr>
                <w:rFonts w:hint="eastAsia" w:ascii="宋体" w:hAnsi="宋体" w:cs="宋体"/>
                <w:color w:val="000000"/>
                <w:sz w:val="24"/>
                <w:szCs w:val="24"/>
                <w:highlight w:val="none"/>
              </w:rPr>
            </w:r>
            <w:r/>
          </w:p>
          <w:p>
            <w:pPr>
              <w:pStyle w:val="706"/>
              <w:numPr>
                <w:ilvl w:val="0"/>
                <w:numId w:val="15"/>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对占用消防通道的车辆进行劝离，保证消防通道道路畅通； </w:t>
            </w:r>
            <w:r>
              <w:rPr>
                <w:rFonts w:hint="eastAsia" w:ascii="宋体" w:hAnsi="宋体" w:cs="宋体"/>
                <w:color w:val="000000"/>
                <w:sz w:val="24"/>
                <w:szCs w:val="24"/>
                <w:highlight w:val="none"/>
              </w:rPr>
            </w:r>
            <w:r/>
          </w:p>
          <w:p>
            <w:pPr>
              <w:pStyle w:val="706"/>
              <w:numPr>
                <w:ilvl w:val="0"/>
                <w:numId w:val="15"/>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车库应保持良好通风，无易燃、易爆等物品存放，并配备相应的消防灭火器； </w:t>
            </w:r>
            <w:r>
              <w:rPr>
                <w:rFonts w:hint="eastAsia" w:ascii="宋体" w:hAnsi="宋体" w:cs="宋体"/>
                <w:color w:val="000000"/>
                <w:sz w:val="24"/>
                <w:szCs w:val="24"/>
                <w:highlight w:val="none"/>
              </w:rPr>
            </w:r>
            <w:r/>
          </w:p>
          <w:p>
            <w:pPr>
              <w:pStyle w:val="706"/>
              <w:numPr>
                <w:ilvl w:val="0"/>
                <w:numId w:val="15"/>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做好早晚高峰期间的车辆指引工作。</w:t>
            </w:r>
            <w:r>
              <w:rPr>
                <w:rFonts w:hint="eastAsia" w:ascii="宋体" w:hAnsi="宋体" w:cs="宋体"/>
                <w:color w:val="000000"/>
                <w:sz w:val="24"/>
                <w:szCs w:val="24"/>
                <w:highlight w:val="none"/>
              </w:rPr>
            </w:r>
            <w:r/>
          </w:p>
        </w:tc>
      </w:tr>
      <w:tr>
        <w:trPr>
          <w:trHeight w:val="1331"/>
        </w:trPr>
        <w:tc>
          <w:tcPr>
            <w:tcW w:w="1191"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应急保障</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建立各类应急预案，并在物业办公室、监控室等处张榜悬挂，及时处理突发事件，定期实行突发事件应急演练； </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当发生台风、暴雨、雪灾等灾害性天气及其他突发事件时，应对设备机房、停车棚、广告牌、电线杆等露天设施进行检查和加固； </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各岗位人员必须按规定实行岗位警戒，根据不同突发事件的现场情况进行应变处理。</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建立各类应急预案，并在物业办公室、监控室等处张榜悬挂，及时处理突发事件，定期实行突发事件应急演练； </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当发生台风、暴雨、雪灾等灾害性天气及其他突发事件时，应对设备机房、停车棚、广告牌、电线杆等露天设施进行检查和加固； </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各岗位人员必须按规定实行岗位警戒，根据不同突发事件的现场情况进行应变处理。</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gridSpan w:val="2"/>
            <w:tcMar>
              <w:left w:w="108" w:type="dxa"/>
              <w:top w:w="0" w:type="dxa"/>
              <w:right w:w="108" w:type="dxa"/>
              <w:bottom w:w="0" w:type="dxa"/>
            </w:tcMar>
            <w:tcW w:w="816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绿化服务</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ind w:firstLine="240"/>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基本要求</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16"/>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制定绿化服务的工作制度及工作计划，并按照执行。</w:t>
            </w:r>
            <w:r>
              <w:rPr>
                <w:rFonts w:hint="eastAsia" w:ascii="宋体" w:hAnsi="宋体" w:cs="宋体"/>
                <w:color w:val="000000"/>
                <w:sz w:val="24"/>
                <w:szCs w:val="24"/>
                <w:highlight w:val="none"/>
              </w:rPr>
            </w:r>
            <w:r/>
          </w:p>
          <w:p>
            <w:pPr>
              <w:pStyle w:val="706"/>
              <w:numPr>
                <w:ilvl w:val="0"/>
                <w:numId w:val="16"/>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做好绿化服务工作记录，填写规范。</w:t>
            </w:r>
            <w:r>
              <w:rPr>
                <w:rFonts w:hint="eastAsia" w:ascii="宋体" w:hAnsi="宋体" w:cs="宋体"/>
                <w:color w:val="000000"/>
                <w:sz w:val="24"/>
                <w:szCs w:val="24"/>
                <w:highlight w:val="none"/>
              </w:rPr>
            </w:r>
            <w:r/>
          </w:p>
          <w:p>
            <w:pPr>
              <w:pStyle w:val="706"/>
              <w:numPr>
                <w:ilvl w:val="0"/>
                <w:numId w:val="16"/>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作业时采取安全防护措施，防止对作业人员或他人造成伤害。</w:t>
            </w:r>
            <w:r>
              <w:rPr>
                <w:rFonts w:hint="eastAsia" w:ascii="宋体" w:hAnsi="宋体" w:cs="宋体"/>
                <w:color w:val="000000"/>
                <w:sz w:val="24"/>
                <w:szCs w:val="24"/>
                <w:highlight w:val="none"/>
              </w:rPr>
            </w:r>
            <w:r/>
          </w:p>
          <w:p>
            <w:pPr>
              <w:pStyle w:val="706"/>
              <w:numPr>
                <w:ilvl w:val="0"/>
                <w:numId w:val="16"/>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相关耗材的环保、安全性应当符合规定要求。</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3.2</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ind w:firstLine="240"/>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室外绿化养护</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1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根据生长环境、植物特性进行除草、灌溉、施肥、整形修剪、防治病虫害等。</w:t>
            </w:r>
            <w:r>
              <w:rPr>
                <w:rFonts w:hint="eastAsia" w:ascii="宋体" w:hAnsi="宋体" w:cs="宋体"/>
                <w:color w:val="000000"/>
                <w:sz w:val="24"/>
                <w:szCs w:val="24"/>
                <w:highlight w:val="none"/>
              </w:rPr>
            </w:r>
            <w:r/>
          </w:p>
          <w:p>
            <w:pPr>
              <w:pStyle w:val="706"/>
              <w:numPr>
                <w:ilvl w:val="0"/>
                <w:numId w:val="1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根据生长情况修剪绿地，绿地内无枯草、无杂物，无干枯坏死和病虫侵害，基本无裸露土地。</w:t>
            </w:r>
            <w:r>
              <w:rPr>
                <w:rFonts w:hint="eastAsia" w:ascii="宋体" w:hAnsi="宋体" w:cs="宋体"/>
                <w:color w:val="000000"/>
                <w:sz w:val="24"/>
                <w:szCs w:val="24"/>
                <w:highlight w:val="none"/>
              </w:rPr>
            </w:r>
            <w:r/>
          </w:p>
          <w:p>
            <w:pPr>
              <w:pStyle w:val="706"/>
              <w:numPr>
                <w:ilvl w:val="0"/>
                <w:numId w:val="1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定期修剪树木、花卉等，灌乔木生长正常、造型美观自然、花枝新鲜，无枯叶、无病虫、无死树缺株。</w:t>
            </w:r>
            <w:r>
              <w:rPr>
                <w:rFonts w:hint="eastAsia" w:ascii="宋体" w:hAnsi="宋体" w:cs="宋体"/>
                <w:color w:val="000000"/>
                <w:sz w:val="24"/>
                <w:szCs w:val="24"/>
                <w:highlight w:val="none"/>
              </w:rPr>
            </w:r>
            <w:r/>
          </w:p>
          <w:p>
            <w:pPr>
              <w:pStyle w:val="706"/>
              <w:numPr>
                <w:ilvl w:val="0"/>
                <w:numId w:val="1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绿篱生长造型正常，颜色正常，修剪及时，基本无死株和干死株，有虫株率在10%以下。</w:t>
            </w:r>
            <w:r>
              <w:rPr>
                <w:rFonts w:hint="eastAsia" w:ascii="宋体" w:hAnsi="宋体" w:cs="宋体"/>
                <w:color w:val="000000"/>
                <w:sz w:val="24"/>
                <w:szCs w:val="24"/>
                <w:highlight w:val="none"/>
              </w:rPr>
            </w:r>
            <w:r/>
          </w:p>
          <w:p>
            <w:pPr>
              <w:pStyle w:val="706"/>
              <w:numPr>
                <w:ilvl w:val="0"/>
                <w:numId w:val="1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清除花坛和花景的花蒂、黄叶、杂草、垃圾，做好病虫害防治。</w:t>
            </w:r>
            <w:r>
              <w:rPr>
                <w:rFonts w:hint="eastAsia" w:ascii="宋体" w:hAnsi="宋体" w:cs="宋体"/>
                <w:color w:val="000000"/>
                <w:sz w:val="24"/>
                <w:szCs w:val="24"/>
                <w:highlight w:val="none"/>
              </w:rPr>
            </w:r>
            <w:r/>
          </w:p>
          <w:p>
            <w:pPr>
              <w:pStyle w:val="706"/>
              <w:numPr>
                <w:ilvl w:val="0"/>
                <w:numId w:val="1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定期清理水池水面</w:t>
            </w:r>
            <w:r>
              <w:rPr>
                <w:rFonts w:hint="eastAsia" w:ascii="宋体" w:hAnsi="宋体" w:cs="宋体"/>
                <w:color w:val="000000"/>
                <w:sz w:val="24"/>
                <w:szCs w:val="24"/>
                <w:highlight w:val="none"/>
              </w:rPr>
              <w:t xml:space="preserve">，无枯枝落叶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水质清洁。</w:t>
            </w:r>
            <w:r>
              <w:rPr>
                <w:rFonts w:hint="eastAsia" w:ascii="宋体" w:hAnsi="宋体" w:cs="宋体"/>
                <w:color w:val="000000"/>
                <w:sz w:val="24"/>
                <w:szCs w:val="24"/>
                <w:highlight w:val="none"/>
              </w:rPr>
            </w:r>
            <w:r/>
          </w:p>
          <w:p>
            <w:pPr>
              <w:pStyle w:val="706"/>
              <w:numPr>
                <w:ilvl w:val="0"/>
                <w:numId w:val="1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根据病虫害发生规律实施综合治理，通常在病虫率高时，</w:t>
            </w:r>
            <w:r>
              <w:rPr>
                <w:rFonts w:hint="eastAsia" w:ascii="宋体" w:hAnsi="宋体" w:cs="宋体"/>
                <w:color w:val="000000"/>
                <w:sz w:val="24"/>
                <w:szCs w:val="24"/>
                <w:highlight w:val="none"/>
                <w:lang w:eastAsia="zh-CN"/>
              </w:rPr>
              <w:t xml:space="preserve">使用</w:t>
            </w:r>
            <w:r>
              <w:rPr>
                <w:rFonts w:hint="eastAsia" w:ascii="宋体" w:hAnsi="宋体" w:cs="宋体"/>
                <w:color w:val="000000"/>
                <w:sz w:val="24"/>
                <w:szCs w:val="24"/>
                <w:highlight w:val="none"/>
              </w:rPr>
              <w:t xml:space="preserve">药剂杀死病虫，以确保植物良好生长。</w:t>
            </w:r>
            <w:r>
              <w:rPr>
                <w:rFonts w:hint="eastAsia" w:ascii="宋体" w:hAnsi="宋体" w:cs="宋体"/>
                <w:color w:val="000000"/>
                <w:sz w:val="24"/>
                <w:szCs w:val="24"/>
                <w:highlight w:val="none"/>
                <w:lang w:eastAsia="zh-CN"/>
              </w:rPr>
              <w:t xml:space="preserve">对产生</w:t>
            </w:r>
            <w:r>
              <w:rPr>
                <w:rFonts w:hint="eastAsia" w:ascii="宋体" w:hAnsi="宋体" w:cs="宋体"/>
                <w:color w:val="000000"/>
                <w:sz w:val="24"/>
                <w:szCs w:val="24"/>
                <w:highlight w:val="none"/>
              </w:rPr>
              <w:t xml:space="preserve">垃圾的主要区域和路段做到日产日清。</w:t>
            </w:r>
            <w:r>
              <w:rPr>
                <w:rFonts w:hint="eastAsia" w:ascii="宋体" w:hAnsi="宋体" w:cs="宋体"/>
                <w:color w:val="000000"/>
                <w:sz w:val="24"/>
                <w:szCs w:val="24"/>
                <w:highlight w:val="none"/>
              </w:rPr>
            </w:r>
            <w:r/>
          </w:p>
          <w:p>
            <w:pPr>
              <w:pStyle w:val="706"/>
              <w:numPr>
                <w:ilvl w:val="0"/>
                <w:numId w:val="1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雨雪、冰冻等恶劣天气来临前，</w:t>
            </w:r>
            <w:r>
              <w:rPr>
                <w:rFonts w:hint="eastAsia" w:ascii="宋体" w:hAnsi="宋体" w:cs="宋体"/>
                <w:color w:val="000000"/>
                <w:sz w:val="24"/>
                <w:szCs w:val="24"/>
                <w:highlight w:val="none"/>
                <w:lang w:eastAsia="zh-CN"/>
              </w:rPr>
              <w:t xml:space="preserve">安排专人</w:t>
            </w:r>
            <w:r>
              <w:rPr>
                <w:rFonts w:hint="eastAsia" w:ascii="宋体" w:hAnsi="宋体" w:cs="宋体"/>
                <w:color w:val="000000"/>
                <w:sz w:val="24"/>
                <w:szCs w:val="24"/>
                <w:highlight w:val="none"/>
              </w:rPr>
              <w:t xml:space="preserve">巡查，对绿植做好预防措施，排除安全隐患。</w:t>
            </w:r>
            <w:r>
              <w:rPr>
                <w:rFonts w:hint="eastAsia" w:ascii="宋体" w:hAnsi="宋体" w:cs="宋体"/>
                <w:color w:val="000000"/>
                <w:sz w:val="24"/>
                <w:szCs w:val="24"/>
                <w:highlight w:val="none"/>
              </w:rPr>
            </w:r>
            <w:r/>
          </w:p>
          <w:p>
            <w:pPr>
              <w:pStyle w:val="706"/>
              <w:numPr>
                <w:ilvl w:val="0"/>
                <w:numId w:val="17"/>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恶劣天气后，及时清除倒树断枝，疏通道路，尽快恢复原状。</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left="118" w:firstLine="240"/>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gridSpan w:val="2"/>
            <w:tcMar>
              <w:left w:w="108" w:type="dxa"/>
              <w:top w:w="0" w:type="dxa"/>
              <w:right w:w="108" w:type="dxa"/>
              <w:bottom w:w="0" w:type="dxa"/>
            </w:tcMar>
            <w:tcW w:w="8163" w:type="dxa"/>
            <w:vAlign w:val="center"/>
            <w:textDirection w:val="lrTb"/>
            <w:noWrap w:val="false"/>
          </w:tcPr>
          <w:p>
            <w:pPr>
              <w:pStyle w:val="706"/>
              <w:ind w:left="118"/>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房屋日常管理与维修养护</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04"/>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4.1</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ind w:left="117" w:right="106" w:hanging="5"/>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主体结构、围护结构、部品部件</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1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每季度至少开展 1 次房屋结构安全巡视，发现外观有变形、开裂等现象，及时建议采购人申请房屋安全鉴定，并采取必要的避险和防护措施。</w:t>
            </w:r>
            <w:r>
              <w:rPr>
                <w:rFonts w:hint="eastAsia" w:ascii="宋体" w:hAnsi="宋体" w:cs="宋体"/>
                <w:color w:val="000000"/>
                <w:sz w:val="24"/>
                <w:szCs w:val="24"/>
                <w:highlight w:val="none"/>
              </w:rPr>
            </w:r>
            <w:r/>
          </w:p>
          <w:p>
            <w:pPr>
              <w:pStyle w:val="706"/>
              <w:numPr>
                <w:ilvl w:val="0"/>
                <w:numId w:val="1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每季度至少开展 1 次外墙贴饰面、幕墙玻璃、雨篷、散水、空调室外机支撑构件等检查，发现破损，及时向采购人报告，按采购人要求出具维修方案，待采购人同意后按维修方案实施维修。</w:t>
            </w:r>
            <w:r>
              <w:rPr>
                <w:rFonts w:hint="eastAsia" w:ascii="宋体" w:hAnsi="宋体" w:cs="宋体"/>
                <w:color w:val="000000"/>
                <w:sz w:val="24"/>
                <w:szCs w:val="24"/>
                <w:highlight w:val="none"/>
              </w:rPr>
            </w:r>
            <w:r/>
          </w:p>
          <w:p>
            <w:pPr>
              <w:pStyle w:val="706"/>
              <w:numPr>
                <w:ilvl w:val="0"/>
                <w:numId w:val="1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每半月至少开展 1 次公用部位的门、窗、楼梯、通风道、室内地面、墙面、吊顶和室外屋面等巡查，发现破损，及时向采购人报告，按采购人要求出具维修方案，待采购人同意后按维修方案实施维修。</w:t>
            </w:r>
            <w:r>
              <w:rPr>
                <w:rFonts w:hint="eastAsia" w:ascii="宋体" w:hAnsi="宋体" w:cs="宋体"/>
                <w:color w:val="000000"/>
                <w:sz w:val="24"/>
                <w:szCs w:val="24"/>
                <w:highlight w:val="none"/>
              </w:rPr>
            </w:r>
            <w:r/>
          </w:p>
          <w:p>
            <w:pPr>
              <w:pStyle w:val="706"/>
              <w:numPr>
                <w:ilvl w:val="0"/>
                <w:numId w:val="1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每年强降雨天气前后、雨雪季节检查屋面防水和雨落管等，发现破损，及时向采购人报告，按采购人要求出具维修方案，待采购人同意后按维修方案实施维修。</w:t>
            </w:r>
            <w:r>
              <w:rPr>
                <w:rFonts w:hint="eastAsia" w:ascii="宋体" w:hAnsi="宋体" w:cs="宋体"/>
                <w:color w:val="000000"/>
                <w:sz w:val="24"/>
                <w:szCs w:val="24"/>
                <w:highlight w:val="none"/>
              </w:rPr>
            </w:r>
            <w:r/>
          </w:p>
          <w:p>
            <w:pPr>
              <w:pStyle w:val="706"/>
              <w:numPr>
                <w:ilvl w:val="0"/>
                <w:numId w:val="1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办公楼外观完好，建筑装饰面无脱落、无破损、无污渍，玻璃幕墙清洁明亮、无破损。</w:t>
            </w:r>
            <w:r>
              <w:rPr>
                <w:rFonts w:hint="eastAsia" w:ascii="宋体" w:hAnsi="宋体" w:cs="宋体"/>
                <w:color w:val="000000"/>
                <w:sz w:val="24"/>
                <w:szCs w:val="24"/>
                <w:highlight w:val="none"/>
              </w:rPr>
            </w:r>
            <w:r/>
          </w:p>
          <w:p>
            <w:pPr>
              <w:pStyle w:val="706"/>
              <w:numPr>
                <w:ilvl w:val="0"/>
                <w:numId w:val="1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确保通道</w:t>
            </w:r>
            <w:r>
              <w:rPr>
                <w:rFonts w:hint="eastAsia" w:ascii="宋体" w:hAnsi="宋体" w:cs="宋体"/>
                <w:color w:val="000000"/>
                <w:sz w:val="24"/>
                <w:szCs w:val="24"/>
                <w:highlight w:val="none"/>
              </w:rPr>
              <w:t xml:space="preserve">、楼梯、门窗等设施的完好和正常使用。</w:t>
            </w:r>
            <w:r>
              <w:rPr>
                <w:rFonts w:hint="eastAsia" w:ascii="宋体" w:hAnsi="宋体" w:cs="宋体"/>
                <w:color w:val="000000"/>
                <w:sz w:val="24"/>
                <w:szCs w:val="24"/>
                <w:highlight w:val="none"/>
              </w:rPr>
            </w:r>
            <w:r/>
          </w:p>
          <w:p>
            <w:pPr>
              <w:pStyle w:val="706"/>
              <w:numPr>
                <w:ilvl w:val="0"/>
                <w:numId w:val="18"/>
              </w:numPr>
              <w:rPr>
                <w:rFonts w:hint="eastAsia" w:ascii="宋体" w:hAnsi="宋体" w:cs="宋体"/>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消防监控系统运行良好，自动和手动报警设施启动正常。</w:t>
            </w:r>
            <w:r>
              <w:rPr>
                <w:rFonts w:hint="eastAsia" w:ascii="宋体" w:hAnsi="宋体" w:cs="宋体"/>
                <w:color w:val="000000"/>
                <w:sz w:val="24"/>
                <w:szCs w:val="24"/>
                <w:highlight w:val="yellow"/>
              </w:rPr>
            </w:r>
            <w:r/>
          </w:p>
          <w:p>
            <w:pPr>
              <w:pStyle w:val="706"/>
              <w:numPr>
                <w:ilvl w:val="0"/>
                <w:numId w:val="1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按规定建立房屋本体及配套设施等的物业管理资料档案，并妥善使用</w:t>
            </w:r>
            <w:r>
              <w:rPr>
                <w:rFonts w:hint="eastAsia" w:ascii="宋体" w:hAnsi="宋体" w:cs="宋体"/>
                <w:color w:val="000000"/>
                <w:sz w:val="24"/>
                <w:szCs w:val="24"/>
                <w:highlight w:val="none"/>
                <w:lang w:eastAsia="zh-CN"/>
              </w:rPr>
              <w:t xml:space="preserve">和</w:t>
            </w:r>
            <w:r>
              <w:rPr>
                <w:rFonts w:hint="eastAsia" w:ascii="宋体" w:hAnsi="宋体" w:cs="宋体"/>
                <w:color w:val="000000"/>
                <w:sz w:val="24"/>
                <w:szCs w:val="24"/>
                <w:highlight w:val="none"/>
              </w:rPr>
              <w:t xml:space="preserve">保管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06"/>
              <w:numPr>
                <w:ilvl w:val="0"/>
                <w:numId w:val="1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建立房屋本体及配套设施维修养护检查制度，检查记录完整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06"/>
              <w:numPr>
                <w:ilvl w:val="0"/>
                <w:numId w:val="18"/>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楼内外无违章乱张贴、乱搭建、乱拉管线等现象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无擅自改变房屋用途行为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（10）完成各项零星维修任务，一般维修任务确保不超过 24 小时，确保零修合格率100%；紧急维修须</w:t>
            </w:r>
            <w:r>
              <w:rPr>
                <w:rFonts w:hint="eastAsia" w:ascii="宋体" w:hAnsi="宋体" w:cs="宋体"/>
                <w:color w:val="000000"/>
                <w:sz w:val="24"/>
                <w:szCs w:val="24"/>
                <w:highlight w:val="none"/>
                <w:lang w:eastAsia="zh-CN"/>
              </w:rPr>
              <w:t xml:space="preserve">在 </w:t>
            </w:r>
            <w:r>
              <w:rPr>
                <w:rFonts w:hint="eastAsia" w:ascii="宋体" w:hAnsi="宋体" w:cs="宋体"/>
                <w:color w:val="000000"/>
                <w:sz w:val="24"/>
                <w:szCs w:val="24"/>
                <w:highlight w:val="none"/>
              </w:rPr>
              <w:t xml:space="preserve">15 分钟内到达现场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706"/>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供应商承担300元以下的单个维修零配件材料费。</w:t>
            </w:r>
            <w:r>
              <w:rPr>
                <w:rFonts w:hint="eastAsia" w:ascii="宋体" w:hAnsi="宋体" w:cs="宋体"/>
                <w:b/>
                <w:bCs/>
                <w:color w:val="000000"/>
                <w:sz w:val="24"/>
                <w:szCs w:val="24"/>
                <w:highlight w:val="none"/>
              </w:rPr>
            </w:r>
            <w:r/>
          </w:p>
        </w:tc>
      </w:tr>
      <w:tr>
        <w:trPr/>
        <w:tc>
          <w:tcPr>
            <w:tcW w:w="1191" w:type="dxa"/>
            <w:vAlign w:val="center"/>
            <w:textDirection w:val="lrTb"/>
            <w:noWrap w:val="false"/>
          </w:tcPr>
          <w:p>
            <w:pPr>
              <w:pStyle w:val="706"/>
              <w:ind w:firstLine="204"/>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gridSpan w:val="2"/>
            <w:tcMar>
              <w:left w:w="108" w:type="dxa"/>
              <w:top w:w="0" w:type="dxa"/>
              <w:right w:w="108" w:type="dxa"/>
              <w:bottom w:w="0" w:type="dxa"/>
            </w:tcMar>
            <w:tcW w:w="8163" w:type="dxa"/>
            <w:vAlign w:val="center"/>
            <w:textDirection w:val="lrTb"/>
            <w:noWrap w:val="false"/>
          </w:tcPr>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给排水系统</w:t>
            </w:r>
            <w:r>
              <w:rPr>
                <w:rFonts w:ascii="宋体" w:hAnsi="宋体" w:cs="宋体"/>
                <w:color w:val="000000"/>
                <w:sz w:val="24"/>
                <w:szCs w:val="24"/>
                <w:highlight w:val="none"/>
              </w:rPr>
              <w:t xml:space="preserve">日常</w:t>
            </w:r>
            <w:r>
              <w:rPr>
                <w:rFonts w:hint="eastAsia" w:ascii="宋体" w:hAnsi="宋体" w:cs="宋体"/>
                <w:color w:val="000000"/>
                <w:sz w:val="24"/>
                <w:szCs w:val="24"/>
                <w:highlight w:val="none"/>
              </w:rPr>
              <w:t xml:space="preserve">维修养</w:t>
            </w:r>
            <w:r>
              <w:rPr>
                <w:rFonts w:ascii="宋体" w:hAnsi="宋体" w:cs="宋体"/>
                <w:color w:val="000000"/>
                <w:sz w:val="24"/>
                <w:szCs w:val="24"/>
                <w:highlight w:val="none"/>
              </w:rPr>
              <w:t xml:space="preserve">护</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04"/>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ind w:left="117"/>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给排水系统管理维护</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生活饮用水卫生符合《生活饮用水卫生标准》（GB5749）的相关要求。</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二次供水卫生符合《二次供水设施卫生规范》（GB17051）的相关要求。</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设施设备、阀门、管道等运行正常，无跑、冒、滴、漏现象。</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有水泵房、水箱间的，每日至少巡视 1 次。每年至少养护 1 次水泵。</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遇供水单位限水、停水，按规定时间通知采购人。</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每季度至少开展 1 次对排水管进行疏通、清污， 保证室内外排水系统通畅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自动喷水灭火系统启动正常。</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自动喷水灭火系统启动正常。</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消火栓箱、防火门、灭火器、消防水泵、红外线报警器、应急照明、安全疏散等系统运行正常。</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熟练掌握消防及其他设备房设备的相关知识，熟练掌握各类设备的内部结构及工作原理，严格遵守操作规程，能快速准确地操作设备。</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值班人员或巡视人员应按要求做好设备运行监测工作，如发现问题，应上报，同时采取有效的、安全的措施迅速排除故障，确保设备安全运行。</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设备器材等硬件损耗由采购人根据实际情况及相关票据进行实报实销。</w:t>
            </w:r>
            <w:r>
              <w:rPr>
                <w:rFonts w:hint="eastAsia" w:ascii="宋体" w:hAnsi="宋体" w:cs="宋体"/>
                <w:color w:val="000000"/>
                <w:sz w:val="24"/>
                <w:szCs w:val="24"/>
                <w:highlight w:val="none"/>
              </w:rPr>
            </w:r>
            <w:r/>
          </w:p>
          <w:p>
            <w:pPr>
              <w:pStyle w:val="706"/>
              <w:numPr>
                <w:ilvl w:val="0"/>
                <w:numId w:val="19"/>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供应商承担300元以下的单个维修零配件材料费。</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04"/>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gridSpan w:val="2"/>
            <w:tcMar>
              <w:left w:w="108" w:type="dxa"/>
              <w:top w:w="0" w:type="dxa"/>
              <w:right w:w="108" w:type="dxa"/>
              <w:bottom w:w="0" w:type="dxa"/>
            </w:tcMar>
            <w:tcW w:w="8163" w:type="dxa"/>
            <w:vAlign w:val="center"/>
            <w:textDirection w:val="lrTb"/>
            <w:noWrap w:val="false"/>
          </w:tcPr>
          <w:p>
            <w:pPr>
              <w:pStyle w:val="706"/>
              <w:tabs>
                <w:tab w:val="left" w:pos="1626" w:leader="none"/>
              </w:tabs>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强弱电系统管理维护</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04"/>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6.1</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ind w:left="117"/>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供配电系统</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2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建立 24 小时运行值班监控制度。</w:t>
            </w:r>
            <w:r>
              <w:rPr>
                <w:rFonts w:hint="eastAsia" w:ascii="宋体" w:hAnsi="宋体" w:cs="宋体"/>
                <w:color w:val="000000"/>
                <w:sz w:val="24"/>
                <w:szCs w:val="24"/>
                <w:highlight w:val="none"/>
              </w:rPr>
            </w:r>
            <w:r/>
          </w:p>
          <w:p>
            <w:pPr>
              <w:pStyle w:val="706"/>
              <w:numPr>
                <w:ilvl w:val="0"/>
                <w:numId w:val="2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对供电范围内的电气设备定期巡视维护，加强高低压配电柜、配电箱、控制柜及线路等重点部位</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rPr>
              <w:t xml:space="preserve">监测。</w:t>
            </w:r>
            <w:r>
              <w:rPr>
                <w:rFonts w:hint="eastAsia" w:ascii="宋体" w:hAnsi="宋体" w:cs="宋体"/>
                <w:color w:val="000000"/>
                <w:sz w:val="24"/>
                <w:szCs w:val="24"/>
                <w:highlight w:val="none"/>
              </w:rPr>
            </w:r>
            <w:r/>
          </w:p>
          <w:p>
            <w:pPr>
              <w:pStyle w:val="706"/>
              <w:numPr>
                <w:ilvl w:val="0"/>
                <w:numId w:val="2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公共使用的照明、指示灯具线路、开关、接地等保持完好，确保用电安全。</w:t>
            </w:r>
            <w:r>
              <w:rPr>
                <w:rFonts w:hint="eastAsia" w:ascii="宋体" w:hAnsi="宋体" w:cs="宋体"/>
                <w:color w:val="000000"/>
                <w:sz w:val="24"/>
                <w:szCs w:val="24"/>
                <w:highlight w:val="none"/>
              </w:rPr>
            </w:r>
            <w:r/>
          </w:p>
          <w:p>
            <w:pPr>
              <w:pStyle w:val="706"/>
              <w:numPr>
                <w:ilvl w:val="0"/>
                <w:numId w:val="2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核心部位用电建立高可控用电保障和配备应急发电设备，定期维护应急发电设备。</w:t>
            </w:r>
            <w:r>
              <w:rPr>
                <w:rFonts w:hint="eastAsia" w:ascii="宋体" w:hAnsi="宋体" w:cs="宋体"/>
                <w:color w:val="000000"/>
                <w:sz w:val="24"/>
                <w:szCs w:val="24"/>
                <w:highlight w:val="none"/>
              </w:rPr>
            </w:r>
            <w:r/>
          </w:p>
          <w:p>
            <w:pPr>
              <w:pStyle w:val="706"/>
              <w:numPr>
                <w:ilvl w:val="0"/>
                <w:numId w:val="2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发生非计划性停电的，应当在事件发生后及时通知采购人，快速恢复或启用应急电源，并做好应急事件上报及处理工作。发现故障或损坏应在 30 分钟内到场，12 小时内维修完毕。</w:t>
            </w:r>
            <w:r>
              <w:rPr>
                <w:rFonts w:hint="eastAsia" w:ascii="宋体" w:hAnsi="宋体" w:cs="宋体"/>
                <w:color w:val="000000"/>
                <w:sz w:val="24"/>
                <w:szCs w:val="24"/>
                <w:highlight w:val="none"/>
              </w:rPr>
            </w:r>
            <w:r/>
          </w:p>
          <w:p>
            <w:pPr>
              <w:pStyle w:val="706"/>
              <w:numPr>
                <w:ilvl w:val="0"/>
                <w:numId w:val="2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设备器材等硬件损耗由采购人根据实际情况及相关票据进行实报实销。</w:t>
            </w:r>
            <w:r>
              <w:rPr>
                <w:rFonts w:hint="eastAsia" w:ascii="宋体" w:hAnsi="宋体" w:cs="宋体"/>
                <w:color w:val="000000"/>
                <w:sz w:val="24"/>
                <w:szCs w:val="24"/>
                <w:highlight w:val="none"/>
              </w:rPr>
            </w:r>
            <w:r/>
          </w:p>
          <w:p>
            <w:pPr>
              <w:pStyle w:val="706"/>
              <w:numPr>
                <w:ilvl w:val="0"/>
                <w:numId w:val="2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保证整个大楼的供电安全。保证正常供电、限电、停电，有明确的审批权限并按规定时间通知用户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706"/>
              <w:numPr>
                <w:ilvl w:val="0"/>
                <w:numId w:val="2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制定临时用电管理措施与停电应急处理措施并严格执行，应急供电系统运行正常；</w:t>
            </w:r>
            <w:r>
              <w:rPr>
                <w:rFonts w:hint="eastAsia" w:ascii="宋体" w:hAnsi="宋体" w:cs="宋体"/>
                <w:color w:val="000000"/>
                <w:sz w:val="24"/>
                <w:szCs w:val="24"/>
                <w:highlight w:val="none"/>
              </w:rPr>
            </w:r>
            <w:r/>
          </w:p>
          <w:p>
            <w:pPr>
              <w:pStyle w:val="706"/>
              <w:numPr>
                <w:ilvl w:val="0"/>
                <w:numId w:val="2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通过有效的管理措施及技术措施，积极开展节能管理工作。</w:t>
            </w:r>
            <w:r>
              <w:rPr>
                <w:rFonts w:hint="eastAsia" w:ascii="宋体" w:hAnsi="宋体" w:cs="宋体"/>
                <w:color w:val="000000"/>
                <w:sz w:val="24"/>
                <w:szCs w:val="24"/>
                <w:highlight w:val="none"/>
              </w:rPr>
            </w:r>
            <w:r/>
          </w:p>
          <w:p>
            <w:pPr>
              <w:pStyle w:val="706"/>
              <w:numPr>
                <w:ilvl w:val="0"/>
                <w:numId w:val="20"/>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发生复杂</w:t>
            </w:r>
            <w:r>
              <w:rPr>
                <w:rFonts w:hint="eastAsia" w:ascii="宋体" w:hAnsi="宋体" w:cs="宋体"/>
                <w:color w:val="000000"/>
                <w:sz w:val="24"/>
                <w:szCs w:val="24"/>
                <w:highlight w:val="none"/>
              </w:rPr>
              <w:t xml:space="preserve">故障涉及供电部门维修处置的及时与供电部门联系，并向采购人报告。</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供应商承担300元以下的单个维修零配件材料费。</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04"/>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6.2</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ind w:left="117"/>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弱电系统</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2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安全防范系统维护保养符合《安全防范系统维护保养规范》（GA/T 1081）的相关要求。</w:t>
            </w:r>
            <w:r>
              <w:rPr>
                <w:rFonts w:hint="eastAsia" w:ascii="宋体" w:hAnsi="宋体" w:cs="宋体"/>
                <w:color w:val="000000"/>
                <w:sz w:val="24"/>
                <w:szCs w:val="24"/>
                <w:highlight w:val="none"/>
              </w:rPr>
            </w:r>
            <w:r/>
          </w:p>
          <w:p>
            <w:pPr>
              <w:pStyle w:val="706"/>
              <w:numPr>
                <w:ilvl w:val="0"/>
                <w:numId w:val="21"/>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保持监控系统、门禁系统、安全防范系统等运行正常，有故障及时排除。</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供应商承担300元以下的单个维修零配件材料费。</w:t>
            </w:r>
            <w:r>
              <w:rPr>
                <w:rFonts w:hint="eastAsia" w:ascii="宋体" w:hAnsi="宋体" w:cs="宋体"/>
                <w:color w:val="000000"/>
                <w:sz w:val="24"/>
                <w:szCs w:val="24"/>
                <w:highlight w:val="none"/>
              </w:rPr>
            </w:r>
            <w:r/>
          </w:p>
        </w:tc>
      </w:tr>
      <w:tr>
        <w:trPr/>
        <w:tc>
          <w:tcPr>
            <w:tcW w:w="1191" w:type="dxa"/>
            <w:vAlign w:val="center"/>
            <w:textDirection w:val="lrTb"/>
            <w:noWrap w:val="false"/>
          </w:tcPr>
          <w:p>
            <w:pPr>
              <w:pStyle w:val="706"/>
              <w:ind w:firstLine="204"/>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ind w:left="117"/>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照明系统</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22"/>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外观整洁无缺损、无松落。</w:t>
            </w:r>
            <w:r>
              <w:rPr>
                <w:rFonts w:hint="eastAsia" w:ascii="宋体" w:hAnsi="宋体" w:cs="宋体"/>
                <w:color w:val="000000"/>
                <w:sz w:val="24"/>
                <w:szCs w:val="24"/>
                <w:highlight w:val="none"/>
              </w:rPr>
            </w:r>
            <w:r/>
          </w:p>
          <w:p>
            <w:pPr>
              <w:pStyle w:val="706"/>
              <w:numPr>
                <w:ilvl w:val="0"/>
                <w:numId w:val="22"/>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更换的照明灯具应当选用节能环保产品，亮度与更换前保持一致。</w:t>
            </w:r>
            <w:r>
              <w:rPr>
                <w:rFonts w:hint="eastAsia" w:ascii="宋体" w:hAnsi="宋体" w:cs="宋体"/>
                <w:color w:val="000000"/>
                <w:sz w:val="24"/>
                <w:szCs w:val="24"/>
                <w:highlight w:val="none"/>
              </w:rPr>
            </w:r>
            <w:r/>
          </w:p>
          <w:p>
            <w:pPr>
              <w:pStyle w:val="706"/>
              <w:numPr>
                <w:ilvl w:val="0"/>
                <w:numId w:val="22"/>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每周至少开展 1 次公共区域照明设备巡视。</w:t>
            </w:r>
            <w:r>
              <w:rPr>
                <w:rFonts w:hint="eastAsia" w:ascii="宋体" w:hAnsi="宋体" w:cs="宋体"/>
                <w:color w:val="000000"/>
                <w:sz w:val="24"/>
                <w:szCs w:val="24"/>
                <w:highlight w:val="none"/>
              </w:rPr>
            </w:r>
            <w:r/>
          </w:p>
          <w:p>
            <w:pPr>
              <w:pStyle w:val="706"/>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供应商承担300元以下的单个维修零配件材料费。</w:t>
            </w:r>
            <w:r>
              <w:rPr>
                <w:rFonts w:hint="eastAsia" w:ascii="宋体" w:hAnsi="宋体" w:cs="宋体"/>
                <w:color w:val="000000"/>
                <w:sz w:val="24"/>
                <w:szCs w:val="24"/>
                <w:highlight w:val="none"/>
              </w:rPr>
            </w:r>
            <w:r/>
          </w:p>
        </w:tc>
      </w:tr>
      <w:tr>
        <w:trPr>
          <w:trHeight w:val="1301"/>
        </w:trPr>
        <w:tc>
          <w:tcPr>
            <w:tcW w:w="1191" w:type="dxa"/>
            <w:vAlign w:val="center"/>
            <w:textDirection w:val="lrTb"/>
            <w:noWrap w:val="false"/>
          </w:tcPr>
          <w:p>
            <w:pPr>
              <w:pStyle w:val="706"/>
              <w:ind w:firstLine="204"/>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Mar>
              <w:left w:w="108" w:type="dxa"/>
              <w:top w:w="0" w:type="dxa"/>
              <w:right w:w="108" w:type="dxa"/>
              <w:bottom w:w="0" w:type="dxa"/>
            </w:tcMar>
            <w:tcW w:w="2267" w:type="dxa"/>
            <w:vAlign w:val="center"/>
            <w:textDirection w:val="lrTb"/>
            <w:noWrap w:val="false"/>
          </w:tcPr>
          <w:p>
            <w:pPr>
              <w:pStyle w:val="706"/>
              <w:ind w:left="11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空调系统管理维护</w:t>
            </w:r>
            <w:r>
              <w:rPr>
                <w:rFonts w:hint="eastAsia" w:ascii="宋体" w:hAnsi="宋体" w:cs="宋体"/>
                <w:color w:val="000000"/>
                <w:sz w:val="24"/>
                <w:szCs w:val="24"/>
                <w:highlight w:val="none"/>
              </w:rPr>
            </w:r>
            <w:r/>
          </w:p>
        </w:tc>
        <w:tc>
          <w:tcPr>
            <w:tcMar>
              <w:left w:w="108" w:type="dxa"/>
              <w:top w:w="0" w:type="dxa"/>
              <w:right w:w="108" w:type="dxa"/>
              <w:bottom w:w="0" w:type="dxa"/>
            </w:tcMar>
            <w:tcW w:w="5896" w:type="dxa"/>
            <w:vAlign w:val="top"/>
            <w:textDirection w:val="lrTb"/>
            <w:noWrap w:val="false"/>
          </w:tcPr>
          <w:p>
            <w:pPr>
              <w:pStyle w:val="706"/>
              <w:numPr>
                <w:ilvl w:val="0"/>
                <w:numId w:val="2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空调通风系统运行管理符合《空调通风系统运行管理标准》（GB50365）的相关要求。</w:t>
            </w:r>
            <w:r>
              <w:rPr>
                <w:rFonts w:hint="eastAsia" w:ascii="宋体" w:hAnsi="宋体" w:cs="宋体"/>
                <w:color w:val="000000"/>
                <w:sz w:val="24"/>
                <w:szCs w:val="24"/>
                <w:highlight w:val="none"/>
              </w:rPr>
            </w:r>
            <w:r/>
          </w:p>
          <w:p>
            <w:pPr>
              <w:pStyle w:val="706"/>
              <w:numPr>
                <w:ilvl w:val="0"/>
                <w:numId w:val="2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办公楼内温湿度、空气质量等符合《室内空气质量标准》（GB/T18883）的相关要求。</w:t>
            </w:r>
            <w:r>
              <w:rPr>
                <w:rFonts w:hint="eastAsia" w:ascii="宋体" w:hAnsi="宋体" w:cs="宋体"/>
                <w:color w:val="000000"/>
                <w:sz w:val="24"/>
                <w:szCs w:val="24"/>
                <w:highlight w:val="none"/>
              </w:rPr>
            </w:r>
            <w:r/>
          </w:p>
          <w:p>
            <w:pPr>
              <w:pStyle w:val="706"/>
              <w:numPr>
                <w:ilvl w:val="0"/>
                <w:numId w:val="2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定期维保并做好记录，保证空调设施设备处于良好状态。</w:t>
            </w:r>
            <w:r>
              <w:rPr>
                <w:rFonts w:hint="eastAsia" w:ascii="宋体" w:hAnsi="宋体" w:cs="宋体"/>
                <w:color w:val="000000"/>
                <w:sz w:val="24"/>
                <w:szCs w:val="24"/>
                <w:highlight w:val="none"/>
              </w:rPr>
            </w:r>
            <w:r/>
          </w:p>
          <w:p>
            <w:pPr>
              <w:pStyle w:val="706"/>
              <w:numPr>
                <w:ilvl w:val="0"/>
                <w:numId w:val="2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中央空调运行前对冷水机组、循环水泵、冷却塔、风机等设施设备进行系统检查，运行期间每日 至少开展 1 次运行情况巡查。</w:t>
            </w:r>
            <w:r>
              <w:rPr>
                <w:rFonts w:hint="eastAsia" w:ascii="宋体" w:hAnsi="宋体" w:cs="宋体"/>
                <w:color w:val="000000"/>
                <w:sz w:val="24"/>
                <w:szCs w:val="24"/>
                <w:highlight w:val="none"/>
              </w:rPr>
            </w:r>
            <w:r/>
          </w:p>
          <w:p>
            <w:pPr>
              <w:pStyle w:val="706"/>
              <w:numPr>
                <w:ilvl w:val="0"/>
                <w:numId w:val="23"/>
              </w:numP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正压送风、防排烟系统运行正常。</w:t>
            </w:r>
            <w:bookmarkEnd w:id="179"/>
            <w:r>
              <w:rPr>
                <w:rFonts w:hint="eastAsia" w:ascii="宋体" w:hAnsi="宋体" w:cs="宋体"/>
                <w:color w:val="000000"/>
                <w:sz w:val="24"/>
                <w:szCs w:val="24"/>
                <w:highlight w:val="none"/>
              </w:rPr>
            </w:r>
            <w:r/>
          </w:p>
        </w:tc>
      </w:tr>
    </w:tbl>
    <w:p>
      <w:pPr>
        <w:pStyle w:val="7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06"/>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ascii="宋体" w:hAnsi="宋体" w:eastAsia="等线" w:cs="宋体"/>
          <w:b/>
          <w:bCs/>
          <w:color w:val="000000"/>
          <w:sz w:val="24"/>
          <w:szCs w:val="24"/>
          <w:highlight w:val="none"/>
        </w:rPr>
        <w:t xml:space="preserve">按照财办库〔2024〕113号关于印发《物业管理服务政府采购需求标准（办公场所类）（试行）》和江苏省地方标准《党政机关办公楼</w:t>
      </w:r>
      <w:r>
        <w:rPr>
          <w:rFonts w:hint="eastAsia" w:ascii="宋体" w:hAnsi="宋体" w:eastAsia="等线" w:cs="宋体"/>
          <w:b/>
          <w:bCs/>
          <w:color w:val="000000"/>
          <w:sz w:val="24"/>
          <w:szCs w:val="24"/>
          <w:highlight w:val="none"/>
        </w:rPr>
        <w:t xml:space="preserve">（</w:t>
      </w:r>
      <w:r>
        <w:rPr>
          <w:rFonts w:ascii="宋体" w:hAnsi="宋体" w:eastAsia="等线" w:cs="宋体"/>
          <w:b/>
          <w:bCs/>
          <w:color w:val="000000"/>
          <w:sz w:val="24"/>
          <w:szCs w:val="24"/>
          <w:highlight w:val="none"/>
        </w:rPr>
        <w:t xml:space="preserve">区</w:t>
      </w:r>
      <w:r>
        <w:rPr>
          <w:rFonts w:hint="eastAsia" w:ascii="宋体" w:hAnsi="宋体" w:eastAsia="等线" w:cs="宋体"/>
          <w:b/>
          <w:bCs/>
          <w:color w:val="000000"/>
          <w:sz w:val="24"/>
          <w:szCs w:val="24"/>
          <w:highlight w:val="none"/>
        </w:rPr>
        <w:t xml:space="preserve">）</w:t>
      </w:r>
      <w:r>
        <w:rPr>
          <w:rFonts w:ascii="宋体" w:hAnsi="宋体" w:eastAsia="等线" w:cs="宋体"/>
          <w:b/>
          <w:bCs/>
          <w:color w:val="000000"/>
          <w:sz w:val="24"/>
          <w:szCs w:val="24"/>
          <w:highlight w:val="none"/>
        </w:rPr>
        <w:t xml:space="preserve">物业管理服务规范》（DB32/T 4307-2022），上表服务标准中如有需补充的内容，第二阶段签订合同时入围供应商和采购人在合同中进行明确。</w:t>
      </w:r>
      <w:r>
        <w:rPr>
          <w:rFonts w:hint="eastAsia" w:ascii="宋体" w:hAnsi="宋体" w:cs="宋体"/>
          <w:b/>
          <w:bCs/>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ascii="宋体" w:hAnsi="宋体" w:eastAsia="等线" w:cs="宋体"/>
          <w:color w:val="000000"/>
          <w:sz w:val="24"/>
          <w:szCs w:val="24"/>
          <w:highlight w:val="none"/>
        </w:rPr>
        <w:t xml:space="preserve">五、</w:t>
      </w:r>
      <w:r>
        <w:rPr>
          <w:rFonts w:hint="eastAsia" w:ascii="宋体" w:hAnsi="宋体" w:cs="宋体"/>
          <w:color w:val="000000"/>
          <w:sz w:val="24"/>
          <w:szCs w:val="24"/>
          <w:highlight w:val="none"/>
        </w:rPr>
        <w:t xml:space="preserve">商务要求</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结算规则</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1.1相关服务活动的取费按发生相关服务活动的区域面积计算，具体如下：</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（1）公共区域保洁服务费：按发生保洁服务活动的区域面积计算，其中取费建筑面积全额计算服务面积，露天场地及地面停车场减半计算服务面积，绿化面积不计入服务面积。</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（2）基本安全保卫服务费：按取费建筑面积计算</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（3）绿化管理维护服务费：按室外绿化面积取费，包括林地、草地及水系面积，不包括室外道路面积</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（4）房屋日常管理与维修养护服务费：按取费建筑面积计算</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（5）给排水系统管理维护服务费：按取费建筑面积计算</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（6）强弱电系统管理维护服务费：按取费建筑面积计算</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（7）空调系统管理维护服务费：按取费建筑面积计算</w:t>
      </w:r>
      <w:r>
        <w:rPr>
          <w:rFonts w:hint="eastAsia" w:ascii="宋体" w:hAnsi="宋体" w:cs="宋体"/>
          <w:color w:val="000000"/>
          <w:sz w:val="24"/>
          <w:szCs w:val="24"/>
          <w:highlight w:val="none"/>
        </w:rPr>
      </w:r>
      <w:r/>
    </w:p>
    <w:p>
      <w:pPr>
        <w:pStyle w:val="823"/>
        <w:numPr>
          <w:ilvl w:val="0"/>
          <w:numId w:val="0"/>
        </w:numPr>
        <w:spacing w:line="360" w:lineRule="auto"/>
        <w:tabs>
          <w:tab w:val="left" w:pos="780" w:leader="none"/>
        </w:tabs>
        <w:rPr>
          <w:color w:val="000000"/>
          <w:highlight w:val="none"/>
        </w:rPr>
      </w:pPr>
      <w:r>
        <w:rPr>
          <w:rFonts w:hint="eastAsia"/>
          <w:color w:val="000000"/>
          <w:highlight w:val="none"/>
        </w:rPr>
        <w:t xml:space="preserve">  </w:t>
      </w:r>
      <w:r>
        <w:rPr>
          <w:rFonts w:hint="eastAsia" w:ascii="宋体" w:hAnsi="宋体" w:cs="宋体"/>
          <w:color w:val="000000"/>
          <w:sz w:val="24"/>
          <w:szCs w:val="24"/>
          <w:highlight w:val="none"/>
        </w:rPr>
        <w:t xml:space="preserve">  备注：取费建筑面积按如下规定计算：办公、业务技术用房全额计算建筑面积;设备间及辅助用房、地下车库折半计算建筑面积; 整栋或整层闲置建筑物的闲置部分、经营性房屋等原则上不计算建筑面积。</w:t>
      </w:r>
      <w:r>
        <w:rPr>
          <w:color w:val="000000"/>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1.2服务内容自主选配</w:t>
      </w:r>
      <w:r>
        <w:rPr>
          <w:rFonts w:hint="eastAsia" w:ascii="宋体" w:hAnsi="宋体" w:cs="宋体"/>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在本次框架协议有效期内，采购单位根据工作需要和采购预算，在本次征集范围内，自主选配物业管理服务种类。</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服务人员配置要求</w:t>
      </w:r>
      <w:r>
        <w:rPr>
          <w:rFonts w:hint="eastAsia" w:ascii="宋体" w:hAnsi="宋体"/>
          <w:bCs/>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第一阶段入围供应商与采购人在第二阶段具体项目合同签订时按照国家相关文件规定及采购人要求提供相应证书，同时其他服务人员相关信息也要向采购人进行备案。如果不能提供，则采购人有权拒绝签订合同。</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（2）所有人员都必须遵守相关保密工作制度。</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（3）人员变动备案：物业服务人员要求相对稳定，特殊情况有变化，需提前告知采购人，并征得采购单位同意后方可实施，人员到位相互对接时间不少于一周，新到人员档案信息及时备案至采购单位。</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 争议解决</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响应单位按照征集文件的要求提交响应文件，并对所提供的全部资料的真实性承担法律责任。</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有下列情形之一的，采购人有权单方解除合同：</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（1）因供应商原因，导致物业管理服务不能满足采购人需求的；</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（2）违反廉政要求的；</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（3）违反保密纪律或回避规定的；</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（4）拒绝接受相关部门指导和监督的；</w:t>
      </w:r>
      <w:r>
        <w:rPr>
          <w:rFonts w:hint="eastAsia" w:ascii="宋体" w:hAnsi="宋体"/>
          <w:color w:val="000000"/>
          <w:sz w:val="24"/>
          <w:szCs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（5）故意拖延，或者拒不履行合同的；</w:t>
      </w:r>
      <w:r>
        <w:rPr>
          <w:rFonts w:hint="eastAsia" w:ascii="宋体" w:hAnsi="宋体"/>
          <w:color w:val="000000"/>
          <w:sz w:val="24"/>
          <w:szCs w:val="24"/>
          <w:highlight w:val="none"/>
        </w:rPr>
      </w:r>
      <w:r/>
    </w:p>
    <w:p>
      <w:pPr>
        <w:pStyle w:val="706"/>
        <w:ind w:firstLine="480"/>
        <w:spacing w:line="360" w:lineRule="auto"/>
        <w:rPr>
          <w:rFonts w:hint="eastAsia" w:ascii="宋体" w:hAnsi="宋体"/>
          <w:b/>
          <w:color w:val="000000"/>
          <w:sz w:val="24"/>
          <w:szCs w:val="24"/>
          <w:highlight w:val="none"/>
        </w:rPr>
      </w:pPr>
      <w:r>
        <w:rPr>
          <w:rFonts w:hint="eastAsia" w:ascii="宋体" w:hAnsi="宋体"/>
          <w:color w:val="000000"/>
          <w:sz w:val="24"/>
          <w:szCs w:val="24"/>
          <w:highlight w:val="none"/>
        </w:rPr>
        <w:t xml:space="preserve">（6）履约过程中，供应商受到刑事处罚或者责令停产停业、吊销许可证。</w:t>
      </w:r>
      <w:r>
        <w:rPr>
          <w:rFonts w:hint="eastAsia" w:ascii="宋体" w:hAnsi="宋体"/>
          <w:b/>
          <w:color w:val="000000"/>
          <w:sz w:val="24"/>
          <w:szCs w:val="24"/>
          <w:highlight w:val="none"/>
        </w:rPr>
      </w:r>
      <w:r/>
    </w:p>
    <w:p>
      <w:pPr>
        <w:pStyle w:val="706"/>
        <w:ind w:firstLine="480"/>
        <w:spacing w:after="5"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4.入围服务要求</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（1）供应商响应的服务的技术、商务等条件不得低于采购需求。</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本项目框架协议期内，在质量不降低、价格不提高的前提下可进行升级替换。如国家出台新的服务标准，供应商需满足新标准的要求。</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（3）入围供应商在框架协议采购系统填报服务信息，执行框架协议，所填报服务信息应与响应文件服务信息一致。</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（4）入围供应商应当信守物业管理服务框架协议采购文件、框架协议、采购合同的各项承诺，无正当理由，不得拒绝履行在响应文件、框架协议、采购合同中承诺的义务。</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入围供应商应当严格执行《中华人民共和国政府采购法》《物业管理条例》《江苏省物业管理条例》等相关政策，按物业管理服务有关规范要求及本次征集活动实施要求做好各项工作。不得向采购人提供虚假信息，不得向采购人提供各种返利、回扣（包括物品、有价证券）等与采购无关的其他商品、服务，不得以政府采购物业管理服务物业管理行业采购供应商的名义进行不正当竞争及从事损害政府采购形象的活动。</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入围供应商按采购人需求和物业管理相关规定提供物业管理服务，按照采购人提出的质量要求与标准认真操作实施，严格遵守采购人的相关规章制度，接受采购人的考核。对采购人提出的服务范围内的意见和建议做到实施和整改。</w:t>
      </w:r>
      <w:r>
        <w:rPr>
          <w:rFonts w:hint="eastAsia" w:ascii="宋体" w:hAnsi="宋体"/>
          <w:bCs/>
          <w:color w:val="000000"/>
          <w:sz w:val="24"/>
          <w:szCs w:val="24"/>
          <w:highlight w:val="none"/>
        </w:rPr>
      </w:r>
      <w:r/>
    </w:p>
    <w:p>
      <w:pPr>
        <w:pStyle w:val="706"/>
        <w:ind w:firstLine="480"/>
        <w:spacing w:after="5"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 框架协议期间的价格确定</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（1）在框架协议期间，入围供应商的响应报价为合同授予阶段最高限价，不得上调。</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框架协议采购应当订立固定价格合同</w:t>
      </w:r>
      <w:r>
        <w:rPr>
          <w:rFonts w:hint="eastAsia" w:ascii="宋体" w:hAnsi="宋体"/>
          <w:bCs/>
          <w:color w:val="000000"/>
          <w:sz w:val="24"/>
          <w:szCs w:val="24"/>
          <w:highlight w:val="none"/>
        </w:rPr>
        <w:t xml:space="preserve">，在履约期间不得变更单价</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（3）在其他优惠条件方面，入围供应商不得对采购人实行差别待遇。零售客户等享受的优惠条件，采购人必须同等享受。</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（4）供应商应按照技术参数要求填报有关信息，在偏离表填报。</w:t>
      </w:r>
      <w:r>
        <w:rPr>
          <w:rFonts w:hint="eastAsia" w:ascii="宋体" w:hAnsi="宋体"/>
          <w:bCs/>
          <w:color w:val="000000"/>
          <w:sz w:val="24"/>
          <w:szCs w:val="24"/>
          <w:highlight w:val="none"/>
        </w:rPr>
      </w:r>
      <w:r/>
    </w:p>
    <w:p>
      <w:pPr>
        <w:pStyle w:val="706"/>
        <w:ind w:firstLine="480"/>
        <w:spacing w:after="5"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 入围供应商商务要求</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（1）保证本次框架协议服务入围价是真实的，可考量的，接受采购人的监督、检查。</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（2）保证所提供的服务符合国家有关质量技术标准及相关法律法规规定的要求。</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（3）保证本项目采购人优先享受各项服务。</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（4）针对本项目成立服务小组，指派专人负责日常管理及联络工作。</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（5）建立采购人投诉及处理台账，记录投诉内容及协调处理方法，有效督促严格履约。</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（6）提供技术服务热线（7*24小时），负责解答采购人遇到的问题。</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（7）服从采购人管理要求，通过江苏省政府采购（苏采云）平台执行本次框架协议采购合同。</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（8）协助有关部门做好廉政工作，防止腐败现象的出现。</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（9）供应商提供的其他服务承诺。</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（10）入围供应商应按照框架协议管理相关规定，主动配合采购人和各级财政部门的管理，按照相关要求实施框架协议采购，并应做好信息维护、履约管理等工作。</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（11）服务时间和地点：授予合同之日起根据合同约定时间和地点开展服务。</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（12）验收：采购人按照采购人考核标准组织验收，符合征集文件和响应文件要求和承诺书承诺方可验收。</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（13）付款方式：</w:t>
      </w:r>
      <w:r>
        <w:rPr>
          <w:rFonts w:hint="eastAsia" w:hAnsi="宋体"/>
          <w:bCs/>
          <w:color w:val="000000"/>
          <w:sz w:val="24"/>
          <w:szCs w:val="24"/>
          <w:highlight w:val="none"/>
        </w:rPr>
        <w:t xml:space="preserve">由采购人和成交供应商自行协商。</w:t>
      </w:r>
      <w:r>
        <w:rPr>
          <w:rFonts w:hint="eastAsia" w:ascii="宋体" w:hAnsi="宋体"/>
          <w:bCs/>
          <w:color w:val="000000"/>
          <w:sz w:val="24"/>
          <w:szCs w:val="24"/>
          <w:highlight w:val="none"/>
        </w:rPr>
      </w:r>
      <w:r/>
    </w:p>
    <w:p>
      <w:pPr>
        <w:pStyle w:val="706"/>
        <w:ind w:firstLine="480"/>
        <w:spacing w:after="5"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 框架协议合同授予</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确定第二阶段成交供应商应当由采购人依据入围服务价格、质量、经营活动中重大违法情况以及服务便利性、用户评价等因素，从第一阶段入围供应商中直接选定。</w:t>
      </w:r>
      <w:r>
        <w:rPr>
          <w:rFonts w:hint="eastAsia" w:ascii="宋体" w:hAnsi="宋体"/>
          <w:bCs/>
          <w:color w:val="000000"/>
          <w:sz w:val="24"/>
          <w:szCs w:val="24"/>
          <w:highlight w:val="none"/>
        </w:rPr>
      </w:r>
      <w:r/>
    </w:p>
    <w:p>
      <w:pPr>
        <w:pStyle w:val="70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注：采购人第二阶段单项合同期限不得超过1年。</w:t>
      </w:r>
      <w:r>
        <w:rPr>
          <w:rFonts w:ascii="宋体" w:hAnsi="宋体"/>
          <w:bCs/>
          <w:color w:val="000000"/>
          <w:sz w:val="24"/>
          <w:szCs w:val="24"/>
          <w:highlight w:val="none"/>
        </w:rPr>
      </w:r>
      <w:r/>
    </w:p>
    <w:p>
      <w:pPr>
        <w:pStyle w:val="706"/>
        <w:ind w:firstLine="480"/>
        <w:spacing w:after="5"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 履约管理要求</w:t>
      </w:r>
      <w:r>
        <w:rPr>
          <w:rFonts w:hint="eastAsia" w:ascii="宋体" w:hAnsi="宋体"/>
          <w:bCs/>
          <w:color w:val="000000"/>
          <w:sz w:val="24"/>
          <w:szCs w:val="24"/>
          <w:highlight w:val="none"/>
        </w:rPr>
      </w:r>
      <w:r/>
    </w:p>
    <w:p>
      <w:pPr>
        <w:pStyle w:val="70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8.1管理形式</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eastAsia="zh-CN"/>
        </w:rPr>
        <w:t xml:space="preserve">无锡市公共资源交易中心梁溪分中心</w:t>
      </w:r>
      <w:r>
        <w:rPr>
          <w:rFonts w:hint="eastAsia" w:ascii="宋体" w:hAnsi="宋体" w:cs="宋体"/>
          <w:bCs/>
          <w:color w:val="000000"/>
          <w:sz w:val="24"/>
          <w:szCs w:val="24"/>
          <w:highlight w:val="none"/>
        </w:rPr>
        <w:t xml:space="preserve">按管理要求通过系统反馈的采购人评价、供应商违规预警提示信息、配合监管部门进行满意度调查、随机抽查等方式，对框架协议入围供应商开展履约及售后服务进行监督。</w:t>
      </w:r>
      <w:r>
        <w:rPr>
          <w:rFonts w:hint="eastAsia" w:ascii="宋体" w:hAnsi="宋体"/>
          <w:bCs/>
          <w:color w:val="000000"/>
          <w:sz w:val="24"/>
          <w:szCs w:val="24"/>
          <w:highlight w:val="none"/>
        </w:rPr>
        <w:t xml:space="preserve">检查和处理结果将在框架协议系统公布。</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8.2管理措施</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（1）约谈</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入围供应商在框架协议采购（二阶段）出现下列情况， </w:t>
      </w:r>
      <w:r>
        <w:rPr>
          <w:rFonts w:hint="eastAsia" w:ascii="宋体" w:hAnsi="宋体" w:cs="宋体"/>
          <w:bCs/>
          <w:color w:val="000000"/>
          <w:sz w:val="24"/>
          <w:szCs w:val="24"/>
          <w:highlight w:val="none"/>
          <w:lang w:eastAsia="zh-CN"/>
        </w:rPr>
        <w:t xml:space="preserve">无锡市公共资源交易中心梁溪分中心</w:t>
      </w:r>
      <w:r>
        <w:rPr>
          <w:rFonts w:hint="eastAsia" w:ascii="宋体" w:hAnsi="宋体" w:cs="宋体"/>
          <w:bCs/>
          <w:color w:val="000000"/>
          <w:sz w:val="24"/>
          <w:szCs w:val="24"/>
          <w:highlight w:val="none"/>
        </w:rPr>
        <w:t xml:space="preserve">将对相应供应商进行约谈：</w:t>
      </w:r>
      <w:r>
        <w:rPr>
          <w:rFonts w:hint="eastAsia" w:ascii="宋体" w:hAnsi="宋体" w:cs="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①入围供应商提供的服务不符合国家有关规定、响应承诺和框架协议规定；</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②无正当理由拒不接受合同授予的；</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③具体项目成交价高于其入围价格或服务承诺；</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④使用不正当竞争手段，影响采购单位正常采购活动；</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⑤满意度调查中采购人反馈不满意，经核实确系供应商责任；</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⑥其他违法违规行为。</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出现上述情况时， </w:t>
      </w:r>
      <w:r>
        <w:rPr>
          <w:rFonts w:hint="eastAsia" w:ascii="宋体" w:hAnsi="宋体" w:cs="宋体"/>
          <w:bCs/>
          <w:color w:val="000000"/>
          <w:sz w:val="24"/>
          <w:szCs w:val="24"/>
          <w:highlight w:val="none"/>
          <w:lang w:eastAsia="zh-CN"/>
        </w:rPr>
        <w:t xml:space="preserve">无锡市公共资源交易中心梁溪分中心</w:t>
      </w:r>
      <w:r>
        <w:rPr>
          <w:rFonts w:hint="eastAsia" w:ascii="宋体" w:hAnsi="宋体" w:cs="宋体"/>
          <w:bCs/>
          <w:color w:val="000000"/>
          <w:sz w:val="24"/>
          <w:szCs w:val="24"/>
          <w:highlight w:val="none"/>
        </w:rPr>
        <w:t xml:space="preserve">将向相关供应商发出</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约谈通知书</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，进行约谈并填写“约谈记录表”。</w:t>
      </w:r>
      <w:r>
        <w:rPr>
          <w:rFonts w:hint="eastAsia" w:ascii="宋体" w:hAnsi="宋体" w:cs="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（2）整改</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①</w:t>
      </w:r>
      <w:r>
        <w:rPr>
          <w:rFonts w:hint="eastAsia" w:ascii="宋体" w:hAnsi="宋体" w:cs="宋体"/>
          <w:bCs/>
          <w:color w:val="000000"/>
          <w:sz w:val="24"/>
          <w:szCs w:val="24"/>
          <w:highlight w:val="none"/>
        </w:rPr>
        <w:t xml:space="preserve">经约谈后，供应商仍存在以上违规行为的，</w:t>
      </w:r>
      <w:r>
        <w:rPr>
          <w:rFonts w:hint="eastAsia" w:ascii="宋体" w:hAnsi="宋体"/>
          <w:bCs/>
          <w:color w:val="000000"/>
          <w:sz w:val="24"/>
          <w:szCs w:val="24"/>
          <w:highlight w:val="none"/>
        </w:rPr>
        <w:t xml:space="preserve">公共资源</w:t>
      </w:r>
      <w:r>
        <w:rPr>
          <w:rFonts w:hint="eastAsia" w:ascii="宋体" w:hAnsi="宋体" w:cs="宋体"/>
          <w:bCs/>
          <w:color w:val="000000"/>
          <w:sz w:val="24"/>
          <w:szCs w:val="24"/>
          <w:highlight w:val="none"/>
        </w:rPr>
        <w:t xml:space="preserve">交易中心开具“责令整改通知书”限定其在规定时间内完成整改（整改期限原则上为7日）。</w:t>
      </w:r>
      <w:r>
        <w:rPr>
          <w:rFonts w:hint="eastAsia" w:ascii="宋体" w:hAnsi="宋体" w:cs="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②根据当期征集文件要求，被开具“责令整改通知书”的供应商，供应商未提出异议或异议不成立，将视作差评，记录在案。</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（3）暂停交易资格</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①</w:t>
      </w:r>
      <w:r>
        <w:rPr>
          <w:rFonts w:hint="eastAsia" w:ascii="宋体" w:hAnsi="宋体" w:cs="宋体"/>
          <w:bCs/>
          <w:color w:val="000000"/>
          <w:sz w:val="24"/>
          <w:szCs w:val="24"/>
          <w:highlight w:val="none"/>
        </w:rPr>
        <w:t xml:space="preserve">对出现下列情形的入围供应商， </w:t>
      </w:r>
      <w:r>
        <w:rPr>
          <w:rFonts w:hint="eastAsia" w:ascii="宋体" w:hAnsi="宋体" w:cs="宋体"/>
          <w:bCs/>
          <w:color w:val="000000"/>
          <w:sz w:val="24"/>
          <w:szCs w:val="24"/>
          <w:highlight w:val="none"/>
          <w:lang w:eastAsia="zh-CN"/>
        </w:rPr>
        <w:t xml:space="preserve">无锡市公共资源交易中心梁溪分中心</w:t>
      </w:r>
      <w:r>
        <w:rPr>
          <w:rFonts w:hint="eastAsia" w:ascii="宋体" w:hAnsi="宋体" w:cs="宋体"/>
          <w:bCs/>
          <w:color w:val="000000"/>
          <w:sz w:val="24"/>
          <w:szCs w:val="24"/>
          <w:highlight w:val="none"/>
        </w:rPr>
        <w:t xml:space="preserve">核实情况后暂停其框架协议交易资格三个月，并在框架协议系统公示：</w:t>
      </w:r>
      <w:r>
        <w:rPr>
          <w:rFonts w:hint="eastAsia" w:ascii="宋体" w:hAnsi="宋体" w:cs="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A.拒不接受公共资源</w:t>
      </w:r>
      <w:r>
        <w:rPr>
          <w:rFonts w:hint="eastAsia" w:ascii="宋体" w:hAnsi="宋体" w:cs="宋体"/>
          <w:bCs/>
          <w:color w:val="000000"/>
          <w:sz w:val="24"/>
          <w:szCs w:val="24"/>
          <w:highlight w:val="none"/>
        </w:rPr>
        <w:t xml:space="preserve">交易中心</w:t>
      </w:r>
      <w:r>
        <w:rPr>
          <w:rFonts w:hint="eastAsia" w:ascii="宋体" w:hAnsi="宋体"/>
          <w:bCs/>
          <w:color w:val="000000"/>
          <w:sz w:val="24"/>
          <w:szCs w:val="24"/>
          <w:highlight w:val="none"/>
        </w:rPr>
        <w:t xml:space="preserve">约谈（通知三次仍无回应）。</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B.未按“责令整改通知书”规定的时间完成整改和上报整改情况的供应商。</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C.整改结束后仍出现类似违法违规行为。</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②</w:t>
      </w:r>
      <w:r>
        <w:rPr>
          <w:rFonts w:ascii="宋体" w:hAnsi="宋体" w:cs="宋体"/>
          <w:bCs/>
          <w:color w:val="000000"/>
          <w:sz w:val="24"/>
          <w:szCs w:val="24"/>
          <w:highlight w:val="none"/>
        </w:rPr>
        <w:t xml:space="preserve">对于暂停其框架协议交易资格期满后，仍出现类似违法违规行为的入围供应商，</w:t>
      </w:r>
      <w:r>
        <w:rPr>
          <w:rFonts w:hint="eastAsia" w:ascii="宋体" w:hAnsi="宋体" w:cs="宋体"/>
          <w:bCs/>
          <w:color w:val="000000"/>
          <w:sz w:val="24"/>
          <w:szCs w:val="24"/>
          <w:highlight w:val="none"/>
          <w:lang w:eastAsia="zh-CN"/>
        </w:rPr>
        <w:t xml:space="preserve">无锡市公共资源交易中心梁溪分中心</w:t>
      </w:r>
      <w:r>
        <w:rPr>
          <w:rFonts w:ascii="宋体" w:hAnsi="宋体" w:cs="宋体"/>
          <w:bCs/>
          <w:color w:val="000000"/>
          <w:sz w:val="24"/>
          <w:szCs w:val="24"/>
          <w:highlight w:val="none"/>
        </w:rPr>
        <w:t xml:space="preserve">核实情况后暂停其框架协议交易资格六个月，并在框架协议系统公示。</w:t>
      </w:r>
      <w:r>
        <w:rPr>
          <w:rFonts w:hint="eastAsia" w:ascii="宋体" w:hAnsi="宋体" w:cs="宋体"/>
          <w:bCs/>
          <w:color w:val="000000"/>
          <w:sz w:val="24"/>
          <w:szCs w:val="24"/>
          <w:highlight w:val="none"/>
        </w:rPr>
      </w:r>
      <w:r/>
    </w:p>
    <w:p>
      <w:pPr>
        <w:pStyle w:val="706"/>
        <w:ind w:firstLine="480"/>
        <w:spacing w:before="60" w:after="60" w:line="360" w:lineRule="auto"/>
        <w:rPr>
          <w:rFonts w:hint="eastAsia" w:ascii="宋体" w:hAnsi="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（4）终止交易资格</w:t>
      </w:r>
      <w:r>
        <w:rPr>
          <w:rFonts w:hint="eastAsia" w:ascii="宋体" w:hAnsi="宋体"/>
          <w:bCs/>
          <w:color w:val="000000"/>
          <w:sz w:val="24"/>
          <w:szCs w:val="24"/>
          <w:highlight w:val="none"/>
        </w:rPr>
      </w:r>
      <w:r/>
    </w:p>
    <w:p>
      <w:pPr>
        <w:pStyle w:val="706"/>
        <w:ind w:firstLine="480"/>
        <w:spacing w:before="60" w:after="60" w:line="360"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入围供应商存在财政部第110号令涉及的情形以及无正当理由放弃封闭式框架协议入围资格或者退出封闭式框架协议的，将取消其入围资格，解除与其签订的框架协议，同时报请市财政部门，列入供应商诚信档案，并依照</w:t>
      </w:r>
      <w:r>
        <w:rPr>
          <w:rFonts w:ascii="宋体" w:hAnsi="宋体" w:cs="宋体"/>
          <w:bCs/>
          <w:color w:val="000000"/>
          <w:sz w:val="24"/>
          <w:szCs w:val="24"/>
          <w:highlight w:val="none"/>
        </w:rPr>
        <w:t xml:space="preserve">相关法律、行政法规</w:t>
      </w:r>
      <w:r>
        <w:rPr>
          <w:rFonts w:hint="eastAsia" w:ascii="宋体" w:hAnsi="宋体" w:cs="宋体"/>
          <w:bCs/>
          <w:color w:val="000000"/>
          <w:sz w:val="24"/>
          <w:szCs w:val="24"/>
          <w:highlight w:val="none"/>
        </w:rPr>
        <w:t xml:space="preserve">追究法律责任。</w:t>
      </w:r>
      <w:r>
        <w:rPr>
          <w:rFonts w:hint="eastAsia" w:ascii="宋体" w:hAnsi="宋体" w:cs="宋体"/>
          <w:bCs/>
          <w:color w:val="000000"/>
          <w:sz w:val="24"/>
          <w:szCs w:val="24"/>
          <w:highlight w:val="none"/>
        </w:rPr>
      </w:r>
      <w:r/>
    </w:p>
    <w:p>
      <w:pPr>
        <w:pStyle w:val="706"/>
        <w:ind w:firstLine="480"/>
        <w:spacing w:before="60" w:after="60" w:line="360"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8.3解决争议的方法</w:t>
      </w:r>
      <w:r>
        <w:rPr>
          <w:rFonts w:hint="eastAsia" w:ascii="宋体" w:hAnsi="宋体" w:cs="宋体"/>
          <w:bCs/>
          <w:color w:val="000000"/>
          <w:sz w:val="24"/>
          <w:szCs w:val="24"/>
          <w:highlight w:val="none"/>
        </w:rPr>
      </w:r>
      <w:r/>
    </w:p>
    <w:p>
      <w:pPr>
        <w:pStyle w:val="706"/>
        <w:ind w:firstLine="480"/>
        <w:spacing w:line="360" w:lineRule="auto"/>
        <w:rPr>
          <w:rFonts w:ascii="宋体" w:hAnsi="宋体"/>
          <w:b/>
          <w:color w:val="000000"/>
          <w:sz w:val="30"/>
          <w:szCs w:val="30"/>
          <w:highlight w:val="none"/>
        </w:rPr>
      </w:pPr>
      <w:r>
        <w:rPr>
          <w:rFonts w:hint="eastAsia" w:ascii="宋体" w:hAnsi="宋体" w:cs="宋体"/>
          <w:bCs/>
          <w:color w:val="000000"/>
          <w:sz w:val="24"/>
          <w:szCs w:val="24"/>
          <w:highlight w:val="none"/>
        </w:rPr>
        <w:t xml:space="preserve">双方在执行合同中所发生的一切争议，应通过协商解决。如协商不成，可向采购人所在地人民法院起诉。</w:t>
      </w: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706"/>
        <w:numPr>
          <w:ilvl w:val="1"/>
          <w:numId w:val="24"/>
        </w:numPr>
        <w:ind w:left="0"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供应商报价时应充分考虑</w:t>
      </w:r>
      <w:r>
        <w:rPr>
          <w:rFonts w:hint="eastAsia" w:ascii="宋体" w:hAnsi="宋体"/>
          <w:bCs/>
          <w:color w:val="000000"/>
          <w:sz w:val="24"/>
          <w:szCs w:val="24"/>
          <w:highlight w:val="none"/>
        </w:rPr>
        <w:t xml:space="preserve">框架协议期内</w:t>
      </w:r>
      <w:r>
        <w:rPr>
          <w:rFonts w:hint="eastAsia" w:ascii="宋体" w:hAnsi="宋体"/>
          <w:color w:val="000000"/>
          <w:sz w:val="24"/>
          <w:szCs w:val="24"/>
          <w:highlight w:val="none"/>
        </w:rPr>
        <w:t xml:space="preserve">所有可能影响到报价的因素，</w:t>
      </w:r>
      <w:r>
        <w:rPr>
          <w:rFonts w:hint="eastAsia" w:ascii="宋体" w:hAnsi="宋体"/>
          <w:bCs/>
          <w:color w:val="000000"/>
          <w:sz w:val="24"/>
          <w:szCs w:val="24"/>
          <w:highlight w:val="none"/>
        </w:rPr>
        <w:t xml:space="preserve">供应商框架协议期内的综合报价应包括满足本项目服务要求的从项目入围起到项目正式交付所发生的一切费用。</w:t>
      </w:r>
      <w:r>
        <w:rPr>
          <w:rFonts w:hint="eastAsia" w:ascii="宋体" w:hAnsi="宋体"/>
          <w:bCs/>
          <w:color w:val="000000"/>
          <w:sz w:val="24"/>
          <w:szCs w:val="24"/>
          <w:highlight w:val="none"/>
        </w:rPr>
      </w:r>
      <w:r/>
    </w:p>
    <w:p>
      <w:pPr>
        <w:pStyle w:val="706"/>
        <w:numPr>
          <w:ilvl w:val="1"/>
          <w:numId w:val="24"/>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供应商必须在满足征集文件要求的基础上进行报价，如有技术偏离请于响应偏离表中说明。</w:t>
      </w:r>
      <w:r>
        <w:rPr>
          <w:rFonts w:ascii="宋体"/>
          <w:bCs/>
          <w:color w:val="000000"/>
          <w:sz w:val="24"/>
          <w:szCs w:val="24"/>
          <w:highlight w:val="none"/>
        </w:rPr>
      </w:r>
      <w:r/>
    </w:p>
    <w:p>
      <w:pPr>
        <w:pStyle w:val="706"/>
        <w:numPr>
          <w:ilvl w:val="1"/>
          <w:numId w:val="24"/>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征集文件、入围供应商的响应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highlight w:val="none"/>
        </w:rPr>
      </w:r>
      <w:r/>
    </w:p>
    <w:p>
      <w:pPr>
        <w:pStyle w:val="706"/>
        <w:numPr>
          <w:ilvl w:val="1"/>
          <w:numId w:val="24"/>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入围供应商为残疾人福利性单位的，其《残疾人福利性单位声明函》将随入围公告同时发布，接受社会监督。入围供应商提供的《残疾人福利性单位声明函》与事实不符的，依照《中华人民共和国政府采购法》第七十七条第一款的规定追究法律责任。</w:t>
      </w:r>
      <w:r>
        <w:rPr>
          <w:rFonts w:hint="eastAsia" w:ascii="宋体"/>
          <w:bCs/>
          <w:color w:val="000000"/>
          <w:sz w:val="24"/>
          <w:szCs w:val="24"/>
          <w:highlight w:val="none"/>
        </w:rPr>
      </w:r>
      <w:r/>
    </w:p>
    <w:p>
      <w:pPr>
        <w:pStyle w:val="706"/>
        <w:numPr>
          <w:ilvl w:val="1"/>
          <w:numId w:val="24"/>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highlight w:val="none"/>
        </w:rPr>
      </w:r>
      <w:r/>
    </w:p>
    <w:p>
      <w:pPr>
        <w:pStyle w:val="706"/>
        <w:numPr>
          <w:ilvl w:val="1"/>
          <w:numId w:val="24"/>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供应商须自行准备设备（包括但不限于笔记本电脑、无线网络）登录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，按规定时间解密，解密后，在评审过程中保持在线，等待评审小组的询问和评审结果，中途不得离开。如未按要求应答，由此所产生的损失及风险由供应商自行承担。</w:t>
      </w:r>
      <w:r>
        <w:rPr>
          <w:rFonts w:ascii="宋体" w:hAnsi="宋体"/>
          <w:bCs/>
          <w:color w:val="000000"/>
          <w:sz w:val="24"/>
          <w:highlight w:val="none"/>
        </w:rPr>
      </w:r>
      <w:r/>
    </w:p>
    <w:p>
      <w:pPr>
        <w:pStyle w:val="706"/>
        <w:ind w:firstLine="480"/>
        <w:spacing w:line="360" w:lineRule="auto"/>
        <w:rPr>
          <w:rFonts w:hint="eastAsia" w:ascii="宋体" w:hAnsi="宋体"/>
          <w:b/>
          <w:bCs/>
          <w:color w:val="000000"/>
          <w:sz w:val="30"/>
          <w:szCs w:val="30"/>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w:t>
      </w:r>
      <w:r>
        <w:rPr>
          <w:rFonts w:hint="eastAsia" w:ascii="宋体" w:hAnsi="宋体"/>
          <w:b/>
          <w:bCs/>
          <w:color w:val="000000"/>
          <w:sz w:val="30"/>
          <w:szCs w:val="30"/>
          <w:highlight w:val="none"/>
        </w:rPr>
      </w:r>
      <w:r/>
    </w:p>
    <w:p>
      <w:pPr>
        <w:pStyle w:val="706"/>
        <w:numPr>
          <w:ilvl w:val="1"/>
          <w:numId w:val="25"/>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如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706"/>
        <w:numPr>
          <w:ilvl w:val="1"/>
          <w:numId w:val="25"/>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highlight w:val="none"/>
        </w:rPr>
      </w:r>
      <w:r/>
    </w:p>
    <w:p>
      <w:pPr>
        <w:pStyle w:val="706"/>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706"/>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706"/>
        <w:numPr>
          <w:ilvl w:val="1"/>
          <w:numId w:val="25"/>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706"/>
        <w:numPr>
          <w:ilvl w:val="1"/>
          <w:numId w:val="25"/>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706"/>
        <w:numPr>
          <w:ilvl w:val="1"/>
          <w:numId w:val="25"/>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706"/>
        <w:numPr>
          <w:ilvl w:val="1"/>
          <w:numId w:val="25"/>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706"/>
        <w:ind w:firstLine="48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706"/>
        <w:numPr>
          <w:ilvl w:val="1"/>
          <w:numId w:val="2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供应商应满足采购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706"/>
        <w:numPr>
          <w:ilvl w:val="1"/>
          <w:numId w:val="2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70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70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706"/>
        <w:numPr>
          <w:ilvl w:val="1"/>
          <w:numId w:val="2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706"/>
        <w:numPr>
          <w:ilvl w:val="1"/>
          <w:numId w:val="2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80" w:name="OLE_LINK2"/>
      <w:r/>
      <w:bookmarkStart w:id="181" w:name="OLE_LINK1"/>
      <w:r>
        <w:rPr>
          <w:rFonts w:hint="eastAsia" w:ascii="宋体"/>
          <w:bCs/>
          <w:color w:val="000000"/>
          <w:sz w:val="24"/>
          <w:szCs w:val="24"/>
          <w:highlight w:val="none"/>
        </w:rPr>
        <w:t xml:space="preserve">《保障中小企业款项支付条例》（中华人民共和国国务院令第802号）</w:t>
      </w:r>
      <w:bookmarkEnd w:id="180"/>
      <w:r/>
      <w:bookmarkEnd w:id="181"/>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70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70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70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70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706"/>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82" w:name="_Toc120614281"/>
      <w:r>
        <w:rPr>
          <w:rFonts w:hint="eastAsia" w:ascii="黑体" w:hAnsi="黑体" w:eastAsia="黑体"/>
          <w:color w:val="000000"/>
          <w:sz w:val="36"/>
          <w:szCs w:val="36"/>
          <w:highlight w:val="none"/>
        </w:rPr>
        <w:t xml:space="preserve">第五章  评审方法与评审标准</w:t>
      </w:r>
      <w:r>
        <w:rPr>
          <w:rFonts w:hint="eastAsia" w:ascii="黑体" w:hAnsi="黑体" w:eastAsia="黑体"/>
          <w:color w:val="000000"/>
          <w:sz w:val="36"/>
          <w:szCs w:val="36"/>
          <w:highlight w:val="none"/>
        </w:rPr>
      </w:r>
      <w:r/>
    </w:p>
    <w:p>
      <w:pPr>
        <w:pStyle w:val="793"/>
        <w:ind w:firstLine="602"/>
        <w:spacing w:before="0" w:after="0" w:line="500" w:lineRule="exact"/>
        <w:rPr>
          <w:rFonts w:hint="eastAsia" w:ascii="宋体" w:hAnsi="宋体" w:cs="Arial"/>
          <w:b/>
          <w:color w:val="000000"/>
          <w:sz w:val="30"/>
          <w:szCs w:val="30"/>
          <w:highlight w:val="none"/>
        </w:rPr>
      </w:pPr>
      <w:r>
        <w:rPr>
          <w:rFonts w:hint="eastAsia" w:ascii="宋体" w:hAnsi="宋体" w:cs="Arial"/>
          <w:b/>
          <w:color w:val="000000"/>
          <w:sz w:val="30"/>
          <w:szCs w:val="30"/>
          <w:highlight w:val="none"/>
        </w:rPr>
        <w:t xml:space="preserve">一、确定入围供应商</w:t>
      </w:r>
      <w:r>
        <w:rPr>
          <w:rFonts w:hint="eastAsia" w:ascii="宋体" w:hAnsi="宋体" w:cs="Arial"/>
          <w:b/>
          <w:color w:val="000000"/>
          <w:sz w:val="30"/>
          <w:szCs w:val="30"/>
          <w:highlight w:val="none"/>
        </w:rPr>
      </w:r>
      <w:r/>
    </w:p>
    <w:p>
      <w:pPr>
        <w:pStyle w:val="793"/>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1.确定第一阶段入围供应商的评审方法</w:t>
      </w:r>
      <w:r>
        <w:rPr>
          <w:rFonts w:hint="eastAsia" w:ascii="宋体" w:hAnsi="宋体" w:cs="Arial"/>
          <w:b/>
          <w:color w:val="000000"/>
          <w:sz w:val="28"/>
          <w:szCs w:val="28"/>
          <w:highlight w:val="none"/>
        </w:rPr>
      </w:r>
      <w:r/>
    </w:p>
    <w:p>
      <w:pPr>
        <w:pStyle w:val="793"/>
        <w:spacing w:before="0" w:after="0" w:line="500" w:lineRule="exact"/>
        <w:rPr>
          <w:rFonts w:hint="eastAsia" w:ascii="宋体" w:hAnsi="宋体" w:cs="Arial"/>
          <w:i/>
          <w:color w:val="000000"/>
          <w:highlight w:val="none"/>
        </w:rPr>
      </w:pPr>
      <w:r>
        <w:rPr>
          <w:rFonts w:hint="eastAsia" w:ascii="宋体" w:hAnsi="宋体" w:cs="Arial"/>
          <w:color w:val="000000"/>
          <w:highlight w:val="none"/>
        </w:rPr>
        <w:t xml:space="preserve">1.1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rPr>
          <w:rFonts w:hint="eastAsia" w:ascii="宋体" w:hAnsi="宋体" w:cs="Arial"/>
          <w:i/>
          <w:color w:val="000000"/>
          <w:highlight w:val="none"/>
        </w:rPr>
      </w:r>
      <w:r/>
    </w:p>
    <w:p>
      <w:pPr>
        <w:pStyle w:val="793"/>
        <w:spacing w:before="0" w:after="0" w:line="500" w:lineRule="exact"/>
        <w:rPr>
          <w:rFonts w:hint="eastAsia" w:ascii="宋体" w:hAnsi="宋体" w:cs="Arial"/>
          <w:color w:val="000000"/>
          <w:highlight w:val="none"/>
        </w:rPr>
      </w:pPr>
      <w:r>
        <w:rPr>
          <w:rFonts w:hint="eastAsia" w:ascii="宋体" w:hAnsi="宋体" w:cs="Arial"/>
          <w:color w:val="000000"/>
          <w:highlight w:val="none"/>
        </w:rPr>
        <w:t xml:space="preserve">1.2关于价格扣除详见本章“落实政府采购政策的价格调整”。</w:t>
      </w:r>
      <w:r>
        <w:rPr>
          <w:rFonts w:hint="eastAsia" w:ascii="宋体" w:hAnsi="宋体" w:cs="Arial"/>
          <w:color w:val="000000"/>
          <w:highlight w:val="none"/>
        </w:rPr>
      </w:r>
      <w:r/>
    </w:p>
    <w:p>
      <w:pPr>
        <w:pStyle w:val="793"/>
        <w:spacing w:before="0" w:after="0" w:line="500" w:lineRule="exact"/>
        <w:rPr>
          <w:rFonts w:hint="eastAsia" w:cs="Arial"/>
          <w:color w:val="000000"/>
          <w:highlight w:val="none"/>
        </w:rPr>
      </w:pPr>
      <w:r>
        <w:rPr>
          <w:rFonts w:hint="eastAsia" w:ascii="宋体" w:hAnsi="宋体" w:cs="Arial"/>
          <w:color w:val="000000"/>
          <w:highlight w:val="none"/>
        </w:rPr>
        <w:t xml:space="preserve">1.3本项目如有采购包（标段、标项）的，评审小组按各采购包（各标段、各标项）分别确定入围供应商的名单和排序。</w:t>
      </w:r>
      <w:r>
        <w:rPr>
          <w:rFonts w:hint="eastAsia" w:cs="Arial"/>
          <w:color w:val="000000"/>
          <w:highlight w:val="none"/>
        </w:rPr>
      </w:r>
      <w:r/>
    </w:p>
    <w:p>
      <w:pPr>
        <w:pStyle w:val="793"/>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2.入围供应商的淘汰率</w:t>
      </w:r>
      <w:r>
        <w:rPr>
          <w:rFonts w:hint="eastAsia" w:ascii="宋体" w:hAnsi="宋体" w:cs="Arial"/>
          <w:b/>
          <w:color w:val="000000"/>
          <w:sz w:val="28"/>
          <w:szCs w:val="28"/>
          <w:highlight w:val="none"/>
        </w:rPr>
      </w:r>
      <w:r/>
    </w:p>
    <w:p>
      <w:pPr>
        <w:pStyle w:val="793"/>
        <w:spacing w:before="0" w:after="0" w:line="500" w:lineRule="exact"/>
        <w:rPr>
          <w:rFonts w:hint="eastAsia" w:cs="Arial"/>
          <w:color w:val="000000"/>
          <w:highlight w:val="none"/>
        </w:rPr>
      </w:pPr>
      <w:r>
        <w:rPr>
          <w:rFonts w:hint="eastAsia" w:ascii="宋体" w:hAnsi="宋体"/>
          <w:bCs/>
          <w:color w:val="000000"/>
          <w:highlight w:val="none"/>
        </w:rPr>
        <w:t xml:space="preserve">2.1提交响应文件和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rPr>
          <w:rFonts w:hint="eastAsia" w:cs="Arial"/>
          <w:color w:val="000000"/>
          <w:highlight w:val="none"/>
        </w:rPr>
      </w:r>
      <w:r/>
    </w:p>
    <w:p>
      <w:pPr>
        <w:pStyle w:val="793"/>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3.入围供应商数量上限</w:t>
      </w:r>
      <w:r>
        <w:rPr>
          <w:rFonts w:hint="eastAsia" w:ascii="宋体" w:hAnsi="宋体" w:cs="Arial"/>
          <w:b/>
          <w:color w:val="000000"/>
          <w:sz w:val="28"/>
          <w:szCs w:val="28"/>
          <w:highlight w:val="none"/>
        </w:rPr>
      </w:r>
      <w:r/>
    </w:p>
    <w:p>
      <w:pPr>
        <w:pStyle w:val="793"/>
        <w:spacing w:before="0" w:after="0" w:line="500" w:lineRule="exact"/>
        <w:rPr>
          <w:rFonts w:hint="eastAsia" w:ascii="宋体" w:hAnsi="宋体" w:cs="Arial"/>
          <w:color w:val="000000"/>
          <w:highlight w:val="none"/>
        </w:rPr>
      </w:pPr>
      <w:r>
        <w:rPr>
          <w:rFonts w:hint="eastAsia" w:ascii="宋体" w:hAnsi="宋体" w:cs="Arial"/>
          <w:color w:val="000000"/>
          <w:highlight w:val="none"/>
        </w:rPr>
        <w:t xml:space="preserve">3.1本项目不设入围供应商数量上限。</w:t>
      </w:r>
      <w:r>
        <w:rPr>
          <w:rFonts w:hint="eastAsia" w:ascii="宋体" w:hAnsi="宋体" w:cs="Arial"/>
          <w:color w:val="000000"/>
          <w:highlight w:val="none"/>
        </w:rPr>
      </w:r>
      <w:r/>
    </w:p>
    <w:p>
      <w:pPr>
        <w:pStyle w:val="793"/>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4.综合计算得数（价格）相同的供应商推荐入围供应商排序规则</w:t>
      </w:r>
      <w:r>
        <w:rPr>
          <w:rFonts w:hint="eastAsia" w:ascii="宋体" w:hAnsi="宋体" w:cs="Arial"/>
          <w:b/>
          <w:color w:val="000000"/>
          <w:sz w:val="28"/>
          <w:szCs w:val="28"/>
          <w:highlight w:val="none"/>
        </w:rPr>
      </w:r>
      <w:r/>
    </w:p>
    <w:p>
      <w:pPr>
        <w:pStyle w:val="793"/>
        <w:spacing w:before="0" w:after="0"/>
        <w:rPr>
          <w:rFonts w:hint="eastAsia" w:ascii="宋体" w:hAnsi="宋体" w:cs="Arial"/>
          <w:color w:val="000000"/>
          <w:highlight w:val="none"/>
        </w:rPr>
      </w:pPr>
      <w:r/>
      <w:bookmarkStart w:id="183" w:name="OLE_LINK3"/>
      <w:r>
        <w:rPr>
          <w:rFonts w:hint="eastAsia" w:ascii="宋体" w:hAnsi="宋体" w:cs="Arial"/>
          <w:color w:val="000000"/>
          <w:highlight w:val="none"/>
        </w:rPr>
        <w:t xml:space="preserve">4.1</w:t>
      </w:r>
      <w:bookmarkEnd w:id="183"/>
      <w:r>
        <w:rPr>
          <w:rFonts w:hint="eastAsia" w:ascii="宋体" w:hAnsi="宋体" w:cs="Arial"/>
          <w:color w:val="000000"/>
          <w:highlight w:val="none"/>
        </w:rPr>
        <w:t xml:space="preserve">供应商响应文件中所报公共区域保洁服务费由低到高进行排序；</w:t>
      </w:r>
      <w:r>
        <w:rPr>
          <w:rFonts w:hint="eastAsia" w:ascii="宋体" w:hAnsi="宋体" w:cs="Arial"/>
          <w:color w:val="000000"/>
          <w:highlight w:val="none"/>
        </w:rPr>
      </w:r>
      <w:r/>
    </w:p>
    <w:p>
      <w:pPr>
        <w:pStyle w:val="793"/>
        <w:spacing w:before="0" w:after="0"/>
        <w:rPr>
          <w:rFonts w:hint="eastAsia" w:ascii="宋体" w:hAnsi="宋体" w:cs="Arial"/>
          <w:color w:val="000000"/>
          <w:highlight w:val="none"/>
        </w:rPr>
      </w:pPr>
      <w:r>
        <w:rPr>
          <w:rFonts w:hint="eastAsia" w:ascii="宋体" w:hAnsi="宋体" w:cs="Arial"/>
          <w:color w:val="000000"/>
          <w:highlight w:val="none"/>
        </w:rPr>
        <w:t xml:space="preserve">4.2供应商响应文件中所报公共区域保洁服务费相同的，按所报基本安全保卫服务费由低到高进行排序；</w:t>
      </w:r>
      <w:r>
        <w:rPr>
          <w:rFonts w:hint="eastAsia" w:ascii="宋体" w:hAnsi="宋体" w:cs="Arial"/>
          <w:color w:val="000000"/>
          <w:highlight w:val="none"/>
        </w:rPr>
      </w:r>
      <w:r/>
    </w:p>
    <w:p>
      <w:pPr>
        <w:pStyle w:val="793"/>
        <w:spacing w:before="0" w:after="0" w:line="500" w:lineRule="exact"/>
        <w:rPr>
          <w:rFonts w:hint="eastAsia" w:ascii="宋体" w:hAnsi="宋体" w:cs="Arial"/>
          <w:color w:val="000000"/>
          <w:highlight w:val="none"/>
        </w:rPr>
      </w:pPr>
      <w:r>
        <w:rPr>
          <w:rFonts w:hint="eastAsia" w:ascii="宋体" w:hAnsi="宋体" w:cs="Arial"/>
          <w:color w:val="000000"/>
          <w:highlight w:val="none"/>
        </w:rPr>
        <w:t xml:space="preserve">4.3供应商响应文件中所报公共区域保洁服务费、基本安全保卫服务费相同的，由评审小组随机抽签确定排序。</w:t>
      </w:r>
      <w:r>
        <w:rPr>
          <w:rFonts w:hint="eastAsia" w:ascii="宋体" w:hAnsi="宋体" w:cs="Arial"/>
          <w:color w:val="000000"/>
          <w:highlight w:val="none"/>
        </w:rPr>
      </w:r>
      <w:r/>
    </w:p>
    <w:p>
      <w:pPr>
        <w:pStyle w:val="793"/>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若按上述情况依次比对后仍相同的，最终由评审小组随机抽签确定。</w:t>
      </w:r>
      <w:r>
        <w:rPr>
          <w:rFonts w:hint="eastAsia" w:ascii="宋体" w:hAnsi="宋体"/>
          <w:bCs/>
          <w:color w:val="000000"/>
          <w:highlight w:val="none"/>
        </w:rPr>
      </w:r>
      <w:r/>
    </w:p>
    <w:p>
      <w:pPr>
        <w:pStyle w:val="793"/>
        <w:ind w:firstLine="602"/>
        <w:spacing w:before="0" w:after="0" w:line="500" w:lineRule="exact"/>
        <w:rPr>
          <w:rFonts w:hint="eastAsia" w:ascii="宋体" w:hAnsi="宋体" w:cs="Arial"/>
          <w:b/>
          <w:color w:val="000000"/>
          <w:sz w:val="30"/>
          <w:szCs w:val="30"/>
          <w:highlight w:val="none"/>
        </w:rPr>
      </w:pPr>
      <w:r>
        <w:rPr>
          <w:rFonts w:hint="eastAsia" w:ascii="宋体" w:hAnsi="宋体" w:cs="Arial"/>
          <w:b/>
          <w:color w:val="000000"/>
          <w:sz w:val="30"/>
          <w:szCs w:val="30"/>
          <w:highlight w:val="none"/>
        </w:rPr>
        <w:t xml:space="preserve">二、落实政府采购政策的价格调整</w:t>
      </w:r>
      <w:r>
        <w:rPr>
          <w:rFonts w:hint="eastAsia" w:ascii="宋体" w:hAnsi="宋体" w:cs="Arial"/>
          <w:b/>
          <w:color w:val="000000"/>
          <w:sz w:val="30"/>
          <w:szCs w:val="30"/>
          <w:highlight w:val="none"/>
        </w:rPr>
      </w:r>
      <w:r/>
    </w:p>
    <w:p>
      <w:pPr>
        <w:pStyle w:val="706"/>
        <w:ind w:firstLine="562"/>
        <w:jc w:val="left"/>
        <w:spacing w:line="5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1.小微型企业价格扣除：专门面向中小/小微企业的项目此项不做价格扣除。</w:t>
      </w:r>
      <w:r>
        <w:rPr>
          <w:rFonts w:hint="eastAsia" w:ascii="宋体" w:hAnsi="宋体"/>
          <w:b/>
          <w:bCs/>
          <w:color w:val="000000"/>
          <w:sz w:val="28"/>
          <w:szCs w:val="28"/>
          <w:highlight w:val="none"/>
        </w:rPr>
      </w:r>
      <w:r/>
    </w:p>
    <w:p>
      <w:pPr>
        <w:pStyle w:val="70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的扣除，用扣除后的价格参与评审。参加征集活动的中小企业，应当按照《政府采购促进中小企业发展管理办法》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70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监狱企业视同小型、微型企业，对其产品价格给予10%的扣除，用扣除后的价格参与评审。参加征集活动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70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1.3残疾人福利性单位视同小型、微型企业，对其产品价格给予10%的扣除，用扣除后的价格参与评审。参加征集活动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70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1.4如允许联合体参与的项目，且供应商组成联合体参加征集活动的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用扣除后的价格参与评审。联合体供应商须在《联合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参加征集活动</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70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0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。联合体供应商</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参加征集活动</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0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1.5残疾人福利单位、监狱企业属于小型、微型企业的，不重复享受政策。</w:t>
      </w:r>
      <w:r>
        <w:rPr>
          <w:rFonts w:hint="eastAsia" w:ascii="宋体" w:hAnsi="宋体"/>
          <w:bCs/>
          <w:color w:val="000000"/>
          <w:sz w:val="24"/>
          <w:szCs w:val="24"/>
          <w:highlight w:val="none"/>
        </w:rPr>
      </w:r>
      <w:r/>
    </w:p>
    <w:p>
      <w:pPr>
        <w:pStyle w:val="793"/>
        <w:ind w:firstLine="0"/>
        <w:spacing w:before="0" w:after="0" w:line="500" w:lineRule="exact"/>
        <w:rPr>
          <w:rFonts w:hint="eastAsia" w:ascii="宋体" w:hAnsi="宋体"/>
          <w:bCs/>
          <w:color w:val="000000"/>
          <w:highlight w:val="none"/>
        </w:rPr>
      </w:pPr>
      <w:r>
        <w:rPr>
          <w:rFonts w:hint="eastAsia" w:ascii="宋体" w:hAnsi="宋体"/>
          <w:bCs/>
          <w:color w:val="000000"/>
          <w:highlight w:val="none"/>
        </w:rPr>
      </w:r>
      <w:r/>
    </w:p>
    <w:p>
      <w:pPr>
        <w:pStyle w:val="793"/>
        <w:ind w:firstLine="562"/>
        <w:spacing w:before="0" w:after="0" w:line="500" w:lineRule="exact"/>
        <w:rPr>
          <w:rFonts w:ascii="黑体" w:hAnsi="黑体" w:eastAsia="黑体"/>
          <w:color w:val="000000"/>
          <w:sz w:val="36"/>
          <w:szCs w:val="36"/>
          <w:highlight w:val="none"/>
        </w:rPr>
      </w:pPr>
      <w:r>
        <w:rPr>
          <w:rFonts w:ascii="宋体" w:hAnsi="宋体"/>
          <w:b/>
          <w:color w:val="000000"/>
          <w:sz w:val="28"/>
          <w:szCs w:val="28"/>
          <w:highlight w:val="none"/>
        </w:rPr>
        <w:br w:type="page" w:clear="all"/>
      </w:r>
      <w:r>
        <w:rPr>
          <w:rFonts w:ascii="黑体" w:hAnsi="黑体" w:eastAsia="黑体"/>
          <w:color w:val="000000"/>
          <w:sz w:val="36"/>
          <w:szCs w:val="36"/>
          <w:highlight w:val="none"/>
        </w:rPr>
      </w:r>
      <w:r/>
    </w:p>
    <w:p>
      <w:pPr>
        <w:pStyle w:val="706"/>
        <w:jc w:val="center"/>
        <w:spacing w:line="500" w:lineRule="exact"/>
        <w:tabs>
          <w:tab w:val="left" w:pos="1440" w:leader="none"/>
        </w:tabs>
        <w:rPr>
          <w:rFonts w:hint="eastAsia" w:ascii="黑体" w:hAnsi="黑体" w:eastAsia="黑体"/>
          <w:color w:val="000000"/>
          <w:sz w:val="36"/>
          <w:szCs w:val="36"/>
          <w:highlight w:val="none"/>
        </w:rPr>
        <w:outlineLvl w:val="0"/>
      </w:pPr>
      <w:r/>
      <w:bookmarkEnd w:id="177"/>
      <w:r/>
      <w:bookmarkEnd w:id="178"/>
      <w:r/>
      <w:bookmarkEnd w:id="182"/>
      <w:r/>
      <w:bookmarkStart w:id="184" w:name="_Toc49090576"/>
      <w:r/>
      <w:bookmarkStart w:id="185" w:name="_Toc26554094"/>
      <w:r/>
      <w:bookmarkStart w:id="186" w:name="_Toc120614282"/>
      <w:r>
        <w:rPr>
          <w:rFonts w:hint="eastAsia" w:ascii="黑体" w:hAnsi="黑体" w:eastAsia="黑体"/>
          <w:color w:val="000000"/>
          <w:sz w:val="36"/>
          <w:szCs w:val="36"/>
          <w:highlight w:val="none"/>
        </w:rPr>
        <w:t xml:space="preserve">第六章  响应文件内容与格式</w:t>
      </w:r>
      <w:r>
        <w:rPr>
          <w:rFonts w:hint="eastAsia" w:ascii="黑体" w:hAnsi="黑体" w:eastAsia="黑体"/>
          <w:color w:val="000000"/>
          <w:sz w:val="36"/>
          <w:szCs w:val="36"/>
          <w:highlight w:val="none"/>
        </w:rPr>
      </w:r>
      <w:r/>
    </w:p>
    <w:p>
      <w:pPr>
        <w:pStyle w:val="793"/>
        <w:ind w:firstLine="602"/>
        <w:spacing w:before="0" w:after="0" w:line="500" w:lineRule="exact"/>
        <w:rPr>
          <w:rFonts w:hint="eastAsia" w:cs="Arial"/>
          <w:b/>
          <w:color w:val="000000"/>
          <w:sz w:val="30"/>
          <w:szCs w:val="30"/>
          <w:highlight w:val="none"/>
        </w:rPr>
      </w:pPr>
      <w:r/>
      <w:bookmarkStart w:id="187" w:name="_Hlt26671244"/>
      <w:r/>
      <w:bookmarkEnd w:id="187"/>
      <w:r/>
      <w:bookmarkStart w:id="188" w:name="_Hlt26955039"/>
      <w:r/>
      <w:bookmarkEnd w:id="188"/>
      <w:r>
        <w:rPr>
          <w:rFonts w:hint="eastAsia" w:cs="Arial"/>
          <w:b/>
          <w:color w:val="000000"/>
          <w:sz w:val="30"/>
          <w:szCs w:val="30"/>
          <w:highlight w:val="none"/>
        </w:rPr>
        <w:t xml:space="preserve">第一部分  响应文件内容</w:t>
      </w:r>
      <w:r>
        <w:rPr>
          <w:rFonts w:hint="eastAsia" w:cs="Arial"/>
          <w:b/>
          <w:color w:val="000000"/>
          <w:sz w:val="30"/>
          <w:szCs w:val="30"/>
          <w:highlight w:val="none"/>
        </w:rPr>
      </w:r>
      <w:r/>
    </w:p>
    <w:p>
      <w:pPr>
        <w:pStyle w:val="793"/>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93"/>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793"/>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793"/>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7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7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供应商营业执照或相关部门的登记证明文件扫描件（供应商如是允许以分支机构身份参加的，提供供应商分支机构的营业执照扫描件；供应商如是自然人情形的，提供有效身份证扫描件）。</w:t>
            </w:r>
            <w:r>
              <w:rPr>
                <w:rFonts w:hint="eastAsia" w:ascii="宋体" w:hAnsi="宋体" w:cs="宋体"/>
                <w:color w:val="000000"/>
                <w:highlight w:val="none"/>
              </w:rPr>
            </w:r>
            <w:r/>
          </w:p>
        </w:tc>
        <w:tc>
          <w:tcPr>
            <w:tcW w:w="2449" w:type="dxa"/>
            <w:vAlign w:val="center"/>
            <w:vMerge w:val="restart"/>
            <w:textDirection w:val="lrTb"/>
            <w:noWrap w:val="false"/>
          </w:tcPr>
          <w:p>
            <w:pPr>
              <w:pStyle w:val="7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7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7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《授权委托书》（给定格式；供应商如是自然人情形的，可不提供）。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7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7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7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供应商近一年中任意一个月份（不含征集活动当月）的财务状况报告（资产负债表和利润表）或由会计师事务所出具的近两年中任意一个年度的审计报告和所附已审财务报告（供应商如是自然人情形的，没有经审计的财务报告的，可以提供银行出具的资信证明）</w:t>
            </w:r>
            <w:r>
              <w:rPr>
                <w:rStyle w:val="782"/>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7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7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7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供应商近一年中任意一个月份（不含征集活动当月）的依法缴纳税收的相关材料（提供相关主管部门证明或银行代扣证明）。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7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7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供应商近一年中任意一个月份（不含征集活动当月）的依法缴纳社会保障资金的相关材料（提供相关主管部门证明或银行代扣证明）。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793"/>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793"/>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793"/>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793"/>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7</w:t>
            </w:r>
            <w:r>
              <w:rPr>
                <w:rFonts w:hint="eastAsia" w:ascii="宋体" w:hAnsi="宋体" w:cs="宋体"/>
                <w:bCs/>
                <w:color w:val="000000"/>
                <w:highlight w:val="none"/>
              </w:rPr>
            </w:r>
            <w:r/>
          </w:p>
        </w:tc>
        <w:tc>
          <w:tcPr>
            <w:tcW w:w="6104" w:type="dxa"/>
            <w:vAlign w:val="center"/>
            <w:textDirection w:val="lrTb"/>
            <w:noWrap w:val="false"/>
          </w:tcPr>
          <w:p>
            <w:pPr>
              <w:pStyle w:val="793"/>
              <w:ind w:firstLine="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满足中小企业政策的证明文件（如有中小企业政策要求的）。</w:t>
            </w:r>
            <w:r>
              <w:rPr>
                <w:rFonts w:hint="eastAsia" w:ascii="宋体" w:hAnsi="宋体" w:cs="宋体"/>
                <w:bCs/>
                <w:color w:val="000000"/>
                <w:highlight w:val="none"/>
              </w:rPr>
            </w:r>
            <w:r/>
          </w:p>
        </w:tc>
        <w:tc>
          <w:tcPr>
            <w:tcW w:w="2449" w:type="dxa"/>
            <w:vAlign w:val="center"/>
            <w:textDirection w:val="lrTb"/>
            <w:noWrap w:val="false"/>
          </w:tcPr>
          <w:p>
            <w:pPr>
              <w:pStyle w:val="793"/>
              <w:ind w:firstLine="0"/>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落实政府采购政策需满足的资格要求，详见第一章《参加征集活动的邀请》</w:t>
            </w:r>
            <w:r>
              <w:rPr>
                <w:rFonts w:ascii="宋体" w:hAnsi="宋体" w:cs="宋体"/>
                <w:bCs/>
                <w:color w:val="000000"/>
                <w:highlight w:val="none"/>
              </w:rPr>
            </w:r>
            <w:r/>
          </w:p>
        </w:tc>
      </w:tr>
      <w:tr>
        <w:trPr>
          <w:trHeight w:val="726"/>
        </w:trPr>
        <w:tc>
          <w:tcPr>
            <w:tcW w:w="719" w:type="dxa"/>
            <w:vAlign w:val="center"/>
            <w:textDirection w:val="lrTb"/>
            <w:noWrap w:val="false"/>
          </w:tcPr>
          <w:p>
            <w:pPr>
              <w:pStyle w:val="793"/>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793"/>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文件（如有特定资格要求的）。</w:t>
            </w:r>
            <w:r>
              <w:rPr>
                <w:rFonts w:hint="eastAsia" w:ascii="宋体" w:hAnsi="宋体" w:cs="宋体"/>
                <w:bCs/>
                <w:color w:val="000000"/>
                <w:highlight w:val="none"/>
              </w:rPr>
            </w:r>
            <w:r/>
          </w:p>
        </w:tc>
        <w:tc>
          <w:tcPr>
            <w:tcW w:w="2449" w:type="dxa"/>
            <w:vAlign w:val="center"/>
            <w:textDirection w:val="lrTb"/>
            <w:noWrap w:val="false"/>
          </w:tcPr>
          <w:p>
            <w:pPr>
              <w:pStyle w:val="793"/>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特定资格要求，详见第一章《参加征集活动的邀请》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793"/>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793"/>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如本项目接受联合体参与且供应商为联合体时须提供</w:t>
            </w:r>
            <w:r>
              <w:rPr>
                <w:rFonts w:hint="eastAsia" w:ascii="宋体" w:hAnsi="宋体" w:cs="宋体"/>
                <w:bCs/>
                <w:color w:val="000000"/>
                <w:highlight w:val="none"/>
              </w:rPr>
              <w:t xml:space="preserve">，格式自拟）。</w:t>
            </w:r>
            <w:r>
              <w:rPr>
                <w:rFonts w:hint="eastAsia" w:ascii="宋体" w:hAnsi="宋体" w:cs="宋体"/>
                <w:color w:val="000000"/>
                <w:highlight w:val="none"/>
              </w:rPr>
            </w:r>
            <w:r/>
          </w:p>
        </w:tc>
      </w:tr>
    </w:tbl>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706"/>
        <w:numPr>
          <w:ilvl w:val="0"/>
          <w:numId w:val="26"/>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1～6项必须全部按要求提供（有给定格式的，必须按给定格式的要求正确填报并提供，相应格式见本章第二部分），否则响应文件无效。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706"/>
        <w:numPr>
          <w:ilvl w:val="0"/>
          <w:numId w:val="2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7项，如本项目落实政府采购政策需满足的资格要求中有中小企业政策要求的（详见第一章《参加征集活动的邀请》），必须提供相应证明文件，否则响应文件无效。</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706"/>
        <w:numPr>
          <w:ilvl w:val="0"/>
          <w:numId w:val="2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8项，如本项目有特定资格要求的（详见第一章《参加征集活动的邀请》），须提供相应的特定资格证明文件。</w:t>
      </w:r>
      <w:r>
        <w:rPr>
          <w:rFonts w:hint="eastAsia" w:ascii="宋体" w:hAnsi="宋体"/>
          <w:color w:val="000000"/>
          <w:sz w:val="24"/>
          <w:szCs w:val="24"/>
          <w:highlight w:val="none"/>
        </w:rPr>
      </w:r>
      <w:r/>
    </w:p>
    <w:p>
      <w:pPr>
        <w:pStyle w:val="706"/>
        <w:numPr>
          <w:ilvl w:val="0"/>
          <w:numId w:val="2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参与征集活动的（详见第一章《参加征集活动的邀请》），且供应商为联合体时，必须提供《联合体协议》（格式自拟，明确各方拟承担的工作和责任，并指定联合体牵头人，授权其代表所有联合体成员负责本项目征集活动和框架协议以及合同实施阶段的牵头、协调工作），否则响应文件无效。</w:t>
      </w:r>
      <w:r>
        <w:rPr>
          <w:rFonts w:hint="eastAsia" w:ascii="宋体" w:hAnsi="宋体"/>
          <w:color w:val="000000"/>
          <w:sz w:val="24"/>
          <w:szCs w:val="24"/>
          <w:highlight w:val="none"/>
        </w:rPr>
      </w:r>
      <w:r/>
    </w:p>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如项目接受联合体参与征集活动且供应商为联合体时，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706"/>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706"/>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93"/>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793"/>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793"/>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793"/>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793"/>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响应函（给定格式）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793"/>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793"/>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793"/>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793"/>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93"/>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793"/>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报价一览表（给定格式）</w:t>
            </w:r>
            <w:r>
              <w:rPr>
                <w:rFonts w:hint="eastAsia" w:ascii="宋体" w:hAnsi="宋体" w:cs="Arial"/>
                <w:color w:val="000000"/>
                <w:highlight w:val="none"/>
              </w:rPr>
            </w:r>
            <w:r/>
          </w:p>
        </w:tc>
        <w:tc>
          <w:tcPr>
            <w:tcW w:w="1979" w:type="dxa"/>
            <w:vAlign w:val="center"/>
            <w:textDirection w:val="lrTb"/>
            <w:noWrap w:val="false"/>
          </w:tcPr>
          <w:p>
            <w:pPr>
              <w:pStyle w:val="793"/>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793"/>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793"/>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响应偏离表（给定格式）</w:t>
            </w:r>
            <w:r>
              <w:rPr>
                <w:rFonts w:ascii="宋体" w:hAnsi="宋体" w:cs="Arial"/>
                <w:color w:val="000000"/>
                <w:highlight w:val="none"/>
              </w:rPr>
            </w:r>
            <w:r/>
          </w:p>
        </w:tc>
        <w:tc>
          <w:tcPr>
            <w:tcW w:w="1979" w:type="dxa"/>
            <w:vAlign w:val="center"/>
            <w:vMerge w:val="restart"/>
            <w:textDirection w:val="lrTb"/>
            <w:noWrap w:val="false"/>
          </w:tcPr>
          <w:p>
            <w:pPr>
              <w:pStyle w:val="793"/>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793"/>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793"/>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793"/>
              <w:ind w:firstLine="0"/>
              <w:jc w:val="both"/>
              <w:spacing w:before="0" w:after="0" w:line="240" w:lineRule="auto"/>
              <w:rPr>
                <w:rFonts w:hint="eastAsia" w:cs="Arial"/>
                <w:color w:val="000000"/>
                <w:highlight w:val="none"/>
              </w:rPr>
            </w:pPr>
            <w:r>
              <w:rPr>
                <w:rFonts w:hint="eastAsia" w:cs="Arial"/>
                <w:color w:val="000000"/>
                <w:highlight w:val="none"/>
              </w:rPr>
            </w:r>
            <w:r/>
          </w:p>
        </w:tc>
      </w:tr>
    </w:tbl>
    <w:p>
      <w:pPr>
        <w:pStyle w:val="70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706"/>
        <w:numPr>
          <w:ilvl w:val="0"/>
          <w:numId w:val="27"/>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符合性证明文件及其他证明文件第</w:t>
      </w:r>
      <w:r>
        <w:rPr>
          <w:rFonts w:hint="eastAsia" w:ascii="宋体" w:hAnsi="宋体"/>
          <w:color w:val="000000"/>
          <w:sz w:val="24"/>
          <w:szCs w:val="24"/>
          <w:highlight w:val="none"/>
        </w:rPr>
        <w:t xml:space="preserve">1～4项必须按要求全部提供（有给定格式的，必须按给定格式的要求正确填报并提供，相应格式见本章第二部分），否则响应文件无效。</w:t>
      </w:r>
      <w:r>
        <w:rPr>
          <w:rFonts w:hint="eastAsia" w:ascii="宋体" w:hAnsi="宋体"/>
          <w:color w:val="000000"/>
          <w:sz w:val="24"/>
          <w:szCs w:val="24"/>
          <w:highlight w:val="none"/>
        </w:rPr>
      </w:r>
      <w:r/>
    </w:p>
    <w:p>
      <w:pPr>
        <w:pStyle w:val="706"/>
        <w:numPr>
          <w:ilvl w:val="0"/>
          <w:numId w:val="27"/>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符合性证明文件第5项，《采购需求》中如有要求提供证明材料的，须按要求提供，否则响应文件无效。</w:t>
      </w:r>
      <w:r>
        <w:rPr>
          <w:rFonts w:hint="eastAsia" w:ascii="宋体" w:hAnsi="宋体"/>
          <w:color w:val="000000"/>
          <w:sz w:val="24"/>
          <w:szCs w:val="24"/>
          <w:highlight w:val="none"/>
        </w:rPr>
      </w:r>
      <w:r/>
    </w:p>
    <w:p>
      <w:pPr>
        <w:pStyle w:val="706"/>
        <w:numPr>
          <w:ilvl w:val="0"/>
          <w:numId w:val="27"/>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如项目接受联合体参与征集活动的，且供应商为联合体时，上述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第1～4项可由联合体主体单位（即联合体牵头人）代表联合体提供。第5项按《采购需求》中的相应要求（如有）进行提供。</w:t>
      </w:r>
      <w:r>
        <w:rPr>
          <w:rFonts w:hint="eastAsia" w:ascii="宋体" w:hAnsi="宋体" w:cs="宋体"/>
          <w:color w:val="000000"/>
          <w:sz w:val="24"/>
          <w:szCs w:val="24"/>
          <w:highlight w:val="none"/>
        </w:rPr>
      </w:r>
      <w:r/>
    </w:p>
    <w:p>
      <w:pPr>
        <w:pStyle w:val="706"/>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06"/>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706"/>
        <w:ind w:left="480"/>
        <w:spacing w:line="500" w:lineRule="exact"/>
        <w:rPr>
          <w:rFonts w:hint="eastAsia" w:cs="Arial"/>
          <w:b/>
          <w:color w:val="000000"/>
          <w:sz w:val="30"/>
          <w:szCs w:val="30"/>
          <w:highlight w:val="none"/>
        </w:rPr>
      </w:pPr>
      <w:r>
        <w:rPr>
          <w:rFonts w:hint="eastAsia" w:ascii="宋体" w:hAnsi="宋体" w:cs="宋体"/>
          <w:color w:val="000000"/>
          <w:sz w:val="24"/>
          <w:szCs w:val="24"/>
          <w:highlight w:val="none"/>
        </w:rPr>
        <w:t xml:space="preserve">供应商认为如有其他应附的文件可自拟并自行添加。</w:t>
      </w:r>
      <w:r>
        <w:rPr>
          <w:rFonts w:hint="eastAsia" w:cs="Arial"/>
          <w:b/>
          <w:color w:val="000000"/>
          <w:sz w:val="30"/>
          <w:szCs w:val="30"/>
          <w:highlight w:val="none"/>
        </w:rPr>
      </w:r>
      <w:r/>
    </w:p>
    <w:p>
      <w:pPr>
        <w:pStyle w:val="706"/>
        <w:ind w:firstLine="602"/>
        <w:rPr>
          <w:rFonts w:cs="Arial"/>
          <w:b/>
          <w:color w:val="000000"/>
          <w:sz w:val="30"/>
          <w:szCs w:val="30"/>
          <w:highlight w:val="none"/>
        </w:rPr>
      </w:pPr>
      <w:r>
        <w:rPr>
          <w:rFonts w:cs="Arial"/>
          <w:b/>
          <w:color w:val="000000"/>
          <w:sz w:val="30"/>
          <w:szCs w:val="30"/>
          <w:highlight w:val="none"/>
        </w:rPr>
      </w:r>
      <w:r/>
    </w:p>
    <w:p>
      <w:pPr>
        <w:pStyle w:val="706"/>
        <w:ind w:firstLine="602"/>
        <w:rPr>
          <w:rFonts w:cs="Arial"/>
          <w:b/>
          <w:color w:val="000000"/>
          <w:sz w:val="30"/>
          <w:szCs w:val="30"/>
          <w:highlight w:val="none"/>
        </w:rPr>
      </w:pPr>
      <w:r>
        <w:rPr>
          <w:rFonts w:cs="Arial"/>
          <w:b/>
          <w:color w:val="000000"/>
          <w:sz w:val="30"/>
          <w:szCs w:val="30"/>
          <w:highlight w:val="none"/>
        </w:rPr>
      </w:r>
      <w:r/>
    </w:p>
    <w:p>
      <w:pPr>
        <w:pStyle w:val="706"/>
        <w:ind w:firstLine="602"/>
        <w:rPr>
          <w:rFonts w:cs="Arial"/>
          <w:b/>
          <w:color w:val="000000"/>
          <w:sz w:val="30"/>
          <w:szCs w:val="30"/>
          <w:highlight w:val="none"/>
        </w:rPr>
      </w:pPr>
      <w:r>
        <w:rPr>
          <w:rFonts w:cs="Arial"/>
          <w:b/>
          <w:color w:val="000000"/>
          <w:sz w:val="30"/>
          <w:szCs w:val="30"/>
          <w:highlight w:val="none"/>
        </w:rPr>
      </w:r>
      <w:r/>
    </w:p>
    <w:p>
      <w:pPr>
        <w:pStyle w:val="706"/>
        <w:ind w:firstLine="602"/>
        <w:rPr>
          <w:rFonts w:cs="Arial"/>
          <w:b/>
          <w:color w:val="000000"/>
          <w:sz w:val="30"/>
          <w:szCs w:val="30"/>
          <w:highlight w:val="none"/>
        </w:rPr>
      </w:pPr>
      <w:r>
        <w:rPr>
          <w:rFonts w:cs="Arial"/>
          <w:b/>
          <w:color w:val="000000"/>
          <w:sz w:val="30"/>
          <w:szCs w:val="30"/>
          <w:highlight w:val="none"/>
        </w:rPr>
      </w:r>
      <w:r/>
    </w:p>
    <w:p>
      <w:pPr>
        <w:pStyle w:val="706"/>
        <w:ind w:firstLine="602"/>
        <w:rPr>
          <w:rFonts w:cs="Arial"/>
          <w:b/>
          <w:color w:val="000000"/>
          <w:sz w:val="30"/>
          <w:szCs w:val="30"/>
          <w:highlight w:val="none"/>
        </w:rPr>
      </w:pPr>
      <w:r>
        <w:rPr>
          <w:rFonts w:cs="Arial"/>
          <w:b/>
          <w:color w:val="000000"/>
          <w:sz w:val="30"/>
          <w:szCs w:val="30"/>
          <w:highlight w:val="none"/>
        </w:rPr>
      </w:r>
      <w:r/>
    </w:p>
    <w:p>
      <w:pPr>
        <w:pStyle w:val="706"/>
        <w:ind w:firstLine="602"/>
        <w:rPr>
          <w:rFonts w:hint="eastAsia" w:cs="Arial"/>
          <w:b/>
          <w:color w:val="000000"/>
          <w:sz w:val="30"/>
          <w:szCs w:val="30"/>
          <w:highlight w:val="none"/>
        </w:rPr>
      </w:pPr>
      <w:r>
        <w:rPr>
          <w:rFonts w:hint="eastAsia" w:cs="Arial"/>
          <w:b/>
          <w:color w:val="000000"/>
          <w:sz w:val="30"/>
          <w:szCs w:val="30"/>
          <w:highlight w:val="none"/>
        </w:rPr>
        <w:t xml:space="preserve">第二部分  响应文件格式</w:t>
      </w:r>
      <w:r>
        <w:rPr>
          <w:rFonts w:hint="eastAsia" w:cs="Arial"/>
          <w:b/>
          <w:color w:val="000000"/>
          <w:sz w:val="30"/>
          <w:szCs w:val="30"/>
          <w:highlight w:val="none"/>
        </w:rPr>
      </w:r>
      <w:r/>
    </w:p>
    <w:p>
      <w:pPr>
        <w:pStyle w:val="793"/>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70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0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06"/>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响  应  文  件</w:t>
      </w:r>
      <w:r>
        <w:rPr>
          <w:rFonts w:hint="eastAsia" w:ascii="黑体" w:hAnsi="华文中宋" w:eastAsia="黑体"/>
          <w:bCs/>
          <w:color w:val="000000"/>
          <w:spacing w:val="20"/>
          <w:sz w:val="84"/>
          <w:szCs w:val="84"/>
          <w:highlight w:val="none"/>
        </w:rPr>
      </w:r>
      <w:r/>
    </w:p>
    <w:p>
      <w:pPr>
        <w:pStyle w:val="70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0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0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0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06"/>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JSZC-320213-JZCG-K2026-0009</w:t>
      </w:r>
      <w:r>
        <w:rPr>
          <w:rFonts w:hint="eastAsia" w:ascii="黑体" w:hAnsi="华文中宋" w:eastAsia="黑体"/>
          <w:bCs/>
          <w:color w:val="000000"/>
          <w:sz w:val="30"/>
          <w:szCs w:val="30"/>
          <w:highlight w:val="none"/>
          <w:lang w:eastAsia="zh-CN"/>
        </w:rPr>
      </w:r>
      <w:r/>
    </w:p>
    <w:p>
      <w:pPr>
        <w:pStyle w:val="706"/>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2026-2027年度无锡市梁溪区物业管理服务框架协议采购</w:t>
      </w:r>
      <w:r>
        <w:rPr>
          <w:rFonts w:hint="eastAsia" w:ascii="黑体" w:hAnsi="华文中宋" w:eastAsia="黑体"/>
          <w:bCs/>
          <w:color w:val="000000"/>
          <w:sz w:val="30"/>
          <w:szCs w:val="30"/>
          <w:highlight w:val="none"/>
          <w:lang w:eastAsia="zh-CN"/>
        </w:rPr>
      </w:r>
      <w:r/>
    </w:p>
    <w:p>
      <w:pPr>
        <w:pStyle w:val="706"/>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供 应 商：</w:t>
      </w:r>
      <w:r>
        <w:rPr>
          <w:rFonts w:hint="eastAsia" w:ascii="黑体" w:hAnsi="华文中宋" w:eastAsia="黑体"/>
          <w:bCs/>
          <w:color w:val="000000"/>
          <w:sz w:val="30"/>
          <w:szCs w:val="30"/>
          <w:highlight w:val="none"/>
        </w:rPr>
      </w:r>
      <w:r/>
    </w:p>
    <w:p>
      <w:pPr>
        <w:pStyle w:val="706"/>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706"/>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706"/>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79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JSZC-320213-JZCG-K2026-0009</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79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9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9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针对本次项目的采购活动、参与征集活动、签约等具体工作，并签署全部有关的文件、协议及合同以及其他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791"/>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79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791"/>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供应商名称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791"/>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791"/>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响应文件中须提供本授权委托书中的被授权人有效身份证复印件；如被授权人为法定代表人（或以下说明所述的单位负责人）时，则提供法定代表人（或以下说明所述的单位负责人）有效身份证复印件。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791"/>
        <w:ind w:firstLine="0"/>
        <w:tabs>
          <w:tab w:val="left" w:pos="360" w:leader="none"/>
        </w:tabs>
        <w:rPr>
          <w:rFonts w:hint="eastAsia"/>
          <w:color w:val="000000"/>
          <w:sz w:val="24"/>
          <w:szCs w:val="24"/>
          <w:highlight w:val="none"/>
        </w:rPr>
      </w:pPr>
      <w:r>
        <w:rPr>
          <w:rFonts w:hint="eastAsia"/>
          <w:color w:val="000000"/>
          <w:sz w:val="24"/>
          <w:szCs w:val="24"/>
          <w:highlight w:val="none"/>
        </w:rPr>
      </w:r>
      <w:r/>
    </w:p>
    <w:p>
      <w:pPr>
        <w:pStyle w:val="791"/>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791"/>
        <w:numPr>
          <w:ilvl w:val="0"/>
          <w:numId w:val="28"/>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color w:val="000000"/>
          <w:sz w:val="21"/>
          <w:szCs w:val="21"/>
          <w:highlight w:val="none"/>
        </w:rPr>
        <w:t xml:space="preserve">供应商</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限征集文件</w:t>
      </w:r>
      <w:r>
        <w:rPr>
          <w:rFonts w:ascii="宋体" w:hAnsi="宋体"/>
          <w:color w:val="000000"/>
          <w:sz w:val="21"/>
          <w:szCs w:val="21"/>
          <w:highlight w:val="none"/>
        </w:rPr>
        <w:t xml:space="preserve">注明允许分支机构</w:t>
      </w:r>
      <w:r>
        <w:rPr>
          <w:rFonts w:hint="eastAsia" w:ascii="宋体" w:hAnsi="宋体"/>
          <w:color w:val="000000"/>
          <w:sz w:val="21"/>
          <w:szCs w:val="21"/>
          <w:highlight w:val="none"/>
        </w:rPr>
        <w:t xml:space="preserve">参与情形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1"/>
        <w:numPr>
          <w:ilvl w:val="0"/>
          <w:numId w:val="28"/>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791"/>
        <w:numPr>
          <w:ilvl w:val="0"/>
          <w:numId w:val="28"/>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1"/>
        <w:numPr>
          <w:ilvl w:val="0"/>
          <w:numId w:val="28"/>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791"/>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706"/>
        <w:jc w:val="center"/>
        <w:rPr>
          <w:rFonts w:ascii="黑体" w:eastAsia="黑体"/>
          <w:bCs/>
          <w:color w:val="000000"/>
          <w:sz w:val="28"/>
          <w:szCs w:val="28"/>
          <w:highlight w:val="none"/>
        </w:rPr>
        <w:outlineLvl w:val="0"/>
      </w:pPr>
      <w:r/>
      <w:bookmarkStart w:id="189" w:name="报价方关于资格的声明函（格式）"/>
      <w:r/>
      <w:bookmarkEnd w:id="189"/>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706"/>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706"/>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无锡市公共资源交易中心梁溪分中心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0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JSZC-320213-JZCG-K2026-0009</w:t>
      </w:r>
      <w:r>
        <w:rPr>
          <w:rFonts w:hint="eastAsia" w:ascii="宋体" w:hAnsi="宋体"/>
          <w:bCs/>
          <w:color w:val="000000"/>
          <w:sz w:val="24"/>
          <w:szCs w:val="24"/>
          <w:highlight w:val="none"/>
        </w:rPr>
        <w:t xml:space="preserve">参与征集活动，并作如下声明</w:t>
      </w:r>
      <w:r>
        <w:rPr>
          <w:rFonts w:ascii="宋体" w:hAnsi="宋体"/>
          <w:bCs/>
          <w:color w:val="000000"/>
          <w:sz w:val="24"/>
          <w:szCs w:val="24"/>
          <w:highlight w:val="none"/>
        </w:rPr>
      </w:r>
      <w:r/>
    </w:p>
    <w:p>
      <w:pPr>
        <w:pStyle w:val="70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70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70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706"/>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我公司（单位、联合体）针对本次项目的上述声明以及响应文件中所有关于报价资格的文件、证明、陈述均是真实的、准确的。若有违背，我公司（单位、联合体）愿意承担由此而产生的一切后果。</w:t>
      </w:r>
      <w:r>
        <w:rPr>
          <w:rFonts w:ascii="宋体"/>
          <w:bCs/>
          <w:color w:val="000000"/>
          <w:sz w:val="24"/>
          <w:szCs w:val="24"/>
          <w:highlight w:val="none"/>
        </w:rPr>
      </w:r>
      <w:r/>
    </w:p>
    <w:p>
      <w:pPr>
        <w:pStyle w:val="706"/>
        <w:spacing w:line="480" w:lineRule="auto"/>
        <w:rPr>
          <w:rFonts w:ascii="宋体"/>
          <w:bCs/>
          <w:color w:val="000000"/>
          <w:sz w:val="24"/>
          <w:szCs w:val="24"/>
          <w:highlight w:val="none"/>
        </w:rPr>
      </w:pPr>
      <w:r>
        <w:rPr>
          <w:rFonts w:ascii="宋体"/>
          <w:bCs/>
          <w:color w:val="000000"/>
          <w:sz w:val="24"/>
          <w:szCs w:val="24"/>
          <w:highlight w:val="none"/>
        </w:rPr>
      </w:r>
      <w:r/>
    </w:p>
    <w:p>
      <w:pPr>
        <w:pStyle w:val="706"/>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供应商名称（盖章）：</w:t>
      </w:r>
      <w:r>
        <w:rPr>
          <w:rFonts w:ascii="宋体"/>
          <w:bCs/>
          <w:color w:val="000000"/>
          <w:sz w:val="24"/>
          <w:szCs w:val="24"/>
          <w:highlight w:val="none"/>
        </w:rPr>
      </w:r>
      <w:r/>
    </w:p>
    <w:p>
      <w:pPr>
        <w:pStyle w:val="706"/>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rPr>
          <w:rFonts w:hint="eastAsia" w:ascii="宋体" w:hAnsi="宋体" w:cs="宋体"/>
          <w:b/>
          <w:color w:val="000000"/>
          <w:sz w:val="28"/>
          <w:szCs w:val="28"/>
          <w:highlight w:val="none"/>
        </w:rPr>
      </w:r>
      <w:r/>
    </w:p>
    <w:p>
      <w:pPr>
        <w:pStyle w:val="706"/>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70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70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征集文件</w:t>
      </w:r>
      <w:r>
        <w:rPr>
          <w:rFonts w:ascii="宋体" w:hAnsi="宋体"/>
          <w:bCs/>
          <w:color w:val="000000"/>
          <w:sz w:val="24"/>
          <w:szCs w:val="24"/>
          <w:highlight w:val="none"/>
          <w:u w:val="single"/>
        </w:rPr>
        <w:t xml:space="preserve">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0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征集文件</w:t>
      </w:r>
      <w:r>
        <w:rPr>
          <w:rFonts w:ascii="宋体" w:hAnsi="宋体"/>
          <w:bCs/>
          <w:color w:val="000000"/>
          <w:sz w:val="24"/>
          <w:szCs w:val="24"/>
          <w:highlight w:val="none"/>
          <w:u w:val="single"/>
        </w:rPr>
        <w:t xml:space="preserve">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0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0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706"/>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706"/>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06"/>
        <w:ind w:firstLine="420"/>
        <w:spacing w:line="360" w:lineRule="auto"/>
        <w:rPr>
          <w:rFonts w:hint="eastAsia"/>
          <w:color w:val="000000"/>
          <w:highlight w:val="none"/>
        </w:rPr>
      </w:pPr>
      <w:r>
        <w:rPr>
          <w:rFonts w:hint="eastAsia"/>
          <w:color w:val="000000"/>
          <w:highlight w:val="none"/>
        </w:rPr>
      </w:r>
      <w:r/>
    </w:p>
    <w:p>
      <w:pPr>
        <w:pStyle w:val="706"/>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注：（1）项目技术要求中如对本项目标的及其所属行业进行逐一列明的，供应商须根据项目技术要求中所列明的标的及其所属行业逐一进行填报。根据本《中小企业声明函》类型，项目属性为服务类的，只</w:t>
      </w:r>
      <w:r>
        <w:rPr>
          <w:rFonts w:hint="eastAsia"/>
          <w:color w:val="000000"/>
          <w:highlight w:val="none"/>
          <w:lang w:eastAsia="zh-CN"/>
        </w:rPr>
        <w:t xml:space="preserve">需</w:t>
      </w:r>
      <w:r>
        <w:rPr>
          <w:rFonts w:hint="eastAsia"/>
          <w:color w:val="000000"/>
          <w:highlight w:val="none"/>
        </w:rPr>
        <w:t xml:space="preserve">按项目技术要求中的服务部分标的及其所属行业逐一进行填报，“企业名称”应填报为提供该项服务的承建（承接）商。专门面向中小企业的项目供应商未按上述要求逐一进行填报的将被视为无效响应文件；非专门面向中小企业的项目供应商未按上述要求逐一进行填报的将不进行中、小、微型企业认定。</w:t>
      </w:r>
      <w:r>
        <w:rPr>
          <w:rFonts w:hint="eastAsia"/>
          <w:color w:val="000000"/>
          <w:highlight w:val="none"/>
        </w:rPr>
      </w:r>
      <w:r/>
    </w:p>
    <w:p>
      <w:pPr>
        <w:pStyle w:val="706"/>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706"/>
        <w:ind w:firstLine="420"/>
        <w:spacing w:line="360" w:lineRule="auto"/>
        <w:rPr>
          <w:rFonts w:hint="eastAsia"/>
          <w:color w:val="000000"/>
          <w:highlight w:val="none"/>
        </w:rPr>
      </w:pPr>
      <w:r>
        <w:rPr>
          <w:rFonts w:hint="eastAsia"/>
          <w:color w:val="000000"/>
          <w:highlight w:val="none"/>
        </w:rPr>
        <w:t xml:space="preserve">（3）入围供应商的《</w:t>
      </w:r>
      <w:r>
        <w:rPr>
          <w:color w:val="000000"/>
          <w:highlight w:val="none"/>
        </w:rPr>
        <w:t xml:space="preserve">中小企业声明函</w:t>
      </w:r>
      <w:r>
        <w:rPr>
          <w:rFonts w:hint="eastAsia"/>
          <w:color w:val="000000"/>
          <w:highlight w:val="none"/>
        </w:rPr>
        <w:t xml:space="preserve">》将随入围公告进行公示。供应商按照本办法规定提供声明函内容不实的，属于提供虚假材料谋取入围（成交），依照《中华人民共和国政府采购法》等国家有关规定追究相应责任。</w:t>
      </w:r>
      <w:r>
        <w:rPr>
          <w:rFonts w:hint="eastAsia"/>
          <w:color w:val="000000"/>
          <w:highlight w:val="none"/>
        </w:rPr>
      </w:r>
      <w:r/>
    </w:p>
    <w:p>
      <w:pPr>
        <w:pStyle w:val="706"/>
        <w:spacing w:line="360" w:lineRule="auto"/>
        <w:rPr>
          <w:color w:val="000000"/>
          <w:highlight w:val="none"/>
        </w:rPr>
      </w:pPr>
      <w:r>
        <w:rPr>
          <w:color w:val="000000"/>
          <w:highlight w:val="none"/>
        </w:rPr>
        <w:t xml:space="preserve"> </w:t>
      </w:r>
      <w:r>
        <w:rPr>
          <w:color w:val="000000"/>
          <w:highlight w:val="none"/>
        </w:rPr>
      </w:r>
      <w:r/>
    </w:p>
    <w:p>
      <w:pPr>
        <w:pStyle w:val="706"/>
        <w:spacing w:line="360" w:lineRule="auto"/>
        <w:rPr>
          <w:rFonts w:hint="eastAsia" w:ascii="宋体" w:hAnsi="宋体" w:cs="宋体"/>
          <w:b/>
          <w:color w:val="000000"/>
          <w:sz w:val="28"/>
          <w:szCs w:val="28"/>
          <w:highlight w:val="none"/>
        </w:rPr>
      </w:pPr>
      <w:r>
        <w:rPr>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706"/>
        <w:ind w:firstLine="482"/>
        <w:spacing w:line="440" w:lineRule="exact"/>
        <w:rPr>
          <w:rFonts w:ascii="Arial" w:hAnsi="Arial"/>
          <w:b/>
          <w:color w:val="000000"/>
          <w:sz w:val="24"/>
          <w:highlight w:val="none"/>
        </w:rPr>
      </w:pPr>
      <w:r>
        <w:rPr>
          <w:rFonts w:ascii="Arial" w:hAnsi="Arial"/>
          <w:b/>
          <w:color w:val="000000"/>
          <w:sz w:val="24"/>
          <w:highlight w:val="none"/>
        </w:rPr>
      </w:r>
      <w:r/>
    </w:p>
    <w:p>
      <w:pPr>
        <w:pStyle w:val="706"/>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706"/>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06"/>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706"/>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706"/>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06"/>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06"/>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706"/>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06"/>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w:t>
      </w:r>
      <w:r>
        <w:rPr>
          <w:rFonts w:hint="eastAsia"/>
          <w:b/>
          <w:color w:val="000000"/>
          <w:sz w:val="28"/>
          <w:szCs w:val="28"/>
          <w:highlight w:val="none"/>
        </w:rPr>
        <w:t xml:space="preserve">响应</w:t>
      </w:r>
      <w:r>
        <w:rPr>
          <w:b/>
          <w:color w:val="000000"/>
          <w:sz w:val="28"/>
          <w:szCs w:val="28"/>
          <w:highlight w:val="none"/>
        </w:rPr>
        <w:t xml:space="preserve">函</w:t>
      </w:r>
      <w:r>
        <w:rPr>
          <w:rFonts w:hint="eastAsia"/>
          <w:b/>
          <w:color w:val="000000"/>
          <w:sz w:val="28"/>
          <w:szCs w:val="28"/>
          <w:highlight w:val="none"/>
        </w:rPr>
        <w:t xml:space="preserve">（给定格式）：</w:t>
      </w:r>
      <w:r>
        <w:rPr>
          <w:rFonts w:hint="eastAsia"/>
          <w:b/>
          <w:color w:val="000000"/>
          <w:sz w:val="28"/>
          <w:szCs w:val="28"/>
          <w:highlight w:val="none"/>
        </w:rPr>
      </w:r>
      <w:r/>
    </w:p>
    <w:p>
      <w:pPr>
        <w:pStyle w:val="706"/>
        <w:spacing w:line="360" w:lineRule="auto"/>
        <w:rPr>
          <w:rFonts w:hint="eastAsia"/>
          <w:b/>
          <w:color w:val="000000"/>
          <w:sz w:val="30"/>
          <w:szCs w:val="30"/>
          <w:highlight w:val="none"/>
        </w:rPr>
      </w:pPr>
      <w:r>
        <w:rPr>
          <w:rFonts w:hint="eastAsia"/>
          <w:b/>
          <w:color w:val="000000"/>
          <w:sz w:val="30"/>
          <w:szCs w:val="30"/>
          <w:highlight w:val="none"/>
        </w:rPr>
      </w:r>
      <w:r/>
    </w:p>
    <w:p>
      <w:pPr>
        <w:pStyle w:val="706"/>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响应函</w:t>
      </w:r>
      <w:r>
        <w:rPr>
          <w:rFonts w:ascii="宋体"/>
          <w:bCs/>
          <w:color w:val="000000"/>
          <w:sz w:val="24"/>
          <w:szCs w:val="24"/>
          <w:highlight w:val="none"/>
        </w:rPr>
      </w:r>
      <w:r/>
    </w:p>
    <w:p>
      <w:pPr>
        <w:pStyle w:val="706"/>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无锡市公共资源交易中心梁溪分中心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06"/>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706"/>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JSZC-320213-JZCG-K2026-0009</w:t>
      </w:r>
      <w:r>
        <w:rPr>
          <w:rFonts w:hint="eastAsia" w:ascii="宋体" w:hAnsi="宋体"/>
          <w:bCs/>
          <w:color w:val="000000"/>
          <w:sz w:val="24"/>
          <w:szCs w:val="24"/>
          <w:highlight w:val="none"/>
        </w:rPr>
        <w:t xml:space="preserve">征集文件，经仔细阅读和研究，我方决定参加此项目的征集活动。</w:t>
      </w:r>
      <w:r>
        <w:rPr>
          <w:rFonts w:ascii="宋体"/>
          <w:bCs/>
          <w:color w:val="000000"/>
          <w:sz w:val="24"/>
          <w:szCs w:val="24"/>
          <w:highlight w:val="none"/>
        </w:rPr>
      </w:r>
      <w:r/>
    </w:p>
    <w:p>
      <w:pPr>
        <w:pStyle w:val="706"/>
        <w:numPr>
          <w:ilvl w:val="0"/>
          <w:numId w:val="2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我方愿意按照征集文件的一切要求，提供本项目的报价，报价见《报价一览表》。</w:t>
      </w:r>
      <w:r>
        <w:rPr>
          <w:rFonts w:ascii="宋体"/>
          <w:bCs/>
          <w:color w:val="000000"/>
          <w:sz w:val="24"/>
          <w:szCs w:val="24"/>
          <w:highlight w:val="none"/>
        </w:rPr>
      </w:r>
      <w:r/>
    </w:p>
    <w:p>
      <w:pPr>
        <w:pStyle w:val="706"/>
        <w:numPr>
          <w:ilvl w:val="0"/>
          <w:numId w:val="2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80"/>
          <w:bCs/>
          <w:color w:val="000000"/>
          <w:highlight w:val="none"/>
        </w:rPr>
      </w:pPr>
      <w:r>
        <w:rPr>
          <w:rFonts w:hint="eastAsia" w:ascii="宋体" w:hAnsi="宋体"/>
          <w:bCs/>
          <w:color w:val="000000"/>
          <w:sz w:val="24"/>
          <w:szCs w:val="24"/>
          <w:highlight w:val="none"/>
        </w:rPr>
        <w:t xml:space="preserve">我方愿意提供征集文件中要求的文件、资料。</w:t>
      </w:r>
      <w:r>
        <w:rPr>
          <w:rStyle w:val="780"/>
          <w:bCs/>
          <w:color w:val="000000"/>
          <w:highlight w:val="none"/>
        </w:rPr>
      </w:r>
      <w:r/>
    </w:p>
    <w:p>
      <w:pPr>
        <w:pStyle w:val="706"/>
        <w:numPr>
          <w:ilvl w:val="0"/>
          <w:numId w:val="2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我方同意按征集文件中的规定，从征集文件规定的</w:t>
      </w:r>
      <w:r>
        <w:rPr>
          <w:rFonts w:hint="eastAsia" w:ascii="宋体" w:hAnsi="宋体"/>
          <w:bCs/>
          <w:color w:val="000000"/>
          <w:sz w:val="24"/>
          <w:highlight w:val="none"/>
        </w:rPr>
        <w:t xml:space="preserve">响应文件有效期</w:t>
      </w:r>
      <w:r>
        <w:rPr>
          <w:rFonts w:hint="eastAsia" w:ascii="宋体" w:hAnsi="宋体"/>
          <w:bCs/>
          <w:color w:val="000000"/>
          <w:sz w:val="24"/>
          <w:szCs w:val="24"/>
          <w:highlight w:val="none"/>
        </w:rPr>
        <w:t xml:space="preserve">内遵循本响应文件，并在规定的</w:t>
      </w:r>
      <w:r>
        <w:rPr>
          <w:rFonts w:hint="eastAsia" w:ascii="宋体" w:hAnsi="宋体"/>
          <w:bCs/>
          <w:color w:val="000000"/>
          <w:sz w:val="24"/>
          <w:highlight w:val="none"/>
        </w:rPr>
        <w:t xml:space="preserve">响应文件</w:t>
      </w:r>
      <w:r>
        <w:rPr>
          <w:rFonts w:hint="eastAsia" w:ascii="宋体" w:hAnsi="宋体"/>
          <w:bCs/>
          <w:color w:val="000000"/>
          <w:sz w:val="24"/>
          <w:szCs w:val="24"/>
          <w:highlight w:val="none"/>
        </w:rPr>
        <w:t xml:space="preserve">有效期期满之前均具有约束力。</w:t>
      </w:r>
      <w:r>
        <w:rPr>
          <w:rFonts w:hint="eastAsia" w:ascii="宋体"/>
          <w:bCs/>
          <w:color w:val="000000"/>
          <w:sz w:val="24"/>
          <w:szCs w:val="24"/>
          <w:highlight w:val="none"/>
        </w:rPr>
      </w:r>
      <w:r/>
    </w:p>
    <w:p>
      <w:pPr>
        <w:pStyle w:val="706"/>
        <w:numPr>
          <w:ilvl w:val="0"/>
          <w:numId w:val="2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如果我方的响应文件被接受，我方将履行征集文件中规定的每一项要求，按期、按质、按量，完成交货任务。</w:t>
      </w:r>
      <w:r>
        <w:rPr>
          <w:rFonts w:ascii="宋体"/>
          <w:bCs/>
          <w:color w:val="000000"/>
          <w:sz w:val="24"/>
          <w:szCs w:val="24"/>
          <w:highlight w:val="none"/>
        </w:rPr>
      </w:r>
      <w:r/>
    </w:p>
    <w:p>
      <w:pPr>
        <w:pStyle w:val="706"/>
        <w:numPr>
          <w:ilvl w:val="0"/>
          <w:numId w:val="2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我方完全同意征集文件规定的决定成交者的方式。</w:t>
      </w:r>
      <w:r>
        <w:rPr>
          <w:rFonts w:ascii="宋体"/>
          <w:bCs/>
          <w:color w:val="000000"/>
          <w:sz w:val="24"/>
          <w:szCs w:val="24"/>
          <w:highlight w:val="none"/>
        </w:rPr>
      </w:r>
      <w:r/>
    </w:p>
    <w:p>
      <w:pPr>
        <w:pStyle w:val="706"/>
        <w:numPr>
          <w:ilvl w:val="0"/>
          <w:numId w:val="2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我方愿意遵守《中华人民共和国政府采购法》，并按《中华人民共和国民法典》等相关法律法规和合同条款履行自己的全部责任。</w:t>
      </w:r>
      <w:r>
        <w:rPr>
          <w:rFonts w:ascii="宋体"/>
          <w:bCs/>
          <w:color w:val="000000"/>
          <w:sz w:val="24"/>
          <w:szCs w:val="24"/>
          <w:highlight w:val="none"/>
        </w:rPr>
      </w:r>
      <w:r/>
    </w:p>
    <w:p>
      <w:pPr>
        <w:pStyle w:val="706"/>
        <w:numPr>
          <w:ilvl w:val="0"/>
          <w:numId w:val="2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我方已详细审核全部征集文件及其有效补充文件，我们知道必须放弃提出含糊不清或误解问题的权利。</w:t>
      </w:r>
      <w:r>
        <w:rPr>
          <w:rFonts w:ascii="宋体"/>
          <w:bCs/>
          <w:color w:val="000000"/>
          <w:sz w:val="24"/>
          <w:szCs w:val="24"/>
          <w:highlight w:val="none"/>
        </w:rPr>
      </w:r>
      <w:r/>
    </w:p>
    <w:p>
      <w:pPr>
        <w:pStyle w:val="706"/>
        <w:numPr>
          <w:ilvl w:val="0"/>
          <w:numId w:val="2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如我方在提交响应文件截止期后撤回响应文件及成交后拒绝遵守响应承诺或拒绝在规定的时间内与采购人签订合同，则接受政府采购监督管理部门的处理。</w:t>
      </w:r>
      <w:r>
        <w:rPr>
          <w:rFonts w:ascii="宋体"/>
          <w:bCs/>
          <w:color w:val="000000"/>
          <w:sz w:val="24"/>
          <w:szCs w:val="24"/>
          <w:highlight w:val="none"/>
        </w:rPr>
      </w:r>
      <w:r/>
    </w:p>
    <w:p>
      <w:pPr>
        <w:pStyle w:val="706"/>
        <w:numPr>
          <w:ilvl w:val="0"/>
          <w:numId w:val="2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第二阶段被确定为成交供应商，我方愿意按采购人要求交纳履约保证金。且我方如无不可抗力，又未履行征集文件、响应文件和合同条款的，一经查实，我方愿意赔偿由此而造成的一切损失，并同意接受按征集文件的相关要求对我方进行的处理。</w:t>
      </w:r>
      <w:r>
        <w:rPr>
          <w:rFonts w:ascii="宋体"/>
          <w:bCs/>
          <w:color w:val="000000"/>
          <w:sz w:val="24"/>
          <w:szCs w:val="24"/>
          <w:highlight w:val="none"/>
        </w:rPr>
      </w:r>
      <w:r/>
    </w:p>
    <w:p>
      <w:pPr>
        <w:pStyle w:val="706"/>
        <w:numPr>
          <w:ilvl w:val="0"/>
          <w:numId w:val="2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入围或成交、决不采取不正当手段诋毁、排挤其他供应商、决不与征集人、采购人、其他供应商恶意串通、决不向采购人、征集人和评委等相关人员进行商业贿赂、决不在采购过程中与征集人进行协商谈判、决不拒绝有关部门监督检查或提供虚假情况，如有违反，无条件接受相关管理部门的处罚。</w:t>
      </w:r>
      <w:r>
        <w:rPr>
          <w:rFonts w:ascii="宋体"/>
          <w:bCs/>
          <w:color w:val="000000"/>
          <w:sz w:val="24"/>
          <w:szCs w:val="24"/>
          <w:highlight w:val="none"/>
        </w:rPr>
      </w:r>
      <w:r/>
    </w:p>
    <w:p>
      <w:pPr>
        <w:pStyle w:val="706"/>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706"/>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06"/>
        <w:ind w:firstLine="480"/>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pStyle w:val="706"/>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rPr>
          <w:rFonts w:hint="eastAsia" w:ascii="宋体" w:hAnsi="宋体"/>
          <w:bCs/>
          <w:color w:val="000000"/>
          <w:sz w:val="24"/>
          <w:szCs w:val="24"/>
          <w:highlight w:val="none"/>
        </w:rPr>
      </w:r>
      <w:r/>
    </w:p>
    <w:p>
      <w:pPr>
        <w:pStyle w:val="706"/>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706"/>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706"/>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JSZC-320213-JZCG-K2026-0009</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706"/>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对本项目所提供的货物均为原厂全新合格品，提供的服务符合征集文件要求。</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具备履行本框架协议所必需的设备和专业技术能力</w:t>
      </w:r>
      <w:r>
        <w:rPr>
          <w:rFonts w:ascii="宋体" w:hAnsi="宋体"/>
          <w:bCs/>
          <w:color w:val="000000"/>
          <w:sz w:val="24"/>
          <w:szCs w:val="24"/>
          <w:highlight w:val="none"/>
        </w:rPr>
      </w:r>
      <w:r/>
    </w:p>
    <w:p>
      <w:pPr>
        <w:pStyle w:val="70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706"/>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70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706"/>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《需求标准》的前提下，如征集文件中对七种软硬件有其他要求的，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满足征集文件要求。如采购人在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hAnsi="宋体" w:cs="宋体"/>
          <w:color w:val="000000"/>
          <w:sz w:val="24"/>
          <w:szCs w:val="24"/>
          <w:highlight w:val="none"/>
        </w:rPr>
      </w:r>
      <w:r/>
    </w:p>
    <w:p>
      <w:pPr>
        <w:pStyle w:val="70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706"/>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（供应商如有其他承诺的可在此处添加）</w:t>
      </w:r>
      <w:r>
        <w:rPr>
          <w:rFonts w:hint="eastAsia" w:ascii="宋体"/>
          <w:bCs/>
          <w:color w:val="000000"/>
          <w:sz w:val="24"/>
          <w:szCs w:val="24"/>
          <w:highlight w:val="none"/>
        </w:rPr>
      </w:r>
      <w:r/>
    </w:p>
    <w:p>
      <w:pPr>
        <w:pStyle w:val="70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706"/>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706"/>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706"/>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rPr>
          <w:rFonts w:ascii="宋体" w:hAnsi="宋体"/>
          <w:bCs/>
          <w:color w:val="000000"/>
          <w:sz w:val="24"/>
          <w:szCs w:val="24"/>
          <w:highlight w:val="none"/>
        </w:rPr>
      </w:r>
      <w:r/>
    </w:p>
    <w:p>
      <w:pPr>
        <w:pStyle w:val="706"/>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八、报价一览表（给定格式）： </w:t>
      </w:r>
      <w:r>
        <w:rPr>
          <w:rFonts w:hint="eastAsia"/>
          <w:b/>
          <w:color w:val="000000"/>
          <w:sz w:val="28"/>
          <w:szCs w:val="28"/>
          <w:highlight w:val="none"/>
        </w:rPr>
      </w:r>
      <w:r/>
    </w:p>
    <w:p>
      <w:pPr>
        <w:pStyle w:val="706"/>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706"/>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报价一览表</w:t>
      </w:r>
      <w:r>
        <w:rPr>
          <w:rFonts w:ascii="黑体" w:eastAsia="黑体"/>
          <w:bCs/>
          <w:color w:val="000000"/>
          <w:sz w:val="28"/>
          <w:szCs w:val="28"/>
          <w:highlight w:val="none"/>
        </w:rPr>
      </w:r>
      <w:r/>
    </w:p>
    <w:p>
      <w:pPr>
        <w:pStyle w:val="706"/>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06"/>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项目名称：</w:t>
      </w:r>
      <w:r>
        <w:rPr>
          <w:rFonts w:hint="eastAsia" w:ascii="黑体" w:eastAsia="黑体"/>
          <w:bCs/>
          <w:color w:val="000000"/>
          <w:sz w:val="24"/>
          <w:szCs w:val="24"/>
          <w:highlight w:val="none"/>
          <w:lang w:eastAsia="zh-CN"/>
        </w:rPr>
        <w:t xml:space="preserve">2026-2027年度无锡市梁溪区物业管理服务框架协议采购</w:t>
      </w:r>
      <w:r>
        <w:rPr>
          <w:rFonts w:hint="eastAsia" w:ascii="黑体" w:eastAsia="黑体"/>
          <w:bCs/>
          <w:color w:val="000000"/>
          <w:sz w:val="24"/>
          <w:szCs w:val="24"/>
          <w:highlight w:val="none"/>
          <w:lang w:eastAsia="zh-CN"/>
        </w:rPr>
      </w:r>
      <w:r/>
    </w:p>
    <w:p>
      <w:pPr>
        <w:pStyle w:val="706"/>
        <w:spacing w:line="360" w:lineRule="auto"/>
        <w:rPr>
          <w:rFonts w:ascii="黑体" w:eastAsia="黑体"/>
          <w:bCs/>
          <w:color w:val="000000"/>
          <w:sz w:val="24"/>
          <w:szCs w:val="24"/>
          <w:highlight w:val="none"/>
          <w:u w:val="singl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JSZC-320213-JZCG-K2026-0009</w:t>
      </w:r>
      <w:r>
        <w:rPr>
          <w:rFonts w:hint="eastAsia" w:ascii="黑体" w:eastAsia="黑体"/>
          <w:bCs/>
          <w:color w:val="000000"/>
          <w:sz w:val="24"/>
          <w:szCs w:val="24"/>
          <w:highlight w:val="none"/>
        </w:rPr>
        <w:t xml:space="preserve">              </w:t>
      </w:r>
      <w:r>
        <w:rPr>
          <w:rFonts w:ascii="黑体" w:eastAsia="黑体"/>
          <w:bCs/>
          <w:color w:val="000000"/>
          <w:sz w:val="24"/>
          <w:szCs w:val="24"/>
          <w:highlight w:val="none"/>
          <w:u w:val="single"/>
        </w:rPr>
      </w:r>
      <w:r/>
    </w:p>
    <w:p>
      <w:pPr>
        <w:pStyle w:val="706"/>
        <w:spacing w:line="360" w:lineRule="auto"/>
        <w:rPr>
          <w:rFonts w:ascii="黑体" w:eastAsia="黑体"/>
          <w:bCs/>
          <w:color w:val="000000"/>
          <w:sz w:val="24"/>
          <w:szCs w:val="24"/>
          <w:highlight w:val="none"/>
          <w:u w:val="single"/>
        </w:rPr>
      </w:pPr>
      <w:r>
        <w:rPr>
          <w:rFonts w:hint="eastAsia" w:ascii="黑体" w:eastAsia="黑体"/>
          <w:bCs/>
          <w:color w:val="000000"/>
          <w:sz w:val="24"/>
          <w:szCs w:val="24"/>
          <w:highlight w:val="none"/>
        </w:rPr>
        <w:t xml:space="preserve">供应商名称（盖章）：</w:t>
      </w:r>
      <w:r>
        <w:rPr>
          <w:rFonts w:hint="eastAsia" w:ascii="黑体" w:eastAsia="黑体"/>
          <w:bCs/>
          <w:color w:val="000000"/>
          <w:sz w:val="24"/>
          <w:szCs w:val="24"/>
          <w:highlight w:val="none"/>
          <w:u w:val="single"/>
        </w:rPr>
        <w:t xml:space="preserve">                               </w:t>
      </w:r>
      <w:r>
        <w:rPr>
          <w:rFonts w:ascii="黑体" w:eastAsia="黑体"/>
          <w:bCs/>
          <w:color w:val="000000"/>
          <w:sz w:val="24"/>
          <w:szCs w:val="24"/>
          <w:highlight w:val="none"/>
          <w:u w:val="single"/>
        </w:rPr>
      </w:r>
      <w:r/>
    </w:p>
    <w:tbl>
      <w:tblPr>
        <w:tblW w:w="10817"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
        <w:gridCol w:w="2972"/>
        <w:gridCol w:w="1531"/>
        <w:gridCol w:w="1227"/>
        <w:gridCol w:w="1160"/>
        <w:gridCol w:w="1160"/>
        <w:gridCol w:w="2360"/>
      </w:tblGrid>
      <w:tr>
        <w:trPr>
          <w:trHeight w:val="644"/>
        </w:trPr>
        <w:tc>
          <w:tcPr>
            <w:tcMar>
              <w:left w:w="108" w:type="dxa"/>
              <w:top w:w="0" w:type="dxa"/>
              <w:right w:w="108" w:type="dxa"/>
              <w:bottom w:w="0" w:type="dxa"/>
            </w:tcMar>
            <w:tcW w:w="407"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rFonts w:hint="eastAsia" w:ascii="宋体" w:hAnsi="宋体" w:cs="宋体"/>
                <w:color w:val="000000"/>
                <w:highlight w:val="none"/>
              </w:rPr>
            </w:r>
            <w:r/>
          </w:p>
        </w:tc>
        <w:tc>
          <w:tcPr>
            <w:tcMar>
              <w:left w:w="108" w:type="dxa"/>
              <w:top w:w="0" w:type="dxa"/>
              <w:right w:w="108" w:type="dxa"/>
              <w:bottom w:w="0" w:type="dxa"/>
            </w:tcMar>
            <w:tcW w:w="2972"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报价内容</w:t>
            </w:r>
            <w:r>
              <w:rPr>
                <w:rFonts w:hint="eastAsia" w:ascii="宋体" w:hAnsi="宋体" w:cs="宋体"/>
                <w:color w:val="000000"/>
                <w:highlight w:val="none"/>
              </w:rPr>
            </w:r>
            <w:r/>
          </w:p>
        </w:tc>
        <w:tc>
          <w:tcPr>
            <w:tcMar>
              <w:left w:w="108" w:type="dxa"/>
              <w:top w:w="0" w:type="dxa"/>
              <w:right w:w="108" w:type="dxa"/>
              <w:bottom w:w="0" w:type="dxa"/>
            </w:tcMar>
            <w:tcW w:w="1531"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最高限制单价</w:t>
            </w:r>
            <w:r>
              <w:rPr>
                <w:rFonts w:hint="eastAsia" w:ascii="宋体" w:hAnsi="宋体" w:cs="宋体"/>
                <w:color w:val="000000"/>
                <w:highlight w:val="none"/>
              </w:rPr>
            </w:r>
            <w:r/>
          </w:p>
        </w:tc>
        <w:tc>
          <w:tcPr>
            <w:tcW w:w="1227"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报价单位</w:t>
            </w:r>
            <w:r>
              <w:rPr>
                <w:rFonts w:hint="eastAsia" w:ascii="宋体" w:hAnsi="宋体" w:cs="宋体"/>
                <w:color w:val="000000"/>
                <w:highlight w:val="none"/>
              </w:rPr>
            </w:r>
            <w:r/>
          </w:p>
        </w:tc>
        <w:tc>
          <w:tcPr>
            <w:tcW w:w="1160" w:type="dxa"/>
            <w:vAlign w:val="top"/>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综合计算权重（%）</w:t>
            </w:r>
            <w:r>
              <w:rPr>
                <w:rFonts w:hint="eastAsia" w:ascii="宋体" w:hAnsi="宋体" w:cs="宋体"/>
                <w:color w:val="000000"/>
                <w:highlight w:val="none"/>
              </w:rPr>
            </w:r>
            <w:r/>
          </w:p>
        </w:tc>
        <w:tc>
          <w:tcPr>
            <w:tcW w:w="1160"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报价</w:t>
            </w:r>
            <w:r>
              <w:rPr>
                <w:rFonts w:hint="eastAsia" w:ascii="宋体" w:hAnsi="宋体" w:cs="宋体"/>
                <w:color w:val="000000"/>
                <w:highlight w:val="none"/>
              </w:rPr>
            </w:r>
            <w:r/>
          </w:p>
        </w:tc>
        <w:tc>
          <w:tcPr>
            <w:tcW w:w="2360"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rHeight w:val="1891"/>
        </w:trPr>
        <w:tc>
          <w:tcPr>
            <w:tcMar>
              <w:left w:w="108" w:type="dxa"/>
              <w:top w:w="0" w:type="dxa"/>
              <w:right w:w="108" w:type="dxa"/>
              <w:bottom w:w="0" w:type="dxa"/>
            </w:tcMar>
            <w:tcW w:w="40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w:t>
            </w:r>
            <w:r>
              <w:rPr>
                <w:rFonts w:hint="eastAsia" w:ascii="宋体" w:hAnsi="宋体" w:cs="宋体"/>
                <w:color w:val="000000"/>
                <w:highlight w:val="none"/>
              </w:rPr>
            </w:r>
            <w:r/>
          </w:p>
        </w:tc>
        <w:tc>
          <w:tcPr>
            <w:tcMar>
              <w:left w:w="108" w:type="dxa"/>
              <w:top w:w="0" w:type="dxa"/>
              <w:right w:w="108" w:type="dxa"/>
              <w:bottom w:w="0" w:type="dxa"/>
            </w:tcMar>
            <w:tcW w:w="2972"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公共区域保洁服务费</w:t>
            </w:r>
            <w:r>
              <w:rPr>
                <w:rFonts w:hint="eastAsia" w:ascii="宋体" w:hAnsi="宋体" w:cs="宋体"/>
                <w:color w:val="000000"/>
                <w:highlight w:val="none"/>
              </w:rPr>
            </w:r>
            <w:r/>
          </w:p>
        </w:tc>
        <w:tc>
          <w:tcPr>
            <w:tcMar>
              <w:left w:w="108" w:type="dxa"/>
              <w:top w:w="0" w:type="dxa"/>
              <w:right w:w="108" w:type="dxa"/>
              <w:bottom w:w="0" w:type="dxa"/>
            </w:tcMar>
            <w:tcW w:w="1531"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1.8元/㎡/月</w:t>
            </w:r>
            <w:r>
              <w:rPr>
                <w:rFonts w:hint="eastAsia" w:ascii="宋体" w:hAnsi="宋体" w:cs="宋体"/>
                <w:color w:val="000000"/>
                <w:highlight w:val="none"/>
              </w:rPr>
            </w:r>
            <w:r/>
          </w:p>
        </w:tc>
        <w:tc>
          <w:tcPr>
            <w:tcW w:w="122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元/㎡/月</w:t>
            </w:r>
            <w:r>
              <w:rPr>
                <w:rFonts w:hint="eastAsia" w:ascii="宋体" w:hAnsi="宋体" w:cs="宋体"/>
                <w:color w:val="000000"/>
                <w:highlight w:val="none"/>
              </w:rPr>
            </w:r>
            <w:r/>
          </w:p>
        </w:tc>
        <w:tc>
          <w:tcPr>
            <w:tcW w:w="1160"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20</w:t>
            </w:r>
            <w:r>
              <w:rPr>
                <w:rFonts w:hint="eastAsia" w:ascii="宋体" w:hAnsi="宋体" w:cs="宋体"/>
                <w:color w:val="000000"/>
                <w:highlight w:val="none"/>
              </w:rPr>
            </w:r>
            <w:r/>
          </w:p>
        </w:tc>
        <w:tc>
          <w:tcPr>
            <w:tcW w:w="1160"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W w:w="2360" w:type="dxa"/>
            <w:vAlign w:val="top"/>
            <w:textDirection w:val="lrTb"/>
            <w:noWrap w:val="false"/>
          </w:tcPr>
          <w:p>
            <w:pPr>
              <w:pStyle w:val="706"/>
              <w:jc w:val="lef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包括建筑物和庭院中发生保洁服务活动的区域面积。此费用包含由承接主体承担的清洁药剂 、清洁工具等低值易耗品费。</w:t>
            </w:r>
            <w:r>
              <w:rPr>
                <w:rFonts w:hint="eastAsia" w:ascii="宋体" w:hAnsi="宋体" w:cs="宋体"/>
                <w:color w:val="000000"/>
                <w:highlight w:val="none"/>
              </w:rPr>
            </w:r>
            <w:r/>
          </w:p>
        </w:tc>
      </w:tr>
      <w:tr>
        <w:trPr>
          <w:trHeight w:val="1579"/>
        </w:trPr>
        <w:tc>
          <w:tcPr>
            <w:tcMar>
              <w:left w:w="108" w:type="dxa"/>
              <w:top w:w="0" w:type="dxa"/>
              <w:right w:w="108" w:type="dxa"/>
              <w:bottom w:w="0" w:type="dxa"/>
            </w:tcMar>
            <w:tcW w:w="40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w:t>
            </w:r>
            <w:r>
              <w:rPr>
                <w:rFonts w:hint="eastAsia" w:ascii="宋体" w:hAnsi="宋体" w:cs="宋体"/>
                <w:color w:val="000000"/>
                <w:highlight w:val="none"/>
              </w:rPr>
            </w:r>
            <w:r/>
          </w:p>
        </w:tc>
        <w:tc>
          <w:tcPr>
            <w:tcMar>
              <w:left w:w="108" w:type="dxa"/>
              <w:top w:w="0" w:type="dxa"/>
              <w:right w:w="108" w:type="dxa"/>
              <w:bottom w:w="0" w:type="dxa"/>
            </w:tcMar>
            <w:tcW w:w="2972"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基本安全保卫服务费</w:t>
            </w:r>
            <w:r>
              <w:rPr>
                <w:rFonts w:hint="eastAsia" w:ascii="宋体" w:hAnsi="宋体" w:cs="宋体"/>
                <w:color w:val="000000"/>
                <w:highlight w:val="none"/>
              </w:rPr>
            </w:r>
            <w:r/>
          </w:p>
        </w:tc>
        <w:tc>
          <w:tcPr>
            <w:tcMar>
              <w:left w:w="108" w:type="dxa"/>
              <w:top w:w="0" w:type="dxa"/>
              <w:right w:w="108" w:type="dxa"/>
              <w:bottom w:w="0" w:type="dxa"/>
            </w:tcMar>
            <w:tcW w:w="1531"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1.7元/㎡/月</w:t>
            </w:r>
            <w:r>
              <w:rPr>
                <w:rFonts w:hint="eastAsia" w:ascii="宋体" w:hAnsi="宋体" w:cs="宋体"/>
                <w:color w:val="000000"/>
                <w:highlight w:val="none"/>
              </w:rPr>
            </w:r>
            <w:r/>
          </w:p>
        </w:tc>
        <w:tc>
          <w:tcPr>
            <w:tcW w:w="122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元/㎡/月</w:t>
            </w:r>
            <w:r>
              <w:rPr>
                <w:rFonts w:hint="eastAsia" w:ascii="宋体" w:hAnsi="宋体" w:cs="宋体"/>
                <w:color w:val="000000"/>
                <w:highlight w:val="none"/>
              </w:rPr>
            </w:r>
            <w:r/>
          </w:p>
        </w:tc>
        <w:tc>
          <w:tcPr>
            <w:tcW w:w="1160"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20</w:t>
            </w:r>
            <w:r>
              <w:rPr>
                <w:rFonts w:hint="eastAsia" w:ascii="宋体" w:hAnsi="宋体" w:cs="宋体"/>
                <w:color w:val="000000"/>
                <w:highlight w:val="none"/>
              </w:rPr>
            </w:r>
            <w:r/>
          </w:p>
        </w:tc>
        <w:tc>
          <w:tcPr>
            <w:tcW w:w="1160"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W w:w="2360" w:type="dxa"/>
            <w:vAlign w:val="top"/>
            <w:textDirection w:val="lrTb"/>
            <w:noWrap w:val="false"/>
          </w:tcPr>
          <w:p>
            <w:pPr>
              <w:pStyle w:val="706"/>
              <w:jc w:val="lef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适用于无对外服务大厅的单位 。此费用包含由承接主体承担的对讲机、安保服装、照明灯、应急包等材料费。</w:t>
            </w:r>
            <w:r>
              <w:rPr>
                <w:rFonts w:hint="eastAsia" w:ascii="宋体" w:hAnsi="宋体" w:cs="宋体"/>
                <w:color w:val="000000"/>
                <w:highlight w:val="none"/>
              </w:rPr>
            </w:r>
            <w:r/>
          </w:p>
        </w:tc>
      </w:tr>
      <w:tr>
        <w:trPr>
          <w:trHeight w:val="956"/>
        </w:trPr>
        <w:tc>
          <w:tcPr>
            <w:tcMar>
              <w:left w:w="108" w:type="dxa"/>
              <w:top w:w="0" w:type="dxa"/>
              <w:right w:w="108" w:type="dxa"/>
              <w:bottom w:w="0" w:type="dxa"/>
            </w:tcMar>
            <w:tcW w:w="40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w:t>
            </w:r>
            <w:r>
              <w:rPr>
                <w:rFonts w:hint="eastAsia" w:ascii="宋体" w:hAnsi="宋体" w:cs="宋体"/>
                <w:color w:val="000000"/>
                <w:highlight w:val="none"/>
              </w:rPr>
            </w:r>
            <w:r/>
          </w:p>
        </w:tc>
        <w:tc>
          <w:tcPr>
            <w:tcMar>
              <w:left w:w="108" w:type="dxa"/>
              <w:top w:w="0" w:type="dxa"/>
              <w:right w:w="108" w:type="dxa"/>
              <w:bottom w:w="0" w:type="dxa"/>
            </w:tcMar>
            <w:tcW w:w="2972"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绿化管理维护服务费</w:t>
            </w:r>
            <w:r>
              <w:rPr>
                <w:rFonts w:hint="eastAsia" w:ascii="宋体" w:hAnsi="宋体" w:cs="宋体"/>
                <w:color w:val="000000"/>
                <w:highlight w:val="none"/>
              </w:rPr>
            </w:r>
            <w:r/>
          </w:p>
        </w:tc>
        <w:tc>
          <w:tcPr>
            <w:tcMar>
              <w:left w:w="108" w:type="dxa"/>
              <w:top w:w="0" w:type="dxa"/>
              <w:right w:w="108" w:type="dxa"/>
              <w:bottom w:w="0" w:type="dxa"/>
            </w:tcMar>
            <w:tcW w:w="1531"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0.6元/㎡/月</w:t>
            </w:r>
            <w:r>
              <w:rPr>
                <w:rFonts w:hint="eastAsia" w:ascii="宋体" w:hAnsi="宋体" w:cs="宋体"/>
                <w:color w:val="000000"/>
                <w:highlight w:val="none"/>
              </w:rPr>
            </w:r>
            <w:r/>
          </w:p>
        </w:tc>
        <w:tc>
          <w:tcPr>
            <w:tcW w:w="122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元/㎡/月</w:t>
            </w:r>
            <w:r>
              <w:rPr>
                <w:rFonts w:hint="eastAsia" w:ascii="宋体" w:hAnsi="宋体" w:cs="宋体"/>
                <w:color w:val="000000"/>
                <w:highlight w:val="none"/>
              </w:rPr>
            </w:r>
            <w:r/>
          </w:p>
        </w:tc>
        <w:tc>
          <w:tcPr>
            <w:tcW w:w="1160"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highlight w:val="none"/>
              </w:rPr>
            </w:r>
            <w:r/>
          </w:p>
        </w:tc>
        <w:tc>
          <w:tcPr>
            <w:tcW w:w="1160"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W w:w="2360" w:type="dxa"/>
            <w:vAlign w:val="top"/>
            <w:textDirection w:val="lrTb"/>
            <w:noWrap w:val="false"/>
          </w:tcPr>
          <w:p>
            <w:pPr>
              <w:pStyle w:val="706"/>
              <w:jc w:val="lef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室外绿化面积。包括林地、草地及水系面积，不包括室外道路面积。</w:t>
            </w:r>
            <w:r>
              <w:rPr>
                <w:rFonts w:hint="eastAsia" w:ascii="宋体" w:hAnsi="宋体" w:cs="宋体"/>
                <w:color w:val="000000"/>
                <w:highlight w:val="none"/>
              </w:rPr>
            </w:r>
            <w:r/>
          </w:p>
        </w:tc>
      </w:tr>
      <w:tr>
        <w:trPr>
          <w:trHeight w:val="1579"/>
        </w:trPr>
        <w:tc>
          <w:tcPr>
            <w:tcMar>
              <w:left w:w="108" w:type="dxa"/>
              <w:top w:w="0" w:type="dxa"/>
              <w:right w:w="108" w:type="dxa"/>
              <w:bottom w:w="0" w:type="dxa"/>
            </w:tcMar>
            <w:tcW w:w="40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4</w:t>
            </w:r>
            <w:r>
              <w:rPr>
                <w:rFonts w:hint="eastAsia" w:ascii="宋体" w:hAnsi="宋体" w:cs="宋体"/>
                <w:color w:val="000000"/>
                <w:highlight w:val="none"/>
              </w:rPr>
            </w:r>
            <w:r/>
          </w:p>
        </w:tc>
        <w:tc>
          <w:tcPr>
            <w:tcMar>
              <w:left w:w="108" w:type="dxa"/>
              <w:top w:w="0" w:type="dxa"/>
              <w:right w:w="108" w:type="dxa"/>
              <w:bottom w:w="0" w:type="dxa"/>
            </w:tcMar>
            <w:tcW w:w="2972"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房屋日常管理与维修养护服务费</w:t>
            </w:r>
            <w:r>
              <w:rPr>
                <w:rFonts w:hint="eastAsia" w:ascii="宋体" w:hAnsi="宋体" w:cs="宋体"/>
                <w:color w:val="000000"/>
                <w:highlight w:val="none"/>
              </w:rPr>
            </w:r>
            <w:r/>
          </w:p>
        </w:tc>
        <w:tc>
          <w:tcPr>
            <w:tcMar>
              <w:left w:w="108" w:type="dxa"/>
              <w:top w:w="0" w:type="dxa"/>
              <w:right w:w="108" w:type="dxa"/>
              <w:bottom w:w="0" w:type="dxa"/>
            </w:tcMar>
            <w:tcW w:w="1531"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0.3元/㎡/月</w:t>
            </w:r>
            <w:r>
              <w:rPr>
                <w:rFonts w:hint="eastAsia" w:ascii="宋体" w:hAnsi="宋体" w:cs="宋体"/>
                <w:color w:val="000000"/>
                <w:highlight w:val="none"/>
              </w:rPr>
            </w:r>
            <w:r/>
          </w:p>
        </w:tc>
        <w:tc>
          <w:tcPr>
            <w:tcW w:w="122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元/㎡/月</w:t>
            </w:r>
            <w:r>
              <w:rPr>
                <w:rFonts w:hint="eastAsia" w:ascii="宋体" w:hAnsi="宋体" w:cs="宋体"/>
                <w:color w:val="000000"/>
                <w:highlight w:val="none"/>
              </w:rPr>
            </w:r>
            <w:r/>
          </w:p>
        </w:tc>
        <w:tc>
          <w:tcPr>
            <w:tcW w:w="1160"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highlight w:val="none"/>
              </w:rPr>
            </w:r>
            <w:r/>
          </w:p>
        </w:tc>
        <w:tc>
          <w:tcPr>
            <w:tcW w:w="1160"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W w:w="2360" w:type="dxa"/>
            <w:vAlign w:val="top"/>
            <w:textDirection w:val="lrTb"/>
            <w:noWrap w:val="false"/>
          </w:tcPr>
          <w:p>
            <w:pPr>
              <w:pStyle w:val="706"/>
              <w:jc w:val="lef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仅限有独立办公用房的单位。此费用包含由承接主体承担的300元以下的单个维修零配件材料费 。</w:t>
            </w:r>
            <w:r>
              <w:rPr>
                <w:rFonts w:hint="eastAsia" w:ascii="宋体" w:hAnsi="宋体" w:cs="宋体"/>
                <w:color w:val="000000"/>
                <w:highlight w:val="none"/>
              </w:rPr>
            </w:r>
            <w:r/>
          </w:p>
        </w:tc>
      </w:tr>
      <w:tr>
        <w:trPr>
          <w:trHeight w:val="1579"/>
        </w:trPr>
        <w:tc>
          <w:tcPr>
            <w:tcMar>
              <w:left w:w="108" w:type="dxa"/>
              <w:top w:w="0" w:type="dxa"/>
              <w:right w:w="108" w:type="dxa"/>
              <w:bottom w:w="0" w:type="dxa"/>
            </w:tcMar>
            <w:tcW w:w="40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5</w:t>
            </w:r>
            <w:r>
              <w:rPr>
                <w:rFonts w:hint="eastAsia" w:ascii="宋体" w:hAnsi="宋体" w:cs="宋体"/>
                <w:color w:val="000000"/>
                <w:highlight w:val="none"/>
              </w:rPr>
            </w:r>
            <w:r/>
          </w:p>
        </w:tc>
        <w:tc>
          <w:tcPr>
            <w:tcMar>
              <w:left w:w="108" w:type="dxa"/>
              <w:top w:w="0" w:type="dxa"/>
              <w:right w:w="108" w:type="dxa"/>
              <w:bottom w:w="0" w:type="dxa"/>
            </w:tcMar>
            <w:tcW w:w="2972"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给排水系统管理维护服务费</w:t>
            </w:r>
            <w:r>
              <w:rPr>
                <w:rFonts w:hint="eastAsia" w:ascii="宋体" w:hAnsi="宋体" w:cs="宋体"/>
                <w:color w:val="000000"/>
                <w:highlight w:val="none"/>
              </w:rPr>
            </w:r>
            <w:r/>
          </w:p>
        </w:tc>
        <w:tc>
          <w:tcPr>
            <w:tcMar>
              <w:left w:w="108" w:type="dxa"/>
              <w:top w:w="0" w:type="dxa"/>
              <w:right w:w="108" w:type="dxa"/>
              <w:bottom w:w="0" w:type="dxa"/>
            </w:tcMar>
            <w:tcW w:w="1531"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0.3元/㎡/月</w:t>
            </w:r>
            <w:r>
              <w:rPr>
                <w:rFonts w:hint="eastAsia" w:ascii="宋体" w:hAnsi="宋体" w:cs="宋体"/>
                <w:color w:val="000000"/>
                <w:highlight w:val="none"/>
              </w:rPr>
            </w:r>
            <w:r/>
          </w:p>
        </w:tc>
        <w:tc>
          <w:tcPr>
            <w:tcW w:w="122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元/㎡/月</w:t>
            </w:r>
            <w:r>
              <w:rPr>
                <w:rFonts w:hint="eastAsia" w:ascii="宋体" w:hAnsi="宋体" w:cs="宋体"/>
                <w:color w:val="000000"/>
                <w:highlight w:val="none"/>
              </w:rPr>
            </w:r>
            <w:r/>
          </w:p>
        </w:tc>
        <w:tc>
          <w:tcPr>
            <w:tcW w:w="1160"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highlight w:val="none"/>
              </w:rPr>
            </w:r>
            <w:r/>
          </w:p>
        </w:tc>
        <w:tc>
          <w:tcPr>
            <w:tcW w:w="1160"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W w:w="2360" w:type="dxa"/>
            <w:vAlign w:val="top"/>
            <w:textDirection w:val="lrTb"/>
            <w:noWrap w:val="false"/>
          </w:tcPr>
          <w:p>
            <w:pPr>
              <w:pStyle w:val="706"/>
              <w:jc w:val="lef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仅限有独立办公用房的单位。此费用包含由承接主体承担的300元以下的单个维修零配件材料费 。</w:t>
            </w:r>
            <w:r>
              <w:rPr>
                <w:rFonts w:hint="eastAsia" w:ascii="宋体" w:hAnsi="宋体" w:cs="宋体"/>
                <w:color w:val="000000"/>
                <w:highlight w:val="none"/>
              </w:rPr>
            </w:r>
            <w:r/>
          </w:p>
        </w:tc>
      </w:tr>
      <w:tr>
        <w:trPr>
          <w:trHeight w:val="1579"/>
        </w:trPr>
        <w:tc>
          <w:tcPr>
            <w:tcMar>
              <w:left w:w="108" w:type="dxa"/>
              <w:top w:w="0" w:type="dxa"/>
              <w:right w:w="108" w:type="dxa"/>
              <w:bottom w:w="0" w:type="dxa"/>
            </w:tcMar>
            <w:tcW w:w="40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6</w:t>
            </w:r>
            <w:r>
              <w:rPr>
                <w:rFonts w:hint="eastAsia" w:ascii="宋体" w:hAnsi="宋体" w:cs="宋体"/>
                <w:color w:val="000000"/>
                <w:highlight w:val="none"/>
              </w:rPr>
            </w:r>
            <w:r/>
          </w:p>
        </w:tc>
        <w:tc>
          <w:tcPr>
            <w:tcMar>
              <w:left w:w="108" w:type="dxa"/>
              <w:top w:w="0" w:type="dxa"/>
              <w:right w:w="108" w:type="dxa"/>
              <w:bottom w:w="0" w:type="dxa"/>
            </w:tcMar>
            <w:tcW w:w="2972"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强弱电系统管理维护服务费</w:t>
            </w:r>
            <w:r>
              <w:rPr>
                <w:rFonts w:hint="eastAsia" w:ascii="宋体" w:hAnsi="宋体" w:cs="宋体"/>
                <w:color w:val="000000"/>
                <w:highlight w:val="none"/>
              </w:rPr>
            </w:r>
            <w:r/>
          </w:p>
        </w:tc>
        <w:tc>
          <w:tcPr>
            <w:tcMar>
              <w:left w:w="108" w:type="dxa"/>
              <w:top w:w="0" w:type="dxa"/>
              <w:right w:w="108" w:type="dxa"/>
              <w:bottom w:w="0" w:type="dxa"/>
            </w:tcMar>
            <w:tcW w:w="1531"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0.9元/㎡/月</w:t>
            </w:r>
            <w:r>
              <w:rPr>
                <w:rFonts w:hint="eastAsia" w:ascii="宋体" w:hAnsi="宋体" w:cs="宋体"/>
                <w:color w:val="000000"/>
                <w:highlight w:val="none"/>
              </w:rPr>
            </w:r>
            <w:r/>
          </w:p>
        </w:tc>
        <w:tc>
          <w:tcPr>
            <w:tcW w:w="122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元/㎡/月</w:t>
            </w:r>
            <w:r>
              <w:rPr>
                <w:rFonts w:hint="eastAsia" w:ascii="宋体" w:hAnsi="宋体" w:cs="宋体"/>
                <w:color w:val="000000"/>
                <w:highlight w:val="none"/>
              </w:rPr>
            </w:r>
            <w:r/>
          </w:p>
        </w:tc>
        <w:tc>
          <w:tcPr>
            <w:tcW w:w="1160"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highlight w:val="none"/>
              </w:rPr>
            </w:r>
            <w:r/>
          </w:p>
        </w:tc>
        <w:tc>
          <w:tcPr>
            <w:tcW w:w="1160"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W w:w="2360" w:type="dxa"/>
            <w:vAlign w:val="top"/>
            <w:textDirection w:val="lrTb"/>
            <w:noWrap w:val="false"/>
          </w:tcPr>
          <w:p>
            <w:pPr>
              <w:pStyle w:val="706"/>
              <w:jc w:val="lef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仅限有独立办公用房的单位。此费用包含由承接主体承担的300元以下的单个维修零配件材料费 。</w:t>
            </w:r>
            <w:r>
              <w:rPr>
                <w:rFonts w:hint="eastAsia" w:ascii="宋体" w:hAnsi="宋体" w:cs="宋体"/>
                <w:color w:val="000000"/>
                <w:highlight w:val="none"/>
              </w:rPr>
            </w:r>
            <w:r/>
          </w:p>
        </w:tc>
      </w:tr>
      <w:tr>
        <w:trPr>
          <w:trHeight w:val="644"/>
        </w:trPr>
        <w:tc>
          <w:tcPr>
            <w:tcMar>
              <w:left w:w="108" w:type="dxa"/>
              <w:top w:w="0" w:type="dxa"/>
              <w:right w:w="108" w:type="dxa"/>
              <w:bottom w:w="0" w:type="dxa"/>
            </w:tcMar>
            <w:tcW w:w="40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7</w:t>
            </w:r>
            <w:r>
              <w:rPr>
                <w:rFonts w:hint="eastAsia" w:ascii="宋体" w:hAnsi="宋体" w:cs="宋体"/>
                <w:color w:val="000000"/>
                <w:highlight w:val="none"/>
              </w:rPr>
            </w:r>
            <w:r/>
          </w:p>
        </w:tc>
        <w:tc>
          <w:tcPr>
            <w:tcMar>
              <w:left w:w="108" w:type="dxa"/>
              <w:top w:w="0" w:type="dxa"/>
              <w:right w:w="108" w:type="dxa"/>
              <w:bottom w:w="0" w:type="dxa"/>
            </w:tcMar>
            <w:tcW w:w="2972"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空调系统管理维护服务费</w:t>
            </w:r>
            <w:r>
              <w:rPr>
                <w:rFonts w:hint="eastAsia" w:ascii="宋体" w:hAnsi="宋体" w:cs="宋体"/>
                <w:color w:val="000000"/>
                <w:highlight w:val="none"/>
              </w:rPr>
            </w:r>
            <w:r/>
          </w:p>
        </w:tc>
        <w:tc>
          <w:tcPr>
            <w:tcMar>
              <w:left w:w="108" w:type="dxa"/>
              <w:top w:w="0" w:type="dxa"/>
              <w:right w:w="108" w:type="dxa"/>
              <w:bottom w:w="0" w:type="dxa"/>
            </w:tcMar>
            <w:tcW w:w="1531"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0.6元/㎡/月</w:t>
            </w:r>
            <w:r>
              <w:rPr>
                <w:rFonts w:hint="eastAsia" w:ascii="宋体" w:hAnsi="宋体" w:cs="宋体"/>
                <w:color w:val="000000"/>
                <w:highlight w:val="none"/>
              </w:rPr>
            </w:r>
            <w:r/>
          </w:p>
        </w:tc>
        <w:tc>
          <w:tcPr>
            <w:tcW w:w="1227"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元/㎡/月</w:t>
            </w:r>
            <w:r>
              <w:rPr>
                <w:rFonts w:hint="eastAsia" w:ascii="宋体" w:hAnsi="宋体" w:cs="宋体"/>
                <w:color w:val="000000"/>
                <w:highlight w:val="none"/>
              </w:rPr>
            </w:r>
            <w:r/>
          </w:p>
        </w:tc>
        <w:tc>
          <w:tcPr>
            <w:tcW w:w="1160" w:type="dxa"/>
            <w:vAlign w:val="center"/>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w:t>
            </w:r>
            <w:r>
              <w:rPr>
                <w:rFonts w:hint="eastAsia" w:ascii="宋体" w:hAnsi="宋体" w:cs="宋体"/>
                <w:color w:val="000000"/>
                <w:highlight w:val="none"/>
              </w:rPr>
            </w:r>
            <w:r/>
          </w:p>
        </w:tc>
        <w:tc>
          <w:tcPr>
            <w:tcW w:w="1160" w:type="dxa"/>
            <w:vAlign w:val="center"/>
            <w:textDirection w:val="lrTb"/>
            <w:noWrap w:val="false"/>
          </w:tcPr>
          <w:p>
            <w:pPr>
              <w:pStyle w:val="706"/>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W w:w="2360" w:type="dxa"/>
            <w:vAlign w:val="top"/>
            <w:textDirection w:val="lrTb"/>
            <w:noWrap w:val="false"/>
          </w:tcPr>
          <w:p>
            <w:pPr>
              <w:pStyle w:val="706"/>
              <w:jc w:val="lef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仅限有独立办公用房的单位。</w:t>
            </w:r>
            <w:r>
              <w:rPr>
                <w:rFonts w:hint="eastAsia" w:ascii="宋体" w:hAnsi="宋体" w:cs="宋体"/>
                <w:color w:val="000000"/>
                <w:highlight w:val="none"/>
              </w:rPr>
            </w:r>
            <w:r/>
          </w:p>
        </w:tc>
      </w:tr>
      <w:tr>
        <w:trPr>
          <w:trHeight w:val="352"/>
        </w:trPr>
        <w:tc>
          <w:tcPr>
            <w:gridSpan w:val="2"/>
            <w:tcMar>
              <w:left w:w="108" w:type="dxa"/>
              <w:top w:w="0" w:type="dxa"/>
              <w:right w:w="108" w:type="dxa"/>
              <w:bottom w:w="0" w:type="dxa"/>
            </w:tcMar>
            <w:tcW w:w="3379" w:type="dxa"/>
            <w:vAlign w:val="top"/>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综合计算得数</w:t>
            </w:r>
            <w:r>
              <w:rPr>
                <w:rFonts w:hint="eastAsia" w:ascii="宋体" w:hAnsi="宋体" w:cs="宋体"/>
                <w:color w:val="000000"/>
                <w:highlight w:val="none"/>
              </w:rPr>
            </w:r>
            <w:r/>
          </w:p>
        </w:tc>
        <w:tc>
          <w:tcPr>
            <w:gridSpan w:val="5"/>
            <w:tcMar>
              <w:left w:w="108" w:type="dxa"/>
              <w:top w:w="0" w:type="dxa"/>
              <w:right w:w="108" w:type="dxa"/>
              <w:bottom w:w="0" w:type="dxa"/>
            </w:tcMar>
            <w:tcW w:w="7438" w:type="dxa"/>
            <w:vAlign w:val="top"/>
            <w:textDirection w:val="lrTb"/>
            <w:noWrap w:val="false"/>
          </w:tcPr>
          <w:p>
            <w:pPr>
              <w:pStyle w:val="706"/>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供应商无需填报，以苏采云系统自动生成的数值为准（系统四舍五入至小数点后两位）</w:t>
            </w:r>
            <w:r>
              <w:rPr>
                <w:rFonts w:hint="eastAsia" w:ascii="宋体" w:hAnsi="宋体" w:cs="宋体"/>
                <w:color w:val="000000"/>
                <w:highlight w:val="none"/>
              </w:rPr>
            </w:r>
            <w:r/>
          </w:p>
        </w:tc>
      </w:tr>
    </w:tbl>
    <w:p>
      <w:pPr>
        <w:pStyle w:val="706"/>
        <w:spacing w:line="360" w:lineRule="auto"/>
        <w:rPr>
          <w:rFonts w:hint="eastAsia"/>
          <w:b/>
          <w:color w:val="000000"/>
          <w:highlight w:val="none"/>
        </w:rPr>
      </w:pPr>
      <w:r>
        <w:rPr>
          <w:rFonts w:hint="eastAsia"/>
          <w:b/>
          <w:color w:val="000000"/>
          <w:highlight w:val="none"/>
        </w:rPr>
      </w:r>
      <w:r/>
    </w:p>
    <w:p>
      <w:pPr>
        <w:pStyle w:val="706"/>
        <w:ind w:firstLine="422"/>
        <w:spacing w:line="360" w:lineRule="auto"/>
        <w:rPr>
          <w:b/>
          <w:color w:val="000000"/>
          <w:highlight w:val="none"/>
        </w:rPr>
      </w:pPr>
      <w:r>
        <w:rPr>
          <w:rFonts w:hint="eastAsia"/>
          <w:b/>
          <w:color w:val="000000"/>
          <w:highlight w:val="none"/>
        </w:rPr>
        <w:t xml:space="preserve">说明：</w:t>
      </w:r>
      <w:r>
        <w:rPr>
          <w:b/>
          <w:color w:val="000000"/>
          <w:highlight w:val="none"/>
        </w:rPr>
      </w:r>
      <w:r/>
    </w:p>
    <w:p>
      <w:pPr>
        <w:pStyle w:val="706"/>
        <w:numPr>
          <w:ilvl w:val="0"/>
          <w:numId w:val="30"/>
        </w:numPr>
        <w:ind w:firstLine="420"/>
        <w:spacing w:line="360" w:lineRule="auto"/>
        <w:tabs>
          <w:tab w:val="left" w:pos="312" w:leader="none"/>
        </w:tabs>
        <w:rPr>
          <w:rFonts w:hint="eastAsia" w:ascii="宋体" w:hAnsi="宋体"/>
          <w:color w:val="000000"/>
          <w:highlight w:val="none"/>
        </w:rPr>
      </w:pPr>
      <w:r>
        <w:rPr>
          <w:rFonts w:hint="eastAsia" w:ascii="宋体" w:hAnsi="宋体"/>
          <w:color w:val="000000"/>
          <w:highlight w:val="none"/>
        </w:rPr>
        <w:t xml:space="preserve">供应商应对所有内容报价（综合计算得数供应商无需填报，以苏采云系统自动生成的数值为准，系统四舍五入至小数点后两位），不得缺项、不得超过各项报价内容的最高限制单价，人员工资不得低于无锡市最低工资标准。供应商应按市场价格及自身实际情况客观报价，报价价格均应大于零，且各项内容报价最多均只能精确到小数点后两位，否则将被视为无效响应文件。供应商所报价格即为第一阶段入围后的协议价格也是采购人确定第二阶段成交供应商的最高限价。</w:t>
      </w:r>
      <w:r>
        <w:rPr>
          <w:rFonts w:hint="eastAsia" w:ascii="宋体" w:hAnsi="宋体"/>
          <w:color w:val="000000"/>
          <w:highlight w:val="none"/>
        </w:rPr>
      </w:r>
      <w:r/>
    </w:p>
    <w:p>
      <w:pPr>
        <w:pStyle w:val="706"/>
        <w:numPr>
          <w:ilvl w:val="0"/>
          <w:numId w:val="30"/>
        </w:numPr>
        <w:ind w:firstLine="420"/>
        <w:spacing w:line="360" w:lineRule="auto"/>
        <w:tabs>
          <w:tab w:val="left" w:pos="312" w:leader="none"/>
        </w:tabs>
        <w:rPr>
          <w:rFonts w:hint="eastAsia" w:ascii="宋体" w:hAnsi="宋体"/>
          <w:color w:val="000000"/>
          <w:highlight w:val="none"/>
        </w:rPr>
      </w:pPr>
      <w:r>
        <w:rPr>
          <w:rFonts w:hint="eastAsia" w:ascii="宋体" w:hAnsi="宋体"/>
          <w:color w:val="000000"/>
          <w:highlight w:val="none"/>
        </w:rPr>
        <w:t xml:space="preserve">最高限制单价包含了响应供应商的全部成本、税金和合理利润，不包括采购人单位自身设备运行燃料动力费、水电费以及单次单品超过 300 元的维修维护零配件材料费。</w:t>
      </w:r>
      <w:r>
        <w:rPr>
          <w:rFonts w:hint="eastAsia" w:ascii="宋体" w:hAnsi="宋体"/>
          <w:color w:val="000000"/>
          <w:highlight w:val="none"/>
        </w:rPr>
      </w:r>
      <w:r/>
    </w:p>
    <w:p>
      <w:pPr>
        <w:pStyle w:val="706"/>
        <w:numPr>
          <w:ilvl w:val="0"/>
          <w:numId w:val="30"/>
        </w:numPr>
        <w:ind w:firstLine="420"/>
        <w:spacing w:line="360" w:lineRule="auto"/>
        <w:tabs>
          <w:tab w:val="left" w:pos="312" w:leader="none"/>
        </w:tabs>
        <w:rPr>
          <w:rFonts w:hint="eastAsia" w:ascii="宋体" w:hAnsi="宋体"/>
          <w:color w:val="000000"/>
          <w:highlight w:val="none"/>
        </w:rPr>
      </w:pPr>
      <w:r>
        <w:rPr>
          <w:rFonts w:hint="eastAsia" w:ascii="宋体" w:hAnsi="宋体"/>
          <w:color w:val="000000"/>
          <w:highlight w:val="none"/>
        </w:rPr>
        <w:t xml:space="preserve">投标报价除应包括物业管理服务人员的工资（符合无锡市最低工资标准）、法定税费和合理利润外，还应包括体检、管理、劳务、服装、培训、通讯、安全保卫、调整风险及政策性文件规定等各项应有费用，以及为完成采购文件规定的物业管理工作所涉及的一切相关费用。供应商应当自行为服务人员办理必需的保险，有关人员伤亡及第三者责任险均应当考虑在报价因素中。供应商报价时应充分考虑服务期内所有可能影响到报价的因素，包括最低工资标准及社保基数的政策性调整。</w:t>
      </w:r>
      <w:r>
        <w:rPr>
          <w:rFonts w:hint="eastAsia" w:ascii="宋体" w:hAnsi="宋体"/>
          <w:color w:val="000000"/>
          <w:highlight w:val="none"/>
        </w:rPr>
      </w:r>
      <w:r/>
    </w:p>
    <w:p>
      <w:pPr>
        <w:pStyle w:val="706"/>
        <w:numPr>
          <w:ilvl w:val="0"/>
          <w:numId w:val="30"/>
        </w:numPr>
        <w:ind w:firstLine="420"/>
        <w:spacing w:line="360" w:lineRule="auto"/>
        <w:tabs>
          <w:tab w:val="left" w:pos="312" w:leader="none"/>
        </w:tabs>
        <w:rPr>
          <w:rFonts w:hint="eastAsia" w:ascii="宋体" w:hAnsi="宋体"/>
          <w:color w:val="000000"/>
          <w:highlight w:val="none"/>
        </w:rPr>
      </w:pPr>
      <w:r>
        <w:rPr>
          <w:rFonts w:hint="eastAsia" w:ascii="宋体" w:hAnsi="宋体"/>
          <w:color w:val="000000"/>
          <w:highlight w:val="none"/>
        </w:rPr>
        <w:t xml:space="preserve">计算公式如下：供应商报价的综合计算得数=公共区域保洁服务费报价栏中的数值*20%+基本安全保卫服务费报价栏中的数值*20%+绿化管理维护服务费报价栏中的数值*12%+房屋日常管理与维修养护服务费报价栏中的数值*12%+给排水系统管理维护服务费报价栏中的数值*12%+强弱电系统管理维护服务费报价栏中的数值*12%+空调系统管理维护服务费报价栏中的数值*12%</w:t>
      </w:r>
      <w:r>
        <w:rPr>
          <w:rFonts w:hint="eastAsia" w:ascii="宋体" w:hAnsi="宋体"/>
          <w:color w:val="000000"/>
          <w:highlight w:val="none"/>
        </w:rPr>
      </w:r>
      <w:r/>
    </w:p>
    <w:p>
      <w:pPr>
        <w:pStyle w:val="706"/>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706"/>
        <w:spacing w:line="360" w:lineRule="auto"/>
        <w:rPr>
          <w:rFonts w:hint="eastAsia"/>
          <w:b/>
          <w:color w:val="000000"/>
          <w:sz w:val="28"/>
          <w:szCs w:val="28"/>
          <w:highlight w:val="none"/>
        </w:rPr>
      </w:pPr>
      <w:r/>
      <w:bookmarkEnd w:id="184"/>
      <w:r/>
      <w:bookmarkEnd w:id="185"/>
      <w:r/>
      <w:bookmarkEnd w:id="186"/>
      <w:r/>
      <w:bookmarkStart w:id="190" w:name="_Toc120614284"/>
      <w:r>
        <w:rPr>
          <w:rFonts w:hint="eastAsia" w:ascii="宋体" w:hAnsi="宋体"/>
          <w:bCs/>
          <w:color w:val="000000"/>
          <w:highlight w:val="none"/>
        </w:rPr>
        <w:br w:type="page" w:clear="all"/>
      </w:r>
      <w:r>
        <w:rPr>
          <w:rFonts w:hint="eastAsia"/>
          <w:b/>
          <w:color w:val="000000"/>
          <w:sz w:val="28"/>
          <w:szCs w:val="28"/>
          <w:highlight w:val="none"/>
        </w:rPr>
        <w:t xml:space="preserve">九</w:t>
      </w:r>
      <w:r>
        <w:rPr>
          <w:b/>
          <w:color w:val="000000"/>
          <w:sz w:val="28"/>
          <w:szCs w:val="28"/>
          <w:highlight w:val="none"/>
        </w:rPr>
        <w:t xml:space="preserve">、</w:t>
      </w:r>
      <w:r>
        <w:rPr>
          <w:rFonts w:hint="eastAsia"/>
          <w:b/>
          <w:color w:val="000000"/>
          <w:sz w:val="28"/>
          <w:szCs w:val="28"/>
          <w:highlight w:val="none"/>
        </w:rPr>
        <w:t xml:space="preserve">响应偏离表（给定格式）：</w:t>
      </w:r>
      <w:r>
        <w:rPr>
          <w:rFonts w:hint="eastAsia"/>
          <w:b/>
          <w:color w:val="000000"/>
          <w:sz w:val="28"/>
          <w:szCs w:val="28"/>
          <w:highlight w:val="none"/>
        </w:rPr>
      </w:r>
      <w:r/>
    </w:p>
    <w:p>
      <w:pPr>
        <w:pStyle w:val="706"/>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06"/>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响应偏离表</w:t>
      </w:r>
      <w:r>
        <w:rPr>
          <w:rFonts w:ascii="黑体" w:eastAsia="黑体"/>
          <w:bCs/>
          <w:color w:val="000000"/>
          <w:sz w:val="28"/>
          <w:szCs w:val="28"/>
          <w:highlight w:val="none"/>
        </w:rPr>
      </w:r>
      <w:r/>
    </w:p>
    <w:p>
      <w:pPr>
        <w:pStyle w:val="706"/>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06"/>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06"/>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JSZC-320213-JZCG-K2026-0009</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06"/>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6"/>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6"/>
              <w:jc w:val="center"/>
              <w:rPr>
                <w:rFonts w:ascii="宋体"/>
                <w:b/>
                <w:bCs/>
                <w:color w:val="000000"/>
                <w:sz w:val="24"/>
                <w:szCs w:val="24"/>
                <w:highlight w:val="none"/>
              </w:rPr>
            </w:pPr>
            <w:r>
              <w:rPr>
                <w:rFonts w:hint="eastAsia" w:ascii="宋体" w:hAnsi="宋体"/>
                <w:b/>
                <w:bCs/>
                <w:color w:val="000000"/>
                <w:sz w:val="24"/>
                <w:szCs w:val="24"/>
                <w:highlight w:val="none"/>
              </w:rPr>
              <w:t xml:space="preserve">响应情况</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6"/>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06"/>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6"/>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6"/>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6"/>
              <w:jc w:val="center"/>
              <w:rPr>
                <w:rFonts w:ascii="宋体"/>
                <w:bCs/>
                <w:color w:val="000000"/>
                <w:highlight w:val="none"/>
              </w:rPr>
            </w:pPr>
            <w:r>
              <w:rPr>
                <w:rFonts w:ascii="宋体"/>
                <w:bCs/>
                <w:color w:val="000000"/>
                <w:highlight w:val="none"/>
              </w:rPr>
            </w:r>
            <w:r/>
          </w:p>
        </w:tc>
      </w:tr>
    </w:tbl>
    <w:p>
      <w:pPr>
        <w:pStyle w:val="706"/>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供应商名称（盖章）：</w:t>
      </w:r>
      <w:r>
        <w:rPr>
          <w:rFonts w:hint="eastAsia" w:ascii="宋体" w:eastAsia="黑体"/>
          <w:b/>
          <w:color w:val="000000"/>
          <w:sz w:val="24"/>
          <w:szCs w:val="24"/>
          <w:highlight w:val="none"/>
        </w:rPr>
      </w:r>
      <w:r/>
    </w:p>
    <w:p>
      <w:pPr>
        <w:pStyle w:val="706"/>
        <w:rPr>
          <w:rFonts w:ascii="宋体"/>
          <w:bCs/>
          <w:color w:val="000000"/>
          <w:sz w:val="30"/>
          <w:highlight w:val="none"/>
        </w:rPr>
      </w:pPr>
      <w:r>
        <w:rPr>
          <w:rFonts w:ascii="宋体"/>
          <w:bCs/>
          <w:color w:val="000000"/>
          <w:sz w:val="30"/>
          <w:highlight w:val="none"/>
        </w:rPr>
      </w:r>
      <w:r/>
    </w:p>
    <w:p>
      <w:pPr>
        <w:pStyle w:val="706"/>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706"/>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）对本征集文件中所有采购需求如无任何偏离情况，请于本表“响应情况”中注明“响应”，于“偏离情况”中注明“无偏离”。</w:t>
      </w:r>
      <w:r>
        <w:rPr>
          <w:rFonts w:ascii="宋体" w:hAnsi="宋体"/>
          <w:bCs/>
          <w:color w:val="000000"/>
          <w:sz w:val="24"/>
          <w:szCs w:val="24"/>
          <w:highlight w:val="none"/>
        </w:rPr>
      </w:r>
      <w:r/>
    </w:p>
    <w:p>
      <w:pPr>
        <w:pStyle w:val="706"/>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w:t>
      </w:r>
      <w:bookmarkEnd w:id="175"/>
      <w:r/>
      <w:bookmarkEnd w:id="176"/>
      <w:r/>
      <w:bookmarkEnd w:id="190"/>
      <w:r/>
      <w:bookmarkStart w:id="191" w:name="_Hlt26671374"/>
      <w:r/>
      <w:bookmarkEnd w:id="191"/>
      <w:r/>
      <w:bookmarkStart w:id="192" w:name="_Hlt26955066"/>
      <w:r/>
      <w:bookmarkEnd w:id="192"/>
      <w:r/>
      <w:bookmarkStart w:id="193" w:name="_Hlt26609389"/>
      <w:r/>
      <w:bookmarkEnd w:id="193"/>
      <w:r/>
      <w:bookmarkStart w:id="194" w:name="_格式2__法定代表人授权书"/>
      <w:r/>
      <w:bookmarkEnd w:id="194"/>
      <w:r>
        <w:rPr>
          <w:rFonts w:hint="eastAsia" w:ascii="宋体" w:hAnsi="宋体"/>
          <w:bCs/>
          <w:color w:val="000000"/>
          <w:sz w:val="24"/>
          <w:szCs w:val="24"/>
          <w:highlight w:val="none"/>
        </w:rPr>
        <w:t xml:space="preserve">如有偏离项，请于本表“响应情况”中写明实报内容，于“偏离情况”中注明实际偏离情况（比如“正偏离”），本项目采购需求均不接受负偏离。其余无偏离内容不须赘述。</w:t>
      </w:r>
      <w:r>
        <w:rPr>
          <w:rFonts w:hint="eastAsia" w:ascii="宋体" w:hAnsi="宋体"/>
          <w:bCs/>
          <w:color w:val="000000"/>
          <w:sz w:val="24"/>
          <w:szCs w:val="24"/>
          <w:highlight w:val="none"/>
        </w:rPr>
      </w:r>
      <w:r/>
    </w:p>
    <w:p>
      <w:pPr>
        <w:pStyle w:val="706"/>
        <w:ind w:firstLine="90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（4）表格不够可自行延长。</w:t>
      </w:r>
      <w:r>
        <w:rPr>
          <w:rFonts w:ascii="宋体" w:hAnsi="宋体"/>
          <w:bCs/>
          <w:color w:val="000000"/>
          <w:sz w:val="24"/>
          <w:szCs w:val="24"/>
          <w:highlight w:val="none"/>
        </w:rPr>
      </w:r>
      <w:r/>
    </w:p>
    <w:p>
      <w:pPr>
        <w:pStyle w:val="706"/>
        <w:ind w:firstLine="900"/>
        <w:rPr>
          <w:rFonts w:ascii="宋体" w:hAnsi="宋体"/>
          <w:bCs/>
          <w:color w:val="000000"/>
          <w:sz w:val="24"/>
          <w:szCs w:val="24"/>
          <w:highlight w:val="none"/>
        </w:rPr>
        <w:outlineLvl w:val="0"/>
      </w:pPr>
      <w:r>
        <w:rPr>
          <w:rFonts w:ascii="宋体" w:hAnsi="宋体"/>
          <w:bCs/>
          <w:color w:val="000000"/>
          <w:sz w:val="24"/>
          <w:szCs w:val="24"/>
          <w:highlight w:val="none"/>
        </w:rPr>
      </w:r>
      <w:r/>
    </w:p>
    <w:p>
      <w:pPr>
        <w:pStyle w:val="706"/>
        <w:ind w:firstLine="900"/>
        <w:rPr>
          <w:rFonts w:ascii="宋体" w:hAnsi="宋体"/>
          <w:bCs/>
          <w:color w:val="000000"/>
          <w:sz w:val="24"/>
          <w:szCs w:val="24"/>
          <w:highlight w:val="none"/>
        </w:rPr>
        <w:outlineLvl w:val="0"/>
      </w:pPr>
      <w:r>
        <w:rPr>
          <w:rFonts w:ascii="宋体" w:hAnsi="宋体"/>
          <w:bCs/>
          <w:color w:val="000000"/>
          <w:sz w:val="24"/>
          <w:szCs w:val="24"/>
          <w:highlight w:val="none"/>
        </w:rPr>
      </w:r>
      <w:r/>
    </w:p>
    <w:p>
      <w:pPr>
        <w:pStyle w:val="706"/>
        <w:ind w:firstLine="900"/>
        <w:rPr>
          <w:rFonts w:ascii="宋体" w:hAnsi="宋体"/>
          <w:bCs/>
          <w:color w:val="000000"/>
          <w:sz w:val="24"/>
          <w:szCs w:val="24"/>
          <w:highlight w:val="none"/>
        </w:rPr>
        <w:outlineLvl w:val="0"/>
      </w:pPr>
      <w:r>
        <w:rPr>
          <w:rFonts w:ascii="宋体" w:hAnsi="宋体"/>
          <w:bCs/>
          <w:color w:val="000000"/>
          <w:sz w:val="24"/>
          <w:szCs w:val="24"/>
          <w:highlight w:val="none"/>
        </w:rPr>
      </w:r>
      <w:r/>
    </w:p>
    <w:p>
      <w:pPr>
        <w:pStyle w:val="706"/>
        <w:ind w:firstLine="900"/>
        <w:rPr>
          <w:rFonts w:ascii="宋体" w:hAnsi="宋体"/>
          <w:bCs/>
          <w:color w:val="000000"/>
          <w:sz w:val="24"/>
          <w:szCs w:val="24"/>
          <w:highlight w:val="none"/>
        </w:rPr>
        <w:outlineLvl w:val="0"/>
      </w:pPr>
      <w:r>
        <w:rPr>
          <w:rFonts w:ascii="宋体" w:hAnsi="宋体"/>
          <w:bCs/>
          <w:color w:val="000000"/>
          <w:sz w:val="24"/>
          <w:szCs w:val="24"/>
          <w:highlight w:val="none"/>
        </w:rPr>
      </w:r>
      <w:r/>
    </w:p>
    <w:p>
      <w:pPr>
        <w:pStyle w:val="706"/>
        <w:ind w:firstLine="900"/>
        <w:rPr>
          <w:rFonts w:ascii="宋体" w:hAnsi="宋体"/>
          <w:bCs/>
          <w:color w:val="000000"/>
          <w:sz w:val="24"/>
          <w:szCs w:val="24"/>
          <w:highlight w:val="none"/>
        </w:rPr>
        <w:outlineLvl w:val="0"/>
      </w:pPr>
      <w:r>
        <w:rPr>
          <w:rFonts w:ascii="宋体" w:hAnsi="宋体"/>
          <w:bCs/>
          <w:color w:val="000000"/>
          <w:sz w:val="24"/>
          <w:szCs w:val="24"/>
          <w:highlight w:val="none"/>
        </w:rPr>
      </w:r>
      <w:r/>
    </w:p>
    <w:p>
      <w:pPr>
        <w:pStyle w:val="706"/>
        <w:ind w:firstLine="900"/>
        <w:rPr>
          <w:rFonts w:ascii="宋体" w:hAnsi="宋体"/>
          <w:bCs/>
          <w:color w:val="000000"/>
          <w:sz w:val="24"/>
          <w:szCs w:val="24"/>
          <w:highlight w:val="none"/>
        </w:rPr>
        <w:outlineLvl w:val="0"/>
      </w:pPr>
      <w:r>
        <w:rPr>
          <w:rFonts w:ascii="宋体" w:hAnsi="宋体"/>
          <w:bCs/>
          <w:color w:val="000000"/>
          <w:sz w:val="24"/>
          <w:szCs w:val="24"/>
          <w:highlight w:val="none"/>
        </w:rPr>
      </w:r>
      <w:r/>
    </w:p>
    <w:p>
      <w:pPr>
        <w:pStyle w:val="706"/>
        <w:ind w:firstLine="900"/>
        <w:rPr>
          <w:rFonts w:ascii="宋体" w:hAnsi="宋体"/>
          <w:bCs/>
          <w:color w:val="000000"/>
          <w:sz w:val="24"/>
          <w:szCs w:val="24"/>
          <w:highlight w:val="none"/>
        </w:rPr>
        <w:outlineLvl w:val="0"/>
      </w:pPr>
      <w:r>
        <w:rPr>
          <w:rFonts w:ascii="宋体" w:hAnsi="宋体"/>
          <w:bCs/>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rPr>
        <w:rStyle w:val="778"/>
        <w:rFonts w:ascii="宋体" w:hAnsi="宋体"/>
      </w:rPr>
      <w:framePr w:wrap="around" w:vAnchor="text" w:hAnchor="margin" w:xAlign="center" w:y="1"/>
    </w:pPr>
    <w:r>
      <w:rPr>
        <w:rFonts w:ascii="宋体" w:hAnsi="宋体"/>
      </w:rPr>
      <w:fldChar w:fldCharType="begin"/>
    </w:r>
    <w:r>
      <w:rPr>
        <w:rStyle w:val="778"/>
        <w:rFonts w:ascii="宋体" w:hAnsi="宋体"/>
      </w:rPr>
      <w:instrText xml:space="preserve">PAGE  </w:instrText>
    </w:r>
    <w:r>
      <w:rPr>
        <w:rFonts w:ascii="宋体" w:hAnsi="宋体"/>
      </w:rPr>
      <w:fldChar w:fldCharType="separate"/>
    </w:r>
    <w:r>
      <w:rPr>
        <w:rStyle w:val="778"/>
        <w:rFonts w:ascii="宋体" w:hAnsi="宋体"/>
      </w:rPr>
      <w:t xml:space="preserve">６５</w:t>
    </w:r>
    <w:r>
      <w:rPr>
        <w:rFonts w:ascii="宋体" w:hAnsi="宋体"/>
      </w:rPr>
      <w:fldChar w:fldCharType="end"/>
    </w:r>
    <w:r>
      <w:rPr>
        <w:rStyle w:val="778"/>
        <w:rFonts w:ascii="宋体" w:hAnsi="宋体"/>
      </w:rPr>
    </w:r>
    <w:r/>
  </w:p>
  <w:p>
    <w:pPr>
      <w:pStyle w:val="753"/>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rPr>
        <w:rStyle w:val="778"/>
      </w:rPr>
      <w:framePr w:wrap="around" w:vAnchor="text" w:hAnchor="margin" w:xAlign="center" w:y="1"/>
    </w:pPr>
    <w:r>
      <w:fldChar w:fldCharType="begin"/>
    </w:r>
    <w:r>
      <w:rPr>
        <w:rStyle w:val="778"/>
      </w:rPr>
      <w:instrText xml:space="preserve">PAGE  </w:instrText>
    </w:r>
    <w:r>
      <w:fldChar w:fldCharType="separate"/>
    </w:r>
    <w:r>
      <w:rPr>
        <w:rStyle w:val="778"/>
      </w:rPr>
      <w:t xml:space="preserve">1</w:t>
    </w:r>
    <w:r>
      <w:fldChar w:fldCharType="end"/>
    </w:r>
    <w:r>
      <w:rPr>
        <w:rStyle w:val="778"/>
      </w:rPr>
    </w:r>
    <w:r/>
  </w:p>
  <w:p>
    <w:pPr>
      <w:pStyle w:val="7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06"/>
        <w:ind w:left="1080" w:hanging="1080"/>
        <w:tabs>
          <w:tab w:val="num" w:pos="1080" w:leader="none"/>
        </w:tabs>
      </w:pPr>
      <w:rPr>
        <w:rFonts w:hint="eastAsia" w:cs="Times New Roman"/>
      </w:rPr>
    </w:lvl>
    <w:lvl w:ilvl="1">
      <w:start w:val="1"/>
      <w:numFmt w:val="decimal"/>
      <w:isLgl w:val="false"/>
      <w:suff w:val="tab"/>
      <w:lvlText w:val="%2."/>
      <w:lvlJc w:val="left"/>
      <w:pPr>
        <w:pStyle w:val="70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06"/>
        <w:ind w:left="1260" w:hanging="420"/>
        <w:tabs>
          <w:tab w:val="num" w:pos="1260" w:leader="none"/>
        </w:tabs>
      </w:pPr>
      <w:rPr>
        <w:rFonts w:cs="Times New Roman"/>
      </w:rPr>
    </w:lvl>
    <w:lvl w:ilvl="3">
      <w:start w:val="1"/>
      <w:numFmt w:val="decimal"/>
      <w:isLgl w:val="false"/>
      <w:suff w:val="tab"/>
      <w:lvlText w:val="%4."/>
      <w:lvlJc w:val="left"/>
      <w:pPr>
        <w:pStyle w:val="706"/>
        <w:ind w:left="1680" w:hanging="420"/>
        <w:tabs>
          <w:tab w:val="num" w:pos="1680" w:leader="none"/>
        </w:tabs>
      </w:pPr>
      <w:rPr>
        <w:rFonts w:cs="Times New Roman"/>
      </w:rPr>
    </w:lvl>
    <w:lvl w:ilvl="4">
      <w:start w:val="1"/>
      <w:numFmt w:val="lowerLetter"/>
      <w:isLgl w:val="false"/>
      <w:suff w:val="tab"/>
      <w:lvlText w:val="%5)"/>
      <w:lvlJc w:val="left"/>
      <w:pPr>
        <w:pStyle w:val="706"/>
        <w:ind w:left="2100" w:hanging="420"/>
        <w:tabs>
          <w:tab w:val="num" w:pos="2100" w:leader="none"/>
        </w:tabs>
      </w:pPr>
      <w:rPr>
        <w:rFonts w:cs="Times New Roman"/>
      </w:rPr>
    </w:lvl>
    <w:lvl w:ilvl="5">
      <w:start w:val="1"/>
      <w:numFmt w:val="lowerRoman"/>
      <w:isLgl w:val="false"/>
      <w:suff w:val="tab"/>
      <w:lvlText w:val="%6."/>
      <w:lvlJc w:val="right"/>
      <w:pPr>
        <w:pStyle w:val="706"/>
        <w:ind w:left="2520" w:hanging="420"/>
        <w:tabs>
          <w:tab w:val="num" w:pos="2520" w:leader="none"/>
        </w:tabs>
      </w:pPr>
      <w:rPr>
        <w:rFonts w:cs="Times New Roman"/>
      </w:rPr>
    </w:lvl>
    <w:lvl w:ilvl="6">
      <w:start w:val="1"/>
      <w:numFmt w:val="decimal"/>
      <w:isLgl w:val="false"/>
      <w:suff w:val="tab"/>
      <w:lvlText w:val="%7."/>
      <w:lvlJc w:val="left"/>
      <w:pPr>
        <w:pStyle w:val="706"/>
        <w:ind w:left="2940" w:hanging="420"/>
        <w:tabs>
          <w:tab w:val="num" w:pos="2940" w:leader="none"/>
        </w:tabs>
      </w:pPr>
      <w:rPr>
        <w:rFonts w:cs="Times New Roman"/>
      </w:rPr>
    </w:lvl>
    <w:lvl w:ilvl="7">
      <w:start w:val="1"/>
      <w:numFmt w:val="lowerLetter"/>
      <w:isLgl w:val="false"/>
      <w:suff w:val="tab"/>
      <w:lvlText w:val="%8)"/>
      <w:lvlJc w:val="left"/>
      <w:pPr>
        <w:pStyle w:val="706"/>
        <w:ind w:left="3360" w:hanging="420"/>
        <w:tabs>
          <w:tab w:val="num" w:pos="3360" w:leader="none"/>
        </w:tabs>
      </w:pPr>
      <w:rPr>
        <w:rFonts w:cs="Times New Roman"/>
      </w:rPr>
    </w:lvl>
    <w:lvl w:ilvl="8">
      <w:start w:val="1"/>
      <w:numFmt w:val="lowerRoman"/>
      <w:isLgl w:val="false"/>
      <w:suff w:val="tab"/>
      <w:lvlText w:val="%9."/>
      <w:lvlJc w:val="right"/>
      <w:pPr>
        <w:pStyle w:val="706"/>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06"/>
      </w:pPr>
      <w:rPr>
        <w:highlight w:val="none"/>
      </w:r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5">
    <w:multiLevelType w:val="hybridMultilevel"/>
    <w:lvl w:ilvl="0">
      <w:start w:val="1"/>
      <w:numFmt w:val="upperLetter"/>
      <w:pStyle w:val="785"/>
      <w:isLgl w:val="false"/>
      <w:suff w:val="tab"/>
      <w:lvlText w:val="附录%1."/>
      <w:lvlJc w:val="left"/>
      <w:pPr>
        <w:pStyle w:val="70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7">
    <w:multiLevelType w:val="hybridMultilevel"/>
    <w:lvl w:ilvl="0">
      <w:start w:val="2"/>
      <w:numFmt w:val="decimal"/>
      <w:isLgl w:val="false"/>
      <w:suff w:val="tab"/>
      <w:lvlText w:val="%1."/>
      <w:lvlJc w:val="left"/>
      <w:pPr>
        <w:pStyle w:val="706"/>
        <w:tabs>
          <w:tab w:val="num" w:pos="312" w:leader="none"/>
        </w:tabs>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06"/>
      </w:pPr>
      <w:rPr>
        <w:highlight w:val="none"/>
      </w:r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06"/>
        <w:tabs>
          <w:tab w:val="num" w:pos="312" w:leader="none"/>
        </w:tabs>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17">
    <w:multiLevelType w:val="hybridMultilevel"/>
    <w:lvl w:ilvl="0">
      <w:start w:val="1"/>
      <w:numFmt w:val="decimal"/>
      <w:pStyle w:val="803"/>
      <w:isLgl w:val="false"/>
      <w:suff w:val="tab"/>
      <w:lvlText w:val="%1."/>
      <w:lvlJc w:val="left"/>
      <w:pPr>
        <w:pStyle w:val="706"/>
        <w:ind w:left="709" w:hanging="709"/>
        <w:tabs>
          <w:tab w:val="num" w:pos="709" w:leader="none"/>
        </w:tabs>
      </w:pPr>
      <w:rPr>
        <w:rFonts w:hint="eastAsia"/>
      </w:rPr>
    </w:lvl>
    <w:lvl w:ilvl="1">
      <w:start w:val="1"/>
      <w:numFmt w:val="decimal"/>
      <w:isLgl w:val="false"/>
      <w:suff w:val="tab"/>
      <w:lvlText w:val="%1.%2"/>
      <w:lvlJc w:val="left"/>
      <w:pPr>
        <w:pStyle w:val="706"/>
        <w:ind w:left="709" w:hanging="709"/>
        <w:tabs>
          <w:tab w:val="num" w:pos="709" w:leader="none"/>
        </w:tabs>
      </w:pPr>
      <w:rPr>
        <w:rFonts w:hint="eastAsia"/>
      </w:rPr>
    </w:lvl>
    <w:lvl w:ilvl="2">
      <w:start w:val="1"/>
      <w:numFmt w:val="decimal"/>
      <w:isLgl w:val="false"/>
      <w:suff w:val="tab"/>
      <w:lvlText w:val="%1.%2.%3."/>
      <w:lvlJc w:val="left"/>
      <w:pPr>
        <w:pStyle w:val="706"/>
        <w:ind w:left="425" w:hanging="425"/>
        <w:tabs>
          <w:tab w:val="num" w:pos="425" w:leader="none"/>
        </w:tabs>
      </w:pPr>
      <w:rPr>
        <w:rFonts w:hint="eastAsia"/>
      </w:rPr>
    </w:lvl>
    <w:lvl w:ilvl="3">
      <w:start w:val="1"/>
      <w:numFmt w:val="decimal"/>
      <w:isLgl w:val="false"/>
      <w:suff w:val="tab"/>
      <w:lvlText w:val="%1.%2.%3.%4."/>
      <w:lvlJc w:val="left"/>
      <w:pPr>
        <w:pStyle w:val="706"/>
        <w:ind w:left="851" w:hanging="851"/>
        <w:tabs>
          <w:tab w:val="num" w:pos="851" w:leader="none"/>
        </w:tabs>
      </w:pPr>
      <w:rPr>
        <w:rFonts w:hint="eastAsia"/>
      </w:rPr>
    </w:lvl>
    <w:lvl w:ilvl="4">
      <w:start w:val="1"/>
      <w:numFmt w:val="decimal"/>
      <w:isLgl w:val="false"/>
      <w:suff w:val="tab"/>
      <w:lvlText w:val="%1.%2.%3.%4.%5."/>
      <w:lvlJc w:val="left"/>
      <w:pPr>
        <w:pStyle w:val="706"/>
        <w:ind w:left="992" w:hanging="992"/>
        <w:tabs>
          <w:tab w:val="num" w:pos="992" w:leader="none"/>
        </w:tabs>
      </w:pPr>
      <w:rPr>
        <w:rFonts w:hint="eastAsia"/>
      </w:rPr>
    </w:lvl>
    <w:lvl w:ilvl="5">
      <w:start w:val="1"/>
      <w:numFmt w:val="decimal"/>
      <w:isLgl w:val="false"/>
      <w:suff w:val="tab"/>
      <w:lvlText w:val="%1.%2.%3.%4.%5.%6."/>
      <w:lvlJc w:val="left"/>
      <w:pPr>
        <w:pStyle w:val="706"/>
        <w:ind w:left="1134" w:hanging="1134"/>
        <w:tabs>
          <w:tab w:val="num" w:pos="1134" w:leader="none"/>
        </w:tabs>
      </w:pPr>
      <w:rPr>
        <w:rFonts w:hint="eastAsia"/>
      </w:rPr>
    </w:lvl>
    <w:lvl w:ilvl="6">
      <w:start w:val="1"/>
      <w:numFmt w:val="decimal"/>
      <w:isLgl w:val="false"/>
      <w:suff w:val="tab"/>
      <w:lvlText w:val="%1.%2.%3.%4.%5.%6.%7."/>
      <w:lvlJc w:val="left"/>
      <w:pPr>
        <w:pStyle w:val="706"/>
        <w:ind w:left="1276" w:hanging="1276"/>
        <w:tabs>
          <w:tab w:val="num" w:pos="1276" w:leader="none"/>
        </w:tabs>
      </w:pPr>
      <w:rPr>
        <w:rFonts w:hint="eastAsia"/>
      </w:rPr>
    </w:lvl>
    <w:lvl w:ilvl="7">
      <w:start w:val="1"/>
      <w:numFmt w:val="decimal"/>
      <w:isLgl w:val="false"/>
      <w:suff w:val="tab"/>
      <w:lvlText w:val="%1.%2.%3.%4.%5.%6.%7.%8."/>
      <w:lvlJc w:val="left"/>
      <w:pPr>
        <w:pStyle w:val="706"/>
        <w:ind w:left="1418" w:hanging="1418"/>
        <w:tabs>
          <w:tab w:val="num" w:pos="1418" w:leader="none"/>
        </w:tabs>
      </w:pPr>
      <w:rPr>
        <w:rFonts w:hint="eastAsia"/>
      </w:rPr>
    </w:lvl>
    <w:lvl w:ilvl="8">
      <w:start w:val="1"/>
      <w:numFmt w:val="decimal"/>
      <w:isLgl w:val="false"/>
      <w:suff w:val="tab"/>
      <w:lvlText w:val="%1.%2.%3.%4.%5.%6.%7.%8.%9."/>
      <w:lvlJc w:val="left"/>
      <w:pPr>
        <w:pStyle w:val="706"/>
        <w:ind w:left="1559" w:hanging="1559"/>
        <w:tabs>
          <w:tab w:val="num" w:pos="1559" w:leader="none"/>
        </w:tabs>
      </w:pPr>
      <w:rPr>
        <w:rFonts w:hint="eastAsia"/>
      </w:rPr>
    </w:lvl>
  </w:abstractNum>
  <w:abstractNum w:abstractNumId="18">
    <w:multiLevelType w:val="hybridMultilevel"/>
    <w:lvl w:ilvl="0">
      <w:start w:val="8"/>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20">
    <w:multiLevelType w:val="hybridMultilevel"/>
    <w:lvl w:ilvl="0">
      <w:start w:val="1"/>
      <w:numFmt w:val="bullet"/>
      <w:pStyle w:val="823"/>
      <w:isLgl w:val="false"/>
      <w:suff w:val="tab"/>
      <w:lvlText w:val=""/>
      <w:lvlJc w:val="left"/>
      <w:pPr>
        <w:pStyle w:val="706"/>
        <w:ind w:left="780" w:hanging="360"/>
        <w:tabs>
          <w:tab w:val="num" w:pos="780" w:leader="none"/>
        </w:tabs>
      </w:pPr>
      <w:rPr>
        <w:rFonts w:ascii="Wingdings" w:hAnsi="Wingdings"/>
      </w:r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706"/>
        <w:ind w:left="0" w:firstLine="0"/>
      </w:pPr>
      <w:rPr>
        <w:rFonts w:hint="eastAsia"/>
      </w:rPr>
    </w:lvl>
    <w:lvl w:ilvl="1">
      <w:start w:val="1"/>
      <w:numFmt w:val="decimal"/>
      <w:isLgl w:val="false"/>
      <w:suff w:val="nothing"/>
      <w:lvlText w:val="%2、"/>
      <w:lvlJc w:val="left"/>
      <w:pPr>
        <w:pStyle w:val="706"/>
        <w:ind w:left="0" w:firstLine="0"/>
      </w:pPr>
      <w:rPr>
        <w:rFonts w:hint="eastAsia"/>
      </w:rPr>
    </w:lvl>
    <w:lvl w:ilvl="2">
      <w:start w:val="1"/>
      <w:numFmt w:val="decimal"/>
      <w:isLgl w:val="false"/>
      <w:suff w:val="nothing"/>
      <w:lvlText w:val="%2.%3 "/>
      <w:lvlJc w:val="left"/>
      <w:pPr>
        <w:pStyle w:val="706"/>
        <w:ind w:left="0" w:firstLine="0"/>
      </w:pPr>
      <w:rPr>
        <w:rFonts w:hint="eastAsia"/>
      </w:rPr>
    </w:lvl>
    <w:lvl w:ilvl="3">
      <w:start w:val="1"/>
      <w:numFmt w:val="decimal"/>
      <w:isLgl w:val="false"/>
      <w:suff w:val="nothing"/>
      <w:lvlText w:val="%2.%3.%4 "/>
      <w:lvlJc w:val="left"/>
      <w:pPr>
        <w:pStyle w:val="706"/>
        <w:ind w:left="0" w:firstLine="0"/>
      </w:pPr>
      <w:rPr>
        <w:rFonts w:hint="eastAsia"/>
      </w:rPr>
    </w:lvl>
    <w:lvl w:ilvl="4">
      <w:start w:val="1"/>
      <w:numFmt w:val="decimal"/>
      <w:isLgl w:val="false"/>
      <w:suff w:val="nothing"/>
      <w:lvlText w:val="%2.%3.%4.%5 "/>
      <w:lvlJc w:val="left"/>
      <w:pPr>
        <w:pStyle w:val="706"/>
        <w:ind w:left="0" w:firstLine="0"/>
      </w:pPr>
      <w:rPr>
        <w:rFonts w:hint="eastAsia"/>
      </w:rPr>
    </w:lvl>
    <w:lvl w:ilvl="5">
      <w:start w:val="1"/>
      <w:numFmt w:val="decimal"/>
      <w:pStyle w:val="712"/>
      <w:isLgl w:val="false"/>
      <w:suff w:val="nothing"/>
      <w:lvlText w:val=""/>
      <w:lvlJc w:val="left"/>
      <w:pPr>
        <w:pStyle w:val="706"/>
        <w:ind w:left="0" w:firstLine="0"/>
      </w:pPr>
      <w:rPr>
        <w:rFonts w:hint="eastAsia"/>
      </w:rPr>
    </w:lvl>
    <w:lvl w:ilvl="6">
      <w:start w:val="1"/>
      <w:numFmt w:val="decimal"/>
      <w:pStyle w:val="713"/>
      <w:isLgl w:val="false"/>
      <w:suff w:val="nothing"/>
      <w:lvlText w:val=""/>
      <w:lvlJc w:val="left"/>
      <w:pPr>
        <w:pStyle w:val="706"/>
        <w:ind w:left="0" w:firstLine="0"/>
      </w:pPr>
      <w:rPr>
        <w:rFonts w:hint="eastAsia"/>
      </w:rPr>
    </w:lvl>
    <w:lvl w:ilvl="7">
      <w:start w:val="1"/>
      <w:numFmt w:val="decimal"/>
      <w:pStyle w:val="714"/>
      <w:isLgl w:val="false"/>
      <w:suff w:val="nothing"/>
      <w:lvlText w:val=""/>
      <w:lvlJc w:val="left"/>
      <w:pPr>
        <w:pStyle w:val="706"/>
        <w:ind w:left="0" w:firstLine="0"/>
      </w:pPr>
      <w:rPr>
        <w:rFonts w:hint="eastAsia"/>
      </w:rPr>
    </w:lvl>
    <w:lvl w:ilvl="8">
      <w:start w:val="1"/>
      <w:numFmt w:val="decimal"/>
      <w:pStyle w:val="715"/>
      <w:isLgl w:val="false"/>
      <w:suff w:val="nothing"/>
      <w:lvlText w:val=""/>
      <w:lvlJc w:val="left"/>
      <w:pPr>
        <w:pStyle w:val="706"/>
        <w:ind w:left="0" w:firstLine="0"/>
      </w:pPr>
      <w:rPr>
        <w:rFonts w:hint="eastAsia"/>
      </w:rPr>
    </w:lvl>
  </w:abstractNum>
  <w:abstractNum w:abstractNumId="22">
    <w:multiLevelType w:val="hybridMultilevel"/>
    <w:lvl w:ilvl="0">
      <w:start w:val="1"/>
      <w:numFmt w:val="japaneseCounting"/>
      <w:isLgl w:val="false"/>
      <w:suff w:val="tab"/>
      <w:lvlText w:val="（%1）"/>
      <w:lvlJc w:val="left"/>
      <w:pPr>
        <w:pStyle w:val="706"/>
        <w:ind w:left="1080" w:hanging="1080"/>
        <w:tabs>
          <w:tab w:val="num" w:pos="1080" w:leader="none"/>
        </w:tabs>
      </w:pPr>
      <w:rPr>
        <w:rFonts w:hint="eastAsia" w:cs="Times New Roman"/>
      </w:rPr>
    </w:lvl>
    <w:lvl w:ilvl="1">
      <w:start w:val="1"/>
      <w:numFmt w:val="decimal"/>
      <w:isLgl w:val="false"/>
      <w:suff w:val="nothing"/>
      <w:lvlText w:val="%2."/>
      <w:lvlJc w:val="left"/>
      <w:pPr>
        <w:pStyle w:val="706"/>
        <w:ind w:left="780" w:hanging="360"/>
      </w:pPr>
      <w:rPr>
        <w:rFonts w:hint="eastAsia" w:cs="Times New Roman"/>
        <w:color w:val="000000"/>
      </w:rPr>
    </w:lvl>
    <w:lvl w:ilvl="2">
      <w:start w:val="1"/>
      <w:numFmt w:val="lowerRoman"/>
      <w:isLgl w:val="false"/>
      <w:suff w:val="tab"/>
      <w:lvlText w:val="%3."/>
      <w:lvlJc w:val="right"/>
      <w:pPr>
        <w:pStyle w:val="706"/>
        <w:ind w:left="1260" w:hanging="420"/>
        <w:tabs>
          <w:tab w:val="num" w:pos="1260" w:leader="none"/>
        </w:tabs>
      </w:pPr>
      <w:rPr>
        <w:rFonts w:hint="eastAsia" w:cs="Times New Roman"/>
      </w:rPr>
    </w:lvl>
    <w:lvl w:ilvl="3">
      <w:start w:val="1"/>
      <w:numFmt w:val="decimal"/>
      <w:isLgl w:val="false"/>
      <w:suff w:val="tab"/>
      <w:lvlText w:val="%4."/>
      <w:lvlJc w:val="left"/>
      <w:pPr>
        <w:pStyle w:val="706"/>
        <w:ind w:left="1680" w:hanging="420"/>
        <w:tabs>
          <w:tab w:val="num" w:pos="1680" w:leader="none"/>
        </w:tabs>
      </w:pPr>
      <w:rPr>
        <w:rFonts w:hint="eastAsia" w:cs="Times New Roman"/>
      </w:rPr>
    </w:lvl>
    <w:lvl w:ilvl="4">
      <w:start w:val="1"/>
      <w:numFmt w:val="lowerLetter"/>
      <w:isLgl w:val="false"/>
      <w:suff w:val="tab"/>
      <w:lvlText w:val="%5)"/>
      <w:lvlJc w:val="left"/>
      <w:pPr>
        <w:pStyle w:val="706"/>
        <w:ind w:left="2100" w:hanging="420"/>
        <w:tabs>
          <w:tab w:val="num" w:pos="2100" w:leader="none"/>
        </w:tabs>
      </w:pPr>
      <w:rPr>
        <w:rFonts w:hint="eastAsia" w:cs="Times New Roman"/>
      </w:rPr>
    </w:lvl>
    <w:lvl w:ilvl="5">
      <w:start w:val="1"/>
      <w:numFmt w:val="lowerRoman"/>
      <w:isLgl w:val="false"/>
      <w:suff w:val="tab"/>
      <w:lvlText w:val="%6."/>
      <w:lvlJc w:val="right"/>
      <w:pPr>
        <w:pStyle w:val="706"/>
        <w:ind w:left="2520" w:hanging="420"/>
        <w:tabs>
          <w:tab w:val="num" w:pos="2520" w:leader="none"/>
        </w:tabs>
      </w:pPr>
      <w:rPr>
        <w:rFonts w:hint="eastAsia" w:cs="Times New Roman"/>
      </w:rPr>
    </w:lvl>
    <w:lvl w:ilvl="6">
      <w:start w:val="1"/>
      <w:numFmt w:val="decimal"/>
      <w:isLgl w:val="false"/>
      <w:suff w:val="tab"/>
      <w:lvlText w:val="%7."/>
      <w:lvlJc w:val="left"/>
      <w:pPr>
        <w:pStyle w:val="706"/>
        <w:ind w:left="2940" w:hanging="420"/>
        <w:tabs>
          <w:tab w:val="num" w:pos="2940" w:leader="none"/>
        </w:tabs>
      </w:pPr>
      <w:rPr>
        <w:rFonts w:hint="eastAsia" w:cs="Times New Roman"/>
      </w:rPr>
    </w:lvl>
    <w:lvl w:ilvl="7">
      <w:start w:val="1"/>
      <w:numFmt w:val="lowerLetter"/>
      <w:isLgl w:val="false"/>
      <w:suff w:val="tab"/>
      <w:lvlText w:val="%8)"/>
      <w:lvlJc w:val="left"/>
      <w:pPr>
        <w:pStyle w:val="706"/>
        <w:ind w:left="3360" w:hanging="420"/>
        <w:tabs>
          <w:tab w:val="num" w:pos="3360" w:leader="none"/>
        </w:tabs>
      </w:pPr>
      <w:rPr>
        <w:rFonts w:hint="eastAsia" w:cs="Times New Roman"/>
      </w:rPr>
    </w:lvl>
    <w:lvl w:ilvl="8">
      <w:start w:val="1"/>
      <w:numFmt w:val="lowerRoman"/>
      <w:isLgl w:val="false"/>
      <w:suff w:val="tab"/>
      <w:lvlText w:val="%9."/>
      <w:lvlJc w:val="right"/>
      <w:pPr>
        <w:pStyle w:val="706"/>
        <w:ind w:left="3780" w:hanging="420"/>
        <w:tabs>
          <w:tab w:val="num" w:pos="3780" w:leader="none"/>
        </w:tabs>
      </w:pPr>
      <w:rPr>
        <w:rFonts w:hint="eastAsia" w:cs="Times New Roman"/>
      </w:rPr>
    </w:lvl>
  </w:abstractNum>
  <w:abstractNum w:abstractNumId="23">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25">
    <w:multiLevelType w:val="hybridMultilevel"/>
    <w:lvl w:ilvl="0">
      <w:start w:val="1"/>
      <w:numFmt w:val="japaneseCounting"/>
      <w:isLgl w:val="false"/>
      <w:suff w:val="tab"/>
      <w:lvlText w:val="%1、"/>
      <w:lvlJc w:val="left"/>
      <w:pPr>
        <w:pStyle w:val="70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06"/>
        <w:ind w:left="840" w:hanging="420"/>
        <w:tabs>
          <w:tab w:val="num" w:pos="840" w:leader="none"/>
        </w:tabs>
      </w:pPr>
      <w:rPr>
        <w:rFonts w:cs="Times New Roman"/>
      </w:rPr>
    </w:lvl>
    <w:lvl w:ilvl="2">
      <w:start w:val="10"/>
      <w:numFmt w:val="decimal"/>
      <w:isLgl w:val="false"/>
      <w:suff w:val="tab"/>
      <w:lvlText w:val="%3."/>
      <w:lvlJc w:val="left"/>
      <w:pPr>
        <w:pStyle w:val="706"/>
        <w:ind w:left="1200" w:hanging="360"/>
        <w:tabs>
          <w:tab w:val="num" w:pos="1200" w:leader="none"/>
        </w:tabs>
      </w:pPr>
      <w:rPr>
        <w:rFonts w:cs="Times New Roman"/>
      </w:rPr>
    </w:lvl>
    <w:lvl w:ilvl="3">
      <w:start w:val="1"/>
      <w:numFmt w:val="decimal"/>
      <w:isLgl w:val="false"/>
      <w:suff w:val="tab"/>
      <w:lvlText w:val="%4."/>
      <w:lvlJc w:val="left"/>
      <w:pPr>
        <w:pStyle w:val="706"/>
        <w:ind w:left="1680" w:hanging="420"/>
        <w:tabs>
          <w:tab w:val="num" w:pos="1680" w:leader="none"/>
        </w:tabs>
      </w:pPr>
      <w:rPr>
        <w:rFonts w:cs="Times New Roman"/>
      </w:rPr>
    </w:lvl>
    <w:lvl w:ilvl="4">
      <w:start w:val="1"/>
      <w:numFmt w:val="lowerLetter"/>
      <w:isLgl w:val="false"/>
      <w:suff w:val="tab"/>
      <w:lvlText w:val="%5)"/>
      <w:lvlJc w:val="left"/>
      <w:pPr>
        <w:pStyle w:val="706"/>
        <w:ind w:left="2100" w:hanging="420"/>
        <w:tabs>
          <w:tab w:val="num" w:pos="2100" w:leader="none"/>
        </w:tabs>
      </w:pPr>
      <w:rPr>
        <w:rFonts w:cs="Times New Roman"/>
      </w:rPr>
    </w:lvl>
    <w:lvl w:ilvl="5">
      <w:start w:val="1"/>
      <w:numFmt w:val="lowerRoman"/>
      <w:isLgl w:val="false"/>
      <w:suff w:val="tab"/>
      <w:lvlText w:val="%6."/>
      <w:lvlJc w:val="right"/>
      <w:pPr>
        <w:pStyle w:val="706"/>
        <w:ind w:left="2520" w:hanging="420"/>
        <w:tabs>
          <w:tab w:val="num" w:pos="2520" w:leader="none"/>
        </w:tabs>
      </w:pPr>
      <w:rPr>
        <w:rFonts w:cs="Times New Roman"/>
      </w:rPr>
    </w:lvl>
    <w:lvl w:ilvl="6">
      <w:start w:val="1"/>
      <w:numFmt w:val="decimal"/>
      <w:isLgl w:val="false"/>
      <w:suff w:val="tab"/>
      <w:lvlText w:val="%7."/>
      <w:lvlJc w:val="left"/>
      <w:pPr>
        <w:pStyle w:val="706"/>
        <w:ind w:left="2940" w:hanging="420"/>
        <w:tabs>
          <w:tab w:val="num" w:pos="2940" w:leader="none"/>
        </w:tabs>
      </w:pPr>
      <w:rPr>
        <w:rFonts w:cs="Times New Roman"/>
      </w:rPr>
    </w:lvl>
    <w:lvl w:ilvl="7">
      <w:start w:val="1"/>
      <w:numFmt w:val="lowerLetter"/>
      <w:isLgl w:val="false"/>
      <w:suff w:val="tab"/>
      <w:lvlText w:val="%8)"/>
      <w:lvlJc w:val="left"/>
      <w:pPr>
        <w:pStyle w:val="706"/>
        <w:ind w:left="3360" w:hanging="420"/>
        <w:tabs>
          <w:tab w:val="num" w:pos="3360" w:leader="none"/>
        </w:tabs>
      </w:pPr>
      <w:rPr>
        <w:rFonts w:cs="Times New Roman"/>
      </w:rPr>
    </w:lvl>
    <w:lvl w:ilvl="8">
      <w:start w:val="1"/>
      <w:numFmt w:val="lowerRoman"/>
      <w:isLgl w:val="false"/>
      <w:suff w:val="tab"/>
      <w:lvlText w:val="%9."/>
      <w:lvlJc w:val="right"/>
      <w:pPr>
        <w:pStyle w:val="706"/>
        <w:ind w:left="3780" w:hanging="420"/>
        <w:tabs>
          <w:tab w:val="num" w:pos="3780" w:leader="none"/>
        </w:tabs>
      </w:pPr>
      <w:rPr>
        <w:rFonts w:cs="Times New Roman"/>
      </w:rPr>
    </w:lvl>
  </w:abstractNum>
  <w:abstractNum w:abstractNumId="26">
    <w:multiLevelType w:val="hybridMultilevel"/>
    <w:lvl w:ilvl="0">
      <w:start w:val="3"/>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japaneseCounting"/>
      <w:isLgl w:val="false"/>
      <w:suff w:val="tab"/>
      <w:lvlText w:val="第%1章"/>
      <w:lvlJc w:val="left"/>
      <w:pPr>
        <w:pStyle w:val="70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num w:numId="1">
    <w:abstractNumId w:val="21"/>
  </w:num>
  <w:num w:numId="2">
    <w:abstractNumId w:val="5"/>
  </w:num>
  <w:num w:numId="3">
    <w:abstractNumId w:val="17"/>
  </w:num>
  <w:num w:numId="4">
    <w:abstractNumId w:val="20"/>
  </w:num>
  <w:num w:numId="5">
    <w:abstractNumId w:val="28"/>
  </w:num>
  <w:num w:numId="6">
    <w:abstractNumId w:val="7"/>
  </w:num>
  <w:num w:numId="7">
    <w:abstractNumId w:val="8"/>
  </w:num>
  <w:num w:numId="8">
    <w:abstractNumId w:val="26"/>
  </w:num>
  <w:num w:numId="9">
    <w:abstractNumId w:val="18"/>
  </w:num>
  <w:num w:numId="10">
    <w:abstractNumId w:val="11"/>
  </w:num>
  <w:num w:numId="11">
    <w:abstractNumId w:val="6"/>
  </w:num>
  <w:num w:numId="12">
    <w:abstractNumId w:val="14"/>
  </w:num>
  <w:num w:numId="13">
    <w:abstractNumId w:val="16"/>
  </w:num>
  <w:num w:numId="14">
    <w:abstractNumId w:val="15"/>
  </w:num>
  <w:num w:numId="15">
    <w:abstractNumId w:val="3"/>
  </w:num>
  <w:num w:numId="16">
    <w:abstractNumId w:val="9"/>
  </w:num>
  <w:num w:numId="17">
    <w:abstractNumId w:val="23"/>
  </w:num>
  <w:num w:numId="18">
    <w:abstractNumId w:val="4"/>
  </w:num>
  <w:num w:numId="19">
    <w:abstractNumId w:val="10"/>
  </w:num>
  <w:num w:numId="20">
    <w:abstractNumId w:val="19"/>
  </w:num>
  <w:num w:numId="21">
    <w:abstractNumId w:val="24"/>
  </w:num>
  <w:num w:numId="22">
    <w:abstractNumId w:val="29"/>
  </w:num>
  <w:num w:numId="23">
    <w:abstractNumId w:val="13"/>
  </w:num>
  <w:num w:numId="24">
    <w:abstractNumId w:val="22"/>
  </w:num>
  <w:num w:numId="25">
    <w:abstractNumId w:val="1"/>
  </w:num>
  <w:num w:numId="26">
    <w:abstractNumId w:val="2"/>
  </w:num>
  <w:num w:numId="27">
    <w:abstractNumId w:val="27"/>
  </w:num>
  <w:num w:numId="28">
    <w:abstractNumId w:val="0"/>
  </w:num>
  <w:num w:numId="29">
    <w:abstractNumId w:val="25"/>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6"/>
    <w:next w:val="706"/>
    <w:uiPriority w:val="39"/>
    <w:unhideWhenUsed/>
    <w:pPr>
      <w:ind w:left="0" w:right="0" w:firstLine="0"/>
      <w:spacing w:after="57"/>
    </w:p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18"/>
    <w:link w:val="706"/>
    <w:qFormat/>
    <w:pPr>
      <w:jc w:val="both"/>
      <w:widowControl w:val="off"/>
    </w:pPr>
    <w:rPr>
      <w:rFonts w:ascii="Times New Roman" w:hAnsi="Times New Roman"/>
      <w:sz w:val="21"/>
      <w:szCs w:val="21"/>
      <w:lang w:val="en-US" w:eastAsia="zh-CN" w:bidi="ar-SA"/>
    </w:rPr>
  </w:style>
  <w:style w:type="paragraph" w:styleId="707">
    <w:name w:val="标题 1"/>
    <w:basedOn w:val="706"/>
    <w:next w:val="706"/>
    <w:link w:val="720"/>
    <w:qFormat/>
    <w:pPr>
      <w:jc w:val="center"/>
      <w:keepNext/>
      <w:outlineLvl w:val="0"/>
    </w:pPr>
    <w:rPr>
      <w:rFonts w:ascii="楷体_GB2312" w:eastAsia="楷体_GB2312"/>
      <w:sz w:val="28"/>
      <w:szCs w:val="28"/>
    </w:rPr>
  </w:style>
  <w:style w:type="paragraph" w:styleId="708">
    <w:name w:val="标题 2"/>
    <w:basedOn w:val="706"/>
    <w:next w:val="722"/>
    <w:link w:val="721"/>
    <w:qFormat/>
    <w:pPr>
      <w:jc w:val="center"/>
      <w:keepLines/>
      <w:keepNext/>
      <w:spacing w:before="260" w:after="260" w:line="416" w:lineRule="auto"/>
      <w:outlineLvl w:val="1"/>
    </w:pPr>
    <w:rPr>
      <w:rFonts w:ascii="Arial" w:hAnsi="Arial" w:eastAsia="幼圆"/>
      <w:b/>
      <w:bCs/>
      <w:sz w:val="44"/>
      <w:szCs w:val="44"/>
    </w:rPr>
  </w:style>
  <w:style w:type="paragraph" w:styleId="709">
    <w:name w:val="标题 3"/>
    <w:basedOn w:val="706"/>
    <w:next w:val="722"/>
    <w:link w:val="724"/>
    <w:qFormat/>
    <w:pPr>
      <w:keepLines/>
      <w:keepNext/>
      <w:spacing w:before="260" w:after="260" w:line="416" w:lineRule="auto"/>
      <w:outlineLvl w:val="2"/>
    </w:pPr>
    <w:rPr>
      <w:b/>
      <w:bCs/>
      <w:sz w:val="32"/>
      <w:szCs w:val="32"/>
    </w:rPr>
  </w:style>
  <w:style w:type="paragraph" w:styleId="710">
    <w:name w:val="标题 4"/>
    <w:basedOn w:val="706"/>
    <w:next w:val="722"/>
    <w:link w:val="725"/>
    <w:qFormat/>
    <w:pPr>
      <w:keepLines/>
      <w:keepNext/>
      <w:spacing w:before="280" w:after="290" w:line="376" w:lineRule="auto"/>
      <w:outlineLvl w:val="3"/>
    </w:pPr>
    <w:rPr>
      <w:rFonts w:ascii="Arial" w:hAnsi="Arial" w:eastAsia="黑体"/>
      <w:b/>
      <w:bCs/>
      <w:sz w:val="28"/>
      <w:szCs w:val="28"/>
    </w:rPr>
  </w:style>
  <w:style w:type="paragraph" w:styleId="711">
    <w:name w:val="标题 5"/>
    <w:basedOn w:val="706"/>
    <w:next w:val="722"/>
    <w:link w:val="726"/>
    <w:qFormat/>
    <w:pPr>
      <w:keepNext/>
      <w:outlineLvl w:val="4"/>
    </w:pPr>
    <w:rPr>
      <w:rFonts w:ascii="宋体"/>
      <w:color w:val="000000"/>
      <w:sz w:val="28"/>
      <w:szCs w:val="28"/>
    </w:rPr>
  </w:style>
  <w:style w:type="paragraph" w:styleId="712">
    <w:name w:val="标题 6"/>
    <w:basedOn w:val="706"/>
    <w:next w:val="706"/>
    <w:link w:val="727"/>
    <w:qFormat/>
    <w:pPr>
      <w:numPr>
        <w:ilvl w:val="5"/>
        <w:numId w:val="1"/>
      </w:numPr>
      <w:keepLines/>
      <w:keepNext/>
      <w:spacing w:before="240" w:after="64" w:line="320" w:lineRule="auto"/>
      <w:outlineLvl w:val="5"/>
    </w:pPr>
    <w:rPr>
      <w:rFonts w:ascii="Arial" w:hAnsi="Arial" w:eastAsia="黑体"/>
      <w:b/>
      <w:bCs/>
      <w:sz w:val="24"/>
      <w:szCs w:val="24"/>
    </w:rPr>
  </w:style>
  <w:style w:type="paragraph" w:styleId="713">
    <w:name w:val="标题 7"/>
    <w:basedOn w:val="706"/>
    <w:next w:val="706"/>
    <w:link w:val="728"/>
    <w:qFormat/>
    <w:pPr>
      <w:numPr>
        <w:ilvl w:val="6"/>
        <w:numId w:val="1"/>
      </w:numPr>
      <w:keepLines/>
      <w:keepNext/>
      <w:spacing w:before="240" w:after="64" w:line="320" w:lineRule="auto"/>
      <w:outlineLvl w:val="6"/>
    </w:pPr>
    <w:rPr>
      <w:b/>
      <w:bCs/>
      <w:sz w:val="24"/>
      <w:szCs w:val="24"/>
    </w:rPr>
  </w:style>
  <w:style w:type="paragraph" w:styleId="714">
    <w:name w:val="标题 8"/>
    <w:basedOn w:val="706"/>
    <w:next w:val="706"/>
    <w:link w:val="729"/>
    <w:qFormat/>
    <w:pPr>
      <w:numPr>
        <w:ilvl w:val="7"/>
        <w:numId w:val="1"/>
      </w:numPr>
      <w:keepLines/>
      <w:keepNext/>
      <w:spacing w:before="240" w:after="64" w:line="320" w:lineRule="auto"/>
      <w:outlineLvl w:val="7"/>
    </w:pPr>
    <w:rPr>
      <w:rFonts w:ascii="Arial" w:hAnsi="Arial" w:eastAsia="黑体"/>
      <w:sz w:val="24"/>
      <w:szCs w:val="24"/>
    </w:rPr>
  </w:style>
  <w:style w:type="paragraph" w:styleId="715">
    <w:name w:val="标题 9"/>
    <w:basedOn w:val="706"/>
    <w:next w:val="706"/>
    <w:link w:val="730"/>
    <w:qFormat/>
    <w:pPr>
      <w:numPr>
        <w:ilvl w:val="8"/>
        <w:numId w:val="1"/>
      </w:numPr>
      <w:keepLines/>
      <w:keepNext/>
      <w:spacing w:before="240" w:after="64" w:line="320" w:lineRule="auto"/>
      <w:outlineLvl w:val="8"/>
    </w:pPr>
    <w:rPr>
      <w:rFonts w:ascii="Arial" w:hAnsi="Arial" w:eastAsia="黑体"/>
      <w:sz w:val="20"/>
    </w:rPr>
  </w:style>
  <w:style w:type="character" w:styleId="716">
    <w:name w:val="默认段落字体"/>
    <w:next w:val="716"/>
    <w:link w:val="706"/>
    <w:uiPriority w:val="1"/>
    <w:unhideWhenUsed/>
  </w:style>
  <w:style w:type="table" w:styleId="717">
    <w:name w:val="普通表格"/>
    <w:next w:val="717"/>
    <w:link w:val="706"/>
    <w:uiPriority w:val="99"/>
    <w:unhideWhenUsed/>
    <w:tblPr/>
  </w:style>
  <w:style w:type="paragraph" w:styleId="718">
    <w:name w:val="正文文本"/>
    <w:basedOn w:val="706"/>
    <w:next w:val="718"/>
    <w:link w:val="719"/>
    <w:rPr>
      <w:rFonts w:ascii="楷体_GB2312" w:hAnsi="Arial" w:eastAsia="楷体_GB2312"/>
      <w:sz w:val="28"/>
      <w:szCs w:val="28"/>
    </w:rPr>
  </w:style>
  <w:style w:type="character" w:styleId="719">
    <w:name w:val="正文文本 字符"/>
    <w:next w:val="719"/>
    <w:link w:val="718"/>
    <w:rPr>
      <w:rFonts w:ascii="楷体_GB2312" w:hAnsi="Arial" w:eastAsia="楷体_GB2312" w:cs="Times New Roman"/>
      <w:sz w:val="28"/>
      <w:szCs w:val="28"/>
    </w:rPr>
  </w:style>
  <w:style w:type="character" w:styleId="720">
    <w:name w:val="标题 1 字符"/>
    <w:next w:val="720"/>
    <w:link w:val="707"/>
    <w:rPr>
      <w:rFonts w:ascii="楷体_GB2312" w:hAnsi="Times New Roman" w:eastAsia="楷体_GB2312" w:cs="Times New Roman"/>
      <w:sz w:val="28"/>
      <w:szCs w:val="28"/>
    </w:rPr>
  </w:style>
  <w:style w:type="character" w:styleId="721">
    <w:name w:val="标题 2 字符"/>
    <w:next w:val="721"/>
    <w:link w:val="708"/>
    <w:rPr>
      <w:rFonts w:ascii="Arial" w:hAnsi="Arial" w:eastAsia="幼圆" w:cs="Arial"/>
      <w:b/>
      <w:bCs/>
      <w:sz w:val="44"/>
      <w:szCs w:val="44"/>
    </w:rPr>
  </w:style>
  <w:style w:type="paragraph" w:styleId="722">
    <w:name w:val="正文缩进"/>
    <w:basedOn w:val="706"/>
    <w:next w:val="722"/>
    <w:link w:val="723"/>
    <w:qFormat/>
    <w:pPr>
      <w:ind w:firstLine="420"/>
    </w:pPr>
    <w:rPr>
      <w:sz w:val="20"/>
    </w:rPr>
  </w:style>
  <w:style w:type="character" w:styleId="723">
    <w:name w:val="正文缩进 字符1"/>
    <w:next w:val="723"/>
    <w:link w:val="722"/>
    <w:rPr>
      <w:rFonts w:ascii="Times New Roman" w:hAnsi="Times New Roman" w:eastAsia="宋体" w:cs="Times New Roman"/>
      <w:szCs w:val="21"/>
    </w:rPr>
  </w:style>
  <w:style w:type="character" w:styleId="724">
    <w:name w:val="标题 3 字符"/>
    <w:next w:val="724"/>
    <w:link w:val="709"/>
    <w:rPr>
      <w:rFonts w:ascii="Times New Roman" w:hAnsi="Times New Roman" w:eastAsia="宋体" w:cs="Times New Roman"/>
      <w:b/>
      <w:bCs/>
      <w:sz w:val="32"/>
      <w:szCs w:val="32"/>
    </w:rPr>
  </w:style>
  <w:style w:type="character" w:styleId="725">
    <w:name w:val="标题 4 字符"/>
    <w:next w:val="725"/>
    <w:link w:val="710"/>
    <w:rPr>
      <w:rFonts w:ascii="Arial" w:hAnsi="Arial" w:eastAsia="黑体" w:cs="Arial"/>
      <w:b/>
      <w:bCs/>
      <w:sz w:val="28"/>
      <w:szCs w:val="28"/>
    </w:rPr>
  </w:style>
  <w:style w:type="character" w:styleId="726">
    <w:name w:val="标题 5 字符"/>
    <w:next w:val="726"/>
    <w:link w:val="711"/>
    <w:rPr>
      <w:rFonts w:ascii="宋体" w:hAnsi="Times New Roman" w:eastAsia="宋体" w:cs="Times New Roman"/>
      <w:color w:val="000000"/>
      <w:sz w:val="28"/>
      <w:szCs w:val="28"/>
    </w:rPr>
  </w:style>
  <w:style w:type="character" w:styleId="727">
    <w:name w:val="标题 6 字符"/>
    <w:next w:val="727"/>
    <w:link w:val="712"/>
    <w:rPr>
      <w:rFonts w:ascii="Arial" w:hAnsi="Arial" w:eastAsia="黑体" w:cs="Times New Roman"/>
      <w:b/>
      <w:bCs/>
      <w:sz w:val="24"/>
      <w:szCs w:val="24"/>
    </w:rPr>
  </w:style>
  <w:style w:type="character" w:styleId="728">
    <w:name w:val="标题 7 字符"/>
    <w:next w:val="728"/>
    <w:link w:val="713"/>
    <w:rPr>
      <w:rFonts w:ascii="Times New Roman" w:hAnsi="Times New Roman" w:eastAsia="宋体" w:cs="Times New Roman"/>
      <w:b/>
      <w:bCs/>
      <w:sz w:val="24"/>
      <w:szCs w:val="24"/>
    </w:rPr>
  </w:style>
  <w:style w:type="character" w:styleId="729">
    <w:name w:val="标题 8 字符"/>
    <w:next w:val="729"/>
    <w:link w:val="714"/>
    <w:rPr>
      <w:rFonts w:ascii="Arial" w:hAnsi="Arial" w:eastAsia="黑体" w:cs="Times New Roman"/>
      <w:sz w:val="24"/>
      <w:szCs w:val="24"/>
    </w:rPr>
  </w:style>
  <w:style w:type="character" w:styleId="730">
    <w:name w:val="标题 9 字符"/>
    <w:next w:val="730"/>
    <w:link w:val="715"/>
    <w:rPr>
      <w:rFonts w:ascii="Arial" w:hAnsi="Arial" w:eastAsia="黑体" w:cs="Times New Roman"/>
      <w:szCs w:val="21"/>
    </w:rPr>
  </w:style>
  <w:style w:type="paragraph" w:styleId="731">
    <w:name w:val="列表 3"/>
    <w:basedOn w:val="706"/>
    <w:next w:val="731"/>
    <w:link w:val="706"/>
    <w:pPr>
      <w:ind w:left="100" w:hanging="200"/>
    </w:pPr>
  </w:style>
  <w:style w:type="paragraph" w:styleId="732">
    <w:name w:val="目录 7"/>
    <w:basedOn w:val="706"/>
    <w:next w:val="706"/>
    <w:link w:val="706"/>
    <w:semiHidden/>
    <w:pPr>
      <w:ind w:left="1260"/>
      <w:jc w:val="left"/>
    </w:pPr>
  </w:style>
  <w:style w:type="paragraph" w:styleId="733">
    <w:name w:val="文档结构图"/>
    <w:basedOn w:val="706"/>
    <w:next w:val="733"/>
    <w:link w:val="734"/>
    <w:semiHidden/>
    <w:pPr>
      <w:shd w:val="clear" w:color="auto" w:fill="000080"/>
    </w:pPr>
    <w:rPr>
      <w:sz w:val="20"/>
    </w:rPr>
  </w:style>
  <w:style w:type="character" w:styleId="734">
    <w:name w:val="文档结构图 字符"/>
    <w:next w:val="734"/>
    <w:link w:val="733"/>
    <w:semiHidden/>
    <w:rPr>
      <w:rFonts w:ascii="Times New Roman" w:hAnsi="Times New Roman" w:eastAsia="宋体" w:cs="Times New Roman"/>
      <w:szCs w:val="21"/>
      <w:shd w:val="clear" w:color="auto" w:fill="000080"/>
    </w:rPr>
  </w:style>
  <w:style w:type="paragraph" w:styleId="735">
    <w:name w:val="批注文字"/>
    <w:basedOn w:val="706"/>
    <w:next w:val="735"/>
    <w:link w:val="736"/>
    <w:semiHidden/>
    <w:pPr>
      <w:jc w:val="left"/>
    </w:pPr>
    <w:rPr>
      <w:sz w:val="20"/>
    </w:rPr>
  </w:style>
  <w:style w:type="character" w:styleId="736">
    <w:name w:val="批注文字 字符"/>
    <w:next w:val="736"/>
    <w:link w:val="735"/>
    <w:semiHidden/>
    <w:rPr>
      <w:rFonts w:ascii="Times New Roman" w:hAnsi="Times New Roman" w:eastAsia="宋体" w:cs="Times New Roman"/>
      <w:szCs w:val="21"/>
    </w:rPr>
  </w:style>
  <w:style w:type="paragraph" w:styleId="737">
    <w:name w:val="正文文本 3"/>
    <w:basedOn w:val="706"/>
    <w:next w:val="737"/>
    <w:link w:val="738"/>
    <w:rPr>
      <w:rFonts w:ascii="仿宋_GB2312" w:hAnsi="Arial" w:eastAsia="仿宋_GB2312"/>
      <w:sz w:val="32"/>
      <w:szCs w:val="32"/>
    </w:rPr>
  </w:style>
  <w:style w:type="character" w:styleId="738">
    <w:name w:val="正文文本 3 字符"/>
    <w:next w:val="738"/>
    <w:link w:val="737"/>
    <w:rPr>
      <w:rFonts w:ascii="仿宋_GB2312" w:hAnsi="Arial" w:eastAsia="仿宋_GB2312" w:cs="Times New Roman"/>
      <w:sz w:val="32"/>
      <w:szCs w:val="32"/>
    </w:rPr>
  </w:style>
  <w:style w:type="paragraph" w:styleId="739">
    <w:name w:val="正文文本缩进"/>
    <w:basedOn w:val="706"/>
    <w:next w:val="739"/>
    <w:link w:val="740"/>
    <w:pPr>
      <w:ind w:firstLine="645"/>
    </w:pPr>
    <w:rPr>
      <w:rFonts w:ascii="楷体_GB2312" w:eastAsia="楷体_GB2312"/>
      <w:sz w:val="32"/>
      <w:szCs w:val="32"/>
    </w:rPr>
  </w:style>
  <w:style w:type="character" w:styleId="740">
    <w:name w:val="正文文本缩进 字符"/>
    <w:next w:val="740"/>
    <w:link w:val="739"/>
    <w:rPr>
      <w:rFonts w:ascii="楷体_GB2312" w:hAnsi="Times New Roman" w:eastAsia="楷体_GB2312" w:cs="Times New Roman"/>
      <w:sz w:val="32"/>
      <w:szCs w:val="32"/>
    </w:rPr>
  </w:style>
  <w:style w:type="paragraph" w:styleId="741">
    <w:name w:val="列表 2"/>
    <w:basedOn w:val="706"/>
    <w:next w:val="741"/>
    <w:link w:val="706"/>
    <w:pPr>
      <w:ind w:left="100" w:hanging="200"/>
    </w:pPr>
  </w:style>
  <w:style w:type="paragraph" w:styleId="742">
    <w:name w:val="目录 5"/>
    <w:basedOn w:val="706"/>
    <w:next w:val="706"/>
    <w:link w:val="706"/>
    <w:semiHidden/>
    <w:pPr>
      <w:ind w:left="840"/>
      <w:jc w:val="left"/>
    </w:pPr>
  </w:style>
  <w:style w:type="paragraph" w:styleId="743">
    <w:name w:val="目录 3"/>
    <w:basedOn w:val="706"/>
    <w:next w:val="706"/>
    <w:link w:val="706"/>
    <w:semiHidden/>
    <w:pPr>
      <w:ind w:left="420"/>
      <w:jc w:val="left"/>
    </w:pPr>
    <w:rPr>
      <w:i/>
      <w:iCs/>
      <w:szCs w:val="24"/>
    </w:rPr>
  </w:style>
  <w:style w:type="paragraph" w:styleId="744">
    <w:name w:val="纯文本"/>
    <w:basedOn w:val="706"/>
    <w:next w:val="744"/>
    <w:link w:val="745"/>
    <w:qFormat/>
    <w:rPr>
      <w:rFonts w:ascii="宋体" w:hAnsi="Courier New"/>
      <w:sz w:val="20"/>
    </w:rPr>
  </w:style>
  <w:style w:type="character" w:styleId="745">
    <w:name w:val="纯文本 字符1"/>
    <w:next w:val="745"/>
    <w:link w:val="744"/>
    <w:rPr>
      <w:rFonts w:ascii="宋体" w:hAnsi="Courier New" w:eastAsia="宋体" w:cs="Courier New"/>
      <w:szCs w:val="21"/>
    </w:rPr>
  </w:style>
  <w:style w:type="paragraph" w:styleId="746">
    <w:name w:val="目录 8"/>
    <w:basedOn w:val="706"/>
    <w:next w:val="706"/>
    <w:link w:val="706"/>
    <w:semiHidden/>
    <w:pPr>
      <w:ind w:left="1470"/>
      <w:jc w:val="left"/>
    </w:pPr>
  </w:style>
  <w:style w:type="paragraph" w:styleId="747">
    <w:name w:val="日期"/>
    <w:basedOn w:val="706"/>
    <w:next w:val="706"/>
    <w:link w:val="748"/>
    <w:rPr>
      <w:sz w:val="24"/>
      <w:szCs w:val="24"/>
    </w:rPr>
  </w:style>
  <w:style w:type="character" w:styleId="748">
    <w:name w:val="日期 字符"/>
    <w:next w:val="748"/>
    <w:link w:val="747"/>
    <w:rPr>
      <w:rFonts w:ascii="Times New Roman" w:hAnsi="Times New Roman" w:eastAsia="宋体" w:cs="Times New Roman"/>
      <w:sz w:val="24"/>
      <w:szCs w:val="24"/>
    </w:rPr>
  </w:style>
  <w:style w:type="paragraph" w:styleId="749">
    <w:name w:val="正文文本缩进 2"/>
    <w:basedOn w:val="706"/>
    <w:next w:val="749"/>
    <w:link w:val="750"/>
    <w:pPr>
      <w:ind w:left="630" w:firstLine="645"/>
    </w:pPr>
    <w:rPr>
      <w:rFonts w:ascii="Arial" w:hAnsi="Arial" w:eastAsia="仿宋_GB2312"/>
      <w:sz w:val="32"/>
      <w:szCs w:val="32"/>
    </w:rPr>
  </w:style>
  <w:style w:type="character" w:styleId="750">
    <w:name w:val="正文文本缩进 2 字符"/>
    <w:next w:val="750"/>
    <w:link w:val="749"/>
    <w:rPr>
      <w:rFonts w:ascii="Arial" w:hAnsi="Arial" w:eastAsia="仿宋_GB2312" w:cs="Arial"/>
      <w:sz w:val="32"/>
      <w:szCs w:val="32"/>
    </w:rPr>
  </w:style>
  <w:style w:type="paragraph" w:styleId="751">
    <w:name w:val="批注框文本"/>
    <w:basedOn w:val="706"/>
    <w:next w:val="751"/>
    <w:link w:val="752"/>
    <w:semiHidden/>
    <w:rPr>
      <w:sz w:val="18"/>
      <w:szCs w:val="18"/>
    </w:rPr>
  </w:style>
  <w:style w:type="character" w:styleId="752">
    <w:name w:val="批注框文本 字符"/>
    <w:next w:val="752"/>
    <w:link w:val="751"/>
    <w:semiHidden/>
    <w:rPr>
      <w:rFonts w:ascii="Times New Roman" w:hAnsi="Times New Roman" w:eastAsia="宋体" w:cs="Times New Roman"/>
      <w:sz w:val="18"/>
      <w:szCs w:val="18"/>
    </w:rPr>
  </w:style>
  <w:style w:type="paragraph" w:styleId="753">
    <w:name w:val="页脚"/>
    <w:basedOn w:val="706"/>
    <w:next w:val="753"/>
    <w:link w:val="754"/>
    <w:pPr>
      <w:jc w:val="left"/>
      <w:tabs>
        <w:tab w:val="center" w:pos="4153" w:leader="none"/>
        <w:tab w:val="right" w:pos="8306" w:leader="none"/>
      </w:tabs>
    </w:pPr>
    <w:rPr>
      <w:sz w:val="18"/>
      <w:szCs w:val="18"/>
    </w:rPr>
  </w:style>
  <w:style w:type="character" w:styleId="754">
    <w:name w:val="页脚 字符"/>
    <w:next w:val="754"/>
    <w:link w:val="753"/>
    <w:rPr>
      <w:rFonts w:ascii="Times New Roman" w:hAnsi="Times New Roman" w:eastAsia="宋体" w:cs="Times New Roman"/>
      <w:sz w:val="18"/>
      <w:szCs w:val="18"/>
    </w:rPr>
  </w:style>
  <w:style w:type="paragraph" w:styleId="755">
    <w:name w:val="页眉"/>
    <w:basedOn w:val="706"/>
    <w:next w:val="755"/>
    <w:link w:val="756"/>
    <w:uiPriority w:val="99"/>
    <w:qFormat/>
    <w:pPr>
      <w:jc w:val="center"/>
      <w:tabs>
        <w:tab w:val="center" w:pos="4153" w:leader="none"/>
        <w:tab w:val="right" w:pos="8306" w:leader="none"/>
      </w:tabs>
      <w:pBdr>
        <w:bottom w:val="single" w:color="000000" w:sz="6" w:space="1"/>
      </w:pBdr>
    </w:pPr>
    <w:rPr>
      <w:sz w:val="18"/>
      <w:szCs w:val="18"/>
    </w:rPr>
  </w:style>
  <w:style w:type="character" w:styleId="756">
    <w:name w:val="页眉 字符"/>
    <w:next w:val="756"/>
    <w:link w:val="755"/>
    <w:uiPriority w:val="99"/>
    <w:qFormat/>
    <w:rPr>
      <w:rFonts w:ascii="Times New Roman" w:hAnsi="Times New Roman" w:eastAsia="宋体" w:cs="Times New Roman"/>
      <w:sz w:val="18"/>
      <w:szCs w:val="18"/>
    </w:rPr>
  </w:style>
  <w:style w:type="paragraph" w:styleId="757">
    <w:name w:val="目录 1"/>
    <w:basedOn w:val="706"/>
    <w:next w:val="706"/>
    <w:link w:val="706"/>
    <w:semiHidden/>
    <w:pPr>
      <w:jc w:val="left"/>
      <w:spacing w:before="120" w:after="120" w:line="400" w:lineRule="exact"/>
      <w:tabs>
        <w:tab w:val="right" w:pos="8720" w:leader="dot"/>
      </w:tabs>
    </w:pPr>
    <w:rPr>
      <w:rFonts w:ascii="宋体" w:hAnsi="宋体"/>
      <w:caps/>
      <w:sz w:val="24"/>
      <w:szCs w:val="24"/>
    </w:rPr>
  </w:style>
  <w:style w:type="paragraph" w:styleId="758">
    <w:name w:val="目录 4"/>
    <w:basedOn w:val="706"/>
    <w:next w:val="706"/>
    <w:link w:val="706"/>
    <w:semiHidden/>
    <w:pPr>
      <w:ind w:left="630"/>
      <w:jc w:val="left"/>
    </w:pPr>
  </w:style>
  <w:style w:type="paragraph" w:styleId="759">
    <w:name w:val="列表"/>
    <w:basedOn w:val="706"/>
    <w:next w:val="759"/>
    <w:link w:val="706"/>
    <w:pPr>
      <w:ind w:left="200" w:hanging="200"/>
    </w:pPr>
  </w:style>
  <w:style w:type="paragraph" w:styleId="760">
    <w:name w:val="目录 6"/>
    <w:basedOn w:val="706"/>
    <w:next w:val="706"/>
    <w:link w:val="706"/>
    <w:semiHidden/>
    <w:pPr>
      <w:ind w:left="1050"/>
      <w:jc w:val="left"/>
    </w:pPr>
  </w:style>
  <w:style w:type="paragraph" w:styleId="761">
    <w:name w:val="正文文本缩进 3"/>
    <w:basedOn w:val="706"/>
    <w:next w:val="761"/>
    <w:link w:val="762"/>
    <w:pPr>
      <w:ind w:left="645" w:firstLine="645"/>
    </w:pPr>
    <w:rPr>
      <w:rFonts w:ascii="Arial" w:hAnsi="Arial" w:eastAsia="仿宋_GB2312"/>
      <w:color w:val="ffff00"/>
      <w:sz w:val="32"/>
      <w:szCs w:val="32"/>
    </w:rPr>
  </w:style>
  <w:style w:type="character" w:styleId="762">
    <w:name w:val="正文文本缩进 3 字符"/>
    <w:next w:val="762"/>
    <w:link w:val="761"/>
    <w:rPr>
      <w:rFonts w:ascii="Arial" w:hAnsi="Arial" w:eastAsia="仿宋_GB2312" w:cs="Arial"/>
      <w:color w:val="ffff00"/>
      <w:sz w:val="32"/>
      <w:szCs w:val="32"/>
    </w:rPr>
  </w:style>
  <w:style w:type="paragraph" w:styleId="763">
    <w:name w:val="图表目录"/>
    <w:basedOn w:val="706"/>
    <w:next w:val="706"/>
    <w:link w:val="706"/>
    <w:semiHidden/>
    <w:pPr>
      <w:ind w:left="840" w:hanging="420"/>
    </w:pPr>
  </w:style>
  <w:style w:type="paragraph" w:styleId="764">
    <w:name w:val="目录 2"/>
    <w:basedOn w:val="706"/>
    <w:next w:val="706"/>
    <w:link w:val="706"/>
    <w:semiHidden/>
    <w:pPr>
      <w:ind w:left="210"/>
      <w:jc w:val="left"/>
    </w:pPr>
    <w:rPr>
      <w:smallCaps/>
      <w:szCs w:val="24"/>
    </w:rPr>
  </w:style>
  <w:style w:type="paragraph" w:styleId="765">
    <w:name w:val="目录 9"/>
    <w:basedOn w:val="706"/>
    <w:next w:val="706"/>
    <w:link w:val="706"/>
    <w:semiHidden/>
    <w:pPr>
      <w:ind w:left="1680"/>
      <w:jc w:val="left"/>
    </w:pPr>
  </w:style>
  <w:style w:type="paragraph" w:styleId="766">
    <w:name w:val="正文文本 2"/>
    <w:basedOn w:val="706"/>
    <w:next w:val="766"/>
    <w:link w:val="767"/>
    <w:pPr>
      <w:jc w:val="center"/>
      <w:widowControl/>
    </w:pPr>
    <w:rPr>
      <w:rFonts w:ascii="楷体_GB2312" w:eastAsia="楷体_GB2312"/>
      <w:sz w:val="28"/>
      <w:szCs w:val="28"/>
    </w:rPr>
  </w:style>
  <w:style w:type="character" w:styleId="767">
    <w:name w:val="正文文本 2 字符"/>
    <w:next w:val="767"/>
    <w:link w:val="766"/>
    <w:rPr>
      <w:rFonts w:ascii="楷体_GB2312" w:hAnsi="Times New Roman" w:eastAsia="楷体_GB2312" w:cs="Times New Roman"/>
      <w:sz w:val="28"/>
      <w:szCs w:val="28"/>
    </w:rPr>
  </w:style>
  <w:style w:type="paragraph" w:styleId="768">
    <w:name w:val="普通(网站)"/>
    <w:basedOn w:val="706"/>
    <w:next w:val="768"/>
    <w:link w:val="706"/>
    <w:uiPriority w:val="99"/>
    <w:qFormat/>
    <w:pPr>
      <w:jc w:val="left"/>
      <w:spacing w:before="100" w:beforeAutospacing="1" w:after="100" w:afterAutospacing="1"/>
      <w:widowControl/>
    </w:pPr>
    <w:rPr>
      <w:rFonts w:ascii="宋体" w:hAnsi="宋体" w:cs="宋体"/>
      <w:sz w:val="24"/>
      <w:szCs w:val="24"/>
    </w:rPr>
  </w:style>
  <w:style w:type="paragraph" w:styleId="769">
    <w:name w:val="索引 1"/>
    <w:basedOn w:val="706"/>
    <w:next w:val="706"/>
    <w:link w:val="706"/>
    <w:semiHidden/>
    <w:pPr>
      <w:spacing w:line="240" w:lineRule="atLeast"/>
    </w:pPr>
    <w:rPr>
      <w:b/>
      <w:bCs/>
    </w:rPr>
  </w:style>
  <w:style w:type="paragraph" w:styleId="770">
    <w:name w:val="批注主题"/>
    <w:basedOn w:val="735"/>
    <w:next w:val="735"/>
    <w:link w:val="771"/>
    <w:semiHidden/>
    <w:rPr>
      <w:b/>
      <w:bCs/>
    </w:rPr>
  </w:style>
  <w:style w:type="character" w:styleId="771">
    <w:name w:val="批注主题 字符"/>
    <w:next w:val="771"/>
    <w:link w:val="770"/>
    <w:semiHidden/>
    <w:rPr>
      <w:rFonts w:ascii="Times New Roman" w:hAnsi="Times New Roman" w:eastAsia="宋体" w:cs="Times New Roman"/>
      <w:b/>
      <w:bCs/>
      <w:szCs w:val="21"/>
    </w:rPr>
  </w:style>
  <w:style w:type="paragraph" w:styleId="772">
    <w:name w:val="正文首行缩进"/>
    <w:basedOn w:val="706"/>
    <w:next w:val="772"/>
    <w:link w:val="773"/>
    <w:pPr>
      <w:ind w:firstLine="200"/>
      <w:spacing w:line="360" w:lineRule="auto"/>
    </w:pPr>
    <w:rPr>
      <w:rFonts w:ascii="仿宋_GB2312" w:eastAsia="仿宋_GB2312"/>
      <w:sz w:val="30"/>
      <w:szCs w:val="30"/>
    </w:rPr>
  </w:style>
  <w:style w:type="character" w:styleId="773">
    <w:name w:val="正文文本首行缩进 字符"/>
    <w:next w:val="773"/>
    <w:link w:val="772"/>
    <w:rPr>
      <w:rFonts w:ascii="仿宋_GB2312" w:hAnsi="Times New Roman" w:eastAsia="仿宋_GB2312" w:cs="Times New Roman"/>
      <w:sz w:val="30"/>
      <w:szCs w:val="30"/>
    </w:rPr>
  </w:style>
  <w:style w:type="paragraph" w:styleId="774">
    <w:name w:val="正文首行缩进 2"/>
    <w:basedOn w:val="739"/>
    <w:next w:val="774"/>
    <w:link w:val="775"/>
    <w:pPr>
      <w:ind w:firstLine="420"/>
      <w:spacing w:line="360" w:lineRule="auto"/>
    </w:pPr>
    <w:rPr>
      <w:rFonts w:ascii="宋体" w:hAnsi="宋体" w:eastAsia="宋体"/>
      <w:szCs w:val="20"/>
    </w:rPr>
  </w:style>
  <w:style w:type="character" w:styleId="775">
    <w:name w:val="正文文本首行缩进 2 字符"/>
    <w:next w:val="775"/>
    <w:link w:val="774"/>
    <w:rPr>
      <w:rFonts w:ascii="宋体" w:hAnsi="宋体" w:eastAsia="宋体" w:cs="Times New Roman"/>
      <w:sz w:val="32"/>
      <w:szCs w:val="20"/>
    </w:rPr>
  </w:style>
  <w:style w:type="table" w:styleId="776">
    <w:name w:val="网格型"/>
    <w:basedOn w:val="717"/>
    <w:next w:val="776"/>
    <w:link w:val="706"/>
    <w:pPr>
      <w:jc w:val="both"/>
      <w:widowControl w:val="off"/>
    </w:pPr>
    <w:rPr>
      <w:rFonts w:ascii="Times New Roman" w:hAnsi="Times New Roman" w:eastAsia="宋体" w:cs="Times New Roman"/>
      <w:sz w:val="20"/>
      <w:szCs w:val="20"/>
    </w:rPr>
    <w:tblPr/>
  </w:style>
  <w:style w:type="character" w:styleId="777">
    <w:name w:val="要点"/>
    <w:next w:val="777"/>
    <w:link w:val="706"/>
    <w:qFormat/>
    <w:rPr>
      <w:b/>
      <w:bCs/>
    </w:rPr>
  </w:style>
  <w:style w:type="character" w:styleId="778">
    <w:name w:val="页码"/>
    <w:next w:val="778"/>
    <w:link w:val="706"/>
  </w:style>
  <w:style w:type="character" w:styleId="779">
    <w:name w:val="已访问的超链接"/>
    <w:next w:val="779"/>
    <w:link w:val="706"/>
    <w:rPr>
      <w:color w:val="800080"/>
      <w:u w:val="single"/>
    </w:rPr>
  </w:style>
  <w:style w:type="character" w:styleId="780">
    <w:name w:val="HTML 打字机"/>
    <w:next w:val="780"/>
    <w:link w:val="706"/>
    <w:uiPriority w:val="99"/>
    <w:rPr>
      <w:rFonts w:ascii="宋体" w:hAnsi="宋体" w:eastAsia="宋体" w:cs="宋体"/>
      <w:sz w:val="24"/>
      <w:szCs w:val="24"/>
    </w:rPr>
  </w:style>
  <w:style w:type="character" w:styleId="781">
    <w:name w:val="超链接"/>
    <w:next w:val="781"/>
    <w:link w:val="706"/>
    <w:rPr>
      <w:color w:val="0000ff"/>
      <w:u w:val="single"/>
    </w:rPr>
  </w:style>
  <w:style w:type="character" w:styleId="782">
    <w:name w:val="批注引用"/>
    <w:next w:val="782"/>
    <w:link w:val="706"/>
    <w:qFormat/>
    <w:rPr>
      <w:sz w:val="21"/>
      <w:szCs w:val="21"/>
    </w:rPr>
  </w:style>
  <w:style w:type="character" w:styleId="783">
    <w:name w:val="font5 Char"/>
    <w:next w:val="783"/>
    <w:link w:val="706"/>
    <w:rPr>
      <w:rFonts w:ascii="宋体" w:hAnsi="宋体" w:eastAsia="宋体"/>
      <w:sz w:val="28"/>
      <w:szCs w:val="28"/>
      <w:lang w:val="en-US" w:eastAsia="zh-CN" w:bidi="ar-SA"/>
    </w:rPr>
  </w:style>
  <w:style w:type="character" w:styleId="784">
    <w:name w:val="二级目录 Char"/>
    <w:next w:val="784"/>
    <w:link w:val="785"/>
    <w:rPr>
      <w:b/>
      <w:sz w:val="30"/>
      <w:szCs w:val="28"/>
      <w:lang w:val="en-US" w:eastAsia="zh-CN" w:bidi="ar-SA"/>
    </w:rPr>
  </w:style>
  <w:style w:type="paragraph" w:styleId="785">
    <w:name w:val="二级目录"/>
    <w:next w:val="706"/>
    <w:link w:val="784"/>
    <w:pPr>
      <w:numPr>
        <w:ilvl w:val="0"/>
        <w:numId w:val="2"/>
      </w:numPr>
      <w:tabs>
        <w:tab w:val="left" w:pos="907" w:leader="none"/>
        <w:tab w:val="left" w:pos="1145" w:leader="none"/>
      </w:tabs>
      <w:outlineLvl w:val="1"/>
    </w:pPr>
    <w:rPr>
      <w:b/>
      <w:sz w:val="30"/>
      <w:szCs w:val="28"/>
      <w:lang w:val="en-US" w:eastAsia="zh-CN" w:bidi="ar-SA"/>
    </w:rPr>
  </w:style>
  <w:style w:type="character" w:styleId="786">
    <w:name w:val="列出段落 Char,Bullet List Char,numbered Char,FooterText Char,List Paragraph1 Char,Paragraphe de liste1 Char"/>
    <w:next w:val="786"/>
    <w:link w:val="787"/>
    <w:rPr>
      <w:rFonts w:ascii="Calibri" w:hAnsi="Calibri"/>
      <w:sz w:val="24"/>
      <w:szCs w:val="24"/>
      <w:lang w:eastAsia="en-US" w:bidi="en-US"/>
    </w:rPr>
  </w:style>
  <w:style w:type="paragraph" w:styleId="787">
    <w:name w:val="列出段落1"/>
    <w:basedOn w:val="706"/>
    <w:next w:val="787"/>
    <w:link w:val="786"/>
    <w:qFormat/>
    <w:pPr>
      <w:contextualSpacing/>
      <w:ind w:left="720"/>
      <w:jc w:val="left"/>
      <w:widowControl/>
    </w:pPr>
    <w:rPr>
      <w:rFonts w:ascii="Calibri" w:hAnsi="Calibri"/>
      <w:sz w:val="24"/>
      <w:szCs w:val="24"/>
      <w:lang w:eastAsia="en-US" w:bidi="en-US"/>
    </w:rPr>
  </w:style>
  <w:style w:type="paragraph" w:styleId="788">
    <w:name w:val="Body Text(ch)"/>
    <w:basedOn w:val="706"/>
    <w:next w:val="718"/>
    <w:link w:val="706"/>
    <w:pPr>
      <w:spacing w:after="120"/>
    </w:pPr>
    <w:rPr>
      <w:rFonts w:ascii="宋体" w:hAnsi="Arial"/>
      <w:bCs/>
      <w:iCs/>
      <w:szCs w:val="24"/>
    </w:rPr>
  </w:style>
  <w:style w:type="paragraph" w:styleId="789">
    <w:name w:val="xl27"/>
    <w:basedOn w:val="706"/>
    <w:next w:val="789"/>
    <w:link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0">
    <w:name w:val="xl26"/>
    <w:basedOn w:val="706"/>
    <w:next w:val="790"/>
    <w:link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1">
    <w:name w:val="Char"/>
    <w:basedOn w:val="706"/>
    <w:next w:val="791"/>
    <w:link w:val="706"/>
    <w:pPr>
      <w:ind w:firstLine="200"/>
      <w:tabs>
        <w:tab w:val="left" w:pos="360" w:leader="none"/>
      </w:tabs>
    </w:pPr>
    <w:rPr>
      <w:sz w:val="28"/>
      <w:szCs w:val="30"/>
    </w:rPr>
  </w:style>
  <w:style w:type="paragraph" w:styleId="792">
    <w:name w:val=" Char"/>
    <w:basedOn w:val="733"/>
    <w:next w:val="792"/>
    <w:link w:val="706"/>
    <w:rPr>
      <w:rFonts w:ascii="Tahoma" w:hAnsi="Tahoma"/>
      <w:sz w:val="24"/>
      <w:szCs w:val="24"/>
    </w:rPr>
  </w:style>
  <w:style w:type="paragraph" w:styleId="793">
    <w:name w:val="普通正文"/>
    <w:basedOn w:val="706"/>
    <w:next w:val="793"/>
    <w:link w:val="794"/>
    <w:qFormat/>
    <w:pPr>
      <w:ind w:firstLine="480"/>
      <w:jc w:val="left"/>
      <w:spacing w:before="120" w:after="120" w:line="360" w:lineRule="auto"/>
    </w:pPr>
    <w:rPr>
      <w:rFonts w:ascii="Arial" w:hAnsi="Arial"/>
      <w:sz w:val="24"/>
      <w:szCs w:val="24"/>
    </w:rPr>
  </w:style>
  <w:style w:type="character" w:styleId="794">
    <w:name w:val="普通正文 Char"/>
    <w:next w:val="794"/>
    <w:link w:val="793"/>
    <w:qFormat/>
    <w:rPr>
      <w:rFonts w:ascii="Arial" w:hAnsi="Arial"/>
      <w:sz w:val="24"/>
      <w:szCs w:val="24"/>
    </w:rPr>
  </w:style>
  <w:style w:type="paragraph" w:styleId="795">
    <w:name w:val="table_lines"/>
    <w:basedOn w:val="706"/>
    <w:next w:val="795"/>
    <w:link w:val="706"/>
    <w:pPr>
      <w:jc w:val="left"/>
      <w:widowControl/>
    </w:pPr>
    <w:rPr>
      <w:sz w:val="20"/>
      <w:szCs w:val="20"/>
      <w:lang w:val="de-DE" w:eastAsia="de-DE"/>
    </w:rPr>
  </w:style>
  <w:style w:type="paragraph" w:styleId="796">
    <w:name w:val="附录1"/>
    <w:next w:val="796"/>
    <w:link w:val="70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7">
    <w:name w:val="font7"/>
    <w:basedOn w:val="706"/>
    <w:next w:val="797"/>
    <w:link w:val="706"/>
    <w:pPr>
      <w:jc w:val="left"/>
      <w:spacing w:before="100" w:beforeAutospacing="1" w:after="100" w:afterAutospacing="1"/>
      <w:widowControl/>
    </w:pPr>
    <w:rPr>
      <w:rFonts w:hint="eastAsia" w:ascii="宋体" w:hAnsi="宋体"/>
      <w:sz w:val="18"/>
      <w:szCs w:val="18"/>
    </w:rPr>
  </w:style>
  <w:style w:type="paragraph" w:styleId="798">
    <w:name w:val=" Char Char Char Char"/>
    <w:basedOn w:val="733"/>
    <w:next w:val="798"/>
    <w:link w:val="706"/>
    <w:pPr>
      <w:spacing w:line="360" w:lineRule="auto"/>
    </w:pPr>
    <w:rPr>
      <w:rFonts w:ascii="Tahoma" w:hAnsi="Tahoma"/>
      <w:sz w:val="24"/>
      <w:szCs w:val="24"/>
    </w:rPr>
  </w:style>
  <w:style w:type="paragraph" w:styleId="799">
    <w:name w:val="列表段落"/>
    <w:basedOn w:val="706"/>
    <w:next w:val="799"/>
    <w:link w:val="706"/>
    <w:uiPriority w:val="99"/>
    <w:qFormat/>
    <w:pPr>
      <w:contextualSpacing/>
      <w:ind w:left="720"/>
      <w:jc w:val="left"/>
      <w:widowControl/>
    </w:pPr>
    <w:rPr>
      <w:rFonts w:ascii="Calibri" w:hAnsi="Calibri"/>
      <w:sz w:val="24"/>
      <w:szCs w:val="24"/>
      <w:lang w:eastAsia="en-US" w:bidi="en-US"/>
    </w:rPr>
  </w:style>
  <w:style w:type="paragraph" w:styleId="800">
    <w:name w:val="4"/>
    <w:basedOn w:val="706"/>
    <w:next w:val="761"/>
    <w:link w:val="706"/>
    <w:pPr>
      <w:ind w:firstLine="420"/>
      <w:spacing w:line="360" w:lineRule="auto"/>
    </w:pPr>
    <w:rPr>
      <w:color w:val="ff0000"/>
      <w:sz w:val="24"/>
      <w:szCs w:val="24"/>
    </w:rPr>
  </w:style>
  <w:style w:type="paragraph" w:styleId="801">
    <w:name w:val="普通 (Web)"/>
    <w:basedOn w:val="706"/>
    <w:next w:val="801"/>
    <w:link w:val="706"/>
    <w:pPr>
      <w:jc w:val="left"/>
      <w:spacing w:before="100" w:beforeAutospacing="1" w:after="100" w:afterAutospacing="1"/>
      <w:widowControl/>
    </w:pPr>
    <w:rPr>
      <w:rFonts w:ascii="宋体" w:hAnsi="宋体"/>
      <w:sz w:val="24"/>
      <w:szCs w:val="24"/>
    </w:rPr>
  </w:style>
  <w:style w:type="paragraph" w:styleId="802">
    <w:name w:val=" Char Char Char Char Char Char Char Char Char Char"/>
    <w:basedOn w:val="706"/>
    <w:next w:val="802"/>
    <w:link w:val="706"/>
    <w:pPr>
      <w:spacing w:line="360" w:lineRule="auto"/>
    </w:pPr>
    <w:rPr>
      <w:sz w:val="24"/>
      <w:szCs w:val="20"/>
    </w:rPr>
  </w:style>
  <w:style w:type="paragraph" w:styleId="803">
    <w:name w:val="样式1"/>
    <w:basedOn w:val="706"/>
    <w:next w:val="803"/>
    <w:link w:val="706"/>
    <w:pPr>
      <w:numPr>
        <w:ilvl w:val="0"/>
        <w:numId w:val="3"/>
      </w:numPr>
      <w:tabs>
        <w:tab w:val="left" w:pos="709" w:leader="none"/>
      </w:tabs>
    </w:pPr>
    <w:rPr>
      <w:rFonts w:ascii="宋体" w:hAnsi="宋体"/>
    </w:rPr>
  </w:style>
  <w:style w:type="paragraph" w:styleId="804">
    <w:name w:val="font6"/>
    <w:basedOn w:val="706"/>
    <w:next w:val="804"/>
    <w:link w:val="706"/>
    <w:pPr>
      <w:jc w:val="left"/>
      <w:spacing w:before="100" w:beforeAutospacing="1" w:after="100" w:afterAutospacing="1"/>
      <w:widowControl/>
    </w:pPr>
    <w:rPr>
      <w:rFonts w:hint="eastAsia" w:ascii="宋体" w:hAnsi="宋体"/>
      <w:sz w:val="28"/>
      <w:szCs w:val="28"/>
      <w:u w:val="single"/>
    </w:rPr>
  </w:style>
  <w:style w:type="paragraph" w:styleId="805">
    <w:name w:val="xl25"/>
    <w:basedOn w:val="706"/>
    <w:next w:val="805"/>
    <w:link w:val="70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6">
    <w:name w:val="图标"/>
    <w:basedOn w:val="706"/>
    <w:next w:val="706"/>
    <w:link w:val="70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7">
    <w:name w:val="标题3"/>
    <w:basedOn w:val="706"/>
    <w:next w:val="706"/>
    <w:link w:val="706"/>
    <w:pPr>
      <w:ind w:firstLine="624"/>
      <w:spacing w:line="590" w:lineRule="atLeast"/>
    </w:pPr>
    <w:rPr>
      <w:rFonts w:ascii="方正黑体_GBK" w:eastAsia="方正黑体_GBK"/>
      <w:sz w:val="32"/>
      <w:szCs w:val="32"/>
    </w:rPr>
  </w:style>
  <w:style w:type="paragraph" w:styleId="808">
    <w:name w:val="xl24"/>
    <w:basedOn w:val="706"/>
    <w:next w:val="808"/>
    <w:link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9">
    <w:name w:val="xl29"/>
    <w:basedOn w:val="706"/>
    <w:next w:val="809"/>
    <w:link w:val="70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10">
    <w:name w:val="Char Char Char Char Char Char Char Char"/>
    <w:basedOn w:val="706"/>
    <w:next w:val="810"/>
    <w:link w:val="706"/>
    <w:pPr>
      <w:jc w:val="left"/>
      <w:spacing w:after="160" w:line="240" w:lineRule="exact"/>
      <w:widowControl/>
    </w:pPr>
    <w:rPr>
      <w:rFonts w:ascii="Verdana" w:hAnsi="Verdana"/>
      <w:sz w:val="20"/>
      <w:szCs w:val="20"/>
      <w:lang w:eastAsia="en-US"/>
    </w:rPr>
  </w:style>
  <w:style w:type="paragraph" w:styleId="811">
    <w:name w:val="xl28"/>
    <w:basedOn w:val="706"/>
    <w:next w:val="811"/>
    <w:link w:val="70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2">
    <w:name w:val=" Char Char Char Char Char Char Char Char"/>
    <w:basedOn w:val="706"/>
    <w:next w:val="812"/>
    <w:link w:val="706"/>
    <w:pPr>
      <w:jc w:val="left"/>
      <w:spacing w:after="160" w:line="240" w:lineRule="exact"/>
      <w:widowControl/>
    </w:pPr>
    <w:rPr>
      <w:rFonts w:ascii="Verdana" w:hAnsi="Verdana"/>
      <w:sz w:val="20"/>
      <w:szCs w:val="20"/>
      <w:lang w:eastAsia="en-US"/>
    </w:rPr>
  </w:style>
  <w:style w:type="paragraph" w:styleId="813">
    <w:name w:val="xl30"/>
    <w:basedOn w:val="706"/>
    <w:next w:val="813"/>
    <w:link w:val="706"/>
    <w:pPr>
      <w:jc w:val="center"/>
      <w:spacing w:before="100" w:beforeAutospacing="1" w:after="100" w:afterAutospacing="1"/>
      <w:widowControl/>
    </w:pPr>
    <w:rPr>
      <w:rFonts w:ascii="宋体" w:hAnsi="宋体"/>
      <w:b/>
      <w:bCs/>
      <w:sz w:val="36"/>
      <w:szCs w:val="36"/>
    </w:rPr>
  </w:style>
  <w:style w:type="paragraph" w:styleId="814">
    <w:name w:val="Char Char Char Char"/>
    <w:basedOn w:val="733"/>
    <w:next w:val="814"/>
    <w:link w:val="706"/>
    <w:pPr>
      <w:spacing w:line="360" w:lineRule="auto"/>
    </w:pPr>
    <w:rPr>
      <w:rFonts w:ascii="Tahoma" w:hAnsi="Tahoma"/>
      <w:sz w:val="24"/>
      <w:szCs w:val="24"/>
    </w:rPr>
  </w:style>
  <w:style w:type="paragraph" w:styleId="815">
    <w:name w:val="table_1stline"/>
    <w:basedOn w:val="706"/>
    <w:next w:val="815"/>
    <w:link w:val="706"/>
    <w:pPr>
      <w:jc w:val="left"/>
      <w:spacing w:before="120"/>
      <w:widowControl/>
    </w:pPr>
    <w:rPr>
      <w:bCs/>
      <w:sz w:val="20"/>
      <w:szCs w:val="20"/>
      <w:lang w:val="de-DE" w:eastAsia="de-DE"/>
    </w:rPr>
  </w:style>
  <w:style w:type="paragraph" w:styleId="816">
    <w:name w:val="font5"/>
    <w:basedOn w:val="706"/>
    <w:next w:val="816"/>
    <w:link w:val="706"/>
    <w:pPr>
      <w:jc w:val="left"/>
      <w:spacing w:before="100" w:beforeAutospacing="1" w:after="100" w:afterAutospacing="1"/>
      <w:widowControl/>
    </w:pPr>
    <w:rPr>
      <w:rFonts w:hint="eastAsia" w:ascii="宋体" w:hAnsi="宋体"/>
      <w:sz w:val="28"/>
      <w:szCs w:val="28"/>
    </w:rPr>
  </w:style>
  <w:style w:type="paragraph" w:styleId="817">
    <w:name w:val="标题1"/>
    <w:basedOn w:val="706"/>
    <w:next w:val="706"/>
    <w:link w:val="706"/>
    <w:pPr>
      <w:jc w:val="center"/>
      <w:spacing w:line="700" w:lineRule="atLeast"/>
      <w:tabs>
        <w:tab w:val="left" w:pos="9193" w:leader="none"/>
        <w:tab w:val="left" w:pos="9827" w:leader="none"/>
      </w:tabs>
    </w:pPr>
    <w:rPr>
      <w:rFonts w:ascii="方正小标宋_GBK" w:eastAsia="方正小标宋_GBK"/>
      <w:sz w:val="44"/>
      <w:szCs w:val="20"/>
    </w:rPr>
  </w:style>
  <w:style w:type="paragraph" w:styleId="818">
    <w:name w:val="修订"/>
    <w:next w:val="818"/>
    <w:link w:val="706"/>
    <w:uiPriority w:val="99"/>
    <w:semiHidden/>
    <w:rPr>
      <w:rFonts w:ascii="Times New Roman" w:hAnsi="Times New Roman"/>
      <w:sz w:val="21"/>
      <w:szCs w:val="21"/>
      <w:lang w:val="en-US" w:eastAsia="zh-CN" w:bidi="ar-SA"/>
    </w:rPr>
  </w:style>
  <w:style w:type="paragraph" w:styleId="819">
    <w:name w:val="无间隔"/>
    <w:next w:val="819"/>
    <w:link w:val="706"/>
    <w:uiPriority w:val="99"/>
    <w:qFormat/>
    <w:pPr>
      <w:jc w:val="both"/>
      <w:widowControl w:val="off"/>
    </w:pPr>
    <w:rPr>
      <w:rFonts w:ascii="Times New Roman" w:hAnsi="Times New Roman"/>
      <w:sz w:val="21"/>
      <w:szCs w:val="21"/>
      <w:lang w:val="en-US" w:eastAsia="zh-CN" w:bidi="ar-SA"/>
    </w:rPr>
  </w:style>
  <w:style w:type="paragraph" w:styleId="820">
    <w:name w:val="普通文字"/>
    <w:basedOn w:val="706"/>
    <w:next w:val="706"/>
    <w:link w:val="706"/>
    <w:uiPriority w:val="99"/>
    <w:rPr>
      <w:rFonts w:ascii="宋体" w:hAnsi="Times New Roman" w:eastAsia="宋体" w:cs="Times New Roman"/>
      <w:sz w:val="24"/>
      <w:szCs w:val="20"/>
      <w:u w:val="none"/>
    </w:rPr>
  </w:style>
  <w:style w:type="paragraph" w:styleId="821">
    <w:name w:val="目录 111"/>
    <w:basedOn w:val="706"/>
    <w:next w:val="706"/>
    <w:link w:val="706"/>
    <w:uiPriority w:val="39"/>
    <w:unhideWhenUsed/>
    <w:qFormat/>
    <w:pPr>
      <w:jc w:val="left"/>
      <w:spacing w:after="100" w:line="259" w:lineRule="auto"/>
      <w:widowControl/>
    </w:pPr>
    <w:rPr>
      <w:rFonts w:ascii="Calibri" w:hAnsi="Calibri" w:eastAsia="宋体"/>
      <w:sz w:val="22"/>
      <w:szCs w:val="22"/>
    </w:rPr>
  </w:style>
  <w:style w:type="character" w:styleId="822">
    <w:name w:val="纯文本 字符"/>
    <w:next w:val="822"/>
    <w:link w:val="706"/>
    <w:qFormat/>
    <w:rPr>
      <w:rFonts w:ascii="宋体" w:hAnsi="Courier New" w:eastAsia="宋体" w:cs="Times New Roman"/>
      <w:szCs w:val="20"/>
    </w:rPr>
  </w:style>
  <w:style w:type="paragraph" w:styleId="823">
    <w:name w:val="列表项目符号 21"/>
    <w:basedOn w:val="706"/>
    <w:next w:val="823"/>
    <w:link w:val="706"/>
    <w:uiPriority w:val="99"/>
    <w:unhideWhenUsed/>
    <w:qFormat/>
    <w:pPr>
      <w:numPr>
        <w:ilvl w:val="0"/>
        <w:numId w:val="4"/>
      </w:numPr>
      <w:tabs>
        <w:tab w:val="left" w:pos="780" w:leader="none"/>
      </w:tabs>
    </w:pPr>
    <w:rPr>
      <w:rFonts w:ascii="Calibri" w:hAnsi="Calibri"/>
      <w:szCs w:val="22"/>
    </w:rPr>
  </w:style>
  <w:style w:type="paragraph" w:styleId="824">
    <w:name w:val="题注1"/>
    <w:basedOn w:val="706"/>
    <w:next w:val="706"/>
    <w:link w:val="706"/>
    <w:uiPriority w:val="35"/>
    <w:unhideWhenUsed/>
    <w:qFormat/>
    <w:pPr>
      <w:spacing w:line="276" w:lineRule="auto"/>
    </w:pPr>
    <w:rPr>
      <w:rFonts w:ascii="Calibri" w:hAnsi="Calibri"/>
      <w:b/>
      <w:bCs/>
      <w:color w:val="4f81bd"/>
      <w:sz w:val="18"/>
      <w:szCs w:val="18"/>
    </w:rPr>
  </w:style>
  <w:style w:type="paragraph" w:styleId="825">
    <w:name w:val="Table Paragraph"/>
    <w:basedOn w:val="706"/>
    <w:next w:val="825"/>
    <w:link w:val="706"/>
    <w:uiPriority w:val="1"/>
    <w:qFormat/>
    <w:rPr>
      <w:rFonts w:ascii="宋体" w:hAnsi="宋体" w:cs="宋体"/>
      <w:szCs w:val="24"/>
      <w:lang w:val="zh-CN" w:bidi="zh-CN"/>
    </w:rPr>
  </w:style>
  <w:style w:type="character" w:styleId="826">
    <w:name w:val="正文缩进 字符"/>
    <w:next w:val="826"/>
    <w:link w:val="706"/>
    <w:qFormat/>
    <w:rPr>
      <w:rFonts w:ascii="Times New Roman" w:hAnsi="Times New Roman" w:eastAsia="宋体" w:cs="Times New Roman"/>
      <w:szCs w:val="20"/>
    </w:rPr>
  </w:style>
  <w:style w:type="character" w:styleId="9927" w:default="1">
    <w:name w:val="Default Paragraph Font"/>
    <w:uiPriority w:val="1"/>
    <w:semiHidden/>
    <w:unhideWhenUsed/>
  </w:style>
  <w:style w:type="numbering" w:styleId="9928" w:default="1">
    <w:name w:val="No List"/>
    <w:uiPriority w:val="99"/>
    <w:semiHidden/>
    <w:unhideWhenUsed/>
  </w:style>
  <w:style w:type="table" w:styleId="99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刘智</cp:lastModifiedBy>
  <cp:revision>4</cp:revision>
  <dcterms:created xsi:type="dcterms:W3CDTF">2023-03-16T02:16:00Z</dcterms:created>
  <dcterms:modified xsi:type="dcterms:W3CDTF">2026-04-24T02:30:31Z</dcterms:modified>
</cp:coreProperties>
</file>