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bookmarkStart w:id="0" w:name="EB3ace3d43b98b41779337deb808be6fa3"/>
      <w:r>
        <w:rPr>
          <w:rFonts w:hint="eastAsia" w:ascii="宋体" w:hAnsi="宋体" w:cs="宋体"/>
          <w:color w:val="auto"/>
          <w:sz w:val="20"/>
          <w:highlight w:val="none"/>
        </w:rPr>
        <w:t xml:space="preserve"> </w:t>
      </w:r>
      <w:bookmarkEnd w:id="0"/>
      <w:r/>
      <w:bookmarkStart w:id="1" w:name="EB57dd2a69e2b54b0cb3f5c2f03a1ab7bf"/>
      <w:r>
        <w:rPr>
          <w:rFonts w:hint="eastAsia" w:ascii="宋体" w:hAnsi="宋体" w:cs="宋体"/>
          <w:color w:val="auto"/>
          <w:sz w:val="20"/>
          <w:highlight w:val="none"/>
        </w:rPr>
        <w:t xml:space="preserve"> </w:t>
      </w:r>
      <w:bookmarkEnd w:id="1"/>
      <w:r/>
      <w:r/>
    </w:p>
    <w:p>
      <w:pPr>
        <w:rPr>
          <w:rFonts w:hint="eastAsia" w:ascii="宋体" w:hAnsi="宋体" w:cs="宋体"/>
          <w:color w:val="auto"/>
          <w:highlight w:val="none"/>
        </w:rPr>
      </w:pPr>
      <w:r>
        <w:rPr>
          <w:rFonts w:hint="eastAsia" w:ascii="宋体" w:hAnsi="宋体" w:cs="宋体"/>
          <w:color w:val="auto"/>
          <w:highlight w:val="none"/>
        </w:rPr>
      </w:r>
      <w:r/>
    </w:p>
    <w:p>
      <w:pPr>
        <w:jc w:val="center"/>
        <w:spacing w:before="120" w:after="120" w:line="360" w:lineRule="auto"/>
        <w:rPr>
          <w:rFonts w:hint="eastAsia" w:ascii="宋体" w:hAnsi="宋体" w:cs="宋体"/>
          <w:b/>
          <w:color w:val="auto"/>
          <w:sz w:val="84"/>
          <w:szCs w:val="24"/>
          <w:highlight w:val="none"/>
          <w:lang w:bidi="ar"/>
        </w:rPr>
      </w:pPr>
      <w:r>
        <w:rPr>
          <w:rFonts w:hint="eastAsia" w:ascii="宋体" w:hAnsi="宋体" w:cs="宋体"/>
          <w:b/>
          <w:color w:val="auto"/>
          <w:sz w:val="84"/>
          <w:szCs w:val="24"/>
          <w:highlight w:val="none"/>
          <w:lang w:bidi="ar"/>
        </w:rPr>
        <w:t xml:space="preserve">招　标　文　件</w:t>
      </w:r>
      <w:r/>
    </w:p>
    <w:p>
      <w:pPr>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ind w:firstLine="602"/>
        <w:rPr>
          <w:rFonts w:hint="eastAsia" w:ascii="宋体" w:hAnsi="宋体" w:cs="宋体"/>
          <w:b/>
          <w:color w:val="auto"/>
          <w:sz w:val="30"/>
          <w:szCs w:val="30"/>
          <w:highlight w:val="none"/>
        </w:rPr>
      </w:pPr>
      <w:r>
        <w:rPr>
          <w:rFonts w:hint="eastAsia" w:ascii="宋体" w:hAnsi="宋体" w:cs="宋体"/>
          <w:b/>
          <w:color w:val="auto"/>
          <w:sz w:val="30"/>
          <w:szCs w:val="30"/>
          <w:highlight w:val="none"/>
          <w:lang w:bidi="ar"/>
        </w:rPr>
        <w:t xml:space="preserve">项目名称：</w:t>
      </w:r>
      <w:r>
        <w:rPr>
          <w:rFonts w:hint="eastAsia" w:ascii="宋体" w:hAnsi="宋体" w:cs="宋体"/>
          <w:b/>
          <w:color w:val="auto"/>
          <w:sz w:val="30"/>
          <w:szCs w:val="30"/>
          <w:highlight w:val="none"/>
          <w:lang w:eastAsia="zh-CN" w:bidi="ar"/>
        </w:rPr>
        <w:t xml:space="preserve">宿城区残疾人联合会残疾人居家托养服务采购项目</w:t>
      </w:r>
      <w:r>
        <w:rPr>
          <w:rFonts w:hint="eastAsia" w:ascii="宋体" w:hAnsi="宋体" w:cs="宋体"/>
          <w:b/>
          <w:color w:val="auto"/>
          <w:sz w:val="30"/>
          <w:szCs w:val="30"/>
          <w:highlight w:val="none"/>
          <w:lang w:bidi="ar"/>
        </w:rPr>
        <w:t xml:space="preserve"> </w:t>
      </w:r>
      <w:r/>
    </w:p>
    <w:p>
      <w:pPr>
        <w:ind w:firstLine="1506"/>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r>
      <w:r/>
    </w:p>
    <w:p>
      <w:pPr>
        <w:ind w:firstLine="1506"/>
        <w:rPr>
          <w:rFonts w:hint="eastAsia" w:ascii="宋体" w:hAnsi="宋体" w:eastAsia="宋体" w:cs="宋体"/>
          <w:b/>
          <w:color w:val="auto"/>
          <w:sz w:val="30"/>
          <w:szCs w:val="30"/>
          <w:highlight w:val="none"/>
          <w:lang w:eastAsia="zh-CN" w:bidi="ar"/>
        </w:rPr>
      </w:pPr>
      <w:r>
        <w:rPr>
          <w:rFonts w:hint="eastAsia" w:ascii="宋体" w:hAnsi="宋体" w:cs="宋体"/>
          <w:b/>
          <w:color w:val="auto"/>
          <w:sz w:val="30"/>
          <w:szCs w:val="30"/>
          <w:highlight w:val="none"/>
          <w:lang w:bidi="ar"/>
        </w:rPr>
        <w:t xml:space="preserve">项目编号：</w:t>
      </w:r>
      <w:r>
        <w:rPr>
          <w:rFonts w:hint="eastAsia" w:ascii="宋体" w:hAnsi="宋体" w:cs="宋体"/>
          <w:b/>
          <w:color w:val="auto"/>
          <w:sz w:val="30"/>
          <w:szCs w:val="30"/>
          <w:highlight w:val="none"/>
          <w:lang w:eastAsia="zh-CN" w:bidi="ar"/>
        </w:rPr>
        <w:t xml:space="preserve">JSZC-321302-SSJT-G2026-0030</w:t>
      </w:r>
      <w:r/>
    </w:p>
    <w:p>
      <w:pPr>
        <w:ind w:left="2800" w:hanging="2800"/>
        <w:rPr>
          <w:rFonts w:hint="eastAsia" w:ascii="宋体" w:hAnsi="宋体" w:cs="宋体"/>
          <w:color w:val="auto"/>
          <w:sz w:val="28"/>
          <w:szCs w:val="28"/>
          <w:highlight w:val="none"/>
          <w:lang w:bidi="ar"/>
        </w:rPr>
      </w:pPr>
      <w:r>
        <w:rPr>
          <w:rFonts w:hint="eastAsia" w:ascii="宋体" w:hAnsi="宋体" w:cs="宋体"/>
          <w:color w:val="auto"/>
          <w:sz w:val="28"/>
          <w:szCs w:val="28"/>
          <w:highlight w:val="none"/>
          <w:lang w:bidi="ar"/>
        </w:rPr>
      </w:r>
      <w:r/>
    </w:p>
    <w:p>
      <w:pPr>
        <w:ind w:left="2800" w:hanging="2800"/>
        <w:rPr>
          <w:rFonts w:hint="eastAsia" w:ascii="宋体" w:hAnsi="宋体" w:cs="宋体"/>
          <w:b/>
          <w:color w:val="auto"/>
          <w:sz w:val="28"/>
          <w:szCs w:val="28"/>
          <w:highlight w:val="none"/>
        </w:rPr>
      </w:pPr>
      <w:r>
        <w:rPr>
          <w:rFonts w:hint="eastAsia" w:ascii="宋体" w:hAnsi="宋体" w:cs="宋体"/>
          <w:color w:val="auto"/>
          <w:sz w:val="28"/>
          <w:szCs w:val="28"/>
          <w:highlight w:val="none"/>
          <w:lang w:bidi="ar"/>
        </w:rPr>
        <w:t xml:space="preserve">          </w:t>
      </w:r>
      <w:r>
        <w:rPr>
          <w:rFonts w:hint="eastAsia" w:ascii="宋体" w:hAnsi="宋体" w:cs="宋体"/>
          <w:b/>
          <w:color w:val="auto"/>
          <w:sz w:val="28"/>
          <w:szCs w:val="28"/>
          <w:highlight w:val="none"/>
          <w:lang w:bidi="ar"/>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810"/>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b/>
                <w:bCs/>
                <w:color w:val="auto"/>
                <w:spacing w:val="45"/>
                <w:sz w:val="32"/>
                <w:szCs w:val="24"/>
                <w:highlight w:val="none"/>
              </w:rPr>
              <w:t xml:space="preserve">采  购 人</w:t>
            </w:r>
            <w:r>
              <w:rPr>
                <w:rFonts w:hint="eastAsia" w:ascii="宋体" w:hAnsi="宋体" w:cs="宋体"/>
                <w:b/>
                <w:bCs/>
                <w:color w:val="auto"/>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b/>
                <w:color w:val="auto"/>
                <w:sz w:val="30"/>
                <w:szCs w:val="30"/>
                <w:highlight w:val="none"/>
                <w:lang w:eastAsia="zh-CN" w:bidi="ar"/>
              </w:rPr>
            </w:pPr>
            <w:r>
              <w:rPr>
                <w:rFonts w:hint="eastAsia" w:ascii="宋体" w:hAnsi="宋体" w:cs="宋体"/>
                <w:b/>
                <w:color w:val="auto"/>
                <w:sz w:val="30"/>
                <w:szCs w:val="30"/>
                <w:highlight w:val="none"/>
                <w:lang w:eastAsia="zh-CN" w:bidi="ar"/>
              </w:rPr>
              <w:t xml:space="preserve">宿迁市宿城区残疾人联合会</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b/>
                <w:bCs/>
                <w:color w:val="auto"/>
                <w:spacing w:val="45"/>
                <w:sz w:val="32"/>
                <w:szCs w:val="24"/>
                <w:highlight w:val="none"/>
              </w:rPr>
            </w:pPr>
            <w:r>
              <w:rPr>
                <w:rFonts w:hint="eastAsia" w:ascii="宋体" w:hAnsi="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eastAsia="宋体" w:cs="宋体"/>
                <w:color w:val="auto"/>
                <w:sz w:val="24"/>
                <w:szCs w:val="24"/>
                <w:highlight w:val="none"/>
                <w:lang w:eastAsia="zh-CN"/>
              </w:rPr>
            </w:pPr>
            <w:r>
              <w:rPr>
                <w:rFonts w:hint="eastAsia" w:ascii="宋体" w:hAnsi="宋体" w:cs="宋体"/>
                <w:b/>
                <w:color w:val="auto"/>
                <w:sz w:val="30"/>
                <w:szCs w:val="30"/>
                <w:highlight w:val="none"/>
                <w:lang w:eastAsia="zh-CN" w:bidi="ar"/>
              </w:rPr>
              <w:t xml:space="preserve">苏世建设管理集团有限公司</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bidi="ar"/>
              </w:rPr>
              <w:t xml:space="preserve">日         期：</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cs="宋体"/>
                <w:b/>
                <w:color w:val="auto"/>
                <w:sz w:val="30"/>
                <w:szCs w:val="30"/>
                <w:highlight w:val="none"/>
                <w:lang w:bidi="ar"/>
              </w:rPr>
            </w:pPr>
            <w:r>
              <w:rPr>
                <w:rFonts w:hint="eastAsia" w:ascii="宋体" w:hAnsi="宋体" w:cs="宋体"/>
                <w:b/>
                <w:color w:val="auto"/>
                <w:sz w:val="30"/>
                <w:szCs w:val="30"/>
                <w:highlight w:val="none"/>
                <w:lang w:eastAsia="zh-CN" w:bidi="ar"/>
              </w:rPr>
              <w:t xml:space="preserve">2026</w:t>
            </w:r>
            <w:r>
              <w:rPr>
                <w:rFonts w:hint="eastAsia" w:ascii="宋体" w:hAnsi="宋体" w:cs="宋体"/>
                <w:b/>
                <w:color w:val="auto"/>
                <w:sz w:val="30"/>
                <w:szCs w:val="30"/>
                <w:highlight w:val="none"/>
                <w:lang w:bidi="ar"/>
              </w:rPr>
              <w:t xml:space="preserve">年</w:t>
            </w:r>
            <w:r>
              <w:rPr>
                <w:rFonts w:hint="eastAsia" w:ascii="宋体" w:hAnsi="宋体" w:cs="宋体"/>
                <w:b/>
                <w:color w:val="auto"/>
                <w:sz w:val="30"/>
                <w:szCs w:val="30"/>
                <w:highlight w:val="none"/>
                <w:lang w:val="en-US" w:eastAsia="zh-CN" w:bidi="ar"/>
              </w:rPr>
              <w:t xml:space="preserve">05</w:t>
            </w:r>
            <w:r>
              <w:rPr>
                <w:rFonts w:hint="eastAsia" w:ascii="宋体" w:hAnsi="宋体" w:cs="宋体"/>
                <w:b/>
                <w:color w:val="auto"/>
                <w:sz w:val="30"/>
                <w:szCs w:val="30"/>
                <w:highlight w:val="none"/>
                <w:lang w:bidi="ar"/>
              </w:rPr>
              <w:t xml:space="preserve">月</w:t>
            </w:r>
            <w:r>
              <w:rPr>
                <w:rFonts w:hint="eastAsia" w:ascii="宋体" w:hAnsi="宋体" w:cs="宋体"/>
                <w:b/>
                <w:color w:val="auto"/>
                <w:sz w:val="30"/>
                <w:szCs w:val="30"/>
                <w:highlight w:val="none"/>
                <w:lang w:val="en-US" w:eastAsia="zh-CN" w:bidi="ar"/>
              </w:rPr>
              <w:t xml:space="preserve">19</w:t>
            </w:r>
            <w:r>
              <w:rPr>
                <w:rFonts w:hint="eastAsia" w:ascii="宋体" w:hAnsi="宋体" w:cs="宋体"/>
                <w:b/>
                <w:color w:val="auto"/>
                <w:sz w:val="30"/>
                <w:szCs w:val="30"/>
                <w:highlight w:val="none"/>
                <w:lang w:bidi="ar"/>
              </w:rPr>
              <w:t xml:space="preserve">日</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964"/>
        <w:jc w:val="left"/>
        <w:spacing w:before="120" w:after="120" w:line="360" w:lineRule="auto"/>
        <w:rPr>
          <w:rFonts w:hint="eastAsia" w:ascii="宋体" w:hAnsi="宋体" w:cs="宋体"/>
          <w:b/>
          <w:color w:val="auto"/>
          <w:sz w:val="32"/>
          <w:szCs w:val="24"/>
          <w:highlight w:val="none"/>
        </w:rPr>
      </w:pPr>
      <w:r>
        <w:rPr>
          <w:rFonts w:hint="eastAsia" w:ascii="宋体" w:hAnsi="宋体" w:cs="宋体"/>
          <w:b/>
          <w:bCs/>
          <w:color w:val="auto"/>
          <w:sz w:val="32"/>
          <w:szCs w:val="24"/>
          <w:highlight w:val="none"/>
        </w:rPr>
        <w:t xml:space="preserve"> </w:t>
      </w:r>
      <w:r/>
    </w:p>
    <w:p>
      <w:pPr>
        <w:jc w:val="center"/>
        <w:spacing w:before="120" w:after="120" w:line="360" w:lineRule="auto"/>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center"/>
        <w:spacing w:before="120" w:after="120" w:line="360" w:lineRule="auto"/>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jc w:val="center"/>
        <w:keepLines/>
        <w:keepNext/>
        <w:pageBreakBefore/>
        <w:rPr>
          <w:rFonts w:hint="eastAsia"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pStyle w:val="835"/>
        <w:tabs>
          <w:tab w:val="right" w:pos="9185" w:leader="dot"/>
        </w:tabs>
        <w:rPr>
          <w:rFonts w:hint="eastAsia" w:ascii="宋体" w:hAnsi="宋体" w:cs="宋体"/>
          <w:bCs w:val="0"/>
          <w:color w:val="auto"/>
          <w:sz w:val="44"/>
          <w:szCs w:val="44"/>
          <w:highlight w:val="none"/>
        </w:rPr>
      </w:pPr>
      <w:r>
        <w:rPr>
          <w:rFonts w:hint="eastAsia" w:ascii="宋体" w:hAnsi="宋体" w:cs="宋体"/>
          <w:bCs w:val="0"/>
          <w:color w:val="auto"/>
          <w:sz w:val="44"/>
          <w:szCs w:val="44"/>
          <w:highlight w:val="none"/>
        </w:rPr>
      </w:r>
      <w:r/>
    </w:p>
    <w:p>
      <w:pPr>
        <w:pStyle w:val="835"/>
        <w:tabs>
          <w:tab w:val="right" w:pos="9185" w:leader="dot"/>
        </w:tabs>
        <w:rPr>
          <w:rFonts w:hint="eastAsia" w:ascii="宋体" w:hAnsi="宋体" w:cs="宋体"/>
          <w:bCs w:val="0"/>
          <w:color w:val="auto"/>
          <w:sz w:val="30"/>
          <w:szCs w:val="30"/>
          <w:highlight w:val="none"/>
        </w:rPr>
      </w:pPr>
      <w:r>
        <w:rPr>
          <w:rFonts w:hint="eastAsia" w:ascii="宋体" w:hAnsi="宋体" w:cs="宋体"/>
          <w:bCs w:val="0"/>
          <w:color w:val="auto"/>
          <w:sz w:val="44"/>
          <w:szCs w:val="44"/>
          <w:highlight w:val="none"/>
        </w:rPr>
        <w:fldChar w:fldCharType="begin"/>
      </w:r>
      <w:r>
        <w:rPr>
          <w:rFonts w:hint="eastAsia" w:ascii="宋体" w:hAnsi="宋体" w:cs="宋体"/>
          <w:bCs w:val="0"/>
          <w:color w:val="auto"/>
          <w:sz w:val="44"/>
          <w:szCs w:val="44"/>
          <w:highlight w:val="none"/>
        </w:rPr>
        <w:instrText xml:space="preserve">TOC \o "1-2" \h \u </w:instrText>
      </w:r>
      <w:r>
        <w:rPr>
          <w:rFonts w:hint="eastAsia" w:ascii="宋体" w:hAnsi="宋体" w:cs="宋体"/>
          <w:bCs w:val="0"/>
          <w:color w:val="auto"/>
          <w:sz w:val="44"/>
          <w:szCs w:val="44"/>
          <w:highlight w:val="none"/>
        </w:rPr>
        <w:fldChar w:fldCharType="separate"/>
      </w:r>
      <w:r>
        <w:rPr>
          <w:color w:val="auto"/>
          <w:highlight w:val="none"/>
        </w:rPr>
        <w:fldChar w:fldCharType="begin"/>
      </w:r>
      <w:r>
        <w:rPr>
          <w:color w:val="auto"/>
          <w:highlight w:val="none"/>
        </w:rPr>
        <w:instrText xml:space="preserve"> HYPERLINK \l "_Toc21628" \o "#_Toc21628" </w:instrText>
      </w:r>
      <w:r>
        <w:rPr>
          <w:color w:val="auto"/>
          <w:highlight w:val="none"/>
        </w:rPr>
        <w:fldChar w:fldCharType="separate"/>
      </w:r>
      <w:r>
        <w:rPr>
          <w:rFonts w:hint="eastAsia" w:ascii="宋体" w:hAnsi="宋体" w:cs="宋体"/>
          <w:bCs w:val="0"/>
          <w:color w:val="auto"/>
          <w:sz w:val="30"/>
          <w:szCs w:val="30"/>
          <w:highlight w:val="none"/>
        </w:rPr>
        <w:t xml:space="preserve">第一章  投标邀请</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_Toc21628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3</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35"/>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"_Toc16734" \o "#_Toc16734" </w:instrText>
      </w:r>
      <w:r>
        <w:rPr>
          <w:color w:val="auto"/>
          <w:highlight w:val="none"/>
        </w:rPr>
        <w:fldChar w:fldCharType="separate"/>
      </w:r>
      <w:r>
        <w:rPr>
          <w:rFonts w:hint="eastAsia" w:ascii="宋体" w:hAnsi="宋体" w:cs="宋体"/>
          <w:bCs w:val="0"/>
          <w:color w:val="auto"/>
          <w:sz w:val="30"/>
          <w:szCs w:val="30"/>
          <w:highlight w:val="none"/>
        </w:rPr>
        <w:t xml:space="preserve">第二章  投标人须知</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_Toc16734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6</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35"/>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"_Toc15388" \o "#_Toc15388" </w:instrText>
      </w:r>
      <w:r>
        <w:rPr>
          <w:color w:val="auto"/>
          <w:highlight w:val="none"/>
        </w:rPr>
        <w:fldChar w:fldCharType="separate"/>
      </w:r>
      <w:r>
        <w:rPr>
          <w:rFonts w:hint="eastAsia" w:ascii="宋体" w:hAnsi="宋体" w:cs="宋体"/>
          <w:bCs w:val="0"/>
          <w:color w:val="auto"/>
          <w:sz w:val="30"/>
          <w:szCs w:val="30"/>
          <w:highlight w:val="none"/>
        </w:rPr>
        <w:t xml:space="preserve">第三章  资格审查及评标方法</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_Toc15388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20</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35"/>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"_Toc28894" \o "#_Toc28894" </w:instrText>
      </w:r>
      <w:r>
        <w:rPr>
          <w:color w:val="auto"/>
          <w:highlight w:val="none"/>
        </w:rPr>
        <w:fldChar w:fldCharType="separate"/>
      </w:r>
      <w:r>
        <w:rPr>
          <w:rFonts w:hint="eastAsia" w:ascii="宋体" w:hAnsi="宋体" w:cs="宋体"/>
          <w:bCs w:val="0"/>
          <w:color w:val="auto"/>
          <w:sz w:val="30"/>
          <w:szCs w:val="30"/>
          <w:highlight w:val="none"/>
        </w:rPr>
        <w:t xml:space="preserve">第四章  采购需求</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_Toc28894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24</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35"/>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"_Toc24039" \o "#_Toc24039" </w:instrText>
      </w:r>
      <w:r>
        <w:rPr>
          <w:color w:val="auto"/>
          <w:highlight w:val="none"/>
        </w:rPr>
        <w:fldChar w:fldCharType="separate"/>
      </w:r>
      <w:r>
        <w:rPr>
          <w:rFonts w:hint="eastAsia" w:ascii="宋体" w:hAnsi="宋体" w:cs="宋体"/>
          <w:bCs w:val="0"/>
          <w:color w:val="auto"/>
          <w:sz w:val="30"/>
          <w:szCs w:val="30"/>
          <w:highlight w:val="none"/>
        </w:rPr>
        <w:t xml:space="preserve">第五章  合同文本</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_Toc24039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47</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35"/>
        <w:tabs>
          <w:tab w:val="right" w:pos="9185" w:leader="dot"/>
        </w:tabs>
        <w:rPr>
          <w:rFonts w:hint="eastAsia" w:ascii="宋体" w:hAnsi="宋体" w:cs="宋体"/>
          <w:bCs w:val="0"/>
          <w:color w:val="auto"/>
          <w:sz w:val="30"/>
          <w:szCs w:val="30"/>
          <w:highlight w:val="none"/>
        </w:rPr>
      </w:pPr>
      <w:r>
        <w:rPr>
          <w:color w:val="auto"/>
          <w:highlight w:val="none"/>
        </w:rPr>
        <w:fldChar w:fldCharType="begin"/>
      </w:r>
      <w:r>
        <w:rPr>
          <w:color w:val="auto"/>
          <w:highlight w:val="none"/>
        </w:rPr>
        <w:instrText xml:space="preserve"> HYPERLINK \l "_Toc6859" \o "#_Toc6859" </w:instrText>
      </w:r>
      <w:r>
        <w:rPr>
          <w:color w:val="auto"/>
          <w:highlight w:val="none"/>
        </w:rPr>
        <w:fldChar w:fldCharType="separate"/>
      </w:r>
      <w:r>
        <w:rPr>
          <w:rFonts w:hint="eastAsia" w:ascii="宋体" w:hAnsi="宋体" w:cs="宋体"/>
          <w:bCs w:val="0"/>
          <w:color w:val="auto"/>
          <w:sz w:val="30"/>
          <w:szCs w:val="30"/>
          <w:highlight w:val="none"/>
        </w:rPr>
        <w:t xml:space="preserve">第六章  投标文件格式</w:t>
      </w:r>
      <w:r>
        <w:rPr>
          <w:rFonts w:hint="eastAsia" w:ascii="宋体" w:hAnsi="宋体" w:cs="宋体"/>
          <w:bCs w:val="0"/>
          <w:color w:val="auto"/>
          <w:sz w:val="30"/>
          <w:szCs w:val="30"/>
          <w:highlight w:val="none"/>
        </w:rPr>
        <w:tab/>
      </w:r>
      <w:r>
        <w:rPr>
          <w:rFonts w:hint="eastAsia" w:ascii="宋体" w:hAnsi="宋体" w:cs="宋体"/>
          <w:bCs w:val="0"/>
          <w:color w:val="auto"/>
          <w:sz w:val="30"/>
          <w:szCs w:val="30"/>
          <w:highlight w:val="none"/>
        </w:rPr>
        <w:fldChar w:fldCharType="begin"/>
      </w:r>
      <w:r>
        <w:rPr>
          <w:rFonts w:hint="eastAsia" w:ascii="宋体" w:hAnsi="宋体" w:cs="宋体"/>
          <w:bCs w:val="0"/>
          <w:color w:val="auto"/>
          <w:sz w:val="30"/>
          <w:szCs w:val="30"/>
          <w:highlight w:val="none"/>
        </w:rPr>
        <w:instrText xml:space="preserve"> PAGEREF _Toc6859 \h </w:instrText>
      </w:r>
      <w:r>
        <w:rPr>
          <w:rFonts w:hint="eastAsia" w:ascii="宋体" w:hAnsi="宋体" w:cs="宋体"/>
          <w:bCs w:val="0"/>
          <w:color w:val="auto"/>
          <w:sz w:val="30"/>
          <w:szCs w:val="30"/>
          <w:highlight w:val="none"/>
        </w:rPr>
        <w:fldChar w:fldCharType="separate"/>
      </w:r>
      <w:r>
        <w:rPr>
          <w:rFonts w:hint="eastAsia" w:ascii="宋体" w:hAnsi="宋体" w:cs="宋体"/>
          <w:bCs w:val="0"/>
          <w:color w:val="auto"/>
          <w:sz w:val="30"/>
          <w:szCs w:val="30"/>
          <w:highlight w:val="none"/>
        </w:rPr>
        <w:t xml:space="preserve">57</w:t>
      </w:r>
      <w:r>
        <w:rPr>
          <w:rFonts w:hint="eastAsia" w:ascii="宋体" w:hAnsi="宋体" w:cs="宋体"/>
          <w:bCs w:val="0"/>
          <w:color w:val="auto"/>
          <w:sz w:val="30"/>
          <w:szCs w:val="30"/>
          <w:highlight w:val="none"/>
        </w:rPr>
        <w:fldChar w:fldCharType="end"/>
      </w:r>
      <w:r>
        <w:rPr>
          <w:rFonts w:hint="eastAsia" w:ascii="宋体" w:hAnsi="宋体" w:cs="宋体"/>
          <w:bCs w:val="0"/>
          <w:color w:val="auto"/>
          <w:sz w:val="30"/>
          <w:szCs w:val="30"/>
          <w:highlight w:val="none"/>
        </w:rPr>
        <w:fldChar w:fldCharType="end"/>
      </w:r>
      <w:r/>
    </w:p>
    <w:p>
      <w:pPr>
        <w:pStyle w:val="843"/>
        <w:tabs>
          <w:tab w:val="right" w:pos="9185" w:leader="dot"/>
        </w:tabs>
        <w:rPr>
          <w:rFonts w:hint="eastAsia" w:ascii="宋体" w:hAnsi="宋体" w:cs="宋体"/>
          <w:b/>
          <w:color w:val="auto"/>
          <w:highlight w:val="none"/>
        </w:rPr>
      </w:pPr>
      <w:r>
        <w:rPr>
          <w:rFonts w:hint="eastAsia" w:ascii="宋体" w:hAnsi="宋体" w:cs="宋体"/>
          <w:b/>
          <w:color w:val="auto"/>
          <w:szCs w:val="44"/>
          <w:highlight w:val="none"/>
        </w:rPr>
        <w:fldChar w:fldCharType="end"/>
      </w:r>
      <w:r/>
    </w:p>
    <w:p>
      <w:pPr>
        <w:jc w:val="center"/>
        <w:keepLines/>
        <w:keepNext/>
        <w:pageBreakBefore/>
        <w:rPr>
          <w:rFonts w:hint="eastAsia" w:ascii="宋体" w:hAnsi="宋体" w:cs="宋体"/>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800"/>
        <w:jc w:val="center"/>
        <w:spacing w:before="200"/>
        <w:rPr>
          <w:rFonts w:hint="eastAsia" w:ascii="宋体" w:hAnsi="宋体" w:eastAsia="宋体" w:cs="宋体"/>
          <w:color w:val="auto"/>
          <w:sz w:val="44"/>
          <w:highlight w:val="none"/>
        </w:rPr>
      </w:pPr>
      <w:r/>
      <w:bookmarkStart w:id="4" w:name="_Toc30943"/>
      <w:r/>
      <w:bookmarkStart w:id="5" w:name="_Toc25722"/>
      <w:r/>
      <w:bookmarkStart w:id="6" w:name="_Toc21628"/>
      <w:r/>
      <w:bookmarkStart w:id="7" w:name="_Toc30613"/>
      <w:r>
        <w:rPr>
          <w:rFonts w:hint="eastAsia" w:ascii="宋体" w:hAnsi="宋体" w:eastAsia="宋体" w:cs="宋体"/>
          <w:color w:val="auto"/>
          <w:sz w:val="44"/>
          <w:highlight w:val="none"/>
        </w:rPr>
        <w:t xml:space="preserve">第一章  投标邀请</w:t>
      </w:r>
      <w:bookmarkEnd w:id="2"/>
      <w:r/>
      <w:bookmarkEnd w:id="3"/>
      <w:r/>
      <w:bookmarkEnd w:id="4"/>
      <w:r/>
      <w:bookmarkEnd w:id="5"/>
      <w:r/>
      <w:bookmarkEnd w:id="6"/>
      <w:r/>
      <w:bookmarkEnd w:id="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宿迁市宿城区残疾人联合会</w:t>
      </w:r>
      <w:r>
        <w:rPr>
          <w:rFonts w:hint="eastAsia" w:ascii="宋体" w:hAnsi="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苏世建设管理集团有限公司</w:t>
      </w:r>
      <w:r>
        <w:rPr>
          <w:rFonts w:hint="eastAsia" w:ascii="宋体" w:hAnsi="宋体" w:cs="宋体"/>
          <w:color w:val="auto"/>
          <w:sz w:val="24"/>
          <w:szCs w:val="24"/>
          <w:highlight w:val="none"/>
        </w:rPr>
        <w:t xml:space="preserve">就</w:t>
      </w: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JSZC-321302-SSJT-G2026-0030</w:t>
      </w:r>
      <w:r>
        <w:rPr>
          <w:rFonts w:hint="eastAsia" w:ascii="宋体" w:hAnsi="宋体" w:cs="宋体"/>
          <w:color w:val="auto"/>
          <w:sz w:val="24"/>
          <w:szCs w:val="24"/>
          <w:highlight w:val="none"/>
        </w:rPr>
        <w:t xml:space="preserve">)进行公开招标采购，欢迎符合条件的投标人投标。</w:t>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招标项目的潜在投标人可在“江苏政府采购网”、</w:t>
      </w:r>
      <w:r>
        <w:rPr>
          <w:rFonts w:hint="eastAsia" w:ascii="宋体" w:hAnsi="宋体" w:cs="宋体"/>
          <w:color w:val="auto"/>
          <w:sz w:val="24"/>
          <w:szCs w:val="24"/>
          <w:highlight w:val="none"/>
          <w:u w:val="single"/>
        </w:rPr>
        <w:t xml:space="preserve">“宿迁市政府采购网”自行免费</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w:t>
      </w:r>
      <w:r>
        <w:rPr>
          <w:rFonts w:hint="eastAsia" w:ascii="宋体" w:hAnsi="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rPr>
        <w:t xml:space="preserve">06月10</w:t>
      </w:r>
      <w:r>
        <w:rPr>
          <w:rFonts w:hint="eastAsia" w:ascii="宋体" w:hAnsi="宋体" w:cs="宋体"/>
          <w:bCs/>
          <w:color w:val="auto"/>
          <w:sz w:val="24"/>
          <w:szCs w:val="24"/>
          <w:highlight w:val="none"/>
          <w:u w:val="single"/>
        </w:rPr>
        <w:t xml:space="preserve">日09点30分（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pStyle w:val="801"/>
        <w:ind w:firstLine="643"/>
        <w:spacing w:before="0" w:after="0" w:line="480" w:lineRule="exact"/>
        <w:rPr>
          <w:rFonts w:hint="eastAsia" w:ascii="宋体" w:hAnsi="宋体" w:eastAsia="宋体" w:cs="宋体"/>
          <w:bCs/>
          <w:color w:val="auto"/>
          <w:szCs w:val="22"/>
          <w:highlight w:val="none"/>
        </w:rPr>
      </w:pPr>
      <w:r/>
      <w:bookmarkStart w:id="8" w:name="_Toc38985263"/>
      <w:r/>
      <w:bookmarkStart w:id="9" w:name="_Toc28359079"/>
      <w:r/>
      <w:bookmarkStart w:id="10" w:name="_Toc28359002"/>
      <w:r/>
      <w:bookmarkStart w:id="11" w:name="_Toc2584"/>
      <w:r/>
      <w:bookmarkStart w:id="12" w:name="_Toc35393790"/>
      <w:r/>
      <w:bookmarkStart w:id="13" w:name="_Toc12720"/>
      <w:r/>
      <w:bookmarkStart w:id="14" w:name="_Toc35393621"/>
      <w:r/>
      <w:bookmarkStart w:id="15" w:name="_Hlk24379207"/>
      <w:r>
        <w:rPr>
          <w:rFonts w:hint="eastAsia" w:ascii="宋体" w:hAnsi="宋体" w:eastAsia="宋体" w:cs="宋体"/>
          <w:bCs/>
          <w:color w:val="auto"/>
          <w:szCs w:val="22"/>
          <w:highlight w:val="none"/>
        </w:rPr>
        <w:t xml:space="preserve">一、项目基本情况</w:t>
      </w:r>
      <w:bookmarkEnd w:id="8"/>
      <w:r/>
      <w:bookmarkEnd w:id="9"/>
      <w:r/>
      <w:bookmarkEnd w:id="10"/>
      <w:r/>
      <w:bookmarkEnd w:id="11"/>
      <w:r/>
      <w:bookmarkEnd w:id="12"/>
      <w:r/>
      <w:bookmarkEnd w:id="13"/>
      <w:r/>
      <w:bookmarkEnd w:id="14"/>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JSZC-321302-SSJT-G2026-0030</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bookmarkEnd w:id="15"/>
      <w:r>
        <w:rPr>
          <w:rFonts w:hint="eastAsia" w:ascii="宋体" w:hAnsi="宋体" w:cs="宋体"/>
          <w:color w:val="auto"/>
          <w:sz w:val="24"/>
          <w:szCs w:val="24"/>
          <w:highlight w:val="none"/>
          <w:lang w:eastAsia="zh-CN"/>
        </w:rPr>
        <w:t xml:space="preserve">宿城区残疾人联合会残疾人居家托养服务采购项目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192</w:t>
      </w:r>
      <w:r>
        <w:rPr>
          <w:rFonts w:hint="eastAsia" w:ascii="宋体" w:hAnsi="宋体" w:cs="宋体"/>
          <w:color w:val="auto"/>
          <w:sz w:val="24"/>
          <w:szCs w:val="24"/>
          <w:highlight w:val="none"/>
        </w:rPr>
        <w:t xml:space="preserve">万元</w:t>
      </w:r>
      <w:r/>
    </w:p>
    <w:p>
      <w:pPr>
        <w:ind w:firstLine="480"/>
        <w:spacing w:line="4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4.本项目设定最高限价，最高限价为：</w:t>
      </w:r>
      <w:r>
        <w:rPr>
          <w:rFonts w:hint="eastAsia" w:ascii="宋体" w:hAnsi="宋体" w:cs="宋体"/>
          <w:color w:val="auto"/>
          <w:sz w:val="24"/>
          <w:szCs w:val="24"/>
          <w:highlight w:val="none"/>
          <w:lang w:eastAsia="zh-CN"/>
        </w:rPr>
        <w:t xml:space="preserve">192万元</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宿城区残疾人联合会残疾人居家托养服务采购项目</w:t>
      </w:r>
      <w:r>
        <w:rPr>
          <w:rFonts w:hint="eastAsia" w:ascii="宋体" w:hAnsi="宋体" w:cs="宋体"/>
          <w:color w:val="auto"/>
          <w:sz w:val="24"/>
          <w:szCs w:val="24"/>
          <w:highlight w:val="none"/>
        </w:rPr>
        <w:t xml:space="preserve">，具体详见采购需求部分。</w:t>
      </w:r>
      <w:r/>
    </w:p>
    <w:p>
      <w:pPr>
        <w:pStyle w:val="1262"/>
        <w:ind w:right="105" w:firstLine="480"/>
        <w:jc w:val="left"/>
        <w:spacing w:line="500" w:lineRule="exact"/>
        <w:rPr>
          <w:rFonts w:hint="eastAsia" w:ascii="宋体" w:hAnsi="宋体" w:cs="宋体"/>
          <w:color w:val="auto"/>
          <w:sz w:val="24"/>
          <w:szCs w:val="24"/>
          <w:highlight w:val="none"/>
          <w:lang w:bidi="zh-CN"/>
        </w:rPr>
      </w:pPr>
      <w:r>
        <w:rPr>
          <w:rFonts w:hint="eastAsia" w:ascii="宋体" w:hAnsi="宋体" w:cs="宋体"/>
          <w:color w:val="auto"/>
          <w:sz w:val="24"/>
          <w:szCs w:val="24"/>
          <w:highlight w:val="none"/>
        </w:rPr>
        <w:t xml:space="preserve">6.合同履行期限：</w:t>
      </w:r>
      <w:r>
        <w:rPr>
          <w:rFonts w:hint="eastAsia" w:ascii="宋体" w:hAnsi="宋体" w:cs="宋体"/>
          <w:color w:val="auto"/>
          <w:sz w:val="24"/>
          <w:szCs w:val="24"/>
          <w:highlight w:val="none"/>
          <w:lang w:bidi="zh-CN"/>
        </w:rPr>
        <w:t xml:space="preserve">1年，自合同签订之日起计算。</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w:t>
      </w:r>
      <w:r>
        <w:rPr>
          <w:rFonts w:hint="eastAsia" w:ascii="宋体" w:hAnsi="宋体" w:cs="宋体"/>
          <w:color w:val="auto"/>
          <w:sz w:val="24"/>
          <w:szCs w:val="24"/>
          <w:highlight w:val="none"/>
          <w:u w:val="single"/>
        </w:rPr>
        <w:t xml:space="preserve"> 不接受 </w:t>
      </w:r>
      <w:r>
        <w:rPr>
          <w:rFonts w:hint="eastAsia" w:ascii="宋体" w:hAnsi="宋体" w:cs="宋体"/>
          <w:color w:val="auto"/>
          <w:sz w:val="24"/>
          <w:szCs w:val="24"/>
          <w:highlight w:val="none"/>
        </w:rPr>
        <w:t xml:space="preserve">联合体投标。</w:t>
      </w:r>
      <w:r/>
    </w:p>
    <w:p>
      <w:pPr>
        <w:pStyle w:val="801"/>
        <w:ind w:firstLine="643"/>
        <w:spacing w:before="0" w:after="0" w:line="480" w:lineRule="exact"/>
        <w:rPr>
          <w:rFonts w:hint="eastAsia" w:ascii="宋体" w:hAnsi="宋体" w:eastAsia="宋体" w:cs="宋体"/>
          <w:bCs/>
          <w:color w:val="auto"/>
          <w:szCs w:val="22"/>
          <w:highlight w:val="none"/>
        </w:rPr>
      </w:pPr>
      <w:r/>
      <w:bookmarkStart w:id="16" w:name="_Toc19834"/>
      <w:r/>
      <w:bookmarkStart w:id="17" w:name="_Toc38985264"/>
      <w:r/>
      <w:bookmarkStart w:id="18" w:name="_Toc35393791"/>
      <w:r/>
      <w:bookmarkStart w:id="19" w:name="_Toc28359080"/>
      <w:r/>
      <w:bookmarkStart w:id="20" w:name="_Toc35393622"/>
      <w:r/>
      <w:bookmarkStart w:id="21" w:name="_Toc27291"/>
      <w:r/>
      <w:bookmarkStart w:id="22" w:name="_Toc28359003"/>
      <w:r>
        <w:rPr>
          <w:rFonts w:hint="eastAsia" w:ascii="宋体" w:hAnsi="宋体" w:eastAsia="宋体" w:cs="宋体"/>
          <w:bCs/>
          <w:color w:val="auto"/>
          <w:szCs w:val="22"/>
          <w:highlight w:val="none"/>
        </w:rPr>
        <w:t xml:space="preserve">二、申请人的资格要求</w:t>
      </w:r>
      <w:bookmarkEnd w:id="16"/>
      <w:r/>
      <w:bookmarkEnd w:id="17"/>
      <w:r/>
      <w:bookmarkEnd w:id="18"/>
      <w:r/>
      <w:bookmarkEnd w:id="19"/>
      <w:r/>
      <w:bookmarkEnd w:id="20"/>
      <w:r/>
      <w:bookmarkEnd w:id="21"/>
      <w:r/>
      <w:bookmarkEnd w:id="22"/>
      <w:r/>
      <w:r/>
    </w:p>
    <w:p>
      <w:pPr>
        <w:ind w:firstLine="480"/>
        <w:spacing w:line="480" w:lineRule="exact"/>
        <w:rPr>
          <w:rFonts w:hint="eastAsia" w:ascii="宋体" w:hAnsi="宋体" w:cs="宋体"/>
          <w:color w:val="auto"/>
          <w:sz w:val="24"/>
          <w:szCs w:val="24"/>
          <w:highlight w:val="none"/>
        </w:rPr>
      </w:pPr>
      <w:r/>
      <w:bookmarkStart w:id="23" w:name="_Toc28359004"/>
      <w:r/>
      <w:bookmarkStart w:id="24" w:name="_Toc38985265"/>
      <w:r/>
      <w:bookmarkStart w:id="25" w:name="_Toc35393623"/>
      <w:r/>
      <w:bookmarkStart w:id="26" w:name="_Toc35393792"/>
      <w:r/>
      <w:bookmarkStart w:id="27" w:name="_Toc28359081"/>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（二）本项目的特定资格要求：无。</w:t>
      </w:r>
      <w:r/>
    </w:p>
    <w:p>
      <w:pPr>
        <w:pStyle w:val="801"/>
        <w:ind w:firstLine="643"/>
        <w:spacing w:before="0" w:after="0" w:line="480" w:lineRule="exact"/>
        <w:rPr>
          <w:rFonts w:hint="eastAsia" w:ascii="宋体" w:hAnsi="宋体" w:eastAsia="宋体" w:cs="宋体"/>
          <w:bCs/>
          <w:color w:val="auto"/>
          <w:szCs w:val="22"/>
          <w:highlight w:val="none"/>
        </w:rPr>
      </w:pPr>
      <w:r/>
      <w:bookmarkStart w:id="28" w:name="_Toc18010"/>
      <w:r/>
      <w:bookmarkStart w:id="29" w:name="_Toc22204"/>
      <w:r>
        <w:rPr>
          <w:rFonts w:hint="eastAsia" w:ascii="宋体" w:hAnsi="宋体" w:eastAsia="宋体" w:cs="宋体"/>
          <w:bCs/>
          <w:color w:val="auto"/>
          <w:szCs w:val="22"/>
          <w:highlight w:val="none"/>
        </w:rPr>
        <w:t xml:space="preserve">三、获取招标文件</w:t>
      </w:r>
      <w:bookmarkEnd w:id="23"/>
      <w:r/>
      <w:bookmarkEnd w:id="24"/>
      <w:r/>
      <w:bookmarkEnd w:id="25"/>
      <w:r/>
      <w:bookmarkEnd w:id="26"/>
      <w:r/>
      <w:bookmarkEnd w:id="27"/>
      <w:r/>
      <w:bookmarkEnd w:id="28"/>
      <w:r/>
      <w:bookmarkEnd w:id="29"/>
      <w:r/>
      <w:r/>
    </w:p>
    <w:p>
      <w:pPr>
        <w:ind w:firstLine="480"/>
        <w:spacing w:line="480" w:lineRule="exact"/>
        <w:rPr>
          <w:rFonts w:hint="eastAsia" w:ascii="宋体" w:hAnsi="宋体" w:cs="宋体"/>
          <w:color w:val="auto"/>
          <w:sz w:val="24"/>
          <w:szCs w:val="24"/>
          <w:highlight w:val="none"/>
        </w:rPr>
      </w:pPr>
      <w:r/>
      <w:bookmarkStart w:id="30" w:name="_Toc28359005"/>
      <w:r/>
      <w:bookmarkStart w:id="31" w:name="_Toc28359082"/>
      <w:r/>
      <w:bookmarkStart w:id="32" w:name="_Toc38985266"/>
      <w:r/>
      <w:bookmarkStart w:id="33" w:name="_Toc35393624"/>
      <w:r/>
      <w:bookmarkStart w:id="34" w:name="_Toc35393793"/>
      <w:r>
        <w:rPr>
          <w:rFonts w:hint="eastAsia" w:ascii="宋体" w:hAnsi="宋体" w:cs="宋体"/>
          <w:color w:val="auto"/>
          <w:sz w:val="24"/>
          <w:szCs w:val="24"/>
          <w:highlight w:val="none"/>
        </w:rPr>
        <w:t xml:space="preserve">1.时间：招标公告发布之日起5个工作日。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宋体" w:hAnsi="宋体" w:cs="宋体"/>
          <w:color w:val="auto"/>
          <w:sz w:val="24"/>
          <w:szCs w:val="24"/>
          <w:highlight w:val="none"/>
        </w:rPr>
      </w:pPr>
      <w:r/>
      <w:bookmarkStart w:id="35" w:name="EB0c44ff4da61f4af989d119fe214be450"/>
      <w:r>
        <w:rPr>
          <w:rFonts w:hint="eastAsia" w:ascii="宋体" w:hAnsi="宋体" w:cs="宋体"/>
          <w:color w:val="auto"/>
          <w:sz w:val="24"/>
          <w:szCs w:val="24"/>
          <w:highlight w:val="none"/>
        </w:rPr>
        <w:t xml:space="preserve">3.本项目共分一个采购包。投标人参与多个采购包投标的，应按采购包分别获取招标文件。投标人未按要求获取招标文件，后果自负（其投标文件不予接受）。</w:t>
      </w:r>
      <w:bookmarkEnd w:id="35"/>
      <w:r/>
      <w:r/>
    </w:p>
    <w:p>
      <w:pPr>
        <w:pStyle w:val="801"/>
        <w:ind w:firstLine="643"/>
        <w:spacing w:before="0" w:after="0" w:line="480" w:lineRule="exact"/>
        <w:rPr>
          <w:rFonts w:hint="eastAsia" w:ascii="宋体" w:hAnsi="宋体" w:eastAsia="宋体" w:cs="宋体"/>
          <w:bCs/>
          <w:color w:val="auto"/>
          <w:szCs w:val="22"/>
          <w:highlight w:val="none"/>
        </w:rPr>
      </w:pPr>
      <w:r/>
      <w:bookmarkStart w:id="36" w:name="_Toc19148"/>
      <w:r/>
      <w:bookmarkStart w:id="37" w:name="_Toc951"/>
      <w:r>
        <w:rPr>
          <w:rFonts w:hint="eastAsia" w:ascii="宋体" w:hAnsi="宋体" w:eastAsia="宋体" w:cs="宋体"/>
          <w:bCs/>
          <w:color w:val="auto"/>
          <w:szCs w:val="22"/>
          <w:highlight w:val="none"/>
        </w:rPr>
        <w:t xml:space="preserve">四、提交投标文件</w:t>
      </w:r>
      <w:bookmarkEnd w:id="30"/>
      <w:r/>
      <w:bookmarkEnd w:id="31"/>
      <w:r>
        <w:rPr>
          <w:rFonts w:hint="eastAsia" w:ascii="宋体" w:hAnsi="宋体" w:eastAsia="宋体" w:cs="宋体"/>
          <w:bCs/>
          <w:color w:val="auto"/>
          <w:szCs w:val="22"/>
          <w:highlight w:val="none"/>
        </w:rPr>
        <w:t xml:space="preserve">截止时间、开标时间和地点</w:t>
      </w:r>
      <w:bookmarkEnd w:id="32"/>
      <w:r/>
      <w:bookmarkEnd w:id="33"/>
      <w:r/>
      <w:bookmarkEnd w:id="34"/>
      <w:r/>
      <w:bookmarkEnd w:id="36"/>
      <w:r/>
      <w:bookmarkEnd w:id="37"/>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年06</w:t>
      </w:r>
      <w:r>
        <w:rPr>
          <w:rFonts w:hint="eastAsia" w:ascii="宋体" w:hAnsi="宋体" w:cs="宋体"/>
          <w:color w:val="auto"/>
          <w:sz w:val="24"/>
          <w:szCs w:val="24"/>
          <w:highlight w:val="none"/>
        </w:rPr>
        <w:t xml:space="preserve">月10</w:t>
      </w:r>
      <w:r>
        <w:rPr>
          <w:rFonts w:hint="eastAsia" w:ascii="宋体" w:hAnsi="宋体" w:cs="宋体"/>
          <w:color w:val="auto"/>
          <w:sz w:val="24"/>
          <w:szCs w:val="24"/>
          <w:highlight w:val="none"/>
        </w:rPr>
        <w:t xml:space="preserve">日09点30分（北京时间）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2.地点：“苏采云”政府采购交易系统网上开标大厅。</w:t>
      </w:r>
      <w:r/>
    </w:p>
    <w:p>
      <w:pPr>
        <w:pStyle w:val="801"/>
        <w:ind w:firstLine="643"/>
        <w:spacing w:before="0" w:after="0" w:line="480" w:lineRule="exact"/>
        <w:rPr>
          <w:rFonts w:hint="eastAsia" w:ascii="宋体" w:hAnsi="宋体" w:eastAsia="宋体" w:cs="宋体"/>
          <w:bCs/>
          <w:color w:val="auto"/>
          <w:szCs w:val="22"/>
          <w:highlight w:val="none"/>
        </w:rPr>
      </w:pPr>
      <w:r/>
      <w:bookmarkStart w:id="38" w:name="_Toc28053"/>
      <w:r/>
      <w:bookmarkStart w:id="39" w:name="_Toc28359084"/>
      <w:r/>
      <w:bookmarkStart w:id="40" w:name="_Toc35393625"/>
      <w:r/>
      <w:bookmarkStart w:id="41" w:name="_Toc28359007"/>
      <w:r/>
      <w:bookmarkStart w:id="42" w:name="_Toc24820"/>
      <w:r/>
      <w:bookmarkStart w:id="43" w:name="_Toc35393794"/>
      <w:r/>
      <w:bookmarkStart w:id="44" w:name="_Toc38985267"/>
      <w:r>
        <w:rPr>
          <w:rFonts w:hint="eastAsia" w:ascii="宋体" w:hAnsi="宋体" w:eastAsia="宋体" w:cs="宋体"/>
          <w:bCs/>
          <w:color w:val="auto"/>
          <w:szCs w:val="22"/>
          <w:highlight w:val="none"/>
        </w:rPr>
        <w:t xml:space="preserve">五、公告期限</w:t>
      </w:r>
      <w:bookmarkEnd w:id="38"/>
      <w:r/>
      <w:bookmarkEnd w:id="39"/>
      <w:r/>
      <w:bookmarkEnd w:id="40"/>
      <w:r/>
      <w:bookmarkEnd w:id="41"/>
      <w:r/>
      <w:bookmarkEnd w:id="42"/>
      <w:r/>
      <w:bookmarkEnd w:id="43"/>
      <w:r/>
      <w:bookmarkEnd w:id="44"/>
      <w:r/>
      <w:r/>
    </w:p>
    <w:p>
      <w:pPr>
        <w:ind w:firstLine="480"/>
        <w:spacing w:line="480" w:lineRule="exact"/>
        <w:rPr>
          <w:rFonts w:hint="eastAsia" w:ascii="宋体" w:hAnsi="宋体" w:cs="宋体"/>
          <w:color w:val="auto"/>
          <w:sz w:val="24"/>
          <w:szCs w:val="24"/>
          <w:highlight w:val="none"/>
        </w:rPr>
      </w:pPr>
      <w:r/>
      <w:bookmarkStart w:id="45" w:name="_Toc35393626"/>
      <w:r/>
      <w:bookmarkStart w:id="46" w:name="_Toc35393795"/>
      <w:r/>
      <w:bookmarkStart w:id="47" w:name="_Toc38985268"/>
      <w:r>
        <w:rPr>
          <w:rFonts w:hint="eastAsia" w:ascii="宋体" w:hAnsi="宋体" w:cs="宋体"/>
          <w:color w:val="auto"/>
          <w:sz w:val="24"/>
          <w:szCs w:val="24"/>
          <w:highlight w:val="none"/>
        </w:rPr>
        <w:t xml:space="preserve">招标公告及招标文件公告期限为自本公告发布之日起5个工作日。</w:t>
      </w:r>
      <w:r/>
    </w:p>
    <w:p>
      <w:pPr>
        <w:pStyle w:val="801"/>
        <w:ind w:firstLine="643"/>
        <w:spacing w:before="0" w:after="0" w:line="480" w:lineRule="exact"/>
        <w:rPr>
          <w:rFonts w:hint="eastAsia" w:ascii="宋体" w:hAnsi="宋体" w:eastAsia="宋体" w:cs="宋体"/>
          <w:bCs/>
          <w:color w:val="auto"/>
          <w:szCs w:val="22"/>
          <w:highlight w:val="none"/>
        </w:rPr>
      </w:pPr>
      <w:r/>
      <w:bookmarkStart w:id="48" w:name="_Toc15431"/>
      <w:r/>
      <w:bookmarkStart w:id="49" w:name="_Toc13415"/>
      <w:r>
        <w:rPr>
          <w:rFonts w:hint="eastAsia" w:ascii="宋体" w:hAnsi="宋体" w:eastAsia="宋体" w:cs="宋体"/>
          <w:bCs/>
          <w:color w:val="auto"/>
          <w:szCs w:val="22"/>
          <w:highlight w:val="none"/>
        </w:rPr>
        <w:t xml:space="preserve">六、其他补充事宜</w:t>
      </w:r>
      <w:bookmarkEnd w:id="45"/>
      <w:r/>
      <w:bookmarkEnd w:id="46"/>
      <w:r/>
      <w:bookmarkEnd w:id="47"/>
      <w:r/>
      <w:bookmarkEnd w:id="48"/>
      <w:r/>
      <w:bookmarkEnd w:id="49"/>
      <w:r/>
      <w:r/>
    </w:p>
    <w:p>
      <w:pPr>
        <w:ind w:firstLine="480"/>
        <w:spacing w:line="480" w:lineRule="exact"/>
        <w:rPr>
          <w:rFonts w:hint="eastAsia" w:ascii="宋体" w:hAnsi="宋体" w:cs="宋体"/>
          <w:color w:val="auto"/>
          <w:sz w:val="24"/>
          <w:szCs w:val="24"/>
          <w:highlight w:val="none"/>
        </w:rPr>
      </w:pPr>
      <w:r/>
      <w:bookmarkStart w:id="50" w:name="EB64e1f522fd8c43fcb4d3ba471386b3e7"/>
      <w:r/>
      <w:bookmarkStart w:id="51" w:name="_Toc28359008"/>
      <w:r/>
      <w:bookmarkStart w:id="52" w:name="_Toc38985269"/>
      <w:r/>
      <w:bookmarkStart w:id="53" w:name="_Toc35393796"/>
      <w:r/>
      <w:bookmarkStart w:id="54" w:name="_Toc35393627"/>
      <w:r/>
      <w:bookmarkStart w:id="55" w:name="_Toc28359085"/>
      <w:r>
        <w:rPr>
          <w:rFonts w:hint="eastAsia" w:ascii="宋体" w:hAnsi="宋体" w:cs="宋体"/>
          <w:color w:val="auto"/>
          <w:sz w:val="24"/>
          <w:szCs w:val="24"/>
          <w:highlight w:val="none"/>
        </w:rPr>
        <w:t xml:space="preserve">1.招标公告发布媒体：</w:t>
      </w:r>
      <w:bookmarkStart w:id="56" w:name="OLE_LINK3"/>
      <w:r>
        <w:rPr>
          <w:rFonts w:hint="eastAsia" w:ascii="宋体" w:hAnsi="宋体" w:cs="宋体"/>
          <w:color w:val="auto"/>
          <w:sz w:val="24"/>
          <w:szCs w:val="24"/>
          <w:highlight w:val="none"/>
        </w:rPr>
        <w:t xml:space="preserve">江苏政府采购网</w:t>
      </w:r>
      <w:bookmarkEnd w:id="56"/>
      <w:r>
        <w:rPr>
          <w:rFonts w:hint="eastAsia" w:ascii="宋体" w:hAnsi="宋体" w:cs="宋体"/>
          <w:color w:val="auto"/>
          <w:sz w:val="24"/>
          <w:szCs w:val="24"/>
          <w:highlight w:val="none"/>
        </w:rPr>
        <w:t xml:space="preserve">、宿迁市政府采购网等。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3.宿迁地区“苏采云”系统技术支持客服电话：0527-84225125、0519-86722806。</w:t>
      </w:r>
      <w:bookmarkEnd w:id="50"/>
      <w:r/>
      <w:r/>
    </w:p>
    <w:p>
      <w:pPr>
        <w:ind w:firstLine="480"/>
        <w:spacing w:line="480" w:lineRule="exact"/>
        <w:rPr>
          <w:rFonts w:hint="eastAsia" w:ascii="宋体" w:hAnsi="宋体" w:eastAsia="宋体" w:cs="宋体"/>
          <w:color w:val="auto"/>
          <w:sz w:val="24"/>
          <w:szCs w:val="24"/>
          <w:highlight w:val="none"/>
        </w:rPr>
      </w:pPr>
      <w:r/>
      <w:bookmarkStart w:id="57" w:name="_Toc29049"/>
      <w:r>
        <w:rPr>
          <w:rFonts w:hint="eastAsia" w:ascii="宋体" w:hAnsi="宋体" w:cs="宋体"/>
          <w:color w:val="auto"/>
          <w:sz w:val="24"/>
          <w:szCs w:val="24"/>
          <w:highlight w:val="none"/>
        </w:rPr>
        <w:t xml:space="preserve">4.</w:t>
      </w:r>
      <w:r>
        <w:rPr>
          <w:rFonts w:hint="eastAsia" w:ascii="宋体" w:hAnsi="宋体" w:cs="宋体"/>
          <w:color w:val="auto"/>
          <w:sz w:val="24"/>
          <w:highlight w:val="none"/>
        </w:rPr>
        <w:t xml:space="preserve">质疑渠道：投标人登录“苏采云”系统“项目质疑申请”模块向采购人提出，质疑处理联系方式详见“采购人信息”；</w:t>
      </w:r>
      <w:r>
        <w:rPr>
          <w:rFonts w:hint="eastAsia" w:ascii="宋体" w:hAnsi="宋体" w:cs="宋体"/>
          <w:color w:val="auto"/>
          <w:sz w:val="24"/>
          <w:szCs w:val="24"/>
          <w:highlight w:val="none"/>
        </w:rPr>
        <w:t xml:space="preserve">财政部门投诉受理电话：</w:t>
      </w:r>
      <w:r>
        <w:rPr>
          <w:rFonts w:hint="eastAsia" w:ascii="宋体" w:hAnsi="宋体" w:eastAsia="宋体" w:cs="宋体"/>
          <w:color w:val="auto"/>
          <w:sz w:val="24"/>
          <w:szCs w:val="24"/>
          <w:highlight w:val="none"/>
        </w:rPr>
        <w:t xml:space="preserve">0527-84363063。</w:t>
      </w:r>
      <w:r/>
    </w:p>
    <w:p>
      <w:pPr>
        <w:pStyle w:val="801"/>
        <w:ind w:firstLine="643"/>
        <w:spacing w:before="0" w:after="0" w:line="480" w:lineRule="exact"/>
        <w:rPr>
          <w:rFonts w:hint="eastAsia" w:ascii="宋体" w:hAnsi="宋体" w:eastAsia="宋体" w:cs="宋体"/>
          <w:bCs/>
          <w:color w:val="auto"/>
          <w:szCs w:val="22"/>
          <w:highlight w:val="none"/>
        </w:rPr>
      </w:pPr>
      <w:r/>
      <w:bookmarkStart w:id="58" w:name="_Toc5311"/>
      <w:r>
        <w:rPr>
          <w:rFonts w:hint="eastAsia" w:ascii="宋体" w:hAnsi="宋体" w:eastAsia="宋体" w:cs="宋体"/>
          <w:bCs/>
          <w:color w:val="auto"/>
          <w:szCs w:val="22"/>
          <w:highlight w:val="none"/>
        </w:rPr>
        <w:t xml:space="preserve">七、本次招标联系方式</w:t>
      </w:r>
      <w:bookmarkEnd w:id="51"/>
      <w:r/>
      <w:bookmarkEnd w:id="52"/>
      <w:r/>
      <w:bookmarkEnd w:id="53"/>
      <w:r/>
      <w:bookmarkEnd w:id="54"/>
      <w:r/>
      <w:bookmarkEnd w:id="55"/>
      <w:r/>
      <w:bookmarkEnd w:id="57"/>
      <w:r/>
      <w:bookmarkEnd w:id="58"/>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80" w:lineRule="exact"/>
        <w:rPr>
          <w:rFonts w:hint="eastAsia" w:ascii="宋体" w:hAnsi="宋体" w:eastAsia="宋体" w:cs="宋体"/>
          <w:color w:val="auto"/>
          <w:sz w:val="24"/>
          <w:highlight w:val="none"/>
          <w:u w:val="single"/>
          <w:lang w:eastAsia="zh-CN"/>
        </w:rPr>
      </w:pPr>
      <w:r/>
      <w:bookmarkStart w:id="59" w:name="_Toc28359009"/>
      <w:r/>
      <w:bookmarkStart w:id="60" w:name="_Toc28359086"/>
      <w:r>
        <w:rPr>
          <w:rFonts w:hint="eastAsia" w:ascii="宋体" w:hAnsi="宋体" w:eastAsia="宋体" w:cs="宋体"/>
          <w:color w:val="auto"/>
          <w:sz w:val="24"/>
          <w:highlight w:val="none"/>
          <w:u w:val="single"/>
        </w:rPr>
        <w:t xml:space="preserve">名 称：</w:t>
      </w:r>
      <w:r>
        <w:rPr>
          <w:rFonts w:hint="eastAsia" w:ascii="宋体" w:hAnsi="宋体" w:eastAsia="宋体" w:cs="宋体"/>
          <w:color w:val="auto"/>
          <w:sz w:val="24"/>
          <w:highlight w:val="none"/>
          <w:u w:val="single"/>
          <w:lang w:eastAsia="zh-CN"/>
        </w:rPr>
        <w:t xml:space="preserve">宿迁市宿城区残疾人联合会</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地址：</w:t>
      </w:r>
      <w:bookmarkStart w:id="61" w:name="EBc47d332cd3474bc88437be5d658b65c2"/>
      <w:r>
        <w:rPr>
          <w:rFonts w:hint="eastAsia" w:ascii="宋体" w:hAnsi="宋体" w:eastAsia="宋体" w:cs="宋体"/>
          <w:color w:val="auto"/>
          <w:sz w:val="24"/>
          <w:highlight w:val="none"/>
          <w:u w:val="single"/>
          <w:lang w:eastAsia="zh-CN"/>
        </w:rPr>
        <w:t xml:space="preserve">宿迁市宿城区渤海路与吉林路交汇处</w:t>
      </w:r>
      <w:bookmarkEnd w:id="61"/>
      <w:r/>
      <w:r/>
    </w:p>
    <w:p>
      <w:pPr>
        <w:ind w:firstLine="480"/>
        <w:spacing w:line="48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联系方式：</w:t>
      </w:r>
      <w:r>
        <w:rPr>
          <w:rFonts w:hint="eastAsia" w:ascii="宋体" w:hAnsi="宋体" w:eastAsia="宋体" w:cs="宋体"/>
          <w:color w:val="auto"/>
          <w:sz w:val="24"/>
          <w:highlight w:val="none"/>
          <w:u w:val="single"/>
        </w:rPr>
        <w:t xml:space="preserve">梁</w:t>
      </w:r>
      <w:r>
        <w:rPr>
          <w:rFonts w:hint="eastAsia" w:ascii="宋体" w:hAnsi="宋体" w:eastAsia="宋体" w:cs="宋体"/>
          <w:color w:val="auto"/>
          <w:sz w:val="24"/>
          <w:highlight w:val="none"/>
          <w:u w:val="single"/>
        </w:rPr>
        <w:t xml:space="preserve">坤</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0527-</w:t>
      </w:r>
      <w:r>
        <w:rPr>
          <w:rFonts w:hint="eastAsia" w:ascii="宋体" w:hAnsi="宋体" w:cs="宋体"/>
          <w:color w:val="auto"/>
          <w:sz w:val="24"/>
          <w:highlight w:val="none"/>
          <w:u w:val="single"/>
          <w:lang w:val="en-US" w:eastAsia="zh-CN"/>
        </w:rPr>
        <w:t xml:space="preserve">80903199</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bookmarkEnd w:id="59"/>
      <w:r/>
      <w:bookmarkEnd w:id="60"/>
      <w:r>
        <w:rPr>
          <w:rFonts w:hint="eastAsia" w:ascii="宋体" w:hAnsi="宋体" w:eastAsia="宋体" w:cs="宋体"/>
          <w:color w:val="auto"/>
          <w:sz w:val="24"/>
          <w:highlight w:val="none"/>
        </w:rPr>
        <w:t xml:space="preserve">采购代理机构信息</w:t>
      </w:r>
      <w:r/>
    </w:p>
    <w:p>
      <w:pPr>
        <w:ind w:firstLine="480"/>
        <w:spacing w:line="480" w:lineRule="exact"/>
        <w:rPr>
          <w:rFonts w:hint="eastAsia" w:ascii="宋体" w:hAnsi="宋体" w:eastAsia="宋体" w:cs="宋体"/>
          <w:color w:val="auto"/>
          <w:sz w:val="24"/>
          <w:highlight w:val="none"/>
          <w:u w:val="single"/>
          <w:lang w:eastAsia="zh-CN"/>
        </w:rPr>
      </w:pPr>
      <w:r/>
      <w:bookmarkStart w:id="62" w:name="_Toc28359010"/>
      <w:r/>
      <w:bookmarkStart w:id="63" w:name="_Toc28359087"/>
      <w:r>
        <w:rPr>
          <w:rFonts w:hint="eastAsia" w:ascii="宋体" w:hAnsi="宋体" w:eastAsia="宋体" w:cs="宋体"/>
          <w:color w:val="auto"/>
          <w:sz w:val="24"/>
          <w:highlight w:val="none"/>
          <w:u w:val="single"/>
        </w:rPr>
        <w:t xml:space="preserve">名 称：</w:t>
      </w:r>
      <w:r>
        <w:rPr>
          <w:rFonts w:hint="eastAsia" w:ascii="宋体" w:hAnsi="宋体" w:cs="宋体"/>
          <w:color w:val="auto"/>
          <w:sz w:val="24"/>
          <w:highlight w:val="none"/>
          <w:u w:val="single"/>
          <w:lang w:eastAsia="zh-CN"/>
        </w:rPr>
        <w:t xml:space="preserve">苏世建设管理集团有限公司</w:t>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地址：</w:t>
      </w:r>
      <w:r>
        <w:rPr>
          <w:rFonts w:hint="eastAsia" w:ascii="宋体" w:hAnsi="宋体" w:cs="宋体"/>
          <w:color w:val="auto"/>
          <w:sz w:val="24"/>
          <w:highlight w:val="none"/>
          <w:u w:val="single"/>
          <w:lang w:val="en-US" w:eastAsia="zh-CN"/>
        </w:rPr>
        <w:t xml:space="preserve">宿迁市世纪大道102号青海湖路城市之家4楼</w:t>
      </w:r>
      <w:r/>
    </w:p>
    <w:p>
      <w:pPr>
        <w:ind w:firstLine="480"/>
        <w:spacing w:line="48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联系人：</w:t>
      </w:r>
      <w:r>
        <w:rPr>
          <w:rFonts w:hint="eastAsia" w:ascii="宋体" w:hAnsi="宋体" w:cs="宋体"/>
          <w:color w:val="auto"/>
          <w:sz w:val="24"/>
          <w:highlight w:val="none"/>
          <w:u w:val="single"/>
          <w:lang w:val="en-US" w:eastAsia="zh-CN"/>
        </w:rPr>
        <w:t xml:space="preserve">袁帅</w:t>
      </w:r>
      <w:r/>
    </w:p>
    <w:p>
      <w:pPr>
        <w:ind w:firstLine="480"/>
        <w:spacing w:line="480" w:lineRule="exact"/>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u w:val="single"/>
        </w:rPr>
        <w:t xml:space="preserve">联系方式：</w:t>
      </w:r>
      <w:r>
        <w:rPr>
          <w:rFonts w:hint="eastAsia" w:ascii="宋体" w:hAnsi="宋体" w:cs="宋体"/>
          <w:color w:val="auto"/>
          <w:sz w:val="24"/>
          <w:highlight w:val="none"/>
          <w:u w:val="single"/>
          <w:lang w:val="en-US" w:eastAsia="zh-CN"/>
        </w:rPr>
        <w:t xml:space="preserve">15751596019</w:t>
      </w:r>
      <w:bookmarkEnd w:id="62"/>
      <w:r/>
      <w:bookmarkEnd w:id="63"/>
      <w:r/>
      <w:r/>
    </w:p>
    <w:p>
      <w:pPr>
        <w:ind w:firstLine="480"/>
        <w:spacing w:line="48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480" w:lineRule="exact"/>
        <w:rPr>
          <w:rFonts w:hint="eastAsia" w:ascii="宋体" w:hAnsi="宋体" w:cs="宋体"/>
          <w:color w:val="auto"/>
          <w:sz w:val="44"/>
          <w:highlight w:val="none"/>
        </w:rPr>
        <w:outlineLvl w:val="0"/>
      </w:pPr>
      <w:r>
        <w:rPr>
          <w:rFonts w:hint="eastAsia" w:ascii="宋体" w:hAnsi="宋体" w:cs="宋体"/>
          <w:color w:val="auto"/>
          <w:sz w:val="24"/>
          <w:highlight w:val="none"/>
        </w:rPr>
        <w:br w:type="page" w:clear="all"/>
      </w:r>
      <w:bookmarkStart w:id="64" w:name="_Toc81575153"/>
      <w:r/>
      <w:bookmarkStart w:id="65" w:name="_Toc11687"/>
      <w:r/>
      <w:bookmarkStart w:id="66" w:name="_Toc16734"/>
      <w:r/>
      <w:bookmarkStart w:id="67" w:name="_Toc15265"/>
      <w:r/>
      <w:bookmarkStart w:id="68" w:name="_Toc81575190"/>
      <w:r/>
      <w:bookmarkStart w:id="69" w:name="_Toc6027"/>
      <w:r>
        <w:rPr>
          <w:rFonts w:hint="eastAsia" w:ascii="宋体" w:hAnsi="宋体" w:cs="宋体"/>
          <w:color w:val="auto"/>
          <w:sz w:val="44"/>
          <w:highlight w:val="none"/>
        </w:rPr>
        <w:t xml:space="preserve">第二章  投标人须知</w:t>
      </w:r>
      <w:bookmarkEnd w:id="64"/>
      <w:r/>
      <w:bookmarkEnd w:id="65"/>
      <w:r/>
      <w:bookmarkEnd w:id="66"/>
      <w:r/>
      <w:bookmarkEnd w:id="67"/>
      <w:r/>
      <w:bookmarkEnd w:id="68"/>
      <w:r/>
      <w:bookmarkEnd w:id="69"/>
      <w:r/>
      <w:r/>
    </w:p>
    <w:p>
      <w:pPr>
        <w:pStyle w:val="801"/>
        <w:spacing w:before="0" w:after="120" w:line="520" w:lineRule="exact"/>
        <w:rPr>
          <w:rFonts w:hint="eastAsia" w:ascii="宋体" w:hAnsi="宋体" w:eastAsia="宋体" w:cs="宋体"/>
          <w:bCs/>
          <w:color w:val="auto"/>
          <w:szCs w:val="22"/>
          <w:highlight w:val="none"/>
        </w:rPr>
      </w:pPr>
      <w:r/>
      <w:bookmarkStart w:id="70" w:name="_Toc20056"/>
      <w:r/>
      <w:bookmarkStart w:id="71" w:name="_Toc4529"/>
      <w:r>
        <w:rPr>
          <w:rFonts w:hint="eastAsia" w:ascii="宋体" w:hAnsi="宋体" w:eastAsia="宋体" w:cs="宋体"/>
          <w:bCs/>
          <w:color w:val="auto"/>
          <w:szCs w:val="22"/>
          <w:highlight w:val="none"/>
        </w:rPr>
        <w:t xml:space="preserve">投标人须知前附表：</w:t>
      </w:r>
      <w:bookmarkEnd w:id="70"/>
      <w:r/>
      <w:bookmarkEnd w:id="71"/>
      <w:r/>
      <w:r/>
    </w:p>
    <w:tbl>
      <w:tblPr>
        <w:tblStyle w:val="810"/>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cs="宋体"/>
                <w:b/>
                <w:color w:val="auto"/>
                <w:sz w:val="24"/>
                <w:szCs w:val="24"/>
                <w:highlight w:val="none"/>
              </w:rPr>
            </w:pPr>
            <w:r/>
            <w:bookmarkStart w:id="72" w:name="_Toc81575191"/>
            <w:r/>
            <w:bookmarkStart w:id="73" w:name="_Toc29262"/>
            <w:r/>
            <w:bookmarkStart w:id="74" w:name="_Toc81575154"/>
            <w:r>
              <w:rPr>
                <w:rFonts w:hint="eastAsia" w:ascii="宋体" w:hAnsi="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bookmarkStart w:id="75" w:name="EB9a5853ee094f4f0ea6ec3169265f6f2c"/>
            <w:r>
              <w:rPr>
                <w:rFonts w:hint="eastAsia" w:ascii="宋体" w:hAnsi="宋体" w:cs="宋体"/>
                <w:color w:val="auto"/>
                <w:sz w:val="24"/>
                <w:szCs w:val="24"/>
                <w:highlight w:val="none"/>
              </w:rPr>
              <w:t xml:space="preserve">属性按以下第</w:t>
            </w:r>
            <w:bookmarkEnd w:id="75"/>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种确定：</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w:t>
            </w:r>
            <w:bookmarkStart w:id="76" w:name="EBd5c6c026f9674c39b21b31ecd0c1e7fa"/>
            <w:r>
              <w:rPr>
                <w:rFonts w:hint="eastAsia" w:ascii="宋体" w:hAnsi="宋体" w:cs="宋体"/>
                <w:color w:val="auto"/>
                <w:sz w:val="24"/>
                <w:szCs w:val="24"/>
                <w:highlight w:val="none"/>
              </w:rPr>
              <w:t xml:space="preserve">采购；2.</w:t>
            </w:r>
            <w:bookmarkEnd w:id="76"/>
            <w:r>
              <w:rPr>
                <w:rFonts w:hint="eastAsia" w:ascii="宋体" w:hAnsi="宋体" w:cs="宋体"/>
                <w:color w:val="auto"/>
                <w:sz w:val="24"/>
                <w:szCs w:val="24"/>
                <w:highlight w:val="none"/>
              </w:rPr>
              <w:t xml:space="preserve">服务</w:t>
            </w:r>
            <w:bookmarkStart w:id="77" w:name="EBf7d2a4f44ecb4166a93ea852e73be69f"/>
            <w:r>
              <w:rPr>
                <w:rFonts w:hint="eastAsia" w:ascii="宋体" w:hAnsi="宋体" w:cs="宋体"/>
                <w:color w:val="auto"/>
                <w:sz w:val="24"/>
                <w:szCs w:val="24"/>
                <w:highlight w:val="none"/>
              </w:rPr>
              <w:t xml:space="preserve">采购；3.</w:t>
            </w:r>
            <w:bookmarkEnd w:id="77"/>
            <w:r>
              <w:rPr>
                <w:rFonts w:hint="eastAsia" w:ascii="宋体" w:hAnsi="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bookmarkStart w:id="78" w:name="EBd40b5fb42f2944a3b45e579ce3941f02"/>
            <w:r/>
            <w:bookmarkEnd w:id="78"/>
            <w:r>
              <w:rPr>
                <w:rFonts w:hint="eastAsia" w:ascii="宋体" w:hAnsi="宋体" w:cs="宋体"/>
                <w:color w:val="auto"/>
                <w:sz w:val="24"/>
                <w:szCs w:val="24"/>
                <w:highlight w:val="none"/>
                <w:u w:val="single"/>
              </w:rPr>
              <w:t xml:space="preserve">60</w:t>
            </w:r>
            <w:r>
              <w:rPr>
                <w:rFonts w:hint="eastAsia" w:ascii="宋体" w:hAnsi="宋体" w:cs="宋体"/>
                <w:color w:val="auto"/>
                <w:sz w:val="24"/>
                <w:szCs w:val="24"/>
                <w:highlight w:val="none"/>
              </w:rPr>
              <w:t xml:space="preserve">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提交加密电子投标文件</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w:t>
            </w:r>
            <w:r/>
          </w:p>
          <w:p>
            <w:pPr>
              <w:jc w:val="left"/>
              <w:spacing w:line="3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1.接受进口产品。</w:t>
            </w:r>
            <w:r>
              <w:rPr>
                <w:rFonts w:hint="eastAsia" w:ascii="宋体" w:hAnsi="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cs="宋体"/>
                <w:color w:val="auto"/>
                <w:sz w:val="24"/>
                <w:szCs w:val="24"/>
                <w:highlight w:val="none"/>
              </w:rPr>
              <w:t xml:space="preserve">；</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具体评标办法详见招标文件第三章。</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评标委员会依据招标文件规定的评标办法和标准推荐</w:t>
            </w: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名中标候选人。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2</w:t>
            </w:r>
            <w:r>
              <w:rPr>
                <w:rFonts w:hint="eastAsia" w:ascii="宋体" w:hAnsi="宋体" w:cs="宋体"/>
                <w:color w:val="auto"/>
                <w:sz w:val="24"/>
                <w:szCs w:val="24"/>
                <w:highlight w:val="none"/>
              </w:rPr>
              <w:t xml:space="preserve">种方式确定中标人：</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1.采购人按规定在评标委员会推荐的中标候选人中确定中标人；</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2.采购人授权评标委员会直接确定中标人。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cs="宋体"/>
                <w:color w:val="auto"/>
                <w:sz w:val="24"/>
                <w:szCs w:val="24"/>
                <w:highlight w:val="none"/>
              </w:rPr>
            </w:pPr>
            <w:r/>
            <w:bookmarkStart w:id="79" w:name="EBebac1462c5d9459fbda8a75065c2455d"/>
            <w:r>
              <w:rPr>
                <w:rFonts w:hint="eastAsia" w:ascii="宋体" w:hAnsi="宋体" w:cs="宋体"/>
                <w:color w:val="auto"/>
                <w:sz w:val="24"/>
                <w:szCs w:val="24"/>
                <w:highlight w:val="none"/>
              </w:rPr>
              <w:t xml:space="preserve">本项目的非主体、非关键性工作是否允许分包</w:t>
            </w:r>
            <w:bookmarkEnd w:id="79"/>
            <w:r>
              <w:rPr>
                <w:rFonts w:hint="eastAsia" w:ascii="宋体" w:hAnsi="宋体" w:cs="宋体"/>
                <w:color w:val="auto"/>
                <w:sz w:val="24"/>
                <w:szCs w:val="24"/>
                <w:highlight w:val="none"/>
              </w:rPr>
              <w:t xml:space="preserve">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1.允许分包，</w:t>
            </w:r>
            <w:bookmarkStart w:id="80" w:name="EB512ba06683724173802e2aae54a26079"/>
            <w:r>
              <w:rPr>
                <w:rFonts w:hint="eastAsia" w:ascii="宋体" w:hAnsi="宋体" w:cs="宋体"/>
                <w:color w:val="auto"/>
                <w:sz w:val="24"/>
                <w:szCs w:val="24"/>
                <w:highlight w:val="none"/>
              </w:rPr>
              <w:t xml:space="preserve">允许大中型企业向一家或者多家小微企业分包，分包具体内容、金额或比例：</w:t>
            </w:r>
            <w:bookmarkEnd w:id="80"/>
            <w:r>
              <w:rPr>
                <w:rFonts w:hint="eastAsia" w:ascii="宋体" w:hAnsi="宋体" w:cs="宋体"/>
                <w:color w:val="auto"/>
                <w:sz w:val="24"/>
                <w:szCs w:val="24"/>
                <w:highlight w:val="none"/>
              </w:rPr>
              <w:t xml:space="preserve">无</w:t>
            </w:r>
            <w:r/>
          </w:p>
          <w:p>
            <w:pPr>
              <w:jc w:val="left"/>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其他</w:t>
            </w:r>
            <w:r/>
          </w:p>
        </w:tc>
        <w:tc>
          <w:tcPr>
            <w:shd w:val="clear" w:color="auto" w:fill="auto"/>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81" w:name="EBfe735bb6fc4d4e5e9e350f940db98c5f"/>
            <w:r/>
            <w:bookmarkEnd w:id="81"/>
            <w:r>
              <w:rPr>
                <w:rFonts w:hint="eastAsia" w:ascii="宋体" w:hAnsi="宋体" w:cs="宋体"/>
                <w:color w:val="auto"/>
                <w:sz w:val="24"/>
                <w:szCs w:val="24"/>
                <w:highlight w:val="none"/>
              </w:rPr>
              <w:t xml:space="preserve">信用信息查询截止时间：资格审查结束前。由采购人在资格审查现场查询信用信息，网页截屏打印，查询结果留存并归档。</w:t>
            </w:r>
            <w:bookmarkEnd w:id="72"/>
            <w:r/>
            <w:bookmarkEnd w:id="73"/>
            <w:r/>
            <w:bookmarkEnd w:id="74"/>
            <w:r/>
            <w:r/>
          </w:p>
        </w:tc>
      </w:tr>
    </w:tbl>
    <w:p>
      <w:pPr>
        <w:rPr>
          <w:rFonts w:hint="eastAsia" w:ascii="宋体" w:hAnsi="宋体" w:cs="宋体"/>
          <w:color w:val="auto"/>
          <w:sz w:val="20"/>
          <w:highlight w:val="none"/>
        </w:rPr>
      </w:pPr>
      <w:r>
        <w:rPr>
          <w:rFonts w:hint="eastAsia" w:ascii="宋体" w:hAnsi="宋体" w:cs="宋体"/>
          <w:color w:val="auto"/>
          <w:sz w:val="20"/>
          <w:highlight w:val="none"/>
        </w:rPr>
      </w:r>
      <w:r/>
    </w:p>
    <w:p>
      <w:pPr>
        <w:pStyle w:val="801"/>
        <w:ind w:firstLine="321"/>
        <w:spacing w:before="0" w:after="0" w:line="480" w:lineRule="exact"/>
        <w:rPr>
          <w:rFonts w:hint="eastAsia" w:ascii="宋体" w:hAnsi="宋体" w:eastAsia="宋体" w:cs="宋体"/>
          <w:bCs/>
          <w:color w:val="auto"/>
          <w:szCs w:val="22"/>
          <w:highlight w:val="none"/>
        </w:rPr>
      </w:pPr>
      <w:r/>
      <w:bookmarkStart w:id="82" w:name="EB6eaaf474639940df900ef4965d71f450"/>
      <w:r/>
      <w:bookmarkEnd w:id="82"/>
      <w:r/>
      <w:bookmarkStart w:id="83" w:name="_Toc4118"/>
      <w:r/>
      <w:bookmarkStart w:id="84" w:name="_Toc81575192"/>
      <w:r/>
      <w:bookmarkStart w:id="85" w:name="_Toc8239"/>
      <w:r/>
      <w:bookmarkStart w:id="86" w:name="_Toc81575155"/>
      <w:r/>
      <w:bookmarkStart w:id="87" w:name="_Toc30953"/>
      <w:r>
        <w:rPr>
          <w:rFonts w:hint="eastAsia" w:ascii="宋体" w:hAnsi="宋体" w:eastAsia="宋体" w:cs="宋体"/>
          <w:bCs/>
          <w:color w:val="auto"/>
          <w:szCs w:val="22"/>
          <w:highlight w:val="none"/>
        </w:rPr>
        <w:t xml:space="preserve">一、总 则</w:t>
      </w:r>
      <w:bookmarkEnd w:id="83"/>
      <w:r/>
      <w:bookmarkEnd w:id="84"/>
      <w:r/>
      <w:bookmarkEnd w:id="85"/>
      <w:r/>
      <w:bookmarkEnd w:id="86"/>
      <w:r/>
      <w:bookmarkEnd w:id="87"/>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1、招标方式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本次采购采取公开招标方式。</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2、合格的投标人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2.2满足本文件实质性要求的规定。</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3、适用法律</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本次招标及由招标产生的合同受中华人民共和国的相关法律、法规制约和保护。</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4、投标费用</w:t>
      </w:r>
      <w:r/>
    </w:p>
    <w:p>
      <w:pPr>
        <w:ind w:firstLine="480"/>
        <w:spacing w:line="480" w:lineRule="exact"/>
        <w:rPr>
          <w:rFonts w:hint="eastAsia" w:ascii="宋体" w:hAnsi="宋体" w:cs="宋体"/>
          <w:color w:val="auto"/>
          <w:sz w:val="24"/>
          <w:highlight w:val="none"/>
        </w:rPr>
      </w:pPr>
      <w:r/>
      <w:bookmarkStart w:id="88" w:name="_Toc15995"/>
      <w:r/>
      <w:bookmarkStart w:id="89" w:name="_Toc27975"/>
      <w:r/>
      <w:bookmarkStart w:id="90" w:name="_Toc81575193"/>
      <w:r/>
      <w:bookmarkStart w:id="91" w:name="_Toc29306"/>
      <w:r/>
      <w:bookmarkStart w:id="92" w:name="_Toc81575156"/>
      <w:r>
        <w:rPr>
          <w:rFonts w:hint="eastAsia" w:ascii="宋体" w:hAnsi="宋体" w:cs="宋体"/>
          <w:color w:val="auto"/>
          <w:sz w:val="24"/>
          <w:highlight w:val="none"/>
        </w:rPr>
        <w:t xml:space="preserve">4.1供应商应自行承担所有与参加本次</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有关的费用，无论过程中的做法和结果如何，采购代理机构在任何情况下均无义务和责任承担这些费用。</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4.2代理费用收取方式及标准：按以下第4.2.2种方式执行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4.2.1无需支付；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4.2.2采购人支付，具体方式及标准为：按照《江苏省招标代理服务收费的指导意见》（苏招协〔2022〕2号）的招标代理服务收费标准向代理单位支付代理服务费。支付方式可以通过转账或数字人民币等方式。</w:t>
      </w:r>
      <w:r/>
    </w:p>
    <w:p>
      <w:pPr>
        <w:pStyle w:val="801"/>
        <w:ind w:firstLine="321"/>
        <w:spacing w:before="0" w:after="0" w:line="480" w:lineRule="exact"/>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 xml:space="preserve">二、招标文件</w:t>
      </w:r>
      <w:bookmarkEnd w:id="88"/>
      <w:r/>
      <w:bookmarkEnd w:id="89"/>
      <w:r/>
      <w:bookmarkEnd w:id="90"/>
      <w:r/>
      <w:bookmarkEnd w:id="91"/>
      <w:r/>
      <w:bookmarkEnd w:id="92"/>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5、招标文件构成</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5.1招标文件由以下部分组成：</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第三章：资格审查及评标办法；</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第五章：合同文本；</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第六章：投标文件格式。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请仔细检查招标文件是否齐全，如有缺漏请立即与代理机构联系解决。</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6、政府采购政策功能落实</w:t>
      </w:r>
      <w:r/>
    </w:p>
    <w:p>
      <w:pPr>
        <w:ind w:firstLine="482"/>
        <w:spacing w:line="48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本项目落实的政府采购政策对应序号为</w:t>
      </w:r>
      <w:r>
        <w:rPr>
          <w:rFonts w:hint="eastAsia" w:ascii="宋体" w:hAnsi="宋体" w:cs="宋体"/>
          <w:b/>
          <w:bCs/>
          <w:color w:val="auto"/>
          <w:sz w:val="24"/>
          <w:highlight w:val="none"/>
          <w:u w:val="single"/>
        </w:rPr>
        <w:t xml:space="preserve">  6.1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6.1中小企业政策</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本项目按第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种政策落实：</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（1）本项目专门面向中小企业（含监狱与戒毒企业、残疾人福利企业）采购。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（2）对符合规定情形的小微企业报价给予</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扣除，用扣除后的价格参加评审。</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 w:val="24"/>
          <w:highlight w:val="none"/>
          <w:u w:val="single"/>
        </w:rPr>
        <w:t xml:space="preserve">5</w:t>
      </w:r>
      <w:r>
        <w:rPr>
          <w:rFonts w:hint="eastAsia" w:ascii="宋体" w:hAnsi="宋体" w:cs="宋体"/>
          <w:color w:val="auto"/>
          <w:sz w:val="24"/>
          <w:highlight w:val="none"/>
        </w:rPr>
        <w:t xml:space="preserve">%（工程项目为</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6.2节能产品、环境标志产品</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采用综合评分法的项目，对提供有效节能环保证书的投标人加分。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6.3政府采购需求标准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6.3.1商品包装、快递包装政府采购需求标准（试行）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6.3.2绿色数据中心政府采购需求标准（试行）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6.3.3绿色建材政府采购需求标准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7、招标文件的澄清或修改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801"/>
        <w:ind w:firstLine="321"/>
        <w:spacing w:before="0" w:after="0" w:line="480" w:lineRule="exact"/>
        <w:rPr>
          <w:rFonts w:hint="eastAsia" w:ascii="宋体" w:hAnsi="宋体" w:eastAsia="宋体" w:cs="宋体"/>
          <w:bCs/>
          <w:color w:val="auto"/>
          <w:szCs w:val="22"/>
          <w:highlight w:val="none"/>
        </w:rPr>
      </w:pPr>
      <w:r/>
      <w:bookmarkStart w:id="93" w:name="_Toc6435"/>
      <w:r/>
      <w:bookmarkStart w:id="94" w:name="_Toc5574"/>
      <w:r/>
      <w:bookmarkStart w:id="95" w:name="_Toc81575194"/>
      <w:r/>
      <w:bookmarkStart w:id="96" w:name="_Toc81575157"/>
      <w:r/>
      <w:bookmarkStart w:id="97" w:name="_Toc11461"/>
      <w:r>
        <w:rPr>
          <w:rFonts w:hint="eastAsia" w:ascii="宋体" w:hAnsi="宋体" w:eastAsia="宋体" w:cs="宋体"/>
          <w:bCs/>
          <w:color w:val="auto"/>
          <w:szCs w:val="22"/>
          <w:highlight w:val="none"/>
        </w:rPr>
        <w:t xml:space="preserve">三、投标文件的编制</w:t>
      </w:r>
      <w:bookmarkEnd w:id="93"/>
      <w:r/>
      <w:bookmarkEnd w:id="94"/>
      <w:r/>
      <w:bookmarkEnd w:id="95"/>
      <w:r/>
      <w:bookmarkEnd w:id="96"/>
      <w:r/>
      <w:bookmarkEnd w:id="97"/>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8、投标文件的编制要求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9、投标文件构成</w:t>
      </w:r>
      <w:r/>
    </w:p>
    <w:p>
      <w:pPr>
        <w:ind w:firstLine="480"/>
        <w:spacing w:line="480" w:lineRule="exact"/>
        <w:rPr>
          <w:rFonts w:hint="eastAsia" w:ascii="宋体" w:hAnsi="宋体" w:cs="宋体"/>
          <w:bCs/>
          <w:color w:val="auto"/>
          <w:sz w:val="24"/>
          <w:highlight w:val="none"/>
        </w:rPr>
      </w:pPr>
      <w:r>
        <w:rPr>
          <w:rFonts w:hint="eastAsia" w:ascii="宋体" w:hAnsi="宋体" w:cs="宋体"/>
          <w:color w:val="auto"/>
          <w:sz w:val="24"/>
          <w:highlight w:val="none"/>
        </w:rPr>
        <w:t xml:space="preserve">9.1投标文件包括资格证明文件、开标一览表、分项报价表、响应及偏离表、投标函、其他证明文件等部分。</w:t>
      </w:r>
      <w:r>
        <w:rPr>
          <w:rFonts w:hint="eastAsia" w:ascii="宋体" w:hAnsi="宋体" w:cs="宋体"/>
          <w:bCs/>
          <w:color w:val="auto"/>
          <w:sz w:val="24"/>
          <w:highlight w:val="none"/>
        </w:rPr>
        <w:t xml:space="preserve">投标文件构成资料为非中文时应提供中文译版。</w:t>
      </w:r>
      <w:bookmarkStart w:id="98" w:name="EBc50e2bb832bb43068403b10c1cce6141"/>
      <w:r/>
      <w:r/>
    </w:p>
    <w:p>
      <w:pPr>
        <w:ind w:firstLine="482"/>
        <w:spacing w:line="480" w:lineRule="exact"/>
        <w:rPr>
          <w:rFonts w:hint="eastAsia" w:ascii="宋体" w:hAnsi="宋体" w:cs="宋体"/>
          <w:bCs/>
          <w:color w:val="auto"/>
          <w:sz w:val="24"/>
          <w:highlight w:val="none"/>
        </w:rPr>
      </w:pPr>
      <w:r>
        <w:rPr>
          <w:rFonts w:hint="eastAsia" w:ascii="宋体" w:hAnsi="宋体" w:cs="宋体"/>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8"/>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11、投标保证金</w:t>
      </w:r>
      <w:bookmarkStart w:id="99" w:name="EB183a0bf075204c54a4ff090f1aecaaa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本项目不收取投标保证金。</w:t>
      </w:r>
      <w:bookmarkEnd w:id="99"/>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12、投标有效期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01"/>
        <w:ind w:firstLine="321"/>
        <w:spacing w:before="0" w:after="0" w:line="480" w:lineRule="exact"/>
        <w:rPr>
          <w:rFonts w:hint="eastAsia" w:ascii="宋体" w:hAnsi="宋体" w:eastAsia="宋体" w:cs="宋体"/>
          <w:bCs/>
          <w:color w:val="auto"/>
          <w:szCs w:val="22"/>
          <w:highlight w:val="none"/>
        </w:rPr>
      </w:pPr>
      <w:r/>
      <w:bookmarkStart w:id="100" w:name="_Toc2773"/>
      <w:r/>
      <w:bookmarkStart w:id="101" w:name="_Toc23443"/>
      <w:r/>
      <w:bookmarkStart w:id="102" w:name="_Toc81575195"/>
      <w:r/>
      <w:bookmarkStart w:id="103" w:name="_Toc2867"/>
      <w:r/>
      <w:bookmarkStart w:id="104" w:name="_Toc81575158"/>
      <w:r>
        <w:rPr>
          <w:rFonts w:hint="eastAsia" w:ascii="宋体" w:hAnsi="宋体" w:eastAsia="宋体" w:cs="宋体"/>
          <w:bCs/>
          <w:color w:val="auto"/>
          <w:szCs w:val="22"/>
          <w:highlight w:val="none"/>
        </w:rPr>
        <w:t xml:space="preserve">四、投标文件的提交</w:t>
      </w:r>
      <w:bookmarkEnd w:id="100"/>
      <w:r/>
      <w:bookmarkEnd w:id="101"/>
      <w:r/>
      <w:bookmarkEnd w:id="102"/>
      <w:r/>
      <w:bookmarkEnd w:id="103"/>
      <w:r/>
      <w:bookmarkEnd w:id="104"/>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13、投标文件的提交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14、投标文件被拒绝接收的情形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在招标文件规定的投标截止时间后上传的投标文件或对投标报价或其他实质性内容修正的文件。</w:t>
      </w:r>
      <w:r/>
    </w:p>
    <w:p>
      <w:pPr>
        <w:pStyle w:val="801"/>
        <w:ind w:firstLine="321"/>
        <w:spacing w:before="0" w:after="0" w:line="520" w:lineRule="exact"/>
        <w:rPr>
          <w:rFonts w:hint="eastAsia" w:ascii="宋体" w:hAnsi="宋体" w:eastAsia="宋体" w:cs="宋体"/>
          <w:bCs/>
          <w:color w:val="auto"/>
          <w:szCs w:val="22"/>
          <w:highlight w:val="none"/>
        </w:rPr>
      </w:pPr>
      <w:r/>
      <w:bookmarkStart w:id="105" w:name="_Toc21581"/>
      <w:r/>
      <w:bookmarkStart w:id="106" w:name="_Toc81575197"/>
      <w:r/>
      <w:bookmarkStart w:id="107" w:name="_Toc20026"/>
      <w:r/>
      <w:bookmarkStart w:id="108" w:name="_Toc959"/>
      <w:r/>
      <w:bookmarkStart w:id="109" w:name="_Toc81575160"/>
      <w:r>
        <w:rPr>
          <w:rFonts w:hint="eastAsia" w:ascii="宋体" w:hAnsi="宋体" w:eastAsia="宋体" w:cs="宋体"/>
          <w:bCs/>
          <w:color w:val="auto"/>
          <w:szCs w:val="22"/>
          <w:highlight w:val="none"/>
        </w:rPr>
        <w:t xml:space="preserve">五、开标、评标程序</w:t>
      </w:r>
      <w:bookmarkEnd w:id="105"/>
      <w:r/>
      <w:bookmarkEnd w:id="106"/>
      <w:r/>
      <w:bookmarkEnd w:id="107"/>
      <w:r/>
      <w:bookmarkEnd w:id="108"/>
      <w:r/>
      <w:bookmarkEnd w:id="109"/>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15、开标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16、评标委员会</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17、评标程序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17.1资格审查</w:t>
      </w:r>
      <w:bookmarkStart w:id="110" w:name="EBa9c0a2c9e523494487594c65b2a92370"/>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开标结束后，采购人依法根据招标文件的规定对投标人的资格证明文件等进行审查。</w:t>
      </w:r>
      <w:bookmarkEnd w:id="110"/>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17.2符合性检查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宋体" w:hAnsi="宋体" w:cs="宋体"/>
          <w:color w:val="auto"/>
          <w:sz w:val="24"/>
          <w:highlight w:val="none"/>
        </w:rPr>
        <w:t xml:space="preserve">所谓重大偏离是指投标人投标文件中所述设备质量、技术规格、数量、交货期、服务等明显不能满足招标文件要求。</w:t>
      </w:r>
      <w:bookmarkEnd w:id="111"/>
      <w:r>
        <w:rPr>
          <w:rFonts w:hint="eastAsia" w:ascii="宋体" w:hAnsi="宋体" w:cs="宋体"/>
          <w:color w:val="auto"/>
          <w:sz w:val="24"/>
          <w:highlight w:val="none"/>
        </w:rPr>
        <w:t xml:space="preserve">重大偏离的认定需经过评标委员会以少数服从多数的原则作出结论。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17.5相同品牌产品投标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17.6有关问题的澄清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17.6.2投标文件报价出现前后不一致的，除招标文件另有规定外，按照下列规定修正：</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评标过程中，不得去掉报价中的最高报价和最低报价。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17.7比较</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17.8推荐中标候选人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评标委员会按照招标文件中规定的评标方法和标准推荐中标候选人。</w:t>
      </w:r>
      <w:r/>
    </w:p>
    <w:p>
      <w:pPr>
        <w:pStyle w:val="801"/>
        <w:ind w:firstLine="321"/>
        <w:spacing w:before="0" w:after="0" w:line="480" w:lineRule="exact"/>
        <w:rPr>
          <w:rFonts w:hint="eastAsia" w:ascii="宋体" w:hAnsi="宋体" w:eastAsia="宋体" w:cs="宋体"/>
          <w:bCs/>
          <w:color w:val="auto"/>
          <w:szCs w:val="22"/>
          <w:highlight w:val="none"/>
        </w:rPr>
      </w:pPr>
      <w:r/>
      <w:bookmarkStart w:id="112" w:name="_Toc8712"/>
      <w:r/>
      <w:bookmarkStart w:id="113" w:name="_Toc8841"/>
      <w:r/>
      <w:bookmarkStart w:id="114" w:name="_Toc81575159"/>
      <w:r/>
      <w:bookmarkStart w:id="115" w:name="_Toc81575196"/>
      <w:r/>
      <w:bookmarkStart w:id="116" w:name="_Toc23187"/>
      <w:r>
        <w:rPr>
          <w:rFonts w:hint="eastAsia" w:ascii="宋体" w:hAnsi="宋体" w:eastAsia="宋体" w:cs="宋体"/>
          <w:bCs/>
          <w:color w:val="auto"/>
          <w:szCs w:val="22"/>
          <w:highlight w:val="none"/>
        </w:rPr>
        <w:t xml:space="preserve">六、无效投标、废标、串通投标</w:t>
      </w:r>
      <w:bookmarkEnd w:id="112"/>
      <w:r/>
      <w:bookmarkEnd w:id="113"/>
      <w:r/>
      <w:bookmarkEnd w:id="114"/>
      <w:r/>
      <w:bookmarkEnd w:id="115"/>
      <w:r>
        <w:rPr>
          <w:rFonts w:hint="eastAsia" w:ascii="宋体" w:hAnsi="宋体" w:eastAsia="宋体" w:cs="宋体"/>
          <w:bCs/>
          <w:color w:val="auto"/>
          <w:szCs w:val="22"/>
          <w:highlight w:val="none"/>
        </w:rPr>
        <w:t xml:space="preserve">及取消中标候选人资格情形</w:t>
      </w:r>
      <w:bookmarkEnd w:id="116"/>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18、无效投标情形</w:t>
      </w:r>
      <w:r/>
    </w:p>
    <w:p>
      <w:pPr>
        <w:ind w:firstLine="480"/>
        <w:spacing w:line="480" w:lineRule="exact"/>
        <w:rPr>
          <w:rFonts w:hint="eastAsia" w:ascii="宋体" w:hAnsi="宋体" w:cs="宋体"/>
          <w:strike/>
          <w:color w:val="auto"/>
          <w:sz w:val="24"/>
          <w:highlight w:val="none"/>
        </w:rPr>
      </w:pPr>
      <w:r>
        <w:rPr>
          <w:rFonts w:hint="eastAsia" w:ascii="宋体" w:hAnsi="宋体" w:cs="宋体"/>
          <w:color w:val="auto"/>
          <w:sz w:val="24"/>
          <w:highlight w:val="none"/>
        </w:rPr>
        <w:t xml:space="preserve">18.1投标人同一采购包提交两个（含两个）以上不同的投标报价的。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18.2投标人不符合招标文件规定资格要求的或未按规定提交资质证件的。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18.3投标人的报价超过了采购预算或最高限价的。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18.4投标文件未通过符合性审查的。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18.7投标文件未按照招标文件要求加盖CA电子公章的。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18.8投标人有本招标文件规定的恶意串通投标情形的。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18.9投标文件含有采购人不能接受的附加条件的。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18.10其他法律、法规及本招标文件规定的属无效投标的情形。</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19、废标情形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19.1符合专业条件的投标人或者对招标文件作实质响应的投标人不足三家的。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19.5在“苏采云”系统规定时间内成功解密电子投标文件的投标人不足3家的。</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21、串通投标情形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有下列情形之一的，属于恶意串通投标：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21.3供应商接受采购人或采购代理机构授意撤换、修改投标文件；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21.4供应商之间协商投标报价、技术方案等投标文件实质性内容；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21.5属于同一集团、协会、商会等组织成员的供应商按照该组织要求协同投标；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21.6供应商之间事先约定由某一特定供应商中标、成交；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21.7供应商之间商定部分供应商放弃投标或者放弃中标、成交；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有下列情形之一的，视为投标人串通投标，其投标无效：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21.9不同投标人的投标文件由同一单位或者个人编制；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21.10不同投标人委托同一单位或者个人办理投标事宜；</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21.11不同投标人的投标文件载明的项目管理成员或者联系人员为同一人；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21.12不同投标人的投标文件异常一致或者投标报价呈规律性差异；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21.13不同投标人的投标文件相互混装；</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21.14不同投标人的投标保证金从同一单位或者个人的账户转出。</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w:t>
      </w:r>
      <w:bookmarkStart w:id="117" w:name="OLE_LINK4"/>
      <w:r>
        <w:rPr>
          <w:rFonts w:hint="eastAsia" w:ascii="宋体" w:hAnsi="宋体" w:cs="宋体"/>
          <w:b/>
          <w:color w:val="auto"/>
          <w:sz w:val="24"/>
          <w:highlight w:val="none"/>
        </w:rPr>
        <w:t xml:space="preserve">取消中标候选人资格情形</w:t>
      </w:r>
      <w:bookmarkEnd w:id="117"/>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22.1提供虚假材料谋取中标的；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22.2采取不正当手段诋毁、排挤其他投标人的；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22.3与采购人、其他投标人或者采购代理机构恶意串通的；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22.4向采购人、采购代理机构行贿或者提供其他不正当利益的；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22.5未在规定时间内与采购人签订采购合同的；</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22.6法律、法规规定的其它情况。</w:t>
      </w:r>
      <w:bookmarkStart w:id="118" w:name="_Toc81575161"/>
      <w:r/>
      <w:bookmarkStart w:id="119" w:name="_Toc2391"/>
      <w:r/>
      <w:bookmarkStart w:id="120" w:name="_Toc6494"/>
      <w:r/>
      <w:bookmarkStart w:id="121" w:name="_Toc81575198"/>
      <w:r/>
      <w:r/>
    </w:p>
    <w:p>
      <w:pPr>
        <w:ind w:firstLine="321"/>
        <w:spacing w:line="480" w:lineRule="exact"/>
        <w:rPr>
          <w:rFonts w:hint="eastAsia" w:ascii="宋体" w:hAnsi="宋体" w:cs="宋体"/>
          <w:b/>
          <w:bCs/>
          <w:color w:val="auto"/>
          <w:sz w:val="32"/>
          <w:highlight w:val="none"/>
        </w:rPr>
        <w:outlineLvl w:val="1"/>
      </w:pPr>
      <w:r/>
      <w:bookmarkStart w:id="122" w:name="_Toc9394"/>
      <w:r>
        <w:rPr>
          <w:rFonts w:hint="eastAsia" w:ascii="宋体" w:hAnsi="宋体" w:cs="宋体"/>
          <w:b/>
          <w:bCs/>
          <w:color w:val="auto"/>
          <w:sz w:val="32"/>
          <w:highlight w:val="none"/>
        </w:rPr>
        <w:t xml:space="preserve">七、中标及合同签订</w:t>
      </w:r>
      <w:bookmarkEnd w:id="118"/>
      <w:r/>
      <w:bookmarkEnd w:id="119"/>
      <w:r/>
      <w:bookmarkEnd w:id="120"/>
      <w:r/>
      <w:bookmarkEnd w:id="121"/>
      <w:r/>
      <w:bookmarkEnd w:id="12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23、确定中标人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23.3采购人确定正被列为失信被执行人的投标人为中标人的，中标结果无效。</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24、中标通知书</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24.3采用综合评分法评审的，未中标人可于中标结果公告期限届满之日起通过“苏采云”系统查看</w:t>
      </w:r>
      <w:bookmarkStart w:id="123" w:name="OLE_LINK5"/>
      <w:r>
        <w:rPr>
          <w:rFonts w:hint="eastAsia" w:ascii="宋体" w:hAnsi="宋体" w:cs="宋体"/>
          <w:color w:val="auto"/>
          <w:sz w:val="24"/>
          <w:highlight w:val="none"/>
        </w:rPr>
        <w:t xml:space="preserve">自己的评审得分及排序情况。</w:t>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25、授予合同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25.2采购人在自合同签订之日起2个工作日内，将合同在指定的媒体上公告。</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26、履约保证金</w:t>
      </w:r>
      <w:r/>
    </w:p>
    <w:p>
      <w:pPr>
        <w:ind w:firstLine="480"/>
        <w:spacing w:line="48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按照以下第</w:t>
      </w:r>
      <w:r>
        <w:rPr>
          <w:rFonts w:hint="eastAsia" w:ascii="宋体" w:hAnsi="宋体" w:cs="宋体"/>
          <w:color w:val="auto"/>
          <w:sz w:val="24"/>
          <w:highlight w:val="none"/>
          <w:u w:val="single"/>
        </w:rPr>
        <w:t xml:space="preserve">（1）</w:t>
      </w:r>
      <w:r>
        <w:rPr>
          <w:rFonts w:hint="eastAsia" w:ascii="宋体" w:hAnsi="宋体" w:cs="宋体"/>
          <w:color w:val="auto"/>
          <w:sz w:val="24"/>
          <w:highlight w:val="none"/>
          <w:lang w:val="zh-CN"/>
        </w:rPr>
        <w:t xml:space="preserve">方式确定履约保证</w:t>
      </w:r>
      <w:r>
        <w:rPr>
          <w:rFonts w:hint="eastAsia" w:ascii="宋体" w:hAnsi="宋体" w:cs="宋体"/>
          <w:color w:val="auto"/>
          <w:sz w:val="24"/>
          <w:highlight w:val="none"/>
        </w:rPr>
        <w:t xml:space="preserve">金</w:t>
      </w:r>
      <w:r>
        <w:rPr>
          <w:rFonts w:hint="eastAsia" w:ascii="宋体" w:hAnsi="宋体" w:cs="宋体"/>
          <w:color w:val="auto"/>
          <w:sz w:val="24"/>
          <w:highlight w:val="none"/>
          <w:lang w:val="zh-CN"/>
        </w:rPr>
        <w:t xml:space="preserve">收取方式。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（1）本项目不收取履约保证金。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（2）本项目收取履约保证金。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26.1履约保证金提交形式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26.2履约保证金提交金额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按采购合同总价的</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%提交。</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26.3履约保证金退还方式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26.4履约保证金退还条件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具有验收合格相关证明材料。</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26.5履约保证金退还时间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采购人收到投标人退付申请后5个工作日内退还。</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26.6履约保证金不予退还情形</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26.7逾期退还履约保证金违约责任</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color w:val="auto"/>
          <w:sz w:val="24"/>
          <w:highlight w:val="none"/>
        </w:rPr>
        <w:t xml:space="preserve">27、线上融资</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宋体" w:hAnsi="宋体" w:cs="宋体"/>
          <w:color w:val="auto"/>
          <w:sz w:val="24"/>
          <w:highlight w:val="none"/>
        </w:rPr>
      </w:pPr>
      <w:r>
        <w:rPr>
          <w:rFonts w:hint="eastAsia" w:ascii="宋体" w:hAnsi="宋体" w:cs="宋体"/>
          <w:b/>
          <w:color w:val="auto"/>
          <w:sz w:val="24"/>
          <w:highlight w:val="none"/>
        </w:rPr>
        <w:t xml:space="preserve">28、合同履行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28.1政府采购合同订立后，合同各方不得擅自变更、中止或者终止合同。</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01"/>
        <w:spacing w:before="0" w:after="0" w:line="520" w:lineRule="exact"/>
        <w:rPr>
          <w:rFonts w:hint="eastAsia" w:ascii="宋体" w:hAnsi="宋体" w:eastAsia="宋体" w:cs="宋体"/>
          <w:bCs/>
          <w:color w:val="auto"/>
          <w:szCs w:val="22"/>
          <w:highlight w:val="none"/>
        </w:rPr>
      </w:pPr>
      <w:r/>
      <w:bookmarkStart w:id="124" w:name="_Toc22084"/>
      <w:r/>
      <w:bookmarkStart w:id="125" w:name="_Toc81575162"/>
      <w:r/>
      <w:bookmarkStart w:id="126" w:name="_Toc7550"/>
      <w:r/>
      <w:bookmarkStart w:id="127" w:name="_Toc81575199"/>
      <w:r/>
      <w:bookmarkStart w:id="128" w:name="_Toc27246"/>
      <w:r>
        <w:rPr>
          <w:rFonts w:hint="eastAsia" w:ascii="宋体" w:hAnsi="宋体" w:eastAsia="宋体" w:cs="宋体"/>
          <w:bCs/>
          <w:color w:val="auto"/>
          <w:szCs w:val="22"/>
          <w:highlight w:val="none"/>
        </w:rPr>
        <w:t xml:space="preserve">八、</w:t>
      </w:r>
      <w:bookmarkEnd w:id="124"/>
      <w:r/>
      <w:bookmarkEnd w:id="125"/>
      <w:r/>
      <w:bookmarkEnd w:id="126"/>
      <w:r/>
      <w:bookmarkEnd w:id="127"/>
      <w:r/>
      <w:bookmarkStart w:id="129" w:name="_Toc81575200"/>
      <w:r/>
      <w:bookmarkStart w:id="130" w:name="_Toc31888"/>
      <w:r/>
      <w:bookmarkStart w:id="131" w:name="_Toc12263"/>
      <w:r/>
      <w:bookmarkStart w:id="132" w:name="_Toc81575163"/>
      <w:r>
        <w:rPr>
          <w:rFonts w:hint="eastAsia" w:ascii="宋体" w:hAnsi="宋体" w:eastAsia="宋体" w:cs="宋体"/>
          <w:bCs/>
          <w:color w:val="auto"/>
          <w:szCs w:val="22"/>
          <w:highlight w:val="none"/>
        </w:rPr>
        <w:t xml:space="preserve">质疑与投诉</w:t>
      </w:r>
      <w:bookmarkEnd w:id="128"/>
      <w:r/>
      <w:bookmarkEnd w:id="129"/>
      <w:r/>
      <w:bookmarkEnd w:id="130"/>
      <w:r/>
      <w:bookmarkEnd w:id="131"/>
      <w:r/>
      <w:bookmarkEnd w:id="132"/>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29、质疑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29.1供应商认为采购文件、采购过程和中标结果使自己的权益受到损害的，可以在知道或者应知其权益受到损害之日起七个工作日内，</w:t>
      </w:r>
      <w:bookmarkStart w:id="133" w:name="OLE_LINK2"/>
      <w:r>
        <w:rPr>
          <w:rFonts w:hint="eastAsia" w:ascii="宋体" w:hAnsi="宋体" w:cs="宋体"/>
          <w:b/>
          <w:bCs/>
          <w:color w:val="auto"/>
          <w:sz w:val="24"/>
          <w:highlight w:val="none"/>
        </w:rPr>
        <w:t xml:space="preserve">登录“苏采云”系统，从“项目质疑申请”模块向采购人提出质疑</w:t>
      </w:r>
      <w:bookmarkEnd w:id="133"/>
      <w:r>
        <w:rPr>
          <w:rFonts w:hint="eastAsia" w:ascii="宋体" w:hAnsi="宋体" w:cs="宋体"/>
          <w:b/>
          <w:bCs/>
          <w:color w:val="auto"/>
          <w:sz w:val="24"/>
          <w:highlight w:val="none"/>
        </w:rPr>
        <w:t xml:space="preserve">。</w:t>
      </w:r>
      <w:bookmarkStart w:id="134" w:name="OLE_LINK1"/>
      <w:r>
        <w:rPr>
          <w:rFonts w:hint="eastAsia" w:ascii="宋体" w:hAnsi="宋体" w:cs="宋体"/>
          <w:color w:val="auto"/>
          <w:sz w:val="24"/>
          <w:highlight w:val="none"/>
        </w:rPr>
        <w:t xml:space="preserve">质疑联系部门、联系电话、通讯地址详见采购公告。</w:t>
      </w:r>
      <w:bookmarkEnd w:id="134"/>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29.2供应商应知其权益受到损害之日，是指：</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（2）对本项目采购过程提出质疑的，为各采购程序环节结束之日；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（3）对本项目中标结果提出质疑的，为中标结果公告期限届满之日。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29.4供应商提出质疑应当提交质疑函和必要的证明材料。质疑函的必备内容：</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（1）供应商的姓名或者名称、地址、邮编、联系人及联系电话；</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（2）质疑项目的名称、编号；</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（3）获取采购文件的时间；</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（4）具体、明确的质疑事项和质疑事项相关的请求；</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（5）事实依据；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（6）必要的法律依据；</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（7）提出质疑的日期；</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30、投诉</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质疑供应商对答复不满意或采购人、采购代理机构未在规定时间内作出答复的，可在答复期满后15个工作日内向同级财政部门提起投诉。</w:t>
      </w:r>
      <w:r/>
    </w:p>
    <w:p>
      <w:pPr>
        <w:pStyle w:val="800"/>
        <w:jc w:val="center"/>
        <w:spacing w:before="200"/>
        <w:rPr>
          <w:rFonts w:hint="eastAsia" w:ascii="宋体" w:hAnsi="宋体" w:eastAsia="宋体" w:cs="宋体"/>
          <w:color w:val="auto"/>
          <w:highlight w:val="none"/>
        </w:rPr>
      </w:pPr>
      <w:r/>
      <w:bookmarkStart w:id="135" w:name="EB4d341233595e4bf8ad7006b4bd78d974"/>
      <w:r/>
      <w:bookmarkEnd w:id="135"/>
      <w:r/>
      <w:bookmarkStart w:id="136" w:name="_Toc81575164"/>
      <w:r/>
      <w:bookmarkStart w:id="137" w:name="_Toc81575201"/>
      <w:r/>
      <w:bookmarkStart w:id="138" w:name="_Hlk166141273"/>
      <w:r>
        <w:rPr>
          <w:rFonts w:hint="eastAsia" w:ascii="宋体" w:hAnsi="宋体" w:eastAsia="宋体" w:cs="宋体"/>
          <w:color w:val="auto"/>
          <w:highlight w:val="none"/>
        </w:rPr>
        <w:br w:type="page" w:clear="all"/>
      </w:r>
      <w:bookmarkStart w:id="139" w:name="_Toc15388"/>
      <w:r/>
      <w:bookmarkStart w:id="140" w:name="_Toc22057"/>
      <w:r>
        <w:rPr>
          <w:rFonts w:hint="eastAsia" w:ascii="宋体" w:hAnsi="宋体" w:eastAsia="宋体" w:cs="宋体"/>
          <w:b/>
          <w:color w:val="auto"/>
          <w:sz w:val="44"/>
          <w:szCs w:val="44"/>
          <w:highlight w:val="none"/>
        </w:rPr>
        <w:t xml:space="preserve">第三章  资格审查及评标</w:t>
      </w:r>
      <w:bookmarkEnd w:id="136"/>
      <w:r/>
      <w:bookmarkEnd w:id="137"/>
      <w:r>
        <w:rPr>
          <w:rFonts w:hint="eastAsia" w:ascii="宋体" w:hAnsi="宋体" w:eastAsia="宋体" w:cs="宋体"/>
          <w:b/>
          <w:color w:val="auto"/>
          <w:sz w:val="44"/>
          <w:szCs w:val="44"/>
          <w:highlight w:val="none"/>
        </w:rPr>
        <w:t xml:space="preserve">方法</w:t>
      </w:r>
      <w:bookmarkEnd w:id="139"/>
      <w:r/>
      <w:bookmarkEnd w:id="140"/>
      <w:r/>
      <w:r/>
    </w:p>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一、资格审查</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资格审查人员按照下列指标对各投标人的资格进行审查，未通过审查的为无效标，不参与评标。</w:t>
      </w:r>
      <w:r/>
    </w:p>
    <w:tbl>
      <w:tblPr>
        <w:tblStyle w:val="81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中小企业或残疾人福利性单位声明函，或监狱企业证明文件</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bl>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二、符合性审查</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评标委员会对符合资格的投标人的投标文件进行符合性审查，未通过审查的为无效标，不再参与评审。</w:t>
      </w:r>
      <w:r/>
    </w:p>
    <w:tbl>
      <w:tblPr>
        <w:tblStyle w:val="810"/>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法人授权书</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人员配备要求承诺函</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jc w:val="center"/>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符合招标文件要求</w:t>
            </w:r>
            <w:r/>
          </w:p>
        </w:tc>
      </w:tr>
    </w:tbl>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三、评标方法</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w:t>
      </w:r>
      <w:r/>
    </w:p>
    <w:p>
      <w:pPr>
        <w:ind w:firstLine="48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评标委员会根据评标后投标人排序推荐中标候选人，并形成评标报告。</w:t>
      </w:r>
      <w:r/>
    </w:p>
    <w:p>
      <w:pPr>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四、评标标准</w:t>
      </w:r>
      <w:bookmarkEnd w:id="138"/>
      <w:r/>
      <w:r/>
    </w:p>
    <w:tbl>
      <w:tblPr>
        <w:tblStyle w:val="810"/>
        <w:tblW w:w="8843"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97"/>
        <w:gridCol w:w="1991"/>
        <w:gridCol w:w="1262"/>
        <w:gridCol w:w="4393"/>
      </w:tblGrid>
      <w:tr>
        <w:trPr/>
        <w:tc>
          <w:tcPr>
            <w:gridSpan w:val="2"/>
            <w:tcBorders>
              <w:top w:val="single" w:color="000000" w:sz="6" w:space="0"/>
              <w:left w:val="single" w:color="000000" w:sz="6" w:space="0"/>
              <w:bottom w:val="single" w:color="000000" w:sz="6" w:space="0"/>
              <w:right w:val="single" w:color="000000" w:sz="6" w:space="0"/>
            </w:tcBorders>
            <w:tcW w:w="3188"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p>
        </w:tc>
      </w:tr>
      <w:tr>
        <w:trPr/>
        <w:tc>
          <w:tcPr>
            <w:tcBorders>
              <w:top w:val="single" w:color="000000" w:sz="6" w:space="0"/>
              <w:left w:val="single" w:color="000000" w:sz="6" w:space="0"/>
              <w:right w:val="single" w:color="000000" w:sz="6" w:space="0"/>
            </w:tcBorders>
            <w:tcW w:w="1197" w:type="dxa"/>
            <w:vAlign w:val="center"/>
            <w:vMerge w:val="restart"/>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企业业绩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荣誉</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年1月1日（以合同签订时间为准）以来承担过类似项目的，每有一个得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分，最高得1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分。注：1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中标（成交）通知书、</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验收</w:t>
            </w:r>
            <w:r>
              <w:rPr>
                <w:rFonts w:hint="eastAsia" w:ascii="宋体" w:hAnsi="宋体" w:cs="宋体"/>
                <w:color w:val="auto"/>
                <w:sz w:val="21"/>
                <w:szCs w:val="21"/>
                <w:highlight w:val="none"/>
                <w:lang w:val="en-US" w:eastAsia="zh-CN"/>
              </w:rPr>
              <w:t xml:space="preserve">证明或其他相关证明资料</w:t>
            </w:r>
            <w:r>
              <w:rPr>
                <w:rFonts w:hint="eastAsia" w:ascii="宋体" w:hAnsi="宋体" w:eastAsia="宋体" w:cs="宋体"/>
                <w:color w:val="auto"/>
                <w:sz w:val="21"/>
                <w:szCs w:val="21"/>
                <w:highlight w:val="none"/>
              </w:rPr>
              <w:t xml:space="preserve">电子件；</w:t>
            </w:r>
            <w:r>
              <w:rPr>
                <w:rFonts w:hint="eastAsia" w:ascii="宋体" w:hAnsi="宋体" w:eastAsia="宋体" w:cs="宋体"/>
                <w:color w:val="auto"/>
                <w:sz w:val="21"/>
                <w:szCs w:val="21"/>
                <w:highlight w:val="none"/>
                <w:rtl w:val="0"/>
                <w:lang w:val="en-US" w:eastAsia="zh-CN" w:bidi="ar-SA"/>
              </w:rPr>
              <w:t xml:space="preserve">2</w:t>
            </w:r>
            <w:r>
              <w:rPr>
                <w:rFonts w:hint="eastAsia" w:ascii="宋体" w:hAnsi="宋体" w:cs="宋体"/>
                <w:color w:val="auto"/>
                <w:sz w:val="21"/>
                <w:szCs w:val="21"/>
                <w:highlight w:val="none"/>
                <w:rtl w:val="0"/>
                <w:lang w:val="en-US" w:eastAsia="zh-CN" w:bidi="ar-SA"/>
              </w:rPr>
              <w:t xml:space="preserve">.</w:t>
            </w:r>
            <w:r>
              <w:rPr>
                <w:rFonts w:hint="eastAsia" w:ascii="宋体" w:hAnsi="宋体" w:eastAsia="宋体" w:cs="宋体"/>
                <w:color w:val="auto"/>
                <w:sz w:val="21"/>
                <w:szCs w:val="21"/>
                <w:highlight w:val="none"/>
                <w:rtl w:val="0"/>
                <w:lang w:val="en-US" w:eastAsia="zh-CN" w:bidi="ar-SA"/>
              </w:rPr>
              <w:t xml:space="preserve">业绩材料电子件上传至响应文件，否则该业绩不得分。</w:t>
            </w:r>
            <w:r/>
          </w:p>
        </w:tc>
      </w:tr>
      <w:tr>
        <w:trPr/>
        <w:tc>
          <w:tcPr>
            <w:tcBorders>
              <w:left w:val="single" w:color="000000" w:sz="6" w:space="0"/>
              <w:bottom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相关证书</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供应商具有有效期内的质量管理体系认证证书、环境管理体系认证证书、</w:t>
            </w:r>
            <w:r>
              <w:rPr>
                <w:rFonts w:hint="eastAsia" w:ascii="宋体" w:hAnsi="宋体" w:eastAsia="宋体" w:cs="宋体"/>
                <w:color w:val="auto"/>
                <w:sz w:val="21"/>
                <w:szCs w:val="21"/>
                <w:highlight w:val="none"/>
              </w:rPr>
              <w:t xml:space="preserve">职业健康安全管理体系认证证</w:t>
            </w:r>
            <w:r>
              <w:rPr>
                <w:rFonts w:hint="eastAsia" w:ascii="宋体" w:hAnsi="宋体" w:eastAsia="宋体" w:cs="宋体"/>
                <w:color w:val="auto"/>
                <w:sz w:val="21"/>
                <w:szCs w:val="21"/>
                <w:highlight w:val="none"/>
                <w:rtl w:val="0"/>
                <w:lang w:val="en-US" w:eastAsia="zh-CN"/>
              </w:rPr>
              <w:t xml:space="preserve">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tl w:val="0"/>
                <w:lang w:val="en-US" w:eastAsia="zh-CN"/>
              </w:rPr>
              <w:t xml:space="preserve">每有一个证书得3分，最高得9分。注：1.响应文件中提供上述相关证书电子件和在国家市场监督管理总局全国认证认可信息公共服务平台查询认证有效的页面截图，未提供的不得分。</w:t>
            </w:r>
            <w:r/>
          </w:p>
        </w:tc>
      </w:tr>
      <w:tr>
        <w:trPr>
          <w:cantSplit/>
        </w:trPr>
        <w:tc>
          <w:tcPr>
            <w:tcBorders>
              <w:top w:val="single" w:color="000000" w:sz="6" w:space="0"/>
              <w:left w:val="single" w:color="000000" w:sz="6" w:space="0"/>
              <w:right w:val="single" w:color="000000" w:sz="6" w:space="0"/>
            </w:tcBorders>
            <w:tcW w:w="1197" w:type="dxa"/>
            <w:vAlign w:val="center"/>
            <w:vMerge w:val="restart"/>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实施方案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rtl w:val="0"/>
                <w:lang w:val="en-US" w:eastAsia="zh-CN"/>
              </w:rPr>
              <w:t xml:space="preserve">针对采购文件“第四部分、采购需求”中“五、</w:t>
            </w:r>
            <w:r>
              <w:rPr>
                <w:color w:val="auto"/>
                <w:highlight w:val="none"/>
              </w:rPr>
              <w:t xml:space="preserve">实施方案</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lang w:val="en-US" w:eastAsia="zh-CN"/>
              </w:rPr>
            </w:pPr>
            <w:r>
              <w:rPr>
                <w:color w:val="auto"/>
                <w:highlight w:val="none"/>
              </w:rPr>
              <w:t xml:space="preserve">管理方案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spacing w:line="360" w:lineRule="exact"/>
              <w:rPr>
                <w:rFonts w:hint="eastAsia" w:ascii="宋体" w:hAnsi="宋体" w:eastAsia="宋体" w:cs="宋体"/>
                <w:color w:val="auto"/>
                <w:sz w:val="21"/>
                <w:szCs w:val="21"/>
                <w:highlight w:val="none"/>
                <w:rtl w:val="0"/>
                <w:lang w:val="en-US" w:eastAsia="zh-CN"/>
              </w:rPr>
            </w:pPr>
            <w:r>
              <w:rPr>
                <w:rFonts w:hint="eastAsia" w:ascii="宋体" w:hAnsi="宋体" w:eastAsia="宋体" w:cs="宋体"/>
                <w:color w:val="auto"/>
                <w:sz w:val="21"/>
                <w:szCs w:val="21"/>
                <w:highlight w:val="none"/>
                <w:rtl w:val="0"/>
                <w:lang w:val="en-US" w:eastAsia="zh-CN"/>
              </w:rPr>
              <w:t xml:space="preserve">针对采购文件“第四部分、采购需求”中“六、</w:t>
            </w:r>
            <w:r>
              <w:rPr>
                <w:color w:val="auto"/>
                <w:highlight w:val="none"/>
              </w:rPr>
              <w:t xml:space="preserve">管理方案</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人员配置及管理</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针对采购文件“第四部分、采购需求”中“七、</w:t>
            </w:r>
            <w:r>
              <w:rPr>
                <w:color w:val="auto"/>
                <w:highlight w:val="none"/>
              </w:rPr>
              <w:t xml:space="preserve">人员配置及管理</w:t>
            </w:r>
            <w:r>
              <w:rPr>
                <w:rFonts w:hint="eastAsia" w:ascii="宋体" w:hAnsi="宋体" w:eastAsia="宋体" w:cs="宋体"/>
                <w:color w:val="auto"/>
                <w:sz w:val="21"/>
                <w:szCs w:val="21"/>
                <w:highlight w:val="none"/>
                <w:rtl w:val="0"/>
                <w:lang w:val="en-US" w:eastAsia="zh-CN"/>
              </w:rPr>
              <w:t xml:space="preserve">”，提供项目实施方案。优于采购需求，得10分；满足采购需求，得7分；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应急预案</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8</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针对采购文件“第四部分、采购需求”中“八、</w:t>
            </w:r>
            <w:r>
              <w:rPr>
                <w:color w:val="auto"/>
                <w:highlight w:val="none"/>
              </w:rPr>
              <w:t xml:space="preserve">应急预案</w:t>
            </w:r>
            <w:r>
              <w:rPr>
                <w:rFonts w:hint="eastAsia" w:ascii="宋体" w:hAnsi="宋体" w:eastAsia="宋体" w:cs="宋体"/>
                <w:color w:val="auto"/>
                <w:sz w:val="21"/>
                <w:szCs w:val="21"/>
                <w:highlight w:val="none"/>
                <w:rtl w:val="0"/>
                <w:lang w:val="en-US" w:eastAsia="zh-CN"/>
              </w:rPr>
              <w:t xml:space="preserve">”，提供项目实施方案。优于采购需求，得8分；满足采购需求，得5分；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汇报及配合协调机制</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8.</w:t>
            </w:r>
            <w:r>
              <w:rPr>
                <w:rFonts w:ascii="Times New Roman" w:hAnsi="Times New Roman" w:eastAsia="宋体" w:cs="Times New Roman"/>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针对采购文件“第四部分、采购需求”中“九、</w:t>
            </w:r>
            <w:r>
              <w:rPr>
                <w:rFonts w:ascii="Times New Roman" w:hAnsi="Times New Roman" w:eastAsia="宋体" w:cs="Times New Roman"/>
                <w:color w:val="auto"/>
                <w:highlight w:val="none"/>
              </w:rPr>
              <w:t xml:space="preserve">汇报及配合协调机制</w:t>
            </w:r>
            <w:r>
              <w:rPr>
                <w:rFonts w:hint="eastAsia" w:ascii="宋体" w:hAnsi="宋体" w:eastAsia="宋体" w:cs="宋体"/>
                <w:color w:val="auto"/>
                <w:sz w:val="21"/>
                <w:szCs w:val="21"/>
                <w:highlight w:val="none"/>
                <w:rtl w:val="0"/>
                <w:lang w:val="en-US" w:eastAsia="zh-CN"/>
              </w:rPr>
              <w:t xml:space="preserve">”，提供项目实施方案。优于采购需求，得8分；满足采购需求，得5分；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项目组成员</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7</w:t>
            </w:r>
            <w:r>
              <w:rPr>
                <w:rFonts w:hint="eastAsia" w:ascii="Times New Roman" w:hAnsi="Times New Roman" w:eastAsia="宋体" w:cs="Times New Roman"/>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tl w:val="0"/>
                <w:lang w:val="en-US" w:eastAsia="zh-CN"/>
              </w:rPr>
              <w:t xml:space="preserve">针对采购文件“第四部分、采购需求”中“十、</w:t>
            </w:r>
            <w:r>
              <w:rPr>
                <w:rFonts w:hint="eastAsia" w:ascii="Times New Roman" w:hAnsi="Times New Roman" w:eastAsia="宋体" w:cs="Times New Roman"/>
                <w:color w:val="auto"/>
                <w:highlight w:val="none"/>
                <w:lang w:val="en-US" w:eastAsia="zh-CN"/>
              </w:rPr>
              <w:t xml:space="preserve">项目组成员</w:t>
            </w:r>
            <w:r>
              <w:rPr>
                <w:rFonts w:hint="eastAsia" w:ascii="宋体" w:hAnsi="宋体" w:eastAsia="宋体" w:cs="宋体"/>
                <w:color w:val="auto"/>
                <w:sz w:val="21"/>
                <w:szCs w:val="21"/>
                <w:highlight w:val="none"/>
                <w:rtl w:val="0"/>
                <w:lang w:val="en-US" w:eastAsia="zh-CN"/>
              </w:rPr>
              <w:t xml:space="preserve">”，提供项目实施方案。优于采购需求，得7分；满足采购需求，得4分；</w:t>
            </w:r>
            <w:r>
              <w:rPr>
                <w:rFonts w:hint="eastAsia" w:ascii="宋体" w:hAnsi="宋体" w:eastAsia="宋体" w:cs="宋体"/>
                <w:color w:val="auto"/>
                <w:sz w:val="21"/>
                <w:szCs w:val="21"/>
                <w:highlight w:val="none"/>
              </w:rPr>
              <w:t xml:space="preserve">内容有所欠缺、但承诺经过</w:t>
            </w:r>
            <w:r>
              <w:rPr>
                <w:rFonts w:hint="eastAsia" w:ascii="宋体" w:hAnsi="宋体" w:eastAsia="宋体" w:cs="宋体"/>
                <w:color w:val="auto"/>
                <w:sz w:val="21"/>
                <w:szCs w:val="21"/>
                <w:highlight w:val="none"/>
                <w:lang w:val="en-US" w:eastAsia="zh-CN"/>
              </w:rPr>
              <w:t xml:space="preserve">后期</w:t>
            </w:r>
            <w:r>
              <w:rPr>
                <w:rFonts w:hint="eastAsia" w:ascii="宋体" w:hAnsi="宋体" w:eastAsia="宋体" w:cs="宋体"/>
                <w:color w:val="auto"/>
                <w:sz w:val="21"/>
                <w:szCs w:val="21"/>
                <w:highlight w:val="none"/>
              </w:rPr>
              <w:t xml:space="preserve">优化可实现采购需求的得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tl w:val="0"/>
                <w:lang w:val="en-US" w:eastAsia="zh-CN"/>
              </w:rPr>
              <w:t xml:space="preserve">；其他情况不得分。</w:t>
            </w:r>
            <w:r/>
          </w:p>
        </w:tc>
      </w:tr>
      <w:tr>
        <w:trPr>
          <w:cantSplit/>
        </w:trPr>
        <w:tc>
          <w:tcPr>
            <w:tcBorders>
              <w:top w:val="single" w:color="000000" w:sz="6" w:space="0"/>
              <w:left w:val="single" w:color="000000" w:sz="6" w:space="0"/>
              <w:right w:val="single" w:color="000000" w:sz="6" w:space="0"/>
            </w:tcBorders>
            <w:tcW w:w="1197" w:type="dxa"/>
            <w:vAlign w:val="bottom"/>
            <w:vMerge w:val="restart"/>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项目负责人</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9</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项目负责人</w:t>
            </w:r>
            <w:r>
              <w:rPr>
                <w:rFonts w:hint="eastAsia" w:ascii="宋体" w:hAnsi="宋体" w:eastAsia="宋体" w:cs="宋体"/>
                <w:color w:val="auto"/>
                <w:sz w:val="21"/>
                <w:szCs w:val="21"/>
                <w:highlight w:val="none"/>
              </w:rPr>
              <w:t xml:space="preserve">具备</w:t>
            </w:r>
            <w:r>
              <w:rPr>
                <w:rFonts w:hint="eastAsia" w:ascii="宋体" w:hAnsi="宋体" w:cs="宋体"/>
                <w:color w:val="auto"/>
                <w:sz w:val="21"/>
                <w:szCs w:val="21"/>
                <w:highlight w:val="none"/>
                <w:lang w:val="en-US" w:eastAsia="zh-CN"/>
              </w:rPr>
              <w:t xml:space="preserve">养老</w:t>
            </w:r>
            <w:r>
              <w:rPr>
                <w:rFonts w:hint="eastAsia" w:ascii="宋体" w:hAnsi="宋体" w:eastAsia="宋体" w:cs="宋体"/>
                <w:color w:val="auto"/>
                <w:sz w:val="21"/>
                <w:szCs w:val="21"/>
                <w:highlight w:val="none"/>
              </w:rPr>
              <w:t xml:space="preserve">护理员</w:t>
            </w:r>
            <w:r>
              <w:rPr>
                <w:rFonts w:hint="eastAsia" w:ascii="宋体" w:hAnsi="宋体" w:cs="宋体"/>
                <w:color w:val="auto"/>
                <w:sz w:val="21"/>
                <w:szCs w:val="21"/>
                <w:highlight w:val="none"/>
                <w:lang w:val="en-US" w:eastAsia="zh-CN"/>
              </w:rPr>
              <w:t xml:space="preserve">证书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社会工作师证书、心理咨询师证书，有一个得3分</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cantSplit/>
        </w:trPr>
        <w:tc>
          <w:tcPr>
            <w:tcBorders>
              <w:left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color w:val="auto"/>
                <w:highlight w:val="none"/>
              </w:rPr>
            </w:pPr>
            <w:r>
              <w:rPr>
                <w:color w:val="auto"/>
                <w:highlight w:val="none"/>
              </w:rPr>
            </w:r>
            <w:r/>
          </w:p>
          <w:p>
            <w:pPr>
              <w:jc w:val="left"/>
              <w:rPr>
                <w:rFonts w:hint="eastAsia" w:ascii="宋体" w:hAnsi="宋体" w:eastAsia="宋体" w:cs="宋体"/>
                <w:color w:val="auto"/>
                <w:sz w:val="21"/>
                <w:szCs w:val="21"/>
                <w:highlight w:val="none"/>
              </w:rPr>
            </w:pPr>
            <w:r>
              <w:rPr>
                <w:color w:val="auto"/>
                <w:highlight w:val="none"/>
              </w:rPr>
              <w:t xml:space="preserve">服务团队</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rFonts w:hint="eastAsia"/>
                <w:color w:val="auto"/>
                <w:highlight w:val="none"/>
                <w:lang w:val="en-US" w:eastAsia="zh-CN"/>
              </w:rPr>
            </w:pPr>
            <w:r>
              <w:rPr>
                <w:rFonts w:hint="eastAsia"/>
                <w:color w:val="auto"/>
                <w:highlight w:val="none"/>
                <w:lang w:val="en-US" w:eastAsia="zh-CN"/>
              </w:rPr>
            </w:r>
            <w:r/>
          </w:p>
          <w:p>
            <w:pPr>
              <w:jc w:val="left"/>
              <w:rPr>
                <w:rFonts w:hint="eastAsia" w:ascii="宋体" w:hAnsi="宋体" w:eastAsia="宋体" w:cs="宋体"/>
                <w:color w:val="auto"/>
                <w:sz w:val="21"/>
                <w:szCs w:val="21"/>
                <w:highlight w:val="none"/>
              </w:rPr>
            </w:pPr>
            <w:r>
              <w:rPr>
                <w:rFonts w:hint="eastAsia"/>
                <w:color w:val="auto"/>
                <w:highlight w:val="none"/>
                <w:lang w:val="en-US" w:eastAsia="zh-CN"/>
              </w:rPr>
              <w:t xml:space="preserve">10</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jc w:val="left"/>
              <w:rPr>
                <w:rFonts w:hint="eastAsia" w:ascii="宋体" w:hAnsi="宋体" w:eastAsia="宋体" w:cs="宋体"/>
                <w:color w:val="auto"/>
                <w:sz w:val="21"/>
                <w:szCs w:val="21"/>
                <w:highlight w:val="none"/>
              </w:rPr>
            </w:pPr>
            <w:r>
              <w:rPr>
                <w:color w:val="auto"/>
                <w:highlight w:val="none"/>
              </w:rPr>
              <w:t xml:space="preserve">根据</w:t>
            </w:r>
            <w:r>
              <w:rPr>
                <w:rFonts w:hint="eastAsia"/>
                <w:color w:val="auto"/>
                <w:highlight w:val="none"/>
                <w:lang w:eastAsia="zh-CN"/>
              </w:rPr>
              <w:t xml:space="preserve">供应商</w:t>
            </w:r>
            <w:r>
              <w:rPr>
                <w:color w:val="auto"/>
                <w:highlight w:val="none"/>
              </w:rPr>
              <w:t xml:space="preserve">拟选派岗位配备人员情况进行评审： 1.专业人员（不含项目负责人）配备的服务人员中具备护理员证书，每有 1 人得 1 分，最多得 </w:t>
            </w:r>
            <w:r>
              <w:rPr>
                <w:rFonts w:hint="eastAsia"/>
                <w:color w:val="auto"/>
                <w:highlight w:val="none"/>
                <w:lang w:val="en-US" w:eastAsia="zh-CN"/>
              </w:rPr>
              <w:t xml:space="preserve">10</w:t>
            </w:r>
            <w:r>
              <w:rPr>
                <w:color w:val="auto"/>
                <w:highlight w:val="none"/>
              </w:rPr>
              <w:t xml:space="preserve">分。注：（提供相关证书（须原件扫描件），并同时提供投标前6 个月内任意一个月</w:t>
            </w:r>
            <w:r>
              <w:rPr>
                <w:rFonts w:hint="eastAsia"/>
                <w:color w:val="auto"/>
                <w:highlight w:val="none"/>
                <w:lang w:eastAsia="zh-CN"/>
              </w:rPr>
              <w:t xml:space="preserve">供应商</w:t>
            </w:r>
            <w:r>
              <w:rPr>
                <w:color w:val="auto"/>
                <w:highlight w:val="none"/>
              </w:rPr>
              <w:t xml:space="preserve">为其缴纳的社会保险证明，否则不得分）。</w:t>
            </w:r>
            <w:r/>
          </w:p>
        </w:tc>
      </w:tr>
      <w:tr>
        <w:trPr>
          <w:cantSplit/>
        </w:trPr>
        <w:tc>
          <w:tcPr>
            <w:tcBorders>
              <w:left w:val="single" w:color="000000" w:sz="6" w:space="0"/>
              <w:bottom w:val="single" w:color="000000" w:sz="6" w:space="0"/>
              <w:right w:val="single" w:color="000000" w:sz="6" w:space="0"/>
            </w:tcBorders>
            <w:tcW w:w="1197" w:type="dxa"/>
            <w:vAlign w:val="center"/>
            <w:vMerge w:val="continue"/>
            <w:textDirection w:val="lrTb"/>
            <w:noWrap w:val="false"/>
          </w:tcPr>
          <w:p>
            <w:pPr>
              <w:jc w:val="left"/>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jc w:val="left"/>
              <w:rPr>
                <w:color w:val="auto"/>
                <w:highlight w:val="none"/>
              </w:rPr>
            </w:pPr>
            <w:r>
              <w:rPr>
                <w:color w:val="auto"/>
                <w:highlight w:val="none"/>
              </w:rPr>
              <w:t xml:space="preserve">残疾人托养服务专业化程度社会评价</w:t>
            </w:r>
            <w:r/>
          </w:p>
        </w:tc>
        <w:tc>
          <w:tcPr>
            <w:tcBorders>
              <w:top w:val="single" w:color="000000" w:sz="6" w:space="0"/>
              <w:left w:val="single" w:color="000000" w:sz="6" w:space="0"/>
              <w:bottom w:val="single" w:color="000000" w:sz="6" w:space="0"/>
              <w:right w:val="single" w:color="000000" w:sz="6" w:space="0"/>
            </w:tcBorders>
            <w:tcW w:w="1262" w:type="dxa"/>
            <w:vAlign w:val="center"/>
            <w:textDirection w:val="lrTb"/>
            <w:noWrap w:val="false"/>
          </w:tcPr>
          <w:p>
            <w:pPr>
              <w:jc w:val="left"/>
              <w:rPr>
                <w:color w:val="auto"/>
                <w:highlight w:val="none"/>
              </w:rPr>
            </w:pPr>
            <w:r>
              <w:rPr>
                <w:rFonts w:hint="eastAsia"/>
                <w:color w:val="auto"/>
                <w:highlight w:val="none"/>
                <w:lang w:val="en-US" w:eastAsia="zh-CN"/>
              </w:rPr>
              <w:t xml:space="preserve">7</w:t>
            </w:r>
            <w:r>
              <w:rPr>
                <w:color w:val="auto"/>
                <w:highlight w:val="none"/>
              </w:rPr>
              <w:t xml:space="preserve">.00</w:t>
            </w:r>
            <w:r/>
          </w:p>
        </w:tc>
        <w:tc>
          <w:tcPr>
            <w:tcBorders>
              <w:top w:val="single" w:color="000000" w:sz="6" w:space="0"/>
              <w:left w:val="single" w:color="000000" w:sz="6" w:space="0"/>
              <w:bottom w:val="single" w:color="000000" w:sz="6" w:space="0"/>
              <w:right w:val="single" w:color="000000" w:sz="6" w:space="0"/>
            </w:tcBorders>
            <w:tcW w:w="4393" w:type="dxa"/>
            <w:vAlign w:val="center"/>
            <w:textDirection w:val="lrTb"/>
            <w:noWrap w:val="false"/>
          </w:tcPr>
          <w:p>
            <w:pPr>
              <w:numPr>
                <w:ilvl w:val="0"/>
                <w:numId w:val="3"/>
              </w:numPr>
              <w:jc w:val="left"/>
              <w:rPr>
                <w:color w:val="auto"/>
                <w:highlight w:val="none"/>
              </w:rPr>
            </w:pPr>
            <w:r>
              <w:rPr>
                <w:rFonts w:hint="eastAsia"/>
                <w:color w:val="auto"/>
                <w:highlight w:val="none"/>
                <w:lang w:eastAsia="zh-CN"/>
              </w:rPr>
              <w:t xml:space="preserve">供应商</w:t>
            </w:r>
            <w:r>
              <w:rPr>
                <w:color w:val="auto"/>
                <w:highlight w:val="none"/>
              </w:rPr>
              <w:t xml:space="preserve">获得托养（或养老服务）相关项目评价或表彰的，国家级每提供一份得 2 分，省级每提供一份得 1.5 分，市级每提供一份得 1 分，区县级每提供一份得 0.5分； 须上传以上证书及证明原件扫描件，否则不得分。本项最高得 5 分。</w:t>
            </w:r>
            <w:r/>
          </w:p>
          <w:p>
            <w:pPr>
              <w:numPr>
                <w:ilvl w:val="0"/>
                <w:numId w:val="3"/>
              </w:numPr>
              <w:jc w:val="left"/>
              <w:rPr>
                <w:color w:val="auto"/>
                <w:highlight w:val="none"/>
              </w:rPr>
            </w:pPr>
            <w:r>
              <w:rPr>
                <w:rFonts w:hint="eastAsia"/>
                <w:color w:val="auto"/>
                <w:highlight w:val="none"/>
                <w:lang w:eastAsia="zh-CN"/>
              </w:rPr>
              <w:t xml:space="preserve">供应商</w:t>
            </w:r>
            <w:r>
              <w:rPr>
                <w:color w:val="auto"/>
                <w:highlight w:val="none"/>
              </w:rPr>
              <w:t xml:space="preserve">须具备举办养老服务专题培训能力。自行开展培训的，须上传不低于3 名授课专业人员相关证书原件扫描件（</w:t>
            </w:r>
            <w:r>
              <w:rPr>
                <w:rFonts w:hint="eastAsia"/>
                <w:color w:val="auto"/>
                <w:highlight w:val="none"/>
                <w:lang w:val="en-US" w:eastAsia="zh-CN"/>
              </w:rPr>
              <w:t xml:space="preserve">心理咨询师证书、社会工作师证书、健康管理师证书</w:t>
            </w:r>
            <w:r>
              <w:rPr>
                <w:color w:val="auto"/>
                <w:highlight w:val="none"/>
              </w:rPr>
              <w:t xml:space="preserve">），否则不得分；委托合作机构开展培训的，须上传其合作机构曾经承担开展培训的合作协议原件扫描件（要求截止投标前 24 个月前的合作业绩协议），否则不得分。最高得 2 分。注：且须上传该培训机构为其办理的截止投标前 6个月的任意一个月的社会养老保险证明原件扫描件，否则不得分。 </w:t>
            </w:r>
            <w:r/>
          </w:p>
        </w:tc>
      </w:tr>
    </w:tbl>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58"/>
        <w:ind w:firstLine="480"/>
        <w:jc w:val="both"/>
        <w:spacing w:before="0" w:beforeAutospacing="0" w:after="0" w:afterAutospacing="0" w:line="400" w:lineRule="exact"/>
        <w:widowControl w:val="off"/>
        <w:rPr>
          <w:rFonts w:hint="eastAsia" w:eastAsia="宋体"/>
          <w:color w:val="auto"/>
          <w:highlight w:val="none"/>
        </w:rPr>
      </w:pPr>
      <w:r>
        <w:rPr>
          <w:rFonts w:hint="eastAsia" w:eastAsia="宋体"/>
          <w:color w:val="auto"/>
          <w:highlight w:val="none"/>
        </w:rPr>
      </w:r>
      <w:r/>
    </w:p>
    <w:p>
      <w:pPr>
        <w:pStyle w:val="1263"/>
        <w:ind w:firstLine="2209"/>
        <w:spacing w:before="200"/>
        <w:rPr>
          <w:rFonts w:hint="eastAsia" w:ascii="宋体" w:hAnsi="宋体" w:eastAsia="宋体" w:cs="宋体"/>
          <w:b/>
          <w:bCs/>
          <w:color w:val="auto"/>
          <w:sz w:val="44"/>
          <w:highlight w:val="none"/>
        </w:rPr>
      </w:pPr>
      <w:r/>
      <w:bookmarkStart w:id="141" w:name="_Toc28894"/>
      <w:r/>
      <w:bookmarkStart w:id="142" w:name="_Toc18052"/>
      <w:r/>
      <w:r/>
    </w:p>
    <w:p>
      <w:pP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br w:type="page" w:clear="all"/>
      </w:r>
      <w:r/>
    </w:p>
    <w:p>
      <w:pPr>
        <w:pStyle w:val="1263"/>
        <w:jc w:val="center"/>
        <w:spacing w:before="200"/>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第四章  采购需求</w:t>
      </w:r>
      <w:bookmarkEnd w:id="141"/>
      <w:r/>
      <w:bookmarkEnd w:id="142"/>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项目属性：服务类项目</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w:t>
      </w:r>
      <w:r>
        <w:rPr>
          <w:rFonts w:hint="eastAsia" w:ascii="Times New Roman" w:hAnsi="Times New Roman" w:cs="Courier New"/>
          <w:color w:val="auto"/>
          <w:sz w:val="24"/>
          <w:szCs w:val="24"/>
          <w:highlight w:val="none"/>
          <w:u w:val="single"/>
        </w:rPr>
        <w:t xml:space="preserve">租赁和商务服务业</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w:t>
      </w:r>
      <w:r>
        <w:rPr>
          <w:rFonts w:hint="eastAsia" w:ascii="Times New Roman" w:hAnsi="Times New Roman" w:cs="Courier New"/>
          <w:color w:val="auto"/>
          <w:sz w:val="24"/>
          <w:szCs w:val="24"/>
          <w:highlight w:val="none"/>
          <w:u w:val="single"/>
        </w:rPr>
        <w:t xml:space="preserve">不接受</w:t>
      </w:r>
      <w:r>
        <w:rPr>
          <w:rFonts w:hint="eastAsia" w:ascii="Times New Roman" w:hAnsi="Times New Roman" w:cs="Courier New"/>
          <w:color w:val="auto"/>
          <w:sz w:val="24"/>
          <w:szCs w:val="24"/>
          <w:highlight w:val="none"/>
        </w:rPr>
        <w:t xml:space="preserve">进口产品。</w:t>
      </w:r>
      <w:r/>
    </w:p>
    <w:p>
      <w:pPr>
        <w:keepLines w:val="0"/>
        <w:keepNext w:val="0"/>
        <w:pageBreakBefore w:val="0"/>
        <w:spacing w:before="120" w:after="120" w:line="500" w:lineRule="exact"/>
        <w:rPr>
          <w:rFonts w:hint="eastAsia" w:ascii="Times New Roman" w:hAnsi="Times New Roman" w:cs="Courier New"/>
          <w:color w:val="auto"/>
          <w:sz w:val="24"/>
          <w:szCs w:val="24"/>
          <w:highlight w:val="none"/>
        </w:rPr>
      </w:pPr>
      <w:r>
        <w:rPr>
          <w:rFonts w:hint="eastAsia" w:ascii="宋体" w:hAnsi="宋体" w:eastAsia="宋体" w:cs="宋体"/>
          <w:color w:val="auto"/>
          <w:sz w:val="24"/>
          <w:szCs w:val="24"/>
          <w:highlight w:val="none"/>
          <w:lang w:val="en-US" w:eastAsia="zh-CN" w:bidi="ar-SA"/>
        </w:rPr>
        <w:t xml:space="preserve">注：本项目投标报价不参与竞争，各投标人在报价时投标报价均应当填写</w:t>
      </w:r>
      <w:r>
        <w:rPr>
          <w:rFonts w:hint="eastAsia" w:ascii="宋体" w:hAnsi="宋体" w:cs="宋体"/>
          <w:color w:val="auto"/>
          <w:sz w:val="24"/>
          <w:szCs w:val="24"/>
          <w:highlight w:val="none"/>
          <w:lang w:val="en-US" w:eastAsia="zh-CN" w:bidi="ar-SA"/>
        </w:rPr>
        <w:t xml:space="preserve">192</w:t>
      </w:r>
      <w:r>
        <w:rPr>
          <w:rFonts w:hint="eastAsia" w:ascii="宋体" w:hAnsi="宋体" w:eastAsia="宋体" w:cs="宋体"/>
          <w:color w:val="auto"/>
          <w:sz w:val="24"/>
          <w:szCs w:val="24"/>
          <w:highlight w:val="none"/>
          <w:lang w:val="en-US" w:eastAsia="zh-CN" w:bidi="ar-SA"/>
        </w:rPr>
        <w:t xml:space="preserve">万元，否则作无效标处理。</w:t>
      </w:r>
      <w:r/>
    </w:p>
    <w:p>
      <w:pPr>
        <w:keepLines w:val="0"/>
        <w:keepNext w:val="0"/>
        <w:pageBreakBefore w:val="0"/>
        <w:spacing w:line="500" w:lineRule="exact"/>
        <w:rPr>
          <w:rFonts w:hint="eastAsia" w:ascii="宋体" w:hAnsi="Times New Roman"/>
          <w:b/>
          <w:bCs/>
          <w:color w:val="auto"/>
          <w:sz w:val="24"/>
          <w:szCs w:val="24"/>
          <w:highlight w:val="none"/>
        </w:rPr>
      </w:pPr>
      <w:r>
        <w:rPr>
          <w:rFonts w:hint="eastAsia" w:ascii="宋体" w:hAnsi="Times New Roman"/>
          <w:b/>
          <w:bCs/>
          <w:color w:val="auto"/>
          <w:sz w:val="24"/>
          <w:szCs w:val="24"/>
          <w:highlight w:val="none"/>
        </w:rPr>
        <w:t xml:space="preserve">一、项目概况</w:t>
      </w:r>
      <w:r/>
    </w:p>
    <w:p>
      <w:pPr>
        <w:ind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宿城区残疾人联合会残疾人居家托养服务采购项目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是通过政府购买服务，由中标供应商依残联智慧托养线上平台及服务APP，开展居家上门服务，拟计划为</w:t>
      </w:r>
      <w:r>
        <w:rPr>
          <w:rFonts w:hint="eastAsia" w:ascii="宋体" w:hAnsi="宋体" w:cs="宋体"/>
          <w:color w:val="auto"/>
          <w:sz w:val="24"/>
          <w:highlight w:val="none"/>
          <w:lang w:val="en-US" w:eastAsia="zh-CN"/>
        </w:rPr>
        <w:t xml:space="preserve">区域内</w:t>
      </w:r>
      <w:r>
        <w:rPr>
          <w:rFonts w:hint="eastAsia" w:ascii="宋体" w:hAnsi="宋体" w:eastAsia="宋体" w:cs="宋体"/>
          <w:color w:val="auto"/>
          <w:sz w:val="24"/>
          <w:highlight w:val="none"/>
          <w:lang w:val="en-US" w:eastAsia="zh-CN"/>
        </w:rPr>
        <w:t xml:space="preserve">智力、精神和重度肢体残疾人（约</w:t>
      </w:r>
      <w:r>
        <w:rPr>
          <w:rFonts w:hint="eastAsia" w:ascii="宋体" w:hAnsi="宋体" w:cs="宋体"/>
          <w:color w:val="auto"/>
          <w:sz w:val="24"/>
          <w:highlight w:val="none"/>
          <w:lang w:val="en-US" w:eastAsia="zh-CN"/>
        </w:rPr>
        <w:t xml:space="preserve">800</w:t>
      </w:r>
      <w:r>
        <w:rPr>
          <w:rFonts w:hint="eastAsia" w:ascii="宋体" w:hAnsi="宋体" w:eastAsia="宋体" w:cs="宋体"/>
          <w:color w:val="auto"/>
          <w:sz w:val="24"/>
          <w:highlight w:val="none"/>
          <w:lang w:val="en-US" w:eastAsia="zh-CN"/>
        </w:rPr>
        <w:t xml:space="preserve">名，</w:t>
      </w:r>
      <w:r>
        <w:rPr>
          <w:rFonts w:hint="eastAsia" w:ascii="宋体" w:hAnsi="宋体" w:eastAsia="宋体" w:cs="宋体"/>
          <w:color w:val="auto"/>
          <w:sz w:val="24"/>
          <w:highlight w:val="none"/>
          <w:lang w:eastAsia="zh-CN"/>
        </w:rPr>
        <w:t xml:space="preserve">最终结算以实际服务</w:t>
      </w:r>
      <w:r>
        <w:rPr>
          <w:rFonts w:hint="eastAsia" w:ascii="宋体" w:hAnsi="宋体" w:cs="宋体"/>
          <w:color w:val="auto"/>
          <w:sz w:val="24"/>
          <w:highlight w:val="none"/>
          <w:lang w:val="en-US" w:eastAsia="zh-CN"/>
        </w:rPr>
        <w:t xml:space="preserve">人数和服务</w:t>
      </w:r>
      <w:r>
        <w:rPr>
          <w:rFonts w:hint="eastAsia" w:ascii="宋体" w:hAnsi="宋体" w:eastAsia="宋体" w:cs="宋体"/>
          <w:color w:val="auto"/>
          <w:sz w:val="24"/>
          <w:highlight w:val="none"/>
          <w:lang w:eastAsia="zh-CN"/>
        </w:rPr>
        <w:t xml:space="preserve">项目次数为准</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lang w:eastAsia="zh-CN"/>
        </w:rPr>
        <w:t xml:space="preserve">生活护理、康复保健、精神慰藉、助洁助餐、助浴助行、助医等</w:t>
      </w:r>
      <w:r>
        <w:rPr>
          <w:rFonts w:hint="eastAsia" w:ascii="宋体" w:hAnsi="宋体" w:eastAsia="宋体" w:cs="宋体"/>
          <w:color w:val="auto"/>
          <w:sz w:val="24"/>
          <w:highlight w:val="none"/>
          <w:lang w:val="en-US" w:eastAsia="zh-CN"/>
        </w:rPr>
        <w:t xml:space="preserve">居家照护服务。</w:t>
      </w:r>
      <w:r/>
    </w:p>
    <w:p>
      <w:pPr>
        <w:jc w:val="left"/>
        <w:keepLines w:val="0"/>
        <w:keepNext w:val="0"/>
        <w:pageBreakBefore w:val="0"/>
        <w:spacing w:line="500" w:lineRule="exact"/>
        <w:rPr>
          <w:rFonts w:hint="eastAsia" w:ascii="宋体"/>
          <w:b/>
          <w:color w:val="auto"/>
          <w:sz w:val="24"/>
          <w:szCs w:val="24"/>
          <w:highlight w:val="none"/>
        </w:rPr>
      </w:pPr>
      <w:r>
        <w:rPr>
          <w:rFonts w:hint="eastAsia" w:ascii="宋体"/>
          <w:b/>
          <w:color w:val="auto"/>
          <w:sz w:val="24"/>
          <w:szCs w:val="24"/>
          <w:highlight w:val="none"/>
        </w:rPr>
        <w:t xml:space="preserve">二、付款方式：</w:t>
      </w:r>
      <w:r/>
    </w:p>
    <w:p>
      <w:pPr>
        <w:ind w:firstLine="368"/>
        <w:keepLines w:val="0"/>
        <w:keepNext w:val="0"/>
        <w:pageBreakBefore w:val="0"/>
        <w:spacing w:line="500" w:lineRule="exact"/>
        <w:rPr>
          <w:rFonts w:hint="eastAsia" w:ascii="宋体" w:hAnsi="宋体" w:eastAsia="宋体" w:cs="宋体"/>
          <w:color w:val="auto"/>
          <w:sz w:val="24"/>
          <w:highlight w:val="none"/>
          <w:lang w:eastAsia="zh-CN"/>
        </w:rPr>
      </w:pPr>
      <w:r/>
      <w:bookmarkStart w:id="143" w:name="_Hlk160797683"/>
      <w:r>
        <w:rPr>
          <w:rFonts w:ascii="宋体" w:hAnsi="宋体"/>
          <w:color w:val="auto"/>
          <w:spacing w:val="-13"/>
          <w:sz w:val="21"/>
          <w:szCs w:val="21"/>
          <w:highlight w:val="none"/>
        </w:rPr>
        <w:t xml:space="preserve"> </w:t>
      </w:r>
      <w:r>
        <w:rPr>
          <w:rFonts w:hint="eastAsia" w:ascii="宋体" w:hAnsi="宋体" w:eastAsia="宋体" w:cs="宋体"/>
          <w:color w:val="auto"/>
          <w:sz w:val="24"/>
          <w:highlight w:val="none"/>
          <w:lang w:eastAsia="zh-CN"/>
        </w:rPr>
        <w:t xml:space="preserve">合同签订后，且在收到供应商发票后15日内，支付合同价款10%的预付款；根据项目进度每半年付款一次 ，且收到供应商发票后15日内，根据考核验收结果据实支付服务费用。</w:t>
      </w:r>
      <w:r/>
    </w:p>
    <w:p>
      <w:pPr>
        <w:ind w:firstLine="480"/>
        <w:keepLines w:val="0"/>
        <w:keepNext w:val="0"/>
        <w:pageBreakBefore w:val="0"/>
        <w:spacing w:line="50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（注：在签订合同时，供应商明确表示无需预付款或者主动要求降低预付款比例的，采购人可不适用前述规定）</w:t>
      </w:r>
      <w:bookmarkEnd w:id="143"/>
      <w:r/>
      <w:r/>
    </w:p>
    <w:p>
      <w:pPr>
        <w:pStyle w:val="813"/>
        <w:ind w:firstLine="482"/>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结算方式：每月200元/人，</w:t>
      </w:r>
      <w:r>
        <w:rPr>
          <w:rFonts w:ascii="宋体" w:hAnsi="宋体" w:eastAsia="宋体"/>
          <w:b w:val="0"/>
          <w:bCs/>
          <w:color w:val="auto"/>
          <w:sz w:val="24"/>
          <w:szCs w:val="24"/>
          <w:highlight w:val="none"/>
        </w:rPr>
        <w:t xml:space="preserve">每月服务次数不少于3次，</w:t>
      </w:r>
      <w:r>
        <w:rPr>
          <w:rFonts w:hint="eastAsia" w:ascii="宋体" w:hAnsi="宋体" w:eastAsia="宋体"/>
          <w:b w:val="0"/>
          <w:bCs/>
          <w:color w:val="auto"/>
          <w:sz w:val="24"/>
          <w:szCs w:val="24"/>
          <w:highlight w:val="none"/>
          <w:lang w:val="en-US" w:eastAsia="zh-CN"/>
        </w:rPr>
        <w:t xml:space="preserve">未达到3次的按照</w:t>
      </w:r>
      <w:r>
        <w:rPr>
          <w:rFonts w:hint="eastAsia" w:ascii="宋体" w:hAnsi="宋体" w:eastAsia="宋体" w:cs="宋体"/>
          <w:b w:val="0"/>
          <w:bCs/>
          <w:color w:val="auto"/>
          <w:sz w:val="24"/>
          <w:szCs w:val="22"/>
          <w:highlight w:val="none"/>
          <w:lang w:val="en-US" w:eastAsia="zh-CN" w:bidi="ar-SA"/>
        </w:rPr>
        <w:t xml:space="preserve">每月200元/人的三分一*次数结算</w:t>
      </w:r>
      <w:r>
        <w:rPr>
          <w:rFonts w:hint="eastAsia" w:ascii="宋体" w:hAnsi="宋体"/>
          <w:b w:val="0"/>
          <w:bCs/>
          <w:color w:val="auto"/>
          <w:sz w:val="24"/>
          <w:szCs w:val="24"/>
          <w:highlight w:val="none"/>
        </w:rPr>
        <w:t xml:space="preserve">。</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注：1、原则上：每人每月服务次数不少于3次，每次不低于1小时，累计每月每人总体服务时长不低于3小时。</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2、</w:t>
      </w:r>
      <w:r>
        <w:rPr>
          <w:rFonts w:hint="eastAsia" w:ascii="宋体" w:hAnsi="宋体" w:eastAsia="宋体" w:cs="宋体"/>
          <w:color w:val="auto"/>
          <w:sz w:val="24"/>
          <w:highlight w:val="none"/>
          <w:lang w:val="en-US" w:eastAsia="zh-CN"/>
        </w:rPr>
        <w:t xml:space="preserve">约</w:t>
      </w:r>
      <w:r>
        <w:rPr>
          <w:rFonts w:hint="eastAsia" w:ascii="宋体" w:hAnsi="宋体" w:cs="宋体"/>
          <w:color w:val="auto"/>
          <w:sz w:val="24"/>
          <w:highlight w:val="none"/>
          <w:lang w:val="en-US" w:eastAsia="zh-CN"/>
        </w:rPr>
        <w:t xml:space="preserve">800人</w:t>
      </w:r>
      <w:r>
        <w:rPr>
          <w:rFonts w:hint="eastAsia" w:ascii="宋体" w:hAnsi="宋体" w:eastAsia="宋体" w:cs="宋体"/>
          <w:color w:val="auto"/>
          <w:spacing w:val="-1"/>
          <w:sz w:val="24"/>
          <w:szCs w:val="24"/>
          <w:highlight w:val="none"/>
          <w:lang w:val="en-US" w:eastAsia="zh-CN"/>
        </w:rPr>
        <w:t xml:space="preserve">，最终结算以实际人数、服务项目次数和服务内容为准。</w:t>
      </w:r>
      <w:r/>
    </w:p>
    <w:p>
      <w:pPr>
        <w:ind w:left="0" w:right="0" w:firstLine="476"/>
        <w:keepLines w:val="0"/>
        <w:keepNext w:val="0"/>
        <w:pageBreakBefore w:val="0"/>
        <w:spacing w:line="480" w:lineRule="exact"/>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3、服务内容可由服务对象结合自身实际需求自行选择具体服务项目，供应商按照服务对象需求提供具体服务。</w:t>
      </w:r>
      <w:r/>
    </w:p>
    <w:p>
      <w:pPr>
        <w:pStyle w:val="813"/>
        <w:ind w:firstLine="482"/>
        <w:keepLines w:val="0"/>
        <w:keepNext w:val="0"/>
        <w:pageBreakBefore w:val="0"/>
        <w:spacing w:line="500" w:lineRule="exact"/>
        <w:widowControl/>
        <w:rPr>
          <w:rFonts w:hint="eastAsia" w:ascii="宋体" w:hAnsi="宋体" w:eastAsia="宋体" w:cs="宋体"/>
          <w:b w:val="0"/>
          <w:color w:val="auto"/>
          <w:spacing w:val="-1"/>
          <w:sz w:val="24"/>
          <w:szCs w:val="24"/>
          <w:highlight w:val="none"/>
          <w:lang w:val="en-US" w:eastAsia="zh-CN"/>
        </w:rPr>
      </w:pPr>
      <w:r>
        <w:rPr>
          <w:rFonts w:hint="eastAsia" w:ascii="宋体" w:hAnsi="宋体" w:eastAsia="宋体" w:cs="宋体"/>
          <w:b w:val="0"/>
          <w:color w:val="auto"/>
          <w:spacing w:val="-1"/>
          <w:sz w:val="24"/>
          <w:szCs w:val="24"/>
          <w:highlight w:val="none"/>
          <w:lang w:val="en-US" w:eastAsia="zh-CN"/>
        </w:rPr>
        <w:t xml:space="preserve">4.供应商结合实际，自行考虑综合报价，风险自行承担。服务项目涵盖所有清单内项目。投标供应商的报价不得超出总限价，否则，作为无效标处理。</w:t>
      </w:r>
      <w:r/>
    </w:p>
    <w:p>
      <w:pPr>
        <w:keepLines w:val="0"/>
        <w:keepNext w:val="0"/>
        <w:pageBreakBefore w:val="0"/>
        <w:spacing w:line="500" w:lineRule="exact"/>
        <w:rPr>
          <w:rFonts w:hint="eastAsia" w:ascii="宋体" w:hAnsi="宋体"/>
          <w:color w:val="auto"/>
          <w:sz w:val="24"/>
          <w:szCs w:val="24"/>
          <w:highlight w:val="none"/>
        </w:rPr>
      </w:pPr>
      <w:r>
        <w:rPr>
          <w:rFonts w:ascii="Times New Roman" w:hAnsi="Times New Roman"/>
          <w:color w:val="auto"/>
          <w:highlight w:val="none"/>
        </w:rPr>
        <w:t xml:space="preserve">★</w:t>
      </w:r>
      <w:r>
        <w:rPr>
          <w:rFonts w:hint="eastAsia" w:ascii="宋体"/>
          <w:b/>
          <w:color w:val="auto"/>
          <w:sz w:val="24"/>
          <w:szCs w:val="24"/>
          <w:highlight w:val="none"/>
        </w:rPr>
        <w:t xml:space="preserve">三、服务内容</w:t>
      </w:r>
      <w:r/>
    </w:p>
    <w:p>
      <w:pPr>
        <w:pStyle w:val="1082"/>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（一）项目清单及服务内容和要求（见附件）</w:t>
      </w:r>
      <w:r/>
    </w:p>
    <w:p>
      <w:pPr>
        <w:pStyle w:val="1082"/>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（二）质量要求</w:t>
      </w:r>
      <w:r/>
    </w:p>
    <w:p>
      <w:pPr>
        <w:pStyle w:val="813"/>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1、供应商根据服务对象实际需求，安排服务人员进入家庭，为其提供服务（包括：保洁、助餐、助浴、助行、代购、助医、助乐、助学、助业、维修等服务），其服务须满足服务对象需求及清单对应要求。</w:t>
      </w:r>
      <w:r/>
    </w:p>
    <w:p>
      <w:pPr>
        <w:pStyle w:val="813"/>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根据市、区相关文件要求确定服务项目明细清单（详见附件 ），由服务对象根据实际需求进行“点单”，乙方安排服务人员提供具体服务，服务人员必须具备所提供服务的相关资质。</w:t>
      </w:r>
      <w:r/>
    </w:p>
    <w:p>
      <w:pPr>
        <w:jc w:val="both"/>
        <w:spacing w:line="460" w:lineRule="exact"/>
        <w:widowControl w:val="off"/>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2、残疾人居家托养</w:t>
      </w:r>
      <w:r>
        <w:rPr>
          <w:rFonts w:hint="eastAsia" w:ascii="宋体" w:hAnsi="宋体" w:cs="宋体"/>
          <w:b w:val="0"/>
          <w:bCs/>
          <w:color w:val="auto"/>
          <w:sz w:val="24"/>
          <w:szCs w:val="22"/>
          <w:highlight w:val="none"/>
          <w:lang w:val="en-US" w:eastAsia="zh-CN" w:bidi="ar-SA"/>
        </w:rPr>
        <w:t xml:space="preserve">智慧</w:t>
      </w:r>
      <w:r>
        <w:rPr>
          <w:rFonts w:hint="eastAsia" w:ascii="宋体" w:hAnsi="宋体" w:eastAsia="宋体" w:cs="宋体"/>
          <w:b w:val="0"/>
          <w:bCs/>
          <w:color w:val="auto"/>
          <w:sz w:val="24"/>
          <w:szCs w:val="22"/>
          <w:highlight w:val="none"/>
          <w:lang w:val="en-US" w:eastAsia="zh-CN" w:bidi="ar-SA"/>
        </w:rPr>
        <w:t xml:space="preserve">平台</w:t>
      </w:r>
      <w:r>
        <w:rPr>
          <w:rFonts w:hint="eastAsia" w:ascii="宋体" w:hAnsi="宋体" w:cs="宋体"/>
          <w:b w:val="0"/>
          <w:bCs/>
          <w:color w:val="auto"/>
          <w:sz w:val="24"/>
          <w:szCs w:val="22"/>
          <w:highlight w:val="none"/>
          <w:lang w:val="en-US" w:eastAsia="zh-CN" w:bidi="ar-SA"/>
        </w:rPr>
        <w:t xml:space="preserve">使用</w:t>
      </w:r>
      <w:r>
        <w:rPr>
          <w:rFonts w:hint="eastAsia" w:ascii="宋体" w:hAnsi="宋体" w:eastAsia="宋体" w:cs="宋体"/>
          <w:b w:val="0"/>
          <w:bCs/>
          <w:color w:val="auto"/>
          <w:sz w:val="24"/>
          <w:szCs w:val="22"/>
          <w:highlight w:val="none"/>
          <w:lang w:val="en-US" w:eastAsia="zh-CN" w:bidi="ar-SA"/>
        </w:rPr>
        <w:t xml:space="preserve">：（1）托养服务过程中供应商应无条件使用宿迁市残疾人智慧托养平台，按系统要求及时录入各项信息。（2）供应商应及时跟踪回访完成服务工单，对每日产生的工单进行及时检查，每次服务均有水印照片等满意度监督检查数据，全程跟踪了解服务情况并积极处理发现问题。</w:t>
      </w:r>
      <w:r/>
    </w:p>
    <w:p>
      <w:pPr>
        <w:pStyle w:val="813"/>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3、供应商服务全程建立残疾人居家托养康复服务档案，内容包括：居家托养服务申请审批表、评估表、服务协议书等资料。</w:t>
      </w:r>
      <w:r/>
    </w:p>
    <w:p>
      <w:pPr>
        <w:pStyle w:val="813"/>
        <w:keepLines w:val="0"/>
        <w:keepNext w:val="0"/>
        <w:pageBreakBefore w:val="0"/>
        <w:spacing w:line="500" w:lineRule="exact"/>
        <w:widowControl/>
        <w:rPr>
          <w:rFonts w:hint="eastAsia" w:ascii="宋体" w:hAnsi="宋体" w:eastAsia="宋体" w:cs="宋体"/>
          <w:b w:val="0"/>
          <w:bCs/>
          <w:color w:val="auto"/>
          <w:sz w:val="24"/>
          <w:szCs w:val="22"/>
          <w:highlight w:val="none"/>
          <w:lang w:val="en-US" w:eastAsia="zh-CN" w:bidi="ar-SA"/>
        </w:rPr>
      </w:pPr>
      <w:r>
        <w:rPr>
          <w:rFonts w:hint="eastAsia" w:ascii="宋体" w:hAnsi="宋体" w:eastAsia="宋体" w:cs="宋体"/>
          <w:b w:val="0"/>
          <w:bCs/>
          <w:color w:val="auto"/>
          <w:sz w:val="24"/>
          <w:szCs w:val="22"/>
          <w:highlight w:val="none"/>
          <w:lang w:val="en-US" w:eastAsia="zh-CN" w:bidi="ar-SA"/>
        </w:rPr>
        <w:t xml:space="preserve">4、安全：服务过程期间，供应商须安排并告知残疾人其家属或其他监护人自行负责其残疾人安全保障及责任。服务过程中，注意观察残疾人身体情况，如遇残疾人身体不适，协助残疾人家属或其他监护人采取相应应急措施。</w:t>
      </w:r>
      <w:r/>
    </w:p>
    <w:p>
      <w:pPr>
        <w:pStyle w:val="1082"/>
        <w:numPr>
          <w:ilvl w:val="0"/>
          <w:numId w:val="4"/>
        </w:numPr>
        <w:ind w:firstLine="422"/>
        <w:keepLines w:val="0"/>
        <w:keepNext w:val="0"/>
        <w:pageBreakBefore w:val="0"/>
        <w:spacing w:line="500" w:lineRule="exact"/>
        <w:rPr>
          <w:rFonts w:ascii="宋体" w:hAnsi="宋体"/>
          <w:b/>
          <w:bCs/>
          <w:color w:val="auto"/>
          <w:sz w:val="21"/>
          <w:highlight w:val="none"/>
        </w:rPr>
      </w:pPr>
      <w:r>
        <w:rPr>
          <w:rFonts w:ascii="宋体" w:hAnsi="宋体"/>
          <w:b/>
          <w:bCs/>
          <w:color w:val="auto"/>
          <w:sz w:val="21"/>
          <w:highlight w:val="none"/>
        </w:rPr>
        <w:t xml:space="preserve">考评</w:t>
      </w:r>
      <w:r/>
    </w:p>
    <w:p>
      <w:pPr>
        <w:pStyle w:val="813"/>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结合项目实施实际，逐步健全完善考评办法。</w:t>
      </w:r>
      <w:r/>
    </w:p>
    <w:p>
      <w:pPr>
        <w:pStyle w:val="813"/>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附件：项目清单及服务内容和要求</w:t>
      </w:r>
      <w:r/>
    </w:p>
    <w:p>
      <w:pPr>
        <w:pStyle w:val="813"/>
        <w:ind w:firstLine="1205"/>
        <w:keepLines w:val="0"/>
        <w:keepNext w:val="0"/>
        <w:pageBreakBefore w:val="0"/>
        <w:spacing w:line="500" w:lineRule="exact"/>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（宿迁市宿城区残疾人联合会居家托养服务项目清单）</w:t>
      </w:r>
      <w:r/>
    </w:p>
    <w:p>
      <w:pPr>
        <w:rPr>
          <w:color w:val="auto"/>
          <w:highlight w:val="none"/>
        </w:rPr>
      </w:pPr>
      <w:r>
        <w:rPr>
          <w:rFonts w:hint="eastAsia"/>
          <w:color w:val="auto"/>
          <w:sz w:val="20"/>
          <w:highlight w:val="none"/>
        </w:rPr>
        <w:t xml:space="preserve"> </w:t>
      </w:r>
      <w:r/>
    </w:p>
    <w:tbl>
      <w:tblPr>
        <w:tblStyle w:val="810"/>
        <w:tblW w:w="91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680"/>
        <w:gridCol w:w="783"/>
        <w:gridCol w:w="6161"/>
        <w:gridCol w:w="522"/>
        <w:gridCol w:w="454"/>
      </w:tblGrid>
      <w:tr>
        <w:trPr>
          <w:trHeight w:val="655"/>
        </w:trPr>
        <w:tc>
          <w:tcPr>
            <w:tcW w:w="596"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序号</w:t>
            </w:r>
            <w:r/>
          </w:p>
        </w:tc>
        <w:tc>
          <w:tcPr>
            <w:tcW w:w="680"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类别</w:t>
            </w:r>
            <w:r/>
          </w:p>
        </w:tc>
        <w:tc>
          <w:tcPr>
            <w:tcW w:w="783"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服务名称</w:t>
            </w:r>
            <w:r/>
          </w:p>
        </w:tc>
        <w:tc>
          <w:tcPr>
            <w:tcW w:w="6161"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服务内容</w:t>
            </w:r>
            <w:r/>
          </w:p>
        </w:tc>
        <w:tc>
          <w:tcPr>
            <w:tcW w:w="522"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w:t>
            </w:r>
            <w:r/>
          </w:p>
          <w:p>
            <w:pPr>
              <w:pStyle w:val="949"/>
              <w:jc w:val="center"/>
              <w:rPr>
                <w:rFonts w:ascii="Times New Roman" w:hAnsi="Times New Roman"/>
                <w:b/>
                <w:color w:val="auto"/>
                <w:highlight w:val="none"/>
              </w:rPr>
            </w:pPr>
            <w:r>
              <w:rPr>
                <w:rFonts w:ascii="Times New Roman" w:hAnsi="Times New Roman"/>
                <w:b/>
                <w:color w:val="auto"/>
                <w:highlight w:val="none"/>
              </w:rPr>
              <w:t xml:space="preserve">时间</w:t>
            </w:r>
            <w:r/>
          </w:p>
        </w:tc>
        <w:tc>
          <w:tcPr>
            <w:tcW w:w="454"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单位</w:t>
            </w:r>
            <w:r/>
          </w:p>
        </w:tc>
      </w:tr>
      <w:tr>
        <w:trPr>
          <w:trHeight w:val="503"/>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680" w:type="dxa"/>
            <w:vAlign w:val="center"/>
            <w:vMerge w:val="restart"/>
            <w:textDirection w:val="lrTb"/>
            <w:noWrap w:val="false"/>
          </w:tcPr>
          <w:p>
            <w:pPr>
              <w:pStyle w:val="949"/>
              <w:jc w:val="center"/>
              <w:spacing w:line="400" w:lineRule="exact"/>
              <w:rPr>
                <w:rFonts w:ascii="Times New Roman" w:hAnsi="Times New Roman"/>
                <w:color w:val="auto"/>
                <w:highlight w:val="none"/>
              </w:rPr>
            </w:pPr>
            <w:r>
              <w:rPr>
                <w:rFonts w:ascii="Times New Roman" w:hAnsi="Times New Roman"/>
                <w:color w:val="auto"/>
                <w:highlight w:val="none"/>
              </w:rPr>
              <w:t xml:space="preserve">基础类服务</w:t>
            </w:r>
            <w:r/>
          </w:p>
          <w:p>
            <w:pPr>
              <w:pStyle w:val="949"/>
              <w:jc w:val="center"/>
              <w:spacing w:line="400" w:lineRule="exact"/>
              <w:rPr>
                <w:rFonts w:ascii="Times New Roman" w:hAnsi="Times New Roman"/>
                <w:color w:val="auto"/>
                <w:highlight w:val="none"/>
              </w:rPr>
            </w:pPr>
            <w:r>
              <w:rPr>
                <w:rFonts w:ascii="Times New Roman" w:hAnsi="Times New Roman"/>
                <w:color w:val="auto"/>
                <w:highlight w:val="none"/>
              </w:rPr>
              <w:t xml:space="preserve">（提供个性一类服务时，必服务项）</w:t>
            </w:r>
            <w:r/>
          </w:p>
        </w:tc>
        <w:tc>
          <w:tcPr>
            <w:tcW w:w="783"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健康体检</w:t>
            </w:r>
            <w:r/>
          </w:p>
        </w:tc>
        <w:tc>
          <w:tcPr>
            <w:tcW w:w="6161" w:type="dxa"/>
            <w:vAlign w:val="center"/>
            <w:textDirection w:val="lrTb"/>
            <w:noWrap w:val="false"/>
          </w:tcPr>
          <w:p>
            <w:pPr>
              <w:pStyle w:val="949"/>
              <w:jc w:val="left"/>
              <w:spacing w:line="300" w:lineRule="exact"/>
              <w:rPr>
                <w:rFonts w:ascii="Times New Roman" w:hAnsi="Times New Roman"/>
                <w:color w:val="auto"/>
                <w:sz w:val="24"/>
                <w:szCs w:val="24"/>
                <w:highlight w:val="none"/>
              </w:rPr>
            </w:pPr>
            <w:r>
              <w:rPr>
                <w:rFonts w:ascii="Times New Roman" w:hAnsi="Times New Roman"/>
                <w:color w:val="auto"/>
                <w:highlight w:val="none"/>
              </w:rPr>
              <w:t xml:space="preserve">为残疾人进行基本体检服务，比如血压、血糖、心率。</w:t>
            </w:r>
            <w:r/>
          </w:p>
        </w:tc>
        <w:tc>
          <w:tcPr>
            <w:tcW w:w="522" w:type="dxa"/>
            <w:vAlign w:val="center"/>
            <w:vMerge w:val="restart"/>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vMerge w:val="restart"/>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680" w:type="dxa"/>
            <w:vAlign w:val="center"/>
            <w:vMerge w:val="continue"/>
            <w:textDirection w:val="lrTb"/>
            <w:noWrap w:val="false"/>
          </w:tcPr>
          <w:p>
            <w:pPr>
              <w:pStyle w:val="949"/>
              <w:jc w:val="center"/>
              <w:spacing w:line="40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助学服务</w:t>
            </w:r>
            <w:r/>
          </w:p>
        </w:tc>
        <w:tc>
          <w:tcPr>
            <w:tcW w:w="6161" w:type="dxa"/>
            <w:vAlign w:val="center"/>
            <w:textDirection w:val="lrTb"/>
            <w:noWrap w:val="false"/>
          </w:tcPr>
          <w:p>
            <w:pPr>
              <w:pStyle w:val="949"/>
              <w:spacing w:line="340" w:lineRule="exact"/>
              <w:rPr>
                <w:rFonts w:ascii="Times New Roman" w:hAnsi="Times New Roman"/>
                <w:color w:val="auto"/>
                <w:highlight w:val="none"/>
              </w:rPr>
            </w:pPr>
            <w:r>
              <w:rPr>
                <w:rFonts w:ascii="Times New Roman" w:hAnsi="Times New Roman"/>
                <w:color w:val="auto"/>
                <w:highlight w:val="none"/>
              </w:rPr>
              <w:t xml:space="preserve">开展与残疾人日常生活、劳动、健康等相关的各种知识宣讲等，向残疾人宣讲国家重大政策，提高残疾人了解和适应社会能力。</w:t>
            </w:r>
            <w:r/>
          </w:p>
        </w:tc>
        <w:tc>
          <w:tcPr>
            <w:tcW w:w="522" w:type="dxa"/>
            <w:vAlign w:val="center"/>
            <w:vMerge w:val="continue"/>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r>
            <w:r/>
          </w:p>
        </w:tc>
        <w:tc>
          <w:tcPr>
            <w:tcW w:w="454" w:type="dxa"/>
            <w:vAlign w:val="center"/>
            <w:vMerge w:val="continue"/>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r>
            <w:r/>
          </w:p>
        </w:tc>
      </w:tr>
      <w:tr>
        <w:trPr>
          <w:trHeight w:val="709"/>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680" w:type="dxa"/>
            <w:vAlign w:val="center"/>
            <w:vMerge w:val="continue"/>
            <w:textDirection w:val="lrTb"/>
            <w:noWrap w:val="false"/>
          </w:tcPr>
          <w:p>
            <w:pPr>
              <w:pStyle w:val="949"/>
              <w:jc w:val="center"/>
              <w:spacing w:line="40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精神慰藉</w:t>
            </w:r>
            <w:r/>
          </w:p>
        </w:tc>
        <w:tc>
          <w:tcPr>
            <w:tcW w:w="6161" w:type="dxa"/>
            <w:vAlign w:val="center"/>
            <w:textDirection w:val="lrTb"/>
            <w:noWrap w:val="false"/>
          </w:tcPr>
          <w:p>
            <w:pPr>
              <w:pStyle w:val="949"/>
              <w:jc w:val="left"/>
              <w:spacing w:line="340" w:lineRule="exact"/>
              <w:rPr>
                <w:rFonts w:ascii="Times New Roman" w:hAnsi="Times New Roman"/>
                <w:color w:val="auto"/>
                <w:highlight w:val="none"/>
              </w:rPr>
            </w:pPr>
            <w:r>
              <w:rPr>
                <w:rFonts w:ascii="Times New Roman" w:hAnsi="Times New Roman"/>
                <w:color w:val="auto"/>
                <w:highlight w:val="none"/>
              </w:rPr>
              <w:t xml:space="preserve">为残疾人提供心理疏导和心理健康服务，与残疾人保持良性互动，调节其心理状态，促进服务对象的心理健康。</w:t>
            </w:r>
            <w:r/>
          </w:p>
        </w:tc>
        <w:tc>
          <w:tcPr>
            <w:tcW w:w="522" w:type="dxa"/>
            <w:vAlign w:val="center"/>
            <w:vMerge w:val="continue"/>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r>
            <w:r/>
          </w:p>
        </w:tc>
        <w:tc>
          <w:tcPr>
            <w:tcW w:w="454" w:type="dxa"/>
            <w:vAlign w:val="center"/>
            <w:vMerge w:val="continue"/>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r>
            <w:r/>
          </w:p>
        </w:tc>
      </w:tr>
      <w:tr>
        <w:trPr>
          <w:trHeight w:val="503"/>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680" w:type="dxa"/>
            <w:vAlign w:val="center"/>
            <w:vMerge w:val="restart"/>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个性一类服务</w:t>
            </w:r>
            <w:r/>
          </w:p>
        </w:tc>
        <w:tc>
          <w:tcPr>
            <w:tcW w:w="783" w:type="dxa"/>
            <w:vAlign w:val="center"/>
            <w:vMerge w:val="restart"/>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保洁服务</w:t>
            </w:r>
            <w:r/>
          </w:p>
        </w:tc>
        <w:tc>
          <w:tcPr>
            <w:tcW w:w="6161" w:type="dxa"/>
            <w:vAlign w:val="center"/>
            <w:textDirection w:val="lrTb"/>
            <w:noWrap w:val="false"/>
          </w:tcPr>
          <w:p>
            <w:pPr>
              <w:pStyle w:val="949"/>
              <w:rPr>
                <w:rFonts w:ascii="Times New Roman" w:hAnsi="Times New Roman"/>
                <w:color w:val="auto"/>
                <w:highlight w:val="none"/>
              </w:rPr>
            </w:pPr>
            <w:r>
              <w:rPr>
                <w:rFonts w:ascii="Times New Roman" w:hAnsi="Times New Roman"/>
                <w:color w:val="auto"/>
                <w:highlight w:val="none"/>
              </w:rPr>
              <w:t xml:space="preserve">个人卫生应协助到位，容貌整洁、衣着适度，洗发理发、指（趾）甲整洁、无异味等。</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03"/>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帮助残疾人打扫卫生，保持厨房、卫生间、服务对象本人卧室等居室内部整洁，物具清洁。</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03"/>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送餐服务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根据服务对象需求按食谱配送餐。</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助行服务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陪同残疾人散心、散步（一般在残疾人住宅小区内），应注意途中安全，并按要求使用助行器。</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安检服务</w:t>
            </w:r>
            <w:r/>
          </w:p>
        </w:tc>
        <w:tc>
          <w:tcPr>
            <w:tcW w:w="6161" w:type="dxa"/>
            <w:vAlign w:val="center"/>
            <w:textDirection w:val="lrTb"/>
            <w:noWrap w:val="false"/>
          </w:tcPr>
          <w:p>
            <w:pPr>
              <w:pStyle w:val="949"/>
              <w:spacing w:line="340" w:lineRule="exact"/>
              <w:rPr>
                <w:rFonts w:ascii="Times New Roman" w:hAnsi="Times New Roman"/>
                <w:color w:val="auto"/>
                <w:highlight w:val="none"/>
              </w:rPr>
            </w:pPr>
            <w:r>
              <w:rPr>
                <w:rFonts w:ascii="Times New Roman" w:hAnsi="Times New Roman"/>
                <w:color w:val="auto"/>
                <w:highlight w:val="none"/>
              </w:rPr>
              <w:t xml:space="preserve">帮助残疾人检查居住环境安全，包括电器、燃气具等，并代残疾人就发现的安全隐患及时保修，必要时协助联系专业人士上门修理。</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09"/>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一般代办</w:t>
            </w:r>
            <w:r/>
          </w:p>
        </w:tc>
        <w:tc>
          <w:tcPr>
            <w:tcW w:w="6161" w:type="dxa"/>
            <w:vAlign w:val="center"/>
            <w:textDirection w:val="lrTb"/>
            <w:noWrap w:val="false"/>
          </w:tcPr>
          <w:p>
            <w:pPr>
              <w:pStyle w:val="949"/>
              <w:spacing w:line="340" w:lineRule="exact"/>
              <w:rPr>
                <w:rFonts w:ascii="Times New Roman" w:hAnsi="Times New Roman"/>
                <w:color w:val="auto"/>
                <w:highlight w:val="none"/>
              </w:rPr>
            </w:pPr>
            <w:r>
              <w:rPr>
                <w:rFonts w:ascii="Times New Roman" w:hAnsi="Times New Roman"/>
                <w:color w:val="auto"/>
                <w:highlight w:val="none"/>
              </w:rPr>
              <w:t xml:space="preserve">代办一般的日常生活事务，如到临近商店、超市购买服务对象指定物品，到镇、街道大厅代领证件等。应当面清点物品、单据、证件。</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10</w:t>
            </w:r>
            <w:r/>
          </w:p>
        </w:tc>
        <w:tc>
          <w:tcPr>
            <w:tcW w:w="680" w:type="dxa"/>
            <w:vAlign w:val="center"/>
            <w:vMerge w:val="continue"/>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维修服务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为残疾人维修水电等家用设备器材，维修后无安全隐患，能正常使用。</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59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11</w:t>
            </w:r>
            <w:r/>
          </w:p>
        </w:tc>
        <w:tc>
          <w:tcPr>
            <w:tcW w:w="680"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康复服务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根据残疾人的需求，引导帮助残疾人正确使用康复保健器材，为残疾人提供康复保健服务。</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50"/>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680" w:type="dxa"/>
            <w:vAlign w:val="center"/>
            <w:vMerge w:val="continue"/>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r>
            <w:r/>
          </w:p>
        </w:tc>
        <w:tc>
          <w:tcPr>
            <w:tcW w:w="783"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洗涤服务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定期翻晒、更换床上用品，保持床铺清洁、平整。并为残疾人洗涤衣服和被褥，洗涤时应分类，并做到洗净、晾晒。</w:t>
            </w:r>
            <w:r/>
          </w:p>
        </w:tc>
        <w:tc>
          <w:tcPr>
            <w:tcW w:w="522"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30</w:t>
            </w:r>
            <w:r/>
          </w:p>
        </w:tc>
        <w:tc>
          <w:tcPr>
            <w:tcW w:w="454" w:type="dxa"/>
            <w:vAlign w:val="center"/>
            <w:textDirection w:val="lrTb"/>
            <w:noWrap w:val="false"/>
          </w:tcPr>
          <w:p>
            <w:pPr>
              <w:pStyle w:val="949"/>
              <w:jc w:val="center"/>
              <w:spacing w:line="30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606"/>
        </w:trPr>
        <w:tc>
          <w:tcPr>
            <w:tcW w:w="596"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序号</w:t>
            </w:r>
            <w:r/>
          </w:p>
        </w:tc>
        <w:tc>
          <w:tcPr>
            <w:tcW w:w="680"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类别</w:t>
            </w:r>
            <w:r/>
          </w:p>
        </w:tc>
        <w:tc>
          <w:tcPr>
            <w:tcW w:w="783"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服务名称</w:t>
            </w:r>
            <w:r/>
          </w:p>
        </w:tc>
        <w:tc>
          <w:tcPr>
            <w:tcW w:w="6161"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服务内容</w:t>
            </w:r>
            <w:r/>
          </w:p>
        </w:tc>
        <w:tc>
          <w:tcPr>
            <w:tcW w:w="522"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服务</w:t>
            </w:r>
            <w:r/>
          </w:p>
          <w:p>
            <w:pPr>
              <w:pStyle w:val="949"/>
              <w:jc w:val="center"/>
              <w:rPr>
                <w:rFonts w:ascii="Times New Roman" w:hAnsi="Times New Roman"/>
                <w:b/>
                <w:color w:val="auto"/>
                <w:highlight w:val="none"/>
              </w:rPr>
            </w:pPr>
            <w:r>
              <w:rPr>
                <w:rFonts w:ascii="Times New Roman" w:hAnsi="Times New Roman"/>
                <w:b/>
                <w:color w:val="auto"/>
                <w:highlight w:val="none"/>
              </w:rPr>
              <w:t xml:space="preserve">时间</w:t>
            </w:r>
            <w:r/>
          </w:p>
        </w:tc>
        <w:tc>
          <w:tcPr>
            <w:tcW w:w="454" w:type="dxa"/>
            <w:vAlign w:val="center"/>
            <w:textDirection w:val="lrTb"/>
            <w:noWrap w:val="false"/>
          </w:tcPr>
          <w:p>
            <w:pPr>
              <w:pStyle w:val="949"/>
              <w:jc w:val="center"/>
              <w:rPr>
                <w:rFonts w:ascii="Times New Roman" w:hAnsi="Times New Roman"/>
                <w:b/>
                <w:color w:val="auto"/>
                <w:highlight w:val="none"/>
              </w:rPr>
            </w:pPr>
            <w:r>
              <w:rPr>
                <w:rFonts w:ascii="Times New Roman" w:hAnsi="Times New Roman"/>
                <w:b/>
                <w:color w:val="auto"/>
                <w:highlight w:val="none"/>
              </w:rPr>
              <w:t xml:space="preserve">单位</w:t>
            </w:r>
            <w:r/>
          </w:p>
        </w:tc>
      </w:tr>
      <w:tr>
        <w:trPr>
          <w:trHeight w:val="541"/>
        </w:trPr>
        <w:tc>
          <w:tcPr>
            <w:tcW w:w="596" w:type="dxa"/>
            <w:vAlign w:val="center"/>
            <w:textDirection w:val="lrTb"/>
            <w:noWrap w:val="false"/>
          </w:tcPr>
          <w:p>
            <w:pPr>
              <w:pStyle w:val="949"/>
              <w:jc w:val="center"/>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680"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个性二类服务</w:t>
            </w:r>
            <w:r/>
          </w:p>
        </w:tc>
        <w:tc>
          <w:tcPr>
            <w:tcW w:w="783"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助餐服务</w:t>
            </w:r>
            <w:r/>
          </w:p>
        </w:tc>
        <w:tc>
          <w:tcPr>
            <w:tcW w:w="6161"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在残疾人家中为残疾人做饭，并将厨房间打扫干净。</w:t>
            </w:r>
            <w:r/>
          </w:p>
        </w:tc>
        <w:tc>
          <w:tcPr>
            <w:tcW w:w="522"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60</w:t>
            </w:r>
            <w:r/>
          </w:p>
        </w:tc>
        <w:tc>
          <w:tcPr>
            <w:tcW w:w="454"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分钟</w:t>
            </w:r>
            <w:r/>
          </w:p>
        </w:tc>
      </w:tr>
    </w:tbl>
    <w:p>
      <w:pPr>
        <w:pStyle w:val="949"/>
        <w:jc w:val="center"/>
        <w:spacing w:line="360" w:lineRule="exact"/>
        <w:rPr>
          <w:rFonts w:ascii="Times New Roman" w:hAnsi="Times New Roman"/>
          <w:color w:val="auto"/>
          <w:highlight w:val="none"/>
        </w:rPr>
        <w:sectPr>
          <w:footerReference w:type="default" r:id="rId12"/>
          <w:footerReference w:type="first" r:id="rId13"/>
          <w:footnotePr/>
          <w:endnotePr/>
          <w:type w:val="continuous"/>
          <w:pgSz w:w="11906" w:h="16838" w:orient="portrait"/>
          <w:pgMar w:top="1418" w:right="1588" w:bottom="1418" w:left="1365" w:header="851" w:footer="907" w:gutter="0"/>
          <w:pgNumType w:start="1"/>
          <w:cols w:num="1" w:sep="0" w:space="720" w:equalWidth="1"/>
          <w:docGrid w:linePitch="360"/>
          <w:titlePg/>
        </w:sectPr>
      </w:pPr>
      <w:r>
        <w:rPr>
          <w:rFonts w:ascii="Times New Roman" w:hAnsi="Times New Roman"/>
          <w:color w:val="auto"/>
          <w:highlight w:val="none"/>
        </w:rPr>
      </w:r>
      <w:r/>
    </w:p>
    <w:tbl>
      <w:tblPr>
        <w:tblStyle w:val="810"/>
        <w:tblW w:w="9200" w:type="dxa"/>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645"/>
        <w:gridCol w:w="777"/>
        <w:gridCol w:w="6167"/>
        <w:gridCol w:w="511"/>
        <w:gridCol w:w="456"/>
      </w:tblGrid>
      <w:tr>
        <w:trPr>
          <w:trHeight w:val="541"/>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14</w:t>
            </w:r>
            <w:r/>
          </w:p>
        </w:tc>
        <w:tc>
          <w:tcPr>
            <w:tcW w:w="645" w:type="dxa"/>
            <w:vAlign w:val="center"/>
            <w:vMerge w:val="restart"/>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特殊代办</w:t>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帮助残疾人代办流程复杂，需要多次往返的事务。</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48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15</w:t>
            </w:r>
            <w:r/>
          </w:p>
        </w:tc>
        <w:tc>
          <w:tcPr>
            <w:tcW w:w="645" w:type="dxa"/>
            <w:vAlign w:val="center"/>
            <w:vMerge w:val="continue"/>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restart"/>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助乐服务</w:t>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组织开展各类文化娱乐活动，丰富残疾人精神文化生活。</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16</w:t>
            </w:r>
            <w:r/>
          </w:p>
        </w:tc>
        <w:tc>
          <w:tcPr>
            <w:tcW w:w="645"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continue"/>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组织残疾人游览周边旅游景点，注意途中安全。</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17</w:t>
            </w:r>
            <w:r/>
          </w:p>
        </w:tc>
        <w:tc>
          <w:tcPr>
            <w:tcW w:w="645"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助业服务</w:t>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借助“残疾人之家”为有一定劳动能力的残疾人提供辅助性就业培训。</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750"/>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18</w:t>
            </w:r>
            <w:r/>
          </w:p>
        </w:tc>
        <w:tc>
          <w:tcPr>
            <w:tcW w:w="645"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restart"/>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助浴服务</w:t>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上门助浴：助浴前应进行安全提示，助浴过程中应有家属或其他监护人在场，注意观察残疾人身体情况，如遇残疾人身体不适，协助采取相应应急措施。</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541"/>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19</w:t>
            </w:r>
            <w:r/>
          </w:p>
        </w:tc>
        <w:tc>
          <w:tcPr>
            <w:tcW w:w="645"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vMerge w:val="continue"/>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外出助浴：应选择就近有资质的公共洗浴场所，并注意途中安全。</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r>
        <w:trPr>
          <w:trHeight w:val="893"/>
        </w:trPr>
        <w:tc>
          <w:tcPr>
            <w:tcW w:w="644"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20</w:t>
            </w:r>
            <w:r/>
          </w:p>
        </w:tc>
        <w:tc>
          <w:tcPr>
            <w:tcW w:w="645" w:type="dxa"/>
            <w:vAlign w:val="center"/>
            <w:vMerge w:val="continue"/>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r>
            <w:r/>
          </w:p>
        </w:tc>
        <w:tc>
          <w:tcPr>
            <w:tcW w:w="777"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助医服务</w:t>
            </w:r>
            <w:r/>
          </w:p>
        </w:tc>
        <w:tc>
          <w:tcPr>
            <w:tcW w:w="6167" w:type="dxa"/>
            <w:vAlign w:val="center"/>
            <w:textDirection w:val="lrTb"/>
            <w:noWrap w:val="false"/>
          </w:tcPr>
          <w:p>
            <w:pPr>
              <w:pStyle w:val="949"/>
              <w:spacing w:line="360" w:lineRule="exact"/>
              <w:rPr>
                <w:rFonts w:ascii="Times New Roman" w:hAnsi="Times New Roman"/>
                <w:color w:val="auto"/>
                <w:highlight w:val="none"/>
              </w:rPr>
            </w:pPr>
            <w:r>
              <w:rPr>
                <w:rFonts w:ascii="Times New Roman" w:hAnsi="Times New Roman"/>
                <w:color w:val="auto"/>
                <w:highlight w:val="none"/>
              </w:rPr>
              <w:t xml:space="preserve">协助残疾人家属或陪同残疾人到医院就诊，应注意途中安全，并及时向残疾人家属反馈就诊情况；服务时应当面清点钱款、药物、单据等。</w:t>
            </w:r>
            <w:r/>
          </w:p>
        </w:tc>
        <w:tc>
          <w:tcPr>
            <w:tcW w:w="511"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60</w:t>
            </w:r>
            <w:r/>
          </w:p>
        </w:tc>
        <w:tc>
          <w:tcPr>
            <w:tcW w:w="456" w:type="dxa"/>
            <w:vAlign w:val="center"/>
            <w:textDirection w:val="lrTb"/>
            <w:noWrap w:val="false"/>
          </w:tcPr>
          <w:p>
            <w:pPr>
              <w:pStyle w:val="949"/>
              <w:jc w:val="center"/>
              <w:spacing w:line="360" w:lineRule="exact"/>
              <w:rPr>
                <w:rFonts w:ascii="Times New Roman" w:hAnsi="Times New Roman"/>
                <w:color w:val="auto"/>
                <w:highlight w:val="none"/>
              </w:rPr>
            </w:pPr>
            <w:r>
              <w:rPr>
                <w:rFonts w:ascii="Times New Roman" w:hAnsi="Times New Roman"/>
                <w:color w:val="auto"/>
                <w:highlight w:val="none"/>
              </w:rPr>
              <w:t xml:space="preserve">分钟</w:t>
            </w:r>
            <w:r/>
          </w:p>
        </w:tc>
      </w:tr>
    </w:tbl>
    <w:p>
      <w:pPr>
        <w:jc w:val="left"/>
        <w:spacing w:line="360" w:lineRule="auto"/>
        <w:rPr>
          <w:rFonts w:hint="eastAsia" w:ascii="宋体" w:hAnsi="Times New Roman"/>
          <w:b/>
          <w:bCs/>
          <w:color w:val="auto"/>
          <w:sz w:val="24"/>
          <w:szCs w:val="24"/>
          <w:highlight w:val="none"/>
        </w:rPr>
      </w:pPr>
      <w:r>
        <w:rPr>
          <w:rFonts w:hint="eastAsia" w:ascii="宋体" w:hAnsi="Times New Roman"/>
          <w:b/>
          <w:bCs/>
          <w:color w:val="auto"/>
          <w:sz w:val="24"/>
          <w:szCs w:val="24"/>
          <w:highlight w:val="none"/>
        </w:rPr>
      </w:r>
      <w:r/>
    </w:p>
    <w:p>
      <w:pP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、落实商品包装、快递包装政府采购需求标准</w:t>
      </w:r>
      <w:r/>
    </w:p>
    <w:p>
      <w:pPr>
        <w:numPr>
          <w:ilvl w:val="0"/>
          <w:numId w:val="0"/>
        </w:numPr>
        <w:ind w:firstLine="480"/>
        <w:keepLines w:val="0"/>
        <w:keepNext w:val="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numPr>
          <w:ilvl w:val="0"/>
          <w:numId w:val="0"/>
        </w:numPr>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五、项目实施要求</w:t>
      </w:r>
      <w:r/>
    </w:p>
    <w:p>
      <w:pPr>
        <w:numPr>
          <w:ilvl w:val="0"/>
          <w:numId w:val="0"/>
        </w:numPr>
        <w:ind w:firstLine="480"/>
        <w:keepLines w:val="0"/>
        <w:keepNext w:val="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针对本项目需求制定具体的服务实施方案，内容包含但不限于生活照料、康复护理、精神慰藉及其他等服务方案以及服务流程。服务实施方案应当详细，符合实际，思路清晰、科学合理可行有序，涵盖内容全面、要点突出，重点难点分析中肯且对应措施得力。</w:t>
      </w:r>
      <w:r/>
    </w:p>
    <w:p>
      <w:pPr>
        <w:numPr>
          <w:ilvl w:val="0"/>
          <w:numId w:val="0"/>
        </w:numPr>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六、管理方案</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提供的管理方案，包含服务质量管理制度、服务反馈制度、服务考核奖惩、服务承诺制度、服务对象档案管理制度等内容。服务管理方案、制度详细，管理规范，指标、体系定位准确符合实际，指标科学可行操作性强，各项措施符合实际且操作可行有效。</w:t>
      </w:r>
      <w:r/>
    </w:p>
    <w:p>
      <w:pPr>
        <w:numPr>
          <w:ilvl w:val="0"/>
          <w:numId w:val="5"/>
        </w:numPr>
        <w:pageBreakBefore w:val="0"/>
        <w:spacing w:line="500" w:lineRule="exact"/>
        <w:widowControl w:val="off"/>
        <w:rPr>
          <w:rFonts w:hint="eastAsia" w:ascii="宋体" w:hAnsi="宋体" w:eastAsia="宋体" w:cs="宋体"/>
          <w:b/>
          <w:bCs/>
          <w:color w:val="auto"/>
          <w:sz w:val="28"/>
          <w:szCs w:val="28"/>
          <w:highlight w:val="none"/>
          <w:lang w:val="en-US" w:eastAsia="zh-CN" w:bidi="ar-SA"/>
        </w:rPr>
        <w:outlineLvl w:val="0"/>
      </w:pPr>
      <w:r>
        <w:rPr>
          <w:rFonts w:hint="eastAsia" w:ascii="宋体" w:hAnsi="宋体" w:eastAsia="宋体" w:cs="宋体"/>
          <w:b/>
          <w:bCs/>
          <w:color w:val="auto"/>
          <w:sz w:val="28"/>
          <w:szCs w:val="28"/>
          <w:highlight w:val="none"/>
          <w:lang w:val="en-US" w:eastAsia="zh-CN" w:bidi="ar-SA"/>
        </w:rPr>
        <w:t xml:space="preserve">人员配置及管理</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应根据残疾人居家托养服务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不能影响服务质量。</w:t>
      </w:r>
      <w:r/>
    </w:p>
    <w:p>
      <w:pPr>
        <w:numPr>
          <w:ilvl w:val="0"/>
          <w:numId w:val="5"/>
        </w:numPr>
        <w:ind w:left="0" w:firstLine="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应急预案</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针对本项目制定的突发事件应急预案（内容包括但不限于在服务过程中托养对象出现意外情况的应对方案、服务人员出现意外情况的应对方案、以及突发公共卫生事件的应对方案等），保证在日常运行及突发事件中正常运行的应急措施的科学合理全面综合。</w:t>
      </w:r>
      <w:r/>
    </w:p>
    <w:p>
      <w:pPr>
        <w:numPr>
          <w:ilvl w:val="0"/>
          <w:numId w:val="5"/>
        </w:numPr>
        <w:ind w:left="0" w:firstLine="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汇报及配合协调机制</w:t>
      </w:r>
      <w:r/>
    </w:p>
    <w:p>
      <w:pPr>
        <w:numPr>
          <w:ilvl w:val="0"/>
          <w:numId w:val="0"/>
        </w:numPr>
        <w:ind w:firstLine="480"/>
        <w:pageBreakBefore w:val="0"/>
        <w:spacing w:line="500" w:lineRule="exact"/>
        <w:widowControl w:val="off"/>
        <w:rPr>
          <w:rStyle w:val="809"/>
          <w:rFonts w:hint="eastAsia" w:ascii="宋体" w:hAnsi="宋体" w:eastAsia="宋体" w:cs="宋体"/>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须建立起一套完善的向残联部门服务汇报体系（包含完整的月、季、年报和急事即报），制定与其他单位、部门的综合协调方案；内容完整详细，要点突出、措施可行性强、有效度高，满足运营服务管理质量要求，简洁，涵盖内容全面。</w:t>
      </w:r>
      <w:r/>
    </w:p>
    <w:p>
      <w:pPr>
        <w:numPr>
          <w:ilvl w:val="0"/>
          <w:numId w:val="5"/>
        </w:numPr>
        <w:ind w:left="0" w:firstLine="0"/>
        <w:keepLines w:val="0"/>
        <w:keepNext w:val="0"/>
        <w:pageBreakBefore w:val="0"/>
        <w:spacing w:line="500" w:lineRule="exact"/>
        <w:widowControl w:val="off"/>
        <w:rPr>
          <w:rFonts w:hint="eastAsia"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项目组成员</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eastAsia="宋体" w:cs="宋体"/>
          <w:b w:val="0"/>
          <w:bCs w:val="0"/>
          <w:color w:val="auto"/>
          <w:sz w:val="24"/>
          <w:szCs w:val="22"/>
          <w:highlight w:val="none"/>
          <w:lang w:val="en-US" w:eastAsia="zh-CN" w:bidi="ar-SA"/>
        </w:rPr>
        <w:t xml:space="preserve">供应商能够根据残疾人居家托养服务以及日常行政、业务管理合理设置职能部门，各职能部门均按需配备人员，及人员培训、考核、奖惩机制等进行综合评议，且各项工作均有专人负责，岗位职能职责定位准确，服务内容及要求界定清晰明确，服务形式及流程具体有序规范，细则要点突出、奖惩明确。不能影响服务质量。</w:t>
      </w:r>
      <w:r/>
    </w:p>
    <w:p>
      <w:pPr>
        <w:numPr>
          <w:ilvl w:val="0"/>
          <w:numId w:val="5"/>
        </w:numPr>
        <w:ind w:left="0" w:firstLine="0"/>
        <w:keepLines w:val="0"/>
        <w:keepNext w:val="0"/>
        <w:pageBreakBefore w:val="0"/>
        <w:spacing w:line="500" w:lineRule="exact"/>
        <w:widowControl w:val="off"/>
        <w:rPr>
          <w:rFonts w:hint="default" w:ascii="宋体" w:hAnsi="宋体" w:eastAsia="宋体" w:cs="宋体"/>
          <w:b/>
          <w:bCs/>
          <w:color w:val="auto"/>
          <w:sz w:val="28"/>
          <w:szCs w:val="28"/>
          <w:highlight w:val="none"/>
          <w:lang w:val="en-US" w:eastAsia="zh-CN"/>
        </w:rPr>
        <w:outlineLvl w:val="0"/>
      </w:pPr>
      <w:r>
        <w:rPr>
          <w:rFonts w:hint="eastAsia" w:ascii="宋体" w:hAnsi="宋体" w:eastAsia="宋体" w:cs="宋体"/>
          <w:b/>
          <w:bCs/>
          <w:color w:val="auto"/>
          <w:sz w:val="28"/>
          <w:szCs w:val="28"/>
          <w:highlight w:val="none"/>
          <w:lang w:val="en-US" w:eastAsia="zh-CN"/>
        </w:rPr>
        <w:t xml:space="preserve">验收要求</w:t>
      </w:r>
      <w:r/>
    </w:p>
    <w:p>
      <w:pPr>
        <w:pStyle w:val="847"/>
        <w:ind w:left="0" w:firstLine="480"/>
        <w:keepLines w:val="0"/>
        <w:keepNext w:val="0"/>
        <w:widowControl/>
        <w:rPr>
          <w:rStyle w:val="809"/>
          <w:rFonts w:hint="eastAsia" w:ascii="宋体" w:hAnsi="宋体" w:eastAsia="宋体" w:cs="宋体"/>
          <w:b w:val="0"/>
          <w:bCs w:val="0"/>
          <w:color w:val="auto"/>
          <w:sz w:val="24"/>
          <w:szCs w:val="22"/>
          <w:highlight w:val="none"/>
          <w:lang w:val="en-US" w:eastAsia="zh-CN" w:bidi="ar-SA"/>
        </w:rPr>
        <w:suppressLineNumbers w:val="0"/>
      </w:pPr>
      <w:r>
        <w:rPr>
          <w:rStyle w:val="809"/>
          <w:rFonts w:hint="eastAsia" w:ascii="宋体" w:hAnsi="宋体" w:eastAsia="宋体" w:cs="宋体"/>
          <w:b w:val="0"/>
          <w:bCs w:val="0"/>
          <w:color w:val="auto"/>
          <w:sz w:val="24"/>
          <w:szCs w:val="22"/>
          <w:highlight w:val="none"/>
          <w:lang w:val="en-US" w:eastAsia="zh-CN" w:bidi="ar-SA"/>
        </w:rPr>
        <w:t xml:space="preserve">所提供项目服务质量符合国家相关标准且满足本次采购的要求，如有不合格，造成的损失和后果由该供应商负全责。符合项目验收标准后，采购人根据技术要求，组织验收并出具验收书。</w:t>
      </w:r>
      <w:r/>
    </w:p>
    <w:p>
      <w:pPr>
        <w:pStyle w:val="847"/>
        <w:numPr>
          <w:ilvl w:val="0"/>
          <w:numId w:val="6"/>
        </w:numPr>
        <w:ind w:left="0" w:firstLine="480"/>
        <w:keepLines w:val="0"/>
        <w:keepNext w:val="0"/>
        <w:widowControl/>
        <w:rPr>
          <w:rStyle w:val="809"/>
          <w:rFonts w:hint="eastAsia" w:ascii="宋体" w:hAnsi="宋体" w:eastAsia="宋体" w:cs="宋体"/>
          <w:b w:val="0"/>
          <w:bCs w:val="0"/>
          <w:color w:val="auto"/>
          <w:sz w:val="24"/>
          <w:szCs w:val="22"/>
          <w:highlight w:val="none"/>
          <w:lang w:val="en-US" w:eastAsia="zh-CN" w:bidi="ar-SA"/>
        </w:rPr>
        <w:suppressLineNumbers w:val="0"/>
      </w:pPr>
      <w:r>
        <w:rPr>
          <w:rStyle w:val="809"/>
          <w:rFonts w:hint="eastAsia" w:ascii="宋体" w:hAnsi="宋体" w:eastAsia="宋体" w:cs="宋体"/>
          <w:b w:val="0"/>
          <w:bCs w:val="0"/>
          <w:color w:val="auto"/>
          <w:sz w:val="24"/>
          <w:szCs w:val="22"/>
          <w:highlight w:val="none"/>
          <w:lang w:val="en-US" w:eastAsia="zh-CN" w:bidi="ar-SA"/>
        </w:rPr>
        <w:t xml:space="preserve">乙方向甲方提交项目验收资料以及终验申请单，甲方收到申请后3 个工作日内组织终验且验收无问题后签署终验单。验收的标准按照采购文件、响应文件及相关标准实施，服从采购人安排要求。</w:t>
      </w:r>
      <w:r/>
    </w:p>
    <w:p>
      <w:pPr>
        <w:pStyle w:val="1105"/>
        <w:ind w:firstLine="480"/>
        <w:jc w:val="left"/>
        <w:spacing w:line="500" w:lineRule="exact"/>
        <w:widowControl/>
        <w:rPr>
          <w:rStyle w:val="809"/>
          <w:rFonts w:hint="eastAsia" w:ascii="宋体" w:hAnsi="宋体" w:eastAsia="宋体" w:cs="宋体"/>
          <w:b w:val="0"/>
          <w:bCs w:val="0"/>
          <w:color w:val="auto"/>
          <w:sz w:val="24"/>
          <w:szCs w:val="22"/>
          <w:highlight w:val="none"/>
          <w:lang w:val="en-US" w:eastAsia="zh-CN" w:bidi="ar-SA"/>
        </w:rPr>
      </w:pPr>
      <w:r>
        <w:rPr>
          <w:rStyle w:val="809"/>
          <w:rFonts w:hint="eastAsia" w:ascii="宋体" w:hAnsi="宋体" w:eastAsia="宋体" w:cs="宋体"/>
          <w:b w:val="0"/>
          <w:bCs w:val="0"/>
          <w:color w:val="auto"/>
          <w:sz w:val="24"/>
          <w:szCs w:val="22"/>
          <w:highlight w:val="none"/>
          <w:lang w:val="en-US" w:eastAsia="zh-CN" w:bidi="ar-SA"/>
        </w:rPr>
        <w:t xml:space="preserve">成交供应商提供的货物有国家标准的应符合国家标准，无国家标准的应符合行业标准、地方标准或者其他标准、规范，并满足采购文件及采购人需求。</w:t>
      </w:r>
      <w:r/>
    </w:p>
    <w:p>
      <w:pPr>
        <w:pStyle w:val="1258"/>
        <w:jc w:val="both"/>
        <w:spacing w:before="0" w:beforeAutospacing="0" w:after="0" w:afterAutospacing="0" w:line="50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十二、其他要求</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bookmarkStart w:id="144" w:name="_Toc24039"/>
      <w:r/>
      <w:bookmarkStart w:id="145" w:name="_Toc6595"/>
      <w:r/>
      <w:bookmarkStart w:id="146" w:name="_Toc513029243"/>
      <w:r/>
      <w:bookmarkStart w:id="147" w:name="_Toc20823315"/>
      <w:r/>
      <w:bookmarkStart w:id="148" w:name="_Toc16938559"/>
      <w:r>
        <w:rPr>
          <w:rStyle w:val="809"/>
          <w:rFonts w:hint="eastAsia" w:ascii="宋体" w:hAnsi="宋体" w:cs="宋体"/>
          <w:b w:val="0"/>
          <w:bCs w:val="0"/>
          <w:color w:val="auto"/>
          <w:sz w:val="24"/>
          <w:szCs w:val="22"/>
          <w:highlight w:val="none"/>
          <w:lang w:val="en-US" w:eastAsia="zh-CN" w:bidi="ar-SA"/>
        </w:rPr>
        <w:t xml:space="preserve">1、</w:t>
      </w:r>
      <w:r>
        <w:rPr>
          <w:rStyle w:val="809"/>
          <w:rFonts w:hint="eastAsia" w:ascii="宋体" w:hAnsi="宋体" w:eastAsia="宋体" w:cs="宋体"/>
          <w:b w:val="0"/>
          <w:bCs w:val="0"/>
          <w:color w:val="auto"/>
          <w:sz w:val="24"/>
          <w:szCs w:val="22"/>
          <w:highlight w:val="none"/>
          <w:lang w:val="en-US" w:eastAsia="zh-CN" w:bidi="ar-SA"/>
        </w:rPr>
        <w:t xml:space="preserve">服务期限应约定为完整自然月周期，起止时间均以每月1日至月末为准，不得约定月中起止或终止，确保服务对象足额享受约定频次服务，切实保障残疾人群体合法权益。</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cs="宋体"/>
          <w:b w:val="0"/>
          <w:bCs w:val="0"/>
          <w:color w:val="auto"/>
          <w:sz w:val="24"/>
          <w:szCs w:val="22"/>
          <w:highlight w:val="none"/>
          <w:lang w:val="en-US" w:eastAsia="zh-CN" w:bidi="ar-SA"/>
        </w:rPr>
        <w:t xml:space="preserve">2、</w:t>
      </w:r>
      <w:r>
        <w:rPr>
          <w:rStyle w:val="809"/>
          <w:rFonts w:hint="eastAsia" w:ascii="宋体" w:hAnsi="宋体" w:eastAsia="宋体" w:cs="宋体"/>
          <w:b w:val="0"/>
          <w:bCs w:val="0"/>
          <w:color w:val="auto"/>
          <w:sz w:val="24"/>
          <w:szCs w:val="22"/>
          <w:highlight w:val="none"/>
          <w:lang w:val="en-US" w:eastAsia="zh-CN" w:bidi="ar-SA"/>
        </w:rPr>
        <w:t xml:space="preserve">乙方须严格按照合同约定服务人数及服务频次履约，每月实际服务人数不得低于约定规模，严禁出现服务人数大幅不足、服务频次严重偏离标准的情形。</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cs="宋体"/>
          <w:b w:val="0"/>
          <w:bCs w:val="0"/>
          <w:color w:val="auto"/>
          <w:sz w:val="24"/>
          <w:szCs w:val="22"/>
          <w:highlight w:val="none"/>
          <w:lang w:val="en-US" w:eastAsia="zh-CN" w:bidi="ar-SA"/>
        </w:rPr>
        <w:t xml:space="preserve">3、</w:t>
      </w:r>
      <w:r>
        <w:rPr>
          <w:rStyle w:val="809"/>
          <w:rFonts w:hint="eastAsia" w:ascii="宋体" w:hAnsi="宋体" w:eastAsia="宋体" w:cs="宋体"/>
          <w:b w:val="0"/>
          <w:bCs w:val="0"/>
          <w:color w:val="auto"/>
          <w:sz w:val="24"/>
          <w:szCs w:val="22"/>
          <w:highlight w:val="none"/>
          <w:lang w:val="en-US" w:eastAsia="zh-CN" w:bidi="ar-SA"/>
        </w:rPr>
        <w:t xml:space="preserve">乙方应合理均衡安排服务，不得集中突击补服务、短期内超标准多次提供服务，须按月均衡履约，保证服务质量与服务规范性。</w:t>
      </w:r>
      <w:r/>
    </w:p>
    <w:p>
      <w:pPr>
        <w:numPr>
          <w:ilvl w:val="0"/>
          <w:numId w:val="0"/>
        </w:numPr>
        <w:ind w:firstLine="480"/>
        <w:pageBreakBefore w:val="0"/>
        <w:spacing w:line="500" w:lineRule="exact"/>
        <w:widowControl w:val="off"/>
        <w:rPr>
          <w:rStyle w:val="809"/>
          <w:rFonts w:hint="eastAsia" w:ascii="宋体" w:hAnsi="宋体" w:eastAsia="宋体" w:cs="宋体"/>
          <w:b w:val="0"/>
          <w:bCs w:val="0"/>
          <w:color w:val="auto"/>
          <w:sz w:val="24"/>
          <w:szCs w:val="22"/>
          <w:highlight w:val="none"/>
          <w:lang w:val="en-US" w:eastAsia="zh-CN" w:bidi="ar-SA"/>
        </w:rPr>
        <w:outlineLvl w:val="0"/>
      </w:pPr>
      <w:r>
        <w:rPr>
          <w:rStyle w:val="809"/>
          <w:rFonts w:hint="eastAsia" w:ascii="宋体" w:hAnsi="宋体" w:cs="宋体"/>
          <w:b w:val="0"/>
          <w:bCs w:val="0"/>
          <w:color w:val="auto"/>
          <w:sz w:val="24"/>
          <w:szCs w:val="22"/>
          <w:highlight w:val="none"/>
          <w:lang w:val="en-US" w:eastAsia="zh-CN" w:bidi="ar-SA"/>
        </w:rPr>
        <w:t xml:space="preserve">4、</w:t>
      </w:r>
      <w:r>
        <w:rPr>
          <w:rStyle w:val="809"/>
          <w:rFonts w:hint="eastAsia" w:ascii="宋体" w:hAnsi="宋体" w:eastAsia="宋体" w:cs="宋体"/>
          <w:b w:val="0"/>
          <w:bCs w:val="0"/>
          <w:color w:val="auto"/>
          <w:sz w:val="24"/>
          <w:szCs w:val="22"/>
          <w:highlight w:val="none"/>
          <w:lang w:val="en-US" w:eastAsia="zh-CN" w:bidi="ar-SA"/>
        </w:rPr>
        <w:t xml:space="preserve">乙方需建立服务台账及工单记录，按月如实报送服务数据，甲方有权对服务人数、服务频次、服务时间等进行核查，对违规履约行为追究相应责任。</w:t>
      </w:r>
      <w:r/>
    </w:p>
    <w:p>
      <w:pPr>
        <w:pStyle w:val="847"/>
        <w:ind w:left="0" w:firstLine="480"/>
        <w:keepLines w:val="0"/>
        <w:keepNext w:val="0"/>
        <w:widowControl/>
        <w:rPr>
          <w:rStyle w:val="809"/>
          <w:rFonts w:hint="eastAsia" w:ascii="宋体" w:hAnsi="宋体" w:eastAsia="宋体" w:cs="宋体"/>
          <w:b w:val="0"/>
          <w:bCs w:val="0"/>
          <w:color w:val="auto"/>
          <w:sz w:val="24"/>
          <w:szCs w:val="22"/>
          <w:highlight w:val="none"/>
          <w:lang w:val="en-US" w:eastAsia="zh-CN" w:bidi="ar-SA"/>
        </w:rPr>
        <w:suppressLineNumbers w:val="0"/>
      </w:pPr>
      <w:r>
        <w:rPr>
          <w:rStyle w:val="809"/>
          <w:rFonts w:hint="eastAsia" w:ascii="宋体" w:hAnsi="宋体" w:eastAsia="宋体" w:cs="宋体"/>
          <w:b w:val="0"/>
          <w:bCs w:val="0"/>
          <w:color w:val="auto"/>
          <w:sz w:val="24"/>
          <w:szCs w:val="22"/>
          <w:highlight w:val="none"/>
          <w:lang w:val="en-US" w:eastAsia="zh-CN" w:bidi="ar-SA"/>
        </w:rPr>
        <w:br w:type="page" w:clear="all"/>
      </w:r>
      <w:r/>
    </w:p>
    <w:p>
      <w:pPr>
        <w:pStyle w:val="800"/>
        <w:jc w:val="center"/>
        <w:spacing w:before="200"/>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第五章  合同文本</w:t>
      </w:r>
      <w:bookmarkEnd w:id="144"/>
      <w:r/>
      <w:bookmarkEnd w:id="145"/>
      <w:r/>
      <w:r/>
    </w:p>
    <w:p>
      <w:pPr>
        <w:ind w:firstLine="480"/>
        <w:spacing w:line="5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以下为成交后签定本项目合同的通用条款，成交供应商不得提出实质性的修改。</w:t>
      </w:r>
      <w:r/>
    </w:p>
    <w:p>
      <w:pPr>
        <w:jc w:val="center"/>
        <w:spacing w:before="145" w:after="145"/>
        <w:rPr>
          <w:rFonts w:hint="eastAsia" w:ascii="Times New Roman" w:hAnsi="Times New Roman"/>
          <w:b/>
          <w:color w:val="auto"/>
          <w:sz w:val="30"/>
          <w:szCs w:val="21"/>
          <w:highlight w:val="none"/>
        </w:rPr>
        <w:outlineLvl w:val="0"/>
      </w:pPr>
      <w:r>
        <w:rPr>
          <w:rFonts w:hint="eastAsia" w:ascii="Times New Roman" w:hAnsi="Times New Roman"/>
          <w:b/>
          <w:color w:val="auto"/>
          <w:sz w:val="30"/>
          <w:szCs w:val="21"/>
          <w:highlight w:val="none"/>
        </w:rPr>
      </w:r>
      <w:r/>
    </w:p>
    <w:p>
      <w:pPr>
        <w:pStyle w:val="902"/>
        <w:jc w:val="center"/>
        <w:pageBreakBefore w:val="0"/>
        <w:spacing w:line="500" w:lineRule="exact"/>
        <w:rPr>
          <w:rFonts w:ascii="宋体" w:hAnsi="宋体" w:eastAsia="宋体"/>
          <w:bCs/>
          <w:color w:val="auto"/>
          <w:sz w:val="24"/>
          <w:szCs w:val="24"/>
          <w:highlight w:val="none"/>
        </w:rPr>
      </w:pPr>
      <w:r/>
      <w:bookmarkStart w:id="149" w:name="_Hlt16619369"/>
      <w:r/>
      <w:bookmarkEnd w:id="149"/>
      <w:r>
        <w:rPr>
          <w:rFonts w:ascii="宋体" w:hAnsi="宋体" w:eastAsia="宋体"/>
          <w:bCs/>
          <w:color w:val="auto"/>
          <w:sz w:val="24"/>
          <w:szCs w:val="24"/>
          <w:highlight w:val="none"/>
          <w:u w:val="single"/>
        </w:rPr>
        <w:t xml:space="preserve">           </w:t>
      </w:r>
      <w:r>
        <w:rPr>
          <w:rFonts w:ascii="宋体" w:hAnsi="宋体" w:eastAsia="宋体"/>
          <w:bCs/>
          <w:color w:val="auto"/>
          <w:sz w:val="24"/>
          <w:szCs w:val="24"/>
          <w:highlight w:val="none"/>
        </w:rPr>
        <w:t xml:space="preserve">政府采购合同</w:t>
      </w:r>
      <w:r/>
    </w:p>
    <w:p>
      <w:pPr>
        <w:pStyle w:val="1143"/>
        <w:jc w:val="center"/>
        <w:pageBreakBefore w:val="0"/>
        <w:spacing w:line="500" w:lineRule="exact"/>
        <w:rPr>
          <w:rFonts w:ascii="宋体" w:hAnsi="宋体" w:eastAsia="宋体"/>
          <w:b/>
          <w:color w:val="auto"/>
          <w:sz w:val="24"/>
          <w:szCs w:val="24"/>
          <w:highlight w:val="none"/>
        </w:rPr>
      </w:pPr>
      <w:r>
        <w:rPr>
          <w:rFonts w:ascii="宋体" w:hAnsi="宋体" w:eastAsia="宋体"/>
          <w:b/>
          <w:bCs/>
          <w:color w:val="auto"/>
          <w:sz w:val="24"/>
          <w:szCs w:val="24"/>
          <w:highlight w:val="none"/>
        </w:rPr>
        <w:t xml:space="preserve">  第一部分  专用条款</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采购单位（全称）：</w:t>
      </w:r>
      <w:r>
        <w:rPr>
          <w:rFonts w:ascii="宋体" w:hAnsi="宋体"/>
          <w:b/>
          <w:color w:val="auto"/>
          <w:sz w:val="24"/>
          <w:szCs w:val="24"/>
          <w:highlight w:val="none"/>
          <w:u w:val="single"/>
        </w:rPr>
        <w:t xml:space="preserve"> </w:t>
      </w:r>
      <w:r>
        <w:rPr>
          <w:rFonts w:ascii="宋体" w:hAnsi="宋体"/>
          <w:color w:val="auto"/>
          <w:sz w:val="24"/>
          <w:szCs w:val="24"/>
          <w:highlight w:val="none"/>
          <w:u w:val="single"/>
        </w:rPr>
        <w:t xml:space="preserve">宿迁市宿城区残疾人联合会</w:t>
      </w:r>
      <w:r>
        <w:rPr>
          <w:rFonts w:ascii="宋体" w:hAnsi="宋体"/>
          <w:bCs/>
          <w:color w:val="auto"/>
          <w:sz w:val="24"/>
          <w:szCs w:val="24"/>
          <w:highlight w:val="none"/>
          <w:u w:val="single"/>
        </w:rPr>
        <w:t xml:space="preserve"> </w:t>
      </w:r>
      <w:r>
        <w:rPr>
          <w:rFonts w:ascii="宋体" w:hAnsi="宋体"/>
          <w:b/>
          <w:color w:val="auto"/>
          <w:sz w:val="24"/>
          <w:szCs w:val="24"/>
          <w:highlight w:val="none"/>
          <w:u w:val="single"/>
        </w:rPr>
        <w:t xml:space="preserve"> </w:t>
      </w:r>
      <w:r>
        <w:rPr>
          <w:rFonts w:ascii="宋体" w:hAnsi="宋体"/>
          <w:b/>
          <w:color w:val="auto"/>
          <w:sz w:val="24"/>
          <w:szCs w:val="24"/>
          <w:highlight w:val="none"/>
        </w:rPr>
        <w:t xml:space="preserve">（简称甲方）</w:t>
      </w:r>
      <w:r/>
    </w:p>
    <w:p>
      <w:pPr>
        <w:pStyle w:val="1143"/>
        <w:ind w:left="0" w:firstLine="0"/>
        <w:pageBreakBefore w:val="0"/>
        <w:spacing w:line="500" w:lineRule="exact"/>
        <w:rPr>
          <w:rFonts w:ascii="宋体" w:hAnsi="宋体" w:eastAsia="宋体"/>
          <w:color w:val="auto"/>
          <w:sz w:val="24"/>
          <w:szCs w:val="24"/>
          <w:highlight w:val="none"/>
        </w:rPr>
      </w:pPr>
      <w:r>
        <w:rPr>
          <w:rFonts w:ascii="宋体" w:hAnsi="宋体" w:eastAsia="宋体"/>
          <w:b/>
          <w:color w:val="auto"/>
          <w:sz w:val="24"/>
          <w:szCs w:val="24"/>
          <w:highlight w:val="none"/>
        </w:rPr>
        <w:t xml:space="preserve">中标供应商（全称）：</w:t>
      </w:r>
      <w:r>
        <w:rPr>
          <w:rFonts w:ascii="宋体" w:hAnsi="宋体" w:eastAsia="宋体"/>
          <w:bCs/>
          <w:color w:val="auto"/>
          <w:sz w:val="24"/>
          <w:szCs w:val="24"/>
          <w:highlight w:val="none"/>
          <w:u w:val="single"/>
        </w:rPr>
        <w:t xml:space="preserve">                      </w:t>
      </w:r>
      <w:r>
        <w:rPr>
          <w:rFonts w:ascii="宋体" w:hAnsi="宋体" w:eastAsia="宋体"/>
          <w:b/>
          <w:color w:val="auto"/>
          <w:sz w:val="24"/>
          <w:szCs w:val="24"/>
          <w:highlight w:val="none"/>
          <w:u w:val="single"/>
        </w:rPr>
        <w:t xml:space="preserve">  </w:t>
      </w:r>
      <w:r>
        <w:rPr>
          <w:rFonts w:ascii="宋体" w:hAnsi="宋体" w:eastAsia="宋体"/>
          <w:b/>
          <w:color w:val="auto"/>
          <w:sz w:val="24"/>
          <w:szCs w:val="24"/>
          <w:highlight w:val="none"/>
        </w:rPr>
        <w:t xml:space="preserve">（简称乙方）</w:t>
      </w:r>
      <w:r/>
    </w:p>
    <w:p>
      <w:pPr>
        <w:pStyle w:val="1143"/>
        <w:ind w:firstLine="480"/>
        <w:pageBreakBefore w:val="0"/>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依照《中华人民共和国政府采购法》、《中华人民共和国政府采购法实施条例》</w:t>
      </w:r>
      <w:r>
        <w:rPr>
          <w:rFonts w:hint="eastAsia" w:ascii="宋体" w:hAnsi="宋体" w:eastAsia="宋体"/>
          <w:color w:val="auto"/>
          <w:sz w:val="24"/>
          <w:szCs w:val="24"/>
          <w:highlight w:val="none"/>
        </w:rPr>
        <w:t xml:space="preserve">、</w:t>
      </w:r>
      <w:r>
        <w:rPr>
          <w:rFonts w:ascii="宋体" w:hAnsi="宋体" w:eastAsia="宋体"/>
          <w:b/>
          <w:bCs/>
          <w:color w:val="auto"/>
          <w:sz w:val="24"/>
          <w:szCs w:val="24"/>
          <w:highlight w:val="none"/>
        </w:rPr>
        <w:t xml:space="preserve">《中华人民共和国民法典》</w:t>
      </w:r>
      <w:r>
        <w:rPr>
          <w:rFonts w:ascii="宋体" w:hAnsi="宋体" w:eastAsia="宋体"/>
          <w:color w:val="auto"/>
          <w:sz w:val="24"/>
          <w:szCs w:val="24"/>
          <w:highlight w:val="none"/>
        </w:rPr>
        <w:t xml:space="preserve">及其他有关法律、行政法规，遵循平等、自愿、公平和诚实信用的原则，双方就采购编号为</w:t>
      </w:r>
      <w:r>
        <w:rPr>
          <w:rFonts w:ascii="宋体" w:hAnsi="宋体" w:eastAsia="宋体"/>
          <w:b/>
          <w:bCs/>
          <w:color w:val="auto"/>
          <w:sz w:val="24"/>
          <w:szCs w:val="24"/>
          <w:highlight w:val="none"/>
          <w:u w:val="single"/>
        </w:rPr>
        <w:t xml:space="preserve">      号的       </w:t>
      </w:r>
      <w:r>
        <w:rPr>
          <w:rFonts w:ascii="宋体" w:hAnsi="宋体" w:eastAsia="宋体"/>
          <w:b/>
          <w:bCs/>
          <w:color w:val="auto"/>
          <w:sz w:val="24"/>
          <w:szCs w:val="24"/>
          <w:highlight w:val="none"/>
          <w:u w:val="single"/>
          <w:lang w:val="zh-CN"/>
        </w:rPr>
        <w:t xml:space="preserve">项目</w:t>
      </w:r>
      <w:r>
        <w:rPr>
          <w:rFonts w:ascii="宋体" w:hAnsi="宋体" w:eastAsia="宋体"/>
          <w:color w:val="auto"/>
          <w:sz w:val="24"/>
          <w:szCs w:val="24"/>
          <w:highlight w:val="none"/>
        </w:rPr>
        <w:t xml:space="preserve">相关事项协商一致，达成如下合同条款：</w:t>
      </w:r>
      <w:r/>
    </w:p>
    <w:p>
      <w:pPr>
        <w:pStyle w:val="1267"/>
        <w:ind w:left="0" w:right="431" w:firstLine="0"/>
        <w:pageBreakBefore w:val="0"/>
        <w:spacing w:before="2" w:line="500" w:lineRule="exact"/>
        <w:tabs>
          <w:tab w:val="left" w:pos="950" w:leader="none"/>
        </w:tabs>
        <w:rPr>
          <w:rFonts w:ascii="宋体" w:hAnsi="宋体"/>
          <w:color w:val="auto"/>
          <w:sz w:val="24"/>
          <w:szCs w:val="24"/>
          <w:highlight w:val="none"/>
        </w:rPr>
      </w:pPr>
      <w:r>
        <w:rPr>
          <w:rFonts w:ascii="宋体" w:hAnsi="宋体"/>
          <w:b/>
          <w:bCs w:val="0"/>
          <w:color w:val="auto"/>
          <w:sz w:val="24"/>
          <w:szCs w:val="24"/>
          <w:highlight w:val="none"/>
        </w:rPr>
        <w:t xml:space="preserve">一、乙方向甲方提供：</w:t>
      </w:r>
      <w:r>
        <w:rPr>
          <w:rFonts w:ascii="宋体" w:hAnsi="宋体"/>
          <w:b/>
          <w:bCs/>
          <w:color w:val="auto"/>
          <w:sz w:val="24"/>
          <w:szCs w:val="24"/>
          <w:highlight w:val="none"/>
          <w:u w:val="single"/>
        </w:rPr>
        <w:t xml:space="preserve">         ，</w:t>
      </w:r>
      <w:r>
        <w:rPr>
          <w:rFonts w:ascii="宋体" w:hAnsi="宋体"/>
          <w:b/>
          <w:bCs/>
          <w:color w:val="auto"/>
          <w:sz w:val="24"/>
          <w:szCs w:val="24"/>
          <w:highlight w:val="none"/>
        </w:rPr>
        <w:t xml:space="preserve">总价值为：</w:t>
      </w:r>
      <w:r>
        <w:rPr>
          <w:rFonts w:ascii="宋体" w:hAnsi="宋体"/>
          <w:color w:val="auto"/>
          <w:spacing w:val="-5"/>
          <w:sz w:val="24"/>
          <w:szCs w:val="24"/>
          <w:highlight w:val="none"/>
          <w:u w:val="single"/>
          <w:lang w:bidi="zh-CN"/>
        </w:rPr>
        <w:t xml:space="preserve">                  </w:t>
      </w:r>
      <w:r>
        <w:rPr>
          <w:rFonts w:ascii="宋体" w:hAnsi="宋体"/>
          <w:color w:val="auto"/>
          <w:spacing w:val="-13"/>
          <w:sz w:val="24"/>
          <w:szCs w:val="24"/>
          <w:highlight w:val="none"/>
        </w:rPr>
        <w:t xml:space="preserve">；</w:t>
      </w:r>
      <w:r>
        <w:rPr>
          <w:rFonts w:ascii="宋体" w:hAnsi="宋体"/>
          <w:color w:val="auto"/>
          <w:spacing w:val="-13"/>
          <w:sz w:val="24"/>
          <w:szCs w:val="24"/>
          <w:highlight w:val="none"/>
          <w:u w:val="single"/>
        </w:rPr>
        <w:t xml:space="preserve">注：                           。</w:t>
      </w:r>
      <w:r>
        <w:rPr>
          <w:rFonts w:ascii="宋体" w:hAnsi="宋体"/>
          <w:b/>
          <w:bCs/>
          <w:color w:val="auto"/>
          <w:sz w:val="24"/>
          <w:szCs w:val="24"/>
          <w:highlight w:val="none"/>
        </w:rPr>
        <w:t xml:space="preserve">（据实结算）。</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二、服务</w:t>
      </w:r>
      <w:r>
        <w:rPr>
          <w:rFonts w:hint="eastAsia" w:ascii="宋体" w:hAnsi="宋体"/>
          <w:b/>
          <w:color w:val="auto"/>
          <w:sz w:val="24"/>
          <w:szCs w:val="24"/>
          <w:highlight w:val="none"/>
          <w:lang w:val="en-US" w:eastAsia="zh-CN"/>
        </w:rPr>
        <w:t xml:space="preserve">期限和</w:t>
      </w:r>
      <w:r>
        <w:rPr>
          <w:rFonts w:ascii="宋体" w:hAnsi="宋体"/>
          <w:b/>
          <w:color w:val="auto"/>
          <w:sz w:val="24"/>
          <w:szCs w:val="24"/>
          <w:highlight w:val="none"/>
        </w:rPr>
        <w:t xml:space="preserve">地点</w:t>
      </w:r>
      <w:r/>
    </w:p>
    <w:p>
      <w:pPr>
        <w:pStyle w:val="906"/>
        <w:ind w:firstLine="240"/>
        <w:pageBreakBefore w:val="0"/>
        <w:spacing w:line="500" w:lineRule="exact"/>
        <w:rPr>
          <w:rFonts w:hint="default" w:ascii="宋体" w:hAnsi="宋体" w:eastAsia="宋体"/>
          <w:color w:val="auto"/>
          <w:sz w:val="24"/>
          <w:szCs w:val="24"/>
          <w:highlight w:val="none"/>
          <w:u w:val="single"/>
          <w:lang w:val="en-US" w:eastAsia="zh-CN"/>
        </w:rPr>
      </w:pPr>
      <w:r>
        <w:rPr>
          <w:rFonts w:ascii="宋体" w:hAnsi="宋体"/>
          <w:color w:val="auto"/>
          <w:sz w:val="24"/>
          <w:szCs w:val="24"/>
          <w:highlight w:val="none"/>
        </w:rPr>
        <w:t xml:space="preserve">（一）</w:t>
      </w:r>
      <w:r>
        <w:rPr>
          <w:rFonts w:hint="eastAsia" w:ascii="宋体" w:hAnsi="宋体"/>
          <w:color w:val="auto"/>
          <w:sz w:val="24"/>
          <w:szCs w:val="24"/>
          <w:highlight w:val="none"/>
          <w:lang w:val="en-US" w:eastAsia="zh-CN"/>
        </w:rPr>
        <w:t xml:space="preserve">服务期限：</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年</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月</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日至</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年</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月</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日（一年）</w:t>
      </w:r>
      <w:r/>
    </w:p>
    <w:p>
      <w:pPr>
        <w:pStyle w:val="906"/>
        <w:ind w:firstLine="24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（二）合同履行地点：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具体地点</w:t>
      </w:r>
      <w:r>
        <w:rPr>
          <w:rFonts w:ascii="宋体" w:hAnsi="宋体"/>
          <w:color w:val="auto"/>
          <w:sz w:val="24"/>
          <w:szCs w:val="24"/>
          <w:highlight w:val="none"/>
          <w:u w:val="single"/>
        </w:rPr>
        <w:t xml:space="preserve">服从甲方安排  </w:t>
      </w:r>
      <w:r>
        <w:rPr>
          <w:rFonts w:ascii="宋体" w:hAnsi="宋体"/>
          <w:color w:val="auto"/>
          <w:sz w:val="24"/>
          <w:szCs w:val="24"/>
          <w:highlight w:val="none"/>
        </w:rPr>
        <w:t xml:space="preserve">。</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三、服务目标 </w:t>
      </w:r>
      <w:r/>
    </w:p>
    <w:p>
      <w:pPr>
        <w:pStyle w:val="1268"/>
        <w:pageBreakBefore w:val="0"/>
        <w:spacing w:line="500" w:lineRule="exact"/>
        <w:tabs>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为残疾人提供生活护理、康复保健、精神慰藉、助洁助餐、助浴助行、助医等服务，最终结算以实际服务项目、次数和服务内容为准。服务内容可由服务对象结合自身实际需求自行选择具体服务项目，供应商按照服务对象需求提供具体服务。</w:t>
      </w:r>
      <w:r>
        <w:rPr>
          <w:rFonts w:ascii="宋体" w:hAnsi="宋体" w:eastAsia="宋体"/>
          <w:color w:val="auto"/>
          <w:sz w:val="24"/>
          <w:szCs w:val="24"/>
          <w:highlight w:val="none"/>
        </w:rPr>
        <w:t xml:space="preserve"> </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四、具体服务要求 </w:t>
      </w:r>
      <w:r/>
    </w:p>
    <w:p>
      <w:pPr>
        <w:pStyle w:val="1171"/>
        <w:pageBreakBefore w:val="0"/>
        <w:spacing w:line="500" w:lineRule="exact"/>
        <w:rPr>
          <w:rFonts w:ascii="宋体" w:hAnsi="宋体"/>
          <w:b/>
          <w:bCs/>
          <w:color w:val="auto"/>
          <w:sz w:val="24"/>
          <w:szCs w:val="24"/>
          <w:highlight w:val="none"/>
        </w:rPr>
      </w:pPr>
      <w:r>
        <w:rPr>
          <w:rFonts w:ascii="宋体" w:hAnsi="宋体"/>
          <w:b/>
          <w:bCs/>
          <w:color w:val="auto"/>
          <w:spacing w:val="-1"/>
          <w:sz w:val="24"/>
          <w:szCs w:val="24"/>
          <w:highlight w:val="none"/>
          <w:lang w:bidi="zh-CN"/>
        </w:rPr>
        <w:t xml:space="preserve">（一）严格执行</w:t>
      </w:r>
      <w:r>
        <w:rPr>
          <w:rFonts w:ascii="宋体" w:hAnsi="宋体"/>
          <w:b/>
          <w:bCs/>
          <w:color w:val="auto"/>
          <w:sz w:val="24"/>
          <w:szCs w:val="24"/>
          <w:highlight w:val="none"/>
        </w:rPr>
        <w:t xml:space="preserve">项目清单服务内容和要求，确保服务质量。</w:t>
      </w:r>
      <w:r/>
    </w:p>
    <w:p>
      <w:pPr>
        <w:pStyle w:val="1171"/>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（二）质量要求</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1.乙方应严格执行《关于印发宿迁市残疾人托养服务规范的通知》（宿残联发【2022】17 号）要求，加强人员配备，提升服务水平及质量。</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2.制定明确的切实可行的残疾人居家托养服务预案，明确服务内容，做到管理正规化、服务规范化、考核标准化。</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3.加强监管，定期进行检查，建立服务对象信息数据库和服务台账。</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4.应急和安全保障措施：在服务过程中遇到服务对象突发昏倒、摔倒等紧急情况下有较好的应变能力，及时拨打120急救电话，保留现场的录音、照片或视频等证据作为必要的物证资料。</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5.制定评估方案，对残疾人的身体状况、居住状况、居家托养服务需求意愿等进行调查评估或评判，形成评估意见，为提供个性化服务提供依据。</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6.服务团队配备要求：</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（1）项目负责人个人能力是项目的实施服务质量好坏的关键，故应配备具备相关专业资格并具有丰富的类似服务经验的专业管理人员；</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（2）服务人员必须持有健康证明，且具备相应的从业能力。</w:t>
      </w:r>
      <w:r/>
    </w:p>
    <w:p>
      <w:pPr>
        <w:ind w:firstLine="480"/>
        <w:jc w:val="both"/>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7.供应商须安排1名工作人员协调配合</w:t>
      </w:r>
      <w:r>
        <w:rPr>
          <w:rFonts w:hint="eastAsia" w:ascii="宋体" w:hAnsi="宋体" w:cs="宋体"/>
          <w:color w:val="auto"/>
          <w:sz w:val="24"/>
          <w:szCs w:val="24"/>
          <w:highlight w:val="none"/>
          <w:lang w:val="en-US" w:eastAsia="zh-CN" w:bidi="ar-SA"/>
        </w:rPr>
        <w:t xml:space="preserve">宿城区</w:t>
      </w:r>
      <w:r>
        <w:rPr>
          <w:rFonts w:hint="eastAsia" w:ascii="宋体" w:hAnsi="宋体" w:eastAsia="宋体" w:cs="宋体"/>
          <w:color w:val="auto"/>
          <w:sz w:val="24"/>
          <w:szCs w:val="24"/>
          <w:highlight w:val="none"/>
          <w:lang w:val="en-US" w:eastAsia="zh-CN" w:bidi="ar-SA"/>
        </w:rPr>
        <w:t xml:space="preserve">残疾人联合会做好居家托养管理服务、平台管理、人员调度等工作，工作人员服务的工作时间符合采购人安排。</w:t>
      </w:r>
      <w:r/>
    </w:p>
    <w:p>
      <w:pPr>
        <w:ind w:firstLine="480"/>
        <w:jc w:val="both"/>
        <w:spacing w:line="460" w:lineRule="exact"/>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8.平台使用：</w:t>
      </w:r>
      <w:r/>
    </w:p>
    <w:p>
      <w:pPr>
        <w:ind w:firstLine="480"/>
        <w:jc w:val="both"/>
        <w:spacing w:line="460" w:lineRule="exact"/>
        <w:widowControl w:val="off"/>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rPr>
        <w:t xml:space="preserve">托养服务过程中供应商应无条件使用宿迁市残疾人智慧托养平台，按系统要求及时录入各项信息。</w:t>
      </w:r>
      <w:r/>
    </w:p>
    <w:p>
      <w:pPr>
        <w:ind w:firstLine="480"/>
        <w:jc w:val="left"/>
        <w:spacing w:line="5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供应商应及时跟踪回访完成服务工单，对每日产生的工单进行及时</w:t>
      </w:r>
      <w:r>
        <w:rPr>
          <w:rFonts w:hint="eastAsia" w:ascii="宋体" w:hAnsi="宋体" w:cs="宋体"/>
          <w:b w:val="0"/>
          <w:bCs w:val="0"/>
          <w:color w:val="auto"/>
          <w:sz w:val="24"/>
          <w:szCs w:val="24"/>
          <w:highlight w:val="none"/>
          <w:lang w:val="en-US" w:eastAsia="zh-CN" w:bidi="ar-SA"/>
        </w:rPr>
        <w:t xml:space="preserve">检查</w:t>
      </w:r>
      <w:r>
        <w:rPr>
          <w:rFonts w:hint="eastAsia" w:ascii="宋体" w:hAnsi="宋体" w:eastAsia="宋体" w:cs="宋体"/>
          <w:b w:val="0"/>
          <w:bCs w:val="0"/>
          <w:color w:val="auto"/>
          <w:sz w:val="24"/>
          <w:szCs w:val="24"/>
          <w:highlight w:val="none"/>
          <w:lang w:val="en-US" w:eastAsia="zh-CN" w:bidi="ar-SA"/>
        </w:rPr>
        <w:t xml:space="preserve">，每次服务均有水印照片等</w:t>
      </w:r>
      <w:r>
        <w:rPr>
          <w:rFonts w:hint="eastAsia" w:ascii="宋体" w:hAnsi="宋体" w:cs="宋体"/>
          <w:b w:val="0"/>
          <w:bCs w:val="0"/>
          <w:color w:val="auto"/>
          <w:sz w:val="24"/>
          <w:szCs w:val="24"/>
          <w:highlight w:val="none"/>
          <w:lang w:val="en-US" w:eastAsia="zh-CN" w:bidi="ar-SA"/>
        </w:rPr>
        <w:t xml:space="preserve">满意度</w:t>
      </w:r>
      <w:r>
        <w:rPr>
          <w:rFonts w:hint="eastAsia" w:ascii="宋体" w:hAnsi="宋体" w:eastAsia="宋体" w:cs="宋体"/>
          <w:b w:val="0"/>
          <w:bCs w:val="0"/>
          <w:color w:val="auto"/>
          <w:sz w:val="24"/>
          <w:szCs w:val="24"/>
          <w:highlight w:val="none"/>
          <w:lang w:val="en-US" w:eastAsia="zh-CN" w:bidi="ar-SA"/>
        </w:rPr>
        <w:t xml:space="preserve">监督检查数据，</w:t>
      </w:r>
      <w:r>
        <w:rPr>
          <w:rFonts w:hint="eastAsia" w:ascii="宋体" w:hAnsi="宋体" w:cs="宋体"/>
          <w:b w:val="0"/>
          <w:bCs w:val="0"/>
          <w:color w:val="auto"/>
          <w:sz w:val="24"/>
          <w:szCs w:val="24"/>
          <w:highlight w:val="none"/>
          <w:lang w:val="en-US" w:eastAsia="zh-CN" w:bidi="ar-SA"/>
        </w:rPr>
        <w:t xml:space="preserve">全程</w:t>
      </w:r>
      <w:r>
        <w:rPr>
          <w:rFonts w:hint="eastAsia" w:ascii="宋体" w:hAnsi="宋体" w:eastAsia="宋体" w:cs="宋体"/>
          <w:b w:val="0"/>
          <w:bCs w:val="0"/>
          <w:color w:val="auto"/>
          <w:sz w:val="24"/>
          <w:szCs w:val="24"/>
          <w:highlight w:val="none"/>
          <w:lang w:val="en-US" w:eastAsia="zh-CN" w:bidi="ar-SA"/>
        </w:rPr>
        <w:t xml:space="preserve">跟踪了解服务情况并积极处理</w:t>
      </w:r>
      <w:r>
        <w:rPr>
          <w:rFonts w:hint="eastAsia" w:ascii="宋体" w:hAnsi="宋体" w:cs="宋体"/>
          <w:b w:val="0"/>
          <w:bCs w:val="0"/>
          <w:color w:val="auto"/>
          <w:sz w:val="24"/>
          <w:szCs w:val="24"/>
          <w:highlight w:val="none"/>
          <w:lang w:val="en-US" w:eastAsia="zh-CN" w:bidi="ar-SA"/>
        </w:rPr>
        <w:t xml:space="preserve">发现</w:t>
      </w:r>
      <w:r>
        <w:rPr>
          <w:rFonts w:hint="eastAsia" w:ascii="宋体" w:hAnsi="宋体" w:eastAsia="宋体" w:cs="宋体"/>
          <w:b w:val="0"/>
          <w:bCs w:val="0"/>
          <w:color w:val="auto"/>
          <w:sz w:val="24"/>
          <w:szCs w:val="24"/>
          <w:highlight w:val="none"/>
          <w:lang w:val="en-US" w:eastAsia="zh-CN" w:bidi="ar-SA"/>
        </w:rPr>
        <w:t xml:space="preserve">问题。</w:t>
      </w:r>
      <w:r/>
    </w:p>
    <w:p>
      <w:pPr>
        <w:pStyle w:val="1268"/>
        <w:ind w:firstLine="0"/>
        <w:pageBreakBefore w:val="0"/>
        <w:spacing w:line="500" w:lineRule="exact"/>
        <w:tabs>
          <w:tab w:val="left" w:pos="600" w:leader="none"/>
        </w:tabs>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 五、甲方权利与责任</w:t>
      </w:r>
      <w:r/>
    </w:p>
    <w:p>
      <w:pPr>
        <w:pStyle w:val="1268"/>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1、有权依据合同约定的条款全程参与乙方管理，对乙方管理进行日常监督，视情况可以针对性的采取满意度调查等评价，有权对乙方未完全履行或部分履行合同规定的各种行为扣除一定金额的费用。对处理后仍不能履行的，甲方有权解除合同。</w:t>
      </w:r>
      <w:r/>
    </w:p>
    <w:p>
      <w:pPr>
        <w:pStyle w:val="1268"/>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有权要求乙方在7天内调换员工（是指在满意率调查中，甲方20%以上员工不满意的管理人员）；乙方辞退员工须提前征求甲方意见。甲方拥有对乙方的考核权（依据考核条例），乙方须根据甲方要求全面配合并以书面形式提交。</w:t>
      </w:r>
      <w:r/>
    </w:p>
    <w:p>
      <w:pPr>
        <w:pStyle w:val="1268"/>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3、甲方负责监督乙方关于本项目服务全过程相关工作，包含清单内服务和其他支持性服务，以及乙方向残疾家庭提供康复评估、康复咨询、康复指导和康复宣传服务。。</w:t>
      </w:r>
      <w:r/>
    </w:p>
    <w:p>
      <w:pPr>
        <w:pStyle w:val="1268"/>
        <w:ind w:firstLine="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4、积极协调支持帮助乙方解决在管理期间遇到的困难和问题，协助乙方维护正常康复程序。</w:t>
      </w:r>
      <w:r/>
    </w:p>
    <w:p>
      <w:pPr>
        <w:pStyle w:val="1268"/>
        <w:pageBreakBefore w:val="0"/>
        <w:spacing w:line="500" w:lineRule="exact"/>
        <w:tabs>
          <w:tab w:val="left" w:pos="600" w:leader="none"/>
        </w:tabs>
        <w:rPr>
          <w:rFonts w:ascii="宋体" w:hAnsi="宋体" w:eastAsia="宋体"/>
          <w:b/>
          <w:bCs/>
          <w:color w:val="auto"/>
          <w:sz w:val="24"/>
          <w:szCs w:val="24"/>
          <w:highlight w:val="none"/>
        </w:rPr>
      </w:pPr>
      <w:r>
        <w:rPr>
          <w:rFonts w:ascii="宋体" w:hAnsi="宋体" w:eastAsia="宋体"/>
          <w:b/>
          <w:bCs/>
          <w:color w:val="auto"/>
          <w:sz w:val="24"/>
          <w:szCs w:val="24"/>
          <w:highlight w:val="none"/>
        </w:rPr>
        <w:t xml:space="preserve">六、乙方权利与责任</w:t>
      </w:r>
      <w:r/>
    </w:p>
    <w:p>
      <w:pPr>
        <w:pStyle w:val="1268"/>
        <w:ind w:firstLine="240"/>
        <w:pageBreakBefore w:val="0"/>
        <w:spacing w:line="500" w:lineRule="exact"/>
        <w:tabs>
          <w:tab w:val="left" w:pos="60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1、乙方负责本项目服务整体日常运营管理等事务，原则上服从甲方事务安排；严格按照清单服务要求提供与年龄和残疾类别相适应的康复训练、康复医疗等及支持性服务，并向残疾家庭提供康复评估、康复咨询、康复指导和康复宣传服务。</w:t>
      </w:r>
      <w:r/>
    </w:p>
    <w:p>
      <w:pPr>
        <w:pStyle w:val="1270"/>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2、建立服务质量管理体系，完善管理制度，健全操作流程及项目档案管理等事务。</w:t>
      </w:r>
      <w:r/>
    </w:p>
    <w:p>
      <w:pPr>
        <w:pStyle w:val="1270"/>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3、乙方服务所有人员应取得国家、行业规定的健康许可证明，健康体检费用由乙方支付，乙方负责派出工作人员职业素质、技能的培训，达到本项目</w:t>
      </w:r>
      <w:r>
        <w:rPr>
          <w:rFonts w:ascii="宋体" w:hAnsi="宋体" w:eastAsia="宋体"/>
          <w:color w:val="auto"/>
          <w:spacing w:val="-1"/>
          <w:sz w:val="24"/>
          <w:szCs w:val="24"/>
          <w:highlight w:val="none"/>
          <w:lang w:bidi="zh-CN"/>
        </w:rPr>
        <w:t xml:space="preserve">定点机构人员配备</w:t>
      </w:r>
      <w:r>
        <w:rPr>
          <w:rFonts w:ascii="宋体" w:hAnsi="宋体" w:eastAsia="宋体"/>
          <w:color w:val="auto"/>
          <w:sz w:val="24"/>
          <w:szCs w:val="24"/>
          <w:highlight w:val="none"/>
        </w:rPr>
        <w:t xml:space="preserve">上岗标准要求。</w:t>
      </w:r>
      <w:r/>
    </w:p>
    <w:p>
      <w:pPr>
        <w:pStyle w:val="1270"/>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4、 严格执行安全责任制和服务操作程序，如发生安全生产事故 ，一切责任由乙方承担。如因人为失职、管理不善发生安全事故或信访（含各类上访、集访、群访等）社会稳定事件等，由此产生的经济、法律责任由乙方全面承担。</w:t>
      </w:r>
      <w:r/>
    </w:p>
    <w:p>
      <w:pPr>
        <w:pStyle w:val="1270"/>
        <w:ind w:left="-237" w:firstLine="473"/>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5、合同期内，甲方若有项目关联的接待服务需要，乙方须全面响应并全力做好保障服务，确保满足甲方服务需求。</w:t>
      </w:r>
      <w:r/>
    </w:p>
    <w:p>
      <w:pPr>
        <w:pStyle w:val="1254"/>
        <w:ind w:firstLine="24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6、乙方负责拟派管理团队所有人员食宿、工资福利、相关社保（含第三方责任险、意外伤害险等）、服装费、管理费、培训费、税费等与本项目运营团队人员管理（不限于下述1--3项，全面服从甲方本项目运营管理需求）相关的费用 。</w:t>
      </w:r>
      <w:r/>
    </w:p>
    <w:p>
      <w:pPr>
        <w:pStyle w:val="1254"/>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（1）乙方须承诺按月发放人员工资，工资总额不得低于现行当地执行最低基础保障工资总额 ；</w:t>
      </w:r>
      <w:r/>
    </w:p>
    <w:p>
      <w:pPr>
        <w:pStyle w:val="1254"/>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（2）乙方须执行国家社保相关规定，提供承诺书（格式自拟），且乙方自行全面承担本项目服务期限内可能产生的安全责任和劳动、经济纠纷等风险责任。</w:t>
      </w:r>
      <w:r/>
    </w:p>
    <w:p>
      <w:pPr>
        <w:pStyle w:val="1254"/>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（3）乙方根据季节实际，发放员工服装。</w:t>
      </w:r>
      <w:r/>
    </w:p>
    <w:p>
      <w:pPr>
        <w:pStyle w:val="1270"/>
        <w:ind w:left="-237" w:firstLine="240"/>
        <w:pageBreakBefore w:val="0"/>
        <w:spacing w:line="500" w:lineRule="exact"/>
        <w:tabs>
          <w:tab w:val="left" w:pos="960" w:leader="none"/>
        </w:tabs>
        <w:rPr>
          <w:rFonts w:ascii="宋体" w:hAnsi="宋体" w:eastAsia="宋体"/>
          <w:color w:val="auto"/>
          <w:sz w:val="24"/>
          <w:szCs w:val="24"/>
          <w:highlight w:val="none"/>
        </w:rPr>
      </w:pPr>
      <w:r>
        <w:rPr>
          <w:rFonts w:ascii="宋体" w:hAnsi="宋体" w:eastAsia="宋体"/>
          <w:color w:val="auto"/>
          <w:sz w:val="24"/>
          <w:szCs w:val="24"/>
          <w:highlight w:val="none"/>
        </w:rPr>
        <w:t xml:space="preserve">7、在合同期满后，乙方全面配合做好项目衔接移交事务。合同到期，如乙方未能签约次年的项目服务合同，乙方应做好项目服务对象延续服务关联的信息档案交接衔接作，并妥善处理好未尽事项，保证项目服务管理工作的正常运转和顺利交接。</w:t>
      </w:r>
      <w:r/>
    </w:p>
    <w:p>
      <w:pPr>
        <w:pStyle w:val="1270"/>
        <w:ind w:left="-237" w:firstLine="240"/>
        <w:pageBreakBefore w:val="0"/>
        <w:spacing w:line="500" w:lineRule="exact"/>
        <w:tabs>
          <w:tab w:val="left" w:pos="960"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8、乙方全职、兼职或临时工作人员，凡参与本次服务人员应当遵守国家保密法律法规，保守秘密，不得泄露保密信息以及残疾人个人信息。对乙方故意泄露保密信息的工作服务人员，甲方有权解除合同对造成损失的乙方需赔偿损失，情节严重的，可以依法追究刑事责任。</w:t>
      </w:r>
      <w:r/>
    </w:p>
    <w:p>
      <w:pPr>
        <w:pStyle w:val="1171"/>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七、考评</w:t>
      </w:r>
      <w:r/>
    </w:p>
    <w:p>
      <w:pPr>
        <w:pStyle w:val="1171"/>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结合项目实施实际，逐步健全完善考评办法。</w:t>
      </w:r>
      <w:r/>
    </w:p>
    <w:p>
      <w:pPr>
        <w:pStyle w:val="906"/>
        <w:pageBreakBefore w:val="0"/>
        <w:spacing w:line="500" w:lineRule="exact"/>
        <w:rPr>
          <w:rFonts w:ascii="宋体" w:hAnsi="宋体"/>
          <w:b/>
          <w:bCs/>
          <w:color w:val="auto"/>
          <w:sz w:val="24"/>
          <w:szCs w:val="24"/>
          <w:highlight w:val="none"/>
        </w:rPr>
      </w:pPr>
      <w:r>
        <w:rPr>
          <w:rFonts w:ascii="宋体" w:hAnsi="宋体"/>
          <w:b/>
          <w:bCs/>
          <w:color w:val="auto"/>
          <w:sz w:val="24"/>
          <w:szCs w:val="24"/>
          <w:highlight w:val="none"/>
        </w:rPr>
        <w:t xml:space="preserve">八、费用支付方式 </w:t>
      </w:r>
      <w:r/>
    </w:p>
    <w:p>
      <w:pPr>
        <w:pStyle w:val="903"/>
        <w:pageBreakBefore w:val="0"/>
        <w:spacing w:line="500" w:lineRule="exact"/>
        <w:widowControl/>
        <w:rPr>
          <w:rFonts w:hint="eastAsia" w:ascii="宋体" w:hAnsi="宋体"/>
          <w:color w:val="auto"/>
          <w:sz w:val="24"/>
          <w:szCs w:val="24"/>
          <w:highlight w:val="none"/>
        </w:rPr>
      </w:pPr>
      <w:r>
        <w:rPr>
          <w:rFonts w:ascii="宋体" w:hAnsi="宋体"/>
          <w:b/>
          <w:bCs/>
          <w:color w:val="auto"/>
          <w:sz w:val="24"/>
          <w:szCs w:val="24"/>
          <w:highlight w:val="none"/>
        </w:rPr>
        <w:t xml:space="preserve">1、</w:t>
      </w:r>
      <w:r>
        <w:rPr>
          <w:rFonts w:ascii="宋体" w:hAnsi="宋体"/>
          <w:b/>
          <w:bCs/>
          <w:color w:val="auto"/>
          <w:spacing w:val="-5"/>
          <w:sz w:val="24"/>
          <w:szCs w:val="24"/>
          <w:highlight w:val="none"/>
          <w:lang w:bidi="zh-CN"/>
        </w:rPr>
        <w:t xml:space="preserve">结算： </w:t>
      </w:r>
      <w:r>
        <w:rPr>
          <w:rFonts w:hint="eastAsia" w:ascii="宋体" w:hAnsi="宋体" w:eastAsia="宋体" w:cs="宋体"/>
          <w:color w:val="auto"/>
          <w:sz w:val="24"/>
          <w:szCs w:val="22"/>
          <w:highlight w:val="none"/>
          <w:lang w:val="en-US" w:eastAsia="zh-CN" w:bidi="ar-SA"/>
        </w:rPr>
        <w:t xml:space="preserve">每月200元/人，</w:t>
      </w:r>
      <w:r>
        <w:rPr>
          <w:rFonts w:ascii="宋体" w:hAnsi="宋体" w:eastAsia="宋体"/>
          <w:color w:val="auto"/>
          <w:sz w:val="24"/>
          <w:szCs w:val="24"/>
          <w:highlight w:val="none"/>
        </w:rPr>
        <w:t xml:space="preserve">每月服务次数不少于3次，</w:t>
      </w:r>
      <w:r>
        <w:rPr>
          <w:rFonts w:hint="eastAsia" w:ascii="宋体" w:hAnsi="宋体" w:eastAsia="宋体"/>
          <w:color w:val="auto"/>
          <w:sz w:val="24"/>
          <w:szCs w:val="24"/>
          <w:highlight w:val="none"/>
          <w:lang w:val="en-US" w:eastAsia="zh-CN"/>
        </w:rPr>
        <w:t xml:space="preserve">未达到3次的按照</w:t>
      </w:r>
      <w:r>
        <w:rPr>
          <w:rFonts w:hint="eastAsia" w:ascii="宋体" w:hAnsi="宋体" w:eastAsia="宋体" w:cs="宋体"/>
          <w:color w:val="auto"/>
          <w:sz w:val="24"/>
          <w:szCs w:val="22"/>
          <w:highlight w:val="none"/>
          <w:lang w:val="en-US" w:eastAsia="zh-CN" w:bidi="ar-SA"/>
        </w:rPr>
        <w:t xml:space="preserve">每月200元/人的三分一*次数结算</w:t>
      </w:r>
      <w:r>
        <w:rPr>
          <w:rFonts w:hint="eastAsia" w:ascii="宋体" w:hAnsi="宋体"/>
          <w:color w:val="auto"/>
          <w:sz w:val="24"/>
          <w:szCs w:val="24"/>
          <w:highlight w:val="none"/>
        </w:rPr>
        <w:t xml:space="preserve">。</w:t>
      </w:r>
      <w:r/>
    </w:p>
    <w:p>
      <w:pPr>
        <w:pStyle w:val="1271"/>
        <w:ind w:right="431" w:firstLine="0"/>
        <w:pageBreakBefore w:val="0"/>
        <w:spacing w:before="2" w:line="500" w:lineRule="exact"/>
        <w:tabs>
          <w:tab w:val="left" w:pos="950" w:leader="none"/>
        </w:tabs>
        <w:rPr>
          <w:rFonts w:ascii="宋体" w:hAnsi="宋体"/>
          <w:b/>
          <w:bCs/>
          <w:color w:val="auto"/>
          <w:spacing w:val="-5"/>
          <w:sz w:val="24"/>
          <w:szCs w:val="24"/>
          <w:highlight w:val="none"/>
          <w:lang w:bidi="zh-CN"/>
        </w:rPr>
      </w:pPr>
      <w:r>
        <w:rPr>
          <w:rFonts w:ascii="宋体" w:hAnsi="宋体"/>
          <w:b/>
          <w:bCs/>
          <w:color w:val="auto"/>
          <w:spacing w:val="-13"/>
          <w:sz w:val="24"/>
          <w:szCs w:val="24"/>
          <w:highlight w:val="none"/>
        </w:rPr>
        <w:t xml:space="preserve"> 2、</w:t>
      </w:r>
      <w:r>
        <w:rPr>
          <w:rFonts w:ascii="宋体" w:hAnsi="宋体"/>
          <w:b/>
          <w:bCs/>
          <w:color w:val="auto"/>
          <w:spacing w:val="-5"/>
          <w:sz w:val="24"/>
          <w:szCs w:val="24"/>
          <w:highlight w:val="none"/>
          <w:lang w:bidi="zh-CN"/>
        </w:rPr>
        <w:t xml:space="preserve">付款方式：</w:t>
      </w:r>
      <w:r/>
    </w:p>
    <w:p>
      <w:pPr>
        <w:pStyle w:val="903"/>
        <w:pageBreakBefore w:val="0"/>
        <w:spacing w:line="500" w:lineRule="exact"/>
        <w:rPr>
          <w:rFonts w:ascii="宋体" w:hAnsi="宋体"/>
          <w:color w:val="auto"/>
          <w:sz w:val="24"/>
          <w:szCs w:val="24"/>
          <w:highlight w:val="none"/>
        </w:rPr>
      </w:pPr>
      <w:r>
        <w:rPr>
          <w:rFonts w:ascii="宋体" w:hAnsi="宋体"/>
          <w:color w:val="auto"/>
          <w:spacing w:val="-13"/>
          <w:sz w:val="24"/>
          <w:szCs w:val="24"/>
          <w:highlight w:val="none"/>
        </w:rPr>
        <w:t xml:space="preserve"> </w:t>
      </w:r>
      <w:r>
        <w:rPr>
          <w:rFonts w:ascii="宋体" w:hAnsi="宋体"/>
          <w:color w:val="auto"/>
          <w:sz w:val="24"/>
          <w:szCs w:val="24"/>
          <w:highlight w:val="none"/>
        </w:rPr>
        <w:t xml:space="preserve">合同签订后，且在收到供应商发票后15日内，支付合同价款10%的预付款；</w:t>
      </w:r>
      <w:r>
        <w:rPr>
          <w:rFonts w:hint="eastAsia" w:ascii="宋体" w:hAnsi="宋体"/>
          <w:color w:val="auto"/>
          <w:sz w:val="24"/>
          <w:szCs w:val="24"/>
          <w:highlight w:val="none"/>
        </w:rPr>
        <w:t xml:space="preserve">根据项目进度每半年付款一次 ，且收到供应商发票后15日内，根据考核验收结果据实支付服务费用。</w:t>
      </w:r>
      <w:r/>
    </w:p>
    <w:p>
      <w:pPr>
        <w:pStyle w:val="1272"/>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w:t>
      </w:r>
      <w:r>
        <w:rPr>
          <w:rStyle w:val="1273"/>
          <w:rFonts w:ascii="宋体" w:hAnsi="宋体" w:eastAsia="宋体"/>
          <w:color w:val="auto"/>
          <w:sz w:val="24"/>
          <w:szCs w:val="24"/>
          <w:highlight w:val="none"/>
        </w:rPr>
        <w:t xml:space="preserve">签订合同时，中标人如明确表示无需预付款或主动要求降低预付款比例的，采购人可不适用前述规定。</w:t>
      </w:r>
      <w:r>
        <w:rPr>
          <w:rFonts w:ascii="宋体" w:hAnsi="宋体"/>
          <w:color w:val="auto"/>
          <w:sz w:val="24"/>
          <w:szCs w:val="24"/>
          <w:highlight w:val="none"/>
        </w:rPr>
        <w:t xml:space="preserve">）</w:t>
      </w:r>
      <w:r/>
    </w:p>
    <w:p>
      <w:pPr>
        <w:pStyle w:val="903"/>
        <w:ind w:firstLine="482"/>
        <w:pageBreakBefore w:val="0"/>
        <w:spacing w:line="500" w:lineRule="exact"/>
        <w:rPr>
          <w:rFonts w:hint="default"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注：鉴于托养人员属于动态管理（人员随时会因拒绝服务、</w:t>
      </w:r>
      <w:r>
        <w:rPr>
          <w:rFonts w:hint="default" w:ascii="宋体" w:hAnsi="宋体" w:eastAsia="宋体" w:cs="Times New Roman"/>
          <w:b/>
          <w:bCs/>
          <w:color w:val="auto"/>
          <w:sz w:val="24"/>
          <w:szCs w:val="24"/>
          <w:highlight w:val="none"/>
          <w:lang w:val="en-US" w:eastAsia="zh-CN"/>
        </w:rPr>
        <w:t xml:space="preserve">死亡、住院、搬迁、走失等特殊</w:t>
      </w:r>
      <w:r>
        <w:rPr>
          <w:rFonts w:hint="eastAsia" w:ascii="宋体" w:hAnsi="宋体" w:eastAsia="宋体" w:cs="Times New Roman"/>
          <w:b/>
          <w:bCs/>
          <w:color w:val="auto"/>
          <w:sz w:val="24"/>
          <w:szCs w:val="24"/>
          <w:highlight w:val="none"/>
          <w:lang w:val="en-US" w:eastAsia="zh-CN"/>
        </w:rPr>
        <w:t xml:space="preserve">不可控</w:t>
      </w:r>
      <w:r>
        <w:rPr>
          <w:rFonts w:hint="default" w:ascii="宋体" w:hAnsi="宋体" w:eastAsia="宋体" w:cs="Times New Roman"/>
          <w:b/>
          <w:bCs/>
          <w:color w:val="auto"/>
          <w:sz w:val="24"/>
          <w:szCs w:val="24"/>
          <w:highlight w:val="none"/>
          <w:lang w:val="en-US" w:eastAsia="zh-CN"/>
        </w:rPr>
        <w:t xml:space="preserve">原因无法</w:t>
      </w:r>
      <w:r>
        <w:rPr>
          <w:rFonts w:hint="eastAsia" w:ascii="宋体" w:hAnsi="宋体" w:eastAsia="宋体" w:cs="Times New Roman"/>
          <w:b/>
          <w:bCs/>
          <w:color w:val="auto"/>
          <w:sz w:val="24"/>
          <w:szCs w:val="24"/>
          <w:highlight w:val="none"/>
          <w:lang w:val="en-US" w:eastAsia="zh-CN"/>
        </w:rPr>
        <w:t xml:space="preserve">继续</w:t>
      </w:r>
      <w:r>
        <w:rPr>
          <w:rFonts w:hint="default" w:ascii="宋体" w:hAnsi="宋体" w:eastAsia="宋体" w:cs="Times New Roman"/>
          <w:b/>
          <w:bCs/>
          <w:color w:val="auto"/>
          <w:sz w:val="24"/>
          <w:szCs w:val="24"/>
          <w:highlight w:val="none"/>
          <w:lang w:val="en-US" w:eastAsia="zh-CN"/>
        </w:rPr>
        <w:t xml:space="preserve">接受服务</w:t>
      </w:r>
      <w:r>
        <w:rPr>
          <w:rFonts w:hint="eastAsia" w:ascii="宋体" w:hAnsi="宋体" w:eastAsia="宋体" w:cs="Times New Roman"/>
          <w:b/>
          <w:bCs/>
          <w:color w:val="auto"/>
          <w:sz w:val="24"/>
          <w:szCs w:val="24"/>
          <w:highlight w:val="none"/>
          <w:lang w:val="en-US" w:eastAsia="zh-CN"/>
        </w:rPr>
        <w:t xml:space="preserve">），且基于自愿原则，人员可随时申请入托或退托，变动性较强，因此本项目服务人数为暂定计划</w:t>
      </w:r>
      <w:r>
        <w:rPr>
          <w:rFonts w:hint="eastAsia" w:ascii="宋体" w:hAnsi="宋体" w:cs="Times New Roman"/>
          <w:b/>
          <w:bCs/>
          <w:color w:val="auto"/>
          <w:sz w:val="24"/>
          <w:szCs w:val="24"/>
          <w:highlight w:val="none"/>
          <w:lang w:val="en-US" w:eastAsia="zh-CN"/>
        </w:rPr>
        <w:t xml:space="preserve">人</w:t>
      </w:r>
      <w:r>
        <w:rPr>
          <w:rFonts w:hint="eastAsia" w:ascii="宋体" w:hAnsi="宋体" w:eastAsia="宋体" w:cs="Times New Roman"/>
          <w:b/>
          <w:bCs/>
          <w:color w:val="auto"/>
          <w:sz w:val="24"/>
          <w:szCs w:val="24"/>
          <w:highlight w:val="none"/>
          <w:lang w:val="en-US" w:eastAsia="zh-CN"/>
        </w:rPr>
        <w:t xml:space="preserve">数，最终费用结算将以每月实际</w:t>
      </w:r>
      <w:r>
        <w:rPr>
          <w:rFonts w:hint="eastAsia" w:ascii="宋体" w:hAnsi="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val="en-US" w:eastAsia="zh-CN"/>
        </w:rPr>
        <w:t xml:space="preserve">的人数和次数为准。</w:t>
      </w:r>
      <w:r/>
    </w:p>
    <w:p>
      <w:pPr>
        <w:pStyle w:val="1268"/>
        <w:ind w:firstLine="0"/>
        <w:pageBreakBefore w:val="0"/>
        <w:spacing w:line="500" w:lineRule="exact"/>
        <w:tabs>
          <w:tab w:val="left" w:pos="780" w:leader="none"/>
        </w:tabs>
        <w:rPr>
          <w:rFonts w:ascii="宋体" w:hAnsi="宋体" w:eastAsia="宋体"/>
          <w:color w:val="auto"/>
          <w:sz w:val="24"/>
          <w:szCs w:val="24"/>
          <w:highlight w:val="none"/>
          <w:lang w:bidi="zh-CN"/>
        </w:rPr>
      </w:pPr>
      <w:r>
        <w:rPr>
          <w:rFonts w:hint="eastAsia" w:ascii="宋体" w:hAnsi="宋体" w:eastAsia="宋体"/>
          <w:b/>
          <w:color w:val="auto"/>
          <w:sz w:val="24"/>
          <w:szCs w:val="24"/>
          <w:highlight w:val="none"/>
        </w:rPr>
        <w:t xml:space="preserve">九</w:t>
      </w:r>
      <w:r>
        <w:rPr>
          <w:rFonts w:ascii="宋体" w:hAnsi="宋体" w:eastAsia="宋体"/>
          <w:b/>
          <w:color w:val="auto"/>
          <w:sz w:val="24"/>
          <w:szCs w:val="24"/>
          <w:highlight w:val="none"/>
        </w:rPr>
        <w:t xml:space="preserve">、违约责任</w:t>
      </w:r>
      <w:r/>
    </w:p>
    <w:p>
      <w:pPr>
        <w:pStyle w:val="1268"/>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1、合同履行过程中，如乙方擅自终止合同，乙方须向甲方支付违约金5万元整。</w:t>
      </w:r>
      <w:r/>
    </w:p>
    <w:p>
      <w:pPr>
        <w:pStyle w:val="1268"/>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2、乙方不按期完成合同约定的内容，应向甲方支付违约金，除甲方或不可抗力造成原因外，每延迟交付一天，按合同总价款的</w:t>
      </w:r>
      <w:r>
        <w:rPr>
          <w:rFonts w:hint="eastAsia" w:ascii="宋体" w:hAnsi="宋体" w:eastAsia="宋体"/>
          <w:color w:val="auto"/>
          <w:sz w:val="24"/>
          <w:szCs w:val="24"/>
          <w:highlight w:val="none"/>
          <w:lang w:val="en-US" w:bidi="zh-CN"/>
        </w:rPr>
        <w:t xml:space="preserve">0.</w:t>
      </w:r>
      <w:r>
        <w:rPr>
          <w:rFonts w:ascii="宋体" w:hAnsi="宋体" w:eastAsia="宋体"/>
          <w:color w:val="auto"/>
          <w:sz w:val="24"/>
          <w:szCs w:val="24"/>
          <w:highlight w:val="none"/>
          <w:lang w:bidi="zh-CN"/>
        </w:rPr>
        <w:t xml:space="preserve">1% 支付违约金，延期超过</w:t>
      </w:r>
      <w:r>
        <w:rPr>
          <w:rFonts w:hint="eastAsia" w:ascii="宋体" w:hAnsi="宋体" w:eastAsia="宋体"/>
          <w:color w:val="auto"/>
          <w:sz w:val="24"/>
          <w:szCs w:val="24"/>
          <w:highlight w:val="none"/>
          <w:lang w:val="en-US" w:bidi="zh-CN"/>
        </w:rPr>
        <w:t xml:space="preserve">10</w:t>
      </w:r>
      <w:r>
        <w:rPr>
          <w:rFonts w:ascii="宋体" w:hAnsi="宋体" w:eastAsia="宋体"/>
          <w:color w:val="auto"/>
          <w:sz w:val="24"/>
          <w:szCs w:val="24"/>
          <w:highlight w:val="none"/>
          <w:lang w:bidi="zh-CN"/>
        </w:rPr>
        <w:t xml:space="preserve">日，甲方有权强制解除合同。      </w:t>
      </w:r>
      <w:r/>
    </w:p>
    <w:p>
      <w:pPr>
        <w:pStyle w:val="1268"/>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3、非因甲方原因，乙方不履行本合同规定的义务，致使工期延误，甲方有权要求其强制履行或解除合同，并要求乙方等额赔偿由此造成的一切损失。</w:t>
      </w:r>
      <w:r/>
    </w:p>
    <w:p>
      <w:pPr>
        <w:pStyle w:val="1268"/>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4、本项目不得转让分包，如有发生，无条件清理退场，所造成的一切损失由乙方负责。</w:t>
      </w:r>
      <w:r/>
    </w:p>
    <w:p>
      <w:pPr>
        <w:pStyle w:val="1268"/>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5、如甲方未能按本合同约定时间支付乙方合同报酬，按逾期付款金额的每日万分之三向乙方支付违约金；客观原因除外。</w:t>
      </w:r>
      <w:r/>
    </w:p>
    <w:p>
      <w:pPr>
        <w:pStyle w:val="906"/>
        <w:ind w:firstLine="241"/>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十、合同生效及审核</w:t>
      </w:r>
      <w:r/>
    </w:p>
    <w:p>
      <w:pPr>
        <w:pStyle w:val="1268"/>
        <w:ind w:left="-178" w:firstLine="480"/>
        <w:pageBreakBefore w:val="0"/>
        <w:spacing w:line="500" w:lineRule="exact"/>
        <w:tabs>
          <w:tab w:val="left" w:pos="780" w:leader="none"/>
        </w:tabs>
        <w:rPr>
          <w:rFonts w:ascii="宋体" w:hAnsi="宋体" w:eastAsia="宋体"/>
          <w:color w:val="auto"/>
          <w:sz w:val="24"/>
          <w:szCs w:val="24"/>
          <w:highlight w:val="none"/>
          <w:lang w:bidi="zh-CN"/>
        </w:rPr>
      </w:pPr>
      <w:r>
        <w:rPr>
          <w:rFonts w:ascii="宋体" w:hAnsi="宋体" w:eastAsia="宋体"/>
          <w:color w:val="auto"/>
          <w:sz w:val="24"/>
          <w:szCs w:val="24"/>
          <w:highlight w:val="none"/>
          <w:lang w:bidi="zh-CN"/>
        </w:rPr>
        <w:t xml:space="preserve">本合同经甲方、乙方签字盖章后生效，合同签订的内容不能超出招标文件和投标文件的实质性内容。</w:t>
      </w:r>
      <w:r/>
    </w:p>
    <w:p>
      <w:pPr>
        <w:pStyle w:val="906"/>
        <w:ind w:firstLine="241"/>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、合同的组成部分</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本合同条款、中标通知书、招标文件、投标文件及供应商在磋商时的书面承诺等构成合同的组成部分。 </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、合同份数</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本合同一式陆份，以中文书写，甲方、乙方各执叁份 。</w:t>
      </w:r>
      <w:r/>
    </w:p>
    <w:p>
      <w:pPr>
        <w:pStyle w:val="906"/>
        <w:pageBreakBefore w:val="0"/>
        <w:spacing w:line="500" w:lineRule="exact"/>
        <w:rPr>
          <w:rFonts w:ascii="宋体" w:hAnsi="宋体"/>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w:t>
      </w:r>
      <w:r>
        <w:rPr>
          <w:rFonts w:ascii="宋体" w:hAnsi="宋体"/>
          <w:color w:val="auto"/>
          <w:sz w:val="24"/>
          <w:szCs w:val="24"/>
          <w:highlight w:val="none"/>
        </w:rPr>
        <w:t xml:space="preserve">本合同一切未尽事宜，按合同法有关规定执行，无相关规定的，由甲乙双方协商解决。</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rPr>
        <w:t xml:space="preserve">四</w:t>
      </w:r>
      <w:r>
        <w:rPr>
          <w:rFonts w:ascii="宋体" w:hAnsi="宋体"/>
          <w:b/>
          <w:color w:val="auto"/>
          <w:sz w:val="24"/>
          <w:szCs w:val="24"/>
          <w:highlight w:val="none"/>
        </w:rPr>
        <w:t xml:space="preserve">、不可抗力</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因</w:t>
      </w:r>
      <w:r>
        <w:rPr>
          <w:rFonts w:hint="eastAsia" w:ascii="宋体" w:hAnsi="宋体" w:cs="Times New Roman"/>
          <w:color w:val="auto"/>
          <w:sz w:val="24"/>
          <w:szCs w:val="24"/>
          <w:highlight w:val="none"/>
          <w:lang w:val="en-US" w:eastAsia="zh-CN"/>
        </w:rPr>
        <w:t xml:space="preserve">出现</w:t>
      </w:r>
      <w:r>
        <w:rPr>
          <w:rFonts w:hint="default" w:ascii="宋体" w:hAnsi="宋体" w:eastAsia="宋体" w:cs="Times New Roman"/>
          <w:color w:val="auto"/>
          <w:sz w:val="24"/>
          <w:szCs w:val="24"/>
          <w:highlight w:val="none"/>
          <w:lang w:val="en-US" w:eastAsia="zh-CN"/>
        </w:rPr>
        <w:t xml:space="preserve">下列不可归责于乙方情形的，乙方不承担本协议第</w:t>
      </w:r>
      <w:r>
        <w:rPr>
          <w:rFonts w:hint="eastAsia" w:ascii="宋体" w:hAnsi="宋体" w:cs="Times New Roman"/>
          <w:color w:val="auto"/>
          <w:sz w:val="24"/>
          <w:szCs w:val="24"/>
          <w:highlight w:val="none"/>
          <w:lang w:val="en-US" w:eastAsia="zh-CN"/>
        </w:rPr>
        <w:t xml:space="preserve">九</w:t>
      </w:r>
      <w:r>
        <w:rPr>
          <w:rFonts w:hint="default" w:ascii="宋体" w:hAnsi="宋体" w:eastAsia="宋体" w:cs="Times New Roman"/>
          <w:color w:val="auto"/>
          <w:sz w:val="24"/>
          <w:szCs w:val="24"/>
          <w:highlight w:val="none"/>
          <w:lang w:val="en-US" w:eastAsia="zh-CN"/>
        </w:rPr>
        <w:t xml:space="preserve">条约定的违约责任，但需履行相应告知及配合义务：</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1.不可抗力：地震、洪水、台风等自然灾害，或突发公共卫生事件、疫情防控等紧急措施，导致乙方无法正常提供服务的；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2.政策调整：上级主管部门发布新政策，导致服务对象范围、服务标准等发生重大变化，乙方无法按原计划提供服务的；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3.服务对象因素：服务对象拒绝</w:t>
      </w:r>
      <w:r>
        <w:rPr>
          <w:rFonts w:hint="eastAsia" w:ascii="宋体" w:hAnsi="宋体" w:eastAsia="宋体" w:cs="Times New Roman"/>
          <w:color w:val="auto"/>
          <w:sz w:val="24"/>
          <w:szCs w:val="24"/>
          <w:highlight w:val="none"/>
          <w:lang w:val="en-US" w:eastAsia="zh-CN"/>
        </w:rPr>
        <w:t xml:space="preserve">继续接受</w:t>
      </w:r>
      <w:r>
        <w:rPr>
          <w:rFonts w:hint="default" w:ascii="宋体" w:hAnsi="宋体" w:eastAsia="宋体" w:cs="Times New Roman"/>
          <w:color w:val="auto"/>
          <w:sz w:val="24"/>
          <w:szCs w:val="24"/>
          <w:highlight w:val="none"/>
          <w:lang w:val="en-US" w:eastAsia="zh-CN"/>
        </w:rPr>
        <w:t xml:space="preserve">服务自愿退出，或服务对象因死亡、住院、搬迁、走失等特殊</w:t>
      </w:r>
      <w:r>
        <w:rPr>
          <w:rFonts w:hint="eastAsia" w:ascii="宋体" w:hAnsi="宋体" w:eastAsia="宋体" w:cs="Times New Roman"/>
          <w:color w:val="auto"/>
          <w:sz w:val="24"/>
          <w:szCs w:val="24"/>
          <w:highlight w:val="none"/>
          <w:lang w:val="en-US" w:eastAsia="zh-CN"/>
        </w:rPr>
        <w:t xml:space="preserve">不可控</w:t>
      </w:r>
      <w:r>
        <w:rPr>
          <w:rFonts w:hint="default" w:ascii="宋体" w:hAnsi="宋体" w:eastAsia="宋体" w:cs="Times New Roman"/>
          <w:color w:val="auto"/>
          <w:sz w:val="24"/>
          <w:szCs w:val="24"/>
          <w:highlight w:val="none"/>
          <w:lang w:val="en-US" w:eastAsia="zh-CN"/>
        </w:rPr>
        <w:t xml:space="preserve">原因无法</w:t>
      </w:r>
      <w:r>
        <w:rPr>
          <w:rFonts w:hint="eastAsia" w:ascii="宋体" w:hAnsi="宋体" w:eastAsia="宋体" w:cs="Times New Roman"/>
          <w:color w:val="auto"/>
          <w:sz w:val="24"/>
          <w:szCs w:val="24"/>
          <w:highlight w:val="none"/>
          <w:lang w:val="en-US" w:eastAsia="zh-CN"/>
        </w:rPr>
        <w:t xml:space="preserve">继续</w:t>
      </w:r>
      <w:r>
        <w:rPr>
          <w:rFonts w:hint="default" w:ascii="宋体" w:hAnsi="宋体" w:eastAsia="宋体" w:cs="Times New Roman"/>
          <w:color w:val="auto"/>
          <w:sz w:val="24"/>
          <w:szCs w:val="24"/>
          <w:highlight w:val="none"/>
          <w:lang w:val="en-US" w:eastAsia="zh-CN"/>
        </w:rPr>
        <w:t xml:space="preserve">接受服务，且乙方已及时向甲方报备的；</w:t>
      </w:r>
      <w:r/>
    </w:p>
    <w:p>
      <w:pPr>
        <w:ind w:firstLine="480"/>
        <w:keepLines w:val="0"/>
        <w:keepNext w:val="0"/>
        <w:pageBreakBefore w:val="0"/>
        <w:spacing w:line="600" w:lineRule="exact"/>
        <w:widowControl w:val="off"/>
        <w:rPr>
          <w:rFonts w:hint="default"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rPr>
        <w:t xml:space="preserve">4.其他：经甲乙双方书面确认的其他不可归责于乙方的客观情形。</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在不可抗力事件发生后，乙方应尽快将不可抗力的情况和原因通知甲方，同时应尽实际可能继续履行合同义务。</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五</w:t>
      </w:r>
      <w:r>
        <w:rPr>
          <w:rFonts w:ascii="宋体" w:hAnsi="宋体"/>
          <w:b/>
          <w:color w:val="auto"/>
          <w:sz w:val="24"/>
          <w:szCs w:val="24"/>
          <w:highlight w:val="none"/>
        </w:rPr>
        <w:t xml:space="preserve">、税费</w:t>
      </w:r>
      <w:r/>
    </w:p>
    <w:p>
      <w:pPr>
        <w:pStyle w:val="906"/>
        <w:ind w:firstLine="480"/>
        <w:pageBreakBefore w:val="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中国政府根据现行税法规定对甲方征收的与本合同有关的一切税费由甲方负担；规定对乙方征收的与本合同有关的一切税费由乙方负担。</w:t>
      </w:r>
      <w:r/>
    </w:p>
    <w:p>
      <w:pPr>
        <w:pStyle w:val="906"/>
        <w:pageBreakBefore w:val="0"/>
        <w:spacing w:line="500" w:lineRule="exact"/>
        <w:rPr>
          <w:rFonts w:ascii="宋体" w:hAnsi="宋体"/>
          <w:b/>
          <w:color w:val="auto"/>
          <w:sz w:val="24"/>
          <w:szCs w:val="24"/>
          <w:highlight w:val="none"/>
        </w:rPr>
      </w:pPr>
      <w:r>
        <w:rPr>
          <w:rFonts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六</w:t>
      </w:r>
      <w:r>
        <w:rPr>
          <w:rFonts w:ascii="宋体" w:hAnsi="宋体"/>
          <w:b/>
          <w:color w:val="auto"/>
          <w:sz w:val="24"/>
          <w:szCs w:val="24"/>
          <w:highlight w:val="none"/>
        </w:rPr>
        <w:t xml:space="preserve">、合同争议</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甲乙双方应通过友好协商，解决在执行本合同中所发生的或与本合同有关的一切争议。如果协商仍得不到解决，任何一方均可依法向宿迁市人民法院起诉。</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如遇政策调整，双方协商一致后以补充协议形式执行，补充协议与主合同具有同等效力。</w:t>
      </w:r>
      <w:r/>
    </w:p>
    <w:p>
      <w:pPr>
        <w:pStyle w:val="906"/>
        <w:pageBreakBefore w:val="0"/>
        <w:spacing w:line="500" w:lineRule="exact"/>
        <w:rPr>
          <w:rFonts w:ascii="宋体" w:hAns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七</w:t>
      </w:r>
      <w:r>
        <w:rPr>
          <w:rFonts w:ascii="宋体" w:hAnsi="宋体"/>
          <w:b/>
          <w:color w:val="auto"/>
          <w:sz w:val="24"/>
          <w:szCs w:val="24"/>
          <w:highlight w:val="none"/>
        </w:rPr>
        <w:t xml:space="preserve">、适用法律</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本合同应按照中华人民共和国的现行法律进行解释。</w:t>
      </w:r>
      <w:r/>
    </w:p>
    <w:p>
      <w:pPr>
        <w:pStyle w:val="1275"/>
        <w:pageBreakBefore w:val="0"/>
        <w:spacing w:before="0" w:after="0"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十</w:t>
      </w:r>
      <w:r>
        <w:rPr>
          <w:rFonts w:hint="eastAsia" w:ascii="宋体" w:hAnsi="宋体" w:eastAsia="宋体"/>
          <w:color w:val="auto"/>
          <w:sz w:val="24"/>
          <w:szCs w:val="24"/>
          <w:highlight w:val="none"/>
          <w:lang w:val="en-US" w:eastAsia="zh-CN"/>
        </w:rPr>
        <w:t xml:space="preserve">八</w:t>
      </w:r>
      <w:r>
        <w:rPr>
          <w:rFonts w:ascii="宋体" w:hAnsi="宋体" w:eastAsia="宋体"/>
          <w:color w:val="auto"/>
          <w:sz w:val="24"/>
          <w:szCs w:val="24"/>
          <w:highlight w:val="none"/>
        </w:rPr>
        <w:t xml:space="preserve">、法律文书送达</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甲方确认法律文书送达地址为</w:t>
      </w:r>
      <w:r>
        <w:rPr>
          <w:rFonts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联系人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，乙方确认法律文书送达地址为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联系人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275"/>
        <w:pageBreakBefore w:val="0"/>
        <w:spacing w:before="0" w:after="0" w:line="500" w:lineRule="exact"/>
        <w:rPr>
          <w:rFonts w:ascii="宋体" w:hAnsi="宋体" w:eastAsia="宋体"/>
          <w:b w:val="0"/>
          <w:bCs/>
          <w:color w:val="auto"/>
          <w:sz w:val="24"/>
          <w:szCs w:val="24"/>
          <w:highlight w:val="none"/>
        </w:rPr>
      </w:pPr>
      <w:r>
        <w:rPr>
          <w:rFonts w:ascii="宋体" w:hAnsi="宋体" w:eastAsia="宋体"/>
          <w:color w:val="auto"/>
          <w:sz w:val="24"/>
          <w:szCs w:val="24"/>
          <w:highlight w:val="none"/>
        </w:rPr>
        <w:t xml:space="preserve">    </w:t>
      </w:r>
      <w:r>
        <w:rPr>
          <w:rFonts w:ascii="宋体" w:hAnsi="宋体" w:eastAsia="宋体"/>
          <w:b w:val="0"/>
          <w:bCs/>
          <w:color w:val="auto"/>
          <w:sz w:val="24"/>
          <w:szCs w:val="24"/>
          <w:highlight w:val="none"/>
        </w:rPr>
        <w:t xml:space="preserve">如发生变更的，需及时书面通知对方。否则，如发生法律文书退回的，退回之日即为法律文书送达之日。</w:t>
      </w:r>
      <w:r/>
    </w:p>
    <w:p>
      <w:pPr>
        <w:pStyle w:val="906"/>
        <w:ind w:firstLine="48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前述地址也作为诉讼、执行阶段的法律文书送达地址。</w:t>
      </w:r>
      <w:r/>
    </w:p>
    <w:p>
      <w:pPr>
        <w:pStyle w:val="906"/>
        <w:ind w:left="420" w:firstLine="65"/>
        <w:pageBreakBefore w:val="0"/>
        <w:spacing w:line="500" w:lineRule="exact"/>
        <w:rPr>
          <w:rFonts w:ascii="宋体" w:hAnsi="宋体"/>
          <w:color w:val="auto"/>
          <w:sz w:val="24"/>
          <w:szCs w:val="24"/>
          <w:highlight w:val="none"/>
        </w:rPr>
      </w:pPr>
      <w:r>
        <w:rPr>
          <w:rFonts w:ascii="宋体" w:hAnsi="宋体"/>
          <w:b/>
          <w:bCs/>
          <w:color w:val="auto"/>
          <w:sz w:val="24"/>
          <w:szCs w:val="24"/>
          <w:highlight w:val="none"/>
        </w:rPr>
        <w:t xml:space="preserve">（以下至签字章盖前为空白）</w:t>
      </w:r>
      <w:r/>
    </w:p>
    <w:p>
      <w:pPr>
        <w:ind w:firstLine="480"/>
        <w:spacing w:before="19" w:line="520" w:lineRule="exact"/>
        <w:widowControl/>
        <w:rPr>
          <w:rFonts w:ascii="宋体" w:hAnsi="宋体" w:cs="仿宋"/>
          <w:bCs/>
          <w:color w:val="auto"/>
          <w:sz w:val="24"/>
          <w:szCs w:val="24"/>
          <w:highlight w:val="none"/>
        </w:rPr>
      </w:pPr>
      <w:r>
        <w:rPr>
          <w:rFonts w:ascii="宋体" w:hAnsi="宋体"/>
          <w:color w:val="auto"/>
          <w:sz w:val="24"/>
          <w:szCs w:val="24"/>
          <w:highlight w:val="none"/>
        </w:rPr>
        <w:t xml:space="preserve">  </w:t>
      </w:r>
      <w:r>
        <w:rPr>
          <w:rFonts w:hint="eastAsia" w:ascii="宋体" w:hAnsi="宋体" w:cs="仿宋"/>
          <w:bCs/>
          <w:color w:val="auto"/>
          <w:sz w:val="24"/>
          <w:szCs w:val="24"/>
          <w:highlight w:val="none"/>
        </w:rPr>
        <w:t xml:space="preserve">本合同应按照中华人民共和国的现行法律进行解释。</w:t>
      </w:r>
      <w:r/>
    </w:p>
    <w:tbl>
      <w:tblPr>
        <w:tblStyle w:val="81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  （盖章）</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   （盖章）</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法定（授权）代表人：</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700" w:type="dxa"/>
            <w:textDirection w:val="lrTb"/>
            <w:noWrap w:val="false"/>
          </w:tcPr>
          <w:p>
            <w:pPr>
              <w:pStyle w:val="1266"/>
              <w:spacing w:line="600" w:lineRule="exact"/>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日期：    年   月   日</w:t>
            </w:r>
            <w:r/>
          </w:p>
        </w:tc>
      </w:tr>
    </w:tbl>
    <w:p>
      <w:pPr>
        <w:pStyle w:val="1193"/>
        <w:ind w:firstLine="720"/>
        <w:pageBreakBefore w:val="0"/>
        <w:spacing w:line="500" w:lineRule="exact"/>
        <w:widowControl/>
        <w:rPr>
          <w:rFonts w:hint="eastAsia" w:ascii="宋体" w:hAnsi="宋体"/>
          <w:color w:val="auto"/>
          <w:sz w:val="24"/>
          <w:szCs w:val="24"/>
          <w:highlight w:val="none"/>
        </w:rPr>
      </w:pPr>
      <w:r>
        <w:rPr>
          <w:rFonts w:ascii="宋体" w:hAnsi="宋体"/>
          <w:color w:val="auto"/>
          <w:sz w:val="24"/>
          <w:szCs w:val="24"/>
          <w:highlight w:val="none"/>
        </w:rPr>
        <w:t xml:space="preserve">         </w:t>
      </w:r>
      <w:r/>
    </w:p>
    <w:p>
      <w:pPr>
        <w:pStyle w:val="1266"/>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66"/>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66"/>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66"/>
        <w:ind w:firstLine="480"/>
        <w:jc w:val="left"/>
        <w:spacing w:line="520" w:lineRule="exac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keepLines w:val="0"/>
        <w:keepNext w:val="0"/>
        <w:pageBreakBefore w:val="0"/>
        <w:spacing w:line="480" w:lineRule="exact"/>
        <w:widowControl w:val="off"/>
        <w:rPr>
          <w:b/>
          <w:bCs/>
          <w:color w:val="auto"/>
          <w:sz w:val="40"/>
          <w:szCs w:val="40"/>
          <w:highlight w:val="none"/>
        </w:rPr>
        <w:sectPr>
          <w:footerReference w:type="default" r:id="rId14"/>
          <w:footnotePr/>
          <w:endnotePr/>
          <w:type w:val="continuous"/>
          <w:pgSz w:w="11906" w:h="16838" w:orient="portrait"/>
          <w:pgMar w:top="1440" w:right="1304" w:bottom="1440" w:left="1418" w:header="851" w:footer="992" w:gutter="0"/>
          <w:cols w:num="1" w:sep="0" w:space="720" w:equalWidth="1"/>
          <w:docGrid w:linePitch="360"/>
        </w:sectPr>
      </w:pPr>
      <w:r>
        <w:rPr>
          <w:b/>
          <w:bCs/>
          <w:color w:val="auto"/>
          <w:sz w:val="40"/>
          <w:szCs w:val="40"/>
          <w:highlight w:val="none"/>
        </w:rPr>
      </w:r>
      <w:r/>
    </w:p>
    <w:p>
      <w:pPr>
        <w:jc w:val="center"/>
        <w:keepLines w:val="0"/>
        <w:keepNext w:val="0"/>
        <w:pageBreakBefore w:val="0"/>
        <w:spacing w:line="480" w:lineRule="exact"/>
        <w:widowControl w:val="off"/>
        <w:rPr>
          <w:b/>
          <w:bCs/>
          <w:color w:val="auto"/>
          <w:sz w:val="40"/>
          <w:szCs w:val="40"/>
          <w:highlight w:val="none"/>
        </w:rPr>
      </w:pPr>
      <w:r>
        <w:rPr>
          <w:b/>
          <w:bCs/>
          <w:color w:val="auto"/>
          <w:sz w:val="40"/>
          <w:szCs w:val="40"/>
          <w:highlight w:val="none"/>
        </w:rPr>
        <w:t xml:space="preserve">宿城区残疾人居家托养</w:t>
      </w:r>
      <w:r>
        <w:rPr>
          <w:rFonts w:hint="eastAsia"/>
          <w:b/>
          <w:bCs/>
          <w:color w:val="auto"/>
          <w:sz w:val="40"/>
          <w:szCs w:val="40"/>
          <w:highlight w:val="none"/>
        </w:rPr>
        <w:t xml:space="preserve">服务绩效</w:t>
      </w:r>
      <w:r>
        <w:rPr>
          <w:b/>
          <w:bCs/>
          <w:color w:val="auto"/>
          <w:sz w:val="40"/>
          <w:szCs w:val="40"/>
          <w:highlight w:val="none"/>
        </w:rPr>
        <w:t xml:space="preserve">评价表</w:t>
      </w:r>
      <w:r/>
    </w:p>
    <w:tbl>
      <w:tblPr>
        <w:tblStyle w:val="810"/>
        <w:tblW w:w="8997" w:type="dxa"/>
        <w:tblInd w:w="94" w:type="dxa"/>
        <w:tblLayout w:type="fixed"/>
        <w:tblCellMar>
          <w:left w:w="108" w:type="dxa"/>
          <w:top w:w="0" w:type="dxa"/>
          <w:right w:w="108" w:type="dxa"/>
          <w:bottom w:w="0" w:type="dxa"/>
        </w:tblCellMar>
        <w:tblLook w:val="04A0" w:firstRow="1" w:lastRow="0" w:firstColumn="1" w:lastColumn="0" w:noHBand="0" w:noVBand="1"/>
      </w:tblPr>
      <w:tblGrid>
        <w:gridCol w:w="652"/>
        <w:gridCol w:w="1011"/>
        <w:gridCol w:w="2523"/>
        <w:gridCol w:w="2477"/>
        <w:gridCol w:w="723"/>
        <w:gridCol w:w="800"/>
        <w:gridCol w:w="811"/>
      </w:tblGrid>
      <w:tr>
        <w:trPr>
          <w:trHeight w:val="357"/>
        </w:trPr>
        <w:tc>
          <w:tcPr>
            <w:gridSpan w:val="2"/>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评分内容</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评分办法</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分值</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jc w:val="center"/>
              <w:widowControl/>
              <w:rPr>
                <w:rFonts w:eastAsia="黑体"/>
                <w:color w:val="auto"/>
                <w:sz w:val="21"/>
                <w:szCs w:val="21"/>
                <w:highlight w:val="none"/>
              </w:rPr>
            </w:pPr>
            <w:r>
              <w:rPr>
                <w:rFonts w:eastAsia="黑体"/>
                <w:color w:val="auto"/>
                <w:sz w:val="21"/>
                <w:szCs w:val="21"/>
                <w:highlight w:val="none"/>
              </w:rPr>
              <w:t xml:space="preserve">得分</w:t>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val="false"/>
          </w:tcPr>
          <w:p>
            <w:pPr>
              <w:jc w:val="center"/>
              <w:widowControl/>
              <w:rPr>
                <w:rFonts w:hint="default" w:eastAsia="黑体"/>
                <w:color w:val="auto"/>
                <w:sz w:val="21"/>
                <w:szCs w:val="21"/>
                <w:highlight w:val="none"/>
                <w:lang w:val="en-US" w:eastAsia="zh-CN"/>
              </w:rPr>
            </w:pPr>
            <w:r>
              <w:rPr>
                <w:rFonts w:hint="eastAsia" w:eastAsia="黑体"/>
                <w:color w:val="auto"/>
                <w:sz w:val="21"/>
                <w:szCs w:val="21"/>
                <w:highlight w:val="none"/>
                <w:lang w:val="en-US" w:eastAsia="zh-CN"/>
              </w:rPr>
              <w:t xml:space="preserve">备注</w:t>
            </w:r>
            <w:r/>
          </w:p>
        </w:tc>
      </w:tr>
      <w:tr>
        <w:trPr>
          <w:trHeight w:val="708"/>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rPr>
                <w:rFonts w:eastAsia="黑体"/>
                <w:b/>
                <w:bCs/>
                <w:color w:val="auto"/>
                <w:sz w:val="20"/>
                <w:szCs w:val="21"/>
                <w:highlight w:val="none"/>
              </w:rPr>
            </w:pPr>
            <w:r>
              <w:rPr>
                <w:rFonts w:eastAsia="黑体"/>
                <w:b/>
                <w:bCs/>
                <w:color w:val="auto"/>
                <w:sz w:val="20"/>
                <w:szCs w:val="21"/>
                <w:highlight w:val="none"/>
              </w:rPr>
              <w:t xml:space="preserve">机构</w:t>
            </w:r>
            <w:r>
              <w:rPr>
                <w:rFonts w:eastAsia="黑体"/>
                <w:b/>
                <w:bCs/>
                <w:color w:val="auto"/>
                <w:sz w:val="20"/>
                <w:szCs w:val="21"/>
                <w:highlight w:val="none"/>
              </w:rPr>
              <w:br/>
            </w:r>
            <w:r>
              <w:rPr>
                <w:rFonts w:eastAsia="黑体"/>
                <w:b/>
                <w:bCs/>
                <w:color w:val="auto"/>
                <w:sz w:val="20"/>
                <w:szCs w:val="21"/>
                <w:highlight w:val="none"/>
              </w:rPr>
              <w:t xml:space="preserve">建设</w:t>
            </w:r>
            <w:r>
              <w:rPr>
                <w:rFonts w:eastAsia="黑体"/>
                <w:b/>
                <w:bCs/>
                <w:color w:val="auto"/>
                <w:sz w:val="20"/>
                <w:szCs w:val="21"/>
                <w:highlight w:val="none"/>
              </w:rPr>
              <w:br/>
            </w:r>
            <w:r>
              <w:rPr>
                <w:rFonts w:eastAsia="黑体"/>
                <w:b/>
                <w:bCs/>
                <w:color w:val="auto"/>
                <w:sz w:val="20"/>
                <w:szCs w:val="21"/>
                <w:highlight w:val="none"/>
              </w:rPr>
              <w:t xml:space="preserve">（2</w:t>
            </w:r>
            <w:r>
              <w:rPr>
                <w:rFonts w:hint="eastAsia" w:eastAsia="黑体"/>
                <w:b/>
                <w:bCs/>
                <w:color w:val="auto"/>
                <w:sz w:val="20"/>
                <w:szCs w:val="21"/>
                <w:highlight w:val="none"/>
                <w:lang w:val="en-US" w:eastAsia="zh-CN"/>
              </w:rPr>
              <w:t xml:space="preserve">0</w:t>
            </w:r>
            <w:r>
              <w:rPr>
                <w:rFonts w:eastAsia="黑体"/>
                <w:b/>
                <w:bCs/>
                <w:color w:val="auto"/>
                <w:sz w:val="20"/>
                <w:szCs w:val="21"/>
                <w:highlight w:val="none"/>
              </w:rPr>
              <w:t xml:space="preserve">分）</w:t>
            </w:r>
            <w:r/>
          </w:p>
        </w:tc>
        <w:tc>
          <w:tcPr>
            <w:tcBorders>
              <w:top w:val="single" w:color="auto" w:sz="4" w:space="0"/>
              <w:left w:val="none" w:color="000000" w:sz="4" w:space="0"/>
              <w:right w:val="single" w:color="auto" w:sz="4" w:space="0"/>
            </w:tcBorders>
            <w:tcW w:w="1011" w:type="dxa"/>
            <w:vAlign w:val="center"/>
            <w:vMerge w:val="restart"/>
            <w:textDirection w:val="lrTb"/>
            <w:noWrap w:val="false"/>
          </w:tcPr>
          <w:p>
            <w:pPr>
              <w:jc w:val="center"/>
              <w:widowControl/>
              <w:rPr>
                <w:b/>
                <w:bCs/>
                <w:color w:val="auto"/>
                <w:sz w:val="15"/>
                <w:szCs w:val="15"/>
                <w:highlight w:val="none"/>
              </w:rPr>
            </w:pPr>
            <w:r>
              <w:rPr>
                <w:b/>
                <w:bCs/>
                <w:color w:val="auto"/>
                <w:sz w:val="15"/>
                <w:szCs w:val="15"/>
                <w:highlight w:val="none"/>
              </w:rPr>
              <w:t xml:space="preserve">运营资质</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40" w:lineRule="exact"/>
              <w:widowControl/>
              <w:rPr>
                <w:color w:val="auto"/>
                <w:sz w:val="15"/>
                <w:szCs w:val="15"/>
                <w:highlight w:val="none"/>
              </w:rPr>
            </w:pPr>
            <w:r>
              <w:rPr>
                <w:color w:val="auto"/>
                <w:sz w:val="15"/>
                <w:szCs w:val="15"/>
                <w:highlight w:val="none"/>
              </w:rPr>
              <w:t xml:space="preserve">合法设置、运营，申请审批与注册登记手续齐全。能够提供注册登记、机构代码证、税务登记证、经营许可证等材料。</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查看资料，材料不齐全的项酌情扣分。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right w:val="single" w:color="auto" w:sz="4" w:space="0"/>
            </w:tcBorders>
            <w:tcW w:w="652" w:type="dxa"/>
            <w:vAlign w:val="center"/>
            <w:vMerge w:val="continue"/>
            <w:textDirection w:val="lrTb"/>
            <w:noWrap w:val="false"/>
          </w:tcPr>
          <w:p>
            <w:pPr>
              <w:jc w:val="center"/>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bottom w:val="single" w:color="auto"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机构运营及信用状况良好，未出现重大安全事故。</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如有失信记录或出现安全事故，此项不得分。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30"/>
        </w:trPr>
        <w:tc>
          <w:tcPr>
            <w:tcBorders>
              <w:left w:val="single" w:color="auto" w:sz="4" w:space="0"/>
              <w:right w:val="single" w:color="auto" w:sz="4" w:space="0"/>
            </w:tcBorders>
            <w:tcW w:w="652" w:type="dxa"/>
            <w:vAlign w:val="center"/>
            <w:vMerge w:val="continue"/>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right w:val="single" w:color="auto" w:sz="4" w:space="0"/>
            </w:tcBorders>
            <w:tcW w:w="1011" w:type="dxa"/>
            <w:vAlign w:val="center"/>
            <w:vMerge w:val="restart"/>
            <w:textDirection w:val="lrTb"/>
            <w:noWrap w:val="false"/>
          </w:tcPr>
          <w:p>
            <w:pPr>
              <w:jc w:val="center"/>
              <w:widowControl/>
              <w:rPr>
                <w:b/>
                <w:bCs/>
                <w:color w:val="auto"/>
                <w:sz w:val="15"/>
                <w:szCs w:val="15"/>
                <w:highlight w:val="none"/>
              </w:rPr>
            </w:pPr>
            <w:r>
              <w:rPr>
                <w:b/>
                <w:bCs/>
                <w:color w:val="auto"/>
                <w:sz w:val="15"/>
                <w:szCs w:val="15"/>
                <w:highlight w:val="none"/>
              </w:rPr>
              <w:t xml:space="preserve">人员场所</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spacing w:line="340" w:lineRule="exact"/>
              <w:widowControl/>
              <w:rPr>
                <w:color w:val="auto"/>
                <w:sz w:val="15"/>
                <w:szCs w:val="15"/>
                <w:highlight w:val="none"/>
              </w:rPr>
            </w:pPr>
            <w:r/>
            <w:bookmarkStart w:id="150" w:name="RANGE_C3"/>
            <w:r/>
            <w:bookmarkEnd w:id="150"/>
            <w:r>
              <w:rPr>
                <w:color w:val="auto"/>
                <w:sz w:val="15"/>
                <w:szCs w:val="15"/>
                <w:highlight w:val="none"/>
              </w:rPr>
              <w:t xml:space="preserve">有独立的办公场所</w:t>
            </w:r>
            <w:r>
              <w:rPr>
                <w:rFonts w:hint="eastAsia"/>
                <w:color w:val="auto"/>
                <w:sz w:val="15"/>
                <w:szCs w:val="15"/>
                <w:highlight w:val="none"/>
                <w:lang w:val="en-US" w:eastAsia="zh-CN"/>
              </w:rPr>
              <w:t xml:space="preserve">；</w:t>
            </w:r>
            <w:r>
              <w:rPr>
                <w:color w:val="auto"/>
                <w:sz w:val="15"/>
                <w:szCs w:val="15"/>
                <w:highlight w:val="none"/>
              </w:rPr>
              <w:t xml:space="preserve">有网络平台设施设备、办公电脑、打印机等设备。</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w:t>
            </w:r>
            <w:r>
              <w:rPr>
                <w:rFonts w:hint="eastAsia"/>
                <w:color w:val="auto"/>
                <w:sz w:val="15"/>
                <w:szCs w:val="15"/>
                <w:highlight w:val="none"/>
                <w:lang w:val="en-US" w:eastAsia="zh-CN"/>
              </w:rPr>
              <w:t xml:space="preserve">办公</w:t>
            </w:r>
            <w:r>
              <w:rPr>
                <w:color w:val="auto"/>
                <w:sz w:val="15"/>
                <w:szCs w:val="15"/>
                <w:highlight w:val="none"/>
              </w:rPr>
              <w:t xml:space="preserve">现场，按实际情况得分。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54"/>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建立完善工作制度和规范，并予以公示。</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66"/>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left w:val="none" w:color="000000" w:sz="4" w:space="0"/>
              <w:bottom w:val="single" w:color="auto" w:sz="4" w:space="0"/>
              <w:right w:val="single" w:color="auto" w:sz="4" w:space="0"/>
            </w:tcBorders>
            <w:tcW w:w="1011" w:type="dxa"/>
            <w:vAlign w:val="center"/>
            <w:vMerge w:val="continue"/>
            <w:textDirection w:val="lrTb"/>
            <w:noWrap w:val="false"/>
          </w:tcPr>
          <w:p>
            <w:pPr>
              <w:jc w:val="center"/>
              <w:widowControl/>
              <w:rPr>
                <w:b/>
                <w:bCs/>
                <w:color w:val="auto"/>
                <w:sz w:val="15"/>
                <w:szCs w:val="15"/>
                <w:highlight w:val="none"/>
              </w:rPr>
            </w:pPr>
            <w:r>
              <w:rPr>
                <w:b/>
                <w:bCs/>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40" w:lineRule="exact"/>
              <w:widowControl/>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与工作人员签订劳动合同，并且从事项目服务的人员应具有相应从业资质，如健康证等相关证书。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通过现场查看各项证照，未达到标准不得分。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keepLines w:val="0"/>
              <w:keepNext w:val="0"/>
              <w:pageBreakBefore w:val="0"/>
              <w:spacing w:line="300" w:lineRule="exact"/>
              <w:widowControl/>
              <w:rPr>
                <w:rFonts w:hint="eastAsia"/>
                <w:b/>
                <w:bCs/>
                <w:color w:val="auto"/>
                <w:sz w:val="15"/>
                <w:szCs w:val="15"/>
                <w:highlight w:val="none"/>
                <w:lang w:val="en-US" w:eastAsia="zh-CN"/>
              </w:rPr>
            </w:pPr>
            <w:r>
              <w:rPr>
                <w:rFonts w:hint="eastAsia"/>
                <w:b/>
                <w:bCs/>
                <w:color w:val="auto"/>
                <w:sz w:val="15"/>
                <w:szCs w:val="15"/>
                <w:highlight w:val="none"/>
                <w:lang w:val="en-US" w:eastAsia="zh-CN"/>
              </w:rPr>
              <w:t xml:space="preserve">安全应</w:t>
            </w:r>
            <w:r/>
          </w:p>
          <w:p>
            <w:pPr>
              <w:jc w:val="center"/>
              <w:keepLines w:val="0"/>
              <w:keepNext w:val="0"/>
              <w:pageBreakBefore w:val="0"/>
              <w:spacing w:line="300" w:lineRule="exact"/>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急管理</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300" w:lineRule="exact"/>
              <w:widowControl/>
              <w:rPr>
                <w:rFonts w:hint="eastAsia" w:eastAsia="宋体"/>
                <w:color w:val="auto"/>
                <w:sz w:val="15"/>
                <w:szCs w:val="15"/>
                <w:highlight w:val="none"/>
                <w:lang w:eastAsia="zh-CN"/>
              </w:rPr>
            </w:pPr>
            <w:r>
              <w:rPr>
                <w:rFonts w:hint="eastAsia"/>
                <w:color w:val="auto"/>
                <w:sz w:val="15"/>
                <w:szCs w:val="15"/>
                <w:highlight w:val="none"/>
              </w:rPr>
              <w:t xml:space="preserve">出台安全管理制度，建立暴力伤害、意外事故、突发疾病等相关应急预案</w:t>
            </w:r>
            <w:r>
              <w:rPr>
                <w:rFonts w:hint="eastAsia"/>
                <w:color w:val="auto"/>
                <w:sz w:val="15"/>
                <w:szCs w:val="15"/>
                <w:highlight w:val="none"/>
                <w:lang w:val="en-US" w:eastAsia="zh-CN"/>
              </w:rPr>
              <w:t xml:space="preserve">；每半年</w:t>
            </w:r>
            <w:r>
              <w:rPr>
                <w:rFonts w:hint="eastAsia"/>
                <w:color w:val="auto"/>
                <w:sz w:val="15"/>
                <w:szCs w:val="15"/>
                <w:highlight w:val="none"/>
              </w:rPr>
              <w:t xml:space="preserve">开展</w:t>
            </w:r>
            <w:r>
              <w:rPr>
                <w:rFonts w:hint="eastAsia"/>
                <w:color w:val="auto"/>
                <w:sz w:val="15"/>
                <w:szCs w:val="15"/>
                <w:highlight w:val="none"/>
                <w:lang w:val="en-US" w:eastAsia="zh-CN"/>
              </w:rPr>
              <w:t xml:space="preserve">1次</w:t>
            </w:r>
            <w:r>
              <w:rPr>
                <w:rFonts w:hint="eastAsia"/>
                <w:color w:val="auto"/>
                <w:sz w:val="15"/>
                <w:szCs w:val="15"/>
                <w:highlight w:val="none"/>
              </w:rPr>
              <w:t xml:space="preserve">急救技能培训</w:t>
            </w:r>
            <w:r>
              <w:rPr>
                <w:rFonts w:hint="eastAsia"/>
                <w:color w:val="auto"/>
                <w:sz w:val="15"/>
                <w:szCs w:val="15"/>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志愿服务</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rFonts w:hint="eastAsia"/>
                <w:color w:val="auto"/>
                <w:sz w:val="15"/>
                <w:szCs w:val="15"/>
                <w:highlight w:val="none"/>
              </w:rPr>
            </w:pPr>
            <w:r>
              <w:rPr>
                <w:color w:val="auto"/>
                <w:sz w:val="15"/>
                <w:szCs w:val="15"/>
                <w:highlight w:val="none"/>
              </w:rPr>
              <w:t xml:space="preserve">开展相应的志愿助残</w:t>
            </w:r>
            <w:r>
              <w:rPr>
                <w:rFonts w:hint="eastAsia"/>
                <w:color w:val="auto"/>
                <w:sz w:val="15"/>
                <w:szCs w:val="15"/>
                <w:highlight w:val="none"/>
              </w:rPr>
              <w:t xml:space="preserve">服务</w:t>
            </w:r>
            <w:r>
              <w:rPr>
                <w:color w:val="auto"/>
                <w:sz w:val="15"/>
                <w:szCs w:val="15"/>
                <w:highlight w:val="none"/>
              </w:rPr>
              <w:t xml:space="preserve">活动。</w:t>
            </w:r>
            <w:r>
              <w:rPr>
                <w:rFonts w:hint="eastAsia"/>
                <w:color w:val="auto"/>
                <w:sz w:val="15"/>
                <w:szCs w:val="15"/>
                <w:highlight w:val="none"/>
              </w:rPr>
              <w:t xml:space="preserve">（有一次加1分）</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查看档案台账，按实际情况得分。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宣传报道</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定期</w:t>
            </w:r>
            <w:r>
              <w:rPr>
                <w:rFonts w:hint="eastAsia"/>
                <w:color w:val="auto"/>
                <w:sz w:val="15"/>
                <w:szCs w:val="15"/>
                <w:highlight w:val="none"/>
              </w:rPr>
              <w:t xml:space="preserve">开展</w:t>
            </w:r>
            <w:r>
              <w:rPr>
                <w:color w:val="auto"/>
                <w:sz w:val="15"/>
                <w:szCs w:val="15"/>
                <w:highlight w:val="none"/>
              </w:rPr>
              <w:t xml:space="preserve">媒体宣传报道。</w:t>
            </w:r>
            <w:r>
              <w:rPr>
                <w:rFonts w:hint="eastAsia"/>
                <w:color w:val="auto"/>
                <w:sz w:val="15"/>
                <w:szCs w:val="15"/>
                <w:highlight w:val="none"/>
              </w:rPr>
              <w:t xml:space="preserve">（有一篇加0</w:t>
            </w:r>
            <w:r>
              <w:rPr>
                <w:color w:val="auto"/>
                <w:sz w:val="15"/>
                <w:szCs w:val="15"/>
                <w:highlight w:val="none"/>
              </w:rPr>
              <w:t xml:space="preserve">.5</w:t>
            </w:r>
            <w:r>
              <w:rPr>
                <w:rFonts w:hint="eastAsia"/>
                <w:color w:val="auto"/>
                <w:sz w:val="15"/>
                <w:szCs w:val="15"/>
                <w:highlight w:val="none"/>
              </w:rPr>
              <w:t xml:space="preserve">分）</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查看档案台账，按实际情况得分；出现负面信息不得分。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0"/>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财务管理</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60" w:lineRule="exact"/>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按照《会计法》及国家有关规定要建立账簿和会计核算，设置会计科目，编制准确、完善、及时；要有专职的财务人员负责，并持有会计证等相应的证书。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通过现场查看档案台账，不完善项酌情扣分。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36"/>
        </w:trPr>
        <w:tc>
          <w:tcPr>
            <w:tcBorders>
              <w:top w:val="single" w:color="auto" w:sz="4" w:space="0"/>
              <w:left w:val="single" w:color="auto" w:sz="4" w:space="0"/>
              <w:right w:val="single" w:color="auto" w:sz="4" w:space="0"/>
            </w:tcBorders>
            <w:tcW w:w="652" w:type="dxa"/>
            <w:vAlign w:val="center"/>
            <w:vMerge w:val="restart"/>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t xml:space="preserve">服务</w:t>
            </w:r>
            <w:r>
              <w:rPr>
                <w:rFonts w:eastAsia="黑体"/>
                <w:b/>
                <w:bCs/>
                <w:color w:val="auto"/>
                <w:sz w:val="20"/>
                <w:szCs w:val="21"/>
                <w:highlight w:val="none"/>
              </w:rPr>
              <w:br/>
            </w:r>
            <w:r>
              <w:rPr>
                <w:rFonts w:eastAsia="黑体"/>
                <w:b/>
                <w:bCs/>
                <w:color w:val="auto"/>
                <w:sz w:val="20"/>
                <w:szCs w:val="21"/>
                <w:highlight w:val="none"/>
              </w:rPr>
              <w:t xml:space="preserve">管理</w:t>
            </w:r>
            <w:r>
              <w:rPr>
                <w:rFonts w:eastAsia="黑体"/>
                <w:b/>
                <w:bCs/>
                <w:color w:val="auto"/>
                <w:sz w:val="20"/>
                <w:szCs w:val="21"/>
                <w:highlight w:val="none"/>
              </w:rPr>
              <w:br/>
            </w:r>
            <w:r>
              <w:rPr>
                <w:rFonts w:eastAsia="黑体"/>
                <w:b/>
                <w:bCs/>
                <w:color w:val="auto"/>
                <w:sz w:val="20"/>
                <w:szCs w:val="21"/>
                <w:highlight w:val="none"/>
              </w:rPr>
              <w:t xml:space="preserve">（</w:t>
            </w:r>
            <w:r>
              <w:rPr>
                <w:rFonts w:hint="eastAsia" w:eastAsia="黑体"/>
                <w:b/>
                <w:bCs/>
                <w:color w:val="auto"/>
                <w:sz w:val="20"/>
                <w:szCs w:val="21"/>
                <w:highlight w:val="none"/>
                <w:lang w:val="en-US" w:eastAsia="zh-CN"/>
              </w:rPr>
              <w:t xml:space="preserve">30</w:t>
            </w:r>
            <w:r>
              <w:rPr>
                <w:rFonts w:eastAsia="黑体"/>
                <w:b/>
                <w:bCs/>
                <w:color w:val="auto"/>
                <w:sz w:val="20"/>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服务协议</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与服务对象签订服务协议。</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每缺一份，扣0.5分，扣完为止。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15"/>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rFonts w:hint="default" w:eastAsia="宋体"/>
                <w:b/>
                <w:bCs/>
                <w:color w:val="auto"/>
                <w:sz w:val="15"/>
                <w:szCs w:val="15"/>
                <w:highlight w:val="none"/>
                <w:lang w:val="en-US" w:eastAsia="zh-CN"/>
              </w:rPr>
            </w:pPr>
            <w:r>
              <w:rPr>
                <w:rFonts w:hint="eastAsia"/>
                <w:b/>
                <w:bCs/>
                <w:color w:val="auto"/>
                <w:sz w:val="15"/>
                <w:szCs w:val="15"/>
                <w:highlight w:val="none"/>
                <w:lang w:val="en-US" w:eastAsia="zh-CN"/>
              </w:rPr>
              <w:t xml:space="preserve">工作计划</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60" w:lineRule="exact"/>
              <w:widowControl/>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 xml:space="preserve">结合残疾人托养实际科学谋划，制定目标明确、贴合需求、切实可行的服务工作计划，保障托养服务工作有序开展。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查看档案台账，按实际情况得分。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val="en-US" w:eastAsia="zh-CN"/>
              </w:rPr>
            </w:pPr>
            <w:r>
              <w:rPr>
                <w:rFonts w:hint="eastAsia"/>
                <w:color w:val="auto"/>
                <w:sz w:val="15"/>
                <w:szCs w:val="15"/>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60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rFonts w:hint="eastAsia"/>
                <w:b/>
                <w:bCs/>
                <w:color w:val="auto"/>
                <w:sz w:val="15"/>
                <w:szCs w:val="15"/>
                <w:highlight w:val="none"/>
                <w:lang w:val="en-US" w:eastAsia="zh-CN"/>
              </w:rPr>
              <w:t xml:space="preserve">人员</w:t>
            </w:r>
            <w:r>
              <w:rPr>
                <w:b/>
                <w:bCs/>
                <w:color w:val="auto"/>
                <w:sz w:val="15"/>
                <w:szCs w:val="15"/>
                <w:highlight w:val="none"/>
              </w:rPr>
              <w:t xml:space="preserve">评估</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有服务对象评估记录。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每缺一份，扣0.5分，扣完为止。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359"/>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服务记录</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有时间、地点、服务内容等完整的服务记录。</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每有1人服务记录不完整，扣0.5分，扣完为止。</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861"/>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服务档案</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80" w:lineRule="exact"/>
              <w:widowControl/>
              <w:rPr>
                <w:color w:val="auto"/>
                <w:sz w:val="15"/>
                <w:szCs w:val="15"/>
                <w:highlight w:val="none"/>
              </w:rPr>
            </w:pPr>
            <w:r>
              <w:rPr>
                <w:color w:val="auto"/>
                <w:sz w:val="15"/>
                <w:szCs w:val="15"/>
                <w:highlight w:val="none"/>
              </w:rPr>
              <w:t xml:space="preserve">建立服务对象档案，1人1档，及时录入和保存服务对象信息，并由专人管理，信息登记真实、完整及时更新，严格保密，落实档案管理制度。</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jc w:val="left"/>
              <w:spacing w:line="340" w:lineRule="exact"/>
              <w:widowControl/>
              <w:rPr>
                <w:color w:val="auto"/>
                <w:sz w:val="15"/>
                <w:szCs w:val="15"/>
                <w:highlight w:val="none"/>
              </w:rPr>
            </w:pPr>
            <w:r>
              <w:rPr>
                <w:color w:val="auto"/>
                <w:sz w:val="15"/>
                <w:szCs w:val="15"/>
                <w:highlight w:val="none"/>
              </w:rPr>
              <w:t xml:space="preserve">档案缺失或信息不全，每一例扣0.5分，扣完为止；如泄露服务对象个人信息，此项不得分。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rFonts w:hint="eastAsia" w:eastAsia="宋体"/>
                <w:color w:val="auto"/>
                <w:sz w:val="15"/>
                <w:szCs w:val="15"/>
                <w:highlight w:val="none"/>
                <w:lang w:eastAsia="zh-CN"/>
              </w:rPr>
            </w:pPr>
            <w:r>
              <w:rPr>
                <w:rFonts w:hint="eastAsia"/>
                <w:color w:val="auto"/>
                <w:sz w:val="15"/>
                <w:szCs w:val="15"/>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373"/>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0"/>
                <w:szCs w:val="21"/>
                <w:highlight w:val="none"/>
              </w:rPr>
            </w:pPr>
            <w:r>
              <w:rPr>
                <w:rFonts w:eastAsia="黑体"/>
                <w:b/>
                <w:bCs/>
                <w:color w:val="auto"/>
                <w:sz w:val="20"/>
                <w:szCs w:val="21"/>
                <w:highlight w:val="none"/>
              </w:rPr>
            </w:r>
            <w:r/>
          </w:p>
        </w:tc>
        <w:tc>
          <w:tcPr>
            <w:tcBorders>
              <w:top w:val="single" w:color="auto"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人员培训</w:t>
            </w:r>
            <w:r/>
          </w:p>
        </w:tc>
        <w:tc>
          <w:tcPr>
            <w:tcBorders>
              <w:top w:val="single" w:color="auto" w:sz="4" w:space="0"/>
              <w:left w:val="none" w:color="000000" w:sz="4" w:space="0"/>
              <w:bottom w:val="single" w:color="auto" w:sz="4" w:space="0"/>
              <w:right w:val="single" w:color="auto" w:sz="4" w:space="0"/>
            </w:tcBorders>
            <w:tcW w:w="2523" w:type="dxa"/>
            <w:vAlign w:val="center"/>
            <w:textDirection w:val="lrTb"/>
            <w:noWrap w:val="false"/>
          </w:tcPr>
          <w:p>
            <w:pPr>
              <w:jc w:val="left"/>
              <w:widowControl/>
              <w:rPr>
                <w:color w:val="auto"/>
                <w:sz w:val="15"/>
                <w:szCs w:val="15"/>
                <w:highlight w:val="none"/>
              </w:rPr>
            </w:pPr>
            <w:r>
              <w:rPr>
                <w:color w:val="auto"/>
                <w:sz w:val="15"/>
                <w:szCs w:val="15"/>
                <w:highlight w:val="none"/>
              </w:rPr>
              <w:t xml:space="preserve">根据发展需要制定工作人员培训计划，每</w:t>
            </w:r>
            <w:r>
              <w:rPr>
                <w:rFonts w:hint="eastAsia"/>
                <w:color w:val="auto"/>
                <w:sz w:val="15"/>
                <w:szCs w:val="15"/>
                <w:highlight w:val="none"/>
              </w:rPr>
              <w:t xml:space="preserve">半</w:t>
            </w:r>
            <w:r>
              <w:rPr>
                <w:color w:val="auto"/>
                <w:sz w:val="15"/>
                <w:szCs w:val="15"/>
                <w:highlight w:val="none"/>
              </w:rPr>
              <w:t xml:space="preserve">年开展培训1次。</w:t>
            </w:r>
            <w:r/>
          </w:p>
        </w:tc>
        <w:tc>
          <w:tcPr>
            <w:tcBorders>
              <w:top w:val="single" w:color="auto" w:sz="4" w:space="0"/>
              <w:left w:val="none" w:color="000000" w:sz="4" w:space="0"/>
              <w:bottom w:val="single" w:color="auto" w:sz="4" w:space="0"/>
              <w:right w:val="single" w:color="auto" w:sz="4" w:space="0"/>
            </w:tcBorders>
            <w:tcW w:w="2477" w:type="dxa"/>
            <w:vAlign w:val="center"/>
            <w:textDirection w:val="lrTb"/>
            <w:noWrap w:val="false"/>
          </w:tcPr>
          <w:p>
            <w:pPr>
              <w:widowControl/>
              <w:rPr>
                <w:color w:val="auto"/>
                <w:sz w:val="15"/>
                <w:szCs w:val="15"/>
                <w:highlight w:val="none"/>
              </w:rPr>
            </w:pPr>
            <w:r>
              <w:rPr>
                <w:color w:val="auto"/>
                <w:sz w:val="15"/>
                <w:szCs w:val="15"/>
                <w:highlight w:val="none"/>
              </w:rPr>
              <w:t xml:space="preserve">通过现场查看档案台账，未达到标准不得分。</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color w:val="auto"/>
                <w:sz w:val="15"/>
                <w:szCs w:val="15"/>
                <w:highlight w:val="none"/>
              </w:rPr>
            </w:pPr>
            <w:r>
              <w:rPr>
                <w:color w:val="auto"/>
                <w:sz w:val="15"/>
                <w:szCs w:val="15"/>
                <w:highlight w:val="none"/>
              </w:rPr>
              <w:t xml:space="preserve">4</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widowControl/>
              <w:rPr>
                <w:color w:val="auto"/>
                <w:sz w:val="20"/>
                <w:szCs w:val="20"/>
                <w:highlight w:val="none"/>
              </w:rPr>
            </w:pPr>
            <w:r>
              <w:rPr>
                <w:color w:val="auto"/>
                <w:sz w:val="20"/>
                <w:szCs w:val="20"/>
                <w:highlight w:val="none"/>
              </w:rPr>
            </w:r>
            <w:r/>
          </w:p>
        </w:tc>
      </w:tr>
      <w:tr>
        <w:trPr>
          <w:trHeight w:val="546"/>
        </w:trPr>
        <w:tc>
          <w:tcPr>
            <w:tcBorders>
              <w:top w:val="none" w:color="000000" w:sz="4" w:space="0"/>
              <w:left w:val="single" w:color="auto" w:sz="4" w:space="0"/>
              <w:right w:val="single" w:color="auto" w:sz="4" w:space="0"/>
            </w:tcBorders>
            <w:tcW w:w="652" w:type="dxa"/>
            <w:vAlign w:val="center"/>
            <w:vMerge w:val="restart"/>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t xml:space="preserve">服务</w:t>
            </w:r>
            <w:r>
              <w:rPr>
                <w:rFonts w:eastAsia="黑体"/>
                <w:b/>
                <w:bCs/>
                <w:color w:val="auto"/>
                <w:sz w:val="20"/>
                <w:szCs w:val="21"/>
                <w:highlight w:val="none"/>
              </w:rPr>
              <w:br w:type="page" w:clear="all"/>
            </w:r>
            <w:r/>
          </w:p>
          <w:p>
            <w:pPr>
              <w:jc w:val="center"/>
              <w:widowControl/>
              <w:rPr>
                <w:rFonts w:eastAsia="黑体"/>
                <w:b/>
                <w:bCs/>
                <w:color w:val="auto"/>
                <w:sz w:val="20"/>
                <w:szCs w:val="21"/>
                <w:highlight w:val="none"/>
              </w:rPr>
            </w:pPr>
            <w:r>
              <w:rPr>
                <w:rFonts w:eastAsia="黑体"/>
                <w:b/>
                <w:bCs/>
                <w:color w:val="auto"/>
                <w:sz w:val="20"/>
                <w:szCs w:val="21"/>
                <w:highlight w:val="none"/>
              </w:rPr>
              <w:t xml:space="preserve">成效</w:t>
            </w:r>
            <w:r/>
          </w:p>
          <w:p>
            <w:pPr>
              <w:jc w:val="center"/>
              <w:widowControl/>
              <w:rPr>
                <w:rFonts w:eastAsia="黑体"/>
                <w:b/>
                <w:bCs/>
                <w:color w:val="auto"/>
                <w:sz w:val="20"/>
                <w:szCs w:val="21"/>
                <w:highlight w:val="none"/>
              </w:rPr>
            </w:pPr>
            <w:r>
              <w:rPr>
                <w:rFonts w:eastAsia="黑体"/>
                <w:b/>
                <w:bCs/>
                <w:color w:val="auto"/>
                <w:sz w:val="20"/>
                <w:szCs w:val="21"/>
                <w:highlight w:val="none"/>
              </w:rPr>
              <w:br w:type="page" w:clear="all"/>
            </w:r>
            <w:r>
              <w:rPr>
                <w:rFonts w:eastAsia="黑体"/>
                <w:b/>
                <w:bCs/>
                <w:color w:val="auto"/>
                <w:sz w:val="20"/>
                <w:szCs w:val="21"/>
                <w:highlight w:val="none"/>
              </w:rPr>
              <w:t xml:space="preserve">（</w:t>
            </w:r>
            <w:r>
              <w:rPr>
                <w:rFonts w:hint="eastAsia" w:eastAsia="黑体"/>
                <w:b/>
                <w:bCs/>
                <w:color w:val="auto"/>
                <w:sz w:val="20"/>
                <w:szCs w:val="21"/>
                <w:highlight w:val="none"/>
                <w:lang w:val="en-US" w:eastAsia="zh-CN"/>
              </w:rPr>
              <w:t xml:space="preserve">50</w:t>
            </w:r>
            <w:r>
              <w:rPr>
                <w:rFonts w:eastAsia="黑体"/>
                <w:b/>
                <w:bCs/>
                <w:color w:val="auto"/>
                <w:sz w:val="20"/>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widowControl/>
              <w:rPr>
                <w:b/>
                <w:bCs/>
                <w:color w:val="auto"/>
                <w:sz w:val="15"/>
                <w:szCs w:val="15"/>
                <w:highlight w:val="none"/>
              </w:rPr>
            </w:pPr>
            <w:r>
              <w:rPr>
                <w:b/>
                <w:bCs/>
                <w:color w:val="auto"/>
                <w:sz w:val="15"/>
                <w:szCs w:val="15"/>
                <w:highlight w:val="none"/>
              </w:rPr>
              <w:t xml:space="preserve">投诉处理</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keepLines w:val="0"/>
              <w:keepNext w:val="0"/>
              <w:pageBreakBefore w:val="0"/>
              <w:spacing w:line="280" w:lineRule="exact"/>
              <w:widowControl/>
              <w:rPr>
                <w:color w:val="auto"/>
                <w:sz w:val="15"/>
                <w:szCs w:val="15"/>
                <w:highlight w:val="none"/>
              </w:rPr>
            </w:pPr>
            <w:r>
              <w:rPr>
                <w:color w:val="auto"/>
                <w:sz w:val="15"/>
                <w:szCs w:val="15"/>
                <w:highlight w:val="none"/>
              </w:rPr>
              <w:t xml:space="preserve">出现残疾人和家属投诉情况，1天内受理，在3天之内将处理情况反馈给残疾人和家属；服务质量投诉率低于5%。</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jc w:val="left"/>
              <w:keepLines w:val="0"/>
              <w:keepNext w:val="0"/>
              <w:pageBreakBefore w:val="0"/>
              <w:spacing w:line="280" w:lineRule="exact"/>
              <w:widowControl/>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出现一例处理不及时的，扣1分；服务质量投诉率超出5%，此项不得分。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widowControl/>
              <w:rPr>
                <w:color w:val="auto"/>
                <w:sz w:val="15"/>
                <w:szCs w:val="15"/>
                <w:highlight w:val="none"/>
              </w:rPr>
            </w:pPr>
            <w:r>
              <w:rPr>
                <w:color w:val="auto"/>
                <w:sz w:val="15"/>
                <w:szCs w:val="15"/>
                <w:highlight w:val="none"/>
              </w:rPr>
              <w:t xml:space="preserve">5</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c>
          <w:tcPr>
            <w:tcBorders>
              <w:top w:val="single" w:color="auto" w:sz="4" w:space="0"/>
              <w:left w:val="single" w:color="auto" w:sz="4" w:space="0"/>
              <w:right w:val="single" w:color="auto" w:sz="4" w:space="0"/>
            </w:tcBorders>
            <w:tcW w:w="811" w:type="dxa"/>
            <w:vAlign w:val="center"/>
            <w:vMerge w:val="restart"/>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t xml:space="preserve">根据宿城区残疾人居家托养服务成效回访报告</w:t>
            </w:r>
            <w:r/>
          </w:p>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t xml:space="preserve">打分</w:t>
            </w:r>
            <w:r/>
          </w:p>
        </w:tc>
      </w:tr>
      <w:tr>
        <w:trPr>
          <w:trHeight w:val="647"/>
        </w:trPr>
        <w:tc>
          <w:tcPr>
            <w:tcBorders>
              <w:left w:val="single" w:color="auto" w:sz="4" w:space="0"/>
              <w:right w:val="single" w:color="auto" w:sz="4" w:space="0"/>
            </w:tcBorders>
            <w:tcW w:w="652" w:type="dxa"/>
            <w:vAlign w:val="center"/>
            <w:vMerge w:val="continue"/>
            <w:textDirection w:val="lrTb"/>
            <w:noWrap w:val="false"/>
          </w:tcPr>
          <w:p>
            <w:pPr>
              <w:jc w:val="center"/>
              <w:widowControl/>
              <w:rPr>
                <w:rFonts w:eastAsia="黑体"/>
                <w:b/>
                <w:bCs/>
                <w:color w:val="auto"/>
                <w:sz w:val="20"/>
                <w:szCs w:val="21"/>
                <w:highlight w:val="none"/>
              </w:rPr>
            </w:pPr>
            <w:r>
              <w:rPr>
                <w:rFonts w:eastAsia="黑体"/>
                <w:b/>
                <w:bCs/>
                <w:color w:val="auto"/>
                <w:sz w:val="20"/>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rFonts w:hint="default" w:eastAsia="宋体"/>
                <w:b/>
                <w:bCs/>
                <w:color w:val="auto"/>
                <w:sz w:val="15"/>
                <w:szCs w:val="15"/>
                <w:highlight w:val="none"/>
                <w:lang w:val="en-US" w:eastAsia="zh-CN"/>
              </w:rPr>
            </w:pPr>
            <w:r>
              <w:rPr>
                <w:b/>
                <w:bCs/>
                <w:color w:val="auto"/>
                <w:sz w:val="15"/>
                <w:szCs w:val="15"/>
                <w:highlight w:val="none"/>
              </w:rPr>
              <w:t xml:space="preserve">服务人数</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根据服务协议要达到规定的服务人数。</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color w:val="auto"/>
                <w:sz w:val="15"/>
                <w:szCs w:val="15"/>
                <w:highlight w:val="none"/>
              </w:rPr>
            </w:pPr>
            <w:r>
              <w:rPr>
                <w:color w:val="auto"/>
                <w:sz w:val="15"/>
                <w:szCs w:val="15"/>
                <w:highlight w:val="none"/>
              </w:rPr>
              <w:t xml:space="preserve">服务人数</w:t>
            </w:r>
            <w:r>
              <w:rPr>
                <w:rFonts w:hint="eastAsia"/>
                <w:color w:val="auto"/>
                <w:sz w:val="15"/>
                <w:szCs w:val="15"/>
                <w:highlight w:val="none"/>
              </w:rPr>
              <w:t xml:space="preserve">达95%以上</w:t>
            </w:r>
            <w:r>
              <w:rPr>
                <w:color w:val="auto"/>
                <w:sz w:val="15"/>
                <w:szCs w:val="15"/>
                <w:highlight w:val="none"/>
              </w:rPr>
              <w:t xml:space="preserve">，得10分；</w:t>
            </w:r>
            <w:r/>
          </w:p>
          <w:p>
            <w:pPr>
              <w:keepLines w:val="0"/>
              <w:keepNext w:val="0"/>
              <w:pageBreakBefore w:val="0"/>
              <w:spacing w:line="280" w:lineRule="exact"/>
              <w:rPr>
                <w:color w:val="auto"/>
                <w:sz w:val="15"/>
                <w:szCs w:val="15"/>
                <w:highlight w:val="none"/>
              </w:rPr>
            </w:pPr>
            <w:r>
              <w:rPr>
                <w:color w:val="auto"/>
                <w:sz w:val="15"/>
                <w:szCs w:val="15"/>
                <w:highlight w:val="none"/>
              </w:rPr>
              <w:t xml:space="preserve">服务人数为9</w:t>
            </w:r>
            <w:r>
              <w:rPr>
                <w:rFonts w:hint="eastAsia"/>
                <w:color w:val="auto"/>
                <w:sz w:val="15"/>
                <w:szCs w:val="15"/>
                <w:highlight w:val="none"/>
              </w:rPr>
              <w:t xml:space="preserve">0</w:t>
            </w:r>
            <w:r>
              <w:rPr>
                <w:color w:val="auto"/>
                <w:sz w:val="15"/>
                <w:szCs w:val="15"/>
                <w:highlight w:val="none"/>
              </w:rPr>
              <w:t xml:space="preserve">%（不含）</w:t>
            </w:r>
            <w:r>
              <w:rPr>
                <w:rFonts w:hint="eastAsia"/>
                <w:color w:val="auto"/>
                <w:sz w:val="15"/>
                <w:szCs w:val="15"/>
                <w:highlight w:val="none"/>
                <w:lang w:eastAsia="zh-CN"/>
              </w:rPr>
              <w:t xml:space="preserve">—</w:t>
            </w:r>
            <w:r>
              <w:rPr>
                <w:color w:val="auto"/>
                <w:sz w:val="15"/>
                <w:szCs w:val="15"/>
                <w:highlight w:val="none"/>
              </w:rPr>
              <w:t xml:space="preserve">9</w:t>
            </w:r>
            <w:r>
              <w:rPr>
                <w:rFonts w:hint="eastAsia"/>
                <w:color w:val="auto"/>
                <w:sz w:val="15"/>
                <w:szCs w:val="15"/>
                <w:highlight w:val="none"/>
              </w:rPr>
              <w:t xml:space="preserve">5</w:t>
            </w:r>
            <w:r>
              <w:rPr>
                <w:color w:val="auto"/>
                <w:sz w:val="15"/>
                <w:szCs w:val="15"/>
                <w:highlight w:val="none"/>
              </w:rPr>
              <w:t xml:space="preserve">%（含），得</w:t>
            </w:r>
            <w:r>
              <w:rPr>
                <w:rFonts w:hint="eastAsia"/>
                <w:color w:val="auto"/>
                <w:sz w:val="15"/>
                <w:szCs w:val="15"/>
                <w:highlight w:val="none"/>
              </w:rPr>
              <w:t xml:space="preserve">7</w:t>
            </w:r>
            <w:r>
              <w:rPr>
                <w:color w:val="auto"/>
                <w:sz w:val="15"/>
                <w:szCs w:val="15"/>
                <w:highlight w:val="none"/>
              </w:rPr>
              <w:t xml:space="preserve">分；</w:t>
            </w:r>
            <w:r/>
          </w:p>
          <w:p>
            <w:pPr>
              <w:keepLines w:val="0"/>
              <w:keepNext w:val="0"/>
              <w:pageBreakBefore w:val="0"/>
              <w:spacing w:line="280" w:lineRule="exact"/>
              <w:widowControl/>
              <w:rPr>
                <w:color w:val="auto"/>
                <w:sz w:val="15"/>
                <w:szCs w:val="15"/>
                <w:highlight w:val="none"/>
              </w:rPr>
            </w:pPr>
            <w:r>
              <w:rPr>
                <w:color w:val="auto"/>
                <w:sz w:val="15"/>
                <w:szCs w:val="15"/>
                <w:highlight w:val="none"/>
              </w:rPr>
              <w:t xml:space="preserve">服务人数低于9</w:t>
            </w:r>
            <w:r>
              <w:rPr>
                <w:rFonts w:hint="eastAsia"/>
                <w:color w:val="auto"/>
                <w:sz w:val="15"/>
                <w:szCs w:val="15"/>
                <w:highlight w:val="none"/>
              </w:rPr>
              <w:t xml:space="preserve">0</w:t>
            </w:r>
            <w:r>
              <w:rPr>
                <w:color w:val="auto"/>
                <w:sz w:val="15"/>
                <w:szCs w:val="15"/>
                <w:highlight w:val="none"/>
              </w:rPr>
              <w:t xml:space="preserve">%（含）的，不得分。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c>
          <w:tcPr>
            <w:tcBorders>
              <w:left w:val="single" w:color="auto" w:sz="4" w:space="0"/>
              <w:right w:val="single" w:color="auto" w:sz="4" w:space="0"/>
            </w:tcBorders>
            <w:tcW w:w="811" w:type="dxa"/>
            <w:vAlign w:val="center"/>
            <w:vMerge w:val="continue"/>
            <w:textDirection w:val="lrTb"/>
            <w:noWrap/>
          </w:tcPr>
          <w:p>
            <w:pPr>
              <w:jc w:val="center"/>
              <w:keepLines w:val="0"/>
              <w:keepNext w:val="0"/>
              <w:pageBreakBefore w:val="0"/>
              <w:spacing w:line="300" w:lineRule="exact"/>
              <w:widowControl w:val="off"/>
              <w:rPr>
                <w:rFonts w:hint="eastAsia" w:ascii="Times New Roman" w:hAnsi="Times New Roman" w:eastAsia="宋体" w:cs="Times New Roman"/>
                <w:color w:val="auto"/>
                <w:sz w:val="11"/>
                <w:szCs w:val="11"/>
                <w:highlight w:val="none"/>
              </w:rPr>
            </w:pPr>
            <w:r>
              <w:rPr>
                <w:rFonts w:hint="eastAsia" w:ascii="Times New Roman" w:hAnsi="Times New Roman" w:eastAsia="宋体" w:cs="Times New Roman"/>
                <w:color w:val="auto"/>
                <w:sz w:val="11"/>
                <w:szCs w:val="11"/>
                <w:highlight w:val="none"/>
              </w:rPr>
            </w:r>
            <w:r/>
          </w:p>
        </w:tc>
      </w:tr>
      <w:tr>
        <w:trPr>
          <w:trHeight w:val="66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服务时长</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严格按照协议规定的服务时长，项目清单中每个服务项目服务时长不够的视为不达标。</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服务时长达标率大于9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%，得10分；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服务时长达标率为90%（不含）</w:t>
            </w:r>
            <w:r>
              <w:rPr>
                <w:rFonts w:hint="eastAsia" w:ascii="Times New Roman" w:hAnsi="Times New Roman" w:eastAsia="宋体" w:cs="Times New Roman"/>
                <w:color w:val="auto"/>
                <w:sz w:val="15"/>
                <w:szCs w:val="15"/>
                <w:highlight w:val="none"/>
                <w:lang w:eastAsia="zh-CN"/>
              </w:rPr>
              <w:t xml:space="preserve">—</w:t>
            </w:r>
            <w:r>
              <w:rPr>
                <w:rFonts w:ascii="Times New Roman" w:hAnsi="Times New Roman" w:eastAsia="宋体" w:cs="Times New Roman"/>
                <w:color w:val="auto"/>
                <w:sz w:val="15"/>
                <w:szCs w:val="15"/>
                <w:highlight w:val="none"/>
              </w:rPr>
              <w:t xml:space="preserve">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%（含），得</w:t>
            </w:r>
            <w:r>
              <w:rPr>
                <w:rFonts w:hint="eastAsia" w:ascii="Times New Roman" w:hAnsi="Times New Roman" w:eastAsia="宋体" w:cs="Times New Roman"/>
                <w:color w:val="auto"/>
                <w:sz w:val="15"/>
                <w:szCs w:val="15"/>
                <w:highlight w:val="none"/>
              </w:rPr>
              <w:t xml:space="preserve">7</w:t>
            </w:r>
            <w:r>
              <w:rPr>
                <w:rFonts w:ascii="Times New Roman" w:hAnsi="Times New Roman" w:eastAsia="宋体" w:cs="Times New Roman"/>
                <w:color w:val="auto"/>
                <w:sz w:val="15"/>
                <w:szCs w:val="15"/>
                <w:highlight w:val="none"/>
              </w:rPr>
              <w:t xml:space="preserve">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服务时长达标率低于90%（含）的，不得分。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660"/>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服务满意度</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对全区服务对象进行满意度回访。</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满意率大于9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%，得15分；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满意率为90%（不含）</w:t>
            </w:r>
            <w:r>
              <w:rPr>
                <w:rFonts w:hint="eastAsia" w:ascii="Times New Roman" w:hAnsi="Times New Roman" w:eastAsia="宋体" w:cs="Times New Roman"/>
                <w:color w:val="auto"/>
                <w:sz w:val="15"/>
                <w:szCs w:val="15"/>
                <w:highlight w:val="none"/>
                <w:lang w:eastAsia="zh-CN"/>
              </w:rPr>
              <w:t xml:space="preserve">—</w:t>
            </w:r>
            <w:r>
              <w:rPr>
                <w:rFonts w:ascii="Times New Roman" w:hAnsi="Times New Roman" w:eastAsia="宋体" w:cs="Times New Roman"/>
                <w:color w:val="auto"/>
                <w:sz w:val="15"/>
                <w:szCs w:val="15"/>
                <w:highlight w:val="none"/>
              </w:rPr>
              <w:t xml:space="preserve">9</w:t>
            </w:r>
            <w:r>
              <w:rPr>
                <w:rFonts w:hint="eastAsia" w:ascii="Times New Roman" w:hAnsi="Times New Roman" w:eastAsia="宋体" w:cs="Times New Roman"/>
                <w:color w:val="auto"/>
                <w:sz w:val="15"/>
                <w:szCs w:val="15"/>
                <w:highlight w:val="none"/>
              </w:rPr>
              <w:t xml:space="preserve">5</w:t>
            </w:r>
            <w:r>
              <w:rPr>
                <w:rFonts w:ascii="Times New Roman" w:hAnsi="Times New Roman" w:eastAsia="宋体" w:cs="Times New Roman"/>
                <w:color w:val="auto"/>
                <w:sz w:val="15"/>
                <w:szCs w:val="15"/>
                <w:highlight w:val="none"/>
              </w:rPr>
              <w:t xml:space="preserve">%（含），得</w:t>
            </w:r>
            <w:r>
              <w:rPr>
                <w:rFonts w:hint="eastAsia" w:ascii="Times New Roman" w:hAnsi="Times New Roman" w:eastAsia="宋体" w:cs="Times New Roman"/>
                <w:color w:val="auto"/>
                <w:sz w:val="15"/>
                <w:szCs w:val="15"/>
                <w:highlight w:val="none"/>
              </w:rPr>
              <w:t xml:space="preserve">12</w:t>
            </w:r>
            <w:r>
              <w:rPr>
                <w:rFonts w:ascii="Times New Roman" w:hAnsi="Times New Roman" w:eastAsia="宋体" w:cs="Times New Roman"/>
                <w:color w:val="auto"/>
                <w:sz w:val="15"/>
                <w:szCs w:val="15"/>
                <w:highlight w:val="none"/>
              </w:rPr>
              <w:t xml:space="preserve">分；</w:t>
            </w:r>
            <w:r/>
          </w:p>
          <w:p>
            <w:pPr>
              <w:keepLines w:val="0"/>
              <w:keepNext w:val="0"/>
              <w:pageBreakBefore w:val="0"/>
              <w:spacing w:line="280" w:lineRule="exact"/>
              <w:rPr>
                <w:rFonts w:ascii="Times New Roman" w:hAnsi="Times New Roman" w:eastAsia="宋体" w:cs="Times New Roman"/>
                <w:color w:val="auto"/>
                <w:sz w:val="15"/>
                <w:szCs w:val="15"/>
                <w:highlight w:val="none"/>
              </w:rPr>
            </w:pPr>
            <w:r>
              <w:rPr>
                <w:rFonts w:ascii="Times New Roman" w:hAnsi="Times New Roman" w:eastAsia="宋体" w:cs="Times New Roman"/>
                <w:color w:val="auto"/>
                <w:sz w:val="15"/>
                <w:szCs w:val="15"/>
                <w:highlight w:val="none"/>
              </w:rPr>
              <w:t xml:space="preserve">满意度低于90%（含）的，不得分。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rFonts w:hint="default" w:eastAsia="宋体"/>
                <w:color w:val="auto"/>
                <w:sz w:val="15"/>
                <w:szCs w:val="15"/>
                <w:highlight w:val="none"/>
                <w:lang w:val="en-US" w:eastAsia="zh-CN"/>
              </w:rPr>
            </w:pPr>
            <w:r>
              <w:rPr>
                <w:rFonts w:hint="eastAsia"/>
                <w:color w:val="auto"/>
                <w:sz w:val="15"/>
                <w:szCs w:val="15"/>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403"/>
        </w:trPr>
        <w:tc>
          <w:tcPr>
            <w:tcBorders>
              <w:left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服务质量</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服务过程中不得伪造服务工单，弄虚作假。</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spacing w:line="300" w:lineRule="exact"/>
              <w:widowControl/>
              <w:rPr>
                <w:color w:val="auto"/>
                <w:sz w:val="15"/>
                <w:szCs w:val="15"/>
                <w:highlight w:val="none"/>
              </w:rPr>
            </w:pPr>
            <w:r>
              <w:rPr>
                <w:color w:val="auto"/>
                <w:sz w:val="15"/>
                <w:szCs w:val="15"/>
                <w:highlight w:val="none"/>
              </w:rPr>
              <w:t xml:space="preserve">出现1例，此项不得分。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10</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left w:val="single" w:color="auto" w:sz="4" w:space="0"/>
              <w:bottom w:val="single" w:color="auto" w:sz="4" w:space="0"/>
              <w:right w:val="single" w:color="auto" w:sz="4" w:space="0"/>
            </w:tcBorders>
            <w:tcW w:w="811" w:type="dxa"/>
            <w:vAlign w:val="center"/>
            <w:vMerge w:val="continue"/>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393"/>
        </w:trPr>
        <w:tc>
          <w:tcPr>
            <w:tcBorders>
              <w:left w:val="single" w:color="auto" w:sz="4" w:space="0"/>
              <w:bottom w:val="single" w:color="auto" w:sz="4" w:space="0"/>
              <w:right w:val="single" w:color="auto" w:sz="4" w:space="0"/>
            </w:tcBorders>
            <w:tcW w:w="652" w:type="dxa"/>
            <w:vAlign w:val="center"/>
            <w:vMerge w:val="continue"/>
            <w:textDirection w:val="lrTb"/>
            <w:noWrap w:val="false"/>
          </w:tcPr>
          <w:p>
            <w:pPr>
              <w:jc w:val="left"/>
              <w:widowControl/>
              <w:rPr>
                <w:rFonts w:eastAsia="黑体"/>
                <w:b/>
                <w:bCs/>
                <w:color w:val="auto"/>
                <w:sz w:val="21"/>
                <w:szCs w:val="21"/>
                <w:highlight w:val="none"/>
              </w:rPr>
            </w:pPr>
            <w:r>
              <w:rPr>
                <w:rFonts w:eastAsia="黑体"/>
                <w:b/>
                <w:bCs/>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11" w:type="dxa"/>
            <w:vAlign w:val="center"/>
            <w:textDirection w:val="lrTb"/>
            <w:noWrap w:val="false"/>
          </w:tcPr>
          <w:p>
            <w:pPr>
              <w:jc w:val="center"/>
              <w:spacing w:line="300" w:lineRule="exact"/>
              <w:widowControl/>
              <w:rPr>
                <w:b/>
                <w:bCs/>
                <w:color w:val="auto"/>
                <w:sz w:val="15"/>
                <w:szCs w:val="15"/>
                <w:highlight w:val="none"/>
              </w:rPr>
            </w:pPr>
            <w:r>
              <w:rPr>
                <w:b/>
                <w:bCs/>
                <w:color w:val="auto"/>
                <w:sz w:val="15"/>
                <w:szCs w:val="15"/>
                <w:highlight w:val="none"/>
              </w:rPr>
              <w:t xml:space="preserve">总结服务</w:t>
            </w:r>
            <w:r/>
          </w:p>
        </w:tc>
        <w:tc>
          <w:tcPr>
            <w:tcBorders>
              <w:top w:val="none" w:color="000000" w:sz="4" w:space="0"/>
              <w:left w:val="none" w:color="000000" w:sz="4" w:space="0"/>
              <w:bottom w:val="single" w:color="auto" w:sz="4" w:space="0"/>
              <w:right w:val="single" w:color="auto" w:sz="4" w:space="0"/>
            </w:tcBorders>
            <w:tcW w:w="2523" w:type="dxa"/>
            <w:vAlign w:val="center"/>
            <w:textDirection w:val="lrTb"/>
            <w:noWrap w:val="false"/>
          </w:tcPr>
          <w:p>
            <w:pPr>
              <w:jc w:val="left"/>
              <w:spacing w:line="300" w:lineRule="exact"/>
              <w:widowControl/>
              <w:rPr>
                <w:color w:val="auto"/>
                <w:sz w:val="15"/>
                <w:szCs w:val="15"/>
                <w:highlight w:val="none"/>
              </w:rPr>
            </w:pPr>
            <w:r>
              <w:rPr>
                <w:color w:val="auto"/>
                <w:sz w:val="15"/>
                <w:szCs w:val="15"/>
                <w:highlight w:val="none"/>
              </w:rPr>
              <w:t xml:space="preserve">定期总结上门服务情况。</w:t>
            </w:r>
            <w:r/>
          </w:p>
        </w:tc>
        <w:tc>
          <w:tcPr>
            <w:tcBorders>
              <w:top w:val="none" w:color="000000" w:sz="4" w:space="0"/>
              <w:left w:val="none" w:color="000000" w:sz="4" w:space="0"/>
              <w:bottom w:val="single" w:color="auto" w:sz="4" w:space="0"/>
              <w:right w:val="single" w:color="auto" w:sz="4" w:space="0"/>
            </w:tcBorders>
            <w:tcW w:w="2477" w:type="dxa"/>
            <w:vAlign w:val="center"/>
            <w:textDirection w:val="lrTb"/>
            <w:noWrap w:val="false"/>
          </w:tcPr>
          <w:p>
            <w:pPr>
              <w:spacing w:line="300" w:lineRule="exact"/>
              <w:widowControl/>
              <w:rPr>
                <w:color w:val="auto"/>
                <w:sz w:val="15"/>
                <w:szCs w:val="15"/>
                <w:highlight w:val="none"/>
              </w:rPr>
            </w:pPr>
            <w:r>
              <w:rPr>
                <w:color w:val="auto"/>
                <w:sz w:val="15"/>
                <w:szCs w:val="15"/>
                <w:highlight w:val="none"/>
              </w:rPr>
              <w:t xml:space="preserve">查看台帐，不完善项酌情扣分。</w:t>
            </w:r>
            <w:r/>
          </w:p>
        </w:tc>
        <w:tc>
          <w:tcPr>
            <w:tcBorders>
              <w:top w:val="none" w:color="000000"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t xml:space="preserve">5</w:t>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417"/>
        </w:trPr>
        <w:tc>
          <w:tcPr>
            <w:gridSpan w:val="4"/>
            <w:tcBorders>
              <w:top w:val="single" w:color="auto" w:sz="4" w:space="0"/>
              <w:left w:val="single" w:color="auto" w:sz="4" w:space="0"/>
              <w:bottom w:val="single" w:color="auto" w:sz="4" w:space="0"/>
              <w:right w:val="single" w:color="auto" w:sz="4" w:space="0"/>
            </w:tcBorders>
            <w:tcW w:w="6663" w:type="dxa"/>
            <w:vAlign w:val="center"/>
            <w:textDirection w:val="lrTb"/>
            <w:noWrap w:val="false"/>
          </w:tcPr>
          <w:p>
            <w:pPr>
              <w:jc w:val="center"/>
              <w:spacing w:line="300" w:lineRule="exact"/>
              <w:widowControl/>
              <w:rPr>
                <w:rFonts w:hint="default" w:eastAsia="黑体"/>
                <w:color w:val="auto"/>
                <w:sz w:val="15"/>
                <w:szCs w:val="15"/>
                <w:highlight w:val="none"/>
                <w:lang w:val="en-US" w:eastAsia="zh-CN"/>
              </w:rPr>
            </w:pPr>
            <w:r>
              <w:rPr>
                <w:rFonts w:eastAsia="黑体"/>
                <w:b/>
                <w:bCs/>
                <w:color w:val="auto"/>
                <w:sz w:val="20"/>
                <w:szCs w:val="21"/>
                <w:highlight w:val="none"/>
              </w:rPr>
              <w:t xml:space="preserve">合</w:t>
            </w:r>
            <w:r>
              <w:rPr>
                <w:rFonts w:hint="eastAsia" w:eastAsia="黑体"/>
                <w:b/>
                <w:bCs/>
                <w:color w:val="auto"/>
                <w:sz w:val="20"/>
                <w:szCs w:val="21"/>
                <w:highlight w:val="none"/>
                <w:lang w:val="en-US" w:eastAsia="zh-CN"/>
              </w:rPr>
              <w:t xml:space="preserve">   </w:t>
            </w:r>
            <w:r>
              <w:rPr>
                <w:rFonts w:eastAsia="黑体"/>
                <w:b/>
                <w:bCs/>
                <w:color w:val="auto"/>
                <w:sz w:val="20"/>
                <w:szCs w:val="21"/>
                <w:highlight w:val="none"/>
              </w:rPr>
              <w:t xml:space="preserve">计</w:t>
            </w:r>
            <w:r/>
          </w:p>
        </w:tc>
        <w:tc>
          <w:tcPr>
            <w:tcBorders>
              <w:top w:val="single" w:color="auto" w:sz="4" w:space="0"/>
              <w:left w:val="none" w:color="000000" w:sz="4" w:space="0"/>
              <w:bottom w:val="single" w:color="auto" w:sz="4" w:space="0"/>
              <w:right w:val="single" w:color="auto" w:sz="4" w:space="0"/>
            </w:tcBorders>
            <w:tcW w:w="723" w:type="dxa"/>
            <w:vAlign w:val="center"/>
            <w:textDirection w:val="lrTb"/>
            <w:noWrap w:val="false"/>
          </w:tcPr>
          <w:p>
            <w:pPr>
              <w:jc w:val="center"/>
              <w:spacing w:line="300" w:lineRule="exact"/>
              <w:widowControl/>
              <w:rPr>
                <w:color w:val="auto"/>
                <w:sz w:val="15"/>
                <w:szCs w:val="15"/>
                <w:highlight w:val="none"/>
              </w:rPr>
            </w:pPr>
            <w:r>
              <w:rPr>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800"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c>
          <w:tcPr>
            <w:tcBorders>
              <w:top w:val="single" w:color="auto" w:sz="4" w:space="0"/>
              <w:left w:val="none" w:color="000000" w:sz="4" w:space="0"/>
              <w:bottom w:val="single" w:color="auto" w:sz="4" w:space="0"/>
              <w:right w:val="single" w:color="auto" w:sz="4" w:space="0"/>
            </w:tcBorders>
            <w:tcW w:w="811" w:type="dxa"/>
            <w:vAlign w:val="center"/>
            <w:textDirection w:val="lrTb"/>
            <w:noWrap/>
          </w:tcPr>
          <w:p>
            <w:pPr>
              <w:jc w:val="center"/>
              <w:spacing w:line="300" w:lineRule="exact"/>
              <w:widowControl/>
              <w:rPr>
                <w:color w:val="auto"/>
                <w:sz w:val="20"/>
                <w:szCs w:val="20"/>
                <w:highlight w:val="none"/>
              </w:rPr>
            </w:pPr>
            <w:r>
              <w:rPr>
                <w:color w:val="auto"/>
                <w:sz w:val="20"/>
                <w:szCs w:val="20"/>
                <w:highlight w:val="none"/>
              </w:rPr>
            </w:r>
            <w:r/>
          </w:p>
        </w:tc>
      </w:tr>
      <w:tr>
        <w:trPr>
          <w:trHeight w:val="1125"/>
        </w:trPr>
        <w:tc>
          <w:tcPr>
            <w:gridSpan w:val="7"/>
            <w:tcBorders>
              <w:top w:val="single" w:color="auto" w:sz="4" w:space="0"/>
              <w:left w:val="single" w:color="auto" w:sz="4" w:space="0"/>
              <w:bottom w:val="single" w:color="auto" w:sz="4" w:space="0"/>
              <w:right w:val="single" w:color="auto" w:sz="4" w:space="0"/>
            </w:tcBorders>
            <w:tcW w:w="8997" w:type="dxa"/>
            <w:vAlign w:val="top"/>
            <w:textDirection w:val="lrTb"/>
            <w:noWrap w:val="false"/>
          </w:tcPr>
          <w:p>
            <w:pPr>
              <w:pStyle w:val="1278"/>
              <w:ind w:firstLine="0"/>
              <w:jc w:val="both"/>
              <w:spacing w:line="400" w:lineRule="exact"/>
              <w:tabs>
                <w:tab w:val="left" w:pos="1603" w:leader="none"/>
              </w:tabs>
              <w:rPr>
                <w:rFonts w:ascii="Times New Roman" w:hAnsi="Times New Roman"/>
                <w:b/>
                <w:bCs/>
                <w:color w:val="auto"/>
                <w:spacing w:val="-5"/>
                <w:sz w:val="20"/>
                <w:szCs w:val="20"/>
                <w:highlight w:val="none"/>
              </w:rPr>
            </w:pPr>
            <w:r>
              <w:rPr>
                <w:rFonts w:hint="eastAsia" w:ascii="Times New Roman" w:hAnsi="Times New Roman"/>
                <w:b/>
                <w:bCs/>
                <w:color w:val="auto"/>
                <w:spacing w:val="-5"/>
                <w:sz w:val="20"/>
                <w:szCs w:val="20"/>
                <w:highlight w:val="none"/>
              </w:rPr>
              <w:t xml:space="preserve">验收考核</w:t>
            </w:r>
            <w:r>
              <w:rPr>
                <w:rFonts w:hint="eastAsia" w:ascii="Times New Roman" w:hAnsi="Times New Roman"/>
                <w:b/>
                <w:bCs/>
                <w:color w:val="auto"/>
                <w:spacing w:val="-5"/>
                <w:sz w:val="20"/>
                <w:szCs w:val="20"/>
                <w:highlight w:val="none"/>
                <w:lang w:val="en-US" w:eastAsia="zh-CN"/>
              </w:rPr>
              <w:t xml:space="preserve">组</w:t>
            </w:r>
            <w:r>
              <w:rPr>
                <w:rFonts w:hint="eastAsia" w:ascii="Times New Roman" w:hAnsi="Times New Roman"/>
                <w:b/>
                <w:bCs/>
                <w:color w:val="auto"/>
                <w:spacing w:val="-5"/>
                <w:sz w:val="20"/>
                <w:szCs w:val="20"/>
                <w:highlight w:val="none"/>
              </w:rPr>
              <w:t xml:space="preserve">签字：</w:t>
            </w:r>
            <w:r/>
          </w:p>
          <w:p>
            <w:pPr>
              <w:jc w:val="center"/>
              <w:spacing w:line="300" w:lineRule="exact"/>
              <w:widowControl/>
              <w:rPr>
                <w:color w:val="auto"/>
                <w:sz w:val="20"/>
                <w:szCs w:val="20"/>
                <w:highlight w:val="none"/>
              </w:rPr>
            </w:pPr>
            <w:r>
              <w:rPr>
                <w:color w:val="auto"/>
                <w:sz w:val="20"/>
                <w:szCs w:val="20"/>
                <w:highlight w:val="none"/>
              </w:rPr>
            </w:r>
            <w:r/>
          </w:p>
        </w:tc>
      </w:tr>
    </w:tbl>
    <w:p>
      <w:pPr>
        <w:rPr>
          <w:color w:val="auto"/>
          <w:sz w:val="24"/>
          <w:highlight w:val="none"/>
        </w:rPr>
      </w:pPr>
      <w:r>
        <w:rPr>
          <w:color w:val="auto"/>
          <w:sz w:val="24"/>
          <w:highlight w:val="none"/>
        </w:rPr>
      </w:r>
      <w:r/>
    </w:p>
    <w:p>
      <w:pPr>
        <w:pStyle w:val="1278"/>
        <w:ind w:firstLine="0"/>
        <w:jc w:val="left"/>
        <w:spacing w:line="360" w:lineRule="exact"/>
        <w:tabs>
          <w:tab w:val="left" w:pos="1603" w:leader="none"/>
        </w:tabs>
        <w:rPr>
          <w:rFonts w:hint="eastAsia" w:ascii="宋体" w:hAnsi="宋体" w:eastAsia="宋体" w:cs="宋体"/>
          <w:bCs/>
          <w:color w:val="auto"/>
          <w:sz w:val="24"/>
          <w:szCs w:val="24"/>
          <w:highlight w:val="none"/>
        </w:rPr>
      </w:pPr>
      <w:r>
        <w:rPr>
          <w:rFonts w:hint="eastAsia" w:ascii="Times New Roman" w:hAnsi="Times New Roman"/>
          <w:b/>
          <w:bCs/>
          <w:color w:val="auto"/>
          <w:spacing w:val="-5"/>
          <w:sz w:val="22"/>
          <w:szCs w:val="22"/>
          <w:highlight w:val="none"/>
        </w:rPr>
        <w:t xml:space="preserve">备注：</w:t>
      </w:r>
      <w:r>
        <w:rPr>
          <w:rFonts w:ascii="Times New Roman" w:hAnsi="Times New Roman"/>
          <w:b/>
          <w:bCs/>
          <w:color w:val="auto"/>
          <w:spacing w:val="-5"/>
          <w:sz w:val="22"/>
          <w:szCs w:val="22"/>
          <w:highlight w:val="none"/>
        </w:rPr>
        <w:t xml:space="preserve">考核结果采用综合评分法，居家托养服务各项考核内容采取百分制，按照机构建设25分、服务管理25分、服务成效50分权重汇总计算考核结果。居家托养服务考核达85分以上的，据实全额支付服务补贴；得分80—85（含）分的，在应据实支付的费用基础上扣除5%；得分7</w:t>
      </w:r>
      <w:r>
        <w:rPr>
          <w:rFonts w:hint="eastAsia" w:ascii="Times New Roman" w:hAnsi="Times New Roman"/>
          <w:b/>
          <w:bCs/>
          <w:color w:val="auto"/>
          <w:spacing w:val="-5"/>
          <w:sz w:val="22"/>
          <w:szCs w:val="22"/>
          <w:highlight w:val="none"/>
        </w:rPr>
        <w:t xml:space="preserve">5</w:t>
      </w:r>
      <w:r>
        <w:rPr>
          <w:rFonts w:ascii="Times New Roman" w:hAnsi="Times New Roman"/>
          <w:b/>
          <w:bCs/>
          <w:color w:val="auto"/>
          <w:spacing w:val="-5"/>
          <w:sz w:val="22"/>
          <w:szCs w:val="22"/>
          <w:highlight w:val="none"/>
        </w:rPr>
        <w:t xml:space="preserve">—80（含）分的，在应据实支付的费用上扣除10%；得分低于7</w:t>
      </w:r>
      <w:r>
        <w:rPr>
          <w:rFonts w:hint="eastAsia" w:ascii="Times New Roman" w:hAnsi="Times New Roman"/>
          <w:b/>
          <w:bCs/>
          <w:color w:val="auto"/>
          <w:spacing w:val="-5"/>
          <w:sz w:val="22"/>
          <w:szCs w:val="22"/>
          <w:highlight w:val="none"/>
        </w:rPr>
        <w:t xml:space="preserve">5</w:t>
      </w:r>
      <w:r>
        <w:rPr>
          <w:rFonts w:ascii="Times New Roman" w:hAnsi="Times New Roman"/>
          <w:b/>
          <w:bCs/>
          <w:color w:val="auto"/>
          <w:spacing w:val="-5"/>
          <w:sz w:val="22"/>
          <w:szCs w:val="22"/>
          <w:highlight w:val="none"/>
        </w:rPr>
        <w:t xml:space="preserve">（含）分的，在应据实支付费用的基础上扣除50%；并责令整改。</w:t>
      </w:r>
      <w:r>
        <w:rPr>
          <w:rFonts w:hint="eastAsia" w:ascii="宋体" w:hAnsi="宋体" w:eastAsia="宋体" w:cs="宋体"/>
          <w:bCs/>
          <w:color w:val="auto"/>
          <w:sz w:val="24"/>
          <w:szCs w:val="24"/>
          <w:highlight w:val="none"/>
        </w:rPr>
        <w:t xml:space="preserve">                    </w:t>
      </w:r>
      <w:r/>
    </w:p>
    <w:p>
      <w:pPr>
        <w:pStyle w:val="1266"/>
        <w:spacing w:before="94" w:after="94" w:line="48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pStyle w:val="1164"/>
        <w:spacing w:before="94" w:after="94"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146"/>
      <w:r/>
      <w:bookmarkEnd w:id="147"/>
      <w:r/>
      <w:bookmarkEnd w:id="148"/>
      <w:r/>
      <w:r/>
    </w:p>
    <w:p>
      <w:pPr>
        <w:jc w:val="center"/>
        <w:keepLines/>
        <w:keepNext/>
        <w:pageBreakBefore/>
        <w:rPr>
          <w:rFonts w:hint="eastAsia" w:ascii="宋体" w:hAnsi="宋体" w:cs="宋体"/>
          <w:b/>
          <w:color w:val="auto"/>
          <w:sz w:val="44"/>
          <w:szCs w:val="44"/>
          <w:highlight w:val="none"/>
        </w:rPr>
        <w:outlineLvl w:val="0"/>
      </w:pPr>
      <w:r/>
      <w:bookmarkStart w:id="151" w:name="_Toc6859"/>
      <w:r/>
      <w:bookmarkStart w:id="152" w:name="_Toc81575170"/>
      <w:r/>
      <w:bookmarkStart w:id="153" w:name="_Toc22853"/>
      <w:r/>
      <w:bookmarkStart w:id="154" w:name="_Toc19649"/>
      <w:r/>
      <w:bookmarkStart w:id="155" w:name="_Toc9003"/>
      <w:r/>
      <w:bookmarkStart w:id="156" w:name="_Toc81575207"/>
      <w:r/>
      <w:bookmarkStart w:id="157" w:name="_Toc30791"/>
      <w:r>
        <w:rPr>
          <w:rFonts w:hint="eastAsia" w:ascii="宋体" w:hAnsi="宋体" w:cs="宋体"/>
          <w:b/>
          <w:color w:val="auto"/>
          <w:sz w:val="44"/>
          <w:szCs w:val="44"/>
          <w:highlight w:val="none"/>
        </w:rPr>
        <w:t xml:space="preserve">第六章  投标文件格式</w:t>
      </w:r>
      <w:bookmarkEnd w:id="151"/>
      <w:r/>
      <w:bookmarkEnd w:id="152"/>
      <w:r/>
      <w:bookmarkEnd w:id="153"/>
      <w:r/>
      <w:bookmarkEnd w:id="154"/>
      <w:r/>
      <w:bookmarkEnd w:id="155"/>
      <w:r/>
      <w:bookmarkEnd w:id="156"/>
      <w:r/>
      <w:bookmarkEnd w:id="157"/>
      <w:r/>
      <w:r/>
    </w:p>
    <w:p>
      <w:pPr>
        <w:rPr>
          <w:rFonts w:hint="eastAsia" w:ascii="宋体" w:hAnsi="宋体" w:cs="宋体"/>
          <w:color w:val="auto"/>
          <w:highlight w:val="none"/>
        </w:rPr>
      </w:pPr>
      <w:r/>
      <w:bookmarkStart w:id="158" w:name="EB819316f773b24a75aef829f9b72900c0"/>
      <w:r/>
      <w:r/>
    </w:p>
    <w:p>
      <w:pPr>
        <w:rPr>
          <w:rFonts w:hint="eastAsia" w:ascii="宋体" w:hAnsi="宋体" w:cs="宋体"/>
          <w:b/>
          <w:color w:val="auto"/>
          <w:sz w:val="72"/>
          <w:highlight w:val="none"/>
        </w:rPr>
      </w:pPr>
      <w:r/>
      <w:bookmarkStart w:id="159" w:name="_Toc15716"/>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（盖CA电子公章）</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bookmarkEnd w:id="159"/>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bookmarkEnd w:id="158"/>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5"/>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108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一、投标函</w:t>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二、</w:t>
      </w:r>
      <w:bookmarkStart w:id="160" w:name="OLE_LINK37"/>
      <w:r>
        <w:rPr>
          <w:rFonts w:hint="eastAsia" w:ascii="宋体" w:hAnsi="宋体" w:cs="宋体"/>
          <w:color w:val="auto"/>
          <w:sz w:val="24"/>
          <w:szCs w:val="24"/>
          <w:highlight w:val="none"/>
          <w:lang w:bidi="zh-CN"/>
        </w:rPr>
        <w:t xml:space="preserve">法人授权书</w:t>
      </w:r>
      <w:bookmarkEnd w:id="160"/>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三、开标一览表</w:t>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四、</w:t>
      </w:r>
      <w:bookmarkStart w:id="161" w:name="OLE_LINK59"/>
      <w:r>
        <w:rPr>
          <w:rFonts w:hint="eastAsia" w:ascii="宋体" w:hAnsi="宋体" w:cs="宋体"/>
          <w:color w:val="auto"/>
          <w:sz w:val="24"/>
          <w:szCs w:val="24"/>
          <w:highlight w:val="none"/>
          <w:lang w:bidi="zh-CN"/>
        </w:rPr>
        <w:t xml:space="preserve">投标分项报价表</w:t>
      </w:r>
      <w:bookmarkEnd w:id="161"/>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五、中小企业或残疾人福利性单位声明函</w:t>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六、项目经理</w:t>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七、</w:t>
      </w:r>
      <w:bookmarkStart w:id="162" w:name="OLE_LINK14"/>
      <w:r>
        <w:rPr>
          <w:rFonts w:hint="eastAsia" w:ascii="宋体" w:hAnsi="宋体" w:cs="宋体"/>
          <w:color w:val="auto"/>
          <w:sz w:val="24"/>
          <w:szCs w:val="24"/>
          <w:highlight w:val="none"/>
          <w:lang w:bidi="zh-CN"/>
        </w:rPr>
        <w:t xml:space="preserve">项目组人员（除项目经理外）</w:t>
      </w:r>
      <w:bookmarkEnd w:id="162"/>
      <w:r/>
      <w:r/>
    </w:p>
    <w:p>
      <w:pPr>
        <w:pStyle w:val="1105"/>
        <w:ind w:firstLine="480"/>
        <w:jc w:val="left"/>
        <w:spacing w:line="500" w:lineRule="exact"/>
        <w:widowControl/>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八、企业业绩</w:t>
      </w:r>
      <w:r/>
    </w:p>
    <w:p>
      <w:pPr>
        <w:pStyle w:val="1105"/>
        <w:ind w:firstLine="480"/>
        <w:jc w:val="left"/>
        <w:spacing w:line="500" w:lineRule="exact"/>
        <w:widowControl/>
        <w:rPr>
          <w:rFonts w:hint="eastAsia" w:ascii="宋体" w:hAnsi="宋体" w:eastAsia="宋体" w:cs="宋体"/>
          <w:color w:val="auto"/>
          <w:sz w:val="24"/>
          <w:szCs w:val="24"/>
          <w:highlight w:val="none"/>
          <w:lang w:bidi="zh-CN"/>
        </w:rPr>
      </w:pPr>
      <w:r>
        <w:rPr>
          <w:rFonts w:hint="eastAsia" w:ascii="宋体" w:hAnsi="宋体" w:cs="宋体"/>
          <w:color w:val="auto"/>
          <w:sz w:val="24"/>
          <w:szCs w:val="24"/>
          <w:highlight w:val="none"/>
          <w:lang w:bidi="zh-CN"/>
        </w:rPr>
        <w:t xml:space="preserve">九、</w:t>
      </w:r>
      <w:r>
        <w:rPr>
          <w:rFonts w:hint="eastAsia" w:ascii="宋体" w:hAnsi="宋体" w:eastAsia="宋体" w:cs="宋体"/>
          <w:color w:val="auto"/>
          <w:sz w:val="24"/>
          <w:szCs w:val="24"/>
          <w:highlight w:val="none"/>
          <w:lang w:bidi="zh-CN"/>
        </w:rPr>
        <w:t xml:space="preserve">技术要求响应及偏离表</w:t>
      </w:r>
      <w:r/>
    </w:p>
    <w:p>
      <w:pPr>
        <w:pStyle w:val="1105"/>
        <w:ind w:firstLine="480"/>
        <w:jc w:val="left"/>
        <w:spacing w:line="500" w:lineRule="exact"/>
        <w:widowControl/>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 xml:space="preserve">十、投标所需其他材料</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95"/>
        <w:rPr>
          <w:rFonts w:hint="eastAsia" w:ascii="宋体" w:hAnsi="宋体" w:eastAsia="宋体" w:cs="宋体"/>
          <w:b w:val="0"/>
          <w:bCs/>
          <w:color w:val="auto"/>
          <w:highlight w:val="none"/>
        </w:rPr>
        <w:outlineLvl w:val="1"/>
      </w:pPr>
      <w:r>
        <w:rPr>
          <w:rFonts w:hint="eastAsia" w:ascii="宋体" w:hAnsi="宋体" w:eastAsia="宋体" w:cs="宋体"/>
          <w:color w:val="auto"/>
          <w:highlight w:val="none"/>
        </w:rPr>
        <w:br w:type="page" w:clear="all"/>
      </w:r>
      <w:bookmarkStart w:id="163" w:name="_Toc9812"/>
      <w:r>
        <w:rPr>
          <w:rFonts w:hint="eastAsia" w:ascii="宋体" w:hAnsi="宋体" w:eastAsia="宋体" w:cs="宋体"/>
          <w:b w:val="0"/>
          <w:bCs/>
          <w:color w:val="auto"/>
          <w:highlight w:val="none"/>
        </w:rPr>
        <w:t xml:space="preserve">一、投标函</w:t>
      </w:r>
      <w:bookmarkEnd w:id="163"/>
      <w:r/>
      <w:r/>
    </w:p>
    <w:p>
      <w:pPr>
        <w:pStyle w:val="1096"/>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pStyle w:val="1096"/>
        <w:jc w:val="center"/>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投标函</w:t>
      </w:r>
      <w:r/>
    </w:p>
    <w:p>
      <w:pPr>
        <w:pStyle w:val="1096"/>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宿迁市宿城区残疾人联合会</w:t>
      </w:r>
      <w:r>
        <w:rPr>
          <w:rFonts w:hint="eastAsia" w:ascii="宋体" w:hAnsi="宋体" w:cs="宋体"/>
          <w:color w:val="auto"/>
          <w:sz w:val="24"/>
          <w:szCs w:val="24"/>
          <w:highlight w:val="none"/>
          <w:u w:val="single"/>
        </w:rPr>
        <w:t xml:space="preserve">：</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宿城区残疾人联合会残疾人居家托养服务采购项目</w:t>
      </w:r>
      <w:r>
        <w:rPr>
          <w:rFonts w:hint="eastAsia" w:ascii="宋体" w:hAnsi="宋体" w:cs="宋体"/>
          <w:color w:val="auto"/>
          <w:sz w:val="24"/>
          <w:szCs w:val="24"/>
          <w:highlight w:val="none"/>
        </w:rPr>
        <w:t xml:space="preserve">的招标文件，我方在参加本项目招投标活动中，特作出如下承诺：</w:t>
      </w:r>
      <w:r/>
    </w:p>
    <w:p>
      <w:pPr>
        <w:pStyle w:val="1096"/>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highlight w:val="none"/>
        </w:rPr>
        <w:t xml:space="preserve">具备《中华人民共和国政府采购法》第二十二条第一款规定的6项条件；</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六、我方同意采购人、采购代理机构将本函上网公开。</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96"/>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（盖CA电子公章）</w:t>
      </w:r>
      <w:r/>
    </w:p>
    <w:p>
      <w:pPr>
        <w:pStyle w:val="1096"/>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96"/>
        <w:ind w:firstLine="480"/>
        <w:rPr>
          <w:rFonts w:hint="eastAsia" w:ascii="宋体" w:hAnsi="宋体" w:cs="宋体"/>
          <w:color w:val="auto"/>
          <w:highlight w:val="none"/>
        </w:rPr>
      </w:pPr>
      <w:r>
        <w:rPr>
          <w:rFonts w:hint="eastAsia" w:ascii="宋体" w:hAnsi="宋体" w:cs="宋体"/>
          <w:color w:val="auto"/>
          <w:sz w:val="24"/>
          <w:szCs w:val="24"/>
          <w:highlight w:val="none"/>
        </w:rPr>
        <w:t xml:space="preserve">日期：    年    月   日</w:t>
      </w:r>
      <w:r/>
    </w:p>
    <w:p>
      <w:pPr>
        <w:pStyle w:val="1086"/>
        <w:ind w:firstLine="200"/>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64" w:name="_Toc29506"/>
      <w:r/>
      <w:bookmarkStart w:id="165" w:name="_Toc4742"/>
      <w:r>
        <w:rPr>
          <w:rFonts w:hint="eastAsia" w:ascii="宋体" w:hAnsi="宋体" w:eastAsia="宋体" w:cs="宋体"/>
          <w:b w:val="0"/>
          <w:bCs/>
          <w:color w:val="auto"/>
          <w:highlight w:val="none"/>
        </w:rPr>
        <w:t xml:space="preserve">二、</w:t>
      </w:r>
      <w:bookmarkEnd w:id="164"/>
      <w:r>
        <w:rPr>
          <w:rFonts w:hint="eastAsia" w:ascii="宋体" w:hAnsi="宋体" w:eastAsia="宋体" w:cs="宋体"/>
          <w:b w:val="0"/>
          <w:bCs/>
          <w:color w:val="auto"/>
          <w:highlight w:val="none"/>
        </w:rPr>
        <w:t xml:space="preserve">法人授权书</w:t>
      </w:r>
      <w:bookmarkEnd w:id="165"/>
      <w:r/>
      <w:r/>
    </w:p>
    <w:p>
      <w:pPr>
        <w:pStyle w:val="1096"/>
        <w:ind w:firstLine="4320"/>
        <w:jc w:val="left"/>
        <w:spacing w:line="500" w:lineRule="exact"/>
        <w:rPr>
          <w:rFonts w:hint="eastAsia" w:ascii="宋体" w:hAnsi="宋体" w:cs="宋体"/>
          <w:bCs/>
          <w:color w:val="auto"/>
          <w:sz w:val="24"/>
          <w:szCs w:val="24"/>
          <w:highlight w:val="none"/>
        </w:rPr>
      </w:pPr>
      <w:r/>
      <w:bookmarkStart w:id="166" w:name="OLE_LINK6"/>
      <w:r/>
      <w:r/>
    </w:p>
    <w:p>
      <w:pPr>
        <w:pStyle w:val="1096"/>
        <w:ind w:firstLine="3520"/>
        <w:jc w:val="left"/>
        <w:spacing w:line="500" w:lineRule="exact"/>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法人授权书</w:t>
      </w:r>
      <w:bookmarkEnd w:id="166"/>
      <w:r/>
      <w:r/>
    </w:p>
    <w:p>
      <w:pPr>
        <w:pStyle w:val="1096"/>
        <w:ind w:firstLine="4320"/>
        <w:jc w:val="left"/>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w:t>
      </w:r>
      <w:r>
        <w:rPr>
          <w:rFonts w:hint="eastAsia" w:ascii="宋体" w:hAnsi="宋体" w:cs="宋体"/>
          <w:color w:val="auto"/>
          <w:sz w:val="24"/>
          <w:szCs w:val="24"/>
          <w:highlight w:val="none"/>
          <w:u w:val="single"/>
        </w:rPr>
        <w:t xml:space="preserve">（项目编号）</w:t>
      </w:r>
      <w:r>
        <w:rPr>
          <w:rFonts w:hint="eastAsia" w:ascii="宋体" w:hAnsi="宋体" w:cs="宋体"/>
          <w:color w:val="auto"/>
          <w:sz w:val="24"/>
          <w:szCs w:val="24"/>
          <w:highlight w:val="none"/>
        </w:rPr>
        <w:t xml:space="preserve">号</w:t>
      </w:r>
      <w:r>
        <w:rPr>
          <w:rFonts w:hint="eastAsia" w:ascii="宋体" w:hAnsi="宋体" w:cs="宋体"/>
          <w:color w:val="auto"/>
          <w:sz w:val="24"/>
          <w:szCs w:val="24"/>
          <w:highlight w:val="none"/>
          <w:u w:val="single"/>
        </w:rPr>
        <w:t xml:space="preserve">          （项目名称）           项目</w:t>
      </w:r>
      <w:r>
        <w:rPr>
          <w:rFonts w:hint="eastAsia" w:ascii="宋体" w:hAnsi="宋体" w:cs="宋体"/>
          <w:color w:val="auto"/>
          <w:sz w:val="24"/>
          <w:szCs w:val="24"/>
          <w:highlight w:val="none"/>
        </w:rPr>
        <w:t xml:space="preserve">采购活动的合法代理人，以本单位名义全权处理一切与该项目采购有关的事务。</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pStyle w:val="1096"/>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被授权人联系电话：（手机）</w:t>
      </w:r>
      <w:r>
        <w:rPr>
          <w:rFonts w:hint="eastAsia" w:ascii="宋体" w:hAnsi="宋体" w:cs="宋体"/>
          <w:color w:val="auto"/>
          <w:sz w:val="24"/>
          <w:szCs w:val="24"/>
          <w:highlight w:val="none"/>
          <w:u w:val="single"/>
        </w:rPr>
        <w:t xml:space="preserve">                          </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（盖CA电子公章）</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w:t>
      </w:r>
      <w:r>
        <w:rPr>
          <w:rFonts w:hint="eastAsia" w:ascii="宋体" w:hAnsi="宋体" w:cs="宋体"/>
          <w:color w:val="auto"/>
          <w:sz w:val="24"/>
          <w:szCs w:val="24"/>
          <w:highlight w:val="none"/>
          <w:u w:val="single"/>
        </w:rPr>
        <w:t xml:space="preserve">                                         </w:t>
      </w:r>
      <w:r/>
    </w:p>
    <w:p>
      <w:pPr>
        <w:pStyle w:val="1096"/>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bookmarkStart w:id="167" w:name="_格式3__银行出具的资信证明"/>
      <w:r/>
      <w:bookmarkEnd w:id="167"/>
      <w:r/>
      <w:bookmarkStart w:id="168" w:name="_Hlt26955070"/>
      <w:r/>
      <w:bookmarkEnd w:id="168"/>
      <w:r/>
      <w:bookmarkStart w:id="169" w:name="_Hlt26671380"/>
      <w:r/>
      <w:bookmarkEnd w:id="169"/>
      <w:r>
        <w:rPr>
          <w:rFonts w:hint="eastAsia" w:ascii="宋体" w:hAnsi="宋体" w:cs="宋体"/>
          <w:color w:val="auto"/>
          <w:sz w:val="24"/>
          <w:szCs w:val="24"/>
          <w:highlight w:val="none"/>
          <w:u w:val="single"/>
        </w:rPr>
        <w:t xml:space="preserve">                                         </w:t>
      </w:r>
      <w:r/>
    </w:p>
    <w:p>
      <w:pPr>
        <w:pStyle w:val="1096"/>
        <w:jc w:val="left"/>
        <w:spacing w:line="500" w:lineRule="exact"/>
        <w:rPr>
          <w:rFonts w:hint="eastAsia"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 xml:space="preserve"> </w:t>
      </w:r>
      <w:r/>
    </w:p>
    <w:p>
      <w:pPr>
        <w:pStyle w:val="1101"/>
        <w:rPr>
          <w:rFonts w:hint="eastAsia" w:ascii="宋体" w:hAnsi="宋体" w:eastAsia="宋体" w:cs="宋体"/>
          <w:color w:val="auto"/>
          <w:highlight w:val="none"/>
        </w:rPr>
        <w:outlineLvl w:val="1"/>
      </w:pPr>
      <w:r/>
      <w:bookmarkStart w:id="170" w:name="_Toc30543"/>
      <w:r/>
      <w:bookmarkStart w:id="171" w:name="_Toc27199"/>
      <w:r/>
      <w:bookmarkStart w:id="172" w:name="_Toc24894"/>
      <w:r>
        <w:rPr>
          <w:rFonts w:hint="eastAsia" w:ascii="宋体" w:hAnsi="宋体" w:eastAsia="宋体" w:cs="宋体"/>
          <w:b w:val="0"/>
          <w:bCs/>
          <w:color w:val="auto"/>
          <w:highlight w:val="none"/>
        </w:rPr>
        <w:t xml:space="preserve">三、开标一览表</w:t>
      </w:r>
      <w:bookmarkEnd w:id="170"/>
      <w:r/>
      <w:bookmarkEnd w:id="171"/>
      <w:r/>
      <w:bookmarkEnd w:id="172"/>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2"/>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：供应商名称</w:t>
      </w:r>
      <w:r/>
    </w:p>
    <w:p>
      <w:pPr>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宿城区残疾人联合会残疾人居家托养服务采购项目</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p>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采购包号：</w:t>
      </w:r>
      <w:r>
        <w:rPr>
          <w:rStyle w:val="1166"/>
          <w:rFonts w:hint="eastAsia" w:ascii="宋体" w:hAnsi="宋体" w:cs="宋体"/>
          <w:color w:val="auto"/>
          <w:sz w:val="24"/>
          <w:szCs w:val="24"/>
          <w:highlight w:val="none"/>
        </w:rPr>
        <w:t xml:space="preserve">分包号</w:t>
      </w:r>
      <w:r>
        <w:rPr>
          <w:rFonts w:hint="eastAsia" w:ascii="宋体" w:hAnsi="宋体" w:cs="宋体"/>
          <w:color w:val="auto"/>
          <w:sz w:val="24"/>
          <w:szCs w:val="24"/>
          <w:highlight w:val="none"/>
        </w:rPr>
        <w:t xml:space="preserve"> </w:t>
      </w:r>
      <w:r/>
    </w:p>
    <w:tbl>
      <w:tblPr>
        <w:tblStyle w:val="8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textDirection w:val="lrTb"/>
            <w:noWrap w:val="false"/>
          </w:tcPr>
          <w:p>
            <w:pPr>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投标总报价</w:t>
            </w:r>
            <w:r/>
          </w:p>
        </w:tc>
      </w:tr>
      <w:tr>
        <w:trPr/>
        <w:tc>
          <w:tcPr>
            <w:tcW w:w="9400" w:type="dxa"/>
            <w:textDirection w:val="lrTb"/>
            <w:noWrap w:val="false"/>
          </w:tcPr>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总价（小写）：</w:t>
            </w:r>
            <w:r>
              <w:rPr>
                <w:rFonts w:hint="eastAsia" w:ascii="宋体" w:hAnsi="宋体" w:cs="宋体"/>
                <w:color w:val="auto"/>
                <w:sz w:val="24"/>
                <w:szCs w:val="24"/>
                <w:highlight w:val="none"/>
                <w:lang w:val="en-US" w:eastAsia="zh-CN"/>
              </w:rPr>
              <w:t xml:space="preserve">1920000.00</w:t>
            </w:r>
            <w:r>
              <w:rPr>
                <w:rFonts w:hint="eastAsia" w:ascii="宋体" w:hAnsi="宋体" w:cs="宋体"/>
                <w:color w:val="auto"/>
                <w:sz w:val="24"/>
                <w:szCs w:val="24"/>
                <w:highlight w:val="none"/>
              </w:rPr>
              <w:t xml:space="preserve"> （人民币：元）</w:t>
            </w:r>
            <w:r/>
          </w:p>
        </w:tc>
      </w:tr>
      <w:tr>
        <w:trPr/>
        <w:tc>
          <w:tcPr>
            <w:tcW w:w="9400" w:type="dxa"/>
            <w:textDirection w:val="lrTb"/>
            <w:noWrap w:val="false"/>
          </w:tcPr>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总价（大写）：</w:t>
            </w:r>
            <w:r>
              <w:rPr>
                <w:rStyle w:val="1166"/>
                <w:rFonts w:hint="eastAsia" w:ascii="宋体" w:hAnsi="宋体" w:cs="宋体"/>
                <w:color w:val="auto"/>
                <w:sz w:val="24"/>
                <w:szCs w:val="24"/>
                <w:highlight w:val="none"/>
                <w:lang w:val="en-US" w:eastAsia="zh-CN"/>
              </w:rPr>
              <w:t xml:space="preserve">壹佰玖拾贰万元整</w:t>
            </w:r>
            <w:r>
              <w:rPr>
                <w:rFonts w:hint="eastAsia" w:ascii="宋体" w:hAnsi="宋体" w:cs="宋体"/>
                <w:color w:val="auto"/>
                <w:sz w:val="24"/>
                <w:szCs w:val="24"/>
                <w:highlight w:val="none"/>
              </w:rPr>
              <w:t xml:space="preserve">（人民币：元）</w:t>
            </w:r>
            <w:r/>
          </w:p>
        </w:tc>
      </w:tr>
    </w:tbl>
    <w:p>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highlight w:val="none"/>
        </w:rPr>
        <w:t xml:space="preserve">                                            </w:t>
      </w:r>
      <w:bookmarkStart w:id="173" w:name="_Toc12113"/>
      <w:r>
        <w:rPr>
          <w:rFonts w:hint="eastAsia" w:ascii="宋体" w:hAnsi="宋体" w:cs="宋体"/>
          <w:color w:val="auto"/>
          <w:sz w:val="24"/>
          <w:highlight w:val="none"/>
        </w:rPr>
        <w:t xml:space="preserve">日期：     年     月     日</w:t>
      </w:r>
      <w:bookmarkEnd w:id="173"/>
      <w:r/>
      <w:r/>
    </w:p>
    <w:p>
      <w:pPr>
        <w:pStyle w:val="110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4" w:name="_Toc26543"/>
      <w:r/>
      <w:bookmarkStart w:id="175" w:name="_Toc15394"/>
      <w:r>
        <w:rPr>
          <w:rFonts w:hint="eastAsia" w:ascii="宋体" w:hAnsi="宋体" w:eastAsia="宋体" w:cs="宋体"/>
          <w:bCs/>
          <w:color w:val="auto"/>
          <w:highlight w:val="none"/>
        </w:rPr>
        <w:t xml:space="preserve">四、投标分项报价表</w:t>
      </w:r>
      <w:bookmarkEnd w:id="174"/>
      <w:r/>
      <w:bookmarkEnd w:id="175"/>
      <w:r/>
      <w:r/>
    </w:p>
    <w:p>
      <w:pPr>
        <w:pStyle w:val="1105"/>
        <w:rPr>
          <w:rFonts w:hint="eastAsia" w:ascii="宋体" w:hAnsi="宋体" w:cs="宋体"/>
          <w:color w:val="auto"/>
          <w:sz w:val="24"/>
          <w:highlight w:val="none"/>
        </w:rPr>
      </w:pPr>
      <w:r>
        <w:rPr>
          <w:rFonts w:hint="eastAsia" w:ascii="宋体" w:hAnsi="宋体" w:cs="宋体"/>
          <w:color w:val="auto"/>
          <w:sz w:val="24"/>
          <w:highlight w:val="none"/>
        </w:rPr>
      </w:r>
      <w:r/>
    </w:p>
    <w:p>
      <w:pPr>
        <w:jc w:val="both"/>
        <w:rPr>
          <w:rFonts w:hint="eastAsia" w:ascii="宋体" w:hAnsi="宋体" w:eastAsia="宋体" w:cs="宋体"/>
          <w:b/>
          <w:bCs/>
          <w:color w:val="auto"/>
          <w:sz w:val="32"/>
          <w:szCs w:val="32"/>
          <w:highlight w:val="none"/>
        </w:rPr>
      </w:pPr>
      <w:r/>
      <w:bookmarkStart w:id="176" w:name="_Toc17418"/>
      <w:r>
        <w:rPr>
          <w:rFonts w:hint="eastAsia" w:ascii="宋体" w:hAnsi="宋体" w:eastAsia="宋体" w:cs="宋体"/>
          <w:b/>
          <w:color w:val="auto"/>
          <w:sz w:val="32"/>
          <w:szCs w:val="32"/>
          <w:highlight w:val="none"/>
        </w:rPr>
        <w:t xml:space="preserve">分项报价表（服务类）</w:t>
      </w:r>
      <w:r/>
    </w:p>
    <w:tbl>
      <w:tblPr>
        <w:tblStyle w:val="810"/>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54"/>
        <w:gridCol w:w="1555"/>
        <w:gridCol w:w="1759"/>
        <w:gridCol w:w="1527"/>
        <w:gridCol w:w="1654"/>
      </w:tblGrid>
      <w:tr>
        <w:trPr>
          <w:cantSplit/>
          <w:jc w:val="center"/>
          <w:trHeight w:val="544"/>
        </w:trPr>
        <w:tc>
          <w:tcPr>
            <w:tcW w:w="704" w:type="dxa"/>
            <w:vAlign w:val="center"/>
            <w:vMerge w:val="restart"/>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5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5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654"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r>
      <w:tr>
        <w:trPr>
          <w:cantSplit/>
          <w:jc w:val="center"/>
          <w:trHeight w:val="294"/>
        </w:trPr>
        <w:tc>
          <w:tcPr>
            <w:tcW w:w="704" w:type="dxa"/>
            <w:vAlign w:val="center"/>
            <w:vMerge w:val="continue"/>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分项服务名称</w:t>
            </w:r>
            <w:r/>
          </w:p>
        </w:tc>
        <w:tc>
          <w:tcPr>
            <w:tcW w:w="155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总人数</w:t>
            </w:r>
            <w:r/>
          </w:p>
        </w:tc>
        <w:tc>
          <w:tcPr>
            <w:tcW w:w="1759" w:type="dxa"/>
            <w:vAlign w:val="center"/>
            <w:textDirection w:val="lrTb"/>
            <w:noWrap w:val="false"/>
          </w:tcPr>
          <w:p>
            <w:pPr>
              <w:ind w:firstLine="240"/>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分项单价</w:t>
            </w:r>
            <w:r/>
          </w:p>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元/人/月</w:t>
            </w:r>
            <w:r>
              <w:rPr>
                <w:rFonts w:hint="eastAsia" w:ascii="宋体" w:hAnsi="宋体" w:eastAsia="宋体" w:cs="宋体"/>
                <w:color w:val="auto"/>
                <w:sz w:val="24"/>
                <w:szCs w:val="24"/>
                <w:highlight w:val="none"/>
                <w:lang w:eastAsia="zh-CN"/>
              </w:rPr>
              <w:t xml:space="preserve">）</w:t>
            </w:r>
            <w:r/>
          </w:p>
        </w:tc>
        <w:tc>
          <w:tcPr>
            <w:tcW w:w="1527" w:type="dxa"/>
            <w:vAlign w:val="center"/>
            <w:textDirection w:val="lrTb"/>
            <w:noWrap w:val="false"/>
          </w:tcPr>
          <w:p>
            <w:pPr>
              <w:jc w:val="both"/>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服务期（月）</w:t>
            </w:r>
            <w:r/>
          </w:p>
        </w:tc>
        <w:tc>
          <w:tcPr>
            <w:tcW w:w="165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jc w:val="center"/>
          <w:trHeight w:val="654"/>
        </w:trPr>
        <w:tc>
          <w:tcPr>
            <w:tcW w:w="704"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4" w:type="dxa"/>
            <w:vAlign w:val="center"/>
            <w:textDirection w:val="lrTb"/>
            <w:noWrap w:val="false"/>
          </w:tcPr>
          <w:p>
            <w:pPr>
              <w:pStyle w:val="1277"/>
              <w:spacing w:before="100" w:beforeAutospacing="1"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宿城区残疾人联合会残疾人居家托养服务采购项目</w:t>
            </w:r>
            <w:r/>
          </w:p>
        </w:tc>
        <w:tc>
          <w:tcPr>
            <w:tcW w:w="1555"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bookmarkStart w:id="192" w:name="_GoBack"/>
            <w:r/>
            <w:bookmarkEnd w:id="192"/>
            <w:r>
              <w:rPr>
                <w:rFonts w:hint="eastAsia" w:ascii="宋体" w:hAnsi="宋体" w:cs="宋体"/>
                <w:color w:val="auto"/>
                <w:sz w:val="24"/>
                <w:szCs w:val="24"/>
                <w:highlight w:val="none"/>
                <w:lang w:val="en-US" w:eastAsia="zh-CN"/>
              </w:rPr>
              <w:t xml:space="preserve">800</w:t>
            </w:r>
            <w:r/>
          </w:p>
        </w:tc>
        <w:tc>
          <w:tcPr>
            <w:tcW w:w="1759"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200</w:t>
            </w:r>
            <w:r/>
          </w:p>
        </w:tc>
        <w:tc>
          <w:tcPr>
            <w:tcW w:w="1527"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12</w:t>
            </w:r>
            <w:r/>
          </w:p>
        </w:tc>
        <w:tc>
          <w:tcPr>
            <w:tcW w:w="1654"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lang w:val="en-US" w:eastAsia="zh-CN"/>
              </w:rPr>
              <w:t xml:space="preserve">0000</w:t>
            </w:r>
            <w:r/>
          </w:p>
        </w:tc>
      </w:tr>
      <w:tr>
        <w:trPr>
          <w:cantSplit/>
          <w:jc w:val="center"/>
          <w:trHeight w:val="487"/>
        </w:trPr>
        <w:tc>
          <w:tcPr>
            <w:gridSpan w:val="5"/>
            <w:tcW w:w="7399"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总报价（人民币：</w:t>
            </w:r>
            <w:r>
              <w:rPr>
                <w:rStyle w:val="1166"/>
                <w:rFonts w:hint="eastAsia" w:ascii="宋体" w:hAnsi="宋体" w:cs="宋体"/>
                <w:color w:val="auto"/>
                <w:sz w:val="24"/>
                <w:szCs w:val="24"/>
                <w:highlight w:val="none"/>
                <w:lang w:val="en-US" w:eastAsia="zh-CN"/>
              </w:rPr>
              <w:t xml:space="preserve">壹佰玖拾贰万元整</w:t>
            </w:r>
            <w:r>
              <w:rPr>
                <w:rFonts w:hint="eastAsia" w:ascii="宋体" w:hAnsi="宋体" w:eastAsia="宋体" w:cs="宋体"/>
                <w:color w:val="auto"/>
                <w:sz w:val="24"/>
                <w:szCs w:val="24"/>
                <w:highlight w:val="none"/>
              </w:rPr>
              <w:t xml:space="preserve">）</w:t>
            </w:r>
            <w:r/>
          </w:p>
        </w:tc>
        <w:tc>
          <w:tcPr>
            <w:tcW w:w="1654" w:type="dxa"/>
            <w:vAlign w:val="top"/>
            <w:textDirection w:val="lrTb"/>
            <w:noWrap w:val="false"/>
          </w:tcPr>
          <w:p>
            <w:pP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192</w:t>
            </w:r>
            <w:r>
              <w:rPr>
                <w:rFonts w:hint="eastAsia" w:ascii="宋体" w:hAnsi="宋体" w:eastAsia="宋体" w:cs="宋体"/>
                <w:color w:val="auto"/>
                <w:sz w:val="24"/>
                <w:szCs w:val="24"/>
                <w:highlight w:val="none"/>
                <w:lang w:val="en-US" w:eastAsia="zh-CN"/>
              </w:rPr>
              <w:t xml:space="preserve">0000</w:t>
            </w:r>
            <w:r/>
          </w:p>
        </w:tc>
      </w:tr>
    </w:tbl>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以上报价不参与竞争，如改变以上报价将做无效标处理。</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Times New Roman" w:hAnsi="Times New Roman"/>
          <w:color w:val="auto"/>
          <w:sz w:val="24"/>
          <w:szCs w:val="21"/>
          <w:highlight w:val="none"/>
        </w:rPr>
        <w:t xml:space="preserve">（加盖CA电子公章）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供应商名称            </w:t>
      </w:r>
      <w:r/>
    </w:p>
    <w:p>
      <w:pPr>
        <w:jc w:val="left"/>
        <w:spacing w:before="100" w:beforeAutospacing="1" w:after="100" w:afterAutospacing="1"/>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Cs w:val="21"/>
          <w:highlight w:val="none"/>
        </w:rPr>
      </w:pPr>
      <w:r>
        <w:rPr>
          <w:rFonts w:hint="eastAsia" w:ascii="宋体" w:hAnsi="宋体" w:eastAsia="宋体" w:cs="宋体"/>
          <w:i/>
          <w:iCs/>
          <w:color w:val="auto"/>
          <w:szCs w:val="21"/>
          <w:highlight w:val="none"/>
        </w:rPr>
        <w:br w:type="page" w:clear="all"/>
      </w:r>
      <w:r/>
    </w:p>
    <w:p>
      <w:pPr>
        <w:pStyle w:val="1101"/>
        <w:rPr>
          <w:rFonts w:hint="eastAsia" w:ascii="宋体" w:hAnsi="宋体" w:eastAsia="宋体" w:cs="宋体"/>
          <w:color w:val="auto"/>
          <w:highlight w:val="none"/>
        </w:rPr>
        <w:outlineLvl w:val="1"/>
      </w:pPr>
      <w:r/>
      <w:bookmarkStart w:id="177" w:name="_Toc4989"/>
      <w:r>
        <w:rPr>
          <w:rFonts w:hint="eastAsia" w:ascii="宋体" w:hAnsi="宋体" w:eastAsia="宋体" w:cs="宋体"/>
          <w:bCs/>
          <w:color w:val="auto"/>
          <w:highlight w:val="none"/>
        </w:rPr>
        <w:t xml:space="preserve">五、中小企业或残疾人福利性单位声明函</w:t>
      </w:r>
      <w:bookmarkEnd w:id="176"/>
      <w:r/>
      <w:bookmarkEnd w:id="177"/>
      <w:r/>
      <w:r/>
    </w:p>
    <w:p>
      <w:pPr>
        <w:pStyle w:val="1112"/>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112"/>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中小企业声明函（服务）</w:t>
      </w:r>
      <w:r/>
    </w:p>
    <w:p>
      <w:pPr>
        <w:pStyle w:val="1112"/>
        <w:jc w:val="lef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112"/>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112"/>
        <w:ind w:firstLine="480"/>
        <w:jc w:val="left"/>
        <w:spacing w:line="50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（中型企业、小型企业、微型企业）；</w:t>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112"/>
        <w:ind w:firstLine="480"/>
        <w:jc w:val="cente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企业名称（盖CA电子公章）：</w:t>
      </w:r>
      <w:r/>
    </w:p>
    <w:p>
      <w:pPr>
        <w:pStyle w:val="1112"/>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日期：年月日</w:t>
      </w:r>
      <w:r/>
    </w:p>
    <w:p>
      <w:pPr>
        <w:pStyle w:val="1112"/>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2"/>
        <w:ind w:firstLine="36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vertAlign w:val="superscript"/>
        </w:rPr>
        <w:t xml:space="preserve">1</w:t>
      </w:r>
      <w:r>
        <w:rPr>
          <w:rFonts w:hint="eastAsia" w:ascii="宋体" w:hAnsi="宋体" w:cs="宋体"/>
          <w:color w:val="auto"/>
          <w:szCs w:val="21"/>
          <w:highlight w:val="none"/>
        </w:rPr>
        <w:t xml:space="preserve">从业人员、营业收入、资产总额填报上一年数据，无上一年数据的新成立企业可不填报。</w:t>
      </w:r>
      <w:r/>
    </w:p>
    <w:p>
      <w:pPr>
        <w:pStyle w:val="1112"/>
        <w:ind w:firstLine="360"/>
        <w:spacing w:line="560" w:lineRule="exact"/>
        <w:rPr>
          <w:rFonts w:hint="eastAsia" w:ascii="宋体" w:hAnsi="宋体" w:cs="宋体"/>
          <w:color w:val="auto"/>
          <w:sz w:val="18"/>
          <w:szCs w:val="18"/>
          <w:highlight w:val="none"/>
        </w:rPr>
      </w:pPr>
      <w:r>
        <w:rPr>
          <w:rFonts w:hint="eastAsia" w:ascii="宋体" w:hAnsi="宋体" w:cs="宋体"/>
          <w:color w:val="auto"/>
          <w:sz w:val="18"/>
          <w:szCs w:val="18"/>
          <w:highlight w:val="none"/>
        </w:rPr>
      </w:r>
      <w:r/>
    </w:p>
    <w:p>
      <w:pPr>
        <w:pStyle w:val="1112"/>
        <w:jc w:val="center"/>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12"/>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13"/>
        <w:jc w:val="center"/>
        <w:spacing w:before="151" w:after="151"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114"/>
        <w:spacing w:line="588" w:lineRule="exact"/>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113"/>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113"/>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115"/>
        <w:ind w:firstLine="3810"/>
        <w:spacing w:line="500"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115"/>
        <w:ind w:firstLine="3629"/>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15"/>
        <w:ind w:firstLine="480"/>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szCs w:val="24"/>
          <w:highlight w:val="none"/>
        </w:rPr>
        <w:t xml:space="preserve">盖CA电子公章</w:t>
      </w:r>
      <w:r>
        <w:rPr>
          <w:rFonts w:hint="eastAsia" w:ascii="宋体" w:hAnsi="宋体" w:cs="宋体"/>
          <w:color w:val="auto"/>
          <w:sz w:val="24"/>
          <w:highlight w:val="none"/>
        </w:rPr>
        <w:t xml:space="preserve">）</w:t>
      </w:r>
      <w:r/>
    </w:p>
    <w:p>
      <w:pPr>
        <w:pStyle w:val="1112"/>
        <w:ind w:firstLine="480"/>
        <w:jc w:val="left"/>
        <w:spacing w:line="50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日期：年月日</w:t>
      </w:r>
      <w:r/>
    </w:p>
    <w:p>
      <w:pPr>
        <w:pStyle w:val="1114"/>
        <w:ind w:right="1560" w:firstLine="480"/>
        <w:jc w:val="center"/>
        <w:spacing w:line="588" w:lineRule="exact"/>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6"/>
        <w:ind w:left="357" w:firstLine="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13"/>
        <w:ind w:firstLine="445"/>
        <w:spacing w:before="151" w:after="151" w:line="24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注：非残疾人福利性单位不需提供此函。</w:t>
      </w:r>
      <w:r/>
    </w:p>
    <w:p>
      <w:pPr>
        <w:pStyle w:val="1101"/>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78" w:name="_Toc24007"/>
      <w:r>
        <w:rPr>
          <w:rFonts w:hint="eastAsia" w:ascii="宋体" w:hAnsi="宋体" w:eastAsia="宋体" w:cs="宋体"/>
          <w:bCs/>
          <w:color w:val="auto"/>
          <w:highlight w:val="none"/>
        </w:rPr>
        <w:t xml:space="preserve">六、项目经理</w:t>
      </w:r>
      <w:bookmarkEnd w:id="178"/>
      <w:r/>
      <w:r/>
    </w:p>
    <w:p>
      <w:pPr>
        <w:pStyle w:val="1131"/>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拟选派项目经理简历表</w:t>
      </w:r>
      <w:r/>
    </w:p>
    <w:tbl>
      <w:tblPr>
        <w:tblStyle w:val="810"/>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667"/>
        <w:gridCol w:w="1269"/>
        <w:gridCol w:w="1394"/>
        <w:gridCol w:w="214"/>
        <w:gridCol w:w="1648"/>
      </w:tblGrid>
      <w:tr>
        <w:trPr>
          <w:jc w:val="center"/>
          <w:trHeight w:val="606"/>
        </w:trPr>
        <w:tc>
          <w:tcPr>
            <w:gridSpan w:val="2"/>
            <w:tcW w:w="1966" w:type="dxa"/>
            <w:vAlign w:val="center"/>
            <w:textDirection w:val="lrTb"/>
            <w:noWrap w:val="false"/>
          </w:tcPr>
          <w:p>
            <w:pPr>
              <w:pStyle w:val="1132"/>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049" w:type="dxa"/>
            <w:vAlign w:val="center"/>
            <w:textDirection w:val="lrTb"/>
            <w:noWrap w:val="false"/>
          </w:tcPr>
          <w:p>
            <w:pPr>
              <w:pStyle w:val="1132"/>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gridSpan w:val="2"/>
            <w:tcW w:w="1343" w:type="dxa"/>
            <w:vAlign w:val="center"/>
            <w:textDirection w:val="lrTb"/>
            <w:noWrap w:val="false"/>
          </w:tcPr>
          <w:p>
            <w:pPr>
              <w:pStyle w:val="1132"/>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年龄</w:t>
            </w:r>
            <w:r/>
          </w:p>
        </w:tc>
        <w:tc>
          <w:tcPr>
            <w:tcW w:w="1269" w:type="dxa"/>
            <w:vAlign w:val="center"/>
            <w:textDirection w:val="lrTb"/>
            <w:noWrap w:val="false"/>
          </w:tcPr>
          <w:p>
            <w:pPr>
              <w:pStyle w:val="1132"/>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394" w:type="dxa"/>
            <w:vAlign w:val="center"/>
            <w:textDirection w:val="lrTb"/>
            <w:noWrap w:val="false"/>
          </w:tcPr>
          <w:p>
            <w:pPr>
              <w:pStyle w:val="1132"/>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gridSpan w:val="2"/>
            <w:tcW w:w="1862" w:type="dxa"/>
            <w:vAlign w:val="center"/>
            <w:textDirection w:val="lrTb"/>
            <w:noWrap w:val="false"/>
          </w:tcPr>
          <w:p>
            <w:pPr>
              <w:pStyle w:val="1132"/>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1005"/>
        </w:trPr>
        <w:tc>
          <w:tcPr>
            <w:gridSpan w:val="2"/>
            <w:tcW w:w="1966" w:type="dxa"/>
            <w:vAlign w:val="center"/>
            <w:textDirection w:val="lrTb"/>
            <w:noWrap w:val="false"/>
          </w:tcPr>
          <w:p>
            <w:pPr>
              <w:pStyle w:val="1132"/>
              <w:ind w:firstLine="28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毕业学校</w:t>
            </w:r>
            <w:r/>
          </w:p>
        </w:tc>
        <w:tc>
          <w:tcPr>
            <w:gridSpan w:val="7"/>
            <w:tcW w:w="6917" w:type="dxa"/>
            <w:vAlign w:val="center"/>
            <w:textDirection w:val="lrTb"/>
            <w:noWrap w:val="false"/>
          </w:tcPr>
          <w:p>
            <w:pPr>
              <w:pStyle w:val="1132"/>
              <w:ind w:firstLine="280"/>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jc w:val="center"/>
          <w:trHeight w:val="683"/>
        </w:trPr>
        <w:tc>
          <w:tcPr>
            <w:gridSpan w:val="9"/>
            <w:tcW w:w="8883" w:type="dxa"/>
            <w:vAlign w:val="center"/>
            <w:textDirection w:val="lrTb"/>
            <w:noWrap w:val="false"/>
          </w:tcPr>
          <w:p>
            <w:pPr>
              <w:pStyle w:val="1132"/>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主要主持的类似项目</w:t>
            </w:r>
            <w:r/>
          </w:p>
        </w:tc>
      </w:tr>
      <w:tr>
        <w:trPr>
          <w:jc w:val="center"/>
          <w:trHeight w:val="683"/>
        </w:trPr>
        <w:tc>
          <w:tcPr>
            <w:tcW w:w="856" w:type="dxa"/>
            <w:vAlign w:val="center"/>
            <w:textDirection w:val="lrTb"/>
            <w:noWrap w:val="false"/>
          </w:tcPr>
          <w:p>
            <w:pPr>
              <w:pStyle w:val="1132"/>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gridSpan w:val="3"/>
            <w:tcW w:w="2835" w:type="dxa"/>
            <w:vAlign w:val="center"/>
            <w:textDirection w:val="lrTb"/>
            <w:noWrap w:val="false"/>
          </w:tcPr>
          <w:p>
            <w:pPr>
              <w:pStyle w:val="1132"/>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4"/>
            <w:tcW w:w="3544" w:type="dxa"/>
            <w:vAlign w:val="center"/>
            <w:textDirection w:val="lrTb"/>
            <w:noWrap w:val="false"/>
          </w:tcPr>
          <w:p>
            <w:pPr>
              <w:pStyle w:val="1132"/>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合同甲方</w:t>
            </w:r>
            <w:r/>
          </w:p>
        </w:tc>
        <w:tc>
          <w:tcPr>
            <w:tcW w:w="1648" w:type="dxa"/>
            <w:vAlign w:val="center"/>
            <w:textDirection w:val="lrTb"/>
            <w:noWrap w:val="false"/>
          </w:tcPr>
          <w:p>
            <w:pPr>
              <w:pStyle w:val="1132"/>
              <w:jc w:val="cente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时间</w:t>
            </w:r>
            <w:r/>
          </w:p>
        </w:tc>
      </w:tr>
      <w:tr>
        <w:trPr>
          <w:jc w:val="center"/>
          <w:trHeight w:val="713"/>
        </w:trPr>
        <w:tc>
          <w:tcPr>
            <w:tcW w:w="856" w:type="dxa"/>
            <w:vAlign w:val="center"/>
            <w:textDirection w:val="lrTb"/>
            <w:noWrap w:val="false"/>
          </w:tcPr>
          <w:p>
            <w:pPr>
              <w:pStyle w:val="1132"/>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gridSpan w:val="3"/>
            <w:tcW w:w="2835"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13"/>
        </w:trPr>
        <w:tc>
          <w:tcPr>
            <w:tcW w:w="856" w:type="dxa"/>
            <w:vAlign w:val="center"/>
            <w:textDirection w:val="lrTb"/>
            <w:noWrap w:val="false"/>
          </w:tcPr>
          <w:p>
            <w:pPr>
              <w:pStyle w:val="1132"/>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gridSpan w:val="3"/>
            <w:tcW w:w="2835"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713"/>
        </w:trPr>
        <w:tc>
          <w:tcPr>
            <w:tcW w:w="856" w:type="dxa"/>
            <w:vAlign w:val="center"/>
            <w:textDirection w:val="lrTb"/>
            <w:noWrap w:val="false"/>
          </w:tcPr>
          <w:p>
            <w:pPr>
              <w:pStyle w:val="1132"/>
              <w:jc w:val="center"/>
              <w:spacing w:line="3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gridSpan w:val="3"/>
            <w:tcW w:w="2835"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4"/>
            <w:tcW w:w="3544"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648" w:type="dxa"/>
            <w:vAlign w:val="center"/>
            <w:textDirection w:val="lrTb"/>
            <w:noWrap w:val="false"/>
          </w:tcPr>
          <w:p>
            <w:pPr>
              <w:pStyle w:val="1132"/>
              <w:ind w:firstLine="240"/>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133"/>
        <w:ind w:firstLine="398"/>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注：1、投标文件中需按要求提供项目经理有关证书证明。</w:t>
      </w:r>
      <w:r/>
    </w:p>
    <w:p>
      <w:pPr>
        <w:pStyle w:val="1133"/>
        <w:ind w:firstLine="879"/>
        <w:spacing w:line="46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2、如中标，项目经理须本表承诺实施，不得更换。</w:t>
      </w:r>
      <w:r/>
    </w:p>
    <w:p>
      <w:pPr>
        <w:pStyle w:val="1134"/>
        <w:ind w:firstLine="321"/>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4"/>
        <w:ind w:firstLine="321"/>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35"/>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101"/>
        <w:rPr>
          <w:rFonts w:hint="eastAsia" w:ascii="宋体" w:hAnsi="宋体" w:eastAsia="宋体" w:cs="宋体"/>
          <w:b w:val="0"/>
          <w:bCs/>
          <w:color w:val="auto"/>
          <w:szCs w:val="32"/>
          <w:highlight w:val="none"/>
        </w:rPr>
        <w:outlineLvl w:val="1"/>
      </w:pPr>
      <w:r>
        <w:rPr>
          <w:rFonts w:hint="eastAsia" w:ascii="宋体" w:hAnsi="宋体" w:eastAsia="宋体" w:cs="宋体"/>
          <w:b w:val="0"/>
          <w:bCs/>
          <w:color w:val="auto"/>
          <w:szCs w:val="32"/>
          <w:highlight w:val="none"/>
        </w:rPr>
        <w:br w:type="page" w:clear="all"/>
      </w:r>
      <w:bookmarkStart w:id="179" w:name="_Toc13451"/>
      <w:r>
        <w:rPr>
          <w:rFonts w:hint="eastAsia" w:ascii="宋体" w:hAnsi="宋体" w:eastAsia="宋体" w:cs="宋体"/>
          <w:bCs/>
          <w:color w:val="auto"/>
          <w:highlight w:val="none"/>
        </w:rPr>
        <w:t xml:space="preserve">七、项目组人员（除项目经理外）</w:t>
      </w:r>
      <w:bookmarkEnd w:id="179"/>
      <w:r/>
      <w:r/>
    </w:p>
    <w:p>
      <w:pPr>
        <w:pStyle w:val="1135"/>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项目组人员一览表</w:t>
      </w:r>
      <w:r/>
    </w:p>
    <w:tbl>
      <w:tblPr>
        <w:tblStyle w:val="810"/>
        <w:tblpPr w:horzAnchor="margin" w:tblpXSpec="center" w:vertAnchor="text" w:tblpY="74" w:leftFromText="180" w:topFromText="0" w:rightFromText="180" w:bottomFromText="0"/>
        <w:tblW w:w="94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363"/>
        <w:gridCol w:w="1517"/>
        <w:gridCol w:w="1458"/>
        <w:gridCol w:w="995"/>
      </w:tblGrid>
      <w:tr>
        <w:trPr>
          <w:trHeight w:val="1301"/>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w:t>
            </w:r>
            <w:r/>
          </w:p>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拟任职务</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证书</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pStyle w:val="1135"/>
              <w:jc w:val="cente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1135"/>
        <w:ind w:firstLine="241"/>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评分标准中涉及的项目组人员均可在本表中填报，相关证明资料附后，其他人员无需在本表中明确，中标后按采购需求要求进行配备，合同签订前报采购单位备案同意即可;2、如投标人中标，项目组人员必须按本表中承诺人员操作，未经甲方同意，不得随意更换。</w:t>
      </w:r>
      <w:r/>
    </w:p>
    <w:p>
      <w:pPr>
        <w:pStyle w:val="1135"/>
        <w:ind w:firstLine="280"/>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13"/>
        <w:rPr>
          <w:rFonts w:hint="eastAsia" w:ascii="宋体" w:hAnsi="宋体" w:eastAsia="宋体" w:cs="宋体"/>
          <w:color w:val="auto"/>
          <w:highlight w:val="none"/>
        </w:rPr>
      </w:pPr>
      <w:r/>
      <w:bookmarkStart w:id="180" w:name="_Toc11176"/>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rPr>
          <w:rFonts w:hint="eastAsia" w:ascii="宋体" w:hAnsi="宋体" w:cs="宋体"/>
          <w:color w:val="auto"/>
          <w:highlight w:val="none"/>
        </w:rPr>
      </w:pPr>
      <w:r>
        <w:rPr>
          <w:rFonts w:hint="eastAsia" w:ascii="宋体" w:hAnsi="宋体" w:cs="宋体"/>
          <w:color w:val="auto"/>
          <w:highlight w:val="none"/>
        </w:rPr>
      </w:r>
      <w:r/>
    </w:p>
    <w:p>
      <w:pPr>
        <w:pStyle w:val="868"/>
        <w:ind w:firstLine="240"/>
        <w:rPr>
          <w:rFonts w:ascii="宋体" w:hAnsi="宋体" w:cs="宋体"/>
          <w:color w:val="auto"/>
          <w:highlight w:val="none"/>
        </w:rPr>
      </w:pPr>
      <w:r>
        <w:rPr>
          <w:rFonts w:ascii="宋体" w:hAnsi="宋体" w:cs="宋体"/>
          <w:color w:val="auto"/>
          <w:highlight w:val="none"/>
        </w:rPr>
      </w:r>
      <w:r/>
    </w:p>
    <w:p>
      <w:pPr>
        <w:pStyle w:val="868"/>
        <w:ind w:firstLine="240"/>
        <w:rPr>
          <w:rFonts w:ascii="宋体" w:hAnsi="宋体" w:cs="宋体"/>
          <w:color w:val="auto"/>
          <w:highlight w:val="none"/>
        </w:rPr>
      </w:pPr>
      <w:r>
        <w:rPr>
          <w:rFonts w:ascii="宋体" w:hAnsi="宋体" w:cs="宋体"/>
          <w:color w:val="auto"/>
          <w:highlight w:val="none"/>
        </w:rPr>
      </w:r>
      <w:r/>
    </w:p>
    <w:p>
      <w:pPr>
        <w:pStyle w:val="868"/>
        <w:ind w:firstLine="0"/>
        <w:rPr>
          <w:rFonts w:ascii="宋体" w:hAnsi="宋体" w:cs="宋体"/>
          <w:color w:val="auto"/>
          <w:highlight w:val="none"/>
        </w:rPr>
      </w:pPr>
      <w:r>
        <w:rPr>
          <w:rFonts w:ascii="宋体" w:hAnsi="宋体" w:cs="宋体"/>
          <w:color w:val="auto"/>
          <w:highlight w:val="none"/>
        </w:rPr>
      </w:r>
      <w:r/>
    </w:p>
    <w:p>
      <w:pPr>
        <w:pStyle w:val="1101"/>
        <w:rPr>
          <w:rFonts w:hint="eastAsia" w:ascii="宋体" w:hAnsi="宋体" w:eastAsia="宋体" w:cs="宋体"/>
          <w:bCs/>
          <w:color w:val="auto"/>
          <w:highlight w:val="none"/>
        </w:rPr>
        <w:outlineLvl w:val="1"/>
      </w:pPr>
      <w:r/>
      <w:bookmarkStart w:id="181" w:name="_Toc23369"/>
      <w:r>
        <w:rPr>
          <w:rFonts w:hint="eastAsia" w:ascii="宋体" w:hAnsi="宋体" w:eastAsia="宋体" w:cs="宋体"/>
          <w:bCs/>
          <w:color w:val="auto"/>
          <w:highlight w:val="none"/>
        </w:rPr>
        <w:t xml:space="preserve">八、</w:t>
      </w:r>
      <w:bookmarkEnd w:id="180"/>
      <w:r>
        <w:rPr>
          <w:rFonts w:hint="eastAsia" w:ascii="宋体" w:hAnsi="宋体" w:eastAsia="宋体" w:cs="宋体"/>
          <w:bCs/>
          <w:color w:val="auto"/>
          <w:highlight w:val="none"/>
        </w:rPr>
        <w:t xml:space="preserve">企业业绩</w:t>
      </w:r>
      <w:bookmarkEnd w:id="181"/>
      <w:r/>
      <w:r/>
    </w:p>
    <w:p>
      <w:pPr>
        <w:pStyle w:val="1138"/>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39"/>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val="false"/>
          </w:tcPr>
          <w:p>
            <w:pPr>
              <w:pStyle w:val="1139"/>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val="false"/>
          </w:tcPr>
          <w:p>
            <w:pPr>
              <w:pStyle w:val="1139"/>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val="false"/>
          </w:tcPr>
          <w:p>
            <w:pPr>
              <w:pStyle w:val="1139"/>
              <w:jc w:val="center"/>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10"/>
        </w:trPr>
        <w:tc>
          <w:tcPr>
            <w:tcW w:w="1229" w:type="dxa"/>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r>
        <w:trPr>
          <w:jc w:val="center"/>
          <w:trHeight w:val="1525"/>
        </w:trPr>
        <w:tc>
          <w:tcPr>
            <w:tcW w:w="1229" w:type="dxa"/>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3827"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2433"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c>
          <w:tcPr>
            <w:tcW w:w="1395" w:type="dxa"/>
            <w:vAlign w:val="center"/>
            <w:textDirection w:val="lrTb"/>
            <w:noWrap w:val="false"/>
          </w:tcPr>
          <w:p>
            <w:pPr>
              <w:pStyle w:val="1139"/>
              <w:jc w:val="center"/>
              <w:spacing w:line="560" w:lineRule="exact"/>
              <w:rPr>
                <w:rFonts w:hint="eastAsia" w:ascii="宋体" w:hAnsi="宋体" w:cs="宋体"/>
                <w:color w:val="auto"/>
                <w:sz w:val="28"/>
                <w:highlight w:val="none"/>
              </w:rPr>
            </w:pPr>
            <w:r>
              <w:rPr>
                <w:rFonts w:hint="eastAsia" w:ascii="宋体" w:hAnsi="宋体" w:cs="宋体"/>
                <w:color w:val="auto"/>
                <w:sz w:val="28"/>
                <w:highlight w:val="none"/>
              </w:rPr>
            </w:r>
            <w:r/>
          </w:p>
        </w:tc>
      </w:tr>
    </w:tbl>
    <w:p>
      <w:pPr>
        <w:pStyle w:val="1138"/>
        <w:rPr>
          <w:rFonts w:hint="eastAsia" w:ascii="宋体" w:hAnsi="宋体" w:cs="宋体"/>
          <w:color w:val="auto"/>
          <w:highlight w:val="none"/>
        </w:rPr>
      </w:pPr>
      <w:r>
        <w:rPr>
          <w:rFonts w:hint="eastAsia" w:ascii="宋体" w:hAnsi="宋体" w:cs="宋体"/>
          <w:b/>
          <w:color w:val="auto"/>
          <w:sz w:val="24"/>
          <w:highlight w:val="none"/>
        </w:rPr>
        <w:t xml:space="preserve">注：请填写此表，并按要求上传业绩资料电子件。</w:t>
      </w:r>
      <w:r/>
    </w:p>
    <w:p>
      <w:pPr>
        <w:jc w:val="both"/>
        <w:spacing w:before="100" w:beforeAutospacing="1" w:after="100" w:afterAutospacing="1"/>
        <w:widowControl/>
        <w:rPr>
          <w:rFonts w:hint="eastAsia" w:ascii="Times New Roman" w:hAnsi="Times New Roman" w:eastAsia="黑体"/>
          <w:b/>
          <w:color w:val="auto"/>
          <w:sz w:val="32"/>
          <w:szCs w:val="32"/>
          <w:highlight w:val="none"/>
        </w:rPr>
      </w:pPr>
      <w:r>
        <w:rPr>
          <w:rFonts w:hint="eastAsia" w:ascii="宋体" w:hAnsi="宋体" w:eastAsia="宋体" w:cs="宋体"/>
          <w:color w:val="auto"/>
          <w:highlight w:val="none"/>
        </w:rPr>
        <w:br w:type="page" w:clear="all"/>
      </w:r>
      <w:bookmarkStart w:id="182" w:name="_Toc25968"/>
      <w:r>
        <w:rPr>
          <w:rFonts w:hint="eastAsia" w:ascii="Times New Roman" w:hAnsi="Times New Roman" w:eastAsia="黑体" w:cs="Times New Roman"/>
          <w:b/>
          <w:color w:val="auto"/>
          <w:sz w:val="32"/>
          <w:szCs w:val="32"/>
          <w:highlight w:val="none"/>
          <w:lang w:val="en-US" w:eastAsia="zh-CN"/>
        </w:rPr>
        <w:t xml:space="preserve">九</w:t>
      </w:r>
      <w:r>
        <w:rPr>
          <w:rFonts w:hint="eastAsia" w:ascii="Times New Roman" w:hAnsi="Times New Roman" w:eastAsia="黑体" w:cs="Times New Roman"/>
          <w:b/>
          <w:color w:val="auto"/>
          <w:sz w:val="32"/>
          <w:szCs w:val="32"/>
          <w:highlight w:val="none"/>
        </w:rPr>
        <w:t xml:space="preserve">、</w:t>
      </w:r>
      <w:r>
        <w:rPr>
          <w:rFonts w:hint="eastAsia" w:ascii="Times New Roman" w:hAnsi="Times New Roman" w:eastAsia="黑体"/>
          <w:b/>
          <w:color w:val="auto"/>
          <w:sz w:val="32"/>
          <w:szCs w:val="32"/>
          <w:highlight w:val="none"/>
        </w:rPr>
        <w:t xml:space="preserve">技术要求响应及偏离表</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olor w:val="auto"/>
                <w:sz w:val="24"/>
                <w:szCs w:val="24"/>
                <w:highlight w:val="none"/>
              </w:rPr>
            </w:pPr>
            <w:r/>
            <w:bookmarkStart w:id="183" w:name="_Hlt26955064"/>
            <w:r/>
            <w:bookmarkEnd w:id="183"/>
            <w:r/>
            <w:bookmarkStart w:id="184" w:name="_Hlt26782999"/>
            <w:r/>
            <w:bookmarkEnd w:id="184"/>
            <w:r/>
            <w:bookmarkStart w:id="185" w:name="_Hlt26955056"/>
            <w:r/>
            <w:bookmarkEnd w:id="185"/>
            <w:r/>
            <w:bookmarkStart w:id="186" w:name="_Hlt26580838"/>
            <w:r/>
            <w:bookmarkEnd w:id="186"/>
            <w:r/>
            <w:bookmarkStart w:id="187" w:name="_Hlt26671343"/>
            <w:r/>
            <w:bookmarkEnd w:id="187"/>
            <w:r/>
            <w:bookmarkStart w:id="188" w:name="_Hlt26609391"/>
            <w:r/>
            <w:bookmarkEnd w:id="188"/>
            <w:r/>
            <w:bookmarkStart w:id="189" w:name="_Hlt24879081"/>
            <w:r/>
            <w:bookmarkEnd w:id="189"/>
            <w:r/>
            <w:bookmarkStart w:id="190" w:name="_Hlt26955054"/>
            <w:r/>
            <w:bookmarkEnd w:id="190"/>
            <w:r/>
            <w:bookmarkStart w:id="191" w:name="_Hlt26671372"/>
            <w:r/>
            <w:bookmarkEnd w:id="191"/>
            <w:r>
              <w:rPr>
                <w:rFonts w:hint="eastAsia" w:ascii="Times New Roman" w:hAnsi="Times New Roman"/>
                <w:color w:val="auto"/>
                <w:sz w:val="24"/>
                <w:szCs w:val="24"/>
                <w:highlight w:val="none"/>
              </w:rPr>
              <w:t xml:space="preserve">序号</w:t>
            </w:r>
            <w:r/>
          </w:p>
        </w:tc>
        <w:tc>
          <w:tcPr>
            <w:tcW w:w="3291" w:type="dxa"/>
            <w:vAlign w:val="center"/>
            <w:textDirection w:val="lrTb"/>
            <w:noWrap w:val="false"/>
          </w:tcPr>
          <w:p>
            <w:pPr>
              <w:pStyle w:val="847"/>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技术要求和商务要求中的实质性要求（打“★”内容）</w:t>
            </w:r>
            <w:r/>
          </w:p>
        </w:tc>
        <w:tc>
          <w:tcPr>
            <w:tcW w:w="2852" w:type="dxa"/>
            <w:vAlign w:val="center"/>
            <w:textDirection w:val="lrTb"/>
            <w:noWrap w:val="false"/>
          </w:tcPr>
          <w:p>
            <w:pPr>
              <w:pStyle w:val="847"/>
              <w:jc w:val="center"/>
              <w:spacing w:before="0" w:beforeAutospacing="0" w:after="0" w:afterAutospacing="0"/>
              <w:rPr>
                <w:rFonts w:hint="eastAsia" w:ascii="Times New Roman" w:hAnsi="Times New Roman"/>
                <w:color w:val="auto"/>
                <w:highlight w:val="none"/>
              </w:rPr>
            </w:pPr>
            <w:r>
              <w:rPr>
                <w:rFonts w:ascii="Times New Roman" w:hAnsi="Times New Roman"/>
                <w:color w:val="auto"/>
                <w:highlight w:val="none"/>
              </w:rPr>
              <w:t xml:space="preserve">响应情况</w:t>
            </w:r>
            <w:r>
              <w:rPr>
                <w:rFonts w:hint="eastAsia" w:ascii="Times New Roman" w:hAnsi="Times New Roman"/>
                <w:color w:val="auto"/>
                <w:highlight w:val="none"/>
              </w:rPr>
              <w:t xml:space="preserve">（填报“响应或完全响应”）</w:t>
            </w:r>
            <w:r/>
          </w:p>
        </w:tc>
        <w:tc>
          <w:tcPr>
            <w:tcW w:w="1308" w:type="dxa"/>
            <w:vAlign w:val="center"/>
            <w:textDirection w:val="lrTb"/>
            <w:noWrap w:val="false"/>
          </w:tcPr>
          <w:p>
            <w:pPr>
              <w:pStyle w:val="847"/>
              <w:jc w:val="center"/>
              <w:spacing w:before="0" w:beforeAutospacing="0" w:after="0" w:afterAutospacing="0"/>
              <w:rPr>
                <w:rFonts w:hint="eastAsia" w:ascii="Times New Roman" w:hAnsi="Times New Roman"/>
                <w:color w:val="auto"/>
                <w:highlight w:val="none"/>
              </w:rPr>
            </w:pPr>
            <w:r>
              <w:rPr>
                <w:rFonts w:hint="eastAsia" w:ascii="Times New Roman" w:hAnsi="Times New Roman"/>
                <w:color w:val="auto"/>
                <w:highlight w:val="none"/>
              </w:rPr>
              <w:t xml:space="preserve">偏离（填报“正偏离、符合或负偏离”）</w:t>
            </w:r>
            <w:r/>
          </w:p>
        </w:tc>
        <w:tc>
          <w:tcPr>
            <w:tcW w:w="1173" w:type="dxa"/>
            <w:vAlign w:val="center"/>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证明</w:t>
            </w:r>
            <w:r/>
          </w:p>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r>
        <w:trPr>
          <w:cantSplit/>
          <w:trHeight w:val="640"/>
        </w:trPr>
        <w:tc>
          <w:tcPr>
            <w:tcW w:w="545"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3291" w:type="dxa"/>
            <w:vAlign w:val="top"/>
            <w:textDirection w:val="lrTb"/>
            <w:noWrap w:val="false"/>
          </w:tcPr>
          <w:p>
            <w:pPr>
              <w:jc w:val="center"/>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w:t>
            </w:r>
            <w:r/>
          </w:p>
        </w:tc>
        <w:tc>
          <w:tcPr>
            <w:tcW w:w="2852"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308"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c>
          <w:tcPr>
            <w:tcW w:w="1173" w:type="dxa"/>
            <w:vAlign w:val="top"/>
            <w:textDirection w:val="lrTb"/>
            <w:noWrap w:val="false"/>
          </w:tcPr>
          <w:p>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tc>
      </w:tr>
    </w:tbl>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必须对技术要求和商务要求中的实质性要求（打“★”内容）做出明确响应，否则作无效响应处理。</w:t>
      </w:r>
      <w:r/>
    </w:p>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2.如果采购文件要求提供证明材料，</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必须将证明材料列于该表之下。</w:t>
      </w:r>
      <w:r/>
    </w:p>
    <w:p>
      <w:pPr>
        <w:spacing w:line="588" w:lineRule="exact"/>
        <w:rPr>
          <w:rFonts w:ascii="Times New Roman" w:hAnsi="Times New Roman"/>
          <w:color w:val="auto"/>
          <w:sz w:val="24"/>
          <w:highlight w:val="none"/>
        </w:rPr>
      </w:pPr>
      <w:r>
        <w:rPr>
          <w:rFonts w:ascii="Times New Roman" w:hAnsi="Times New Roman"/>
          <w:color w:val="auto"/>
          <w:sz w:val="24"/>
          <w:highlight w:val="none"/>
        </w:rPr>
        <w:t xml:space="preserve">3.</w:t>
      </w:r>
      <w:r>
        <w:rPr>
          <w:rFonts w:hint="eastAsia" w:ascii="Times New Roman" w:hAnsi="Times New Roman"/>
          <w:color w:val="auto"/>
          <w:sz w:val="24"/>
          <w:highlight w:val="none"/>
          <w:lang w:eastAsia="zh-CN"/>
        </w:rPr>
        <w:t xml:space="preserve">供应商</w:t>
      </w:r>
      <w:r>
        <w:rPr>
          <w:rFonts w:ascii="Times New Roman" w:hAnsi="Times New Roman"/>
          <w:color w:val="auto"/>
          <w:sz w:val="24"/>
          <w:highlight w:val="none"/>
        </w:rPr>
        <w:t xml:space="preserve">未对实质性要求作出明确响应的，或未按采购文件要求提供证明材料的，该分包作无效响应处理。</w:t>
      </w:r>
      <w:r/>
    </w:p>
    <w:p>
      <w:pPr>
        <w:spacing w:line="588"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4.行数不够，可自行添加。</w:t>
      </w:r>
      <w:r/>
    </w:p>
    <w:p>
      <w:pPr>
        <w:rPr>
          <w:rFonts w:hint="eastAsia"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1161"/>
        <w:rPr>
          <w:rFonts w:hint="eastAsia" w:ascii="宋体" w:hAnsi="宋体" w:eastAsia="宋体" w:cs="宋体"/>
          <w:color w:val="auto"/>
          <w:sz w:val="28"/>
          <w:szCs w:val="28"/>
          <w:highlight w:val="none"/>
        </w:rPr>
        <w:outlineLvl w:val="1"/>
      </w:pPr>
      <w:r>
        <w:rPr>
          <w:rFonts w:hint="eastAsia" w:ascii="宋体" w:hAnsi="宋体" w:eastAsia="宋体" w:cs="宋体"/>
          <w:bCs/>
          <w:color w:val="auto"/>
          <w:highlight w:val="none"/>
        </w:rPr>
        <w:t xml:space="preserve">十、投标所需其他材料</w:t>
      </w:r>
      <w:bookmarkEnd w:id="182"/>
      <w:r/>
      <w:r/>
    </w:p>
    <w:p>
      <w:pPr>
        <w:pStyle w:val="114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请在此文档中增加投标所需其他相关内容（包括评分办法、采购需求中涉及的证件证明及其它投标人认为有必要提供的资料），如没有请将此空文档上传。</w:t>
      </w:r>
      <w:r/>
    </w:p>
    <w:sectPr>
      <w:footnotePr/>
      <w:endnotePr/>
      <w:type w:val="continuous"/>
      <w:pgSz w:w="11906" w:h="16838" w:orient="portrait"/>
      <w:pgMar w:top="1440" w:right="130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833"/>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ind w:firstLine="4320"/>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rFonts w:hint="eastAsia"/>
      </w:rPr>
    </w:pPr>
    <w:r>
      <w:fldChar w:fldCharType="begin"/>
    </w:r>
    <w:r>
      <w:instrText xml:space="preserve">PAGE   \* MERGEFORMAT</w:instrText>
    </w:r>
    <w:r>
      <w:fldChar w:fldCharType="separate"/>
    </w:r>
    <w:r>
      <w:rPr>
        <w:lang w:val="zh-CN"/>
      </w:rPr>
      <w:t xml:space="preserve">2</w:t>
    </w:r>
    <w:r>
      <w:fldChar w:fldCharType="end"/>
    </w:r>
    <w:r/>
  </w:p>
  <w:p>
    <w:pPr>
      <w:pStyle w:val="833"/>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23"/>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08"/>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9" w:default="1">
    <w:name w:val="Normal"/>
    <w:uiPriority w:val="0"/>
    <w:qFormat/>
    <w:pPr>
      <w:jc w:val="both"/>
      <w:widowControl w:val="off"/>
    </w:pPr>
    <w:rPr>
      <w:rFonts w:hint="default" w:ascii="Calibri" w:hAnsi="Calibri" w:eastAsia="宋体" w:cs="Times New Roman"/>
      <w:sz w:val="21"/>
      <w:szCs w:val="22"/>
    </w:rPr>
  </w:style>
  <w:style w:type="paragraph" w:styleId="800">
    <w:name w:val="Heading 1"/>
    <w:basedOn w:val="799"/>
    <w:next w:val="799"/>
    <w:link w:val="864"/>
    <w:uiPriority w:val="9"/>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865"/>
    <w:uiPriority w:val="9"/>
    <w:qFormat/>
    <w:pPr>
      <w:keepLines/>
      <w:keepNext/>
      <w:spacing w:before="260" w:after="260" w:line="413" w:lineRule="auto"/>
      <w:outlineLvl w:val="1"/>
    </w:pPr>
    <w:rPr>
      <w:rFonts w:ascii="Arial" w:hAnsi="Arial" w:eastAsia="黑体"/>
      <w:b/>
      <w:sz w:val="32"/>
      <w:szCs w:val="20"/>
    </w:rPr>
  </w:style>
  <w:style w:type="paragraph" w:styleId="802">
    <w:name w:val="Heading 3"/>
    <w:basedOn w:val="811"/>
    <w:next w:val="813"/>
    <w:link w:val="871"/>
    <w:uiPriority w:val="9"/>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872"/>
    <w:uiPriority w:val="9"/>
    <w:qFormat/>
    <w:pPr>
      <w:jc w:val="center"/>
      <w:keepNext/>
      <w:outlineLvl w:val="3"/>
    </w:pPr>
    <w:rPr>
      <w:rFonts w:eastAsia="新宋体"/>
      <w:sz w:val="30"/>
      <w:szCs w:val="21"/>
    </w:rPr>
  </w:style>
  <w:style w:type="paragraph" w:styleId="804">
    <w:name w:val="Heading 5"/>
    <w:basedOn w:val="799"/>
    <w:next w:val="799"/>
    <w:link w:val="873"/>
    <w:uiPriority w:val="9"/>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874"/>
    <w:uiPriority w:val="9"/>
    <w:qFormat/>
    <w:pPr>
      <w:keepLines/>
      <w:keepNext/>
      <w:spacing w:before="320" w:after="200"/>
      <w:outlineLvl w:val="5"/>
    </w:pPr>
    <w:rPr>
      <w:rFonts w:ascii="Arial" w:hAnsi="Arial" w:eastAsia="Arial" w:cs="Arial"/>
      <w:b/>
      <w:bCs/>
      <w:sz w:val="22"/>
    </w:rPr>
  </w:style>
  <w:style w:type="paragraph" w:styleId="806">
    <w:name w:val="Heading 7"/>
    <w:basedOn w:val="799"/>
    <w:next w:val="799"/>
    <w:link w:val="875"/>
    <w:uiPriority w:val="9"/>
    <w:qFormat/>
    <w:pPr>
      <w:keepLines/>
      <w:keepNext/>
      <w:spacing w:before="320" w:after="200"/>
      <w:outlineLvl w:val="6"/>
    </w:pPr>
    <w:rPr>
      <w:rFonts w:ascii="Arial" w:hAnsi="Arial" w:eastAsia="Arial" w:cs="Arial"/>
      <w:b/>
      <w:bCs/>
      <w:i/>
      <w:iCs/>
      <w:sz w:val="22"/>
    </w:rPr>
  </w:style>
  <w:style w:type="paragraph" w:styleId="807">
    <w:name w:val="Heading 8"/>
    <w:basedOn w:val="799"/>
    <w:next w:val="799"/>
    <w:link w:val="876"/>
    <w:uiPriority w:val="9"/>
    <w:qFormat/>
    <w:pPr>
      <w:keepLines/>
      <w:keepNext/>
      <w:spacing w:before="320" w:after="200"/>
      <w:outlineLvl w:val="7"/>
    </w:pPr>
    <w:rPr>
      <w:rFonts w:ascii="Arial" w:hAnsi="Arial" w:eastAsia="Arial" w:cs="Arial"/>
      <w:i/>
      <w:iCs/>
      <w:sz w:val="22"/>
    </w:rPr>
  </w:style>
  <w:style w:type="paragraph" w:styleId="808">
    <w:name w:val="Heading 9"/>
    <w:basedOn w:val="799"/>
    <w:next w:val="799"/>
    <w:link w:val="877"/>
    <w:uiPriority w:val="9"/>
    <w:qFormat/>
    <w:pPr>
      <w:keepLines/>
      <w:keepNext/>
      <w:spacing w:before="320" w:after="200"/>
      <w:outlineLvl w:val="8"/>
    </w:pPr>
    <w:rPr>
      <w:rFonts w:ascii="Arial" w:hAnsi="Arial" w:eastAsia="Arial" w:cs="Arial"/>
      <w:i/>
      <w:iCs/>
      <w:szCs w:val="21"/>
    </w:rPr>
  </w:style>
  <w:style w:type="character" w:styleId="809" w:default="1">
    <w:name w:val="Default Paragraph Font"/>
    <w:uiPriority w:val="1"/>
    <w:semiHidden/>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customStyle="1">
    <w:name w:val="Normal1"/>
    <w:next w:val="812"/>
    <w:uiPriority w:val="0"/>
    <w:qFormat/>
    <w:pPr>
      <w:jc w:val="both"/>
      <w:widowControl w:val="off"/>
    </w:pPr>
    <w:rPr>
      <w:rFonts w:hint="default" w:ascii="Calibri" w:hAnsi="Calibri" w:eastAsia="宋体" w:cs="Times New Roman"/>
      <w:sz w:val="21"/>
      <w:szCs w:val="22"/>
    </w:rPr>
  </w:style>
  <w:style w:type="paragraph" w:styleId="812" w:customStyle="1">
    <w:name w:val="标题 311"/>
    <w:basedOn w:val="811"/>
    <w:next w:val="813"/>
    <w:uiPriority w:val="0"/>
    <w:qFormat/>
    <w:pPr>
      <w:keepLines/>
      <w:keepNext/>
      <w:spacing w:before="320" w:after="200"/>
      <w:outlineLvl w:val="2"/>
    </w:pPr>
    <w:rPr>
      <w:rFonts w:ascii="Arial" w:hAnsi="Arial" w:eastAsia="Arial" w:cs="Arial"/>
      <w:sz w:val="30"/>
      <w:szCs w:val="30"/>
    </w:rPr>
  </w:style>
  <w:style w:type="paragraph" w:styleId="813" w:customStyle="1">
    <w:name w:val="Normal_19"/>
    <w:next w:val="814"/>
    <w:uiPriority w:val="0"/>
    <w:qFormat/>
    <w:rPr>
      <w:rFonts w:hint="default" w:ascii="黑体" w:hAnsi="黑体" w:eastAsia="黑体" w:cs="黑体"/>
      <w:b/>
      <w:sz w:val="32"/>
      <w:szCs w:val="24"/>
    </w:rPr>
  </w:style>
  <w:style w:type="paragraph" w:styleId="814" w:customStyle="1">
    <w:name w:val="Heading 1"/>
    <w:basedOn w:val="813"/>
    <w:next w:val="813"/>
    <w:uiPriority w:val="9"/>
    <w:qFormat/>
    <w:pPr>
      <w:keepLines/>
      <w:keepNext/>
      <w:spacing w:before="340" w:after="330" w:line="578" w:lineRule="auto"/>
      <w:outlineLvl w:val="0"/>
    </w:pPr>
    <w:rPr>
      <w:bCs/>
      <w:sz w:val="44"/>
      <w:szCs w:val="44"/>
    </w:rPr>
  </w:style>
  <w:style w:type="paragraph" w:styleId="815">
    <w:name w:val="List 3"/>
    <w:basedOn w:val="799"/>
    <w:uiPriority w:val="0"/>
    <w:qFormat/>
    <w:pPr>
      <w:ind w:left="100" w:hanging="200"/>
    </w:pPr>
    <w:rPr>
      <w:rFonts w:ascii="Times New Roman" w:hAnsi="Times New Roman"/>
      <w:szCs w:val="21"/>
    </w:rPr>
  </w:style>
  <w:style w:type="paragraph" w:styleId="816">
    <w:name w:val="toc 7"/>
    <w:basedOn w:val="799"/>
    <w:next w:val="799"/>
    <w:uiPriority w:val="39"/>
    <w:unhideWhenUsed/>
    <w:qFormat/>
    <w:pPr>
      <w:ind w:left="1701"/>
      <w:spacing w:after="57"/>
    </w:pPr>
  </w:style>
  <w:style w:type="paragraph" w:styleId="817">
    <w:name w:val="Normal Indent"/>
    <w:basedOn w:val="799"/>
    <w:link w:val="866"/>
    <w:uiPriority w:val="0"/>
    <w:qFormat/>
    <w:pPr>
      <w:ind w:firstLine="420"/>
    </w:pPr>
    <w:rPr>
      <w:rFonts w:ascii="宋体"/>
      <w:color w:val="000000"/>
      <w:sz w:val="24"/>
      <w:szCs w:val="20"/>
    </w:rPr>
  </w:style>
  <w:style w:type="paragraph" w:styleId="818">
    <w:name w:val="Caption"/>
    <w:basedOn w:val="799"/>
    <w:next w:val="799"/>
    <w:uiPriority w:val="35"/>
    <w:qFormat/>
    <w:pPr>
      <w:spacing w:line="276" w:lineRule="auto"/>
    </w:pPr>
    <w:rPr>
      <w:b/>
      <w:bCs/>
      <w:color w:val="5b9bd5"/>
      <w:sz w:val="18"/>
      <w:szCs w:val="18"/>
    </w:rPr>
  </w:style>
  <w:style w:type="paragraph" w:styleId="819">
    <w:name w:val="Document Map"/>
    <w:basedOn w:val="799"/>
    <w:link w:val="878"/>
    <w:uiPriority w:val="0"/>
    <w:semiHidden/>
    <w:qFormat/>
    <w:pPr>
      <w:shd w:val="clear" w:color="auto" w:fill="000080"/>
    </w:pPr>
    <w:rPr>
      <w:rFonts w:ascii="Times New Roman" w:hAnsi="Times New Roman"/>
      <w:szCs w:val="21"/>
    </w:rPr>
  </w:style>
  <w:style w:type="paragraph" w:styleId="820">
    <w:name w:val="annotation text"/>
    <w:basedOn w:val="799"/>
    <w:link w:val="879"/>
    <w:uiPriority w:val="0"/>
    <w:semiHidden/>
    <w:qFormat/>
    <w:pPr>
      <w:jc w:val="left"/>
    </w:pPr>
    <w:rPr>
      <w:rFonts w:ascii="Times New Roman" w:hAnsi="Times New Roman"/>
      <w:szCs w:val="21"/>
    </w:rPr>
  </w:style>
  <w:style w:type="paragraph" w:styleId="821">
    <w:name w:val="Body Text 3"/>
    <w:basedOn w:val="799"/>
    <w:link w:val="880"/>
    <w:uiPriority w:val="0"/>
    <w:qFormat/>
    <w:rPr>
      <w:rFonts w:ascii="仿宋_GB2312" w:hAnsi="Arial" w:eastAsia="仿宋_GB2312"/>
      <w:sz w:val="32"/>
      <w:szCs w:val="32"/>
    </w:rPr>
  </w:style>
  <w:style w:type="paragraph" w:styleId="822">
    <w:name w:val="Body Text"/>
    <w:basedOn w:val="799"/>
    <w:uiPriority w:val="0"/>
    <w:qFormat/>
    <w:rPr>
      <w:rFonts w:ascii="仿宋" w:hAnsi="仿宋" w:eastAsia="仿宋" w:cs="仿宋"/>
      <w:sz w:val="32"/>
      <w:szCs w:val="32"/>
      <w:lang w:eastAsia="en-US"/>
    </w:rPr>
  </w:style>
  <w:style w:type="paragraph" w:styleId="823">
    <w:name w:val="Body Text Indent"/>
    <w:basedOn w:val="799"/>
    <w:link w:val="881"/>
    <w:uiPriority w:val="0"/>
    <w:qFormat/>
    <w:pPr>
      <w:ind w:firstLine="225"/>
    </w:pPr>
    <w:rPr>
      <w:rFonts w:ascii="仿宋_GB2312" w:eastAsia="仿宋_GB2312"/>
      <w:sz w:val="32"/>
    </w:rPr>
  </w:style>
  <w:style w:type="paragraph" w:styleId="824">
    <w:name w:val="List 2"/>
    <w:basedOn w:val="799"/>
    <w:uiPriority w:val="0"/>
    <w:qFormat/>
    <w:pPr>
      <w:ind w:left="100" w:hanging="200"/>
    </w:pPr>
    <w:rPr>
      <w:rFonts w:ascii="Times New Roman" w:hAnsi="Times New Roman"/>
      <w:szCs w:val="21"/>
    </w:rPr>
  </w:style>
  <w:style w:type="paragraph" w:styleId="825">
    <w:name w:val="toc 5"/>
    <w:basedOn w:val="799"/>
    <w:next w:val="799"/>
    <w:uiPriority w:val="39"/>
    <w:unhideWhenUsed/>
    <w:qFormat/>
    <w:pPr>
      <w:ind w:left="1134"/>
      <w:spacing w:after="57"/>
    </w:pPr>
  </w:style>
  <w:style w:type="paragraph" w:styleId="826">
    <w:name w:val="toc 3"/>
    <w:basedOn w:val="799"/>
    <w:next w:val="799"/>
    <w:uiPriority w:val="39"/>
    <w:unhideWhenUsed/>
    <w:qFormat/>
    <w:pPr>
      <w:ind w:left="567"/>
      <w:spacing w:after="57"/>
    </w:pPr>
  </w:style>
  <w:style w:type="paragraph" w:styleId="827">
    <w:name w:val="Plain Text"/>
    <w:basedOn w:val="799"/>
    <w:link w:val="882"/>
    <w:uiPriority w:val="0"/>
    <w:qFormat/>
    <w:rPr>
      <w:rFonts w:ascii="宋体" w:hAnsi="Courier New" w:cs="Courier New"/>
      <w:szCs w:val="21"/>
    </w:rPr>
  </w:style>
  <w:style w:type="paragraph" w:styleId="828">
    <w:name w:val="toc 8"/>
    <w:basedOn w:val="799"/>
    <w:next w:val="799"/>
    <w:uiPriority w:val="39"/>
    <w:unhideWhenUsed/>
    <w:qFormat/>
    <w:pPr>
      <w:ind w:left="1984"/>
      <w:spacing w:after="57"/>
    </w:pPr>
  </w:style>
  <w:style w:type="paragraph" w:styleId="829">
    <w:name w:val="Date"/>
    <w:basedOn w:val="799"/>
    <w:next w:val="799"/>
    <w:link w:val="883"/>
    <w:uiPriority w:val="0"/>
    <w:qFormat/>
    <w:rPr>
      <w:rFonts w:ascii="Times New Roman" w:hAnsi="Times New Roman"/>
      <w:sz w:val="24"/>
      <w:szCs w:val="24"/>
    </w:rPr>
  </w:style>
  <w:style w:type="paragraph" w:styleId="830">
    <w:name w:val="Body Text Indent 2"/>
    <w:basedOn w:val="799"/>
    <w:link w:val="884"/>
    <w:uiPriority w:val="0"/>
    <w:qFormat/>
    <w:pPr>
      <w:ind w:left="630" w:firstLine="645"/>
    </w:pPr>
    <w:rPr>
      <w:rFonts w:ascii="Arial" w:hAnsi="Arial" w:eastAsia="仿宋_GB2312" w:cs="Arial"/>
      <w:sz w:val="32"/>
      <w:szCs w:val="32"/>
    </w:rPr>
  </w:style>
  <w:style w:type="paragraph" w:styleId="831">
    <w:name w:val="endnote text"/>
    <w:basedOn w:val="799"/>
    <w:link w:val="885"/>
    <w:uiPriority w:val="99"/>
    <w:unhideWhenUsed/>
    <w:qFormat/>
    <w:rPr>
      <w:sz w:val="20"/>
    </w:rPr>
  </w:style>
  <w:style w:type="paragraph" w:styleId="832">
    <w:name w:val="Balloon Text"/>
    <w:basedOn w:val="799"/>
    <w:link w:val="886"/>
    <w:uiPriority w:val="0"/>
    <w:qFormat/>
    <w:rPr>
      <w:rFonts w:ascii="Times New Roman" w:hAnsi="Times New Roman"/>
      <w:sz w:val="18"/>
      <w:szCs w:val="18"/>
    </w:rPr>
  </w:style>
  <w:style w:type="paragraph" w:styleId="833">
    <w:name w:val="Footer"/>
    <w:basedOn w:val="799"/>
    <w:link w:val="887"/>
    <w:uiPriority w:val="99"/>
    <w:qFormat/>
    <w:pPr>
      <w:jc w:val="left"/>
      <w:tabs>
        <w:tab w:val="center" w:pos="4153" w:leader="none"/>
        <w:tab w:val="right" w:pos="8306" w:leader="none"/>
      </w:tabs>
    </w:pPr>
    <w:rPr>
      <w:sz w:val="18"/>
      <w:szCs w:val="18"/>
    </w:rPr>
  </w:style>
  <w:style w:type="paragraph" w:styleId="834">
    <w:name w:val="Header"/>
    <w:basedOn w:val="799"/>
    <w:link w:val="888"/>
    <w:uiPriority w:val="99"/>
    <w:qFormat/>
    <w:pPr>
      <w:jc w:val="center"/>
      <w:tabs>
        <w:tab w:val="center" w:pos="4153" w:leader="none"/>
        <w:tab w:val="right" w:pos="8306" w:leader="none"/>
      </w:tabs>
    </w:pPr>
    <w:rPr>
      <w:sz w:val="18"/>
      <w:szCs w:val="18"/>
    </w:rPr>
  </w:style>
  <w:style w:type="paragraph" w:styleId="835">
    <w:name w:val="toc 1"/>
    <w:basedOn w:val="799"/>
    <w:next w:val="799"/>
    <w:uiPriority w:val="39"/>
    <w:qFormat/>
    <w:pPr>
      <w:jc w:val="left"/>
      <w:spacing w:before="120" w:after="120"/>
    </w:pPr>
    <w:rPr>
      <w:rFonts w:cs="Calibri"/>
      <w:b/>
      <w:bCs/>
      <w:caps/>
      <w:sz w:val="20"/>
      <w:szCs w:val="20"/>
    </w:rPr>
  </w:style>
  <w:style w:type="paragraph" w:styleId="836">
    <w:name w:val="toc 4"/>
    <w:basedOn w:val="799"/>
    <w:next w:val="799"/>
    <w:uiPriority w:val="39"/>
    <w:unhideWhenUsed/>
    <w:qFormat/>
    <w:pPr>
      <w:ind w:left="850"/>
      <w:spacing w:after="57"/>
    </w:pPr>
  </w:style>
  <w:style w:type="paragraph" w:styleId="837">
    <w:name w:val="Subtitle"/>
    <w:basedOn w:val="799"/>
    <w:next w:val="799"/>
    <w:link w:val="889"/>
    <w:uiPriority w:val="11"/>
    <w:qFormat/>
    <w:pPr>
      <w:spacing w:before="200" w:after="200"/>
    </w:pPr>
    <w:rPr>
      <w:sz w:val="24"/>
      <w:szCs w:val="24"/>
    </w:rPr>
  </w:style>
  <w:style w:type="paragraph" w:styleId="838">
    <w:name w:val="List"/>
    <w:basedOn w:val="799"/>
    <w:uiPriority w:val="0"/>
    <w:qFormat/>
    <w:pPr>
      <w:ind w:left="200" w:hanging="200"/>
    </w:pPr>
    <w:rPr>
      <w:rFonts w:ascii="Times New Roman" w:hAnsi="Times New Roman"/>
      <w:szCs w:val="21"/>
    </w:rPr>
  </w:style>
  <w:style w:type="paragraph" w:styleId="839">
    <w:name w:val="footnote text"/>
    <w:basedOn w:val="799"/>
    <w:link w:val="890"/>
    <w:uiPriority w:val="99"/>
    <w:unhideWhenUsed/>
    <w:qFormat/>
    <w:pPr>
      <w:spacing w:after="40"/>
    </w:pPr>
    <w:rPr>
      <w:sz w:val="18"/>
    </w:rPr>
  </w:style>
  <w:style w:type="paragraph" w:styleId="840">
    <w:name w:val="toc 6"/>
    <w:basedOn w:val="799"/>
    <w:next w:val="799"/>
    <w:uiPriority w:val="39"/>
    <w:unhideWhenUsed/>
    <w:qFormat/>
    <w:pPr>
      <w:ind w:left="1417"/>
      <w:spacing w:after="57"/>
    </w:pPr>
  </w:style>
  <w:style w:type="paragraph" w:styleId="841">
    <w:name w:val="Body Text Indent 3"/>
    <w:basedOn w:val="799"/>
    <w:link w:val="891"/>
    <w:uiPriority w:val="0"/>
    <w:qFormat/>
    <w:pPr>
      <w:ind w:left="645" w:firstLine="645"/>
    </w:pPr>
    <w:rPr>
      <w:rFonts w:ascii="Arial" w:hAnsi="Arial" w:eastAsia="仿宋_GB2312" w:cs="Arial"/>
      <w:color w:val="ffff00"/>
      <w:sz w:val="32"/>
      <w:szCs w:val="32"/>
    </w:rPr>
  </w:style>
  <w:style w:type="paragraph" w:styleId="842">
    <w:name w:val="table of figures"/>
    <w:basedOn w:val="799"/>
    <w:next w:val="799"/>
    <w:uiPriority w:val="99"/>
    <w:unhideWhenUsed/>
    <w:qFormat/>
  </w:style>
  <w:style w:type="paragraph" w:styleId="843">
    <w:name w:val="toc 2"/>
    <w:basedOn w:val="799"/>
    <w:next w:val="799"/>
    <w:uiPriority w:val="39"/>
    <w:qFormat/>
    <w:pPr>
      <w:ind w:left="210"/>
      <w:jc w:val="left"/>
    </w:pPr>
    <w:rPr>
      <w:rFonts w:cs="Calibri"/>
      <w:smallCaps/>
      <w:sz w:val="20"/>
      <w:szCs w:val="20"/>
    </w:rPr>
  </w:style>
  <w:style w:type="paragraph" w:styleId="844">
    <w:name w:val="toc 9"/>
    <w:basedOn w:val="799"/>
    <w:next w:val="799"/>
    <w:uiPriority w:val="39"/>
    <w:unhideWhenUsed/>
    <w:qFormat/>
    <w:pPr>
      <w:ind w:left="2268"/>
      <w:spacing w:after="57"/>
    </w:pPr>
  </w:style>
  <w:style w:type="paragraph" w:styleId="845">
    <w:name w:val="Body Text 2"/>
    <w:basedOn w:val="799"/>
    <w:link w:val="892"/>
    <w:uiPriority w:val="0"/>
    <w:qFormat/>
    <w:pPr>
      <w:jc w:val="center"/>
      <w:widowControl/>
    </w:pPr>
    <w:rPr>
      <w:rFonts w:ascii="楷体_GB2312" w:hAnsi="Times New Roman" w:eastAsia="楷体_GB2312"/>
      <w:sz w:val="28"/>
      <w:szCs w:val="28"/>
    </w:rPr>
  </w:style>
  <w:style w:type="paragraph" w:styleId="846">
    <w:name w:val="HTML Preformatted"/>
    <w:basedOn w:val="799"/>
    <w:link w:val="89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47">
    <w:name w:val="Normal (Web)"/>
    <w:basedOn w:val="799"/>
    <w:uiPriority w:val="99"/>
    <w:qFormat/>
    <w:pPr>
      <w:jc w:val="left"/>
      <w:spacing w:before="100" w:beforeAutospacing="1" w:after="100" w:afterAutospacing="1"/>
      <w:widowControl/>
    </w:pPr>
    <w:rPr>
      <w:rFonts w:ascii="宋体" w:hAnsi="宋体" w:cs="宋体"/>
      <w:sz w:val="24"/>
      <w:szCs w:val="24"/>
    </w:rPr>
  </w:style>
  <w:style w:type="paragraph" w:styleId="848">
    <w:name w:val="index 1"/>
    <w:basedOn w:val="799"/>
    <w:next w:val="799"/>
    <w:uiPriority w:val="0"/>
    <w:semiHidden/>
    <w:qFormat/>
    <w:pPr>
      <w:spacing w:line="240" w:lineRule="atLeast"/>
    </w:pPr>
    <w:rPr>
      <w:rFonts w:ascii="Times New Roman" w:hAnsi="Times New Roman"/>
      <w:b/>
      <w:bCs/>
      <w:szCs w:val="21"/>
    </w:rPr>
  </w:style>
  <w:style w:type="paragraph" w:styleId="849">
    <w:name w:val="Title"/>
    <w:basedOn w:val="799"/>
    <w:next w:val="799"/>
    <w:link w:val="894"/>
    <w:uiPriority w:val="10"/>
    <w:qFormat/>
    <w:pPr>
      <w:contextualSpacing/>
      <w:spacing w:before="300" w:after="200"/>
    </w:pPr>
    <w:rPr>
      <w:sz w:val="48"/>
      <w:szCs w:val="48"/>
    </w:rPr>
  </w:style>
  <w:style w:type="paragraph" w:styleId="850">
    <w:name w:val="annotation subject"/>
    <w:basedOn w:val="820"/>
    <w:next w:val="820"/>
    <w:link w:val="895"/>
    <w:uiPriority w:val="0"/>
    <w:semiHidden/>
    <w:qFormat/>
    <w:rPr>
      <w:b/>
      <w:bCs/>
    </w:rPr>
  </w:style>
  <w:style w:type="paragraph" w:styleId="851">
    <w:name w:val="Body Text First Indent 2"/>
    <w:basedOn w:val="823"/>
    <w:link w:val="896"/>
    <w:uiPriority w:val="0"/>
    <w:qFormat/>
    <w:pPr>
      <w:ind w:firstLine="420"/>
      <w:spacing w:line="360" w:lineRule="auto"/>
    </w:pPr>
    <w:rPr>
      <w:rFonts w:ascii="宋体" w:hAnsi="宋体" w:eastAsia="宋体"/>
      <w:sz w:val="21"/>
      <w:szCs w:val="20"/>
    </w:rPr>
  </w:style>
  <w:style w:type="table" w:styleId="852">
    <w:name w:val="Table Grid"/>
    <w:basedOn w:val="81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uiPriority w:val="99"/>
    <w:unhideWhenUsed/>
    <w:qFormat/>
    <w:rPr>
      <w:vertAlign w:val="superscript"/>
    </w:rPr>
  </w:style>
  <w:style w:type="character" w:styleId="855">
    <w:name w:val="page number"/>
    <w:basedOn w:val="809"/>
    <w:uiPriority w:val="0"/>
    <w:qFormat/>
  </w:style>
  <w:style w:type="character" w:styleId="856">
    <w:name w:val="FollowedHyperlink"/>
    <w:uiPriority w:val="0"/>
    <w:qFormat/>
    <w:rPr>
      <w:color w:val="800080"/>
      <w:u w:val="single"/>
    </w:rPr>
  </w:style>
  <w:style w:type="character" w:styleId="857">
    <w:name w:val="Hyperlink"/>
    <w:uiPriority w:val="99"/>
    <w:qFormat/>
    <w:rPr>
      <w:color w:val="0000ff"/>
      <w:u w:val="single"/>
    </w:rPr>
  </w:style>
  <w:style w:type="character" w:styleId="858">
    <w:name w:val="annotation reference"/>
    <w:uiPriority w:val="0"/>
    <w:semiHidden/>
    <w:qFormat/>
    <w:rPr>
      <w:sz w:val="21"/>
      <w:szCs w:val="21"/>
    </w:rPr>
  </w:style>
  <w:style w:type="character" w:styleId="859">
    <w:name w:val="footnote reference"/>
    <w:uiPriority w:val="99"/>
    <w:unhideWhenUsed/>
    <w:qFormat/>
    <w:rPr>
      <w:vertAlign w:val="superscript"/>
    </w:rPr>
  </w:style>
  <w:style w:type="paragraph" w:styleId="860">
    <w:name w:val="List Paragraph"/>
    <w:basedOn w:val="799"/>
    <w:uiPriority w:val="34"/>
    <w:qFormat/>
    <w:pPr>
      <w:contextualSpacing/>
      <w:ind w:left="720"/>
    </w:pPr>
  </w:style>
  <w:style w:type="paragraph" w:styleId="861">
    <w:name w:val="No Spacing"/>
    <w:uiPriority w:val="1"/>
    <w:qFormat/>
    <w:rPr>
      <w:rFonts w:hint="default" w:ascii="Times New Roman" w:hAnsi="Times New Roman" w:eastAsia="宋体" w:cs="Times New Roman"/>
    </w:rPr>
  </w:style>
  <w:style w:type="paragraph" w:styleId="862">
    <w:name w:val="Quote"/>
    <w:basedOn w:val="799"/>
    <w:next w:val="799"/>
    <w:link w:val="967"/>
    <w:uiPriority w:val="29"/>
    <w:qFormat/>
    <w:pPr>
      <w:ind w:left="720" w:right="720"/>
    </w:pPr>
    <w:rPr>
      <w:i/>
    </w:rPr>
  </w:style>
  <w:style w:type="paragraph" w:styleId="863">
    <w:name w:val="Intense Quote"/>
    <w:basedOn w:val="799"/>
    <w:next w:val="799"/>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标题 1 字符"/>
    <w:link w:val="800"/>
    <w:uiPriority w:val="9"/>
    <w:qFormat/>
    <w:rPr>
      <w:rFonts w:ascii="Arial" w:hAnsi="Arial" w:eastAsia="Arial" w:cs="Arial"/>
      <w:sz w:val="40"/>
      <w:szCs w:val="40"/>
    </w:rPr>
  </w:style>
  <w:style w:type="character" w:styleId="865" w:customStyle="1">
    <w:name w:val="标题 2 字符"/>
    <w:link w:val="801"/>
    <w:uiPriority w:val="9"/>
    <w:qFormat/>
    <w:rPr>
      <w:rFonts w:ascii="Arial" w:hAnsi="Arial" w:eastAsia="Arial" w:cs="Arial"/>
      <w:sz w:val="34"/>
    </w:rPr>
  </w:style>
  <w:style w:type="character" w:styleId="866" w:customStyle="1">
    <w:name w:val="正文缩进 字符"/>
    <w:link w:val="817"/>
    <w:uiPriority w:val="0"/>
    <w:qFormat/>
    <w:rPr>
      <w:rFonts w:ascii="宋体" w:hAnsi="Calibri"/>
      <w:color w:val="000000"/>
      <w:sz w:val="24"/>
    </w:rPr>
  </w:style>
  <w:style w:type="paragraph" w:styleId="867" w:customStyle="1">
    <w:name w:val="Normal11"/>
    <w:next w:val="868"/>
    <w:uiPriority w:val="0"/>
    <w:qFormat/>
    <w:pPr>
      <w:jc w:val="both"/>
      <w:widowControl w:val="off"/>
    </w:pPr>
    <w:rPr>
      <w:rFonts w:hint="default" w:ascii="Times New Roman" w:hAnsi="Times New Roman" w:eastAsia="宋体" w:cs="Times New Roman"/>
      <w:szCs w:val="21"/>
    </w:rPr>
  </w:style>
  <w:style w:type="paragraph" w:styleId="868" w:customStyle="1">
    <w:name w:val="Body Text First Indent1"/>
    <w:basedOn w:val="869"/>
    <w:uiPriority w:val="99"/>
    <w:unhideWhenUsed/>
    <w:qFormat/>
    <w:pPr>
      <w:ind w:firstLine="420"/>
    </w:pPr>
  </w:style>
  <w:style w:type="paragraph" w:styleId="869" w:customStyle="1">
    <w:name w:val="Body Text1"/>
    <w:basedOn w:val="870"/>
    <w:uiPriority w:val="99"/>
    <w:unhideWhenUsed/>
    <w:qFormat/>
    <w:pPr>
      <w:spacing w:after="120"/>
    </w:pPr>
  </w:style>
  <w:style w:type="paragraph" w:styleId="870" w:customStyle="1">
    <w:name w:val="正文1"/>
    <w:next w:val="868"/>
    <w:uiPriority w:val="0"/>
    <w:qFormat/>
    <w:rPr>
      <w:rFonts w:hint="default" w:ascii="Times New Roman" w:hAnsi="Times New Roman" w:eastAsia="Times New Roman" w:cs="Times New Roman"/>
      <w:sz w:val="24"/>
      <w:szCs w:val="24"/>
    </w:rPr>
  </w:style>
  <w:style w:type="character" w:styleId="871" w:customStyle="1">
    <w:name w:val="标题 3 字符"/>
    <w:link w:val="802"/>
    <w:uiPriority w:val="9"/>
    <w:qFormat/>
    <w:rPr>
      <w:rFonts w:ascii="Arial" w:hAnsi="Arial" w:eastAsia="Arial" w:cs="Arial"/>
      <w:sz w:val="30"/>
      <w:szCs w:val="30"/>
    </w:rPr>
  </w:style>
  <w:style w:type="character" w:styleId="872" w:customStyle="1">
    <w:name w:val="标题 4 字符"/>
    <w:link w:val="803"/>
    <w:uiPriority w:val="9"/>
    <w:qFormat/>
    <w:rPr>
      <w:rFonts w:ascii="Arial" w:hAnsi="Arial" w:eastAsia="Arial" w:cs="Arial"/>
      <w:b/>
      <w:bCs/>
      <w:sz w:val="26"/>
      <w:szCs w:val="26"/>
    </w:rPr>
  </w:style>
  <w:style w:type="character" w:styleId="873" w:customStyle="1">
    <w:name w:val="标题 5 字符"/>
    <w:link w:val="804"/>
    <w:uiPriority w:val="9"/>
    <w:qFormat/>
    <w:rPr>
      <w:rFonts w:ascii="Arial" w:hAnsi="Arial" w:eastAsia="Arial" w:cs="Arial"/>
      <w:b/>
      <w:bCs/>
      <w:sz w:val="24"/>
      <w:szCs w:val="24"/>
    </w:rPr>
  </w:style>
  <w:style w:type="character" w:styleId="874" w:customStyle="1">
    <w:name w:val="标题 6 字符"/>
    <w:link w:val="805"/>
    <w:uiPriority w:val="9"/>
    <w:qFormat/>
    <w:rPr>
      <w:rFonts w:ascii="Arial" w:hAnsi="Arial" w:eastAsia="Arial" w:cs="Arial"/>
      <w:b/>
      <w:bCs/>
      <w:sz w:val="22"/>
      <w:szCs w:val="22"/>
    </w:rPr>
  </w:style>
  <w:style w:type="character" w:styleId="875" w:customStyle="1">
    <w:name w:val="标题 7 字符"/>
    <w:link w:val="806"/>
    <w:uiPriority w:val="9"/>
    <w:qFormat/>
    <w:rPr>
      <w:rFonts w:ascii="Arial" w:hAnsi="Arial" w:eastAsia="Arial" w:cs="Arial"/>
      <w:b/>
      <w:bCs/>
      <w:i/>
      <w:iCs/>
      <w:sz w:val="22"/>
      <w:szCs w:val="22"/>
    </w:rPr>
  </w:style>
  <w:style w:type="character" w:styleId="876" w:customStyle="1">
    <w:name w:val="标题 8 字符"/>
    <w:link w:val="807"/>
    <w:uiPriority w:val="9"/>
    <w:qFormat/>
    <w:rPr>
      <w:rFonts w:ascii="Arial" w:hAnsi="Arial" w:eastAsia="Arial" w:cs="Arial"/>
      <w:i/>
      <w:iCs/>
      <w:sz w:val="22"/>
      <w:szCs w:val="22"/>
    </w:rPr>
  </w:style>
  <w:style w:type="character" w:styleId="877" w:customStyle="1">
    <w:name w:val="标题 9 字符"/>
    <w:link w:val="808"/>
    <w:uiPriority w:val="9"/>
    <w:qFormat/>
    <w:rPr>
      <w:rFonts w:ascii="Arial" w:hAnsi="Arial" w:eastAsia="Arial" w:cs="Arial"/>
      <w:i/>
      <w:iCs/>
      <w:sz w:val="21"/>
      <w:szCs w:val="21"/>
    </w:rPr>
  </w:style>
  <w:style w:type="character" w:styleId="878" w:customStyle="1">
    <w:name w:val="文档结构图 字符"/>
    <w:link w:val="819"/>
    <w:uiPriority w:val="0"/>
    <w:semiHidden/>
    <w:qFormat/>
    <w:rPr>
      <w:sz w:val="21"/>
      <w:szCs w:val="21"/>
      <w:shd w:val="clear" w:color="auto" w:fill="000080"/>
    </w:rPr>
  </w:style>
  <w:style w:type="character" w:styleId="879" w:customStyle="1">
    <w:name w:val="批注文字 字符"/>
    <w:link w:val="820"/>
    <w:uiPriority w:val="0"/>
    <w:semiHidden/>
    <w:qFormat/>
    <w:rPr>
      <w:sz w:val="21"/>
      <w:szCs w:val="21"/>
    </w:rPr>
  </w:style>
  <w:style w:type="character" w:styleId="880" w:customStyle="1">
    <w:name w:val="正文文本 3 字符"/>
    <w:link w:val="821"/>
    <w:uiPriority w:val="0"/>
    <w:qFormat/>
    <w:rPr>
      <w:rFonts w:ascii="仿宋_GB2312" w:hAnsi="Arial" w:eastAsia="仿宋_GB2312"/>
      <w:sz w:val="32"/>
      <w:szCs w:val="32"/>
    </w:rPr>
  </w:style>
  <w:style w:type="character" w:styleId="881" w:customStyle="1">
    <w:name w:val="正文文本缩进 字符1"/>
    <w:link w:val="823"/>
    <w:uiPriority w:val="0"/>
    <w:qFormat/>
    <w:rPr>
      <w:rFonts w:ascii="仿宋_GB2312" w:hAnsi="Calibri" w:eastAsia="仿宋_GB2312"/>
      <w:sz w:val="32"/>
      <w:szCs w:val="22"/>
    </w:rPr>
  </w:style>
  <w:style w:type="character" w:styleId="882" w:customStyle="1">
    <w:name w:val="纯文本 字符"/>
    <w:link w:val="827"/>
    <w:uiPriority w:val="0"/>
    <w:qFormat/>
    <w:rPr>
      <w:rFonts w:ascii="宋体" w:hAnsi="Courier New" w:cs="Courier New"/>
      <w:sz w:val="21"/>
      <w:szCs w:val="21"/>
    </w:rPr>
  </w:style>
  <w:style w:type="character" w:styleId="883" w:customStyle="1">
    <w:name w:val="日期 字符"/>
    <w:link w:val="829"/>
    <w:uiPriority w:val="0"/>
    <w:qFormat/>
    <w:rPr>
      <w:sz w:val="24"/>
      <w:szCs w:val="24"/>
    </w:rPr>
  </w:style>
  <w:style w:type="character" w:styleId="884" w:customStyle="1">
    <w:name w:val="正文文本缩进 2 字符"/>
    <w:link w:val="830"/>
    <w:uiPriority w:val="0"/>
    <w:qFormat/>
    <w:rPr>
      <w:rFonts w:ascii="Arial" w:hAnsi="Arial" w:eastAsia="仿宋_GB2312" w:cs="Arial"/>
      <w:sz w:val="32"/>
      <w:szCs w:val="32"/>
    </w:rPr>
  </w:style>
  <w:style w:type="character" w:styleId="885" w:customStyle="1">
    <w:name w:val="尾注文本 字符"/>
    <w:link w:val="831"/>
    <w:uiPriority w:val="99"/>
    <w:qFormat/>
    <w:rPr>
      <w:sz w:val="20"/>
    </w:rPr>
  </w:style>
  <w:style w:type="character" w:styleId="886" w:customStyle="1">
    <w:name w:val="批注框文本 字符"/>
    <w:link w:val="832"/>
    <w:uiPriority w:val="0"/>
    <w:qFormat/>
    <w:rPr>
      <w:sz w:val="18"/>
      <w:szCs w:val="18"/>
    </w:rPr>
  </w:style>
  <w:style w:type="character" w:styleId="887" w:customStyle="1">
    <w:name w:val="页脚 字符"/>
    <w:link w:val="833"/>
    <w:uiPriority w:val="99"/>
    <w:qFormat/>
  </w:style>
  <w:style w:type="character" w:styleId="888" w:customStyle="1">
    <w:name w:val="页眉 字符"/>
    <w:link w:val="834"/>
    <w:uiPriority w:val="99"/>
    <w:qFormat/>
    <w:rPr>
      <w:rFonts w:ascii="Calibri" w:hAnsi="Calibri"/>
      <w:sz w:val="18"/>
      <w:szCs w:val="18"/>
    </w:rPr>
  </w:style>
  <w:style w:type="character" w:styleId="889" w:customStyle="1">
    <w:name w:val="副标题 字符"/>
    <w:link w:val="837"/>
    <w:uiPriority w:val="11"/>
    <w:qFormat/>
    <w:rPr>
      <w:sz w:val="24"/>
      <w:szCs w:val="24"/>
    </w:rPr>
  </w:style>
  <w:style w:type="character" w:styleId="890" w:customStyle="1">
    <w:name w:val="脚注文本 字符"/>
    <w:link w:val="839"/>
    <w:uiPriority w:val="99"/>
    <w:qFormat/>
    <w:rPr>
      <w:sz w:val="18"/>
    </w:rPr>
  </w:style>
  <w:style w:type="character" w:styleId="891" w:customStyle="1">
    <w:name w:val="正文文本缩进 3 字符"/>
    <w:link w:val="841"/>
    <w:uiPriority w:val="0"/>
    <w:qFormat/>
    <w:rPr>
      <w:rFonts w:ascii="Arial" w:hAnsi="Arial" w:eastAsia="仿宋_GB2312" w:cs="Arial"/>
      <w:color w:val="ffff00"/>
      <w:sz w:val="32"/>
      <w:szCs w:val="32"/>
    </w:rPr>
  </w:style>
  <w:style w:type="character" w:styleId="892" w:customStyle="1">
    <w:name w:val="正文文本 2 字符"/>
    <w:link w:val="845"/>
    <w:uiPriority w:val="0"/>
    <w:qFormat/>
    <w:rPr>
      <w:rFonts w:ascii="楷体_GB2312" w:eastAsia="楷体_GB2312"/>
      <w:sz w:val="28"/>
      <w:szCs w:val="28"/>
    </w:rPr>
  </w:style>
  <w:style w:type="character" w:styleId="893" w:customStyle="1">
    <w:name w:val="HTML 预设格式 字符"/>
    <w:link w:val="846"/>
    <w:uiPriority w:val="99"/>
    <w:qFormat/>
    <w:rPr>
      <w:rFonts w:ascii="宋体" w:hAnsi="宋体"/>
      <w:sz w:val="24"/>
      <w:szCs w:val="24"/>
    </w:rPr>
  </w:style>
  <w:style w:type="character" w:styleId="894" w:customStyle="1">
    <w:name w:val="标题 字符"/>
    <w:link w:val="849"/>
    <w:uiPriority w:val="10"/>
    <w:qFormat/>
    <w:rPr>
      <w:sz w:val="48"/>
      <w:szCs w:val="48"/>
    </w:rPr>
  </w:style>
  <w:style w:type="character" w:styleId="895" w:customStyle="1">
    <w:name w:val="批注主题 字符"/>
    <w:link w:val="850"/>
    <w:uiPriority w:val="0"/>
    <w:semiHidden/>
    <w:qFormat/>
    <w:rPr>
      <w:b/>
      <w:bCs/>
      <w:sz w:val="21"/>
      <w:szCs w:val="21"/>
    </w:rPr>
  </w:style>
  <w:style w:type="character" w:styleId="896" w:customStyle="1">
    <w:name w:val="正文文本首行缩进 2 字符"/>
    <w:link w:val="851"/>
    <w:uiPriority w:val="0"/>
    <w:qFormat/>
    <w:rPr>
      <w:rFonts w:ascii="宋体" w:hAnsi="宋体" w:eastAsia="仿宋_GB2312"/>
      <w:sz w:val="21"/>
      <w:szCs w:val="22"/>
    </w:rPr>
  </w:style>
  <w:style w:type="paragraph" w:styleId="897" w:customStyle="1">
    <w:name w:val="Normal12"/>
    <w:next w:val="868"/>
    <w:uiPriority w:val="0"/>
    <w:qFormat/>
    <w:pPr>
      <w:jc w:val="both"/>
      <w:widowControl w:val="off"/>
    </w:pPr>
    <w:rPr>
      <w:rFonts w:hint="default" w:ascii="Times New Roman" w:hAnsi="Times New Roman" w:eastAsia="宋体" w:cs="Times New Roman"/>
      <w:szCs w:val="21"/>
    </w:rPr>
  </w:style>
  <w:style w:type="paragraph" w:styleId="898" w:customStyle="1">
    <w:name w:val="正文首行缩进 21"/>
    <w:basedOn w:val="899"/>
    <w:next w:val="799"/>
    <w:uiPriority w:val="0"/>
    <w:qFormat/>
    <w:pPr>
      <w:ind w:firstLine="420"/>
      <w:spacing w:line="360" w:lineRule="auto"/>
    </w:pPr>
    <w:rPr>
      <w:rFonts w:ascii="宋体" w:hAnsi="宋体" w:eastAsia="宋体"/>
      <w:sz w:val="21"/>
      <w:szCs w:val="20"/>
    </w:rPr>
  </w:style>
  <w:style w:type="paragraph" w:styleId="899" w:customStyle="1">
    <w:name w:val="正文文本缩进1"/>
    <w:basedOn w:val="799"/>
    <w:next w:val="900"/>
    <w:uiPriority w:val="0"/>
    <w:qFormat/>
    <w:pPr>
      <w:ind w:firstLine="645"/>
    </w:pPr>
    <w:rPr>
      <w:rFonts w:ascii="楷体_GB2312" w:eastAsia="楷体_GB2312"/>
      <w:sz w:val="32"/>
      <w:szCs w:val="32"/>
    </w:rPr>
  </w:style>
  <w:style w:type="paragraph" w:styleId="900" w:customStyle="1">
    <w:name w:val="寄信人地址1"/>
    <w:basedOn w:val="799"/>
    <w:uiPriority w:val="0"/>
    <w:qFormat/>
    <w:rPr>
      <w:rFonts w:ascii="Arial" w:hAnsi="Arial"/>
    </w:rPr>
  </w:style>
  <w:style w:type="paragraph" w:styleId="901" w:customStyle="1">
    <w:name w:val="标题 41"/>
    <w:basedOn w:val="902"/>
    <w:next w:val="799"/>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02" w:customStyle="1">
    <w:name w:val="Normal_20"/>
    <w:basedOn w:val="903"/>
    <w:uiPriority w:val="0"/>
    <w:qFormat/>
    <w:rPr>
      <w:rFonts w:hint="default" w:ascii="黑体" w:hAnsi="黑体" w:eastAsia="黑体" w:cs="黑体"/>
      <w:b/>
      <w:sz w:val="32"/>
      <w:szCs w:val="24"/>
    </w:rPr>
  </w:style>
  <w:style w:type="paragraph" w:styleId="903" w:customStyle="1">
    <w:name w:val="Normal_21"/>
    <w:basedOn w:val="904"/>
    <w:next w:val="905"/>
    <w:uiPriority w:val="0"/>
    <w:qFormat/>
    <w:rPr>
      <w:rFonts w:ascii="Times New Roman" w:hAnsi="Times New Roman"/>
      <w:szCs w:val="24"/>
    </w:rPr>
  </w:style>
  <w:style w:type="paragraph" w:styleId="904" w:customStyle="1">
    <w:name w:val="正文_16"/>
    <w:uiPriority w:val="0"/>
    <w:qFormat/>
    <w:pPr>
      <w:jc w:val="both"/>
      <w:widowControl w:val="off"/>
    </w:pPr>
    <w:rPr>
      <w:rFonts w:hint="default" w:ascii="Calibri" w:hAnsi="Calibri" w:eastAsia="宋体" w:cs="Times New Roman"/>
      <w:sz w:val="21"/>
      <w:szCs w:val="22"/>
    </w:rPr>
  </w:style>
  <w:style w:type="paragraph" w:styleId="905" w:customStyle="1">
    <w:name w:val="Heading 1_0"/>
    <w:basedOn w:val="906"/>
    <w:next w:val="903"/>
    <w:uiPriority w:val="0"/>
    <w:qFormat/>
    <w:pPr>
      <w:jc w:val="center"/>
      <w:keepLines/>
      <w:keepNext/>
      <w:spacing w:before="240" w:after="120" w:line="300" w:lineRule="auto"/>
      <w:outlineLvl w:val="0"/>
    </w:pPr>
    <w:rPr>
      <w:rFonts w:ascii="宋体"/>
      <w:b/>
      <w:sz w:val="32"/>
      <w:szCs w:val="20"/>
    </w:rPr>
  </w:style>
  <w:style w:type="paragraph" w:styleId="906" w:customStyle="1">
    <w:name w:val="Normal_21_0"/>
    <w:next w:val="903"/>
    <w:uiPriority w:val="0"/>
    <w:qFormat/>
    <w:pPr>
      <w:jc w:val="both"/>
      <w:widowControl w:val="off"/>
    </w:pPr>
    <w:rPr>
      <w:rFonts w:hint="default" w:ascii="Times New Roman" w:hAnsi="Times New Roman" w:eastAsia="宋体" w:cs="Times New Roman"/>
      <w:sz w:val="21"/>
      <w:szCs w:val="24"/>
    </w:rPr>
  </w:style>
  <w:style w:type="paragraph" w:styleId="907" w:customStyle="1">
    <w:name w:val="Body Text First Indent_2"/>
    <w:basedOn w:val="902"/>
    <w:uiPriority w:val="0"/>
    <w:qFormat/>
    <w:pPr>
      <w:ind w:firstLine="100"/>
      <w:spacing w:after="120"/>
    </w:pPr>
  </w:style>
  <w:style w:type="paragraph" w:styleId="908" w:customStyle="1">
    <w:name w:val="脚注文本1"/>
    <w:basedOn w:val="799"/>
    <w:uiPriority w:val="0"/>
    <w:qFormat/>
    <w:pPr>
      <w:jc w:val="left"/>
    </w:pPr>
    <w:rPr>
      <w:rFonts w:eastAsia="Times New Roman"/>
      <w:sz w:val="18"/>
      <w:szCs w:val="24"/>
    </w:rPr>
  </w:style>
  <w:style w:type="table" w:styleId="909" w:customStyle="1">
    <w:name w:val="Plain Table 1"/>
    <w:basedOn w:val="810"/>
    <w:uiPriority w:val="59"/>
    <w:qFormat/>
    <w:rPr>
      <w:rFonts w:ascii="Calibri" w:hAnsi="Calibri"/>
    </w:rPr>
    <w:tblPr/>
  </w:style>
  <w:style w:type="table" w:styleId="910" w:customStyle="1">
    <w:name w:val="Plain Table 2"/>
    <w:basedOn w:val="810"/>
    <w:uiPriority w:val="59"/>
    <w:qFormat/>
    <w:rPr>
      <w:rFonts w:ascii="Calibri" w:hAnsi="Calibri"/>
    </w:rPr>
    <w:tblPr/>
  </w:style>
  <w:style w:type="table" w:styleId="911" w:customStyle="1">
    <w:name w:val="Plain Table 3"/>
    <w:basedOn w:val="810"/>
    <w:uiPriority w:val="99"/>
    <w:qFormat/>
    <w:rPr>
      <w:rFonts w:ascii="Calibri" w:hAnsi="Calibri"/>
    </w:rPr>
    <w:tblPr/>
  </w:style>
  <w:style w:type="table" w:styleId="912" w:customStyle="1">
    <w:name w:val="Plain Table 4"/>
    <w:basedOn w:val="810"/>
    <w:uiPriority w:val="99"/>
    <w:qFormat/>
    <w:rPr>
      <w:rFonts w:ascii="Calibri" w:hAnsi="Calibri"/>
    </w:rPr>
    <w:tblPr/>
  </w:style>
  <w:style w:type="table" w:styleId="913" w:customStyle="1">
    <w:name w:val="Plain Table 5"/>
    <w:basedOn w:val="810"/>
    <w:uiPriority w:val="99"/>
    <w:qFormat/>
    <w:rPr>
      <w:rFonts w:ascii="Calibri" w:hAnsi="Calibri"/>
    </w:rPr>
    <w:tblPr/>
  </w:style>
  <w:style w:type="table" w:styleId="914" w:customStyle="1">
    <w:name w:val="Grid Table 1 Light"/>
    <w:basedOn w:val="810"/>
    <w:uiPriority w:val="99"/>
    <w:qFormat/>
    <w:rPr>
      <w:rFonts w:ascii="Calibri" w:hAnsi="Calibri"/>
    </w:rPr>
    <w:tblPr/>
  </w:style>
  <w:style w:type="table" w:styleId="915" w:customStyle="1">
    <w:name w:val="Grid Table 2"/>
    <w:basedOn w:val="810"/>
    <w:uiPriority w:val="99"/>
    <w:qFormat/>
    <w:rPr>
      <w:rFonts w:ascii="Calibri" w:hAnsi="Calibri"/>
    </w:rPr>
    <w:tblPr/>
  </w:style>
  <w:style w:type="table" w:styleId="916" w:customStyle="1">
    <w:name w:val="Grid Table 3"/>
    <w:basedOn w:val="810"/>
    <w:uiPriority w:val="99"/>
    <w:qFormat/>
    <w:rPr>
      <w:rFonts w:ascii="Calibri" w:hAnsi="Calibri"/>
    </w:rPr>
    <w:tblPr/>
  </w:style>
  <w:style w:type="table" w:styleId="917" w:customStyle="1">
    <w:name w:val="Grid Table 4"/>
    <w:basedOn w:val="810"/>
    <w:uiPriority w:val="59"/>
    <w:qFormat/>
    <w:rPr>
      <w:rFonts w:ascii="Calibri" w:hAnsi="Calibri"/>
    </w:rPr>
    <w:tblPr/>
  </w:style>
  <w:style w:type="table" w:styleId="918" w:customStyle="1">
    <w:name w:val="Grid Table 5 Dark"/>
    <w:basedOn w:val="810"/>
    <w:uiPriority w:val="99"/>
    <w:qFormat/>
    <w:rPr>
      <w:rFonts w:ascii="Calibri" w:hAnsi="Calibri"/>
    </w:rPr>
    <w:tblPr/>
  </w:style>
  <w:style w:type="table" w:styleId="919" w:customStyle="1">
    <w:name w:val="Grid Table 6 Colorful"/>
    <w:basedOn w:val="810"/>
    <w:uiPriority w:val="99"/>
    <w:qFormat/>
    <w:rPr>
      <w:rFonts w:ascii="Calibri" w:hAnsi="Calibri"/>
    </w:rPr>
    <w:tblPr/>
  </w:style>
  <w:style w:type="table" w:styleId="920" w:customStyle="1">
    <w:name w:val="Grid Table 7 Colorful"/>
    <w:basedOn w:val="810"/>
    <w:uiPriority w:val="99"/>
    <w:qFormat/>
    <w:rPr>
      <w:rFonts w:ascii="Calibri" w:hAnsi="Calibri"/>
    </w:rPr>
    <w:tblPr/>
  </w:style>
  <w:style w:type="table" w:styleId="921" w:customStyle="1">
    <w:name w:val="List Table 1 Light"/>
    <w:basedOn w:val="810"/>
    <w:uiPriority w:val="99"/>
    <w:qFormat/>
    <w:rPr>
      <w:rFonts w:ascii="Calibri" w:hAnsi="Calibri"/>
    </w:rPr>
    <w:tblPr/>
  </w:style>
  <w:style w:type="table" w:styleId="922" w:customStyle="1">
    <w:name w:val="List Table 2"/>
    <w:basedOn w:val="810"/>
    <w:uiPriority w:val="99"/>
    <w:qFormat/>
    <w:rPr>
      <w:rFonts w:ascii="Calibri" w:hAnsi="Calibri"/>
    </w:rPr>
    <w:tblPr/>
  </w:style>
  <w:style w:type="table" w:styleId="923" w:customStyle="1">
    <w:name w:val="List Table 3"/>
    <w:basedOn w:val="810"/>
    <w:uiPriority w:val="99"/>
    <w:qFormat/>
    <w:rPr>
      <w:rFonts w:ascii="Calibri" w:hAnsi="Calibri"/>
    </w:rPr>
    <w:tblPr/>
  </w:style>
  <w:style w:type="table" w:styleId="924" w:customStyle="1">
    <w:name w:val="List Table 4"/>
    <w:basedOn w:val="810"/>
    <w:uiPriority w:val="99"/>
    <w:qFormat/>
    <w:rPr>
      <w:rFonts w:ascii="Calibri" w:hAnsi="Calibri"/>
    </w:rPr>
    <w:tblPr/>
  </w:style>
  <w:style w:type="table" w:styleId="925" w:customStyle="1">
    <w:name w:val="List Table 5 Dark"/>
    <w:basedOn w:val="810"/>
    <w:uiPriority w:val="99"/>
    <w:qFormat/>
    <w:rPr>
      <w:rFonts w:ascii="Calibri" w:hAnsi="Calibri"/>
    </w:rPr>
    <w:tblPr/>
  </w:style>
  <w:style w:type="table" w:styleId="926" w:customStyle="1">
    <w:name w:val="List Table 6 Colorful"/>
    <w:basedOn w:val="810"/>
    <w:uiPriority w:val="99"/>
    <w:qFormat/>
    <w:rPr>
      <w:rFonts w:ascii="Calibri" w:hAnsi="Calibri"/>
    </w:rPr>
    <w:tblPr/>
  </w:style>
  <w:style w:type="table" w:styleId="927" w:customStyle="1">
    <w:name w:val="List Table 7 Colorful"/>
    <w:basedOn w:val="810"/>
    <w:uiPriority w:val="99"/>
    <w:qFormat/>
    <w:rPr>
      <w:rFonts w:ascii="Calibri" w:hAnsi="Calibri"/>
    </w:rPr>
    <w:tblPr/>
  </w:style>
  <w:style w:type="paragraph" w:styleId="928" w:customStyle="1">
    <w:name w:val="TOC Heading"/>
    <w:uiPriority w:val="39"/>
    <w:qFormat/>
    <w:rPr>
      <w:rFonts w:hint="default" w:ascii="Calibri" w:hAnsi="Calibri" w:eastAsia="宋体" w:cs="Times New Roman"/>
    </w:rPr>
  </w:style>
  <w:style w:type="table" w:styleId="929" w:customStyle="1">
    <w:name w:val="无格式表格 11"/>
    <w:basedOn w:val="810"/>
    <w:uiPriority w:val="59"/>
    <w:qFormat/>
    <w:tblPr/>
  </w:style>
  <w:style w:type="table" w:styleId="930" w:customStyle="1">
    <w:name w:val="无格式表格 21"/>
    <w:basedOn w:val="810"/>
    <w:uiPriority w:val="59"/>
    <w:qFormat/>
    <w:tblPr/>
  </w:style>
  <w:style w:type="table" w:styleId="931" w:customStyle="1">
    <w:name w:val="无格式表格 31"/>
    <w:basedOn w:val="810"/>
    <w:uiPriority w:val="99"/>
    <w:qFormat/>
    <w:tblPr/>
  </w:style>
  <w:style w:type="table" w:styleId="932" w:customStyle="1">
    <w:name w:val="无格式表格 41"/>
    <w:basedOn w:val="810"/>
    <w:uiPriority w:val="99"/>
    <w:qFormat/>
    <w:tblPr/>
  </w:style>
  <w:style w:type="table" w:styleId="933" w:customStyle="1">
    <w:name w:val="无格式表格 51"/>
    <w:basedOn w:val="810"/>
    <w:uiPriority w:val="99"/>
    <w:qFormat/>
    <w:tblPr/>
  </w:style>
  <w:style w:type="table" w:styleId="934" w:customStyle="1">
    <w:name w:val="网格表 1 浅色1"/>
    <w:basedOn w:val="810"/>
    <w:uiPriority w:val="99"/>
    <w:qFormat/>
    <w:tblPr/>
  </w:style>
  <w:style w:type="table" w:styleId="935" w:customStyle="1">
    <w:name w:val="网格表 21"/>
    <w:basedOn w:val="810"/>
    <w:uiPriority w:val="99"/>
    <w:qFormat/>
    <w:tblPr/>
  </w:style>
  <w:style w:type="table" w:styleId="936" w:customStyle="1">
    <w:name w:val="网格表 31"/>
    <w:basedOn w:val="810"/>
    <w:uiPriority w:val="99"/>
    <w:qFormat/>
    <w:tblPr/>
  </w:style>
  <w:style w:type="table" w:styleId="937" w:customStyle="1">
    <w:name w:val="网格表 41"/>
    <w:basedOn w:val="810"/>
    <w:uiPriority w:val="59"/>
    <w:qFormat/>
    <w:tblPr/>
  </w:style>
  <w:style w:type="table" w:styleId="938" w:customStyle="1">
    <w:name w:val="网格表 5 深色1"/>
    <w:basedOn w:val="810"/>
    <w:uiPriority w:val="99"/>
    <w:qFormat/>
    <w:tblPr/>
  </w:style>
  <w:style w:type="table" w:styleId="939" w:customStyle="1">
    <w:name w:val="网格表 6 彩色1"/>
    <w:basedOn w:val="810"/>
    <w:uiPriority w:val="99"/>
    <w:qFormat/>
    <w:tblPr/>
  </w:style>
  <w:style w:type="table" w:styleId="940" w:customStyle="1">
    <w:name w:val="网格表 7 彩色1"/>
    <w:basedOn w:val="810"/>
    <w:uiPriority w:val="99"/>
    <w:qFormat/>
    <w:tblPr/>
  </w:style>
  <w:style w:type="table" w:styleId="941" w:customStyle="1">
    <w:name w:val="清单表 1 浅色1"/>
    <w:basedOn w:val="810"/>
    <w:uiPriority w:val="99"/>
    <w:qFormat/>
    <w:tblPr/>
  </w:style>
  <w:style w:type="table" w:styleId="942" w:customStyle="1">
    <w:name w:val="清单表 21"/>
    <w:basedOn w:val="810"/>
    <w:uiPriority w:val="99"/>
    <w:qFormat/>
    <w:tblPr/>
  </w:style>
  <w:style w:type="table" w:styleId="943" w:customStyle="1">
    <w:name w:val="清单表 31"/>
    <w:basedOn w:val="810"/>
    <w:uiPriority w:val="99"/>
    <w:qFormat/>
    <w:tblPr/>
  </w:style>
  <w:style w:type="table" w:styleId="944" w:customStyle="1">
    <w:name w:val="清单表 41"/>
    <w:basedOn w:val="810"/>
    <w:uiPriority w:val="99"/>
    <w:qFormat/>
    <w:tblPr/>
  </w:style>
  <w:style w:type="table" w:styleId="945" w:customStyle="1">
    <w:name w:val="清单表 5 深色1"/>
    <w:basedOn w:val="810"/>
    <w:uiPriority w:val="99"/>
    <w:qFormat/>
    <w:tblPr/>
  </w:style>
  <w:style w:type="table" w:styleId="946" w:customStyle="1">
    <w:name w:val="清单表 6 彩色1"/>
    <w:basedOn w:val="810"/>
    <w:uiPriority w:val="99"/>
    <w:qFormat/>
    <w:tblPr/>
  </w:style>
  <w:style w:type="table" w:styleId="947" w:customStyle="1">
    <w:name w:val="清单表 7 彩色1"/>
    <w:basedOn w:val="810"/>
    <w:uiPriority w:val="99"/>
    <w:qFormat/>
    <w:tblPr/>
  </w:style>
  <w:style w:type="paragraph" w:styleId="948" w:customStyle="1">
    <w:name w:val="TOC 标题1"/>
    <w:uiPriority w:val="39"/>
    <w:unhideWhenUsed/>
    <w:qFormat/>
    <w:rPr>
      <w:rFonts w:hint="default" w:ascii="Times New Roman" w:hAnsi="Times New Roman" w:eastAsia="宋体" w:cs="Times New Roman"/>
    </w:rPr>
  </w:style>
  <w:style w:type="paragraph" w:styleId="949" w:customStyle="1">
    <w:name w:val="正文_17"/>
    <w:next w:val="813"/>
    <w:uiPriority w:val="0"/>
    <w:qFormat/>
    <w:pPr>
      <w:jc w:val="both"/>
      <w:widowControl w:val="off"/>
    </w:pPr>
    <w:rPr>
      <w:rFonts w:hint="default" w:ascii="Times New Roman" w:hAnsi="Times New Roman" w:eastAsia="宋体" w:cs="Times New Roman"/>
      <w:sz w:val="21"/>
      <w:szCs w:val="22"/>
    </w:rPr>
  </w:style>
  <w:style w:type="paragraph" w:styleId="950" w:customStyle="1">
    <w:name w:val="标题 4_1"/>
    <w:basedOn w:val="949"/>
    <w:next w:val="949"/>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1" w:customStyle="1">
    <w:name w:val="Heading 1 Char"/>
    <w:uiPriority w:val="9"/>
    <w:qFormat/>
    <w:rPr>
      <w:rFonts w:ascii="Arial" w:hAnsi="Arial" w:eastAsia="Arial" w:cs="Arial"/>
      <w:sz w:val="40"/>
      <w:szCs w:val="40"/>
    </w:rPr>
  </w:style>
  <w:style w:type="character" w:styleId="952" w:customStyle="1">
    <w:name w:val="Heading 2 Char"/>
    <w:uiPriority w:val="9"/>
    <w:qFormat/>
    <w:rPr>
      <w:rFonts w:ascii="Arial" w:hAnsi="Arial" w:eastAsia="Arial" w:cs="Arial"/>
      <w:sz w:val="34"/>
    </w:rPr>
  </w:style>
  <w:style w:type="character" w:styleId="953" w:customStyle="1">
    <w:name w:val="Heading 3 Char"/>
    <w:uiPriority w:val="9"/>
    <w:qFormat/>
    <w:rPr>
      <w:rFonts w:ascii="Arial" w:hAnsi="Arial" w:eastAsia="Arial" w:cs="Arial"/>
      <w:sz w:val="30"/>
      <w:szCs w:val="30"/>
    </w:rPr>
  </w:style>
  <w:style w:type="character" w:styleId="954" w:customStyle="1">
    <w:name w:val="Heading 4 Char"/>
    <w:uiPriority w:val="9"/>
    <w:qFormat/>
    <w:rPr>
      <w:rFonts w:ascii="Arial" w:hAnsi="Arial" w:eastAsia="Arial" w:cs="Arial"/>
      <w:b/>
      <w:bCs/>
      <w:sz w:val="26"/>
      <w:szCs w:val="26"/>
    </w:rPr>
  </w:style>
  <w:style w:type="character" w:styleId="955" w:customStyle="1">
    <w:name w:val="Heading 5 Char"/>
    <w:uiPriority w:val="9"/>
    <w:qFormat/>
    <w:rPr>
      <w:rFonts w:ascii="Arial" w:hAnsi="Arial" w:eastAsia="Arial" w:cs="Arial"/>
      <w:b/>
      <w:bCs/>
      <w:sz w:val="24"/>
      <w:szCs w:val="24"/>
    </w:rPr>
  </w:style>
  <w:style w:type="character" w:styleId="956" w:customStyle="1">
    <w:name w:val="Heading 6 Char"/>
    <w:uiPriority w:val="9"/>
    <w:qFormat/>
    <w:rPr>
      <w:rFonts w:ascii="Arial" w:hAnsi="Arial" w:eastAsia="Arial" w:cs="Arial"/>
      <w:b/>
      <w:bCs/>
      <w:sz w:val="22"/>
      <w:szCs w:val="22"/>
    </w:rPr>
  </w:style>
  <w:style w:type="character" w:styleId="957" w:customStyle="1">
    <w:name w:val="Heading 7 Char"/>
    <w:uiPriority w:val="9"/>
    <w:qFormat/>
    <w:rPr>
      <w:rFonts w:ascii="Arial" w:hAnsi="Arial" w:eastAsia="Arial" w:cs="Arial"/>
      <w:b/>
      <w:bCs/>
      <w:i/>
      <w:iCs/>
      <w:sz w:val="22"/>
      <w:szCs w:val="22"/>
    </w:rPr>
  </w:style>
  <w:style w:type="character" w:styleId="958" w:customStyle="1">
    <w:name w:val="Heading 8 Char"/>
    <w:uiPriority w:val="9"/>
    <w:qFormat/>
    <w:rPr>
      <w:rFonts w:ascii="Arial" w:hAnsi="Arial" w:eastAsia="Arial" w:cs="Arial"/>
      <w:i/>
      <w:iCs/>
      <w:sz w:val="22"/>
      <w:szCs w:val="22"/>
    </w:rPr>
  </w:style>
  <w:style w:type="character" w:styleId="959" w:customStyle="1">
    <w:name w:val="Heading 9 Char"/>
    <w:uiPriority w:val="9"/>
    <w:qFormat/>
    <w:rPr>
      <w:rFonts w:ascii="Arial" w:hAnsi="Arial" w:eastAsia="Arial" w:cs="Arial"/>
      <w:i/>
      <w:iCs/>
      <w:sz w:val="21"/>
      <w:szCs w:val="21"/>
    </w:rPr>
  </w:style>
  <w:style w:type="character" w:styleId="960" w:customStyle="1">
    <w:name w:val="Title Char"/>
    <w:uiPriority w:val="10"/>
    <w:qFormat/>
    <w:rPr>
      <w:sz w:val="48"/>
      <w:szCs w:val="48"/>
    </w:rPr>
  </w:style>
  <w:style w:type="character" w:styleId="961" w:customStyle="1">
    <w:name w:val="Subtitle Char"/>
    <w:uiPriority w:val="11"/>
    <w:qFormat/>
    <w:rPr>
      <w:sz w:val="24"/>
      <w:szCs w:val="24"/>
    </w:rPr>
  </w:style>
  <w:style w:type="character" w:styleId="962" w:customStyle="1">
    <w:name w:val="Quote Char"/>
    <w:uiPriority w:val="29"/>
    <w:qFormat/>
    <w:rPr>
      <w:i/>
    </w:rPr>
  </w:style>
  <w:style w:type="character" w:styleId="963" w:customStyle="1">
    <w:name w:val="Intense Quote Char"/>
    <w:uiPriority w:val="30"/>
    <w:qFormat/>
    <w:rPr>
      <w:i/>
    </w:rPr>
  </w:style>
  <w:style w:type="character" w:styleId="964" w:customStyle="1">
    <w:name w:val="Caption Char"/>
    <w:uiPriority w:val="99"/>
    <w:qFormat/>
  </w:style>
  <w:style w:type="character" w:styleId="965" w:customStyle="1">
    <w:name w:val="Footnote Text Char"/>
    <w:uiPriority w:val="99"/>
    <w:qFormat/>
    <w:rPr>
      <w:sz w:val="18"/>
    </w:rPr>
  </w:style>
  <w:style w:type="character" w:styleId="966" w:customStyle="1">
    <w:name w:val="Endnote Text Char"/>
    <w:uiPriority w:val="99"/>
    <w:qFormat/>
    <w:rPr>
      <w:sz w:val="20"/>
    </w:rPr>
  </w:style>
  <w:style w:type="character" w:styleId="967" w:customStyle="1">
    <w:name w:val="引用 字符"/>
    <w:link w:val="862"/>
    <w:uiPriority w:val="29"/>
    <w:qFormat/>
    <w:rPr>
      <w:i/>
    </w:rPr>
  </w:style>
  <w:style w:type="character" w:styleId="968" w:customStyle="1">
    <w:name w:val="明显引用 字符"/>
    <w:link w:val="863"/>
    <w:uiPriority w:val="30"/>
    <w:qFormat/>
    <w:rPr>
      <w:i/>
    </w:rPr>
  </w:style>
  <w:style w:type="character" w:styleId="969" w:customStyle="1">
    <w:name w:val="Header Char"/>
    <w:uiPriority w:val="99"/>
    <w:qFormat/>
  </w:style>
  <w:style w:type="character" w:styleId="970" w:customStyle="1">
    <w:name w:val="Footer Char"/>
    <w:uiPriority w:val="99"/>
    <w:qFormat/>
  </w:style>
  <w:style w:type="table" w:styleId="971" w:customStyle="1">
    <w:name w:val="Table Grid Light"/>
    <w:basedOn w:val="810"/>
    <w:uiPriority w:val="59"/>
    <w:qFormat/>
    <w:tblPr/>
  </w:style>
  <w:style w:type="table" w:styleId="972" w:customStyle="1">
    <w:name w:val="Grid Table 1 Light - Accent 1"/>
    <w:basedOn w:val="810"/>
    <w:uiPriority w:val="99"/>
    <w:qFormat/>
    <w:tblPr/>
  </w:style>
  <w:style w:type="table" w:styleId="973" w:customStyle="1">
    <w:name w:val="Grid Table 1 Light - Accent 2"/>
    <w:basedOn w:val="810"/>
    <w:uiPriority w:val="99"/>
    <w:qFormat/>
    <w:tblPr/>
  </w:style>
  <w:style w:type="table" w:styleId="974" w:customStyle="1">
    <w:name w:val="Grid Table 1 Light - Accent 3"/>
    <w:basedOn w:val="810"/>
    <w:uiPriority w:val="99"/>
    <w:qFormat/>
    <w:tblPr/>
  </w:style>
  <w:style w:type="table" w:styleId="975" w:customStyle="1">
    <w:name w:val="Grid Table 1 Light - Accent 4"/>
    <w:basedOn w:val="810"/>
    <w:uiPriority w:val="99"/>
    <w:qFormat/>
    <w:tblPr/>
  </w:style>
  <w:style w:type="table" w:styleId="976" w:customStyle="1">
    <w:name w:val="Grid Table 1 Light - Accent 5"/>
    <w:basedOn w:val="810"/>
    <w:uiPriority w:val="99"/>
    <w:qFormat/>
    <w:tblPr/>
  </w:style>
  <w:style w:type="table" w:styleId="977" w:customStyle="1">
    <w:name w:val="Grid Table 1 Light - Accent 6"/>
    <w:basedOn w:val="810"/>
    <w:uiPriority w:val="99"/>
    <w:qFormat/>
    <w:tblPr/>
  </w:style>
  <w:style w:type="table" w:styleId="978" w:customStyle="1">
    <w:name w:val="Grid Table 2 - Accent 1"/>
    <w:basedOn w:val="810"/>
    <w:uiPriority w:val="99"/>
    <w:qFormat/>
    <w:tblPr/>
  </w:style>
  <w:style w:type="table" w:styleId="979" w:customStyle="1">
    <w:name w:val="Grid Table 2 - Accent 2"/>
    <w:basedOn w:val="810"/>
    <w:uiPriority w:val="99"/>
    <w:qFormat/>
    <w:tblPr/>
  </w:style>
  <w:style w:type="table" w:styleId="980" w:customStyle="1">
    <w:name w:val="Grid Table 2 - Accent 3"/>
    <w:basedOn w:val="810"/>
    <w:uiPriority w:val="99"/>
    <w:qFormat/>
    <w:tblPr/>
  </w:style>
  <w:style w:type="table" w:styleId="981" w:customStyle="1">
    <w:name w:val="Grid Table 2 - Accent 4"/>
    <w:basedOn w:val="810"/>
    <w:uiPriority w:val="99"/>
    <w:qFormat/>
    <w:tblPr/>
  </w:style>
  <w:style w:type="table" w:styleId="982" w:customStyle="1">
    <w:name w:val="Grid Table 2 - Accent 5"/>
    <w:basedOn w:val="810"/>
    <w:uiPriority w:val="99"/>
    <w:qFormat/>
    <w:tblPr/>
  </w:style>
  <w:style w:type="table" w:styleId="983" w:customStyle="1">
    <w:name w:val="Grid Table 2 - Accent 6"/>
    <w:basedOn w:val="810"/>
    <w:uiPriority w:val="99"/>
    <w:qFormat/>
    <w:tblPr/>
  </w:style>
  <w:style w:type="table" w:styleId="984" w:customStyle="1">
    <w:name w:val="Grid Table 3 - Accent 1"/>
    <w:basedOn w:val="810"/>
    <w:uiPriority w:val="99"/>
    <w:qFormat/>
    <w:tblPr/>
  </w:style>
  <w:style w:type="table" w:styleId="985" w:customStyle="1">
    <w:name w:val="Grid Table 3 - Accent 2"/>
    <w:basedOn w:val="810"/>
    <w:uiPriority w:val="99"/>
    <w:qFormat/>
    <w:tblPr/>
  </w:style>
  <w:style w:type="table" w:styleId="986" w:customStyle="1">
    <w:name w:val="Grid Table 3 - Accent 3"/>
    <w:basedOn w:val="810"/>
    <w:uiPriority w:val="99"/>
    <w:qFormat/>
    <w:tblPr/>
  </w:style>
  <w:style w:type="table" w:styleId="987" w:customStyle="1">
    <w:name w:val="Grid Table 3 - Accent 4"/>
    <w:basedOn w:val="810"/>
    <w:uiPriority w:val="99"/>
    <w:qFormat/>
    <w:tblPr/>
  </w:style>
  <w:style w:type="table" w:styleId="988" w:customStyle="1">
    <w:name w:val="Grid Table 3 - Accent 5"/>
    <w:basedOn w:val="810"/>
    <w:uiPriority w:val="99"/>
    <w:qFormat/>
    <w:tblPr/>
  </w:style>
  <w:style w:type="table" w:styleId="989" w:customStyle="1">
    <w:name w:val="Grid Table 3 - Accent 6"/>
    <w:basedOn w:val="810"/>
    <w:uiPriority w:val="99"/>
    <w:qFormat/>
    <w:tblPr/>
  </w:style>
  <w:style w:type="table" w:styleId="990" w:customStyle="1">
    <w:name w:val="Grid Table 4 - Accent 1"/>
    <w:basedOn w:val="810"/>
    <w:uiPriority w:val="59"/>
    <w:qFormat/>
    <w:tblPr/>
  </w:style>
  <w:style w:type="table" w:styleId="991" w:customStyle="1">
    <w:name w:val="Grid Table 4 - Accent 2"/>
    <w:basedOn w:val="810"/>
    <w:uiPriority w:val="59"/>
    <w:qFormat/>
    <w:tblPr/>
  </w:style>
  <w:style w:type="table" w:styleId="992" w:customStyle="1">
    <w:name w:val="Grid Table 4 - Accent 3"/>
    <w:basedOn w:val="810"/>
    <w:uiPriority w:val="59"/>
    <w:qFormat/>
    <w:tblPr/>
  </w:style>
  <w:style w:type="table" w:styleId="993" w:customStyle="1">
    <w:name w:val="Grid Table 4 - Accent 4"/>
    <w:basedOn w:val="810"/>
    <w:uiPriority w:val="59"/>
    <w:qFormat/>
    <w:tblPr/>
  </w:style>
  <w:style w:type="table" w:styleId="994" w:customStyle="1">
    <w:name w:val="Grid Table 4 - Accent 5"/>
    <w:basedOn w:val="810"/>
    <w:uiPriority w:val="59"/>
    <w:qFormat/>
    <w:tblPr/>
  </w:style>
  <w:style w:type="table" w:styleId="995" w:customStyle="1">
    <w:name w:val="Grid Table 4 - Accent 6"/>
    <w:basedOn w:val="810"/>
    <w:uiPriority w:val="59"/>
    <w:qFormat/>
    <w:tblPr/>
  </w:style>
  <w:style w:type="table" w:styleId="996" w:customStyle="1">
    <w:name w:val="Grid Table 5 Dark- Accent 1"/>
    <w:basedOn w:val="810"/>
    <w:uiPriority w:val="99"/>
    <w:qFormat/>
    <w:tblPr/>
  </w:style>
  <w:style w:type="table" w:styleId="997" w:customStyle="1">
    <w:name w:val="Grid Table 5 Dark - Accent 2"/>
    <w:basedOn w:val="810"/>
    <w:uiPriority w:val="99"/>
    <w:qFormat/>
    <w:tblPr/>
  </w:style>
  <w:style w:type="table" w:styleId="998" w:customStyle="1">
    <w:name w:val="Grid Table 5 Dark - Accent 3"/>
    <w:basedOn w:val="810"/>
    <w:uiPriority w:val="99"/>
    <w:qFormat/>
    <w:tblPr/>
  </w:style>
  <w:style w:type="table" w:styleId="999" w:customStyle="1">
    <w:name w:val="Grid Table 5 Dark- Accent 4"/>
    <w:basedOn w:val="810"/>
    <w:uiPriority w:val="99"/>
    <w:qFormat/>
    <w:tblPr/>
  </w:style>
  <w:style w:type="table" w:styleId="1000" w:customStyle="1">
    <w:name w:val="Grid Table 5 Dark - Accent 5"/>
    <w:basedOn w:val="810"/>
    <w:uiPriority w:val="99"/>
    <w:qFormat/>
    <w:tblPr/>
  </w:style>
  <w:style w:type="table" w:styleId="1001" w:customStyle="1">
    <w:name w:val="Grid Table 5 Dark - Accent 6"/>
    <w:basedOn w:val="810"/>
    <w:uiPriority w:val="99"/>
    <w:qFormat/>
    <w:tblPr/>
  </w:style>
  <w:style w:type="table" w:styleId="1002" w:customStyle="1">
    <w:name w:val="Grid Table 6 Colorful - Accent 1"/>
    <w:basedOn w:val="810"/>
    <w:uiPriority w:val="99"/>
    <w:qFormat/>
    <w:tblPr/>
  </w:style>
  <w:style w:type="table" w:styleId="1003" w:customStyle="1">
    <w:name w:val="Grid Table 6 Colorful - Accent 2"/>
    <w:basedOn w:val="810"/>
    <w:uiPriority w:val="99"/>
    <w:qFormat/>
    <w:tblPr/>
  </w:style>
  <w:style w:type="table" w:styleId="1004" w:customStyle="1">
    <w:name w:val="Grid Table 6 Colorful - Accent 3"/>
    <w:basedOn w:val="810"/>
    <w:uiPriority w:val="99"/>
    <w:qFormat/>
    <w:tblPr/>
  </w:style>
  <w:style w:type="table" w:styleId="1005" w:customStyle="1">
    <w:name w:val="Grid Table 6 Colorful - Accent 4"/>
    <w:basedOn w:val="810"/>
    <w:uiPriority w:val="99"/>
    <w:qFormat/>
    <w:tblPr/>
  </w:style>
  <w:style w:type="table" w:styleId="1006" w:customStyle="1">
    <w:name w:val="Grid Table 6 Colorful - Accent 5"/>
    <w:basedOn w:val="810"/>
    <w:uiPriority w:val="99"/>
    <w:qFormat/>
    <w:tblPr/>
  </w:style>
  <w:style w:type="table" w:styleId="1007" w:customStyle="1">
    <w:name w:val="Grid Table 6 Colorful - Accent 6"/>
    <w:basedOn w:val="810"/>
    <w:uiPriority w:val="99"/>
    <w:qFormat/>
    <w:tblPr/>
  </w:style>
  <w:style w:type="table" w:styleId="1008" w:customStyle="1">
    <w:name w:val="Grid Table 7 Colorful - Accent 1"/>
    <w:basedOn w:val="810"/>
    <w:uiPriority w:val="99"/>
    <w:qFormat/>
    <w:tblPr/>
  </w:style>
  <w:style w:type="table" w:styleId="1009" w:customStyle="1">
    <w:name w:val="Grid Table 7 Colorful - Accent 2"/>
    <w:basedOn w:val="810"/>
    <w:uiPriority w:val="99"/>
    <w:qFormat/>
    <w:tblPr/>
  </w:style>
  <w:style w:type="table" w:styleId="1010" w:customStyle="1">
    <w:name w:val="Grid Table 7 Colorful - Accent 3"/>
    <w:basedOn w:val="810"/>
    <w:uiPriority w:val="99"/>
    <w:qFormat/>
    <w:tblPr/>
  </w:style>
  <w:style w:type="table" w:styleId="1011" w:customStyle="1">
    <w:name w:val="Grid Table 7 Colorful - Accent 4"/>
    <w:basedOn w:val="810"/>
    <w:uiPriority w:val="99"/>
    <w:qFormat/>
    <w:tblPr/>
  </w:style>
  <w:style w:type="table" w:styleId="1012" w:customStyle="1">
    <w:name w:val="Grid Table 7 Colorful - Accent 5"/>
    <w:basedOn w:val="810"/>
    <w:uiPriority w:val="99"/>
    <w:qFormat/>
    <w:tblPr/>
  </w:style>
  <w:style w:type="table" w:styleId="1013" w:customStyle="1">
    <w:name w:val="Grid Table 7 Colorful - Accent 6"/>
    <w:basedOn w:val="810"/>
    <w:uiPriority w:val="99"/>
    <w:qFormat/>
    <w:tblPr/>
  </w:style>
  <w:style w:type="table" w:styleId="1014" w:customStyle="1">
    <w:name w:val="List Table 1 Light - Accent 1"/>
    <w:basedOn w:val="810"/>
    <w:uiPriority w:val="99"/>
    <w:qFormat/>
    <w:tblPr/>
  </w:style>
  <w:style w:type="table" w:styleId="1015" w:customStyle="1">
    <w:name w:val="List Table 1 Light - Accent 2"/>
    <w:basedOn w:val="810"/>
    <w:uiPriority w:val="99"/>
    <w:qFormat/>
    <w:tblPr/>
  </w:style>
  <w:style w:type="table" w:styleId="1016" w:customStyle="1">
    <w:name w:val="List Table 1 Light - Accent 3"/>
    <w:basedOn w:val="810"/>
    <w:uiPriority w:val="99"/>
    <w:qFormat/>
    <w:tblPr/>
  </w:style>
  <w:style w:type="table" w:styleId="1017" w:customStyle="1">
    <w:name w:val="List Table 1 Light - Accent 4"/>
    <w:basedOn w:val="810"/>
    <w:uiPriority w:val="99"/>
    <w:qFormat/>
    <w:tblPr/>
  </w:style>
  <w:style w:type="table" w:styleId="1018" w:customStyle="1">
    <w:name w:val="List Table 1 Light - Accent 5"/>
    <w:basedOn w:val="810"/>
    <w:uiPriority w:val="99"/>
    <w:qFormat/>
    <w:tblPr/>
  </w:style>
  <w:style w:type="table" w:styleId="1019" w:customStyle="1">
    <w:name w:val="List Table 1 Light - Accent 6"/>
    <w:basedOn w:val="810"/>
    <w:uiPriority w:val="99"/>
    <w:qFormat/>
    <w:tblPr/>
  </w:style>
  <w:style w:type="table" w:styleId="1020" w:customStyle="1">
    <w:name w:val="List Table 2 - Accent 1"/>
    <w:basedOn w:val="810"/>
    <w:uiPriority w:val="99"/>
    <w:qFormat/>
    <w:tblPr/>
  </w:style>
  <w:style w:type="table" w:styleId="1021" w:customStyle="1">
    <w:name w:val="List Table 2 - Accent 2"/>
    <w:basedOn w:val="810"/>
    <w:uiPriority w:val="99"/>
    <w:qFormat/>
    <w:tblPr/>
  </w:style>
  <w:style w:type="table" w:styleId="1022" w:customStyle="1">
    <w:name w:val="List Table 2 - Accent 3"/>
    <w:basedOn w:val="810"/>
    <w:uiPriority w:val="99"/>
    <w:qFormat/>
    <w:tblPr/>
  </w:style>
  <w:style w:type="table" w:styleId="1023" w:customStyle="1">
    <w:name w:val="List Table 2 - Accent 4"/>
    <w:basedOn w:val="810"/>
    <w:uiPriority w:val="99"/>
    <w:qFormat/>
    <w:tblPr/>
  </w:style>
  <w:style w:type="table" w:styleId="1024" w:customStyle="1">
    <w:name w:val="List Table 2 - Accent 5"/>
    <w:basedOn w:val="810"/>
    <w:uiPriority w:val="99"/>
    <w:qFormat/>
    <w:tblPr/>
  </w:style>
  <w:style w:type="table" w:styleId="1025" w:customStyle="1">
    <w:name w:val="List Table 2 - Accent 6"/>
    <w:basedOn w:val="810"/>
    <w:uiPriority w:val="99"/>
    <w:qFormat/>
    <w:tblPr/>
  </w:style>
  <w:style w:type="table" w:styleId="1026" w:customStyle="1">
    <w:name w:val="List Table 3 - Accent 1"/>
    <w:basedOn w:val="810"/>
    <w:uiPriority w:val="99"/>
    <w:qFormat/>
    <w:tblPr/>
  </w:style>
  <w:style w:type="table" w:styleId="1027" w:customStyle="1">
    <w:name w:val="List Table 3 - Accent 2"/>
    <w:basedOn w:val="810"/>
    <w:uiPriority w:val="99"/>
    <w:qFormat/>
    <w:tblPr/>
  </w:style>
  <w:style w:type="table" w:styleId="1028" w:customStyle="1">
    <w:name w:val="List Table 3 - Accent 3"/>
    <w:basedOn w:val="810"/>
    <w:uiPriority w:val="99"/>
    <w:qFormat/>
    <w:tblPr/>
  </w:style>
  <w:style w:type="table" w:styleId="1029" w:customStyle="1">
    <w:name w:val="List Table 3 - Accent 4"/>
    <w:basedOn w:val="810"/>
    <w:uiPriority w:val="99"/>
    <w:qFormat/>
    <w:tblPr/>
  </w:style>
  <w:style w:type="table" w:styleId="1030" w:customStyle="1">
    <w:name w:val="List Table 3 - Accent 5"/>
    <w:basedOn w:val="810"/>
    <w:uiPriority w:val="99"/>
    <w:qFormat/>
    <w:tblPr/>
  </w:style>
  <w:style w:type="table" w:styleId="1031" w:customStyle="1">
    <w:name w:val="List Table 3 - Accent 6"/>
    <w:basedOn w:val="810"/>
    <w:uiPriority w:val="99"/>
    <w:qFormat/>
    <w:tblPr/>
  </w:style>
  <w:style w:type="table" w:styleId="1032" w:customStyle="1">
    <w:name w:val="List Table 4 - Accent 1"/>
    <w:basedOn w:val="810"/>
    <w:uiPriority w:val="99"/>
    <w:qFormat/>
    <w:tblPr/>
  </w:style>
  <w:style w:type="table" w:styleId="1033" w:customStyle="1">
    <w:name w:val="List Table 4 - Accent 2"/>
    <w:basedOn w:val="810"/>
    <w:uiPriority w:val="99"/>
    <w:qFormat/>
    <w:tblPr/>
  </w:style>
  <w:style w:type="table" w:styleId="1034" w:customStyle="1">
    <w:name w:val="List Table 4 - Accent 3"/>
    <w:basedOn w:val="810"/>
    <w:uiPriority w:val="99"/>
    <w:qFormat/>
    <w:tblPr/>
  </w:style>
  <w:style w:type="table" w:styleId="1035" w:customStyle="1">
    <w:name w:val="List Table 4 - Accent 4"/>
    <w:basedOn w:val="810"/>
    <w:uiPriority w:val="99"/>
    <w:qFormat/>
    <w:tblPr/>
  </w:style>
  <w:style w:type="table" w:styleId="1036" w:customStyle="1">
    <w:name w:val="List Table 4 - Accent 5"/>
    <w:basedOn w:val="810"/>
    <w:uiPriority w:val="99"/>
    <w:qFormat/>
    <w:tblPr/>
  </w:style>
  <w:style w:type="table" w:styleId="1037" w:customStyle="1">
    <w:name w:val="List Table 4 - Accent 6"/>
    <w:basedOn w:val="810"/>
    <w:uiPriority w:val="99"/>
    <w:qFormat/>
    <w:tblPr/>
  </w:style>
  <w:style w:type="table" w:styleId="1038" w:customStyle="1">
    <w:name w:val="List Table 5 Dark - Accent 1"/>
    <w:basedOn w:val="810"/>
    <w:uiPriority w:val="99"/>
    <w:qFormat/>
    <w:tblPr/>
  </w:style>
  <w:style w:type="table" w:styleId="1039" w:customStyle="1">
    <w:name w:val="List Table 5 Dark - Accent 2"/>
    <w:basedOn w:val="810"/>
    <w:uiPriority w:val="99"/>
    <w:qFormat/>
    <w:tblPr/>
  </w:style>
  <w:style w:type="table" w:styleId="1040" w:customStyle="1">
    <w:name w:val="List Table 5 Dark - Accent 3"/>
    <w:basedOn w:val="810"/>
    <w:uiPriority w:val="99"/>
    <w:qFormat/>
    <w:tblPr/>
  </w:style>
  <w:style w:type="table" w:styleId="1041" w:customStyle="1">
    <w:name w:val="List Table 5 Dark - Accent 4"/>
    <w:basedOn w:val="810"/>
    <w:uiPriority w:val="99"/>
    <w:qFormat/>
    <w:tblPr/>
  </w:style>
  <w:style w:type="table" w:styleId="1042" w:customStyle="1">
    <w:name w:val="List Table 5 Dark - Accent 5"/>
    <w:basedOn w:val="810"/>
    <w:uiPriority w:val="99"/>
    <w:qFormat/>
    <w:tblPr/>
  </w:style>
  <w:style w:type="table" w:styleId="1043" w:customStyle="1">
    <w:name w:val="List Table 5 Dark - Accent 6"/>
    <w:basedOn w:val="810"/>
    <w:uiPriority w:val="99"/>
    <w:qFormat/>
    <w:tblPr/>
  </w:style>
  <w:style w:type="table" w:styleId="1044" w:customStyle="1">
    <w:name w:val="List Table 6 Colorful - Accent 1"/>
    <w:basedOn w:val="810"/>
    <w:uiPriority w:val="99"/>
    <w:qFormat/>
    <w:tblPr/>
  </w:style>
  <w:style w:type="table" w:styleId="1045" w:customStyle="1">
    <w:name w:val="List Table 6 Colorful - Accent 2"/>
    <w:basedOn w:val="810"/>
    <w:uiPriority w:val="99"/>
    <w:qFormat/>
    <w:tblPr/>
  </w:style>
  <w:style w:type="table" w:styleId="1046" w:customStyle="1">
    <w:name w:val="List Table 6 Colorful - Accent 3"/>
    <w:basedOn w:val="810"/>
    <w:uiPriority w:val="99"/>
    <w:qFormat/>
    <w:tblPr/>
  </w:style>
  <w:style w:type="table" w:styleId="1047" w:customStyle="1">
    <w:name w:val="List Table 6 Colorful - Accent 4"/>
    <w:basedOn w:val="810"/>
    <w:uiPriority w:val="99"/>
    <w:qFormat/>
    <w:tblPr/>
  </w:style>
  <w:style w:type="table" w:styleId="1048" w:customStyle="1">
    <w:name w:val="List Table 6 Colorful - Accent 5"/>
    <w:basedOn w:val="810"/>
    <w:uiPriority w:val="99"/>
    <w:qFormat/>
    <w:tblPr/>
  </w:style>
  <w:style w:type="table" w:styleId="1049" w:customStyle="1">
    <w:name w:val="List Table 6 Colorful - Accent 6"/>
    <w:basedOn w:val="810"/>
    <w:uiPriority w:val="99"/>
    <w:qFormat/>
    <w:tblPr/>
  </w:style>
  <w:style w:type="table" w:styleId="1050" w:customStyle="1">
    <w:name w:val="List Table 7 Colorful - Accent 1"/>
    <w:basedOn w:val="810"/>
    <w:uiPriority w:val="99"/>
    <w:qFormat/>
    <w:tblPr/>
  </w:style>
  <w:style w:type="table" w:styleId="1051" w:customStyle="1">
    <w:name w:val="List Table 7 Colorful - Accent 2"/>
    <w:basedOn w:val="810"/>
    <w:uiPriority w:val="99"/>
    <w:qFormat/>
    <w:tblPr/>
  </w:style>
  <w:style w:type="table" w:styleId="1052" w:customStyle="1">
    <w:name w:val="List Table 7 Colorful - Accent 3"/>
    <w:basedOn w:val="810"/>
    <w:uiPriority w:val="99"/>
    <w:qFormat/>
    <w:tblPr/>
  </w:style>
  <w:style w:type="table" w:styleId="1053" w:customStyle="1">
    <w:name w:val="List Table 7 Colorful - Accent 4"/>
    <w:basedOn w:val="810"/>
    <w:uiPriority w:val="99"/>
    <w:qFormat/>
    <w:tblPr/>
  </w:style>
  <w:style w:type="table" w:styleId="1054" w:customStyle="1">
    <w:name w:val="List Table 7 Colorful - Accent 5"/>
    <w:basedOn w:val="810"/>
    <w:uiPriority w:val="99"/>
    <w:qFormat/>
    <w:tblPr/>
  </w:style>
  <w:style w:type="table" w:styleId="1055" w:customStyle="1">
    <w:name w:val="List Table 7 Colorful - Accent 6"/>
    <w:basedOn w:val="810"/>
    <w:uiPriority w:val="99"/>
    <w:qFormat/>
    <w:tblPr/>
  </w:style>
  <w:style w:type="table" w:styleId="1056" w:customStyle="1">
    <w:name w:val="Lined - Accent"/>
    <w:basedOn w:val="810"/>
    <w:uiPriority w:val="99"/>
    <w:qFormat/>
    <w:rPr>
      <w:color w:val="404040"/>
    </w:rPr>
    <w:tblPr/>
  </w:style>
  <w:style w:type="table" w:styleId="1057" w:customStyle="1">
    <w:name w:val="Lined - Accent 1"/>
    <w:basedOn w:val="810"/>
    <w:uiPriority w:val="99"/>
    <w:qFormat/>
    <w:rPr>
      <w:color w:val="404040"/>
    </w:rPr>
    <w:tblPr/>
  </w:style>
  <w:style w:type="table" w:styleId="1058" w:customStyle="1">
    <w:name w:val="Lined - Accent 2"/>
    <w:basedOn w:val="810"/>
    <w:uiPriority w:val="99"/>
    <w:qFormat/>
    <w:rPr>
      <w:color w:val="404040"/>
    </w:rPr>
    <w:tblPr/>
  </w:style>
  <w:style w:type="table" w:styleId="1059" w:customStyle="1">
    <w:name w:val="Lined - Accent 3"/>
    <w:basedOn w:val="810"/>
    <w:uiPriority w:val="99"/>
    <w:qFormat/>
    <w:rPr>
      <w:color w:val="404040"/>
    </w:rPr>
    <w:tblPr/>
  </w:style>
  <w:style w:type="table" w:styleId="1060" w:customStyle="1">
    <w:name w:val="Lined - Accent 4"/>
    <w:basedOn w:val="810"/>
    <w:uiPriority w:val="99"/>
    <w:qFormat/>
    <w:rPr>
      <w:color w:val="404040"/>
    </w:rPr>
    <w:tblPr/>
  </w:style>
  <w:style w:type="table" w:styleId="1061" w:customStyle="1">
    <w:name w:val="Lined - Accent 5"/>
    <w:basedOn w:val="810"/>
    <w:uiPriority w:val="99"/>
    <w:qFormat/>
    <w:rPr>
      <w:color w:val="404040"/>
    </w:rPr>
    <w:tblPr/>
  </w:style>
  <w:style w:type="table" w:styleId="1062" w:customStyle="1">
    <w:name w:val="Lined - Accent 6"/>
    <w:basedOn w:val="810"/>
    <w:uiPriority w:val="99"/>
    <w:qFormat/>
    <w:rPr>
      <w:color w:val="404040"/>
    </w:rPr>
    <w:tblPr/>
  </w:style>
  <w:style w:type="table" w:styleId="1063" w:customStyle="1">
    <w:name w:val="Bordered &amp; Lined - Accent"/>
    <w:basedOn w:val="810"/>
    <w:uiPriority w:val="99"/>
    <w:qFormat/>
    <w:rPr>
      <w:color w:val="404040"/>
    </w:rPr>
    <w:tblPr/>
  </w:style>
  <w:style w:type="table" w:styleId="1064" w:customStyle="1">
    <w:name w:val="Bordered &amp; Lined - Accent 1"/>
    <w:basedOn w:val="810"/>
    <w:uiPriority w:val="99"/>
    <w:qFormat/>
    <w:rPr>
      <w:color w:val="404040"/>
    </w:rPr>
    <w:tblPr/>
  </w:style>
  <w:style w:type="table" w:styleId="1065" w:customStyle="1">
    <w:name w:val="Bordered &amp; Lined - Accent 2"/>
    <w:basedOn w:val="810"/>
    <w:uiPriority w:val="99"/>
    <w:qFormat/>
    <w:rPr>
      <w:color w:val="404040"/>
    </w:rPr>
    <w:tblPr/>
  </w:style>
  <w:style w:type="table" w:styleId="1066" w:customStyle="1">
    <w:name w:val="Bordered &amp; Lined - Accent 3"/>
    <w:basedOn w:val="810"/>
    <w:uiPriority w:val="99"/>
    <w:qFormat/>
    <w:rPr>
      <w:color w:val="404040"/>
    </w:rPr>
    <w:tblPr/>
  </w:style>
  <w:style w:type="table" w:styleId="1067" w:customStyle="1">
    <w:name w:val="Bordered &amp; Lined - Accent 4"/>
    <w:basedOn w:val="810"/>
    <w:uiPriority w:val="99"/>
    <w:qFormat/>
    <w:rPr>
      <w:color w:val="404040"/>
    </w:rPr>
    <w:tblPr/>
  </w:style>
  <w:style w:type="table" w:styleId="1068" w:customStyle="1">
    <w:name w:val="Bordered &amp; Lined - Accent 5"/>
    <w:basedOn w:val="810"/>
    <w:uiPriority w:val="99"/>
    <w:qFormat/>
    <w:rPr>
      <w:color w:val="404040"/>
    </w:rPr>
    <w:tblPr/>
  </w:style>
  <w:style w:type="table" w:styleId="1069" w:customStyle="1">
    <w:name w:val="Bordered &amp; Lined - Accent 6"/>
    <w:basedOn w:val="810"/>
    <w:uiPriority w:val="99"/>
    <w:qFormat/>
    <w:rPr>
      <w:color w:val="404040"/>
    </w:rPr>
    <w:tblPr/>
  </w:style>
  <w:style w:type="table" w:styleId="1070" w:customStyle="1">
    <w:name w:val="Bordered"/>
    <w:basedOn w:val="810"/>
    <w:uiPriority w:val="99"/>
    <w:qFormat/>
    <w:tblPr/>
  </w:style>
  <w:style w:type="table" w:styleId="1071" w:customStyle="1">
    <w:name w:val="Bordered - Accent 1"/>
    <w:basedOn w:val="810"/>
    <w:uiPriority w:val="99"/>
    <w:qFormat/>
    <w:tblPr/>
  </w:style>
  <w:style w:type="table" w:styleId="1072" w:customStyle="1">
    <w:name w:val="Bordered - Accent 2"/>
    <w:basedOn w:val="810"/>
    <w:uiPriority w:val="99"/>
    <w:qFormat/>
    <w:tblPr/>
  </w:style>
  <w:style w:type="table" w:styleId="1073" w:customStyle="1">
    <w:name w:val="Bordered - Accent 3"/>
    <w:basedOn w:val="810"/>
    <w:uiPriority w:val="99"/>
    <w:qFormat/>
    <w:tblPr/>
  </w:style>
  <w:style w:type="table" w:styleId="1074" w:customStyle="1">
    <w:name w:val="Bordered - Accent 4"/>
    <w:basedOn w:val="810"/>
    <w:uiPriority w:val="99"/>
    <w:qFormat/>
    <w:tblPr/>
  </w:style>
  <w:style w:type="table" w:styleId="1075" w:customStyle="1">
    <w:name w:val="Bordered - Accent 5"/>
    <w:basedOn w:val="810"/>
    <w:uiPriority w:val="99"/>
    <w:qFormat/>
    <w:tblPr/>
  </w:style>
  <w:style w:type="table" w:styleId="1076" w:customStyle="1">
    <w:name w:val="Bordered - Accent 6"/>
    <w:basedOn w:val="810"/>
    <w:uiPriority w:val="99"/>
    <w:qFormat/>
    <w:tblPr/>
  </w:style>
  <w:style w:type="paragraph" w:styleId="1077" w:customStyle="1">
    <w:name w:val="TOC 标题11"/>
    <w:uiPriority w:val="39"/>
    <w:unhideWhenUsed/>
    <w:qFormat/>
    <w:rPr>
      <w:rFonts w:hint="default" w:ascii="Times New Roman" w:hAnsi="Times New Roman" w:eastAsia="宋体" w:cs="Times New Roman"/>
    </w:rPr>
  </w:style>
  <w:style w:type="paragraph" w:styleId="1078" w:customStyle="1">
    <w:name w:val="Normal_0"/>
    <w:uiPriority w:val="0"/>
    <w:qFormat/>
    <w:rPr>
      <w:rFonts w:hint="default" w:ascii="黑体" w:hAnsi="黑体" w:eastAsia="黑体" w:cs="Times New Roman"/>
      <w:b/>
      <w:sz w:val="32"/>
      <w:szCs w:val="24"/>
    </w:rPr>
  </w:style>
  <w:style w:type="paragraph" w:styleId="1079" w:customStyle="1">
    <w:name w:val="Normal_0_3"/>
    <w:uiPriority w:val="0"/>
    <w:qFormat/>
    <w:rPr>
      <w:rFonts w:hint="default" w:ascii="黑体" w:hAnsi="黑体" w:eastAsia="黑体" w:cs="黑体"/>
      <w:b/>
      <w:sz w:val="32"/>
      <w:szCs w:val="24"/>
    </w:rPr>
  </w:style>
  <w:style w:type="paragraph" w:styleId="1080" w:customStyle="1">
    <w:name w:val="正文首行缩进 2_0"/>
    <w:basedOn w:val="1081"/>
    <w:uiPriority w:val="0"/>
    <w:qFormat/>
    <w:pPr>
      <w:ind w:left="200" w:firstLine="200"/>
      <w:spacing w:after="120"/>
    </w:pPr>
    <w:rPr>
      <w:rFonts w:ascii="Times New Roman" w:hAnsi="Times New Roman"/>
      <w:sz w:val="24"/>
      <w:szCs w:val="24"/>
    </w:rPr>
  </w:style>
  <w:style w:type="paragraph" w:styleId="1081" w:customStyle="1">
    <w:name w:val="正文文本缩进_0"/>
    <w:basedOn w:val="1082"/>
    <w:uiPriority w:val="0"/>
    <w:qFormat/>
    <w:pPr>
      <w:ind w:firstLine="225"/>
    </w:pPr>
    <w:rPr>
      <w:rFonts w:ascii="仿宋_GB2312" w:eastAsia="仿宋_GB2312"/>
      <w:sz w:val="32"/>
    </w:rPr>
  </w:style>
  <w:style w:type="paragraph" w:styleId="1082" w:customStyle="1">
    <w:name w:val="正文_2"/>
    <w:uiPriority w:val="0"/>
    <w:qFormat/>
    <w:pPr>
      <w:jc w:val="both"/>
      <w:widowControl w:val="off"/>
    </w:pPr>
    <w:rPr>
      <w:rFonts w:hint="default" w:ascii="Calibri" w:hAnsi="Calibri" w:eastAsia="宋体" w:cs="Times New Roman"/>
      <w:sz w:val="21"/>
      <w:szCs w:val="22"/>
    </w:rPr>
  </w:style>
  <w:style w:type="paragraph" w:styleId="1083" w:customStyle="1">
    <w:name w:val="Normal_0_2"/>
    <w:next w:val="1084"/>
    <w:uiPriority w:val="0"/>
    <w:qFormat/>
    <w:rPr>
      <w:rFonts w:hint="default" w:ascii="黑体" w:hAnsi="黑体" w:eastAsia="黑体" w:cs="黑体"/>
      <w:b/>
      <w:sz w:val="32"/>
      <w:szCs w:val="24"/>
    </w:rPr>
  </w:style>
  <w:style w:type="paragraph" w:styleId="1084" w:customStyle="1">
    <w:name w:val="Body Text First Indent_1"/>
    <w:basedOn w:val="897"/>
    <w:uiPriority w:val="99"/>
    <w:unhideWhenUsed/>
    <w:qFormat/>
    <w:pPr>
      <w:ind w:firstLine="420"/>
      <w:spacing w:after="120"/>
    </w:pPr>
    <w:rPr>
      <w:rFonts w:eastAsia="Times New Roman"/>
    </w:rPr>
  </w:style>
  <w:style w:type="paragraph" w:styleId="1085" w:customStyle="1">
    <w:name w:val="Normal_1_2"/>
    <w:uiPriority w:val="0"/>
    <w:qFormat/>
    <w:rPr>
      <w:rFonts w:hint="default" w:ascii="Times New Roman" w:hAnsi="Times New Roman" w:eastAsia="Times New Roman" w:cs="Times New Roman"/>
      <w:sz w:val="24"/>
      <w:szCs w:val="24"/>
    </w:rPr>
  </w:style>
  <w:style w:type="paragraph" w:styleId="1086" w:customStyle="1">
    <w:name w:val="Normal_0_1"/>
    <w:next w:val="1087"/>
    <w:uiPriority w:val="0"/>
    <w:qFormat/>
    <w:rPr>
      <w:rFonts w:hint="default" w:ascii="黑体" w:hAnsi="黑体" w:eastAsia="黑体" w:cs="黑体"/>
      <w:b/>
      <w:sz w:val="32"/>
      <w:szCs w:val="24"/>
    </w:rPr>
  </w:style>
  <w:style w:type="paragraph" w:styleId="1087" w:customStyle="1">
    <w:name w:val="Body Text First Indent_0"/>
    <w:basedOn w:val="1088"/>
    <w:uiPriority w:val="99"/>
    <w:unhideWhenUsed/>
    <w:qFormat/>
    <w:pPr>
      <w:ind w:firstLine="420"/>
      <w:spacing w:after="120"/>
    </w:pPr>
  </w:style>
  <w:style w:type="paragraph" w:styleId="1088" w:customStyle="1">
    <w:name w:val="正文3"/>
    <w:next w:val="1089"/>
    <w:uiPriority w:val="0"/>
    <w:qFormat/>
    <w:rPr>
      <w:rFonts w:hint="default" w:ascii="Times New Roman" w:hAnsi="Times New Roman" w:eastAsia="Times New Roman" w:cs="Times New Roman"/>
      <w:sz w:val="24"/>
      <w:szCs w:val="24"/>
    </w:rPr>
  </w:style>
  <w:style w:type="paragraph" w:styleId="1089" w:customStyle="1">
    <w:name w:val="正文首行缩进3"/>
    <w:basedOn w:val="870"/>
    <w:uiPriority w:val="99"/>
    <w:unhideWhenUsed/>
    <w:qFormat/>
    <w:pPr>
      <w:ind w:firstLine="420"/>
      <w:spacing w:after="120"/>
    </w:pPr>
    <w:rPr>
      <w:sz w:val="20"/>
    </w:rPr>
  </w:style>
  <w:style w:type="paragraph" w:styleId="1090" w:customStyle="1">
    <w:name w:val="Normal_1_1"/>
    <w:uiPriority w:val="0"/>
    <w:qFormat/>
    <w:rPr>
      <w:rFonts w:hint="default" w:ascii="黑体" w:hAnsi="黑体" w:eastAsia="黑体" w:cs="黑体"/>
      <w:b/>
      <w:sz w:val="32"/>
      <w:szCs w:val="24"/>
    </w:rPr>
  </w:style>
  <w:style w:type="paragraph" w:styleId="1091" w:customStyle="1">
    <w:name w:val="正文_0_1"/>
    <w:uiPriority w:val="0"/>
    <w:qFormat/>
    <w:pPr>
      <w:jc w:val="both"/>
      <w:widowControl w:val="off"/>
    </w:pPr>
    <w:rPr>
      <w:rFonts w:hint="default" w:ascii="Calibri" w:hAnsi="Calibri" w:eastAsia="宋体" w:cs="Times New Roman"/>
      <w:sz w:val="21"/>
      <w:szCs w:val="22"/>
    </w:rPr>
  </w:style>
  <w:style w:type="paragraph" w:styleId="1092" w:customStyle="1">
    <w:name w:val="正文_1_1"/>
    <w:uiPriority w:val="0"/>
    <w:qFormat/>
    <w:pPr>
      <w:jc w:val="both"/>
      <w:widowControl w:val="off"/>
    </w:pPr>
    <w:rPr>
      <w:rFonts w:hint="default" w:ascii="Calibri" w:hAnsi="Calibri" w:eastAsia="宋体" w:cs="Times New Roman"/>
      <w:sz w:val="21"/>
      <w:szCs w:val="22"/>
    </w:rPr>
  </w:style>
  <w:style w:type="paragraph" w:styleId="1093" w:customStyle="1">
    <w:name w:val="Normal_2_0"/>
    <w:uiPriority w:val="0"/>
    <w:qFormat/>
    <w:rPr>
      <w:rFonts w:hint="default" w:ascii="黑体" w:hAnsi="黑体" w:eastAsia="黑体" w:cs="黑体"/>
      <w:b/>
      <w:sz w:val="32"/>
      <w:szCs w:val="24"/>
    </w:rPr>
  </w:style>
  <w:style w:type="paragraph" w:styleId="1094" w:customStyle="1">
    <w:name w:val="Normal_3_0"/>
    <w:uiPriority w:val="0"/>
    <w:qFormat/>
    <w:pPr>
      <w:jc w:val="both"/>
      <w:widowControl w:val="off"/>
    </w:pPr>
    <w:rPr>
      <w:rFonts w:hint="default" w:ascii="Calibri" w:hAnsi="Calibri" w:eastAsia="宋体" w:cs="Times New Roman"/>
      <w:sz w:val="21"/>
      <w:szCs w:val="22"/>
    </w:rPr>
  </w:style>
  <w:style w:type="paragraph" w:styleId="1095" w:customStyle="1">
    <w:name w:val="Normal_4_0"/>
    <w:uiPriority w:val="0"/>
    <w:qFormat/>
    <w:rPr>
      <w:rFonts w:hint="default" w:ascii="黑体" w:hAnsi="黑体" w:eastAsia="黑体" w:cs="黑体"/>
      <w:b/>
      <w:sz w:val="32"/>
      <w:szCs w:val="24"/>
    </w:rPr>
  </w:style>
  <w:style w:type="paragraph" w:styleId="1096" w:customStyle="1">
    <w:name w:val="Normal_5_0"/>
    <w:uiPriority w:val="0"/>
    <w:qFormat/>
    <w:pPr>
      <w:jc w:val="both"/>
      <w:widowControl w:val="off"/>
    </w:pPr>
    <w:rPr>
      <w:rFonts w:hint="default" w:ascii="Calibri" w:hAnsi="Calibri" w:eastAsia="宋体" w:cs="Times New Roman"/>
      <w:sz w:val="21"/>
      <w:szCs w:val="22"/>
    </w:rPr>
  </w:style>
  <w:style w:type="paragraph" w:styleId="1097" w:customStyle="1">
    <w:name w:val="Normal_6_0"/>
    <w:uiPriority w:val="0"/>
    <w:qFormat/>
    <w:rPr>
      <w:rFonts w:hint="default" w:ascii="黑体" w:hAnsi="黑体" w:eastAsia="黑体" w:cs="黑体"/>
      <w:b/>
      <w:sz w:val="32"/>
      <w:szCs w:val="24"/>
    </w:rPr>
  </w:style>
  <w:style w:type="paragraph" w:styleId="1098" w:customStyle="1">
    <w:name w:val="正文_1_0_0"/>
    <w:uiPriority w:val="0"/>
    <w:qFormat/>
    <w:pPr>
      <w:jc w:val="both"/>
      <w:widowControl w:val="off"/>
    </w:pPr>
    <w:rPr>
      <w:rFonts w:hint="default" w:ascii="Times New Roman" w:hAnsi="Times New Roman" w:eastAsia="宋体" w:cs="Times New Roman"/>
      <w:sz w:val="21"/>
    </w:rPr>
  </w:style>
  <w:style w:type="paragraph" w:styleId="1099"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100" w:customStyle="1">
    <w:name w:val="正文_1_0_0_0"/>
    <w:uiPriority w:val="0"/>
    <w:qFormat/>
    <w:pPr>
      <w:jc w:val="both"/>
      <w:widowControl w:val="off"/>
    </w:pPr>
    <w:rPr>
      <w:rFonts w:hint="default" w:ascii="Times New Roman" w:hAnsi="Times New Roman" w:eastAsia="宋体" w:cs="Times New Roman"/>
      <w:sz w:val="21"/>
    </w:rPr>
  </w:style>
  <w:style w:type="paragraph" w:styleId="1101" w:customStyle="1">
    <w:name w:val="Normal_7_0"/>
    <w:uiPriority w:val="0"/>
    <w:qFormat/>
    <w:rPr>
      <w:rFonts w:hint="default" w:ascii="黑体" w:hAnsi="黑体" w:eastAsia="黑体" w:cs="黑体"/>
      <w:b/>
      <w:sz w:val="32"/>
      <w:szCs w:val="24"/>
    </w:rPr>
  </w:style>
  <w:style w:type="paragraph" w:styleId="1102" w:customStyle="1">
    <w:name w:val="Normal_8_0"/>
    <w:uiPriority w:val="0"/>
    <w:qFormat/>
    <w:rPr>
      <w:rFonts w:hint="default" w:ascii="Times New Roman" w:hAnsi="Times New Roman" w:eastAsia="Times New Roman" w:cs="Times New Roman"/>
      <w:sz w:val="24"/>
      <w:szCs w:val="24"/>
    </w:rPr>
  </w:style>
  <w:style w:type="paragraph" w:styleId="1103" w:customStyle="1">
    <w:name w:val="Normal_9_0"/>
    <w:uiPriority w:val="0"/>
    <w:qFormat/>
    <w:rPr>
      <w:rFonts w:hint="default" w:ascii="Times New Roman" w:hAnsi="Times New Roman" w:eastAsia="Times New Roman" w:cs="Times New Roman"/>
      <w:sz w:val="24"/>
      <w:szCs w:val="24"/>
    </w:rPr>
  </w:style>
  <w:style w:type="paragraph" w:styleId="1104" w:customStyle="1">
    <w:name w:val="Normal_10_0"/>
    <w:uiPriority w:val="0"/>
    <w:qFormat/>
    <w:rPr>
      <w:rFonts w:hint="default" w:ascii="黑体" w:hAnsi="黑体" w:eastAsia="黑体" w:cs="黑体"/>
      <w:b/>
      <w:sz w:val="32"/>
      <w:szCs w:val="24"/>
    </w:rPr>
  </w:style>
  <w:style w:type="paragraph" w:styleId="1105" w:customStyle="1">
    <w:name w:val="正文_3"/>
    <w:next w:val="1106"/>
    <w:uiPriority w:val="0"/>
    <w:qFormat/>
    <w:pPr>
      <w:jc w:val="both"/>
      <w:widowControl w:val="off"/>
    </w:pPr>
    <w:rPr>
      <w:rFonts w:hint="default" w:ascii="Calibri" w:hAnsi="Calibri" w:eastAsia="宋体" w:cs="Times New Roman"/>
      <w:sz w:val="21"/>
      <w:szCs w:val="22"/>
    </w:rPr>
  </w:style>
  <w:style w:type="paragraph" w:styleId="1106" w:customStyle="1">
    <w:name w:val="正文首行缩进 2_1"/>
    <w:basedOn w:val="1107"/>
    <w:next w:val="1109"/>
    <w:uiPriority w:val="0"/>
    <w:qFormat/>
    <w:pPr>
      <w:ind w:left="200" w:firstLine="200"/>
      <w:spacing w:after="120"/>
    </w:pPr>
    <w:rPr>
      <w:rFonts w:ascii="Times New Roman"/>
      <w:szCs w:val="24"/>
    </w:rPr>
  </w:style>
  <w:style w:type="paragraph" w:styleId="1107" w:customStyle="1">
    <w:name w:val="正文文本缩进_1"/>
    <w:basedOn w:val="1108"/>
    <w:next w:val="1106"/>
    <w:uiPriority w:val="0"/>
    <w:qFormat/>
    <w:pPr>
      <w:ind w:firstLine="225"/>
    </w:pPr>
    <w:rPr>
      <w:rFonts w:ascii="仿宋_GB2312" w:eastAsia="仿宋_GB2312"/>
      <w:sz w:val="32"/>
    </w:rPr>
  </w:style>
  <w:style w:type="paragraph" w:styleId="1108" w:customStyle="1">
    <w:name w:val="正文_18"/>
    <w:next w:val="1107"/>
    <w:uiPriority w:val="0"/>
    <w:qFormat/>
    <w:pPr>
      <w:jc w:val="both"/>
      <w:widowControl w:val="off"/>
    </w:pPr>
    <w:rPr>
      <w:rFonts w:hint="default" w:ascii="Calibri" w:hAnsi="Calibri" w:eastAsia="宋体" w:cs="Times New Roman"/>
      <w:sz w:val="21"/>
      <w:szCs w:val="22"/>
    </w:rPr>
  </w:style>
  <w:style w:type="paragraph" w:styleId="1109" w:customStyle="1">
    <w:name w:val="xl53_0"/>
    <w:next w:val="110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rPr>
  </w:style>
  <w:style w:type="paragraph" w:styleId="1110" w:customStyle="1">
    <w:name w:val="正文_4_0"/>
    <w:uiPriority w:val="0"/>
    <w:qFormat/>
    <w:pPr>
      <w:jc w:val="both"/>
      <w:widowControl w:val="off"/>
    </w:pPr>
    <w:rPr>
      <w:rFonts w:hint="default" w:ascii="Calibri" w:hAnsi="Calibri" w:eastAsia="宋体" w:cs="Times New Roman"/>
      <w:sz w:val="21"/>
      <w:szCs w:val="22"/>
    </w:rPr>
  </w:style>
  <w:style w:type="paragraph" w:styleId="1111" w:customStyle="1">
    <w:name w:val="Normal_11_0"/>
    <w:uiPriority w:val="0"/>
    <w:qFormat/>
    <w:rPr>
      <w:rFonts w:hint="default" w:ascii="黑体" w:hAnsi="黑体" w:eastAsia="黑体" w:cs="黑体"/>
      <w:b/>
      <w:sz w:val="32"/>
      <w:szCs w:val="24"/>
    </w:rPr>
  </w:style>
  <w:style w:type="paragraph" w:styleId="1112" w:customStyle="1">
    <w:name w:val="Normal_12_0"/>
    <w:uiPriority w:val="0"/>
    <w:qFormat/>
    <w:pPr>
      <w:jc w:val="both"/>
      <w:widowControl w:val="off"/>
    </w:pPr>
    <w:rPr>
      <w:rFonts w:hint="default" w:ascii="Calibri" w:hAnsi="Calibri" w:eastAsia="宋体" w:cs="Times New Roman"/>
      <w:sz w:val="21"/>
      <w:szCs w:val="22"/>
    </w:rPr>
  </w:style>
  <w:style w:type="paragraph" w:styleId="1113" w:customStyle="1">
    <w:name w:val="正文_9_0"/>
    <w:uiPriority w:val="0"/>
    <w:qFormat/>
    <w:pPr>
      <w:jc w:val="both"/>
      <w:widowControl w:val="off"/>
    </w:pPr>
    <w:rPr>
      <w:rFonts w:hint="default" w:ascii="Calibri" w:hAnsi="Calibri" w:eastAsia="宋体" w:cs="Times New Roman"/>
      <w:sz w:val="21"/>
      <w:szCs w:val="22"/>
    </w:rPr>
  </w:style>
  <w:style w:type="paragraph" w:styleId="1114" w:customStyle="1">
    <w:name w:val="正文_8_1"/>
    <w:uiPriority w:val="0"/>
    <w:qFormat/>
    <w:pPr>
      <w:jc w:val="both"/>
      <w:widowControl w:val="off"/>
    </w:pPr>
    <w:rPr>
      <w:rFonts w:hint="default" w:ascii="Calibri" w:hAnsi="Calibri" w:eastAsia="宋体" w:cs="Times New Roman"/>
      <w:sz w:val="21"/>
      <w:szCs w:val="22"/>
    </w:rPr>
  </w:style>
  <w:style w:type="paragraph" w:styleId="1115" w:customStyle="1">
    <w:name w:val="正文_1_0_0_0_0"/>
    <w:uiPriority w:val="0"/>
    <w:qFormat/>
    <w:pPr>
      <w:jc w:val="both"/>
      <w:widowControl w:val="off"/>
    </w:pPr>
    <w:rPr>
      <w:rFonts w:hint="default" w:ascii="Times New Roman" w:hAnsi="Times New Roman" w:eastAsia="宋体" w:cs="Times New Roman"/>
      <w:sz w:val="21"/>
    </w:rPr>
  </w:style>
  <w:style w:type="paragraph" w:styleId="1116" w:customStyle="1">
    <w:name w:val="列出段落_2"/>
    <w:basedOn w:val="1114"/>
    <w:uiPriority w:val="34"/>
    <w:qFormat/>
    <w:pPr>
      <w:ind w:firstLine="420"/>
    </w:pPr>
  </w:style>
  <w:style w:type="paragraph" w:styleId="1117" w:customStyle="1">
    <w:name w:val="Normal_13_0"/>
    <w:uiPriority w:val="0"/>
    <w:qFormat/>
    <w:rPr>
      <w:rFonts w:hint="default" w:ascii="黑体" w:hAnsi="黑体" w:eastAsia="黑体" w:cs="黑体"/>
      <w:b/>
      <w:sz w:val="32"/>
      <w:szCs w:val="24"/>
    </w:rPr>
  </w:style>
  <w:style w:type="paragraph" w:styleId="1118" w:customStyle="1">
    <w:name w:val="正文_7_1_0"/>
    <w:uiPriority w:val="0"/>
    <w:qFormat/>
    <w:pPr>
      <w:jc w:val="both"/>
      <w:widowControl w:val="off"/>
    </w:pPr>
    <w:rPr>
      <w:rFonts w:hint="default" w:ascii="Calibri" w:hAnsi="Calibri" w:eastAsia="宋体" w:cs="Times New Roman"/>
      <w:sz w:val="21"/>
      <w:szCs w:val="22"/>
    </w:rPr>
  </w:style>
  <w:style w:type="paragraph" w:styleId="1119" w:customStyle="1">
    <w:name w:val="纯文本_0_0"/>
    <w:basedOn w:val="1118"/>
    <w:uiPriority w:val="0"/>
    <w:unhideWhenUsed/>
    <w:qFormat/>
    <w:rPr>
      <w:rFonts w:ascii="宋体" w:hAnsi="Courier New"/>
      <w:szCs w:val="21"/>
    </w:rPr>
  </w:style>
  <w:style w:type="paragraph" w:styleId="1120" w:customStyle="1">
    <w:name w:val="正文_8_0"/>
    <w:uiPriority w:val="0"/>
    <w:qFormat/>
    <w:pPr>
      <w:jc w:val="both"/>
      <w:widowControl w:val="off"/>
    </w:pPr>
    <w:rPr>
      <w:rFonts w:hint="default" w:ascii="Calibri" w:hAnsi="Calibri" w:eastAsia="宋体" w:cs="Times New Roman"/>
      <w:sz w:val="21"/>
      <w:szCs w:val="22"/>
    </w:rPr>
  </w:style>
  <w:style w:type="paragraph" w:styleId="1121" w:customStyle="1">
    <w:name w:val="Normal_14_0"/>
    <w:uiPriority w:val="0"/>
    <w:qFormat/>
    <w:rPr>
      <w:rFonts w:hint="default" w:ascii="黑体" w:hAnsi="黑体" w:eastAsia="黑体" w:cs="黑体"/>
      <w:b/>
      <w:sz w:val="32"/>
      <w:szCs w:val="24"/>
    </w:rPr>
  </w:style>
  <w:style w:type="paragraph" w:styleId="1122" w:customStyle="1">
    <w:name w:val="正文_6_0"/>
    <w:uiPriority w:val="0"/>
    <w:qFormat/>
    <w:pPr>
      <w:jc w:val="both"/>
      <w:widowControl w:val="off"/>
    </w:pPr>
    <w:rPr>
      <w:rFonts w:hint="default" w:ascii="Calibri" w:hAnsi="Calibri" w:eastAsia="宋体" w:cs="Times New Roman"/>
      <w:sz w:val="21"/>
      <w:szCs w:val="22"/>
    </w:rPr>
  </w:style>
  <w:style w:type="paragraph" w:styleId="1123" w:customStyle="1">
    <w:name w:val="Normal_15_0"/>
    <w:uiPriority w:val="0"/>
    <w:qFormat/>
    <w:rPr>
      <w:rFonts w:hint="default" w:ascii="黑体" w:hAnsi="黑体" w:eastAsia="黑体" w:cs="黑体"/>
      <w:b/>
      <w:sz w:val="32"/>
      <w:szCs w:val="24"/>
    </w:rPr>
  </w:style>
  <w:style w:type="paragraph" w:styleId="1124" w:customStyle="1">
    <w:name w:val="正文_7_0"/>
    <w:uiPriority w:val="0"/>
    <w:qFormat/>
    <w:pPr>
      <w:jc w:val="both"/>
      <w:widowControl w:val="off"/>
    </w:pPr>
    <w:rPr>
      <w:rFonts w:hint="default" w:ascii="Calibri" w:hAnsi="Calibri" w:eastAsia="宋体" w:cs="Times New Roman"/>
      <w:sz w:val="21"/>
      <w:szCs w:val="22"/>
    </w:rPr>
  </w:style>
  <w:style w:type="paragraph" w:styleId="1125" w:customStyle="1">
    <w:name w:val="正文_9_1"/>
    <w:uiPriority w:val="0"/>
    <w:qFormat/>
    <w:pPr>
      <w:jc w:val="both"/>
      <w:widowControl w:val="off"/>
    </w:pPr>
    <w:rPr>
      <w:rFonts w:hint="default" w:ascii="Times New Roman" w:hAnsi="Times New Roman" w:eastAsia="宋体" w:cs="Times New Roman"/>
      <w:sz w:val="21"/>
      <w:szCs w:val="24"/>
    </w:rPr>
  </w:style>
  <w:style w:type="paragraph" w:styleId="1126" w:customStyle="1">
    <w:name w:val="Normal_16_0"/>
    <w:uiPriority w:val="0"/>
    <w:qFormat/>
    <w:rPr>
      <w:rFonts w:hint="default" w:ascii="黑体" w:hAnsi="黑体" w:eastAsia="黑体" w:cs="黑体"/>
      <w:b/>
      <w:sz w:val="32"/>
      <w:szCs w:val="24"/>
    </w:rPr>
  </w:style>
  <w:style w:type="paragraph" w:styleId="1127" w:customStyle="1">
    <w:name w:val="正文_10_0"/>
    <w:uiPriority w:val="0"/>
    <w:qFormat/>
    <w:pPr>
      <w:jc w:val="both"/>
      <w:widowControl w:val="off"/>
    </w:pPr>
    <w:rPr>
      <w:rFonts w:hint="default" w:ascii="Times New Roman" w:hAnsi="Times New Roman" w:eastAsia="宋体" w:cs="Times New Roman"/>
      <w:sz w:val="21"/>
      <w:szCs w:val="24"/>
    </w:rPr>
  </w:style>
  <w:style w:type="paragraph" w:styleId="1128" w:customStyle="1">
    <w:name w:val="Normal_17_0"/>
    <w:uiPriority w:val="0"/>
    <w:qFormat/>
    <w:rPr>
      <w:rFonts w:hint="default" w:ascii="黑体" w:hAnsi="黑体" w:eastAsia="黑体" w:cs="黑体"/>
      <w:b/>
      <w:sz w:val="32"/>
      <w:szCs w:val="24"/>
    </w:rPr>
  </w:style>
  <w:style w:type="paragraph" w:styleId="1129"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130" w:customStyle="1">
    <w:name w:val="Normal_18_0"/>
    <w:uiPriority w:val="0"/>
    <w:qFormat/>
    <w:rPr>
      <w:rFonts w:hint="default" w:ascii="黑体" w:hAnsi="黑体" w:eastAsia="黑体" w:cs="黑体"/>
      <w:b/>
      <w:sz w:val="32"/>
      <w:szCs w:val="24"/>
    </w:rPr>
  </w:style>
  <w:style w:type="paragraph" w:styleId="1131" w:customStyle="1">
    <w:name w:val="正文_12_0"/>
    <w:uiPriority w:val="0"/>
    <w:qFormat/>
    <w:pPr>
      <w:jc w:val="both"/>
      <w:widowControl w:val="off"/>
    </w:pPr>
    <w:rPr>
      <w:rFonts w:hint="default" w:ascii="Calibri" w:hAnsi="Calibri" w:eastAsia="宋体" w:cs="Times New Roman"/>
      <w:sz w:val="21"/>
      <w:szCs w:val="22"/>
    </w:rPr>
  </w:style>
  <w:style w:type="paragraph" w:styleId="1132"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133" w:customStyle="1">
    <w:name w:val="Normal_14_0_0"/>
    <w:uiPriority w:val="0"/>
    <w:qFormat/>
    <w:rPr>
      <w:rFonts w:hint="default" w:ascii="黑体" w:hAnsi="黑体" w:eastAsia="黑体" w:cs="Times New Roman"/>
      <w:b/>
      <w:sz w:val="32"/>
      <w:szCs w:val="24"/>
    </w:rPr>
  </w:style>
  <w:style w:type="paragraph" w:styleId="1134"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135"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136" w:customStyle="1">
    <w:name w:val="正文_13_0"/>
    <w:uiPriority w:val="0"/>
    <w:qFormat/>
    <w:pPr>
      <w:jc w:val="both"/>
      <w:widowControl w:val="off"/>
    </w:pPr>
    <w:rPr>
      <w:rFonts w:hint="default" w:ascii="Calibri" w:hAnsi="Calibri" w:eastAsia="宋体" w:cs="Times New Roman"/>
      <w:sz w:val="21"/>
      <w:szCs w:val="22"/>
    </w:rPr>
  </w:style>
  <w:style w:type="paragraph" w:styleId="1137"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138" w:customStyle="1">
    <w:name w:val="正文_14_0"/>
    <w:uiPriority w:val="0"/>
    <w:qFormat/>
    <w:pPr>
      <w:jc w:val="both"/>
      <w:widowControl w:val="off"/>
    </w:pPr>
    <w:rPr>
      <w:rFonts w:hint="default" w:ascii="Calibri" w:hAnsi="Calibri" w:eastAsia="宋体" w:cs="Times New Roman"/>
      <w:sz w:val="21"/>
      <w:szCs w:val="22"/>
    </w:rPr>
  </w:style>
  <w:style w:type="paragraph" w:styleId="1139" w:customStyle="1">
    <w:name w:val="正文_14_0_0"/>
    <w:uiPriority w:val="0"/>
    <w:qFormat/>
    <w:pPr>
      <w:jc w:val="both"/>
      <w:widowControl w:val="off"/>
    </w:pPr>
    <w:rPr>
      <w:rFonts w:hint="default" w:ascii="Times New Roman" w:hAnsi="Times New Roman" w:eastAsia="宋体" w:cs="Times New Roman"/>
      <w:sz w:val="21"/>
      <w:szCs w:val="24"/>
    </w:rPr>
  </w:style>
  <w:style w:type="paragraph" w:styleId="1140" w:customStyle="1">
    <w:name w:val="Normal Indent_0"/>
    <w:basedOn w:val="902"/>
    <w:uiPriority w:val="0"/>
    <w:qFormat/>
    <w:pPr>
      <w:ind w:firstLine="420"/>
    </w:pPr>
    <w:rPr>
      <w:rFonts w:ascii="宋体" w:eastAsia="Times New Roman"/>
      <w:color w:val="000000"/>
      <w:sz w:val="24"/>
      <w:szCs w:val="20"/>
    </w:rPr>
  </w:style>
  <w:style w:type="paragraph" w:styleId="1141" w:customStyle="1">
    <w:name w:val="Heading 3_0"/>
    <w:basedOn w:val="902"/>
    <w:next w:val="902"/>
    <w:uiPriority w:val="0"/>
    <w:qFormat/>
    <w:pPr>
      <w:keepLines/>
      <w:keepNext/>
      <w:spacing w:before="260" w:after="260" w:line="413" w:lineRule="auto"/>
      <w:outlineLvl w:val="2"/>
    </w:pPr>
    <w:rPr>
      <w:rFonts w:ascii="Times New Roman" w:hAnsi="Times New Roman" w:eastAsia="Times New Roman"/>
      <w:szCs w:val="20"/>
    </w:rPr>
  </w:style>
  <w:style w:type="paragraph" w:styleId="1142" w:customStyle="1">
    <w:name w:val="正文_15_0"/>
    <w:uiPriority w:val="0"/>
    <w:qFormat/>
    <w:pPr>
      <w:jc w:val="both"/>
      <w:widowControl w:val="off"/>
    </w:pPr>
    <w:rPr>
      <w:rFonts w:hint="default" w:ascii="Calibri" w:hAnsi="Calibri" w:eastAsia="宋体" w:cs="Times New Roman"/>
      <w:sz w:val="21"/>
      <w:szCs w:val="22"/>
    </w:rPr>
  </w:style>
  <w:style w:type="paragraph" w:styleId="1143" w:customStyle="1">
    <w:name w:val="正文2"/>
    <w:basedOn w:val="799"/>
    <w:uiPriority w:val="0"/>
    <w:qFormat/>
    <w:pPr>
      <w:ind w:firstLine="510"/>
      <w:spacing w:before="156" w:line="360" w:lineRule="auto"/>
    </w:pPr>
    <w:rPr>
      <w:sz w:val="24"/>
      <w:szCs w:val="20"/>
    </w:rPr>
  </w:style>
  <w:style w:type="paragraph" w:styleId="1144" w:customStyle="1">
    <w:name w:val="Default"/>
    <w:uiPriority w:val="0"/>
    <w:qFormat/>
    <w:pPr>
      <w:widowControl w:val="off"/>
    </w:pPr>
    <w:rPr>
      <w:rFonts w:hint="default" w:ascii="宋体" w:hAnsi="Times New Roman" w:eastAsia="宋体" w:cs="宋体"/>
      <w:color w:val="000000"/>
      <w:sz w:val="24"/>
      <w:szCs w:val="24"/>
    </w:rPr>
  </w:style>
  <w:style w:type="paragraph" w:styleId="1145" w:customStyle="1">
    <w:name w:val="正文_0_2_0"/>
    <w:uiPriority w:val="0"/>
    <w:qFormat/>
    <w:pPr>
      <w:jc w:val="both"/>
      <w:widowControl w:val="off"/>
    </w:pPr>
    <w:rPr>
      <w:rFonts w:hint="default" w:ascii="Times New Roman" w:hAnsi="Times New Roman" w:eastAsia="宋体" w:cs="Times New Roman"/>
      <w:szCs w:val="24"/>
    </w:rPr>
  </w:style>
  <w:style w:type="paragraph" w:styleId="1146" w:customStyle="1">
    <w:name w:val="Normal_19_1_0"/>
    <w:next w:val="1147"/>
    <w:uiPriority w:val="0"/>
    <w:qFormat/>
    <w:pPr>
      <w:jc w:val="both"/>
      <w:widowControl w:val="off"/>
    </w:pPr>
    <w:rPr>
      <w:rFonts w:hint="default" w:ascii="Calibri" w:hAnsi="Calibri" w:eastAsia="宋体" w:cs="Times New Roman"/>
      <w:szCs w:val="24"/>
    </w:rPr>
  </w:style>
  <w:style w:type="paragraph" w:styleId="1147" w:customStyle="1">
    <w:name w:val="正文_16_0"/>
    <w:basedOn w:val="1108"/>
    <w:next w:val="1106"/>
    <w:uiPriority w:val="0"/>
    <w:qFormat/>
    <w:rPr>
      <w:rFonts w:ascii="Times New Roman" w:hAnsi="Times New Roman"/>
    </w:rPr>
  </w:style>
  <w:style w:type="paragraph" w:styleId="1148" w:customStyle="1">
    <w:name w:val="Normal_19_0"/>
    <w:basedOn w:val="811"/>
    <w:next w:val="1149"/>
    <w:uiPriority w:val="0"/>
    <w:qFormat/>
    <w:rPr>
      <w:szCs w:val="24"/>
    </w:rPr>
  </w:style>
  <w:style w:type="paragraph" w:styleId="1149" w:customStyle="1">
    <w:name w:val="Body Text First Indent_1_0"/>
    <w:basedOn w:val="1148"/>
    <w:uiPriority w:val="0"/>
    <w:qFormat/>
    <w:pPr>
      <w:ind w:firstLine="100"/>
      <w:spacing w:after="120"/>
    </w:pPr>
  </w:style>
  <w:style w:type="paragraph" w:styleId="1150" w:customStyle="1">
    <w:name w:val="Body Text_0"/>
    <w:basedOn w:val="1148"/>
    <w:uiPriority w:val="0"/>
    <w:qFormat/>
    <w:pPr>
      <w:spacing w:line="60" w:lineRule="auto"/>
    </w:pPr>
    <w:rPr>
      <w:rFonts w:ascii="仿宋_GB2312" w:eastAsia="仿宋_GB2312"/>
      <w:sz w:val="32"/>
    </w:rPr>
  </w:style>
  <w:style w:type="paragraph" w:styleId="1151" w:customStyle="1">
    <w:name w:val="Normal_19_1"/>
    <w:next w:val="902"/>
    <w:uiPriority w:val="0"/>
    <w:qFormat/>
    <w:pPr>
      <w:jc w:val="both"/>
      <w:widowControl w:val="off"/>
    </w:pPr>
    <w:rPr>
      <w:rFonts w:hint="default" w:ascii="Calibri" w:hAnsi="Calibri" w:eastAsia="宋体" w:cs="Times New Roman"/>
      <w:szCs w:val="24"/>
    </w:rPr>
  </w:style>
  <w:style w:type="paragraph" w:styleId="1152" w:customStyle="1">
    <w:name w:val="正文_6_0_0"/>
    <w:uiPriority w:val="0"/>
    <w:qFormat/>
    <w:pPr>
      <w:jc w:val="both"/>
      <w:widowControl w:val="off"/>
    </w:pPr>
    <w:rPr>
      <w:rFonts w:hint="default" w:ascii="Calibri" w:hAnsi="Calibri" w:eastAsia="宋体" w:cs="Times New Roman"/>
    </w:rPr>
  </w:style>
  <w:style w:type="paragraph" w:styleId="1153" w:customStyle="1">
    <w:name w:val="正文_7_1"/>
    <w:uiPriority w:val="0"/>
    <w:qFormat/>
    <w:pPr>
      <w:jc w:val="both"/>
      <w:widowControl w:val="off"/>
    </w:pPr>
    <w:rPr>
      <w:rFonts w:hint="default" w:ascii="Calibri" w:hAnsi="Calibri" w:eastAsia="宋体" w:cs="Times New Roman"/>
    </w:rPr>
  </w:style>
  <w:style w:type="paragraph" w:styleId="1154" w:customStyle="1">
    <w:name w:val="正文1_1"/>
    <w:basedOn w:val="1102"/>
    <w:uiPriority w:val="0"/>
    <w:qFormat/>
    <w:pPr>
      <w:jc w:val="both"/>
      <w:widowControl w:val="off"/>
    </w:pPr>
    <w:rPr>
      <w:sz w:val="20"/>
      <w:szCs w:val="20"/>
    </w:rPr>
  </w:style>
  <w:style w:type="paragraph" w:styleId="1155" w:customStyle="1">
    <w:name w:val="Normal_8_0_0"/>
    <w:uiPriority w:val="0"/>
    <w:qFormat/>
    <w:rPr>
      <w:rFonts w:hint="default" w:ascii="Times New Roman" w:hAnsi="Times New Roman" w:eastAsia="Times New Roman" w:cs="Times New Roman"/>
      <w:sz w:val="24"/>
      <w:szCs w:val="24"/>
    </w:rPr>
  </w:style>
  <w:style w:type="paragraph" w:styleId="1156" w:customStyle="1">
    <w:name w:val="Normal_8_0_0_0"/>
    <w:uiPriority w:val="0"/>
    <w:qFormat/>
    <w:pPr>
      <w:jc w:val="both"/>
      <w:widowControl w:val="off"/>
    </w:pPr>
    <w:rPr>
      <w:rFonts w:hint="default" w:ascii="Calibri" w:hAnsi="Calibri" w:eastAsia="宋体" w:cs="Times New Roman"/>
    </w:rPr>
  </w:style>
  <w:style w:type="paragraph" w:styleId="1157" w:customStyle="1">
    <w:name w:val="Normal_16_1"/>
    <w:uiPriority w:val="0"/>
    <w:qFormat/>
    <w:rPr>
      <w:rFonts w:hint="default" w:ascii="黑体" w:hAnsi="黑体" w:eastAsia="黑体" w:cs="Times New Roman"/>
      <w:b/>
      <w:sz w:val="32"/>
      <w:szCs w:val="24"/>
    </w:rPr>
  </w:style>
  <w:style w:type="paragraph" w:styleId="1158" w:customStyle="1">
    <w:name w:val="Normal_19_0_1"/>
    <w:uiPriority w:val="0"/>
    <w:qFormat/>
    <w:rPr>
      <w:rFonts w:hint="default" w:ascii="Tahoma" w:hAnsi="Tahoma" w:eastAsia="微软雅黑" w:cs="Times New Roman"/>
    </w:rPr>
  </w:style>
  <w:style w:type="paragraph" w:styleId="1159" w:customStyle="1">
    <w:name w:val="Normal_16_0_0"/>
    <w:uiPriority w:val="0"/>
    <w:qFormat/>
    <w:pPr>
      <w:jc w:val="both"/>
      <w:widowControl w:val="off"/>
    </w:pPr>
    <w:rPr>
      <w:rFonts w:hint="default" w:ascii="Calibri" w:hAnsi="Calibri" w:eastAsia="宋体" w:cs="Times New Roman"/>
    </w:rPr>
  </w:style>
  <w:style w:type="paragraph" w:styleId="1160" w:customStyle="1">
    <w:name w:val="Normal_22_0"/>
    <w:uiPriority w:val="0"/>
    <w:qFormat/>
    <w:pPr>
      <w:jc w:val="both"/>
      <w:widowControl w:val="off"/>
    </w:pPr>
    <w:rPr>
      <w:rFonts w:hint="default" w:ascii="Calibri" w:hAnsi="Calibri" w:eastAsia="宋体" w:cs="Times New Roman"/>
      <w:szCs w:val="24"/>
    </w:rPr>
  </w:style>
  <w:style w:type="paragraph" w:styleId="1161" w:customStyle="1">
    <w:name w:val="Normal_17_0_0"/>
    <w:uiPriority w:val="0"/>
    <w:qFormat/>
    <w:rPr>
      <w:rFonts w:hint="default" w:ascii="黑体" w:hAnsi="黑体" w:eastAsia="黑体" w:cs="Times New Roman"/>
      <w:b/>
      <w:sz w:val="32"/>
      <w:szCs w:val="24"/>
    </w:rPr>
  </w:style>
  <w:style w:type="paragraph" w:styleId="1162" w:customStyle="1">
    <w:name w:val="Normal_19_0_1_0"/>
    <w:uiPriority w:val="0"/>
    <w:qFormat/>
    <w:rPr>
      <w:rFonts w:hint="default" w:ascii="Tahoma" w:hAnsi="Tahoma" w:eastAsia="微软雅黑" w:cs="Times New Roman"/>
    </w:rPr>
  </w:style>
  <w:style w:type="paragraph" w:styleId="1163" w:customStyle="1">
    <w:name w:val="Normal_19_3"/>
    <w:next w:val="1164"/>
    <w:uiPriority w:val="0"/>
    <w:qFormat/>
    <w:pPr>
      <w:jc w:val="both"/>
      <w:widowControl w:val="off"/>
    </w:pPr>
    <w:rPr>
      <w:rFonts w:hint="default" w:ascii="Calibri" w:hAnsi="Calibri" w:eastAsia="Times New Roman" w:cs="Times New Roman"/>
      <w:szCs w:val="24"/>
    </w:rPr>
  </w:style>
  <w:style w:type="paragraph" w:styleId="1164" w:customStyle="1">
    <w:name w:val="正文_17_0"/>
    <w:next w:val="906"/>
    <w:uiPriority w:val="0"/>
    <w:qFormat/>
    <w:pPr>
      <w:jc w:val="both"/>
      <w:widowControl w:val="off"/>
    </w:pPr>
    <w:rPr>
      <w:rFonts w:hint="default" w:ascii="Calibri" w:hAnsi="Calibri" w:eastAsia="宋体" w:cs="Times New Roman"/>
      <w:sz w:val="21"/>
      <w:szCs w:val="22"/>
    </w:rPr>
  </w:style>
  <w:style w:type="paragraph" w:styleId="1165" w:customStyle="1">
    <w:name w:val="Normal_22_0_0"/>
    <w:uiPriority w:val="0"/>
    <w:qFormat/>
    <w:pPr>
      <w:jc w:val="both"/>
      <w:widowControl w:val="off"/>
    </w:pPr>
    <w:rPr>
      <w:rFonts w:hint="default" w:ascii="Calibri" w:hAnsi="Calibri" w:eastAsia="宋体" w:cs="Times New Roman"/>
      <w:szCs w:val="24"/>
    </w:rPr>
  </w:style>
  <w:style w:type="character" w:styleId="1166" w:customStyle="1">
    <w:name w:val="custom-tag-placeholder-class"/>
    <w:uiPriority w:val="0"/>
    <w:qFormat/>
  </w:style>
  <w:style w:type="paragraph" w:styleId="1167" w:customStyle="1">
    <w:name w:val="Normal_19_0_0"/>
    <w:basedOn w:val="902"/>
    <w:next w:val="1168"/>
    <w:uiPriority w:val="0"/>
    <w:qFormat/>
    <w:rPr>
      <w:rFonts w:ascii="Calibri" w:hAnsi="Calibri" w:eastAsia="Times New Roman"/>
      <w:sz w:val="24"/>
    </w:rPr>
  </w:style>
  <w:style w:type="paragraph" w:styleId="1168" w:customStyle="1">
    <w:name w:val="Body Text First Indent_1_0_0"/>
    <w:basedOn w:val="1167"/>
    <w:uiPriority w:val="0"/>
    <w:qFormat/>
    <w:pPr>
      <w:ind w:firstLine="100"/>
      <w:spacing w:after="120"/>
    </w:pPr>
  </w:style>
  <w:style w:type="paragraph" w:styleId="1169" w:customStyle="1">
    <w:name w:val="正文首行缩进1"/>
    <w:basedOn w:val="1170"/>
    <w:uiPriority w:val="0"/>
    <w:qFormat/>
    <w:pPr>
      <w:ind w:firstLine="100"/>
      <w:spacing w:after="120" w:line="240" w:lineRule="auto"/>
    </w:pPr>
    <w:rPr>
      <w:rFonts w:ascii="Times New Roman" w:hAnsi="Times New Roman" w:eastAsia="宋体"/>
      <w:sz w:val="21"/>
    </w:rPr>
  </w:style>
  <w:style w:type="paragraph" w:styleId="1170" w:customStyle="1">
    <w:name w:val="正文文本1"/>
    <w:basedOn w:val="799"/>
    <w:uiPriority w:val="0"/>
    <w:qFormat/>
    <w:pPr>
      <w:spacing w:line="60" w:lineRule="auto"/>
    </w:pPr>
    <w:rPr>
      <w:rFonts w:ascii="仿宋_GB2312" w:eastAsia="仿宋_GB2312"/>
      <w:sz w:val="32"/>
    </w:rPr>
  </w:style>
  <w:style w:type="paragraph" w:styleId="1171" w:customStyle="1">
    <w:name w:val="正文_2_0"/>
    <w:uiPriority w:val="0"/>
    <w:qFormat/>
    <w:pPr>
      <w:jc w:val="both"/>
      <w:widowControl w:val="off"/>
    </w:pPr>
    <w:rPr>
      <w:rFonts w:hint="default" w:ascii="Calibri" w:hAnsi="Calibri" w:eastAsia="宋体" w:cs="Times New Roman"/>
      <w:sz w:val="21"/>
      <w:szCs w:val="22"/>
    </w:rPr>
  </w:style>
  <w:style w:type="paragraph" w:styleId="1172" w:customStyle="1">
    <w:name w:val="List Paragraph_0"/>
    <w:basedOn w:val="1082"/>
    <w:uiPriority w:val="0"/>
    <w:qFormat/>
    <w:pPr>
      <w:ind w:firstLine="420"/>
    </w:pPr>
  </w:style>
  <w:style w:type="paragraph" w:styleId="1173" w:customStyle="1">
    <w:name w:val="纯文本_1"/>
    <w:basedOn w:val="1171"/>
    <w:uiPriority w:val="0"/>
    <w:qFormat/>
    <w:rPr>
      <w:rFonts w:ascii="宋体" w:hAnsi="Times New Roman"/>
      <w:sz w:val="20"/>
      <w:szCs w:val="21"/>
    </w:rPr>
  </w:style>
  <w:style w:type="paragraph" w:styleId="1174" w:customStyle="1">
    <w:name w:val="正文_16_0_0"/>
    <w:next w:val="949"/>
    <w:uiPriority w:val="0"/>
    <w:qFormat/>
    <w:pPr>
      <w:jc w:val="both"/>
      <w:widowControl w:val="off"/>
    </w:pPr>
    <w:rPr>
      <w:rFonts w:hint="default" w:ascii="Calibri" w:hAnsi="Calibri" w:eastAsia="宋体" w:cs="Times New Roman"/>
      <w:sz w:val="21"/>
      <w:szCs w:val="22"/>
    </w:rPr>
  </w:style>
  <w:style w:type="paragraph" w:styleId="1175" w:customStyle="1">
    <w:name w:val="正文_11_0"/>
    <w:basedOn w:val="949"/>
    <w:uiPriority w:val="0"/>
    <w:qFormat/>
    <w:rPr>
      <w:rFonts w:ascii="Calibri" w:hAnsi="Calibri"/>
      <w:szCs w:val="20"/>
    </w:rPr>
  </w:style>
  <w:style w:type="paragraph" w:styleId="1176" w:customStyle="1">
    <w:name w:val="Normal_19_0_0_0"/>
    <w:basedOn w:val="811"/>
    <w:uiPriority w:val="0"/>
    <w:qFormat/>
    <w:rPr>
      <w:rFonts w:cs="黑体"/>
      <w:szCs w:val="24"/>
    </w:rPr>
  </w:style>
  <w:style w:type="paragraph" w:styleId="1177" w:customStyle="1">
    <w:name w:val="无间隔1"/>
    <w:basedOn w:val="1088"/>
    <w:uiPriority w:val="0"/>
    <w:qFormat/>
    <w:rPr>
      <w:rFonts w:ascii="Calibri" w:hAnsi="Calibri" w:cs="Calibri"/>
    </w:rPr>
  </w:style>
  <w:style w:type="paragraph" w:styleId="1178" w:customStyle="1">
    <w:name w:val="标题 31"/>
    <w:basedOn w:val="1088"/>
    <w:next w:val="1088"/>
    <w:uiPriority w:val="0"/>
    <w:qFormat/>
    <w:pPr>
      <w:keepLines/>
      <w:keepNext/>
      <w:spacing w:before="260" w:after="260" w:line="413" w:lineRule="auto"/>
      <w:outlineLvl w:val="2"/>
    </w:pPr>
    <w:rPr>
      <w:b/>
      <w:sz w:val="32"/>
      <w:szCs w:val="20"/>
    </w:rPr>
  </w:style>
  <w:style w:type="character" w:styleId="1179" w:customStyle="1">
    <w:name w:val="标题 2 Char_0"/>
    <w:link w:val="1180"/>
    <w:uiPriority w:val="0"/>
    <w:qFormat/>
    <w:rPr>
      <w:rFonts w:ascii="Arial" w:hAnsi="Arial" w:eastAsia="黑体"/>
      <w:b/>
      <w:sz w:val="32"/>
      <w:szCs w:val="22"/>
    </w:rPr>
  </w:style>
  <w:style w:type="paragraph" w:styleId="1180" w:customStyle="1">
    <w:name w:val="标题 21"/>
    <w:basedOn w:val="813"/>
    <w:next w:val="813"/>
    <w:link w:val="1179"/>
    <w:uiPriority w:val="0"/>
    <w:unhideWhenUsed/>
    <w:qFormat/>
    <w:pPr>
      <w:keepLines/>
      <w:keepNext/>
      <w:spacing w:before="260" w:after="260" w:line="413" w:lineRule="auto"/>
      <w:outlineLvl w:val="1"/>
    </w:pPr>
    <w:rPr>
      <w:rFonts w:ascii="Arial" w:hAnsi="Arial"/>
      <w:szCs w:val="22"/>
    </w:rPr>
  </w:style>
  <w:style w:type="paragraph" w:styleId="1181" w:customStyle="1">
    <w:name w:val="Normal_19_1_0_0"/>
    <w:next w:val="1182"/>
    <w:uiPriority w:val="0"/>
    <w:qFormat/>
    <w:pPr>
      <w:jc w:val="both"/>
      <w:widowControl w:val="off"/>
    </w:pPr>
    <w:rPr>
      <w:rFonts w:hint="default" w:ascii="Calibri" w:hAnsi="Calibri" w:eastAsia="宋体" w:cs="Times New Roman"/>
      <w:sz w:val="21"/>
      <w:szCs w:val="24"/>
    </w:rPr>
  </w:style>
  <w:style w:type="paragraph" w:styleId="1182" w:customStyle="1">
    <w:name w:val="正文_16_0_1"/>
    <w:uiPriority w:val="0"/>
    <w:qFormat/>
    <w:pPr>
      <w:jc w:val="both"/>
      <w:widowControl w:val="off"/>
    </w:pPr>
    <w:rPr>
      <w:rFonts w:hint="default" w:ascii="Times New Roman" w:hAnsi="Times New Roman" w:eastAsia="宋体" w:cs="Times New Roman"/>
      <w:sz w:val="21"/>
      <w:szCs w:val="22"/>
    </w:rPr>
  </w:style>
  <w:style w:type="paragraph" w:styleId="1183" w:customStyle="1">
    <w:name w:val="正文1_0_0"/>
    <w:basedOn w:val="813"/>
    <w:uiPriority w:val="0"/>
    <w:qFormat/>
    <w:pPr>
      <w:ind w:left="357" w:firstLine="420"/>
      <w:spacing w:line="360" w:lineRule="auto"/>
    </w:pPr>
    <w:rPr>
      <w:rFonts w:eastAsia="Times New Roman" w:cs="Arial"/>
    </w:rPr>
  </w:style>
  <w:style w:type="paragraph" w:styleId="1184" w:customStyle="1">
    <w:name w:val="普通正文"/>
    <w:basedOn w:val="799"/>
    <w:uiPriority w:val="0"/>
    <w:qFormat/>
    <w:pPr>
      <w:ind w:firstLine="480"/>
      <w:jc w:val="left"/>
      <w:spacing w:before="120" w:after="120" w:line="360" w:lineRule="auto"/>
    </w:pPr>
    <w:rPr>
      <w:rFonts w:ascii="Arial" w:hAnsi="Arial"/>
      <w:sz w:val="24"/>
      <w:szCs w:val="24"/>
    </w:rPr>
  </w:style>
  <w:style w:type="paragraph" w:styleId="1185" w:customStyle="1">
    <w:name w:val="正文空2字"/>
    <w:basedOn w:val="1186"/>
    <w:uiPriority w:val="99"/>
    <w:qFormat/>
    <w:pPr>
      <w:ind w:firstLine="640"/>
      <w:spacing w:line="560" w:lineRule="exact"/>
      <w:widowControl w:val="off"/>
    </w:pPr>
    <w:rPr>
      <w:rFonts w:ascii="仿宋_GB2312" w:hAnsi="仿宋_GB2312" w:cs="仿宋_GB2312"/>
      <w:lang w:val="zh-TW"/>
    </w:rPr>
  </w:style>
  <w:style w:type="paragraph" w:styleId="1186" w:customStyle="1">
    <w:name w:val="左对齐正文"/>
    <w:uiPriority w:val="99"/>
    <w:qFormat/>
    <w:rPr>
      <w:rFonts w:hint="default" w:ascii="Calibri" w:hAnsi="Calibri" w:eastAsia="仿宋_GB2312" w:cs="Calibri"/>
      <w:sz w:val="32"/>
      <w:szCs w:val="32"/>
    </w:rPr>
  </w:style>
  <w:style w:type="paragraph" w:styleId="1187" w:customStyle="1">
    <w:name w:val="普通(网站)1"/>
    <w:basedOn w:val="799"/>
    <w:uiPriority w:val="99"/>
    <w:qFormat/>
    <w:rPr>
      <w:sz w:val="24"/>
    </w:rPr>
  </w:style>
  <w:style w:type="character" w:styleId="1188" w:customStyle="1">
    <w:name w:val="16"/>
    <w:uiPriority w:val="0"/>
    <w:qFormat/>
    <w:rPr>
      <w:rFonts w:ascii="Times New Roman" w:hAnsi="Times New Roman"/>
      <w:sz w:val="21"/>
      <w:szCs w:val="21"/>
      <w:lang w:val="en-US" w:eastAsia="zh-CN" w:bidi="ar-SA"/>
    </w:rPr>
  </w:style>
  <w:style w:type="paragraph" w:styleId="1189" w:customStyle="1">
    <w:name w:val="正文文本_0"/>
    <w:basedOn w:val="1082"/>
    <w:next w:val="1190"/>
    <w:uiPriority w:val="0"/>
    <w:qFormat/>
    <w:pPr>
      <w:spacing w:line="60" w:lineRule="auto"/>
    </w:pPr>
    <w:rPr>
      <w:rFonts w:ascii="仿宋_GB2312" w:eastAsia="仿宋_GB2312"/>
      <w:sz w:val="32"/>
    </w:rPr>
  </w:style>
  <w:style w:type="paragraph" w:styleId="1190" w:customStyle="1">
    <w:name w:val="正文缩进_1"/>
    <w:basedOn w:val="1082"/>
    <w:next w:val="1082"/>
    <w:uiPriority w:val="0"/>
    <w:qFormat/>
    <w:pPr>
      <w:ind w:firstLine="420"/>
    </w:pPr>
    <w:rPr>
      <w:rFonts w:ascii="宋体"/>
      <w:color w:val="000000"/>
      <w:sz w:val="24"/>
      <w:szCs w:val="20"/>
    </w:rPr>
  </w:style>
  <w:style w:type="paragraph" w:styleId="1191" w:customStyle="1">
    <w:name w:val="Table Paragraph"/>
    <w:basedOn w:val="902"/>
    <w:uiPriority w:val="1"/>
    <w:qFormat/>
    <w:rPr>
      <w:rFonts w:ascii="宋体" w:hAnsi="宋体" w:cs="宋体"/>
      <w:sz w:val="22"/>
      <w:lang w:val="zh-CN" w:bidi="zh-CN"/>
    </w:rPr>
  </w:style>
  <w:style w:type="paragraph" w:styleId="1192" w:customStyle="1">
    <w:name w:val="Normal_19_2"/>
    <w:basedOn w:val="1193"/>
    <w:uiPriority w:val="0"/>
    <w:qFormat/>
    <w:rPr>
      <w:rFonts w:ascii="Times New Roman" w:hAnsi="Times New Roman"/>
      <w:szCs w:val="21"/>
    </w:rPr>
  </w:style>
  <w:style w:type="paragraph" w:styleId="1193" w:customStyle="1">
    <w:name w:val="正文_3_0"/>
    <w:uiPriority w:val="0"/>
    <w:qFormat/>
    <w:pPr>
      <w:jc w:val="both"/>
      <w:widowControl w:val="off"/>
    </w:pPr>
    <w:rPr>
      <w:rFonts w:hint="default" w:ascii="Calibri" w:hAnsi="Calibri" w:eastAsia="宋体" w:cs="Times New Roman"/>
      <w:sz w:val="21"/>
      <w:szCs w:val="22"/>
    </w:rPr>
  </w:style>
  <w:style w:type="paragraph" w:styleId="1194" w:customStyle="1">
    <w:name w:val="正文文本2"/>
    <w:basedOn w:val="903"/>
    <w:uiPriority w:val="0"/>
    <w:qFormat/>
    <w:pPr>
      <w:spacing w:line="60" w:lineRule="auto"/>
    </w:pPr>
    <w:rPr>
      <w:rFonts w:ascii="仿宋_GB2312" w:eastAsia="仿宋_GB2312"/>
      <w:sz w:val="32"/>
      <w:szCs w:val="22"/>
    </w:rPr>
  </w:style>
  <w:style w:type="paragraph" w:styleId="1195" w:customStyle="1">
    <w:name w:val="正文1_0"/>
    <w:basedOn w:val="1171"/>
    <w:uiPriority w:val="0"/>
    <w:qFormat/>
    <w:pPr>
      <w:ind w:left="357" w:firstLine="420"/>
      <w:jc w:val="left"/>
      <w:spacing w:line="360" w:lineRule="auto"/>
      <w:widowControl/>
    </w:pPr>
    <w:rPr>
      <w:rFonts w:cs="Arial"/>
      <w:szCs w:val="20"/>
    </w:rPr>
  </w:style>
  <w:style w:type="paragraph" w:styleId="1196" w:customStyle="1">
    <w:name w:val="Normal_19_2_0"/>
    <w:basedOn w:val="1197"/>
    <w:uiPriority w:val="0"/>
    <w:qFormat/>
    <w:rPr>
      <w:rFonts w:ascii="Times New Roman" w:hAnsi="Times New Roman"/>
      <w:szCs w:val="21"/>
    </w:rPr>
  </w:style>
  <w:style w:type="paragraph" w:styleId="1197" w:customStyle="1">
    <w:name w:val="正文_3_1"/>
    <w:uiPriority w:val="0"/>
    <w:qFormat/>
    <w:pPr>
      <w:jc w:val="both"/>
      <w:widowControl w:val="off"/>
    </w:pPr>
    <w:rPr>
      <w:rFonts w:hint="default" w:ascii="Calibri" w:hAnsi="Calibri" w:eastAsia="宋体" w:cs="Times New Roman"/>
      <w:sz w:val="21"/>
      <w:szCs w:val="22"/>
    </w:rPr>
  </w:style>
  <w:style w:type="paragraph" w:styleId="1198" w:customStyle="1">
    <w:name w:val="正文缩进1"/>
    <w:basedOn w:val="799"/>
    <w:uiPriority w:val="0"/>
    <w:qFormat/>
    <w:pPr>
      <w:ind w:firstLine="420"/>
      <w:jc w:val="left"/>
    </w:pPr>
    <w:rPr>
      <w:rFonts w:ascii="宋体"/>
      <w:sz w:val="24"/>
    </w:rPr>
  </w:style>
  <w:style w:type="paragraph" w:styleId="1199" w:customStyle="1">
    <w:name w:val="纯文本1"/>
    <w:basedOn w:val="904"/>
    <w:uiPriority w:val="0"/>
    <w:qFormat/>
    <w:rPr>
      <w:rFonts w:ascii="宋体" w:hAnsi="Courier New"/>
    </w:rPr>
  </w:style>
  <w:style w:type="paragraph" w:styleId="1200" w:customStyle="1">
    <w:name w:val="正文_12_0_0_0_0"/>
    <w:uiPriority w:val="0"/>
    <w:qFormat/>
    <w:pPr>
      <w:jc w:val="both"/>
      <w:widowControl w:val="off"/>
    </w:pPr>
    <w:rPr>
      <w:rFonts w:hint="default" w:ascii="Times New Roman" w:hAnsi="Times New Roman" w:eastAsia="宋体" w:cs="Times New Roman"/>
      <w:sz w:val="21"/>
      <w:szCs w:val="24"/>
    </w:rPr>
  </w:style>
  <w:style w:type="character" w:styleId="1201" w:customStyle="1">
    <w:name w:val="正文文本 字符"/>
    <w:uiPriority w:val="0"/>
    <w:qFormat/>
    <w:rPr>
      <w:rFonts w:ascii="楷体_GB2312" w:hAnsi="Arial" w:eastAsia="楷体_GB2312" w:cs="Times New Roman"/>
      <w:sz w:val="28"/>
      <w:szCs w:val="28"/>
    </w:rPr>
  </w:style>
  <w:style w:type="character" w:styleId="1202" w:customStyle="1">
    <w:name w:val="正文文本缩进 字符"/>
    <w:uiPriority w:val="0"/>
    <w:qFormat/>
    <w:rPr>
      <w:rFonts w:ascii="楷体_GB2312" w:hAnsi="Times New Roman" w:eastAsia="楷体_GB2312" w:cs="Times New Roman"/>
      <w:sz w:val="32"/>
      <w:szCs w:val="32"/>
    </w:rPr>
  </w:style>
  <w:style w:type="character" w:styleId="1203" w:customStyle="1">
    <w:name w:val="正文文本 字符1"/>
    <w:uiPriority w:val="0"/>
    <w:qFormat/>
    <w:rPr>
      <w:rFonts w:ascii="Calibri" w:hAnsi="Calibri"/>
      <w:sz w:val="28"/>
      <w:szCs w:val="24"/>
    </w:rPr>
  </w:style>
  <w:style w:type="character" w:styleId="1204" w:customStyle="1">
    <w:name w:val="正文文本首行缩进 字符"/>
    <w:uiPriority w:val="0"/>
    <w:qFormat/>
    <w:rPr>
      <w:rFonts w:ascii="仿宋_GB2312" w:hAnsi="Calibri" w:eastAsia="仿宋_GB2312"/>
      <w:sz w:val="30"/>
      <w:szCs w:val="30"/>
    </w:rPr>
  </w:style>
  <w:style w:type="paragraph" w:styleId="1205" w:customStyle="1">
    <w:name w:val="索引 41"/>
    <w:basedOn w:val="799"/>
    <w:next w:val="799"/>
    <w:uiPriority w:val="0"/>
    <w:semiHidden/>
    <w:qFormat/>
    <w:pPr>
      <w:ind w:left="1260"/>
    </w:pPr>
    <w:rPr>
      <w:rFonts w:eastAsia="Calibri" w:cs="宋体"/>
      <w:sz w:val="20"/>
      <w:szCs w:val="21"/>
      <w:lang w:val="zh-CN"/>
    </w:rPr>
  </w:style>
  <w:style w:type="character" w:styleId="1206" w:customStyle="1">
    <w:name w:val="font5 Char"/>
    <w:uiPriority w:val="0"/>
    <w:qFormat/>
    <w:rPr>
      <w:rFonts w:ascii="宋体" w:hAnsi="宋体" w:eastAsia="宋体"/>
      <w:sz w:val="28"/>
      <w:szCs w:val="28"/>
      <w:lang w:val="en-US" w:eastAsia="zh-CN" w:bidi="ar-SA"/>
    </w:rPr>
  </w:style>
  <w:style w:type="character" w:styleId="1207" w:customStyle="1">
    <w:name w:val="二级目录 Char"/>
    <w:link w:val="1208"/>
    <w:uiPriority w:val="0"/>
    <w:qFormat/>
    <w:rPr>
      <w:b/>
      <w:sz w:val="30"/>
      <w:szCs w:val="28"/>
    </w:rPr>
  </w:style>
  <w:style w:type="paragraph" w:styleId="1208" w:customStyle="1">
    <w:name w:val="二级目录"/>
    <w:next w:val="799"/>
    <w:link w:val="1207"/>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rPr>
  </w:style>
  <w:style w:type="character" w:styleId="1209" w:customStyle="1">
    <w:name w:val="列出段落 Char"/>
    <w:link w:val="1210"/>
    <w:uiPriority w:val="0"/>
    <w:qFormat/>
    <w:rPr>
      <w:rFonts w:ascii="Calibri" w:hAnsi="Calibri"/>
      <w:sz w:val="24"/>
      <w:szCs w:val="24"/>
      <w:lang w:eastAsia="en-US" w:bidi="en-US"/>
    </w:rPr>
  </w:style>
  <w:style w:type="paragraph" w:styleId="1210" w:customStyle="1">
    <w:name w:val="列出段落1"/>
    <w:basedOn w:val="799"/>
    <w:link w:val="1209"/>
    <w:uiPriority w:val="0"/>
    <w:qFormat/>
    <w:pPr>
      <w:contextualSpacing/>
      <w:ind w:left="720"/>
      <w:jc w:val="left"/>
      <w:widowControl/>
    </w:pPr>
    <w:rPr>
      <w:sz w:val="24"/>
      <w:szCs w:val="24"/>
      <w:lang w:eastAsia="en-US" w:bidi="en-US"/>
    </w:rPr>
  </w:style>
  <w:style w:type="paragraph" w:styleId="1211" w:customStyle="1">
    <w:name w:val="Body Text(ch)"/>
    <w:basedOn w:val="799"/>
    <w:uiPriority w:val="0"/>
    <w:qFormat/>
    <w:pPr>
      <w:spacing w:after="120"/>
    </w:pPr>
    <w:rPr>
      <w:rFonts w:ascii="宋体" w:hAnsi="Arial"/>
      <w:bCs/>
      <w:iCs/>
      <w:szCs w:val="24"/>
    </w:rPr>
  </w:style>
  <w:style w:type="paragraph" w:styleId="1212" w:customStyle="1">
    <w:name w:val="xl27"/>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3" w:customStyle="1">
    <w:name w:val="xl26"/>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4" w:customStyle="1">
    <w:name w:val="Char"/>
    <w:basedOn w:val="799"/>
    <w:uiPriority w:val="0"/>
    <w:qFormat/>
    <w:pPr>
      <w:ind w:firstLine="200"/>
      <w:tabs>
        <w:tab w:val="left" w:pos="360" w:leader="none"/>
      </w:tabs>
    </w:pPr>
    <w:rPr>
      <w:rFonts w:ascii="Times New Roman" w:hAnsi="Times New Roman"/>
      <w:sz w:val="28"/>
      <w:szCs w:val="30"/>
    </w:rPr>
  </w:style>
  <w:style w:type="paragraph" w:styleId="1215" w:customStyle="1">
    <w:name w:val="Char1"/>
    <w:basedOn w:val="819"/>
    <w:uiPriority w:val="0"/>
    <w:qFormat/>
    <w:rPr>
      <w:rFonts w:ascii="Tahoma" w:hAnsi="Tahoma"/>
      <w:sz w:val="24"/>
      <w:szCs w:val="24"/>
    </w:rPr>
  </w:style>
  <w:style w:type="paragraph" w:styleId="1216" w:customStyle="1">
    <w:name w:val="table_lines"/>
    <w:basedOn w:val="799"/>
    <w:uiPriority w:val="0"/>
    <w:qFormat/>
    <w:pPr>
      <w:jc w:val="left"/>
      <w:widowControl/>
    </w:pPr>
    <w:rPr>
      <w:rFonts w:ascii="Times New Roman" w:hAnsi="Times New Roman"/>
      <w:sz w:val="20"/>
      <w:szCs w:val="20"/>
      <w:lang w:val="de-DE" w:eastAsia="de-DE"/>
    </w:rPr>
  </w:style>
  <w:style w:type="paragraph" w:styleId="1217"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rPr>
  </w:style>
  <w:style w:type="paragraph" w:styleId="1218" w:customStyle="1">
    <w:name w:val="font7"/>
    <w:basedOn w:val="799"/>
    <w:uiPriority w:val="0"/>
    <w:qFormat/>
    <w:pPr>
      <w:jc w:val="left"/>
      <w:spacing w:before="100" w:beforeAutospacing="1" w:after="100" w:afterAutospacing="1"/>
      <w:widowControl/>
    </w:pPr>
    <w:rPr>
      <w:rFonts w:hint="eastAsia" w:ascii="宋体" w:hAnsi="宋体"/>
      <w:sz w:val="18"/>
      <w:szCs w:val="18"/>
    </w:rPr>
  </w:style>
  <w:style w:type="paragraph" w:styleId="1219" w:customStyle="1">
    <w:name w:val="Char Char Char Char"/>
    <w:basedOn w:val="819"/>
    <w:uiPriority w:val="0"/>
    <w:qFormat/>
    <w:pPr>
      <w:spacing w:line="360" w:lineRule="auto"/>
    </w:pPr>
    <w:rPr>
      <w:rFonts w:ascii="Tahoma" w:hAnsi="Tahoma"/>
      <w:sz w:val="24"/>
      <w:szCs w:val="24"/>
    </w:rPr>
  </w:style>
  <w:style w:type="paragraph" w:styleId="1220" w:customStyle="1">
    <w:name w:val="4"/>
    <w:basedOn w:val="799"/>
    <w:next w:val="841"/>
    <w:uiPriority w:val="0"/>
    <w:qFormat/>
    <w:pPr>
      <w:ind w:firstLine="420"/>
      <w:spacing w:line="360" w:lineRule="auto"/>
    </w:pPr>
    <w:rPr>
      <w:rFonts w:ascii="Times New Roman" w:hAnsi="Times New Roman"/>
      <w:color w:val="ff0000"/>
      <w:sz w:val="24"/>
      <w:szCs w:val="24"/>
    </w:rPr>
  </w:style>
  <w:style w:type="paragraph" w:styleId="1221" w:customStyle="1">
    <w:name w:val="普通 (Web)"/>
    <w:basedOn w:val="799"/>
    <w:uiPriority w:val="0"/>
    <w:qFormat/>
    <w:pPr>
      <w:jc w:val="left"/>
      <w:spacing w:before="100" w:beforeAutospacing="1" w:after="100" w:afterAutospacing="1"/>
      <w:widowControl/>
    </w:pPr>
    <w:rPr>
      <w:rFonts w:ascii="宋体" w:hAnsi="宋体"/>
      <w:sz w:val="24"/>
      <w:szCs w:val="24"/>
    </w:rPr>
  </w:style>
  <w:style w:type="paragraph" w:styleId="1222" w:customStyle="1">
    <w:name w:val="Char Char Char Char Char Char Char Char Char Char"/>
    <w:basedOn w:val="799"/>
    <w:uiPriority w:val="0"/>
    <w:qFormat/>
    <w:pPr>
      <w:spacing w:line="360" w:lineRule="auto"/>
    </w:pPr>
    <w:rPr>
      <w:rFonts w:ascii="Times New Roman" w:hAnsi="Times New Roman"/>
      <w:sz w:val="24"/>
      <w:szCs w:val="20"/>
    </w:rPr>
  </w:style>
  <w:style w:type="paragraph" w:styleId="1223" w:customStyle="1">
    <w:name w:val="样式1"/>
    <w:basedOn w:val="799"/>
    <w:uiPriority w:val="0"/>
    <w:qFormat/>
    <w:pPr>
      <w:numPr>
        <w:ilvl w:val="0"/>
        <w:numId w:val="2"/>
      </w:numPr>
      <w:tabs>
        <w:tab w:val="left" w:pos="709" w:leader="none"/>
      </w:tabs>
    </w:pPr>
    <w:rPr>
      <w:rFonts w:ascii="宋体" w:hAnsi="宋体"/>
      <w:szCs w:val="21"/>
    </w:rPr>
  </w:style>
  <w:style w:type="paragraph" w:styleId="1224" w:customStyle="1">
    <w:name w:val="font6"/>
    <w:basedOn w:val="799"/>
    <w:uiPriority w:val="0"/>
    <w:qFormat/>
    <w:pPr>
      <w:jc w:val="left"/>
      <w:spacing w:before="100" w:beforeAutospacing="1" w:after="100" w:afterAutospacing="1"/>
      <w:widowControl/>
    </w:pPr>
    <w:rPr>
      <w:rFonts w:hint="eastAsia" w:ascii="宋体" w:hAnsi="宋体"/>
      <w:sz w:val="28"/>
      <w:szCs w:val="28"/>
      <w:u w:val="single"/>
    </w:rPr>
  </w:style>
  <w:style w:type="paragraph" w:styleId="1225" w:customStyle="1">
    <w:name w:val="xl25"/>
    <w:basedOn w:val="7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6" w:customStyle="1">
    <w:name w:val="图标"/>
    <w:basedOn w:val="799"/>
    <w:next w:val="79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7" w:customStyle="1">
    <w:name w:val="标题3"/>
    <w:basedOn w:val="799"/>
    <w:next w:val="799"/>
    <w:uiPriority w:val="0"/>
    <w:qFormat/>
    <w:pPr>
      <w:ind w:firstLine="624"/>
      <w:spacing w:line="590" w:lineRule="atLeast"/>
    </w:pPr>
    <w:rPr>
      <w:rFonts w:ascii="方正黑体_GBK" w:hAnsi="Times New Roman" w:eastAsia="方正黑体_GBK"/>
      <w:sz w:val="32"/>
      <w:szCs w:val="32"/>
    </w:rPr>
  </w:style>
  <w:style w:type="paragraph" w:styleId="1228" w:customStyle="1">
    <w:name w:val="xl24"/>
    <w:basedOn w:val="7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9" w:customStyle="1">
    <w:name w:val="xl29"/>
    <w:basedOn w:val="79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0" w:customStyle="1">
    <w:name w:val="Char Char Char Char Char Char Char Char"/>
    <w:basedOn w:val="799"/>
    <w:uiPriority w:val="0"/>
    <w:qFormat/>
    <w:pPr>
      <w:jc w:val="left"/>
      <w:spacing w:after="160" w:line="240" w:lineRule="exact"/>
      <w:widowControl/>
    </w:pPr>
    <w:rPr>
      <w:rFonts w:ascii="Verdana" w:hAnsi="Verdana"/>
      <w:sz w:val="20"/>
      <w:szCs w:val="20"/>
      <w:lang w:eastAsia="en-US"/>
    </w:rPr>
  </w:style>
  <w:style w:type="paragraph" w:styleId="1231" w:customStyle="1">
    <w:name w:val="xl28"/>
    <w:basedOn w:val="7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2" w:customStyle="1">
    <w:name w:val="Char Char Char Char Char Char Char Char1"/>
    <w:basedOn w:val="799"/>
    <w:uiPriority w:val="0"/>
    <w:qFormat/>
    <w:pPr>
      <w:jc w:val="left"/>
      <w:spacing w:after="160" w:line="240" w:lineRule="exact"/>
      <w:widowControl/>
    </w:pPr>
    <w:rPr>
      <w:rFonts w:ascii="Verdana" w:hAnsi="Verdana"/>
      <w:sz w:val="20"/>
      <w:szCs w:val="20"/>
      <w:lang w:eastAsia="en-US"/>
    </w:rPr>
  </w:style>
  <w:style w:type="paragraph" w:styleId="1233" w:customStyle="1">
    <w:name w:val="xl30"/>
    <w:basedOn w:val="799"/>
    <w:uiPriority w:val="0"/>
    <w:qFormat/>
    <w:pPr>
      <w:jc w:val="center"/>
      <w:spacing w:before="100" w:beforeAutospacing="1" w:after="100" w:afterAutospacing="1"/>
      <w:widowControl/>
    </w:pPr>
    <w:rPr>
      <w:rFonts w:ascii="宋体" w:hAnsi="宋体"/>
      <w:b/>
      <w:bCs/>
      <w:sz w:val="36"/>
      <w:szCs w:val="36"/>
    </w:rPr>
  </w:style>
  <w:style w:type="paragraph" w:styleId="1234" w:customStyle="1">
    <w:name w:val="Char Char Char Char1"/>
    <w:basedOn w:val="819"/>
    <w:uiPriority w:val="0"/>
    <w:qFormat/>
    <w:pPr>
      <w:spacing w:line="360" w:lineRule="auto"/>
    </w:pPr>
    <w:rPr>
      <w:rFonts w:ascii="Tahoma" w:hAnsi="Tahoma"/>
      <w:sz w:val="24"/>
      <w:szCs w:val="24"/>
    </w:rPr>
  </w:style>
  <w:style w:type="paragraph" w:styleId="1235" w:customStyle="1">
    <w:name w:val="table_1stline"/>
    <w:basedOn w:val="799"/>
    <w:uiPriority w:val="0"/>
    <w:qFormat/>
    <w:pPr>
      <w:jc w:val="left"/>
      <w:spacing w:before="120"/>
      <w:widowControl/>
    </w:pPr>
    <w:rPr>
      <w:rFonts w:ascii="Times New Roman" w:hAnsi="Times New Roman"/>
      <w:bCs/>
      <w:sz w:val="20"/>
      <w:szCs w:val="20"/>
      <w:lang w:val="de-DE" w:eastAsia="de-DE"/>
    </w:rPr>
  </w:style>
  <w:style w:type="paragraph" w:styleId="1236" w:customStyle="1">
    <w:name w:val="font5"/>
    <w:basedOn w:val="799"/>
    <w:uiPriority w:val="0"/>
    <w:qFormat/>
    <w:pPr>
      <w:jc w:val="left"/>
      <w:spacing w:before="100" w:beforeAutospacing="1" w:after="100" w:afterAutospacing="1"/>
      <w:widowControl/>
    </w:pPr>
    <w:rPr>
      <w:rFonts w:hint="eastAsia" w:ascii="宋体" w:hAnsi="宋体"/>
      <w:sz w:val="28"/>
      <w:szCs w:val="28"/>
    </w:rPr>
  </w:style>
  <w:style w:type="paragraph" w:styleId="1237" w:customStyle="1">
    <w:name w:val="标题1"/>
    <w:basedOn w:val="799"/>
    <w:next w:val="79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8" w:customStyle="1">
    <w:name w:val="修订1"/>
    <w:uiPriority w:val="99"/>
    <w:semiHidden/>
    <w:qFormat/>
    <w:rPr>
      <w:rFonts w:hint="default" w:ascii="Times New Roman" w:hAnsi="Times New Roman" w:eastAsia="宋体" w:cs="Times New Roman"/>
      <w:sz w:val="21"/>
      <w:szCs w:val="21"/>
    </w:rPr>
  </w:style>
  <w:style w:type="table" w:styleId="1239" w:customStyle="1">
    <w:name w:val="Table Normal"/>
    <w:uiPriority w:val="0"/>
    <w:qFormat/>
    <w:tblPr>
      <w:tblCellMar>
        <w:left w:w="0" w:type="dxa"/>
        <w:top w:w="0" w:type="dxa"/>
        <w:right w:w="0" w:type="dxa"/>
        <w:bottom w:w="0" w:type="dxa"/>
      </w:tblCellMar>
    </w:tblPr>
  </w:style>
  <w:style w:type="paragraph" w:styleId="1240" w:customStyle="1">
    <w:name w:val="正文文本12"/>
    <w:basedOn w:val="799"/>
    <w:uiPriority w:val="1"/>
    <w:qFormat/>
    <w:pPr>
      <w:ind w:left="120"/>
    </w:pPr>
    <w:rPr>
      <w:rFonts w:ascii="宋体" w:hAnsi="宋体" w:cs="宋体"/>
      <w:szCs w:val="21"/>
      <w:lang w:val="zh-CN" w:bidi="zh-CN"/>
    </w:rPr>
  </w:style>
  <w:style w:type="paragraph" w:styleId="1241" w:customStyle="1">
    <w:name w:val="首行缩进"/>
    <w:basedOn w:val="799"/>
    <w:uiPriority w:val="0"/>
    <w:qFormat/>
    <w:pPr>
      <w:ind w:firstLine="480"/>
    </w:pPr>
    <w:rPr>
      <w:rFonts w:ascii="Times New Roman" w:hAnsi="Times New Roman"/>
      <w:szCs w:val="21"/>
      <w:lang w:val="zh-CN"/>
    </w:rPr>
  </w:style>
  <w:style w:type="paragraph" w:styleId="1242" w:customStyle="1">
    <w:name w:val="部分1"/>
    <w:basedOn w:val="799"/>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3" w:customStyle="1">
    <w:name w:val="15"/>
    <w:uiPriority w:val="0"/>
    <w:qFormat/>
    <w:rPr>
      <w:rFonts w:ascii="Times New Roman" w:hAnsi="Times New Roman" w:cs="Times New Roman"/>
    </w:rPr>
  </w:style>
  <w:style w:type="paragraph" w:styleId="1244" w:customStyle="1">
    <w:name w:val="正文文本缩进 2_0"/>
    <w:basedOn w:val="1082"/>
    <w:uiPriority w:val="0"/>
    <w:qFormat/>
    <w:pPr>
      <w:ind w:firstLine="720"/>
      <w:jc w:val="left"/>
      <w:spacing w:line="540" w:lineRule="exact"/>
    </w:pPr>
    <w:rPr>
      <w:rFonts w:ascii="仿宋_GB2312" w:hAnsi="仿宋_GB2312" w:cs="宋体"/>
      <w:sz w:val="32"/>
      <w:szCs w:val="32"/>
    </w:rPr>
  </w:style>
  <w:style w:type="character" w:styleId="1245" w:customStyle="1">
    <w:name w:val="10"/>
    <w:uiPriority w:val="0"/>
    <w:qFormat/>
    <w:rPr>
      <w:rFonts w:ascii="Times New Roman" w:hAnsi="Times New Roman" w:cs="Times New Roman"/>
    </w:rPr>
  </w:style>
  <w:style w:type="paragraph" w:styleId="1246" w:customStyle="1">
    <w:name w:val="正文_16_1"/>
    <w:basedOn w:val="799"/>
    <w:uiPriority w:val="0"/>
    <w:qFormat/>
    <w:rPr>
      <w:rFonts w:ascii="Times New Roman" w:hAnsi="Times New Roman"/>
      <w:szCs w:val="21"/>
    </w:rPr>
  </w:style>
  <w:style w:type="paragraph" w:styleId="1247" w:customStyle="1">
    <w:name w:val="页脚1"/>
    <w:basedOn w:val="799"/>
    <w:uiPriority w:val="0"/>
    <w:qFormat/>
    <w:pPr>
      <w:jc w:val="left"/>
      <w:tabs>
        <w:tab w:val="center" w:pos="4153" w:leader="none"/>
        <w:tab w:val="right" w:pos="8306" w:leader="none"/>
      </w:tabs>
    </w:pPr>
    <w:rPr>
      <w:sz w:val="18"/>
      <w:szCs w:val="18"/>
    </w:rPr>
  </w:style>
  <w:style w:type="character" w:styleId="1248" w:customStyle="1">
    <w:name w:val="页码1"/>
    <w:uiPriority w:val="0"/>
    <w:qFormat/>
  </w:style>
  <w:style w:type="paragraph" w:styleId="1249" w:customStyle="1">
    <w:name w:val="*正文"/>
    <w:basedOn w:val="817"/>
    <w:uiPriority w:val="0"/>
    <w:qFormat/>
    <w:pPr>
      <w:ind w:firstLine="200"/>
    </w:pPr>
    <w:rPr>
      <w:rFonts w:hAnsi="宋体"/>
      <w:szCs w:val="24"/>
    </w:rPr>
  </w:style>
  <w:style w:type="paragraph" w:styleId="1250" w:customStyle="1">
    <w:name w:val="*正文_0"/>
    <w:basedOn w:val="1251"/>
    <w:uiPriority w:val="0"/>
    <w:qFormat/>
    <w:pPr>
      <w:ind w:firstLine="200"/>
      <w:spacing w:line="360" w:lineRule="auto"/>
    </w:pPr>
    <w:rPr>
      <w:rFonts w:ascii="宋体" w:hAnsi="宋体" w:eastAsia="Arial" w:cs="Arial"/>
      <w:color w:val="000000"/>
      <w:sz w:val="24"/>
    </w:rPr>
  </w:style>
  <w:style w:type="paragraph" w:styleId="1251" w:customStyle="1">
    <w:name w:val="正文缩进_2"/>
    <w:basedOn w:val="1105"/>
    <w:uiPriority w:val="0"/>
    <w:unhideWhenUsed/>
    <w:qFormat/>
    <w:pPr>
      <w:ind w:firstLine="420"/>
      <w:jc w:val="left"/>
      <w:widowControl/>
    </w:pPr>
    <w:rPr>
      <w:rFonts w:ascii="Times New Roman" w:hAnsi="Times New Roman"/>
      <w:sz w:val="20"/>
      <w:szCs w:val="24"/>
    </w:rPr>
  </w:style>
  <w:style w:type="paragraph" w:styleId="1252" w:customStyle="1">
    <w:name w:val="*正文_0_0"/>
    <w:basedOn w:val="1105"/>
    <w:uiPriority w:val="0"/>
    <w:qFormat/>
    <w:pPr>
      <w:ind w:firstLine="200"/>
      <w:jc w:val="left"/>
      <w:spacing w:line="360" w:lineRule="auto"/>
      <w:widowControl/>
    </w:pPr>
    <w:rPr>
      <w:rFonts w:ascii="宋体" w:hAnsi="宋体" w:eastAsia="Arial" w:cs="Arial"/>
      <w:color w:val="000000"/>
      <w:sz w:val="24"/>
      <w:szCs w:val="24"/>
    </w:rPr>
  </w:style>
  <w:style w:type="paragraph" w:styleId="1253" w:customStyle="1">
    <w:name w:val="无间隔1_0_0"/>
    <w:basedOn w:val="1105"/>
    <w:uiPriority w:val="0"/>
    <w:qFormat/>
    <w:rPr>
      <w:rFonts w:ascii="Times New Roman" w:hAnsi="Times New Roman"/>
      <w:szCs w:val="21"/>
    </w:rPr>
  </w:style>
  <w:style w:type="paragraph" w:styleId="1254" w:customStyle="1">
    <w:name w:val="正文_0_2"/>
    <w:uiPriority w:val="0"/>
    <w:qFormat/>
    <w:pPr>
      <w:jc w:val="both"/>
      <w:widowControl w:val="off"/>
    </w:pPr>
    <w:rPr>
      <w:rFonts w:hint="default" w:ascii="Times New Roman" w:hAnsi="Times New Roman" w:eastAsia="宋体" w:cs="Times New Roman"/>
      <w:szCs w:val="24"/>
    </w:rPr>
  </w:style>
  <w:style w:type="paragraph" w:styleId="1255" w:customStyle="1">
    <w:name w:val="标题 4_0"/>
    <w:basedOn w:val="1256"/>
    <w:next w:val="1256"/>
    <w:uiPriority w:val="9"/>
    <w:unhideWhenUsed/>
    <w:qFormat/>
    <w:pPr>
      <w:keepLines/>
      <w:keepNext/>
      <w:spacing w:before="280" w:after="290" w:line="372" w:lineRule="auto"/>
      <w:outlineLvl w:val="3"/>
    </w:pPr>
    <w:rPr>
      <w:rFonts w:ascii="Arial" w:hAnsi="Arial" w:eastAsia="黑体"/>
      <w:b/>
      <w:sz w:val="28"/>
    </w:rPr>
  </w:style>
  <w:style w:type="paragraph" w:styleId="1256" w:customStyle="1">
    <w:name w:val="正文4"/>
    <w:uiPriority w:val="0"/>
    <w:qFormat/>
    <w:pPr>
      <w:jc w:val="both"/>
      <w:widowControl w:val="off"/>
    </w:pPr>
    <w:rPr>
      <w:rFonts w:hint="default" w:ascii="Calibri" w:hAnsi="Calibri" w:eastAsia="宋体" w:cs="Times New Roman"/>
    </w:rPr>
  </w:style>
  <w:style w:type="paragraph" w:styleId="1257" w:customStyle="1">
    <w:name w:val="正文_3_0_0"/>
    <w:uiPriority w:val="0"/>
    <w:qFormat/>
    <w:pPr>
      <w:jc w:val="both"/>
      <w:widowControl w:val="off"/>
    </w:pPr>
    <w:rPr>
      <w:rFonts w:hint="default" w:ascii="Times New Roman" w:hAnsi="Times New Roman" w:eastAsia="宋体" w:cs="Times New Roman"/>
    </w:rPr>
  </w:style>
  <w:style w:type="paragraph" w:styleId="1258" w:customStyle="1">
    <w:name w:val="p17_0_0"/>
    <w:basedOn w:val="1148"/>
    <w:uiPriority w:val="0"/>
    <w:qFormat/>
    <w:pPr>
      <w:jc w:val="left"/>
      <w:spacing w:before="100" w:beforeAutospacing="1" w:after="100" w:afterAutospacing="1"/>
      <w:widowControl/>
    </w:pPr>
    <w:rPr>
      <w:rFonts w:ascii="宋体" w:hAnsi="宋体" w:eastAsia="Times New Roman" w:cs="宋体"/>
      <w:sz w:val="24"/>
    </w:rPr>
  </w:style>
  <w:style w:type="paragraph" w:styleId="1259" w:customStyle="1">
    <w:name w:val="p17_0"/>
    <w:basedOn w:val="813"/>
    <w:uiPriority w:val="0"/>
    <w:qFormat/>
    <w:pPr>
      <w:spacing w:before="100" w:beforeAutospacing="1" w:after="100" w:afterAutospacing="1"/>
    </w:pPr>
    <w:rPr>
      <w:rFonts w:ascii="宋体" w:hAnsi="宋体" w:eastAsia="Times New Roman" w:cs="宋体"/>
      <w:sz w:val="24"/>
    </w:rPr>
  </w:style>
  <w:style w:type="paragraph" w:styleId="1260" w:customStyle="1">
    <w:name w:val="普通(网站)11"/>
    <w:basedOn w:val="799"/>
    <w:uiPriority w:val="99"/>
    <w:qFormat/>
    <w:rPr>
      <w:sz w:val="24"/>
    </w:rPr>
  </w:style>
  <w:style w:type="paragraph" w:styleId="1261"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262" w:customStyle="1">
    <w:name w:val="正文_2_1"/>
    <w:uiPriority w:val="0"/>
    <w:qFormat/>
    <w:pPr>
      <w:jc w:val="both"/>
      <w:widowControl w:val="off"/>
    </w:pPr>
    <w:rPr>
      <w:rFonts w:hint="default" w:ascii="Times New Roman" w:hAnsi="Times New Roman" w:eastAsia="宋体" w:cs="Times New Roman"/>
      <w:sz w:val="21"/>
      <w:szCs w:val="22"/>
    </w:rPr>
  </w:style>
  <w:style w:type="paragraph" w:styleId="1263" w:customStyle="1">
    <w:name w:val="标题 11"/>
    <w:basedOn w:val="799"/>
    <w:next w:val="799"/>
    <w:uiPriority w:val="0"/>
    <w:qFormat/>
    <w:pPr>
      <w:keepLines/>
      <w:keepNext/>
      <w:spacing w:before="480" w:after="200"/>
      <w:outlineLvl w:val="0"/>
    </w:pPr>
    <w:rPr>
      <w:rFonts w:ascii="Arial" w:hAnsi="Arial" w:eastAsia="Arial" w:cs="Arial"/>
      <w:sz w:val="40"/>
      <w:szCs w:val="40"/>
    </w:rPr>
  </w:style>
  <w:style w:type="paragraph" w:styleId="1264" w:customStyle="1">
    <w:name w:val="标题 211"/>
    <w:basedOn w:val="799"/>
    <w:next w:val="1265"/>
    <w:uiPriority w:val="0"/>
    <w:qFormat/>
    <w:pPr>
      <w:keepLines/>
      <w:keepNext/>
      <w:spacing w:before="260" w:after="260" w:line="413" w:lineRule="auto"/>
      <w:outlineLvl w:val="1"/>
    </w:pPr>
    <w:rPr>
      <w:rFonts w:ascii="Arial" w:hAnsi="Arial" w:eastAsia="黑体"/>
      <w:b/>
      <w:sz w:val="32"/>
      <w:szCs w:val="20"/>
    </w:rPr>
  </w:style>
  <w:style w:type="paragraph" w:styleId="1265" w:customStyle="1">
    <w:name w:val="正文缩进11"/>
    <w:basedOn w:val="799"/>
    <w:uiPriority w:val="0"/>
    <w:qFormat/>
    <w:pPr>
      <w:ind w:firstLine="420"/>
    </w:pPr>
    <w:rPr>
      <w:rFonts w:ascii="宋体"/>
      <w:color w:val="000000"/>
      <w:sz w:val="24"/>
      <w:szCs w:val="20"/>
    </w:rPr>
  </w:style>
  <w:style w:type="paragraph" w:styleId="1266" w:customStyle="1">
    <w:name w:val="正文文本4"/>
    <w:basedOn w:val="903"/>
    <w:uiPriority w:val="0"/>
    <w:qFormat/>
    <w:pPr>
      <w:spacing w:line="60" w:lineRule="auto"/>
    </w:pPr>
    <w:rPr>
      <w:rFonts w:ascii="仿宋_GB2312" w:eastAsia="仿宋_GB2312"/>
      <w:sz w:val="32"/>
      <w:szCs w:val="22"/>
    </w:rPr>
  </w:style>
  <w:style w:type="paragraph" w:styleId="1267" w:customStyle="1">
    <w:name w:val="列出段落_1"/>
    <w:basedOn w:val="906"/>
    <w:uiPriority w:val="0"/>
    <w:qFormat/>
    <w:pPr>
      <w:ind w:firstLine="420"/>
    </w:pPr>
    <w:rPr>
      <w:rFonts w:eastAsia="Times New Roman"/>
    </w:rPr>
  </w:style>
  <w:style w:type="paragraph" w:styleId="1268" w:customStyle="1">
    <w:name w:val="Body Text Indent_0"/>
    <w:basedOn w:val="906"/>
    <w:uiPriority w:val="0"/>
    <w:qFormat/>
    <w:pPr>
      <w:ind w:firstLine="225"/>
    </w:pPr>
    <w:rPr>
      <w:rFonts w:ascii="仿宋_GB2312" w:eastAsia="仿宋_GB2312"/>
      <w:sz w:val="32"/>
    </w:rPr>
  </w:style>
  <w:style w:type="paragraph" w:styleId="1269" w:customStyle="1">
    <w:name w:val="列出段落3_0"/>
    <w:basedOn w:val="1164"/>
    <w:uiPriority w:val="0"/>
    <w:qFormat/>
    <w:pPr>
      <w:ind w:firstLine="420"/>
    </w:pPr>
    <w:rPr>
      <w:rFonts w:eastAsia="Times New Roman"/>
    </w:rPr>
  </w:style>
  <w:style w:type="paragraph" w:styleId="1270" w:customStyle="1">
    <w:name w:val="Body Text Indent 2_0"/>
    <w:basedOn w:val="906"/>
    <w:uiPriority w:val="0"/>
    <w:qFormat/>
    <w:pPr>
      <w:ind w:firstLine="225"/>
      <w:jc w:val="left"/>
      <w:spacing w:line="540" w:lineRule="exact"/>
    </w:pPr>
    <w:rPr>
      <w:rFonts w:ascii="仿宋_GB2312" w:eastAsia="仿宋_GB2312"/>
      <w:sz w:val="32"/>
    </w:rPr>
  </w:style>
  <w:style w:type="paragraph" w:styleId="1271" w:customStyle="1">
    <w:name w:val="List Paragraph_0_0"/>
    <w:basedOn w:val="1164"/>
    <w:uiPriority w:val="0"/>
    <w:qFormat/>
    <w:pPr>
      <w:ind w:firstLine="420"/>
    </w:pPr>
    <w:rPr>
      <w:rFonts w:eastAsia="Times New Roman"/>
    </w:rPr>
  </w:style>
  <w:style w:type="paragraph" w:styleId="1272" w:customStyle="1">
    <w:name w:val="UserStyle_201_0"/>
    <w:uiPriority w:val="0"/>
    <w:qFormat/>
    <w:pPr>
      <w:jc w:val="both"/>
    </w:pPr>
    <w:rPr>
      <w:rFonts w:ascii="Calibri" w:hAnsi="Calibri" w:eastAsia="宋体" w:cs="Times New Roman"/>
      <w:lang w:val="en-US" w:eastAsia="zh-CN" w:bidi="ar-SA"/>
    </w:rPr>
  </w:style>
  <w:style w:type="character" w:styleId="1273" w:customStyle="1">
    <w:name w:val="NormalCharacter_0"/>
    <w:link w:val="1274"/>
    <w:uiPriority w:val="0"/>
    <w:qFormat/>
    <w:rPr>
      <w:rFonts w:eastAsia="Times New Roman"/>
      <w:sz w:val="21"/>
      <w:szCs w:val="22"/>
    </w:rPr>
  </w:style>
  <w:style w:type="paragraph" w:styleId="1274" w:customStyle="1">
    <w:name w:val="UserStyle_150_0"/>
    <w:basedOn w:val="1164"/>
    <w:link w:val="1273"/>
    <w:uiPriority w:val="0"/>
    <w:qFormat/>
    <w:rPr>
      <w:rFonts w:eastAsia="Times New Roman"/>
      <w:sz w:val="21"/>
      <w:szCs w:val="22"/>
    </w:rPr>
  </w:style>
  <w:style w:type="paragraph" w:styleId="1275" w:customStyle="1">
    <w:name w:val="Heading 2_0"/>
    <w:basedOn w:val="906"/>
    <w:next w:val="906"/>
    <w:uiPriority w:val="0"/>
    <w:qFormat/>
    <w:pPr>
      <w:keepLines/>
      <w:keepNext/>
      <w:spacing w:before="260" w:after="260" w:line="413" w:lineRule="auto"/>
      <w:outlineLvl w:val="1"/>
    </w:pPr>
    <w:rPr>
      <w:rFonts w:ascii="Arial" w:hAnsi="Arial" w:eastAsia="黑体"/>
      <w:b/>
      <w:sz w:val="32"/>
    </w:rPr>
  </w:style>
  <w:style w:type="paragraph" w:styleId="1276" w:customStyle="1">
    <w:name w:val="Body text|1"/>
    <w:basedOn w:val="903"/>
    <w:uiPriority w:val="0"/>
    <w:qFormat/>
    <w:pPr>
      <w:ind w:firstLine="400"/>
      <w:spacing w:line="420" w:lineRule="auto"/>
    </w:pPr>
    <w:rPr>
      <w:rFonts w:ascii="宋体" w:hAnsi="宋体" w:eastAsia="Times New Roman" w:cs="宋体"/>
      <w:sz w:val="30"/>
      <w:szCs w:val="30"/>
      <w:lang w:val="zh-TW" w:eastAsia="zh-TW" w:bidi="zh-TW"/>
    </w:rPr>
  </w:style>
  <w:style w:type="paragraph" w:styleId="1277" w:customStyle="1">
    <w:name w:val="Normal_11_1"/>
    <w:uiPriority w:val="0"/>
    <w:qFormat/>
    <w:pPr>
      <w:jc w:val="both"/>
      <w:widowControl w:val="off"/>
    </w:pPr>
    <w:rPr>
      <w:rFonts w:hint="default" w:ascii="Times New Roman" w:hAnsi="Times New Roman" w:eastAsia="宋体" w:cs="Times New Roman"/>
      <w:lang w:bidi="ar-SA"/>
    </w:rPr>
  </w:style>
  <w:style w:type="paragraph" w:styleId="1278" w:customStyle="1">
    <w:name w:val="列出段落3"/>
    <w:basedOn w:val="799"/>
    <w:uiPriority w:val="0"/>
    <w:qFormat/>
    <w:pPr>
      <w:ind w:firstLine="420"/>
    </w:pPr>
    <w:rPr>
      <w:rFonts w:ascii="Calibri" w:hAnsi="Calibri"/>
      <w:szCs w:val="20"/>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张祥</cp:lastModifiedBy>
  <cp:revision>32</cp:revision>
  <dcterms:created xsi:type="dcterms:W3CDTF">2023-07-23T13:07:00Z</dcterms:created>
  <dcterms:modified xsi:type="dcterms:W3CDTF">2026-05-19T01:40:10Z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eyJoZGlkIjoiODAyYjE2NTJhMzMzODg2NGNjYWU0OWNkMTJiN2E5MWYiLCJ1c2VySWQiOiIxOTQ5NzAzNjMifQ==</vt:lpwstr>
  </property>
  <property fmtid="{D5CDD505-2E9C-101B-9397-08002B2CF9AE}" pid="3" name="KSOProductBuildVer">
    <vt:lpwstr>2052-12.1.0.26375</vt:lpwstr>
  </property>
  <property fmtid="{D5CDD505-2E9C-101B-9397-08002B2CF9AE}" pid="4" name="ICV">
    <vt:lpwstr>D4DB03141BDC4AB89004C7F69FD6F8A3_13</vt:lpwstr>
  </property>
</Properties>
</file>