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spacing w:line="360" w:lineRule="auto"/>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7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0"/>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9"/>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3.2pt;height:113.2pt;mso-wrap-distance-left:0.0pt;mso-wrap-distance-top:0.0pt;mso-wrap-distance-right:0.0pt;mso-wrap-distance-bottom:0.0pt;" stroked="f">
                <v:path textboxrect="0,0,0,0"/>
                <v:imagedata r:id="rId19"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600"/>
        <w:spacing w:line="360" w:lineRule="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JSZC-320500-SZZJ-G2026-0009</w:t>
      </w:r>
      <w:r/>
    </w:p>
    <w:p>
      <w:pPr>
        <w:ind w:firstLine="1600"/>
        <w:spacing w:line="360" w:lineRule="auto"/>
        <w:tabs>
          <w:tab w:val="left" w:pos="1744" w:leader="none"/>
        </w:tabs>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采 购 人：苏州市社会福利总院</w:t>
      </w:r>
      <w:r/>
    </w:p>
    <w:p>
      <w:pPr>
        <w:ind w:firstLine="1600"/>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项目名称：苏州市社会福利总院洗涤服务项目</w:t>
      </w:r>
      <w:r/>
    </w:p>
    <w:p>
      <w:pPr>
        <w:ind w:firstLine="160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项目类别：服务类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0"/>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二○二六年</w:t>
      </w:r>
      <w:r>
        <w:rPr>
          <w:rFonts w:hint="eastAsia" w:ascii="宋体" w:hAnsi="宋体" w:eastAsia="宋体" w:cs="宋体"/>
          <w:color w:val="auto"/>
          <w:sz w:val="32"/>
          <w:highlight w:val="none"/>
          <w:lang w:val="en-US" w:eastAsia="zh-CN"/>
        </w:rPr>
        <w:t xml:space="preserve">四</w:t>
      </w:r>
      <w:r>
        <w:rPr>
          <w:rFonts w:hint="eastAsia" w:ascii="宋体" w:hAnsi="宋体" w:eastAsia="宋体" w:cs="宋体"/>
          <w:color w:val="auto"/>
          <w:sz w:val="32"/>
          <w:highlight w:val="none"/>
        </w:rPr>
        <w:t xml:space="preserve">月</w:t>
      </w:r>
      <w:r/>
    </w:p>
    <w:p>
      <w:pPr>
        <w:pStyle w:val="971"/>
        <w:ind w:firstLine="0"/>
        <w:jc w:val="center"/>
        <w:spacing w:line="360" w:lineRule="auto"/>
        <w:rPr>
          <w:rFonts w:ascii="宋体" w:hAnsi="宋体" w:eastAsia="宋体" w:cs="宋体"/>
          <w:color w:val="auto"/>
          <w:sz w:val="52"/>
          <w:highlight w:val="none"/>
        </w:rPr>
        <w:sectPr>
          <w:headerReference w:type="default" r:id="rId9"/>
          <w:footerReference w:type="default" r:id="rId11"/>
          <w:footerReference w:type="even" r:id="rId12"/>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eastAsia="宋体" w:cs="宋体"/>
          <w:color w:val="auto"/>
          <w:sz w:val="52"/>
          <w:highlight w:val="none"/>
        </w:rPr>
      </w:r>
      <w:r/>
    </w:p>
    <w:p>
      <w:pPr>
        <w:pStyle w:val="971"/>
        <w:ind w:firstLine="0"/>
        <w:jc w:val="center"/>
        <w:spacing w:line="360" w:lineRule="auto"/>
        <w:rPr>
          <w:rFonts w:ascii="宋体" w:hAnsi="宋体" w:eastAsia="宋体" w:cs="宋体"/>
          <w:color w:val="auto"/>
          <w:sz w:val="52"/>
          <w:highlight w:val="none"/>
        </w:rPr>
      </w:pPr>
      <w:r>
        <w:rPr>
          <w:rFonts w:ascii="宋体" w:hAnsi="宋体" w:eastAsia="宋体" w:cs="宋体"/>
          <w:color w:val="auto"/>
          <w:sz w:val="52"/>
          <w:highlight w:val="none"/>
        </w:rPr>
      </w:r>
      <w:r/>
    </w:p>
    <w:p>
      <w:pPr>
        <w:pStyle w:val="971"/>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7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71"/>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71"/>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0"/>
          <w:szCs w:val="30"/>
          <w:highlight w:val="none"/>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苏州正杰招投标咨询服务有限公司受苏州市社会福利总院的委托，就其所需的</w:t>
      </w:r>
      <w:r>
        <w:rPr>
          <w:rFonts w:hint="eastAsia" w:ascii="宋体" w:hAnsi="宋体" w:eastAsia="宋体" w:cs="宋体"/>
          <w:color w:val="auto"/>
          <w:sz w:val="24"/>
          <w:szCs w:val="24"/>
          <w:highlight w:val="none"/>
        </w:rPr>
        <w:t xml:space="preserve">苏州市社会福利总院洗涤服务项目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JSZC-320500-SZZJ-G2026-0009</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项目名称：苏州市社会福利总院洗涤服务。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预算金额：人民币1000000.00元。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最高限价：人民币1000000.00元。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1、标的的名称：苏州市社会福利总院洗涤服务项目。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3、简要技术需求或服务要求等：为全院服务对象等提供衣物等洗涤服务。</w:t>
      </w:r>
      <w:r>
        <w:rPr>
          <w:rFonts w:hint="eastAsia" w:ascii="宋体" w:hAnsi="宋体" w:eastAsia="宋体" w:cs="宋体"/>
          <w:bCs/>
          <w:color w:val="auto"/>
          <w:sz w:val="24"/>
          <w:szCs w:val="24"/>
          <w:highlight w:val="none"/>
        </w:rPr>
        <w:t xml:space="preserve">具体详见招标文件采购需求。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4、合同履行期限：2026年7月1日至2028年6月30日。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根据《政府采购促进中小企业发展管理办法》的相关规定，本项目专门面向中小企业，所属行业为</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bCs/>
          <w:color w:val="auto"/>
          <w:sz w:val="24"/>
          <w:szCs w:val="24"/>
          <w:highlight w:val="none"/>
        </w:rPr>
        <w:t xml:space="preserve">，供应商应为中小微企业、监狱企业、残疾人福利性单位。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olor w:val="auto"/>
          <w:sz w:val="24"/>
          <w:szCs w:val="24"/>
          <w:highlight w:val="none"/>
        </w:rPr>
        <w:t xml:space="preserve">无</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7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7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7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1、时间：2026年5月7日13点30分（北京时间）。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20"/>
          <w:rFonts w:hint="eastAsia" w:ascii="宋体" w:hAnsi="宋体" w:eastAsia="宋体" w:cs="宋体"/>
          <w:color w:val="auto"/>
          <w:sz w:val="24"/>
          <w:szCs w:val="24"/>
          <w:highlight w:val="none"/>
        </w:rPr>
        <w:t xml:space="preserve">http：//jszfcg.jsczt.cn/）。</w:t>
      </w:r>
      <w:r>
        <w:rPr>
          <w:rStyle w:val="1020"/>
          <w:rFonts w:hint="eastAsia" w:ascii="宋体" w:hAnsi="宋体" w:eastAsia="宋体" w:cs="宋体"/>
          <w:color w:val="auto"/>
          <w:sz w:val="24"/>
          <w:szCs w:val="24"/>
          <w:highlight w:val="none"/>
        </w:rPr>
        <w:fldChar w:fldCharType="end"/>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rPr>
        <w:t xml:space="preserve">，不需要现场参加采购活动。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线上参加开标（开启）会方式：供应商登录“苏采云”系统，点击“开标大厅”，选择对应项目，点击进入不见面开标系统。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bCs/>
          <w:color w:val="auto"/>
          <w:sz w:val="24"/>
          <w:szCs w:val="24"/>
          <w:highlight w:val="none"/>
          <w:lang w:eastAsia="zh-CN"/>
        </w:rPr>
        <w:t xml:space="preserve">苏州市社会福利总院</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苏州市相城区新福路700号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电话0512-65891088-5109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李安进</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0512-65891088-5109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项目联系人：沈鹰、陈晓梦、</w:t>
      </w:r>
      <w:r>
        <w:rPr>
          <w:rFonts w:hint="eastAsia" w:ascii="宋体" w:hAnsi="宋体" w:eastAsia="宋体" w:cs="宋体"/>
          <w:color w:val="auto"/>
          <w:sz w:val="24"/>
          <w:szCs w:val="24"/>
          <w:highlight w:val="none"/>
          <w:lang w:val="en-US" w:eastAsia="zh-CN"/>
        </w:rPr>
        <w:t xml:space="preserve">徐杰、</w:t>
      </w:r>
      <w:r>
        <w:rPr>
          <w:rFonts w:hint="eastAsia" w:ascii="宋体" w:hAnsi="宋体" w:eastAsia="宋体" w:cs="宋体"/>
          <w:color w:val="auto"/>
          <w:sz w:val="24"/>
          <w:szCs w:val="24"/>
          <w:highlight w:val="none"/>
        </w:rPr>
        <w:t xml:space="preserve">刘木兰。</w:t>
      </w:r>
      <w:r/>
    </w:p>
    <w:p>
      <w:pPr>
        <w:ind w:firstLine="480"/>
        <w:jc w:val="both"/>
        <w:spacing w:before="120"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电话：0512-62826523。</w:t>
      </w: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3.2.4.2其他有关资格证明的文件（若有）。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3.2.5.7其他有关符合性证明的文件（若有）。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3.2.6综合评审投标文件（见第六章）；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以上3.2.5.1-3.2.5.</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ascii="宋体" w:hAnsi="宋体" w:eastAsia="宋体" w:cs="宋体"/>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55"/>
        <w:ind w:firstLine="480"/>
        <w:spacing w:line="360" w:lineRule="auto"/>
        <w:rPr>
          <w:rFonts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4、开标和评标：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1044"/>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4.4.2.4</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w:t>
      </w:r>
      <w:r>
        <w:rPr>
          <w:rFonts w:ascii="宋体" w:hAnsi="宋体" w:eastAsia="宋体" w:cs="宋体"/>
          <w:color w:val="auto"/>
          <w:sz w:val="24"/>
          <w:szCs w:val="24"/>
          <w:highlight w:val="none"/>
        </w:rPr>
        <w:t xml:space="preserve">启动异常低价响应审查后，</w:t>
      </w:r>
      <w:r>
        <w:rPr>
          <w:rFonts w:hint="eastAsia" w:ascii="宋体" w:hAnsi="宋体" w:eastAsia="宋体" w:cs="宋体"/>
          <w:color w:val="auto"/>
          <w:sz w:val="24"/>
          <w:szCs w:val="24"/>
          <w:highlight w:val="none"/>
        </w:rPr>
        <w:t xml:space="preserve">评审小组</w:t>
      </w:r>
      <w:r>
        <w:rPr>
          <w:rFonts w:ascii="宋体" w:hAnsi="宋体" w:eastAsia="宋体" w:cs="宋体"/>
          <w:color w:val="auto"/>
          <w:sz w:val="24"/>
          <w:szCs w:val="24"/>
          <w:highlight w:val="none"/>
        </w:rPr>
        <w:t xml:space="preserve">应当要求相关供应商在评标现场合理的时间内</w:t>
      </w:r>
      <w:r>
        <w:rPr>
          <w:rFonts w:hint="eastAsia" w:ascii="宋体" w:hAnsi="宋体" w:eastAsia="宋体" w:cs="宋体"/>
          <w:color w:val="auto"/>
          <w:sz w:val="24"/>
          <w:szCs w:val="24"/>
          <w:highlight w:val="none"/>
        </w:rPr>
        <w:t xml:space="preserve">（线上开评标项目可通过苏采云系统要求提供）</w:t>
      </w:r>
      <w:r>
        <w:rPr>
          <w:rFonts w:ascii="宋体" w:hAnsi="宋体" w:eastAsia="宋体" w:cs="宋体"/>
          <w:color w:val="auto"/>
          <w:sz w:val="24"/>
          <w:szCs w:val="24"/>
          <w:highlight w:val="none"/>
        </w:rPr>
        <w:t xml:space="preserve">，提供项目具体成本测算等与报价合理性相关的书面说明及相关证明材料，对响应价格作出解释，由</w:t>
      </w:r>
      <w:r>
        <w:rPr>
          <w:rFonts w:hint="eastAsia" w:ascii="宋体" w:hAnsi="宋体" w:eastAsia="宋体" w:cs="宋体"/>
          <w:color w:val="auto"/>
          <w:sz w:val="24"/>
          <w:szCs w:val="24"/>
          <w:highlight w:val="none"/>
        </w:rPr>
        <w:t xml:space="preserve">评审小组</w:t>
      </w:r>
      <w:r>
        <w:rPr>
          <w:rFonts w:ascii="宋体" w:hAnsi="宋体" w:eastAsia="宋体" w:cs="宋体"/>
          <w:color w:val="auto"/>
          <w:sz w:val="24"/>
          <w:szCs w:val="24"/>
          <w:highlight w:val="none"/>
        </w:rPr>
        <w:t xml:space="preserve">结合同类产品在主要电商平台的价格、该行业当地薪资水平等情况，依据专业经验对供应商</w:t>
      </w:r>
      <w:r>
        <w:rPr>
          <w:rFonts w:hint="eastAsia" w:ascii="宋体" w:hAnsi="宋体" w:eastAsia="宋体" w:cs="宋体"/>
          <w:color w:val="auto"/>
          <w:sz w:val="24"/>
          <w:szCs w:val="24"/>
          <w:highlight w:val="none"/>
        </w:rPr>
        <w:t xml:space="preserve">报</w:t>
      </w:r>
      <w:r>
        <w:rPr>
          <w:rFonts w:ascii="宋体" w:hAnsi="宋体" w:eastAsia="宋体" w:cs="宋体"/>
          <w:color w:val="auto"/>
          <w:sz w:val="24"/>
          <w:szCs w:val="24"/>
          <w:highlight w:val="none"/>
        </w:rPr>
        <w:t xml:space="preserve">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none"/>
        </w:rPr>
        <w:t xml:space="preserve">评审</w:t>
      </w:r>
      <w:r>
        <w:rPr>
          <w:rFonts w:hint="eastAsia" w:ascii="宋体" w:hAnsi="宋体" w:eastAsia="宋体" w:cs="宋体"/>
          <w:b/>
          <w:bCs/>
          <w:color w:val="auto"/>
          <w:sz w:val="24"/>
          <w:szCs w:val="24"/>
          <w:highlight w:val="none"/>
        </w:rPr>
        <w:t xml:space="preserve">小组</w:t>
      </w:r>
      <w:r>
        <w:rPr>
          <w:rFonts w:ascii="宋体" w:hAnsi="宋体" w:eastAsia="宋体" w:cs="宋体"/>
          <w:b/>
          <w:bCs/>
          <w:color w:val="auto"/>
          <w:sz w:val="24"/>
          <w:szCs w:val="24"/>
          <w:highlight w:val="none"/>
        </w:rPr>
        <w:t xml:space="preserve">应当将其作为无效响应处理。</w:t>
      </w:r>
      <w:r>
        <w:rPr>
          <w:rFonts w:ascii="宋体" w:hAnsi="宋体" w:eastAsia="宋体" w:cs="宋体"/>
          <w:color w:val="auto"/>
          <w:sz w:val="24"/>
          <w:szCs w:val="24"/>
          <w:highlight w:val="none"/>
        </w:rPr>
        <w:t xml:space="preserve">审查相关情况</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应当在评审报告中进行记录</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3" w:name="_Hlk132389804"/>
      <w:r/>
      <w:bookmarkStart w:id="4" w:name="_Hlk132385599"/>
      <w:r/>
      <w:bookmarkStart w:id="5" w:name="_Hlk132385577"/>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55"/>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11、代理服务费：由中标单位承担。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11.2本项目代理服务费（人民币）：15000.00元。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11.3代理服务费由中标单位在领取中标通知书时一次性付清并含在其投标报价中。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71"/>
        <w:ind w:firstLine="502"/>
        <w:jc w:val="both"/>
        <w:spacing w:line="360" w:lineRule="auto"/>
        <w:rPr>
          <w:rFonts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71"/>
        <w:ind w:firstLine="482"/>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8、如果我们中标，我们愿意在签订合同时按招标文件规定支付中标服务费。</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4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7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w:t>
      </w:r>
      <w:r/>
    </w:p>
    <w:p>
      <w:pPr>
        <w:pStyle w:val="97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7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7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姓名）系（单位名称）的法定代表人，现授权委托（单位名称）的（姓名）为我公司代理人，并以本公司的名义在号（项目编号）采购项目的开标、评标和合同签订过程中所签署的一切文件和处理与这有关的一切事务，我公司均予以承认。</w:t>
      </w:r>
      <w:r/>
    </w:p>
    <w:p>
      <w:pPr>
        <w:pStyle w:val="97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7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1045"/>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7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7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71"/>
        <w:ind w:firstLine="482"/>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71"/>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1005"/>
        <w:ind w:firstLine="480"/>
        <w:jc w:val="both"/>
        <w:spacing w:line="360" w:lineRule="auto"/>
        <w:rPr>
          <w:rFonts w:hint="default" w:cs="宋体"/>
          <w:color w:val="auto"/>
          <w:highlight w:val="none"/>
        </w:rPr>
      </w:pPr>
      <w:r>
        <w:rPr>
          <w:rFonts w:hint="default" w:cs="宋体"/>
          <w:color w:val="auto"/>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firstLine="0"/>
        <w:jc w:val="center"/>
        <w:spacing w:line="360" w:lineRule="auto"/>
        <w:rPr>
          <w:rFonts w:ascii="宋体" w:hAnsi="宋体" w:eastAsia="宋体" w:cs="宋体"/>
          <w:color w:val="auto"/>
          <w:szCs w:val="24"/>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45"/>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10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号的招标活动进行投标。本公司所提交的投标文件中所有关于投标资格的文件、证明和陈述均是真实的、准确的和有效的。若与事实情况不符，本公司愿意承担由此而产生的一切后果。</w:t>
      </w:r>
      <w:r/>
    </w:p>
    <w:p>
      <w:pPr>
        <w:pStyle w:val="1045"/>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1045"/>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45"/>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45"/>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59"/>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59"/>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59"/>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59"/>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6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8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8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8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8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83"/>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293" w:type="dxa"/>
            <w:vAlign w:val="center"/>
            <w:textDirection w:val="lrTb"/>
            <w:noWrap w:val="false"/>
          </w:tcPr>
          <w:p>
            <w:pPr>
              <w:pStyle w:val="983"/>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01" w:type="dxa"/>
            <w:vAlign w:val="center"/>
            <w:textDirection w:val="lrTb"/>
            <w:noWrap w:val="false"/>
          </w:tcPr>
          <w:p>
            <w:pPr>
              <w:pStyle w:val="983"/>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331" w:type="dxa"/>
            <w:vAlign w:val="center"/>
            <w:textDirection w:val="lrTb"/>
            <w:noWrap w:val="false"/>
          </w:tcPr>
          <w:p>
            <w:pPr>
              <w:pStyle w:val="983"/>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83"/>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45"/>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45"/>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45"/>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71"/>
        <w:ind w:right="420" w:firstLine="0"/>
        <w:spacing w:line="360" w:lineRule="auto"/>
        <w:rPr>
          <w:rFonts w:ascii="宋体" w:hAnsi="宋体" w:eastAsia="宋体" w:cs="宋体"/>
          <w:color w:val="auto"/>
          <w:szCs w:val="24"/>
          <w:highlight w:val="none"/>
        </w:rPr>
      </w:pPr>
      <w:r/>
      <w:bookmarkStart w:id="6"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r/>
    </w:p>
    <w:tbl>
      <w:tblPr>
        <w:tblStyle w:val="969"/>
        <w:tblW w:w="0" w:type="auto"/>
        <w:jc w:val="center"/>
        <w:tblLayout w:type="fixed"/>
        <w:tblCellMar>
          <w:left w:w="108" w:type="dxa"/>
          <w:top w:w="0" w:type="dxa"/>
          <w:right w:w="108" w:type="dxa"/>
          <w:bottom w:w="0" w:type="dxa"/>
        </w:tblCellMar>
        <w:tblLook w:val="04A0" w:firstRow="1" w:lastRow="0" w:firstColumn="1" w:lastColumn="0" w:noHBand="0" w:noVBand="1"/>
      </w:tblPr>
      <w:tblGrid>
        <w:gridCol w:w="2048"/>
        <w:gridCol w:w="4514"/>
        <w:gridCol w:w="2834"/>
      </w:tblGrid>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报价（元）</w:t>
            </w:r>
            <w:r/>
          </w:p>
        </w:tc>
      </w:tr>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40"/>
        </w:trPr>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451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40"/>
        </w:trPr>
        <w:tc>
          <w:tcPr>
            <w:gridSpan w:val="3"/>
            <w:tcBorders>
              <w:top w:val="single" w:color="auto" w:sz="4" w:space="0"/>
              <w:left w:val="single" w:color="auto" w:sz="4" w:space="0"/>
              <w:bottom w:val="single" w:color="auto" w:sz="4" w:space="0"/>
              <w:right w:val="single" w:color="auto" w:sz="4" w:space="0"/>
            </w:tcBorders>
            <w:tcW w:w="9396"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合计金额：人民币（大写）：      元整（￥：      元）</w:t>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8"/>
        <w:rPr>
          <w:color w:val="auto"/>
          <w:highlight w:val="none"/>
        </w:rPr>
      </w:pPr>
      <w:r>
        <w:rPr>
          <w:color w:val="auto"/>
          <w:highlight w:val="none"/>
        </w:rPr>
      </w:r>
      <w:r/>
    </w:p>
    <w:p>
      <w:pPr>
        <w:pStyle w:val="971"/>
        <w:ind w:right="420"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45"/>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45"/>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45"/>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bookmarkEnd w:id="6"/>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1045"/>
        <w:spacing w:line="360" w:lineRule="auto"/>
        <w:rPr>
          <w:rFonts w:hAnsi="宋体" w:eastAsia="宋体" w:cs="宋体"/>
          <w:b/>
          <w:color w:val="auto"/>
          <w:sz w:val="24"/>
          <w:szCs w:val="24"/>
          <w:highlight w:val="none"/>
          <w:lang w:val="zh-CN"/>
        </w:rPr>
      </w:pPr>
      <w:r>
        <w:rPr>
          <w:rFonts w:hint="eastAsia" w:hAnsi="宋体" w:eastAsia="宋体" w:cs="宋体"/>
          <w:color w:val="auto"/>
          <w:sz w:val="24"/>
          <w:szCs w:val="24"/>
          <w:highlight w:val="none"/>
        </w:rPr>
        <w:t xml:space="preserve">6、中小企业声明函</w:t>
      </w:r>
      <w:r/>
    </w:p>
    <w:p>
      <w:pPr>
        <w:pStyle w:val="978"/>
        <w:ind w:right="130"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郑重声明，根据《政府采购促进中小企业发展管理办法》（财库﹝2020﹞46 号）的规定，本公司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，从业人员人，营业收入为万元，资产总额为万元（注），属于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360" w:lineRule="auto"/>
        <w:rPr>
          <w:rFonts w:ascii="宋体"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b/>
          <w:bCs/>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45"/>
        <w:spacing w:line="360" w:lineRule="auto"/>
        <w:rPr>
          <w:rFonts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Ansi="宋体" w:eastAsia="宋体" w:cs="宋体"/>
          <w:b/>
          <w:bCs/>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7" w:name="_Toc13642116"/>
      <w:r>
        <w:rPr>
          <w:rFonts w:hint="eastAsia" w:ascii="宋体" w:hAnsi="宋体" w:eastAsia="宋体" w:cs="宋体"/>
          <w:color w:val="auto"/>
          <w:sz w:val="24"/>
          <w:szCs w:val="24"/>
          <w:highlight w:val="none"/>
        </w:rPr>
        <w:t xml:space="preserve">苏州正杰招投标咨询服务有限公司受苏州市社会福利总院的委托，就其所需的</w:t>
      </w:r>
      <w:r>
        <w:rPr>
          <w:rFonts w:hint="eastAsia" w:ascii="宋体" w:hAnsi="宋体" w:eastAsia="宋体" w:cs="宋体"/>
          <w:color w:val="auto"/>
          <w:sz w:val="24"/>
          <w:szCs w:val="24"/>
          <w:highlight w:val="none"/>
        </w:rPr>
        <w:t xml:space="preserve">苏州市社会福利总院洗涤服务项目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一、项目编号：</w:t>
      </w:r>
      <w:r>
        <w:rPr>
          <w:rFonts w:hint="eastAsia" w:ascii="宋体" w:hAnsi="宋体" w:eastAsia="宋体" w:cs="宋体"/>
          <w:color w:val="auto"/>
          <w:sz w:val="24"/>
          <w:szCs w:val="24"/>
          <w:highlight w:val="none"/>
          <w:lang w:eastAsia="zh-CN"/>
        </w:rPr>
        <w:t xml:space="preserve">JSZC-320500-SZZJ-G2026-0009</w:t>
      </w:r>
      <w:r>
        <w:rPr>
          <w:rFonts w:hint="eastAsia" w:ascii="宋体" w:hAnsi="宋体" w:eastAsia="宋体" w:cs="宋体"/>
          <w:color w:val="auto"/>
          <w:sz w:val="24"/>
          <w:szCs w:val="24"/>
          <w:highlight w:val="none"/>
        </w:rPr>
        <w:t xml:space="preserve">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7"/>
      <w:r/>
      <w:bookmarkStart w:id="8" w:name="_Toc13543213"/>
      <w:r>
        <w:rPr>
          <w:rFonts w:hint="eastAsia" w:ascii="宋体" w:hAnsi="宋体" w:eastAsia="宋体" w:cs="宋体"/>
          <w:color w:val="auto"/>
          <w:sz w:val="24"/>
          <w:szCs w:val="24"/>
          <w:highlight w:val="none"/>
        </w:rPr>
        <w:t xml:space="preserve">洗涤服务范围及要求：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1、洗涤服务内容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（1）苏州市社会福利总院被服物品洗涤服务，苏州市社会福利总院地处苏州市相城经济开发区227省道东堍新福路700号。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（2）详细的洗涤对象见附件2。</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2、洗涤服务要求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（1）若干专职洗涤人员每天按规定时间到各部门下收下送，年龄要求：女性不超过55周岁，男性不超过60周岁，岗位人员遵守保密要求，无犯罪记录。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（2）洗涤物品每天当面交接，清点数量并签字确认，中标单位需按采购人要求做好相应台账记录，</w:t>
      </w:r>
      <w:r>
        <w:rPr>
          <w:rFonts w:hint="eastAsia" w:ascii="宋体" w:hAnsi="宋体" w:eastAsia="宋体" w:cs="宋体"/>
          <w:bCs/>
          <w:color w:val="auto"/>
          <w:sz w:val="24"/>
          <w:szCs w:val="24"/>
          <w:highlight w:val="none"/>
        </w:rPr>
        <w:t xml:space="preserve">确保台账资料完整</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（3）洗涤物品按部门分类洗涤，统一消毒；窗帘、台布、椅套、培训中心床单元等，不得混洗。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（4）运输车辆专车专用，不与其它物品混装。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（5）洗涤物品出现小洞、脱线、掉纽扣等由洗涤公司负责缝补。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3、质量要求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（1）根据时间要求，将洗净物品送至福利总院收发室，双方清点数量并签字确认，送洗物品交接同样按上述程序进行清点。</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污物收集：车辆到达福利总院后停放至指定位置，与收发班工作人员对接后，在指定地点清点物品（纺织品进行分类清点）；如双方有争议，应进行多次清点至数目准确。及时清理被服中无关洗涤物品（如：圆珠笔，手表、钱包、工作证等），如未发现上述物品导致的衣物洗涤破损变色等，</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需全额赔偿。</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（3）洗涤后衣物由驻场服务人员运输至福利总院各生活区、各部门，每次详细记下福利总院对洗涤工作的意见和建议，定期通报；对解决过程进行跟踪，直到问题解决。</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需按时做好工作月报表，按时上交福利总院总务处，汇总当月洗涤及服务质量情况，接受福利总院考核。</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（4）洗涤要求：为避免交叉感染，承担卫生防疫社会责任，</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必须严格执行国家最新颁布的《医用织物洗涤消毒技术规范》（WS/T508）或相关行业标准有关规定要求。根据被服物品的特点，明确工艺标准，科学安排洗涤工序，保证洗涤质量；具体措施如下：</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工作人员制服及老人/儿童衣物洗涤及消毒；</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 感染性织物（如有）按相关规范要求进行先消毒再专机洗涤消毒。</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 严格按照省感染管理及民政养老机构的有关规定，规范操作流程、分类洗涤、统一消毒，并保证质量；福利总院如有传染性洗涤物，必须先浸泡或臭氧熏蒸消毒并密封包装后交给</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洗涤；</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必须按照先消毒后洗涤原则进行洗涤。</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（5）洗涤物品需随时接受卫生防疫部门检测，定期报告福利总院，福利总院有权对</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所洗被服物品和洗涤场所进行抽查和检验，并根据实际结果给予奖惩，确保洗涤质量。出现特殊感染物品根据相关规定进行单独处理。为防止交叉感染，确保服务对象安全，对于患有烈性传染病服务对象的被服物品和其他卫生部门要求的特殊物品，福利总院将按相关规定进行特殊处置；同时配合</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，根据洗涤管理污物分色的要求，将不同用途的物品，分类包装，从源头分拣，防止交叉感染。</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（6）缝补要求：洗涤衣物在交接前应保证缝补到位，在收货中发现未缝补的衣物将处罚。洗涤衣物中出现小洞，脱线，掉纽扣等由</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负责缝补后24小时内送往福利总院，未达标福利总院将作相应处罚；棉质类包布如有破损不得缝补后使用。</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不及时送达、遗失与破损处罚：如洗涤物品不及时送达，严重影响福利总院日常照料及正常运行的，第一次警告，第二次书面函告，第三次直接终止合同并给予处罚；遗失物品及工作服等特殊物品按原值的100%赔偿。</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（8）对各类洗涤物品必须折叠整齐、平整、无污渍；对有熨烫要求的物品必须熨烫到位；对破损物品（缺纽扣、少带子、脱线缝、撕裂……）必须缝补完好后方能发出。</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（9）对由洗涤不当引起的严重褪色、老化等必须作出说明，并予以赔偿；由于</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原因导致丢失的福利总院物品，须按照福利总院采购价进行赔偿，赔偿款以洗涤费扣款的形式支付给福利总院。</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（10）对因</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洁净物没有及时到位，影响福利总院正常工作的，中标单位必须承担相应的赔偿责任。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4、投标人拟投入本项目的团队需具有履约能力，有服务项目人员，便于项目实施。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5、投标人需有丰富的类似项目经验等内容。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6、项目地点：苏州市社会福利总院。</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服务要求：无条件响应采购人在该项目上的时间安排。</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8、凡涉及招标文件的补充说明和修改，均以苏州市政府采购网上公示信息为准。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tabs>
          <w:tab w:val="left" w:pos="709" w:leader="none"/>
        </w:tabs>
        <w:rPr>
          <w:rFonts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b/>
          <w:color w:val="auto"/>
          <w:sz w:val="24"/>
          <w:szCs w:val="24"/>
          <w:highlight w:val="none"/>
        </w:rPr>
      </w:r>
      <w:r/>
    </w:p>
    <w:p>
      <w:pPr>
        <w:jc w:val="center"/>
        <w:spacing w:line="360" w:lineRule="auto"/>
        <w:tabs>
          <w:tab w:val="left" w:pos="70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合同主要条款</w:t>
      </w:r>
      <w:bookmarkEnd w:id="8"/>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项目名称：苏州市社会福利总院洗涤服务项目</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lang w:eastAsia="zh-CN"/>
        </w:rPr>
        <w:t xml:space="preserve">JSZC-320500-SZZJ-G2026-0009</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苏州市社会福利总院洗涤服务项目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（一）本项目招标文件；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（五）确定乙方的文件（包括但不限于中标通知书等）；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本合同项下乙方所提供的服务内容为：详见招标文件中的采购需求。</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p>
    <w:p>
      <w:pPr>
        <w:ind w:firstLine="482"/>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合同金额包括完成该项服务的所有费用，除包括所有服务人员的工资外，还应包括管理、劳务、运输、利润、税金、风险及政策性文件规定等的各项费用。</w:t>
      </w:r>
      <w:r>
        <w:rPr>
          <w:rFonts w:hint="eastAsia" w:ascii="宋体" w:hAnsi="宋体" w:eastAsia="宋体" w:cs="宋体"/>
          <w:b/>
          <w:color w:val="auto"/>
          <w:sz w:val="24"/>
          <w:szCs w:val="24"/>
          <w:highlight w:val="none"/>
          <w:lang w:val="zh-CN"/>
        </w:rPr>
        <w:t xml:space="preserve">除合同另有规定外，该费用在合同实施期间不予调整。</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以先服务后支付的原则结合每月考核情况付款（见附件1）。每个月的付款金额为（合同总价÷24），服务一个月后的次月乙方向甲方开具合格的发票，发票金额以甲方根据考核情况得出的实际付款金额为准，甲方在收到发票后20个工作日内相应款项汇入乙方开户银行（付款方式如有变更，按财政部门相关要求执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（2）确因甲方工作需要，乙方应无条件配合甲方完成一些突击工作。如：安排服务人员（内部）临时加班。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（3）乙方要求付款应提供以下资料：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A.合格的发票。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B.洗涤月度考核表。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rPr>
        <w:t xml:space="preserve">苏州市社会福利总院</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4"/>
          <w:highlight w:val="none"/>
        </w:rPr>
        <w:t xml:space="preserve">2026年7月1日至2028年6月30日。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乙方无条件响应甲方在该项目上的时间安排。</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七、双方的权利与义务：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（1）甲方按照双方约定的付款方式，经每月考核后按时支付合同期限内服务费用给乙方。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（2）甲方任何时候不得要求乙方从事违反国家相关法律法规的行为。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（1）乙方按招标文件要求的服务内容和服务标准提供洗涤服务。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（2）乙方必须遵守国家和苏州有关标准。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（3）乙方必须按时洗涤并送达所要求洗涤的物品。</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（4）乙方现场工作人员必须持在有效期内的健康证方可进行工作，遵守保密要求，无犯罪记录。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（5）乙方员工应遵守甲方院内各项规章制度和安全、卫生操作规范。</w:t>
      </w:r>
      <w:r>
        <w:rPr>
          <w:rFonts w:hint="eastAsia" w:ascii="宋体" w:hAnsi="宋体" w:eastAsia="宋体" w:cs="宋体"/>
          <w:color w:val="auto"/>
          <w:sz w:val="24"/>
          <w:szCs w:val="24"/>
          <w:highlight w:val="none"/>
        </w:rPr>
        <w:t xml:space="preserve">进出各部门及时关门上锁，保护服务对象的隐私，不得拍照，造成服务对象逃跑或其它恶劣影响，甲方有权立刻终止合同，所造成的损失由</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rPr>
        <w:t xml:space="preserve">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（6）如遇到上级部门对甲方被服进行卫生检查，因乙方工作原因导致甲方被扣分，处罚的费用由乙方承担，在应付款中扣除。</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八、违约责任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1、甲方违约责任及违约金支付：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（2）甲方逾期付款的每天应按照逾期付款金额的万分之四支付逾期付款违约金；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（3）甲方违反合同规定，拒绝接受乙方提供服务，应当承担乙方由此造成的损失。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2、乙方违约责任及违约金支付：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ascii="宋体" w:hAnsi="宋体" w:eastAsia="宋体" w:cs="宋体"/>
          <w:color w:val="auto"/>
          <w:szCs w:val="21"/>
          <w:highlight w:val="none"/>
        </w:rPr>
      </w:pPr>
      <w:r>
        <w:rPr>
          <w:rFonts w:hint="eastAsia" w:ascii="宋体" w:hAnsi="宋体" w:eastAsia="宋体" w:cs="宋体"/>
          <w:color w:val="auto"/>
          <w:sz w:val="24"/>
          <w:szCs w:val="24"/>
          <w:highlight w:val="none"/>
        </w:rPr>
        <w:t xml:space="preserve">（2）乙方逾期提供服务的，应与甲方和政府采购管理部门协商，甲方仍要求乙方按合同要求及时提供服务的，乙方应立即提供服务，否则乙方在提供服务前每天应按照当月应付款项的万分之四支付逾期违约金，同时承担甲方因此遭致的损失费用。</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乙方</w:t>
      </w:r>
      <w:r>
        <w:rPr>
          <w:rFonts w:hint="eastAsia" w:ascii="宋体" w:hAnsi="宋体" w:eastAsia="宋体" w:cs="宋体"/>
          <w:bCs/>
          <w:color w:val="auto"/>
          <w:sz w:val="24"/>
          <w:szCs w:val="24"/>
          <w:highlight w:val="none"/>
        </w:rPr>
        <w:t xml:space="preserve">严格遵守甲方院内规章制度，</w:t>
      </w:r>
      <w:r>
        <w:rPr>
          <w:rFonts w:hint="eastAsia" w:ascii="宋体" w:hAnsi="宋体" w:eastAsia="宋体" w:cs="宋体"/>
          <w:color w:val="auto"/>
          <w:sz w:val="24"/>
          <w:szCs w:val="24"/>
          <w:highlight w:val="none"/>
        </w:rPr>
        <w:t xml:space="preserve">进出各部门及时关门上锁，保护服务对象的隐私，不得拍照，造成服务对象逃跑或其它恶劣影响，甲方有权立刻终止合同，所造成的损失由乙方负责。</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九、不可抗力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1、因不可抗力（或甲、乙双方不能控制的原因）不能履行合同的，根据不可抗力的影响，免除甲乙双方部分或全部责任。但合同一方迟延履行后发生不可抗力的，不能免除责任。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十、履约保证金</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1、乙方在签订合同后15个工作日内按中标金额的5%缴纳履约保证金至甲方指定账户，履约保证金可采用转账支票、银行汇票等方式缴纳。</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2、如果乙方未能履行合同规定的任何义务，或因乙方工作过失造成的损失，应由乙方承担的赔偿未完成，甲方有权从履约保证金中取得补偿。</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3、履约保证金（无息）在合同履行过程中，如无违约扣款项目，服务期满，在合约结束时由甲方在30个工作日内全部退回履约保证金（无息）。</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十一、保密条款</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甲乙双方对在本合同签订、履行过程中知悉的对方资料和信息，除该方作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2、乙方应与其派驻甲方实施服务的人员签订保密协议，并在甲方进行备案。</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十二、合同修改</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甲方和乙方都不得擅自变更本合同，但合同继续履行将损害国家和社会公共利益的除外。</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十三、转让和分包</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1、政府采购合同的部分和全部都不得转让。</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十四、合同的解除</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1、有下列情形之一，合同一方可以解除合同：</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（1）因不可抗力致使不能实现合同目的，未受不可抗力影响的一方有权解除合同；</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（2）因合同一方违约导致合同不能履行，另一方有权解除合同。</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2、有权解除合同的一方，应当在违约事实或不可抗力发生之后三十天内书面通知对方以主张解除合同，合同在书面通知到达对方时解除。</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十五、争议解决办法</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因本合同或与本合同有关的一切事项发生争议，由双方友好协商解决。协商不成的，向甲方所在地的人民法院起诉。</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十六、送达条款：</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就写明的联系地址及联系方式之任何一种，就本合同有关事项向对方发送相关通知等，均视为有效送达与告知对方，上述邮寄送达地址同时作为有效司法送达地址。一方变更通知或联系地址，应自变更之日其三日内，以书面形式通知对方；否则，用原方式或地址的送达视为有效送达，送达日为寄出后的第二日。</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十七、合同生效及其它</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1、双方签约人为各自法人代表（负责人）或授权代表，合同经双方代表签字加盖公章或合同章即生效。</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2、合同在执行过程中出现的未尽事宜，双方在不违背本合同和招标文件的原则下协商解决，协商结果以书面形式盖章记录在案，作为本合同的附件，与本合同具有同等效力，但需向招标方提交二份备存。</w:t>
      </w:r>
      <w:r/>
    </w:p>
    <w:p>
      <w:pPr>
        <w:ind w:firstLine="440"/>
        <w:spacing w:line="360" w:lineRule="auto"/>
        <w:rPr>
          <w:rFonts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十八、附则</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1、合同份数：本合同一式陆份，甲乙双方各执两份，招标代理机构一份，政府采购监管处一份。</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2、未尽事宜</w:t>
      </w:r>
      <w:r/>
    </w:p>
    <w:p>
      <w:pPr>
        <w:ind w:firstLine="440"/>
        <w:spacing w:line="360" w:lineRule="auto"/>
        <w:rPr>
          <w:rFonts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本合同未尽事宜应按《中华人民共和国民法典》《中华人民共和国政府采购法》以及其同相关法律、法规之规定解释。</w:t>
      </w:r>
      <w:r/>
    </w:p>
    <w:p>
      <w:pPr>
        <w:pStyle w:val="978"/>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名称(公章)：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法定代表人/负责人：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或授权代理人：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（签字）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签订日期：                            签订日期：</w:t>
      </w:r>
      <w:r/>
    </w:p>
    <w:p>
      <w:pPr>
        <w:rPr>
          <w:color w:val="auto"/>
          <w:highlight w:val="none"/>
        </w:rPr>
      </w:pPr>
      <w:r>
        <w:rPr>
          <w:rFonts w:hint="eastAsia" w:ascii="宋体" w:hAnsi="宋体" w:eastAsia="宋体" w:cs="宋体"/>
          <w:bCs/>
          <w:color w:val="auto"/>
          <w:sz w:val="24"/>
          <w:szCs w:val="24"/>
          <w:highlight w:val="none"/>
        </w:rPr>
        <w:br w:type="page" w:clear="all"/>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评分方法和评分标准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总分值为100分，评审因素及各比重如下：价格分值占总分值的比重为20％（权重），技术及其他分值占总分值的比重为80％（权重）。</w:t>
      </w:r>
      <w:r/>
    </w:p>
    <w:p>
      <w:pPr>
        <w:ind w:firstLine="482"/>
        <w:spacing w:line="360" w:lineRule="auto"/>
        <w:rPr>
          <w:rFonts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（一）价格分（</w:t>
      </w:r>
      <w:r>
        <w:rPr>
          <w:rFonts w:hint="eastAsia" w:ascii="宋体" w:hAnsi="宋体" w:eastAsia="宋体"/>
          <w:b/>
          <w:color w:val="auto"/>
          <w:sz w:val="24"/>
          <w:szCs w:val="24"/>
          <w:highlight w:val="none"/>
        </w:rPr>
        <w:t xml:space="preserve">20</w:t>
      </w:r>
      <w:r>
        <w:rPr>
          <w:rFonts w:hint="eastAsia" w:ascii="宋体" w:hAnsi="宋体" w:eastAsia="宋体"/>
          <w:b/>
          <w:color w:val="auto"/>
          <w:sz w:val="24"/>
          <w:szCs w:val="24"/>
          <w:highlight w:val="none"/>
          <w:lang w:val="zh-CN"/>
        </w:rPr>
        <w:t xml:space="preserve">分）</w:t>
      </w:r>
      <w:r/>
    </w:p>
    <w:p>
      <w:pPr>
        <w:ind w:firstLine="480"/>
        <w:spacing w:line="360" w:lineRule="auto"/>
        <w:rPr>
          <w:rFonts w:ascii="宋体" w:hAnsi="宋体" w:eastAsia="宋体" w:cs="宋体"/>
          <w:bCs/>
          <w:color w:val="auto"/>
          <w:sz w:val="24"/>
          <w:szCs w:val="24"/>
          <w:highlight w:val="none"/>
        </w:rPr>
      </w:pPr>
      <w:r/>
      <w:bookmarkStart w:id="9" w:name="_GoBack"/>
      <w:r>
        <w:rPr>
          <w:rFonts w:hint="eastAsia" w:ascii="宋体" w:hAnsi="宋体" w:eastAsia="宋体" w:cs="宋体"/>
          <w:bCs/>
          <w:color w:val="auto"/>
          <w:sz w:val="24"/>
          <w:szCs w:val="24"/>
          <w:highlight w:val="none"/>
        </w:rPr>
        <w:t xml:space="preserve">第一步：投标报价在采购预算价格以下的，为有效投标报价。超出此范围的投标报价为无效投标报价。无效投标报价的投标文件不进行评审，也不得标。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步：以满足招标文件实质性要求且投标价格最低的投标有效报价为评标基准价，其价格分为满分，即20分。其他有效投标报价分统一按照下列公式计算：有效投标报价得分=（评标基准价/有效投标报价）×20%×100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（二）技术方案（70分）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1、工作内容的安排和质量（50分）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（1）提供服务范围、内容和服务标准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工作方案完整，措施有效扎实、管理责任清晰的得10分，工作方案较完整，措施较有效、管理责任较清晰的得7分，工作方案一般，措施一般、管理责任不够清晰的得4分，工作方案有欠缺的得1分，不提供不得分。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（2）人员安排组织（提供回收、交接、洗涤、消毒等操作规程和质控标准）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人员安排计划合理，组织管理体系科学，能够有效实施管理工作得10分，工作人员安排计划较合理，组织管理体系较科学，能够实施管理工作得7分，工作人员安排计划一般，组织管理体系一般，能够基本实施管理工作得4分，方案有欠缺的得1分，不提供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（3）人员配置的科学性和合理性（提供人员职称、证书等证明材料）</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人员配置科学、合理得10分，人员配置较科学、合理得7分，人员配置一般得4分，人员配置较差得1分。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（4）物资装备的配备（洗脱机、烫平机及烘干机数量图片）</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配备科学、合理得10分，配备较科学、合理得7分，配备一般得4分。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（5）管理的安全防范措施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管理的安全防范措施科学、有效得10分，管理的安全防范措施较科学、较合理得7分，管理的安全防范措施一般得4分，不提供不得分。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2、组织有效的管理机构及考核管理办法（20分）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（1）内部管理架构</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内部管理架构科学、合理得10分，内部管理架构较科学、合理得7分，内部管理架构一般得4分，不提供不得分。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（2）管理规章制度</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岗位责任、管理维护运作制度及标准、管理人员考核制度及标准科学、合理得10分，岗位责任、管理维护运作制度及标准、管理人员考核制度及标准较科学合理得7分，岗位责任、管理维护运作制度及标准、管理人员考核制度及标准一般得4分，不提供不得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（三）响应单位专业程度和综合实力（10分）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1、投标文件中提供具有检验（检测）资质的检测机构出具的洗涤后产品的细菌检验（检测）报告复印件。（2分）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具有近三年（以合同签订时间为准）类似项目业绩的，每提供1个业绩得2分，最高得8分，未提供合同复印件的不得分。                                                           </w:t>
      </w:r>
      <w:r/>
    </w:p>
    <w:p>
      <w:pPr>
        <w:ind w:firstLine="482"/>
        <w:spacing w:line="360" w:lineRule="auto"/>
        <w:rPr>
          <w:rFonts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备注：提供虚假内容者将导致废标；评分标准中要求出具的相关证明材料、认证证书等，投标文件中须提供复印件加盖公章。</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color w:val="auto"/>
          <w:sz w:val="24"/>
          <w:szCs w:val="24"/>
          <w:highlight w:val="none"/>
        </w:rPr>
        <w:t xml:space="preserve">其他未列明行业</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84"/>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pStyle w:val="970"/>
        <w:ind w:left="0"/>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70"/>
        <w:ind w:left="0"/>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70"/>
        <w:ind w:left="0"/>
        <w:rPr>
          <w:rFonts w:ascii="宋体" w:hAnsi="宋体" w:eastAsia="宋体" w:cs="宋体"/>
          <w:b/>
          <w:color w:val="auto"/>
          <w:szCs w:val="24"/>
          <w:highlight w:val="none"/>
        </w:rPr>
      </w:pPr>
      <w:r>
        <w:rPr>
          <w:rFonts w:ascii="宋体" w:hAnsi="宋体" w:eastAsia="宋体" w:cs="宋体"/>
          <w:b/>
          <w:color w:val="auto"/>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苏州市社会福利总院洗涤</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月度考核表</w:t>
      </w:r>
      <w:r/>
    </w:p>
    <w:tbl>
      <w:tblPr>
        <w:tblStyle w:val="96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4339"/>
        <w:gridCol w:w="889"/>
        <w:gridCol w:w="3750"/>
      </w:tblGrid>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202"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工作内容</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c>
          <w:tcPr>
            <w:tcW w:w="1903"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检查考核细则</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按时收集、洗涤、送达需洗涤的被服</w:t>
            </w:r>
            <w:r/>
          </w:p>
        </w:tc>
        <w:tc>
          <w:tcPr>
            <w:tcW w:w="45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未按时收集、洗涤、送达每次扣</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根据被服物品的特点分类合理洗涤，使用的洗涤剂、消毒剂及残留量符合国家规定</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未分类洗涤而造成的被服损坏每次扣10分，残留量超过国家规定扣5分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洗涤</w:t>
            </w:r>
            <w:r>
              <w:rPr>
                <w:rFonts w:hint="eastAsia" w:ascii="宋体" w:hAnsi="宋体" w:eastAsia="宋体" w:cs="宋体"/>
                <w:bCs/>
                <w:color w:val="auto"/>
                <w:sz w:val="21"/>
                <w:szCs w:val="21"/>
                <w:highlight w:val="none"/>
                <w:lang w:val="en-US" w:eastAsia="zh-CN"/>
              </w:rPr>
              <w:t xml:space="preserve">被服</w:t>
            </w:r>
            <w:r>
              <w:rPr>
                <w:rFonts w:hint="eastAsia" w:ascii="宋体" w:hAnsi="宋体" w:eastAsia="宋体" w:cs="宋体"/>
                <w:bCs/>
                <w:color w:val="auto"/>
                <w:sz w:val="21"/>
                <w:szCs w:val="21"/>
                <w:highlight w:val="none"/>
              </w:rPr>
              <w:t xml:space="preserve">均需接受卫生防疫部门的抽检</w:t>
            </w:r>
            <w:r/>
          </w:p>
        </w:tc>
        <w:tc>
          <w:tcPr>
            <w:tcW w:w="45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检测结果不合格扣</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收、送洗涤</w:t>
            </w:r>
            <w:r>
              <w:rPr>
                <w:rFonts w:hint="eastAsia" w:ascii="宋体" w:hAnsi="宋体" w:eastAsia="宋体" w:cs="宋体"/>
                <w:bCs/>
                <w:color w:val="auto"/>
                <w:sz w:val="21"/>
                <w:szCs w:val="21"/>
                <w:highlight w:val="none"/>
                <w:lang w:val="en-US" w:eastAsia="zh-CN"/>
              </w:rPr>
              <w:t xml:space="preserve">织物</w:t>
            </w:r>
            <w:r>
              <w:rPr>
                <w:rFonts w:hint="eastAsia" w:ascii="宋体" w:hAnsi="宋体" w:eastAsia="宋体" w:cs="宋体"/>
                <w:bCs/>
                <w:color w:val="auto"/>
                <w:sz w:val="21"/>
                <w:szCs w:val="21"/>
                <w:highlight w:val="none"/>
              </w:rPr>
              <w:t xml:space="preserve">必须密闭后收集运输</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8</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未采用密闭手段收、发的每次扣</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清洁织物卫生质量达标（WS/T508）</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8</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发现一次不达标的扣</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2202" w:type="pct"/>
            <w:vAlign w:val="center"/>
            <w:textDirection w:val="lrTb"/>
            <w:noWrap w:val="false"/>
          </w:tcPr>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未报废物品中出现小洞，脱线，掉纽扣等负责缝补后再送往</w:t>
            </w:r>
            <w:r>
              <w:rPr>
                <w:rFonts w:hint="eastAsia" w:ascii="宋体" w:hAnsi="宋体" w:eastAsia="宋体" w:cs="宋体"/>
                <w:bCs/>
                <w:color w:val="auto"/>
                <w:sz w:val="21"/>
                <w:szCs w:val="21"/>
                <w:highlight w:val="none"/>
                <w:lang w:val="en-US" w:eastAsia="zh-CN"/>
              </w:rPr>
              <w:t xml:space="preserve">甲方</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8</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未报废而不缝补的物品送入</w:t>
            </w:r>
            <w:r>
              <w:rPr>
                <w:rFonts w:hint="eastAsia" w:ascii="宋体" w:hAnsi="宋体" w:eastAsia="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rPr>
              <w:t xml:space="preserve">的扣</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洗涤后</w:t>
            </w:r>
            <w:r>
              <w:rPr>
                <w:rFonts w:hint="eastAsia" w:ascii="宋体" w:hAnsi="宋体" w:eastAsia="宋体" w:cs="宋体"/>
                <w:bCs/>
                <w:color w:val="auto"/>
                <w:sz w:val="21"/>
                <w:szCs w:val="21"/>
                <w:highlight w:val="none"/>
                <w:lang w:val="en-US" w:eastAsia="zh-CN"/>
              </w:rPr>
              <w:t xml:space="preserve">工作服</w:t>
            </w:r>
            <w:r>
              <w:rPr>
                <w:rFonts w:hint="eastAsia" w:ascii="宋体" w:hAnsi="宋体" w:eastAsia="宋体" w:cs="宋体"/>
                <w:bCs/>
                <w:color w:val="auto"/>
                <w:sz w:val="21"/>
                <w:szCs w:val="21"/>
                <w:highlight w:val="none"/>
              </w:rPr>
              <w:t xml:space="preserve">需折叠熨烫</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6</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发现一批未折叠熨烫的扣</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c>
          <w:tcPr>
            <w:tcW w:w="2202" w:type="pct"/>
            <w:vAlign w:val="center"/>
            <w:textDirection w:val="lrTb"/>
            <w:noWrap w:val="false"/>
          </w:tcPr>
          <w:p>
            <w:pPr>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被服洗涤后保持整洁干燥、无水渍</w:t>
            </w:r>
            <w:r>
              <w:rPr>
                <w:rFonts w:hint="eastAsia" w:ascii="宋体" w:hAnsi="宋体" w:eastAsia="宋体" w:cs="宋体"/>
                <w:color w:val="auto"/>
                <w:sz w:val="21"/>
                <w:szCs w:val="21"/>
                <w:highlight w:val="none"/>
                <w:lang w:val="en-US" w:eastAsia="zh-CN"/>
              </w:rPr>
              <w:t xml:space="preserve">或潮湿</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每发现一次扣</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9</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服务人员需配合保持院内环境整洁，不得在</w:t>
            </w:r>
            <w:r>
              <w:rPr>
                <w:rFonts w:hint="eastAsia" w:ascii="宋体" w:hAnsi="宋体" w:eastAsia="宋体" w:cs="宋体"/>
                <w:bCs/>
                <w:color w:val="auto"/>
                <w:sz w:val="21"/>
                <w:szCs w:val="21"/>
                <w:highlight w:val="none"/>
                <w:lang w:val="en-US" w:eastAsia="zh-CN"/>
              </w:rPr>
              <w:t xml:space="preserve">部门区</w:t>
            </w:r>
            <w:r>
              <w:rPr>
                <w:rFonts w:hint="eastAsia" w:ascii="宋体" w:hAnsi="宋体" w:eastAsia="宋体" w:cs="宋体"/>
                <w:bCs/>
                <w:color w:val="auto"/>
                <w:sz w:val="21"/>
                <w:szCs w:val="21"/>
                <w:highlight w:val="none"/>
              </w:rPr>
              <w:t xml:space="preserve">域抖动清点脏织物</w:t>
            </w:r>
            <w:r/>
          </w:p>
        </w:tc>
        <w:tc>
          <w:tcPr>
            <w:tcW w:w="45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每发现一次扣</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不得随意丢弃个人垃圾，禁止吸烟；必须遵守</w:t>
            </w:r>
            <w:r>
              <w:rPr>
                <w:rFonts w:hint="eastAsia" w:ascii="宋体" w:hAnsi="宋体" w:eastAsia="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rPr>
              <w:t xml:space="preserve">纪律、服务态度良好</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每发现一次扣</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运输车辆按序停放在指定地点</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6</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违停乱放的每次扣</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w:t>
            </w:r>
            <w:r>
              <w:rPr>
                <w:rFonts w:hint="eastAsia" w:ascii="宋体" w:hAnsi="宋体" w:eastAsia="宋体" w:cs="宋体"/>
                <w:color w:val="auto"/>
                <w:sz w:val="21"/>
                <w:szCs w:val="21"/>
                <w:highlight w:val="none"/>
              </w:rPr>
              <w:t xml:space="preserve">按照洗涤工作流程和甲方要求做好各类台账记录</w:t>
            </w:r>
            <w:r/>
          </w:p>
        </w:tc>
        <w:tc>
          <w:tcPr>
            <w:tcW w:w="45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每发现一次扣</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tc>
      </w:tr>
      <w:tr>
        <w:trPr>
          <w:trHeight w:val="567"/>
        </w:trPr>
        <w:tc>
          <w:tcPr>
            <w:tcW w:w="441" w:type="pct"/>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w:t>
            </w:r>
            <w:r/>
          </w:p>
        </w:tc>
        <w:tc>
          <w:tcPr>
            <w:tcW w:w="2202"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洗涤被服</w:t>
            </w:r>
            <w:r>
              <w:rPr>
                <w:rFonts w:hint="eastAsia" w:ascii="宋体" w:hAnsi="宋体" w:eastAsia="宋体" w:cs="宋体"/>
                <w:bCs/>
                <w:color w:val="auto"/>
                <w:sz w:val="21"/>
                <w:szCs w:val="21"/>
                <w:highlight w:val="none"/>
              </w:rPr>
              <w:t xml:space="preserve">不得用笔涂改标记</w:t>
            </w:r>
            <w:r/>
          </w:p>
        </w:tc>
        <w:tc>
          <w:tcPr>
            <w:tcW w:w="451" w:type="pct"/>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8</w:t>
            </w:r>
            <w:r/>
          </w:p>
        </w:tc>
        <w:tc>
          <w:tcPr>
            <w:tcW w:w="190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发现一件扣</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并</w:t>
            </w:r>
            <w:r>
              <w:rPr>
                <w:rFonts w:hint="eastAsia" w:ascii="宋体" w:hAnsi="宋体" w:eastAsia="宋体" w:cs="宋体"/>
                <w:bCs/>
                <w:color w:val="auto"/>
                <w:sz w:val="21"/>
                <w:szCs w:val="21"/>
                <w:highlight w:val="none"/>
              </w:rPr>
              <w:t xml:space="preserve">免费赔偿一件</w:t>
            </w:r>
            <w:r/>
          </w:p>
        </w:tc>
      </w:tr>
    </w:tbl>
    <w:p>
      <w:pPr>
        <w:pStyle w:val="978"/>
        <w:tabs>
          <w:tab w:val="left" w:pos="525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注：乙方由于负责人及其人员擅自调动、工作疏忽或不能尽职尽责，导致出现重大事故，立即解除合同，造成损失由乙方负责。</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合计得分：</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考核部门签字：                                            洗涤公司签字：</w:t>
      </w:r>
      <w:r/>
    </w:p>
    <w:p>
      <w:pPr>
        <w:ind w:firstLine="42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525"/>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ind w:firstLine="52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7"/>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7"/>
        <w:rPr>
          <w:color w:val="auto"/>
          <w:highlight w:val="none"/>
        </w:rPr>
      </w:pPr>
      <w:r>
        <w:rPr>
          <w:color w:val="auto"/>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360" w:lineRule="auto"/>
        <w:widowControl/>
        <w:rPr>
          <w:rFonts w:ascii="Arial" w:hAnsi="Arial" w:eastAsia="宋体" w:cs="Arial"/>
          <w:color w:val="auto"/>
          <w:spacing w:val="-1"/>
          <w:sz w:val="24"/>
          <w:szCs w:val="24"/>
          <w:highlight w:val="none"/>
        </w:rPr>
      </w:pPr>
      <w:r>
        <w:rPr>
          <w:rFonts w:ascii="Arial" w:hAnsi="Arial" w:eastAsia="宋体" w:cs="Arial"/>
          <w:color w:val="auto"/>
          <w:spacing w:val="-1"/>
          <w:sz w:val="24"/>
          <w:szCs w:val="24"/>
          <w:highlight w:val="none"/>
        </w:rPr>
      </w:r>
      <w:r/>
    </w:p>
    <w:p>
      <w:pPr>
        <w:jc w:val="left"/>
        <w:spacing w:line="360" w:lineRule="auto"/>
        <w:widowControl/>
        <w:rPr>
          <w:rFonts w:ascii="Arial" w:hAnsi="Arial" w:eastAsia="宋体" w:cs="Arial"/>
          <w:color w:val="auto"/>
          <w:spacing w:val="-1"/>
          <w:sz w:val="24"/>
          <w:szCs w:val="24"/>
          <w:highlight w:val="none"/>
        </w:rPr>
      </w:pPr>
      <w:r>
        <w:rPr>
          <w:rFonts w:hint="eastAsia" w:ascii="Arial" w:hAnsi="Arial" w:eastAsia="宋体" w:cs="Arial"/>
          <w:color w:val="auto"/>
          <w:spacing w:val="-1"/>
          <w:sz w:val="24"/>
          <w:szCs w:val="24"/>
          <w:highlight w:val="none"/>
        </w:rPr>
        <w:t xml:space="preserve">甲方</w:t>
      </w:r>
      <w:r>
        <w:rPr>
          <w:rFonts w:ascii="Arial" w:hAnsi="Arial" w:eastAsia="宋体" w:cs="Arial"/>
          <w:color w:val="auto"/>
          <w:spacing w:val="-1"/>
          <w:sz w:val="24"/>
          <w:szCs w:val="24"/>
          <w:highlight w:val="none"/>
        </w:rPr>
        <w:t xml:space="preserve">将根据</w:t>
      </w:r>
      <w:r>
        <w:rPr>
          <w:rFonts w:hint="eastAsia" w:ascii="Arial" w:hAnsi="Arial" w:eastAsia="宋体" w:cs="Arial"/>
          <w:color w:val="auto"/>
          <w:spacing w:val="-1"/>
          <w:sz w:val="24"/>
          <w:szCs w:val="24"/>
          <w:highlight w:val="none"/>
        </w:rPr>
        <w:t xml:space="preserve">周期的</w:t>
      </w:r>
      <w:r>
        <w:rPr>
          <w:rFonts w:ascii="Arial" w:hAnsi="Arial" w:eastAsia="宋体" w:cs="Arial"/>
          <w:color w:val="auto"/>
          <w:spacing w:val="-1"/>
          <w:sz w:val="24"/>
          <w:szCs w:val="24"/>
          <w:highlight w:val="none"/>
        </w:rPr>
        <w:t xml:space="preserve">考核情况</w:t>
      </w:r>
      <w:r>
        <w:rPr>
          <w:rFonts w:hint="eastAsia" w:ascii="Arial" w:hAnsi="Arial" w:eastAsia="宋体" w:cs="Arial"/>
          <w:color w:val="auto"/>
          <w:spacing w:val="-1"/>
          <w:sz w:val="24"/>
          <w:szCs w:val="24"/>
          <w:highlight w:val="none"/>
        </w:rPr>
        <w:t xml:space="preserve">计算</w:t>
      </w:r>
      <w:r>
        <w:rPr>
          <w:rFonts w:ascii="Arial" w:hAnsi="Arial" w:eastAsia="宋体" w:cs="Arial"/>
          <w:color w:val="auto"/>
          <w:spacing w:val="-1"/>
          <w:sz w:val="24"/>
          <w:szCs w:val="24"/>
          <w:highlight w:val="none"/>
        </w:rPr>
        <w:t xml:space="preserve">合同结款：</w:t>
      </w:r>
      <w:r/>
    </w:p>
    <w:p>
      <w:pPr>
        <w:jc w:val="left"/>
        <w:spacing w:line="360" w:lineRule="auto"/>
        <w:widowControl/>
        <w:rPr>
          <w:rFonts w:ascii="Arial" w:hAnsi="Arial" w:eastAsia="宋体" w:cs="Arial"/>
          <w:color w:val="auto"/>
          <w:spacing w:val="-1"/>
          <w:sz w:val="24"/>
          <w:szCs w:val="24"/>
          <w:highlight w:val="none"/>
        </w:rPr>
      </w:pPr>
      <w:r>
        <w:rPr>
          <w:rFonts w:hint="eastAsia" w:ascii="Arial" w:hAnsi="Arial" w:eastAsia="宋体" w:cs="Arial"/>
          <w:color w:val="auto"/>
          <w:spacing w:val="-1"/>
          <w:sz w:val="24"/>
          <w:szCs w:val="24"/>
          <w:highlight w:val="none"/>
        </w:rPr>
        <w:t xml:space="preserve">1、</w:t>
      </w:r>
      <w:r>
        <w:rPr>
          <w:rFonts w:ascii="Arial" w:hAnsi="Arial" w:eastAsia="宋体" w:cs="Arial"/>
          <w:color w:val="auto"/>
          <w:spacing w:val="-1"/>
          <w:sz w:val="24"/>
          <w:szCs w:val="24"/>
          <w:highlight w:val="none"/>
        </w:rPr>
        <w:t xml:space="preserve">考核分数达到</w:t>
      </w:r>
      <w:r>
        <w:rPr>
          <w:rFonts w:hint="eastAsia" w:ascii="Arial" w:hAnsi="Arial" w:eastAsia="宋体" w:cs="Arial"/>
          <w:color w:val="auto"/>
          <w:spacing w:val="-1"/>
          <w:sz w:val="24"/>
          <w:szCs w:val="24"/>
          <w:highlight w:val="none"/>
        </w:rPr>
        <w:t xml:space="preserve">80</w:t>
      </w:r>
      <w:r>
        <w:rPr>
          <w:rFonts w:ascii="Arial" w:hAnsi="Arial" w:eastAsia="宋体" w:cs="Arial"/>
          <w:color w:val="auto"/>
          <w:spacing w:val="-1"/>
          <w:sz w:val="24"/>
          <w:szCs w:val="24"/>
          <w:highlight w:val="none"/>
        </w:rPr>
        <w:t xml:space="preserve">分或以上的，考核结果</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合格</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，按</w:t>
      </w:r>
      <w:r>
        <w:rPr>
          <w:rFonts w:hint="eastAsia" w:ascii="Arial" w:hAnsi="Arial" w:eastAsia="宋体" w:cs="Arial"/>
          <w:color w:val="auto"/>
          <w:spacing w:val="-1"/>
          <w:sz w:val="24"/>
          <w:szCs w:val="24"/>
          <w:highlight w:val="none"/>
        </w:rPr>
        <w:t xml:space="preserve">考核周期</w:t>
      </w:r>
      <w:r>
        <w:rPr>
          <w:rFonts w:ascii="Arial" w:hAnsi="Arial" w:eastAsia="宋体" w:cs="Arial"/>
          <w:color w:val="auto"/>
          <w:spacing w:val="-1"/>
          <w:sz w:val="24"/>
          <w:szCs w:val="24"/>
          <w:highlight w:val="none"/>
        </w:rPr>
        <w:t xml:space="preserve">费用的100%</w:t>
      </w:r>
      <w:r>
        <w:rPr>
          <w:rFonts w:hint="eastAsia" w:ascii="Arial" w:hAnsi="Arial" w:eastAsia="宋体" w:cs="Arial"/>
          <w:color w:val="auto"/>
          <w:spacing w:val="-1"/>
          <w:sz w:val="24"/>
          <w:szCs w:val="24"/>
          <w:highlight w:val="none"/>
        </w:rPr>
        <w:t xml:space="preserve">确定</w:t>
      </w:r>
      <w:r>
        <w:rPr>
          <w:rFonts w:ascii="Arial" w:hAnsi="Arial" w:eastAsia="宋体" w:cs="Arial"/>
          <w:color w:val="auto"/>
          <w:spacing w:val="-1"/>
          <w:sz w:val="24"/>
          <w:szCs w:val="24"/>
          <w:highlight w:val="none"/>
        </w:rPr>
        <w:t xml:space="preserve">当期款项；</w:t>
      </w:r>
      <w:r/>
    </w:p>
    <w:p>
      <w:pPr>
        <w:jc w:val="left"/>
        <w:spacing w:line="360" w:lineRule="auto"/>
        <w:widowControl/>
        <w:rPr>
          <w:rFonts w:ascii="Arial" w:hAnsi="Arial" w:eastAsia="宋体" w:cs="Arial"/>
          <w:color w:val="auto"/>
          <w:spacing w:val="-1"/>
          <w:sz w:val="24"/>
          <w:szCs w:val="24"/>
          <w:highlight w:val="none"/>
        </w:rPr>
      </w:pPr>
      <w:r>
        <w:rPr>
          <w:rFonts w:hint="eastAsia" w:ascii="Arial" w:hAnsi="Arial" w:eastAsia="宋体" w:cs="Arial"/>
          <w:color w:val="auto"/>
          <w:spacing w:val="-1"/>
          <w:sz w:val="24"/>
          <w:szCs w:val="24"/>
          <w:highlight w:val="none"/>
        </w:rPr>
        <w:t xml:space="preserve">2、</w:t>
      </w:r>
      <w:r>
        <w:rPr>
          <w:rFonts w:ascii="Arial" w:hAnsi="Arial" w:eastAsia="宋体" w:cs="Arial"/>
          <w:color w:val="auto"/>
          <w:spacing w:val="-1"/>
          <w:sz w:val="24"/>
          <w:szCs w:val="24"/>
          <w:highlight w:val="none"/>
        </w:rPr>
        <w:t xml:space="preserve">考核分数达到</w:t>
      </w:r>
      <w:r>
        <w:rPr>
          <w:rFonts w:hint="eastAsia" w:ascii="Arial" w:hAnsi="Arial" w:eastAsia="宋体" w:cs="Arial"/>
          <w:color w:val="auto"/>
          <w:spacing w:val="-1"/>
          <w:sz w:val="24"/>
          <w:szCs w:val="24"/>
          <w:highlight w:val="none"/>
        </w:rPr>
        <w:t xml:space="preserve">70</w:t>
      </w:r>
      <w:r>
        <w:rPr>
          <w:rFonts w:ascii="Arial" w:hAnsi="Arial" w:eastAsia="宋体" w:cs="Arial"/>
          <w:color w:val="auto"/>
          <w:spacing w:val="-1"/>
          <w:sz w:val="24"/>
          <w:szCs w:val="24"/>
          <w:highlight w:val="none"/>
        </w:rPr>
        <w:t xml:space="preserve">分或以上未达</w:t>
      </w:r>
      <w:r>
        <w:rPr>
          <w:rFonts w:hint="eastAsia" w:ascii="Arial" w:hAnsi="Arial" w:eastAsia="宋体" w:cs="Arial"/>
          <w:color w:val="auto"/>
          <w:spacing w:val="-1"/>
          <w:sz w:val="24"/>
          <w:szCs w:val="24"/>
          <w:highlight w:val="none"/>
        </w:rPr>
        <w:t xml:space="preserve">80</w:t>
      </w:r>
      <w:r>
        <w:rPr>
          <w:rFonts w:ascii="Arial" w:hAnsi="Arial" w:eastAsia="宋体" w:cs="Arial"/>
          <w:color w:val="auto"/>
          <w:spacing w:val="-1"/>
          <w:sz w:val="24"/>
          <w:szCs w:val="24"/>
          <w:highlight w:val="none"/>
        </w:rPr>
        <w:t xml:space="preserve">分的，考核结果</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基本合格</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，按</w:t>
      </w:r>
      <w:r>
        <w:rPr>
          <w:rFonts w:hint="eastAsia" w:ascii="Arial" w:hAnsi="Arial" w:eastAsia="宋体" w:cs="Arial"/>
          <w:color w:val="auto"/>
          <w:spacing w:val="-1"/>
          <w:sz w:val="24"/>
          <w:szCs w:val="24"/>
          <w:highlight w:val="none"/>
        </w:rPr>
        <w:t xml:space="preserve">考核周期</w:t>
      </w:r>
      <w:r>
        <w:rPr>
          <w:rFonts w:ascii="Arial" w:hAnsi="Arial" w:eastAsia="宋体" w:cs="Arial"/>
          <w:color w:val="auto"/>
          <w:spacing w:val="-1"/>
          <w:sz w:val="24"/>
          <w:szCs w:val="24"/>
          <w:highlight w:val="none"/>
        </w:rPr>
        <w:t xml:space="preserve">费用的</w:t>
      </w:r>
      <w:r>
        <w:rPr>
          <w:rFonts w:hint="eastAsia" w:ascii="Arial" w:hAnsi="Arial" w:eastAsia="宋体" w:cs="Arial"/>
          <w:color w:val="auto"/>
          <w:spacing w:val="-1"/>
          <w:sz w:val="24"/>
          <w:szCs w:val="24"/>
          <w:highlight w:val="none"/>
        </w:rPr>
        <w:t xml:space="preserve">90</w:t>
      </w:r>
      <w:r>
        <w:rPr>
          <w:rFonts w:ascii="Arial" w:hAnsi="Arial" w:eastAsia="宋体" w:cs="Arial"/>
          <w:color w:val="auto"/>
          <w:spacing w:val="-1"/>
          <w:sz w:val="24"/>
          <w:szCs w:val="24"/>
          <w:highlight w:val="none"/>
        </w:rPr>
        <w:t xml:space="preserve">%</w:t>
      </w:r>
      <w:r>
        <w:rPr>
          <w:rFonts w:hint="eastAsia" w:ascii="Arial" w:hAnsi="Arial" w:eastAsia="宋体" w:cs="Arial"/>
          <w:color w:val="auto"/>
          <w:spacing w:val="-1"/>
          <w:sz w:val="24"/>
          <w:szCs w:val="24"/>
          <w:highlight w:val="none"/>
        </w:rPr>
        <w:t xml:space="preserve">确定</w:t>
      </w:r>
      <w:r>
        <w:rPr>
          <w:rFonts w:ascii="Arial" w:hAnsi="Arial" w:eastAsia="宋体" w:cs="Arial"/>
          <w:color w:val="auto"/>
          <w:spacing w:val="-1"/>
          <w:sz w:val="24"/>
          <w:szCs w:val="24"/>
          <w:highlight w:val="none"/>
        </w:rPr>
        <w:t xml:space="preserve">当期款项，并启动整改机制；</w:t>
      </w:r>
      <w:r/>
    </w:p>
    <w:p>
      <w:pPr>
        <w:jc w:val="left"/>
        <w:spacing w:line="360" w:lineRule="auto"/>
        <w:widowControl/>
        <w:rPr>
          <w:rFonts w:ascii="Arial" w:hAnsi="Arial" w:eastAsia="宋体" w:cs="Arial"/>
          <w:color w:val="auto"/>
          <w:spacing w:val="-1"/>
          <w:sz w:val="24"/>
          <w:szCs w:val="24"/>
          <w:highlight w:val="none"/>
        </w:rPr>
      </w:pPr>
      <w:r>
        <w:rPr>
          <w:rFonts w:hint="eastAsia" w:ascii="Arial" w:hAnsi="Arial" w:eastAsia="宋体" w:cs="Arial"/>
          <w:color w:val="auto"/>
          <w:spacing w:val="-1"/>
          <w:sz w:val="24"/>
          <w:szCs w:val="24"/>
          <w:highlight w:val="none"/>
        </w:rPr>
        <w:t xml:space="preserve">3、</w:t>
      </w:r>
      <w:r>
        <w:rPr>
          <w:rFonts w:ascii="Arial" w:hAnsi="Arial" w:eastAsia="宋体" w:cs="Arial"/>
          <w:color w:val="auto"/>
          <w:spacing w:val="-1"/>
          <w:sz w:val="24"/>
          <w:szCs w:val="24"/>
          <w:highlight w:val="none"/>
        </w:rPr>
        <w:t xml:space="preserve">考核分数未达</w:t>
      </w:r>
      <w:r>
        <w:rPr>
          <w:rFonts w:hint="eastAsia" w:ascii="Arial" w:hAnsi="Arial" w:eastAsia="宋体" w:cs="Arial"/>
          <w:color w:val="auto"/>
          <w:spacing w:val="-1"/>
          <w:sz w:val="24"/>
          <w:szCs w:val="24"/>
          <w:highlight w:val="none"/>
        </w:rPr>
        <w:t xml:space="preserve">70</w:t>
      </w:r>
      <w:r>
        <w:rPr>
          <w:rFonts w:ascii="Arial" w:hAnsi="Arial" w:eastAsia="宋体" w:cs="Arial"/>
          <w:color w:val="auto"/>
          <w:spacing w:val="-1"/>
          <w:sz w:val="24"/>
          <w:szCs w:val="24"/>
          <w:highlight w:val="none"/>
        </w:rPr>
        <w:t xml:space="preserve">分的，考核结果</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不合格</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w:t>
      </w:r>
      <w:r>
        <w:rPr>
          <w:rFonts w:hint="eastAsia" w:ascii="Arial" w:hAnsi="Arial" w:eastAsia="宋体" w:cs="Arial"/>
          <w:color w:val="auto"/>
          <w:spacing w:val="-1"/>
          <w:sz w:val="24"/>
          <w:szCs w:val="24"/>
          <w:highlight w:val="none"/>
        </w:rPr>
        <w:t xml:space="preserve">甲方</w:t>
      </w:r>
      <w:r>
        <w:rPr>
          <w:rFonts w:ascii="Arial" w:hAnsi="Arial" w:eastAsia="宋体" w:cs="Arial"/>
          <w:color w:val="auto"/>
          <w:spacing w:val="-1"/>
          <w:sz w:val="24"/>
          <w:szCs w:val="24"/>
          <w:highlight w:val="none"/>
        </w:rPr>
        <w:t xml:space="preserve">不予支付当期服务费用，同时解除合同。</w:t>
      </w:r>
      <w:r/>
    </w:p>
    <w:p>
      <w:pPr>
        <w:jc w:val="left"/>
        <w:spacing w:line="360" w:lineRule="auto"/>
        <w:widowControl/>
        <w:rPr>
          <w:rFonts w:ascii="Arial" w:hAnsi="Arial" w:eastAsia="宋体" w:cs="Arial"/>
          <w:color w:val="auto"/>
          <w:spacing w:val="-1"/>
          <w:sz w:val="24"/>
          <w:szCs w:val="24"/>
          <w:highlight w:val="none"/>
        </w:rPr>
        <w:sectPr>
          <w:headerReference w:type="default" r:id="rId10"/>
          <w:footerReference w:type="default" r:id="rId16"/>
          <w:footnotePr/>
          <w:endnotePr/>
          <w:type w:val="nextPage"/>
          <w:pgSz w:w="11906" w:h="16838" w:orient="portrait"/>
          <w:pgMar w:top="1134" w:right="1134" w:bottom="1134" w:left="1134" w:header="851" w:footer="992" w:gutter="0"/>
          <w:cols w:num="1" w:sep="0" w:space="720" w:equalWidth="1"/>
          <w:docGrid w:linePitch="360"/>
        </w:sectPr>
      </w:pPr>
      <w:r>
        <w:rPr>
          <w:rFonts w:ascii="Arial" w:hAnsi="Arial" w:eastAsia="宋体" w:cs="Arial"/>
          <w:color w:val="auto"/>
          <w:spacing w:val="-1"/>
          <w:sz w:val="24"/>
          <w:szCs w:val="24"/>
          <w:highlight w:val="none"/>
        </w:rPr>
        <w:t xml:space="preserve">4、一个年度内出现3次</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基本合格</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，或出现连续2次</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基本合格</w:t>
      </w:r>
      <w:r>
        <w:rPr>
          <w:rFonts w:hint="eastAsia" w:ascii="Arial" w:hAnsi="Arial" w:eastAsia="宋体" w:cs="Arial"/>
          <w:color w:val="auto"/>
          <w:spacing w:val="-1"/>
          <w:sz w:val="24"/>
          <w:szCs w:val="24"/>
          <w:highlight w:val="none"/>
        </w:rPr>
        <w:t xml:space="preserve">”</w:t>
      </w:r>
      <w:r>
        <w:rPr>
          <w:rFonts w:ascii="Arial" w:hAnsi="Arial" w:eastAsia="宋体" w:cs="Arial"/>
          <w:color w:val="auto"/>
          <w:spacing w:val="-1"/>
          <w:sz w:val="24"/>
          <w:szCs w:val="24"/>
          <w:highlight w:val="none"/>
        </w:rPr>
        <w:t xml:space="preserve">，</w:t>
      </w:r>
      <w:r>
        <w:rPr>
          <w:rFonts w:hint="eastAsia" w:ascii="Arial" w:hAnsi="Arial" w:eastAsia="宋体" w:cs="Arial"/>
          <w:color w:val="auto"/>
          <w:spacing w:val="-1"/>
          <w:sz w:val="24"/>
          <w:szCs w:val="24"/>
          <w:highlight w:val="none"/>
        </w:rPr>
        <w:t xml:space="preserve">甲方</w:t>
      </w:r>
      <w:r>
        <w:rPr>
          <w:rFonts w:ascii="Arial" w:hAnsi="Arial" w:eastAsia="宋体" w:cs="Arial"/>
          <w:color w:val="auto"/>
          <w:spacing w:val="-1"/>
          <w:sz w:val="24"/>
          <w:szCs w:val="24"/>
          <w:highlight w:val="none"/>
        </w:rPr>
        <w:t xml:space="preserve">解除合同。</w:t>
      </w:r>
      <w:r/>
    </w:p>
    <w:tbl>
      <w:tblPr>
        <w:tblStyle w:val="969"/>
        <w:tblW w:w="14174" w:type="dxa"/>
        <w:tblInd w:w="95" w:type="dxa"/>
        <w:tblLayout w:type="autofit"/>
        <w:tblCellMar>
          <w:left w:w="108" w:type="dxa"/>
          <w:top w:w="0" w:type="dxa"/>
          <w:right w:w="108" w:type="dxa"/>
          <w:bottom w:w="0" w:type="dxa"/>
        </w:tblCellMar>
        <w:tblLook w:val="04A0" w:firstRow="1" w:lastRow="0" w:firstColumn="1" w:lastColumn="0" w:noHBand="0" w:noVBand="1"/>
      </w:tblPr>
      <w:tblGrid>
        <w:gridCol w:w="4148"/>
        <w:gridCol w:w="1027"/>
        <w:gridCol w:w="1043"/>
        <w:gridCol w:w="996"/>
        <w:gridCol w:w="1094"/>
        <w:gridCol w:w="1496"/>
        <w:gridCol w:w="1563"/>
        <w:gridCol w:w="2807"/>
      </w:tblGrid>
      <w:tr>
        <w:trPr>
          <w:trHeight w:val="300"/>
        </w:trPr>
        <w:tc>
          <w:tcPr>
            <w:tcBorders>
              <w:top w:val="none" w:color="000000" w:sz="4" w:space="0"/>
              <w:left w:val="none" w:color="000000" w:sz="4" w:space="0"/>
              <w:bottom w:val="none" w:color="000000" w:sz="4" w:space="0"/>
              <w:right w:val="none" w:color="000000" w:sz="4" w:space="0"/>
            </w:tcBorders>
            <w:tcW w:w="3903" w:type="dxa"/>
            <w:vAlign w:val="center"/>
            <w:textDirection w:val="lrTb"/>
            <w:noWrap w:val="false"/>
          </w:tcPr>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tc>
        <w:tc>
          <w:tcPr>
            <w:tcBorders>
              <w:top w:val="none" w:color="000000" w:sz="4" w:space="0"/>
              <w:left w:val="none" w:color="000000" w:sz="4" w:space="0"/>
              <w:bottom w:val="none" w:color="000000" w:sz="4" w:space="0"/>
              <w:right w:val="none" w:color="000000" w:sz="4" w:space="0"/>
            </w:tcBorders>
            <w:tcW w:w="966"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981"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937"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029"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407"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470"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2640"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350"/>
        </w:trPr>
        <w:tc>
          <w:tcPr>
            <w:gridSpan w:val="8"/>
            <w:tcBorders>
              <w:top w:val="single" w:color="000000" w:sz="4" w:space="0"/>
              <w:left w:val="single" w:color="000000" w:sz="4" w:space="0"/>
              <w:bottom w:val="single" w:color="000000" w:sz="4" w:space="0"/>
              <w:right w:val="single" w:color="000000" w:sz="4" w:space="0"/>
            </w:tcBorders>
            <w:tcW w:w="13333" w:type="dxa"/>
            <w:vAlign w:val="center"/>
            <w:textDirection w:val="lrTb"/>
            <w:noWrap w:val="false"/>
          </w:tcPr>
          <w:p>
            <w:pPr>
              <w:jc w:val="center"/>
              <w:widowControl/>
              <w:rPr>
                <w:rFonts w:ascii="黑体" w:hAnsi="宋体" w:eastAsia="黑体" w:cs="黑体"/>
                <w:b/>
                <w:bCs/>
                <w:color w:val="auto"/>
                <w:sz w:val="28"/>
                <w:szCs w:val="28"/>
                <w:highlight w:val="none"/>
              </w:rPr>
            </w:pPr>
            <w:r>
              <w:rPr>
                <w:rFonts w:hint="eastAsia" w:ascii="黑体" w:hAnsi="宋体" w:eastAsia="黑体" w:cs="黑体"/>
                <w:b/>
                <w:bCs/>
                <w:color w:val="auto"/>
                <w:sz w:val="28"/>
                <w:szCs w:val="28"/>
                <w:highlight w:val="none"/>
              </w:rPr>
              <w:t xml:space="preserve">苏州市社会福利总院洗涤费用测算（服务对象）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vMerge w:val="restart"/>
            <w:textDirection w:val="lrTb"/>
            <w:noWrap w:val="false"/>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洗涤物品</w:t>
            </w:r>
            <w:r/>
          </w:p>
        </w:tc>
        <w:tc>
          <w:tcPr>
            <w:gridSpan w:val="7"/>
            <w:tcBorders>
              <w:top w:val="single" w:color="000000" w:sz="4" w:space="0"/>
              <w:left w:val="single" w:color="000000" w:sz="4" w:space="0"/>
              <w:bottom w:val="single" w:color="000000" w:sz="4" w:space="0"/>
              <w:right w:val="single" w:color="000000" w:sz="4" w:space="0"/>
            </w:tcBorders>
            <w:tcW w:w="943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洗涤数量（件）</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vMerge w:val="continue"/>
            <w:textDirection w:val="lrTb"/>
            <w:noWrap w:val="false"/>
          </w:tcPr>
          <w:p>
            <w:pPr>
              <w:jc w:val="center"/>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老福中心</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儿福中心</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精福中心</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残福中心</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总数量（件）</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频次（次/年）</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床上用品（枕套、被套、床单、中单）</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664</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1512</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3924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一月二次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枕芯</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259</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166</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378</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178</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981</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一月二次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被子（凉被、垫被）</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332</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756</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356</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1962</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一月二次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床帘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498</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一月二次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春夏装（汗衫、短裤、球衣、球裤）</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664</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1512</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3924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一周二次</w:t>
            </w:r>
            <w:r/>
          </w:p>
        </w:tc>
      </w:tr>
      <w:tr>
        <w:trPr>
          <w:trHeight w:val="56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秋冬装内衣（棉毛衫、棉毛裤、睡衣、睡裤）</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664</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1512</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3924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一周一次</w:t>
            </w:r>
            <w:r/>
          </w:p>
        </w:tc>
      </w:tr>
      <w:tr>
        <w:trPr>
          <w:trHeight w:val="56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秋冬装外衣（外套、长裤、毛衫、毛裤、棉衣、棉裤）</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1554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996</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2268</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1068</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5886</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一月二次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浴巾</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259</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260</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261</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262</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一周一次</w:t>
            </w:r>
            <w:r/>
          </w:p>
        </w:tc>
      </w:tr>
      <w:tr>
        <w:trPr>
          <w:trHeight w:val="280"/>
        </w:trPr>
        <w:tc>
          <w:tcPr>
            <w:tcBorders>
              <w:top w:val="single" w:color="000000" w:sz="4" w:space="0"/>
              <w:left w:val="single" w:color="000000" w:sz="4" w:space="0"/>
              <w:bottom w:val="single" w:color="000000" w:sz="4" w:space="0"/>
              <w:right w:val="single" w:color="000000" w:sz="4" w:space="0"/>
            </w:tcBorders>
            <w:tcW w:w="3903"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浴帘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一年二次</w:t>
            </w:r>
            <w:r/>
          </w:p>
        </w:tc>
      </w:tr>
    </w:tbl>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p>
      <w:pPr>
        <w:pStyle w:val="970"/>
        <w:rPr>
          <w:color w:val="auto"/>
          <w:highlight w:val="none"/>
        </w:rPr>
      </w:pPr>
      <w:r>
        <w:rPr>
          <w:color w:val="auto"/>
          <w:highlight w:val="none"/>
        </w:rPr>
      </w:r>
      <w:r/>
    </w:p>
    <w:tbl>
      <w:tblPr>
        <w:tblStyle w:val="969"/>
        <w:tblW w:w="14060" w:type="dxa"/>
        <w:tblInd w:w="98" w:type="dxa"/>
        <w:tblLayout w:type="autofit"/>
        <w:tblCellMar>
          <w:left w:w="108" w:type="dxa"/>
          <w:top w:w="0" w:type="dxa"/>
          <w:right w:w="108" w:type="dxa"/>
          <w:bottom w:w="0" w:type="dxa"/>
        </w:tblCellMar>
        <w:tblLook w:val="04A0" w:firstRow="1" w:lastRow="0" w:firstColumn="1" w:lastColumn="0" w:noHBand="0" w:noVBand="1"/>
      </w:tblPr>
      <w:tblGrid>
        <w:gridCol w:w="3710"/>
        <w:gridCol w:w="960"/>
        <w:gridCol w:w="960"/>
        <w:gridCol w:w="960"/>
        <w:gridCol w:w="960"/>
        <w:gridCol w:w="960"/>
        <w:gridCol w:w="1370"/>
        <w:gridCol w:w="1510"/>
        <w:gridCol w:w="2670"/>
      </w:tblGrid>
      <w:tr>
        <w:trPr>
          <w:trHeight w:val="350"/>
        </w:trPr>
        <w:tc>
          <w:tcPr>
            <w:gridSpan w:val="9"/>
            <w:tcBorders>
              <w:top w:val="single" w:color="000000" w:sz="4" w:space="0"/>
              <w:left w:val="single" w:color="000000" w:sz="4" w:space="0"/>
              <w:bottom w:val="single" w:color="000000" w:sz="4" w:space="0"/>
              <w:right w:val="single" w:color="000000" w:sz="4" w:space="0"/>
            </w:tcBorders>
            <w:tcW w:w="14060" w:type="dxa"/>
            <w:vAlign w:val="center"/>
            <w:textDirection w:val="lrTb"/>
            <w:noWrap/>
          </w:tcPr>
          <w:p>
            <w:pPr>
              <w:jc w:val="center"/>
              <w:widowControl/>
              <w:rPr>
                <w:rFonts w:ascii="黑体" w:hAnsi="宋体" w:eastAsia="黑体" w:cs="黑体"/>
                <w:b/>
                <w:bCs/>
                <w:color w:val="auto"/>
                <w:sz w:val="28"/>
                <w:szCs w:val="28"/>
                <w:highlight w:val="none"/>
              </w:rPr>
            </w:pPr>
            <w:r>
              <w:rPr>
                <w:rFonts w:hint="eastAsia" w:ascii="黑体" w:hAnsi="宋体" w:eastAsia="黑体" w:cs="黑体"/>
                <w:b/>
                <w:bCs/>
                <w:color w:val="auto"/>
                <w:sz w:val="28"/>
                <w:szCs w:val="28"/>
                <w:highlight w:val="none"/>
              </w:rPr>
              <w:t xml:space="preserve">苏州市社会福利总院洗涤费用测算（工作人员）</w:t>
            </w:r>
            <w:r/>
          </w:p>
        </w:tc>
      </w:tr>
      <w:tr>
        <w:trPr>
          <w:trHeight w:val="280"/>
        </w:trPr>
        <w:tc>
          <w:tcPr>
            <w:tcBorders>
              <w:top w:val="single" w:color="000000" w:sz="4" w:space="0"/>
              <w:left w:val="single" w:color="000000" w:sz="4" w:space="0"/>
              <w:bottom w:val="single" w:color="000000" w:sz="4" w:space="0"/>
              <w:right w:val="single" w:color="000000" w:sz="4" w:space="0"/>
            </w:tcBorders>
            <w:tcW w:w="3710" w:type="dxa"/>
            <w:vAlign w:val="center"/>
            <w:vMerge w:val="restart"/>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洗涤物品</w:t>
            </w:r>
            <w:r/>
          </w:p>
        </w:tc>
        <w:tc>
          <w:tcPr>
            <w:gridSpan w:val="8"/>
            <w:tcBorders>
              <w:top w:val="single" w:color="000000" w:sz="4" w:space="0"/>
              <w:left w:val="single" w:color="000000" w:sz="4" w:space="0"/>
              <w:bottom w:val="single" w:color="000000" w:sz="4" w:space="0"/>
              <w:right w:val="single" w:color="000000" w:sz="4" w:space="0"/>
            </w:tcBorders>
            <w:tcW w:w="1035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洗涤数量（件）</w:t>
            </w:r>
            <w:r/>
          </w:p>
        </w:tc>
      </w:tr>
      <w:tr>
        <w:trPr>
          <w:trHeight w:val="280"/>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tcPr>
          <w:p>
            <w:pPr>
              <w:jc w:val="center"/>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老福中心</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儿福中心</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精福中心</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残福中心</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行政科室</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总数量（件）</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频次（次/年）</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备注</w:t>
            </w:r>
            <w:r/>
          </w:p>
        </w:tc>
      </w:tr>
      <w:tr>
        <w:trPr>
          <w:trHeight w:val="56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春夏装工作服（医生服、护士服、护理员服、食堂服、维修服）</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250</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2805</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一周二次</w:t>
            </w:r>
            <w:r/>
          </w:p>
        </w:tc>
      </w:tr>
      <w:tr>
        <w:trPr>
          <w:trHeight w:val="56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秋冬装工作服（医生服、护士服、护理员服、食堂服、维修服）</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250</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2805</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一周一次</w:t>
            </w:r>
            <w:r/>
          </w:p>
        </w:tc>
      </w:tr>
      <w:tr>
        <w:trPr>
          <w:trHeight w:val="2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床单元（床单、被套、枕套、枕芯、垫被、浴巾）</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一月一次</w:t>
            </w:r>
            <w:r/>
          </w:p>
        </w:tc>
      </w:tr>
      <w:tr>
        <w:trPr>
          <w:trHeight w:val="2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窗帘</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1756</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一年一次</w:t>
            </w:r>
            <w:r/>
          </w:p>
        </w:tc>
      </w:tr>
      <w:tr>
        <w:trPr>
          <w:trHeight w:val="2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台布</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一年二次</w:t>
            </w:r>
            <w:r/>
          </w:p>
        </w:tc>
      </w:tr>
      <w:tr>
        <w:trPr>
          <w:trHeight w:val="2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椅套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一年二次</w:t>
            </w:r>
            <w:r/>
          </w:p>
        </w:tc>
      </w:tr>
    </w:tbl>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注：根据甲方要求，及时清洗不在名录内的其他物品。</w:t>
      </w:r>
      <w:r/>
    </w:p>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（全文完）</w:t>
      </w:r>
      <w:r/>
    </w:p>
    <w:sectPr>
      <w:footnotePr/>
      <w:endnotePr/>
      <w:type w:val="nextPage"/>
      <w:pgSz w:w="16838" w:h="11906" w:orient="landscape"/>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Symbol">
    <w:panose1 w:val="05050102010706020507"/>
  </w:font>
  <w:font w:name="Tahoma">
    <w:panose1 w:val="020B0604030504040204"/>
  </w:font>
  <w:font w:name="方正仿宋简体">
    <w:panose1 w:val="020B050302020202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3"/>
      </w:rPr>
      <w:framePr w:wrap="around" w:vAnchor="text" w:hAnchor="margin" w:xAlign="right" w:y="1"/>
    </w:pPr>
    <w:r>
      <w:fldChar w:fldCharType="begin"/>
    </w:r>
    <w:r>
      <w:rPr>
        <w:rStyle w:val="1013"/>
      </w:rPr>
      <w:instrText xml:space="preserve">PAGE  </w:instrText>
    </w:r>
    <w:r>
      <w:fldChar w:fldCharType="end"/>
    </w:r>
    <w:r/>
  </w:p>
  <w:p>
    <w:pPr>
      <w:pStyle w:val="9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9"/>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rPr>
        <w:rFonts w:ascii="宋体" w:hAnsi="宋体" w:eastAsia="宋体" w:cs="宋体"/>
      </w:rPr>
    </w:pPr>
    <w:r>
      <w:rPr>
        <w:rFonts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9"/>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27</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27</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rFonts w:hint="eastAsia" w:ascii="宋体" w:hAnsi="宋体" w:eastAsia="宋体" w:cs="宋体"/>
      </w:rPr>
      <w:t xml:space="preserve">苏州正杰招投标咨询服务有限公司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9"/>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30</w:t>
                          </w:r>
                          <w:r>
                            <w:rPr>
                              <w:sz w:val="21"/>
                              <w:szCs w:val="21"/>
                            </w:rPr>
                            <w:fldChar w:fldCharType="end"/>
                          </w:r>
                          <w:r>
                            <w:rPr>
                              <w:sz w:val="21"/>
                              <w:szCs w:val="21"/>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30</w:t>
                    </w:r>
                    <w:r>
                      <w:rPr>
                        <w:sz w:val="21"/>
                        <w:szCs w:val="21"/>
                      </w:rPr>
                      <w:fldChar w:fldCharType="end"/>
                    </w:r>
                    <w:r>
                      <w:rPr>
                        <w:sz w:val="21"/>
                        <w:szCs w:val="21"/>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项目编号</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21"/>
        <w:highlight w:val="none"/>
        <w:lang w:eastAsia="zh-CN"/>
      </w:rPr>
      <w:t xml:space="preserve">JSZC-320500-SZZJ-G2026-0009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rPr>
        <w:rFonts w:hint="eastAsia" w:ascii="宋体" w:hAnsi="宋体" w:eastAsia="宋体"/>
        <w:color w:val="ff0000"/>
        <w:lang w:eastAsia="zh-CN"/>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104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63"/>
      <w:isLgl w:val="false"/>
      <w:suff w:val="tab"/>
      <w:lvlText w:val="%1.%2.%3.%4.%5"/>
      <w:lvlJc w:val="left"/>
      <w:pPr>
        <w:ind w:left="1008" w:hanging="1008"/>
        <w:tabs>
          <w:tab w:val="left" w:pos="1008" w:leader="none"/>
        </w:tabs>
      </w:pPr>
    </w:lvl>
    <w:lvl w:ilvl="5">
      <w:start w:val="1"/>
      <w:numFmt w:val="decimal"/>
      <w:pStyle w:val="964"/>
      <w:isLgl w:val="false"/>
      <w:suff w:val="tab"/>
      <w:lvlText w:val="%1.%2.%3.%4.%5.%6"/>
      <w:lvlJc w:val="left"/>
      <w:pPr>
        <w:ind w:left="1152" w:hanging="1152"/>
        <w:tabs>
          <w:tab w:val="left" w:pos="1152" w:leader="none"/>
        </w:tabs>
      </w:pPr>
    </w:lvl>
    <w:lvl w:ilvl="6">
      <w:start w:val="1"/>
      <w:numFmt w:val="decimal"/>
      <w:pStyle w:val="965"/>
      <w:isLgl w:val="false"/>
      <w:suff w:val="tab"/>
      <w:lvlText w:val="%1.%2.%3.%4.%5.%6.%7"/>
      <w:lvlJc w:val="left"/>
      <w:pPr>
        <w:ind w:left="1296" w:hanging="1296"/>
        <w:tabs>
          <w:tab w:val="left" w:pos="1296" w:leader="none"/>
        </w:tabs>
      </w:pPr>
    </w:lvl>
    <w:lvl w:ilvl="7">
      <w:start w:val="1"/>
      <w:numFmt w:val="decimal"/>
      <w:pStyle w:val="966"/>
      <w:isLgl w:val="false"/>
      <w:suff w:val="tab"/>
      <w:lvlText w:val="%1.%2.%3.%4.%5.%6.%7.%8"/>
      <w:lvlJc w:val="left"/>
      <w:pPr>
        <w:ind w:left="1440" w:hanging="1440"/>
        <w:tabs>
          <w:tab w:val="left" w:pos="1440" w:leader="none"/>
        </w:tabs>
      </w:pPr>
    </w:lvl>
    <w:lvl w:ilvl="8">
      <w:start w:val="1"/>
      <w:numFmt w:val="decimal"/>
      <w:pStyle w:val="967"/>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968"/>
    <w:link w:val="959"/>
    <w:uiPriority w:val="9"/>
    <w:rPr>
      <w:rFonts w:ascii="Arial" w:hAnsi="Arial" w:eastAsia="Arial" w:cs="Arial"/>
      <w:sz w:val="40"/>
      <w:szCs w:val="40"/>
    </w:rPr>
  </w:style>
  <w:style w:type="character" w:styleId="808">
    <w:name w:val="Heading 2 Char"/>
    <w:basedOn w:val="968"/>
    <w:link w:val="960"/>
    <w:uiPriority w:val="9"/>
    <w:rPr>
      <w:rFonts w:ascii="Arial" w:hAnsi="Arial" w:eastAsia="Arial" w:cs="Arial"/>
      <w:sz w:val="34"/>
    </w:rPr>
  </w:style>
  <w:style w:type="character" w:styleId="809">
    <w:name w:val="Heading 3 Char"/>
    <w:basedOn w:val="968"/>
    <w:link w:val="961"/>
    <w:uiPriority w:val="9"/>
    <w:rPr>
      <w:rFonts w:ascii="Arial" w:hAnsi="Arial" w:eastAsia="Arial" w:cs="Arial"/>
      <w:sz w:val="30"/>
      <w:szCs w:val="30"/>
    </w:rPr>
  </w:style>
  <w:style w:type="character" w:styleId="810">
    <w:name w:val="Heading 4 Char"/>
    <w:basedOn w:val="968"/>
    <w:link w:val="962"/>
    <w:uiPriority w:val="9"/>
    <w:rPr>
      <w:rFonts w:ascii="Arial" w:hAnsi="Arial" w:eastAsia="Arial" w:cs="Arial"/>
      <w:b/>
      <w:bCs/>
      <w:sz w:val="26"/>
      <w:szCs w:val="26"/>
    </w:rPr>
  </w:style>
  <w:style w:type="character" w:styleId="811">
    <w:name w:val="Heading 5 Char"/>
    <w:basedOn w:val="968"/>
    <w:link w:val="963"/>
    <w:uiPriority w:val="9"/>
    <w:rPr>
      <w:rFonts w:ascii="Arial" w:hAnsi="Arial" w:eastAsia="Arial" w:cs="Arial"/>
      <w:b/>
      <w:bCs/>
      <w:sz w:val="24"/>
      <w:szCs w:val="24"/>
    </w:rPr>
  </w:style>
  <w:style w:type="character" w:styleId="812">
    <w:name w:val="Heading 6 Char"/>
    <w:basedOn w:val="968"/>
    <w:link w:val="964"/>
    <w:uiPriority w:val="9"/>
    <w:rPr>
      <w:rFonts w:ascii="Arial" w:hAnsi="Arial" w:eastAsia="Arial" w:cs="Arial"/>
      <w:b/>
      <w:bCs/>
      <w:sz w:val="22"/>
      <w:szCs w:val="22"/>
    </w:rPr>
  </w:style>
  <w:style w:type="character" w:styleId="813">
    <w:name w:val="Heading 7 Char"/>
    <w:basedOn w:val="968"/>
    <w:link w:val="965"/>
    <w:uiPriority w:val="9"/>
    <w:rPr>
      <w:rFonts w:ascii="Arial" w:hAnsi="Arial" w:eastAsia="Arial" w:cs="Arial"/>
      <w:b/>
      <w:bCs/>
      <w:i/>
      <w:iCs/>
      <w:sz w:val="22"/>
      <w:szCs w:val="22"/>
    </w:rPr>
  </w:style>
  <w:style w:type="character" w:styleId="814">
    <w:name w:val="Heading 8 Char"/>
    <w:basedOn w:val="968"/>
    <w:link w:val="966"/>
    <w:uiPriority w:val="9"/>
    <w:rPr>
      <w:rFonts w:ascii="Arial" w:hAnsi="Arial" w:eastAsia="Arial" w:cs="Arial"/>
      <w:i/>
      <w:iCs/>
      <w:sz w:val="22"/>
      <w:szCs w:val="22"/>
    </w:rPr>
  </w:style>
  <w:style w:type="character" w:styleId="815">
    <w:name w:val="Heading 9 Char"/>
    <w:basedOn w:val="968"/>
    <w:link w:val="967"/>
    <w:uiPriority w:val="9"/>
    <w:rPr>
      <w:rFonts w:ascii="Arial" w:hAnsi="Arial" w:eastAsia="Arial" w:cs="Arial"/>
      <w:i/>
      <w:iCs/>
      <w:sz w:val="21"/>
      <w:szCs w:val="21"/>
    </w:rPr>
  </w:style>
  <w:style w:type="paragraph" w:styleId="816">
    <w:name w:val="No Spacing"/>
    <w:uiPriority w:val="1"/>
    <w:qFormat/>
    <w:pPr>
      <w:spacing w:before="0" w:after="0" w:line="240" w:lineRule="auto"/>
    </w:pPr>
  </w:style>
  <w:style w:type="character" w:styleId="817">
    <w:name w:val="Title Char"/>
    <w:basedOn w:val="968"/>
    <w:link w:val="1007"/>
    <w:uiPriority w:val="10"/>
    <w:rPr>
      <w:sz w:val="48"/>
      <w:szCs w:val="48"/>
    </w:rPr>
  </w:style>
  <w:style w:type="paragraph" w:styleId="818">
    <w:name w:val="Subtitle"/>
    <w:basedOn w:val="958"/>
    <w:next w:val="958"/>
    <w:link w:val="819"/>
    <w:uiPriority w:val="11"/>
    <w:qFormat/>
    <w:pPr>
      <w:spacing w:before="200" w:after="200"/>
    </w:pPr>
    <w:rPr>
      <w:sz w:val="24"/>
      <w:szCs w:val="24"/>
    </w:rPr>
  </w:style>
  <w:style w:type="character" w:styleId="819">
    <w:name w:val="Subtitle Char"/>
    <w:basedOn w:val="968"/>
    <w:link w:val="818"/>
    <w:uiPriority w:val="11"/>
    <w:rPr>
      <w:sz w:val="24"/>
      <w:szCs w:val="24"/>
    </w:rPr>
  </w:style>
  <w:style w:type="paragraph" w:styleId="820">
    <w:name w:val="Quote"/>
    <w:basedOn w:val="958"/>
    <w:next w:val="958"/>
    <w:link w:val="821"/>
    <w:uiPriority w:val="29"/>
    <w:qFormat/>
    <w:pPr>
      <w:ind w:left="720" w:right="720"/>
    </w:pPr>
    <w:rPr>
      <w:i/>
    </w:rPr>
  </w:style>
  <w:style w:type="character" w:styleId="821">
    <w:name w:val="Quote Char"/>
    <w:link w:val="820"/>
    <w:uiPriority w:val="29"/>
    <w:rPr>
      <w:i/>
    </w:rPr>
  </w:style>
  <w:style w:type="paragraph" w:styleId="822">
    <w:name w:val="Intense Quote"/>
    <w:basedOn w:val="958"/>
    <w:next w:val="958"/>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character" w:styleId="824">
    <w:name w:val="Header Char"/>
    <w:basedOn w:val="968"/>
    <w:link w:val="991"/>
    <w:uiPriority w:val="99"/>
  </w:style>
  <w:style w:type="character" w:styleId="825">
    <w:name w:val="Footer Char"/>
    <w:basedOn w:val="968"/>
    <w:link w:val="989"/>
    <w:uiPriority w:val="99"/>
  </w:style>
  <w:style w:type="paragraph" w:styleId="826">
    <w:name w:val="Caption"/>
    <w:basedOn w:val="958"/>
    <w:next w:val="958"/>
    <w:uiPriority w:val="35"/>
    <w:semiHidden/>
    <w:unhideWhenUsed/>
    <w:qFormat/>
    <w:pPr>
      <w:spacing w:line="276" w:lineRule="auto"/>
    </w:pPr>
    <w:rPr>
      <w:b/>
      <w:bCs/>
      <w:color w:val="4f81bd" w:themeColor="accent1"/>
      <w:sz w:val="18"/>
      <w:szCs w:val="18"/>
    </w:rPr>
  </w:style>
  <w:style w:type="character" w:styleId="827">
    <w:name w:val="Caption Char"/>
    <w:basedOn w:val="826"/>
    <w:link w:val="989"/>
    <w:uiPriority w:val="99"/>
  </w:style>
  <w:style w:type="table" w:styleId="828">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64">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5">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6">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7">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8">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9">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6">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9">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0">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1">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2">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03">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4">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6">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7">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8">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9">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10">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1">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20">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1">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2">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3">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24">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5">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7">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8">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9">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0">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31">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2">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4">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8">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1">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2">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3">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4">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5">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6">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Footnote Text Char"/>
    <w:link w:val="996"/>
    <w:uiPriority w:val="99"/>
    <w:rPr>
      <w:sz w:val="18"/>
    </w:rPr>
  </w:style>
  <w:style w:type="paragraph" w:styleId="954">
    <w:name w:val="endnote text"/>
    <w:basedOn w:val="95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basedOn w:val="968"/>
    <w:uiPriority w:val="99"/>
    <w:semiHidden/>
    <w:unhideWhenUsed/>
    <w:rPr>
      <w:vertAlign w:val="superscript"/>
    </w:rPr>
  </w:style>
  <w:style w:type="paragraph" w:styleId="957">
    <w:name w:val="TOC Heading"/>
    <w:uiPriority w:val="39"/>
    <w:unhideWhenUsed/>
  </w:style>
  <w:style w:type="paragraph" w:styleId="958" w:default="1">
    <w:name w:val="Normal"/>
    <w:next w:val="970"/>
    <w:uiPriority w:val="0"/>
    <w:qFormat/>
    <w:pPr>
      <w:jc w:val="both"/>
      <w:widowControl w:val="off"/>
    </w:pPr>
    <w:rPr>
      <w:rFonts w:ascii="Times New Roman" w:hAnsi="Times New Roman" w:eastAsia="楷体_GB2312" w:cs="Times New Roman"/>
      <w:sz w:val="26"/>
      <w:lang w:val="en-US" w:eastAsia="zh-CN" w:bidi="ar-SA"/>
    </w:rPr>
  </w:style>
  <w:style w:type="paragraph" w:styleId="959">
    <w:name w:val="Heading 1"/>
    <w:basedOn w:val="958"/>
    <w:next w:val="958"/>
    <w:link w:val="1093"/>
    <w:uiPriority w:val="0"/>
    <w:qFormat/>
    <w:pPr>
      <w:keepLines/>
      <w:keepNext/>
      <w:spacing w:before="340" w:after="330" w:line="578" w:lineRule="auto"/>
      <w:outlineLvl w:val="0"/>
    </w:pPr>
    <w:rPr>
      <w:b/>
      <w:sz w:val="44"/>
    </w:rPr>
  </w:style>
  <w:style w:type="paragraph" w:styleId="960">
    <w:name w:val="Heading 2"/>
    <w:basedOn w:val="958"/>
    <w:next w:val="958"/>
    <w:uiPriority w:val="0"/>
    <w:qFormat/>
    <w:pPr>
      <w:jc w:val="left"/>
      <w:keepLines/>
      <w:keepNext/>
      <w:outlineLvl w:val="1"/>
    </w:pPr>
    <w:rPr>
      <w:rFonts w:ascii="宋体" w:hAnsi="宋体"/>
      <w:b/>
    </w:rPr>
  </w:style>
  <w:style w:type="paragraph" w:styleId="961">
    <w:name w:val="Heading 3"/>
    <w:basedOn w:val="958"/>
    <w:next w:val="958"/>
    <w:uiPriority w:val="0"/>
    <w:qFormat/>
    <w:pPr>
      <w:jc w:val="left"/>
      <w:keepLines/>
      <w:keepNext/>
      <w:outlineLvl w:val="2"/>
    </w:pPr>
    <w:rPr>
      <w:b/>
    </w:rPr>
  </w:style>
  <w:style w:type="paragraph" w:styleId="962">
    <w:name w:val="Heading 4"/>
    <w:basedOn w:val="958"/>
    <w:next w:val="958"/>
    <w:uiPriority w:val="9"/>
    <w:qFormat/>
    <w:pPr>
      <w:keepLines/>
      <w:keepNext/>
      <w:spacing w:before="280" w:after="290" w:line="376" w:lineRule="auto"/>
      <w:outlineLvl w:val="3"/>
    </w:pPr>
    <w:rPr>
      <w:rFonts w:ascii="Cambria" w:hAnsi="Cambria"/>
      <w:bCs/>
      <w:szCs w:val="28"/>
    </w:rPr>
  </w:style>
  <w:style w:type="paragraph" w:styleId="963">
    <w:name w:val="Heading 5"/>
    <w:basedOn w:val="958"/>
    <w:next w:val="971"/>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64">
    <w:name w:val="Heading 6"/>
    <w:basedOn w:val="958"/>
    <w:next w:val="958"/>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65">
    <w:name w:val="Heading 7"/>
    <w:basedOn w:val="958"/>
    <w:next w:val="971"/>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66">
    <w:name w:val="Heading 8"/>
    <w:basedOn w:val="958"/>
    <w:next w:val="971"/>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67">
    <w:name w:val="Heading 9"/>
    <w:basedOn w:val="958"/>
    <w:next w:val="971"/>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Body Text Indent"/>
    <w:basedOn w:val="958"/>
    <w:next w:val="958"/>
    <w:uiPriority w:val="0"/>
    <w:qFormat/>
    <w:pPr>
      <w:ind w:left="570"/>
      <w:spacing w:line="520" w:lineRule="exact"/>
    </w:pPr>
    <w:rPr>
      <w:rFonts w:ascii="方正仿宋简体" w:hAnsi="创艺简仿宋" w:eastAsia="方正仿宋简体"/>
      <w:sz w:val="24"/>
    </w:rPr>
  </w:style>
  <w:style w:type="paragraph" w:styleId="971">
    <w:name w:val="Normal Indent"/>
    <w:basedOn w:val="958"/>
    <w:next w:val="958"/>
    <w:link w:val="1031"/>
    <w:uiPriority w:val="0"/>
    <w:qFormat/>
    <w:pPr>
      <w:ind w:firstLine="420"/>
      <w:jc w:val="left"/>
    </w:pPr>
    <w:rPr>
      <w:sz w:val="24"/>
    </w:rPr>
  </w:style>
  <w:style w:type="paragraph" w:styleId="972">
    <w:name w:val="toc 7"/>
    <w:basedOn w:val="958"/>
    <w:next w:val="958"/>
    <w:uiPriority w:val="0"/>
    <w:qFormat/>
    <w:pPr>
      <w:ind w:left="2520"/>
    </w:pPr>
  </w:style>
  <w:style w:type="paragraph" w:styleId="973">
    <w:name w:val="index 8"/>
    <w:basedOn w:val="958"/>
    <w:next w:val="958"/>
    <w:uiPriority w:val="0"/>
    <w:qFormat/>
    <w:pPr>
      <w:ind w:left="2940"/>
    </w:pPr>
  </w:style>
  <w:style w:type="paragraph" w:styleId="974">
    <w:name w:val="index 5"/>
    <w:basedOn w:val="958"/>
    <w:next w:val="958"/>
    <w:uiPriority w:val="0"/>
    <w:qFormat/>
    <w:pPr>
      <w:ind w:left="1680"/>
    </w:pPr>
  </w:style>
  <w:style w:type="paragraph" w:styleId="975">
    <w:name w:val="Document Map"/>
    <w:basedOn w:val="958"/>
    <w:uiPriority w:val="0"/>
    <w:qFormat/>
    <w:pPr>
      <w:shd w:val="clear" w:color="auto" w:fill="000080"/>
    </w:pPr>
  </w:style>
  <w:style w:type="paragraph" w:styleId="976">
    <w:name w:val="annotation text"/>
    <w:basedOn w:val="958"/>
    <w:link w:val="1083"/>
    <w:uiPriority w:val="0"/>
    <w:qFormat/>
    <w:pPr>
      <w:jc w:val="left"/>
    </w:pPr>
  </w:style>
  <w:style w:type="paragraph" w:styleId="977">
    <w:name w:val="index 6"/>
    <w:basedOn w:val="958"/>
    <w:next w:val="958"/>
    <w:uiPriority w:val="0"/>
    <w:qFormat/>
    <w:pPr>
      <w:ind w:left="2100"/>
    </w:pPr>
  </w:style>
  <w:style w:type="paragraph" w:styleId="978">
    <w:name w:val="Body Text"/>
    <w:basedOn w:val="958"/>
    <w:uiPriority w:val="0"/>
    <w:qFormat/>
    <w:pPr>
      <w:spacing w:line="400" w:lineRule="exact"/>
    </w:pPr>
    <w:rPr>
      <w:rFonts w:ascii="楷体_GB2312"/>
      <w:sz w:val="28"/>
    </w:rPr>
  </w:style>
  <w:style w:type="paragraph" w:styleId="979">
    <w:name w:val="List Continue"/>
    <w:basedOn w:val="958"/>
    <w:uiPriority w:val="99"/>
    <w:unhideWhenUsed/>
    <w:qFormat/>
    <w:pPr>
      <w:ind w:left="200"/>
      <w:spacing w:after="120"/>
    </w:pPr>
    <w:rPr>
      <w:rFonts w:ascii="宋体" w:hAnsi="宋体" w:cs="Symbol"/>
      <w:sz w:val="28"/>
    </w:rPr>
  </w:style>
  <w:style w:type="paragraph" w:styleId="980">
    <w:name w:val="index 4"/>
    <w:basedOn w:val="958"/>
    <w:next w:val="958"/>
    <w:uiPriority w:val="0"/>
    <w:qFormat/>
    <w:pPr>
      <w:ind w:left="1260"/>
    </w:pPr>
  </w:style>
  <w:style w:type="paragraph" w:styleId="981">
    <w:name w:val="toc 5"/>
    <w:basedOn w:val="958"/>
    <w:next w:val="958"/>
    <w:uiPriority w:val="0"/>
    <w:qFormat/>
    <w:pPr>
      <w:ind w:left="1680"/>
    </w:pPr>
  </w:style>
  <w:style w:type="paragraph" w:styleId="982">
    <w:name w:val="toc 3"/>
    <w:basedOn w:val="958"/>
    <w:next w:val="958"/>
    <w:uiPriority w:val="0"/>
    <w:qFormat/>
    <w:pPr>
      <w:ind w:left="840"/>
    </w:pPr>
  </w:style>
  <w:style w:type="paragraph" w:styleId="983">
    <w:name w:val="Plain Text"/>
    <w:basedOn w:val="958"/>
    <w:next w:val="971"/>
    <w:link w:val="1035"/>
    <w:uiPriority w:val="0"/>
    <w:qFormat/>
    <w:rPr>
      <w:rFonts w:ascii="宋体" w:hAnsi="Courier New"/>
    </w:rPr>
  </w:style>
  <w:style w:type="paragraph" w:styleId="984">
    <w:name w:val="toc 8"/>
    <w:basedOn w:val="958"/>
    <w:next w:val="958"/>
    <w:uiPriority w:val="0"/>
    <w:qFormat/>
    <w:pPr>
      <w:ind w:left="2940"/>
    </w:pPr>
  </w:style>
  <w:style w:type="paragraph" w:styleId="985">
    <w:name w:val="index 3"/>
    <w:basedOn w:val="958"/>
    <w:next w:val="958"/>
    <w:uiPriority w:val="0"/>
    <w:qFormat/>
    <w:pPr>
      <w:ind w:left="840"/>
    </w:pPr>
  </w:style>
  <w:style w:type="paragraph" w:styleId="986">
    <w:name w:val="Date"/>
    <w:basedOn w:val="958"/>
    <w:next w:val="958"/>
    <w:link w:val="1036"/>
    <w:uiPriority w:val="0"/>
    <w:qFormat/>
    <w:rPr>
      <w:rFonts w:ascii="宋体" w:hAnsi="宋体"/>
      <w:sz w:val="24"/>
    </w:rPr>
  </w:style>
  <w:style w:type="paragraph" w:styleId="987">
    <w:name w:val="Body Text Indent 2"/>
    <w:basedOn w:val="958"/>
    <w:uiPriority w:val="0"/>
    <w:qFormat/>
    <w:pPr>
      <w:ind w:firstLine="502"/>
      <w:spacing w:line="360" w:lineRule="auto"/>
      <w:tabs>
        <w:tab w:val="left" w:pos="0" w:leader="none"/>
      </w:tabs>
    </w:pPr>
    <w:rPr>
      <w:rFonts w:ascii="宋体" w:eastAsia="宋体"/>
      <w:b/>
      <w:bCs/>
      <w:sz w:val="24"/>
    </w:rPr>
  </w:style>
  <w:style w:type="paragraph" w:styleId="988">
    <w:name w:val="Balloon Text"/>
    <w:basedOn w:val="958"/>
    <w:uiPriority w:val="0"/>
    <w:qFormat/>
    <w:rPr>
      <w:sz w:val="18"/>
      <w:szCs w:val="18"/>
    </w:rPr>
  </w:style>
  <w:style w:type="paragraph" w:styleId="989">
    <w:name w:val="Footer"/>
    <w:basedOn w:val="958"/>
    <w:link w:val="1091"/>
    <w:uiPriority w:val="99"/>
    <w:qFormat/>
    <w:pPr>
      <w:jc w:val="left"/>
      <w:tabs>
        <w:tab w:val="center" w:pos="4153" w:leader="none"/>
        <w:tab w:val="right" w:pos="8306" w:leader="none"/>
      </w:tabs>
    </w:pPr>
    <w:rPr>
      <w:sz w:val="18"/>
    </w:rPr>
  </w:style>
  <w:style w:type="paragraph" w:styleId="990">
    <w:name w:val="envelope return"/>
    <w:basedOn w:val="958"/>
    <w:uiPriority w:val="0"/>
    <w:qFormat/>
    <w:rPr>
      <w:rFonts w:ascii="Arial" w:hAnsi="Arial"/>
    </w:rPr>
  </w:style>
  <w:style w:type="paragraph" w:styleId="991">
    <w:name w:val="Header"/>
    <w:basedOn w:val="958"/>
    <w:link w:val="1092"/>
    <w:uiPriority w:val="99"/>
    <w:qFormat/>
    <w:pPr>
      <w:jc w:val="center"/>
      <w:tabs>
        <w:tab w:val="center" w:pos="4153" w:leader="none"/>
        <w:tab w:val="right" w:pos="8306" w:leader="none"/>
      </w:tabs>
      <w:pBdr>
        <w:bottom w:val="single" w:color="auto" w:sz="6" w:space="1"/>
      </w:pBdr>
    </w:pPr>
    <w:rPr>
      <w:sz w:val="18"/>
    </w:rPr>
  </w:style>
  <w:style w:type="paragraph" w:styleId="992">
    <w:name w:val="toc 1"/>
    <w:basedOn w:val="958"/>
    <w:next w:val="958"/>
    <w:uiPriority w:val="0"/>
    <w:qFormat/>
    <w:pPr>
      <w:tabs>
        <w:tab w:val="right" w:pos="9026" w:leader="dot"/>
      </w:tabs>
    </w:pPr>
    <w:rPr>
      <w:rFonts w:ascii="宋体" w:hAnsi="宋体" w:eastAsia="宋体"/>
      <w:sz w:val="24"/>
    </w:rPr>
  </w:style>
  <w:style w:type="paragraph" w:styleId="993">
    <w:name w:val="toc 4"/>
    <w:basedOn w:val="958"/>
    <w:next w:val="958"/>
    <w:uiPriority w:val="0"/>
    <w:qFormat/>
    <w:pPr>
      <w:ind w:left="1260"/>
    </w:pPr>
  </w:style>
  <w:style w:type="paragraph" w:styleId="994">
    <w:name w:val="index heading"/>
    <w:basedOn w:val="958"/>
    <w:next w:val="995"/>
    <w:uiPriority w:val="0"/>
    <w:qFormat/>
  </w:style>
  <w:style w:type="paragraph" w:styleId="995">
    <w:name w:val="index 1"/>
    <w:basedOn w:val="958"/>
    <w:next w:val="958"/>
    <w:uiPriority w:val="0"/>
    <w:qFormat/>
  </w:style>
  <w:style w:type="paragraph" w:styleId="996">
    <w:name w:val="footnote text"/>
    <w:basedOn w:val="958"/>
    <w:uiPriority w:val="0"/>
    <w:qFormat/>
    <w:pPr>
      <w:jc w:val="left"/>
    </w:pPr>
    <w:rPr>
      <w:sz w:val="18"/>
    </w:rPr>
  </w:style>
  <w:style w:type="paragraph" w:styleId="997">
    <w:name w:val="toc 6"/>
    <w:basedOn w:val="958"/>
    <w:next w:val="958"/>
    <w:uiPriority w:val="0"/>
    <w:qFormat/>
    <w:pPr>
      <w:ind w:left="2100"/>
    </w:pPr>
  </w:style>
  <w:style w:type="paragraph" w:styleId="998">
    <w:name w:val="Body Text Indent 3"/>
    <w:basedOn w:val="958"/>
    <w:uiPriority w:val="0"/>
    <w:qFormat/>
    <w:pPr>
      <w:ind w:firstLine="617"/>
      <w:spacing w:line="360" w:lineRule="auto"/>
    </w:pPr>
    <w:rPr>
      <w:rFonts w:eastAsia="宋体"/>
      <w:sz w:val="24"/>
      <w:szCs w:val="24"/>
    </w:rPr>
  </w:style>
  <w:style w:type="paragraph" w:styleId="999">
    <w:name w:val="index 7"/>
    <w:basedOn w:val="958"/>
    <w:next w:val="958"/>
    <w:uiPriority w:val="0"/>
    <w:qFormat/>
    <w:pPr>
      <w:ind w:left="2520"/>
    </w:pPr>
  </w:style>
  <w:style w:type="paragraph" w:styleId="1000">
    <w:name w:val="index 9"/>
    <w:basedOn w:val="958"/>
    <w:next w:val="958"/>
    <w:uiPriority w:val="0"/>
    <w:qFormat/>
    <w:pPr>
      <w:ind w:left="3360"/>
    </w:pPr>
  </w:style>
  <w:style w:type="paragraph" w:styleId="1001">
    <w:name w:val="table of figures"/>
    <w:basedOn w:val="958"/>
    <w:next w:val="958"/>
    <w:uiPriority w:val="0"/>
    <w:qFormat/>
    <w:pPr>
      <w:ind w:left="420" w:hanging="420"/>
      <w:jc w:val="left"/>
    </w:pPr>
    <w:rPr>
      <w:smallCaps/>
      <w:sz w:val="24"/>
    </w:rPr>
  </w:style>
  <w:style w:type="paragraph" w:styleId="1002">
    <w:name w:val="toc 2"/>
    <w:basedOn w:val="958"/>
    <w:next w:val="958"/>
    <w:uiPriority w:val="0"/>
    <w:qFormat/>
    <w:pPr>
      <w:ind w:left="420"/>
    </w:pPr>
  </w:style>
  <w:style w:type="paragraph" w:styleId="1003">
    <w:name w:val="toc 9"/>
    <w:basedOn w:val="958"/>
    <w:next w:val="958"/>
    <w:uiPriority w:val="0"/>
    <w:qFormat/>
    <w:pPr>
      <w:ind w:left="3360"/>
    </w:pPr>
  </w:style>
  <w:style w:type="paragraph" w:styleId="1004">
    <w:name w:val="HTML Preformatted"/>
    <w:basedOn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05">
    <w:name w:val="Normal (Web)"/>
    <w:basedOn w:val="958"/>
    <w:uiPriority w:val="99"/>
    <w:qFormat/>
    <w:pPr>
      <w:jc w:val="left"/>
      <w:spacing w:before="100" w:beforeAutospacing="1" w:after="100" w:afterAutospacing="1"/>
      <w:widowControl/>
    </w:pPr>
    <w:rPr>
      <w:rFonts w:hint="eastAsia" w:ascii="宋体" w:hAnsi="宋体" w:eastAsia="宋体"/>
      <w:sz w:val="24"/>
      <w:szCs w:val="24"/>
    </w:rPr>
  </w:style>
  <w:style w:type="paragraph" w:styleId="1006">
    <w:name w:val="index 2"/>
    <w:basedOn w:val="958"/>
    <w:next w:val="958"/>
    <w:uiPriority w:val="0"/>
    <w:qFormat/>
    <w:pPr>
      <w:ind w:left="420"/>
    </w:pPr>
  </w:style>
  <w:style w:type="paragraph" w:styleId="1007">
    <w:name w:val="Title"/>
    <w:basedOn w:val="958"/>
    <w:next w:val="958"/>
    <w:link w:val="1094"/>
    <w:uiPriority w:val="10"/>
    <w:qFormat/>
    <w:pPr>
      <w:jc w:val="center"/>
    </w:pPr>
    <w:rPr>
      <w:rFonts w:ascii="黑体" w:hAnsi="黑体" w:eastAsia="黑体"/>
      <w:sz w:val="28"/>
      <w:szCs w:val="24"/>
    </w:rPr>
  </w:style>
  <w:style w:type="paragraph" w:styleId="1008">
    <w:name w:val="annotation subject"/>
    <w:basedOn w:val="976"/>
    <w:next w:val="976"/>
    <w:uiPriority w:val="0"/>
    <w:qFormat/>
    <w:rPr>
      <w:bCs/>
    </w:rPr>
  </w:style>
  <w:style w:type="paragraph" w:styleId="1009">
    <w:name w:val="Body Text First Indent"/>
    <w:basedOn w:val="978"/>
    <w:uiPriority w:val="0"/>
    <w:qFormat/>
    <w:pPr>
      <w:ind w:firstLine="420"/>
      <w:spacing w:after="120" w:line="240" w:lineRule="auto"/>
    </w:pPr>
    <w:rPr>
      <w:rFonts w:ascii="Times New Roman"/>
      <w:sz w:val="26"/>
    </w:rPr>
  </w:style>
  <w:style w:type="paragraph" w:styleId="1010">
    <w:name w:val="Body Text First Indent 2"/>
    <w:basedOn w:val="970"/>
    <w:next w:val="958"/>
    <w:uiPriority w:val="99"/>
    <w:semiHidden/>
    <w:unhideWhenUsed/>
    <w:qFormat/>
    <w:pPr>
      <w:ind w:firstLine="420"/>
    </w:pPr>
  </w:style>
  <w:style w:type="table" w:styleId="1011">
    <w:name w:val="Table Grid"/>
    <w:basedOn w:val="96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2">
    <w:name w:val="Strong"/>
    <w:basedOn w:val="968"/>
    <w:uiPriority w:val="22"/>
    <w:qFormat/>
    <w:rPr>
      <w:b/>
      <w:bCs/>
    </w:rPr>
  </w:style>
  <w:style w:type="character" w:styleId="1013">
    <w:name w:val="page number"/>
    <w:basedOn w:val="968"/>
    <w:uiPriority w:val="0"/>
    <w:qFormat/>
  </w:style>
  <w:style w:type="character" w:styleId="1014">
    <w:name w:val="FollowedHyperlink"/>
    <w:basedOn w:val="968"/>
    <w:uiPriority w:val="99"/>
    <w:semiHidden/>
    <w:unhideWhenUsed/>
    <w:qFormat/>
    <w:rPr>
      <w:color w:val="333333"/>
      <w:u w:val="none"/>
    </w:rPr>
  </w:style>
  <w:style w:type="character" w:styleId="1015">
    <w:name w:val="Emphasis"/>
    <w:basedOn w:val="968"/>
    <w:uiPriority w:val="20"/>
    <w:qFormat/>
  </w:style>
  <w:style w:type="character" w:styleId="1016">
    <w:name w:val="HTML Definition"/>
    <w:basedOn w:val="968"/>
    <w:uiPriority w:val="99"/>
    <w:semiHidden/>
    <w:unhideWhenUsed/>
    <w:qFormat/>
  </w:style>
  <w:style w:type="character" w:styleId="1017">
    <w:name w:val="HTML Typewriter"/>
    <w:basedOn w:val="968"/>
    <w:uiPriority w:val="99"/>
    <w:semiHidden/>
    <w:unhideWhenUsed/>
    <w:qFormat/>
    <w:rPr>
      <w:rFonts w:hint="default" w:ascii="monospace" w:hAnsi="monospace" w:eastAsia="monospace" w:cs="monospace"/>
      <w:sz w:val="20"/>
    </w:rPr>
  </w:style>
  <w:style w:type="character" w:styleId="1018">
    <w:name w:val="HTML Acronym"/>
    <w:basedOn w:val="968"/>
    <w:uiPriority w:val="99"/>
    <w:semiHidden/>
    <w:unhideWhenUsed/>
    <w:qFormat/>
  </w:style>
  <w:style w:type="character" w:styleId="1019">
    <w:name w:val="HTML Variable"/>
    <w:basedOn w:val="968"/>
    <w:uiPriority w:val="99"/>
    <w:semiHidden/>
    <w:unhideWhenUsed/>
    <w:qFormat/>
  </w:style>
  <w:style w:type="character" w:styleId="1020">
    <w:name w:val="Hyperlink"/>
    <w:basedOn w:val="968"/>
    <w:uiPriority w:val="99"/>
    <w:unhideWhenUsed/>
    <w:qFormat/>
    <w:rPr>
      <w:color w:val="0000ff"/>
      <w:u w:val="none"/>
    </w:rPr>
  </w:style>
  <w:style w:type="character" w:styleId="1021">
    <w:name w:val="HTML Code"/>
    <w:basedOn w:val="968"/>
    <w:uiPriority w:val="99"/>
    <w:semiHidden/>
    <w:unhideWhenUsed/>
    <w:qFormat/>
    <w:rPr>
      <w:rFonts w:hint="default" w:ascii="monospace" w:hAnsi="monospace" w:eastAsia="monospace" w:cs="monospace"/>
      <w:sz w:val="20"/>
    </w:rPr>
  </w:style>
  <w:style w:type="character" w:styleId="1022">
    <w:name w:val="annotation reference"/>
    <w:uiPriority w:val="0"/>
    <w:qFormat/>
    <w:rPr>
      <w:sz w:val="21"/>
      <w:szCs w:val="21"/>
    </w:rPr>
  </w:style>
  <w:style w:type="character" w:styleId="1023">
    <w:name w:val="HTML Cite"/>
    <w:basedOn w:val="968"/>
    <w:uiPriority w:val="99"/>
    <w:semiHidden/>
    <w:unhideWhenUsed/>
    <w:qFormat/>
  </w:style>
  <w:style w:type="character" w:styleId="1024">
    <w:name w:val="footnote reference"/>
    <w:uiPriority w:val="0"/>
    <w:qFormat/>
    <w:rPr>
      <w:vertAlign w:val="superscript"/>
    </w:rPr>
  </w:style>
  <w:style w:type="character" w:styleId="1025">
    <w:name w:val="HTML Keyboard"/>
    <w:basedOn w:val="968"/>
    <w:uiPriority w:val="99"/>
    <w:semiHidden/>
    <w:unhideWhenUsed/>
    <w:qFormat/>
    <w:rPr>
      <w:rFonts w:ascii="monospace" w:hAnsi="monospace" w:eastAsia="monospace" w:cs="monospace"/>
      <w:sz w:val="20"/>
    </w:rPr>
  </w:style>
  <w:style w:type="character" w:styleId="1026">
    <w:name w:val="HTML Sample"/>
    <w:basedOn w:val="968"/>
    <w:uiPriority w:val="99"/>
    <w:semiHidden/>
    <w:unhideWhenUsed/>
    <w:qFormat/>
    <w:rPr>
      <w:rFonts w:hint="default" w:ascii="monospace" w:hAnsi="monospace" w:eastAsia="monospace" w:cs="monospace"/>
    </w:rPr>
  </w:style>
  <w:style w:type="paragraph" w:styleId="1027" w:customStyle="1">
    <w:name w:val="正文文本缩进1"/>
    <w:basedOn w:val="958"/>
    <w:next w:val="958"/>
    <w:uiPriority w:val="99"/>
    <w:unhideWhenUsed/>
    <w:qFormat/>
    <w:pPr>
      <w:ind w:left="420"/>
      <w:spacing w:after="120"/>
    </w:pPr>
  </w:style>
  <w:style w:type="paragraph" w:styleId="1028" w:customStyle="1">
    <w:name w:val="正文1"/>
    <w:next w:val="958"/>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1029" w:customStyle="1">
    <w:name w:val="段"/>
    <w:next w:val="958"/>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1030" w:customStyle="1">
    <w:name w:val="目录 51"/>
    <w:next w:val="958"/>
    <w:uiPriority w:val="0"/>
    <w:qFormat/>
    <w:pPr>
      <w:ind w:left="1275"/>
      <w:jc w:val="both"/>
    </w:pPr>
    <w:rPr>
      <w:rFonts w:ascii="Times New Roman" w:hAnsi="Times New Roman" w:eastAsia="宋体" w:cs="Times New Roman"/>
      <w:sz w:val="21"/>
      <w:lang w:val="en-US" w:eastAsia="zh-CN" w:bidi="ar-SA"/>
    </w:rPr>
  </w:style>
  <w:style w:type="character" w:styleId="1031" w:customStyle="1">
    <w:name w:val="正文缩进 Char"/>
    <w:link w:val="971"/>
    <w:uiPriority w:val="0"/>
    <w:qFormat/>
    <w:rPr>
      <w:rFonts w:eastAsia="楷体_GB2312"/>
      <w:sz w:val="24"/>
      <w:lang w:val="en-US" w:eastAsia="zh-CN" w:bidi="ar-SA"/>
    </w:rPr>
  </w:style>
  <w:style w:type="character" w:styleId="1032" w:customStyle="1">
    <w:name w:val="列出段落 Char"/>
    <w:link w:val="1033"/>
    <w:uiPriority w:val="0"/>
    <w:qFormat/>
    <w:rPr>
      <w:rFonts w:eastAsia="楷体_GB2312"/>
      <w:sz w:val="26"/>
      <w:lang w:val="zh-CN" w:eastAsia="zh-CN" w:bidi="ar-SA"/>
    </w:rPr>
  </w:style>
  <w:style w:type="paragraph" w:styleId="1033" w:customStyle="1">
    <w:name w:val="序号"/>
    <w:basedOn w:val="958"/>
    <w:next w:val="1034"/>
    <w:link w:val="1032"/>
    <w:uiPriority w:val="0"/>
    <w:qFormat/>
    <w:pPr>
      <w:ind w:firstLine="420"/>
    </w:pPr>
    <w:rPr>
      <w:lang w:val="zh-CN"/>
    </w:rPr>
  </w:style>
  <w:style w:type="paragraph" w:styleId="1034" w:customStyle="1">
    <w:name w:val="列表段落1"/>
    <w:basedOn w:val="958"/>
    <w:uiPriority w:val="34"/>
    <w:qFormat/>
    <w:pPr>
      <w:ind w:firstLine="420"/>
    </w:pPr>
  </w:style>
  <w:style w:type="character" w:styleId="1035" w:customStyle="1">
    <w:name w:val="纯文本 Char"/>
    <w:link w:val="983"/>
    <w:uiPriority w:val="0"/>
    <w:qFormat/>
    <w:rPr>
      <w:rFonts w:ascii="宋体" w:hAnsi="Courier New" w:eastAsia="楷体_GB2312"/>
      <w:sz w:val="26"/>
      <w:lang w:val="en-US" w:eastAsia="zh-CN" w:bidi="ar-SA"/>
    </w:rPr>
  </w:style>
  <w:style w:type="character" w:styleId="1036" w:customStyle="1">
    <w:name w:val="日期 Char"/>
    <w:link w:val="986"/>
    <w:uiPriority w:val="0"/>
    <w:qFormat/>
    <w:rPr>
      <w:rFonts w:ascii="宋体" w:hAnsi="宋体" w:eastAsia="楷体_GB2312"/>
      <w:sz w:val="24"/>
      <w:lang w:val="en-US" w:eastAsia="zh-CN" w:bidi="ar-SA"/>
    </w:rPr>
  </w:style>
  <w:style w:type="character" w:styleId="1037" w:customStyle="1">
    <w:name w:val="表格正文 字符"/>
    <w:link w:val="1038"/>
    <w:uiPriority w:val="0"/>
    <w:qFormat/>
    <w:rPr>
      <w:rFonts w:ascii="宋体" w:hAnsi="宋体" w:eastAsia="楷体_GB2312"/>
      <w:sz w:val="26"/>
      <w:szCs w:val="24"/>
      <w:lang w:val="en-US" w:eastAsia="zh-CN" w:bidi="ar-SA"/>
    </w:rPr>
  </w:style>
  <w:style w:type="paragraph" w:styleId="1038" w:customStyle="1">
    <w:name w:val="表格正文"/>
    <w:basedOn w:val="958"/>
    <w:next w:val="958"/>
    <w:link w:val="1037"/>
    <w:uiPriority w:val="0"/>
    <w:qFormat/>
    <w:rPr>
      <w:rFonts w:ascii="宋体" w:hAnsi="宋体"/>
      <w:szCs w:val="24"/>
    </w:rPr>
  </w:style>
  <w:style w:type="character" w:styleId="1039" w:customStyle="1">
    <w:name w:val="缩进正文 字符"/>
    <w:link w:val="1040"/>
    <w:uiPriority w:val="0"/>
    <w:qFormat/>
    <w:rPr>
      <w:rFonts w:ascii="Calibri" w:hAnsi="Calibri" w:eastAsia="楷体_GB2312"/>
      <w:sz w:val="26"/>
      <w:szCs w:val="24"/>
      <w:lang w:val="en-US" w:eastAsia="zh-CN" w:bidi="ar-SA"/>
    </w:rPr>
  </w:style>
  <w:style w:type="paragraph" w:styleId="1040" w:customStyle="1">
    <w:name w:val="缩进正文"/>
    <w:basedOn w:val="958"/>
    <w:link w:val="1039"/>
    <w:uiPriority w:val="0"/>
    <w:qFormat/>
    <w:pPr>
      <w:ind w:firstLine="200"/>
    </w:pPr>
    <w:rPr>
      <w:rFonts w:ascii="Calibri" w:hAnsi="Calibri"/>
      <w:szCs w:val="24"/>
    </w:rPr>
  </w:style>
  <w:style w:type="paragraph" w:styleId="1041" w:customStyle="1">
    <w:name w:val="Char Char Char"/>
    <w:basedOn w:val="958"/>
    <w:uiPriority w:val="0"/>
    <w:qFormat/>
    <w:pPr>
      <w:numPr>
        <w:ilvl w:val="0"/>
        <w:numId w:val="1"/>
      </w:numPr>
      <w:tabs>
        <w:tab w:val="clear" w:pos="432" w:leader="none"/>
        <w:tab w:val="left" w:pos="840" w:leader="none"/>
      </w:tabs>
    </w:pPr>
    <w:rPr>
      <w:rFonts w:eastAsia="宋体"/>
      <w:sz w:val="21"/>
      <w:szCs w:val="24"/>
    </w:rPr>
  </w:style>
  <w:style w:type="paragraph" w:styleId="1042" w:customStyle="1">
    <w:name w:val="Char Char Char1 Char Char Char Char"/>
    <w:basedOn w:val="958"/>
    <w:uiPriority w:val="0"/>
    <w:qFormat/>
    <w:pPr>
      <w:jc w:val="left"/>
      <w:spacing w:after="160" w:line="240" w:lineRule="exact"/>
      <w:widowControl/>
    </w:pPr>
    <w:rPr>
      <w:rFonts w:eastAsia="宋体"/>
      <w:sz w:val="24"/>
      <w:szCs w:val="24"/>
    </w:rPr>
  </w:style>
  <w:style w:type="paragraph" w:styleId="1043"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44" w:customStyle="1">
    <w:name w:val="首行缩进"/>
    <w:basedOn w:val="958"/>
    <w:uiPriority w:val="0"/>
    <w:qFormat/>
    <w:pPr>
      <w:ind w:firstLine="480"/>
    </w:pPr>
    <w:rPr>
      <w:lang w:val="zh-CN"/>
    </w:rPr>
  </w:style>
  <w:style w:type="paragraph" w:styleId="1045" w:customStyle="1">
    <w:name w:val="纯文本1"/>
    <w:basedOn w:val="958"/>
    <w:uiPriority w:val="0"/>
    <w:qFormat/>
    <w:rPr>
      <w:rFonts w:ascii="宋体" w:hAnsi="Courier New"/>
    </w:rPr>
  </w:style>
  <w:style w:type="paragraph" w:styleId="1046" w:customStyle="1">
    <w:name w:val="_Style 1"/>
    <w:basedOn w:val="958"/>
    <w:uiPriority w:val="34"/>
    <w:qFormat/>
    <w:pPr>
      <w:ind w:firstLine="420"/>
      <w:spacing w:line="312" w:lineRule="auto"/>
    </w:pPr>
  </w:style>
  <w:style w:type="paragraph" w:styleId="1047" w:customStyle="1">
    <w:name w:val="_Style 12"/>
    <w:basedOn w:val="975"/>
    <w:uiPriority w:val="0"/>
    <w:qFormat/>
    <w:pPr>
      <w:spacing w:line="360" w:lineRule="auto"/>
    </w:pPr>
  </w:style>
  <w:style w:type="paragraph" w:styleId="1048" w:customStyle="1">
    <w:name w:val="列出段落1"/>
    <w:basedOn w:val="958"/>
    <w:uiPriority w:val="0"/>
    <w:qFormat/>
    <w:pPr>
      <w:ind w:firstLine="420"/>
    </w:pPr>
    <w:rPr>
      <w:rFonts w:ascii="Calibri" w:hAnsi="Calibri"/>
      <w:szCs w:val="21"/>
    </w:rPr>
  </w:style>
  <w:style w:type="paragraph" w:styleId="1049" w:customStyle="1">
    <w:name w:val="缩进正文-"/>
    <w:basedOn w:val="958"/>
    <w:uiPriority w:val="0"/>
    <w:qFormat/>
    <w:pPr>
      <w:ind w:firstLine="200"/>
      <w:spacing w:before="100" w:beforeAutospacing="1" w:line="360" w:lineRule="auto"/>
    </w:pPr>
    <w:rPr>
      <w:rFonts w:ascii="宋体" w:hAnsi="宋体" w:eastAsia="宋体"/>
      <w:color w:val="000000"/>
      <w:sz w:val="24"/>
      <w:szCs w:val="21"/>
    </w:rPr>
  </w:style>
  <w:style w:type="paragraph" w:styleId="1050" w:customStyle="1">
    <w:name w:val="*正文"/>
    <w:basedOn w:val="958"/>
    <w:uiPriority w:val="0"/>
    <w:qFormat/>
    <w:pPr>
      <w:ind w:firstLine="200"/>
      <w:spacing w:line="360" w:lineRule="auto"/>
      <w:widowControl/>
    </w:pPr>
    <w:rPr>
      <w:rFonts w:ascii="仿宋_GB2312" w:hAnsi="Calibri" w:eastAsia="仿宋_GB2312"/>
      <w:sz w:val="24"/>
      <w:szCs w:val="28"/>
    </w:rPr>
  </w:style>
  <w:style w:type="paragraph" w:styleId="1051" w:customStyle="1">
    <w:name w:val="纯文本11"/>
    <w:basedOn w:val="958"/>
    <w:uiPriority w:val="99"/>
    <w:qFormat/>
    <w:rPr>
      <w:rFonts w:ascii="宋体" w:hAnsi="Courier New"/>
    </w:rPr>
  </w:style>
  <w:style w:type="paragraph" w:styleId="1052" w:customStyle="1">
    <w:name w:val="Char Char Char1 Char"/>
    <w:basedOn w:val="958"/>
    <w:uiPriority w:val="0"/>
    <w:semiHidden/>
    <w:qFormat/>
    <w:pPr>
      <w:ind w:firstLine="200"/>
      <w:spacing w:line="360" w:lineRule="auto"/>
    </w:pPr>
    <w:rPr>
      <w:rFonts w:ascii="宋体" w:hAnsi="宋体" w:cs="宋体"/>
      <w:sz w:val="24"/>
    </w:rPr>
  </w:style>
  <w:style w:type="paragraph" w:styleId="1053" w:customStyle="1">
    <w:name w:val="Char Char1 Char Char Char Char"/>
    <w:basedOn w:val="975"/>
    <w:uiPriority w:val="0"/>
    <w:qFormat/>
    <w:pPr>
      <w:spacing w:line="360" w:lineRule="auto"/>
    </w:pPr>
    <w:rPr>
      <w:rFonts w:ascii="Tahoma" w:hAnsi="Tahoma" w:eastAsia="宋体"/>
      <w:sz w:val="24"/>
      <w:szCs w:val="24"/>
    </w:rPr>
  </w:style>
  <w:style w:type="paragraph" w:styleId="1054" w:customStyle="1">
    <w:name w:val="p0"/>
    <w:basedOn w:val="958"/>
    <w:uiPriority w:val="0"/>
    <w:qFormat/>
    <w:rPr>
      <w:rFonts w:hint="eastAsia"/>
    </w:rPr>
  </w:style>
  <w:style w:type="paragraph" w:styleId="1055">
    <w:name w:val="List Paragraph"/>
    <w:basedOn w:val="958"/>
    <w:uiPriority w:val="34"/>
    <w:qFormat/>
    <w:pPr>
      <w:ind w:firstLine="420"/>
    </w:pPr>
    <w:rPr>
      <w:rFonts w:ascii="宋体" w:hAnsi="宋体" w:eastAsia="宋体"/>
      <w:sz w:val="24"/>
      <w:szCs w:val="24"/>
    </w:rPr>
  </w:style>
  <w:style w:type="paragraph" w:styleId="1056" w:customStyle="1">
    <w:name w:val="Char"/>
    <w:basedOn w:val="958"/>
    <w:uiPriority w:val="0"/>
    <w:qFormat/>
    <w:rPr>
      <w:rFonts w:ascii="Tahoma" w:hAnsi="Tahoma" w:eastAsia="宋体"/>
      <w:sz w:val="24"/>
    </w:rPr>
  </w:style>
  <w:style w:type="paragraph" w:styleId="1057" w:customStyle="1">
    <w:name w:val="列出段落2"/>
    <w:basedOn w:val="958"/>
    <w:uiPriority w:val="34"/>
    <w:qFormat/>
    <w:pPr>
      <w:ind w:firstLine="420"/>
    </w:pPr>
  </w:style>
  <w:style w:type="paragraph" w:styleId="1058" w:customStyle="1">
    <w:name w:val="纯文本12"/>
    <w:basedOn w:val="958"/>
    <w:uiPriority w:val="0"/>
    <w:qFormat/>
    <w:rPr>
      <w:rFonts w:ascii="宋体" w:hAnsi="Courier New"/>
    </w:rPr>
  </w:style>
  <w:style w:type="paragraph" w:styleId="1059" w:customStyle="1">
    <w:name w:val="纯文本2"/>
    <w:basedOn w:val="958"/>
    <w:uiPriority w:val="0"/>
    <w:qFormat/>
    <w:rPr>
      <w:rFonts w:ascii="宋体" w:hAnsi="Courier New"/>
    </w:rPr>
  </w:style>
  <w:style w:type="paragraph" w:styleId="1060" w:customStyle="1">
    <w:name w:val="Char1"/>
    <w:basedOn w:val="958"/>
    <w:uiPriority w:val="0"/>
    <w:qFormat/>
    <w:rPr>
      <w:rFonts w:ascii="Tahoma" w:hAnsi="Tahoma" w:eastAsia="宋体"/>
      <w:sz w:val="24"/>
    </w:rPr>
  </w:style>
  <w:style w:type="paragraph" w:styleId="1061" w:customStyle="1">
    <w:name w:val="表格内容"/>
    <w:basedOn w:val="958"/>
    <w:uiPriority w:val="0"/>
    <w:qFormat/>
    <w:pPr>
      <w:jc w:val="left"/>
      <w:spacing w:before="100" w:beforeAutospacing="1" w:after="100" w:afterAutospacing="1" w:line="360" w:lineRule="auto"/>
    </w:pPr>
    <w:rPr>
      <w:rFonts w:ascii="宋体" w:hAnsi="宋体" w:eastAsia="宋体"/>
      <w:bCs/>
      <w:sz w:val="21"/>
      <w:szCs w:val="21"/>
    </w:rPr>
  </w:style>
  <w:style w:type="paragraph" w:styleId="1062" w:customStyle="1">
    <w:name w:val="纯文本3"/>
    <w:basedOn w:val="958"/>
    <w:uiPriority w:val="0"/>
    <w:qFormat/>
    <w:rPr>
      <w:rFonts w:ascii="宋体" w:hAnsi="Courier New"/>
      <w:sz w:val="28"/>
    </w:rPr>
  </w:style>
  <w:style w:type="paragraph" w:styleId="1063" w:customStyle="1">
    <w:name w:val="font7"/>
    <w:basedOn w:val="958"/>
    <w:uiPriority w:val="0"/>
    <w:qFormat/>
    <w:pPr>
      <w:jc w:val="left"/>
      <w:spacing w:before="100" w:beforeAutospacing="1" w:after="100" w:afterAutospacing="1"/>
      <w:widowControl/>
    </w:pPr>
    <w:rPr>
      <w:rFonts w:eastAsia="宋体"/>
      <w:sz w:val="20"/>
    </w:rPr>
  </w:style>
  <w:style w:type="paragraph" w:styleId="1064" w:customStyle="1">
    <w:name w:val="纯文本4"/>
    <w:basedOn w:val="958"/>
    <w:uiPriority w:val="0"/>
    <w:qFormat/>
    <w:rPr>
      <w:rFonts w:ascii="宋体" w:hAnsi="Courier New"/>
    </w:rPr>
  </w:style>
  <w:style w:type="paragraph" w:styleId="1065" w:customStyle="1">
    <w:name w:val="纯文本5"/>
    <w:basedOn w:val="958"/>
    <w:uiPriority w:val="0"/>
    <w:qFormat/>
    <w:rPr>
      <w:rFonts w:ascii="宋体" w:hAnsi="Courier New"/>
      <w:sz w:val="28"/>
    </w:rPr>
  </w:style>
  <w:style w:type="paragraph" w:styleId="106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67" w:customStyle="1">
    <w:name w:val="font171"/>
    <w:basedOn w:val="968"/>
    <w:uiPriority w:val="0"/>
    <w:qFormat/>
    <w:rPr>
      <w:rFonts w:hint="eastAsia" w:ascii="宋体" w:hAnsi="宋体" w:eastAsia="宋体" w:cs="宋体"/>
      <w:b/>
      <w:bCs/>
      <w:color w:val="000000"/>
      <w:sz w:val="36"/>
      <w:szCs w:val="36"/>
      <w:u w:val="none"/>
    </w:rPr>
  </w:style>
  <w:style w:type="character" w:styleId="1068" w:customStyle="1">
    <w:name w:val="font41"/>
    <w:basedOn w:val="968"/>
    <w:uiPriority w:val="0"/>
    <w:qFormat/>
    <w:rPr>
      <w:rFonts w:hint="default" w:ascii="Times New Roman" w:hAnsi="Times New Roman" w:cs="Times New Roman"/>
      <w:b/>
      <w:bCs/>
      <w:color w:val="000000"/>
      <w:sz w:val="36"/>
      <w:szCs w:val="36"/>
      <w:u w:val="none"/>
    </w:rPr>
  </w:style>
  <w:style w:type="character" w:styleId="1069" w:customStyle="1">
    <w:name w:val="font101"/>
    <w:basedOn w:val="968"/>
    <w:uiPriority w:val="0"/>
    <w:qFormat/>
    <w:rPr>
      <w:rFonts w:hint="eastAsia" w:ascii="宋体" w:hAnsi="宋体" w:eastAsia="宋体" w:cs="宋体"/>
      <w:b/>
      <w:bCs/>
      <w:color w:val="000000"/>
      <w:sz w:val="24"/>
      <w:szCs w:val="24"/>
      <w:u w:val="none"/>
    </w:rPr>
  </w:style>
  <w:style w:type="character" w:styleId="1070" w:customStyle="1">
    <w:name w:val="font91"/>
    <w:basedOn w:val="968"/>
    <w:uiPriority w:val="0"/>
    <w:qFormat/>
    <w:rPr>
      <w:rFonts w:hint="default" w:ascii="Times New Roman" w:hAnsi="Times New Roman" w:cs="Times New Roman"/>
      <w:b/>
      <w:bCs/>
      <w:color w:val="000000"/>
      <w:sz w:val="24"/>
      <w:szCs w:val="24"/>
      <w:u w:val="none"/>
    </w:rPr>
  </w:style>
  <w:style w:type="character" w:styleId="1071" w:customStyle="1">
    <w:name w:val="font121"/>
    <w:basedOn w:val="968"/>
    <w:uiPriority w:val="0"/>
    <w:qFormat/>
    <w:rPr>
      <w:rFonts w:hint="eastAsia" w:ascii="宋体" w:hAnsi="宋体" w:eastAsia="宋体" w:cs="宋体"/>
      <w:color w:val="000000"/>
      <w:sz w:val="24"/>
      <w:szCs w:val="24"/>
      <w:u w:val="none"/>
    </w:rPr>
  </w:style>
  <w:style w:type="character" w:styleId="1072" w:customStyle="1">
    <w:name w:val="font61"/>
    <w:basedOn w:val="968"/>
    <w:uiPriority w:val="0"/>
    <w:qFormat/>
    <w:rPr>
      <w:rFonts w:hint="default" w:ascii="Times New Roman" w:hAnsi="Times New Roman" w:cs="Times New Roman"/>
      <w:color w:val="000000"/>
      <w:sz w:val="24"/>
      <w:szCs w:val="24"/>
      <w:u w:val="none"/>
    </w:rPr>
  </w:style>
  <w:style w:type="character" w:styleId="1073" w:customStyle="1">
    <w:name w:val="font151"/>
    <w:basedOn w:val="968"/>
    <w:uiPriority w:val="0"/>
    <w:qFormat/>
    <w:rPr>
      <w:rFonts w:ascii="宋体" w:hAnsi="宋体" w:eastAsia="宋体" w:cs="宋体"/>
      <w:color w:val="000000"/>
      <w:sz w:val="24"/>
      <w:szCs w:val="24"/>
      <w:u w:val="none"/>
    </w:rPr>
  </w:style>
  <w:style w:type="paragraph" w:styleId="1074"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75" w:customStyle="1">
    <w:name w:val="msolistparagraph"/>
    <w:basedOn w:val="958"/>
    <w:uiPriority w:val="0"/>
    <w:qFormat/>
    <w:pPr>
      <w:ind w:firstLine="420"/>
    </w:pPr>
    <w:rPr>
      <w:szCs w:val="21"/>
    </w:rPr>
  </w:style>
  <w:style w:type="paragraph" w:styleId="1076" w:customStyle="1">
    <w:name w:val="Table Paragraph"/>
    <w:basedOn w:val="958"/>
    <w:uiPriority w:val="1"/>
    <w:qFormat/>
    <w:rPr>
      <w:rFonts w:ascii="宋体" w:hAnsi="宋体" w:cs="宋体"/>
      <w:lang w:val="zh-CN" w:bidi="zh-CN"/>
    </w:rPr>
  </w:style>
  <w:style w:type="character" w:styleId="1077" w:customStyle="1">
    <w:name w:val="font21"/>
    <w:basedOn w:val="968"/>
    <w:uiPriority w:val="0"/>
    <w:qFormat/>
    <w:rPr>
      <w:rFonts w:hint="eastAsia" w:ascii="仿宋" w:hAnsi="仿宋" w:eastAsia="仿宋" w:cs="仿宋"/>
      <w:color w:val="000000"/>
      <w:sz w:val="22"/>
      <w:szCs w:val="22"/>
      <w:u w:val="none"/>
    </w:rPr>
  </w:style>
  <w:style w:type="character" w:styleId="1078" w:customStyle="1">
    <w:name w:val="font71"/>
    <w:basedOn w:val="968"/>
    <w:uiPriority w:val="0"/>
    <w:qFormat/>
    <w:rPr>
      <w:rFonts w:hint="eastAsia" w:ascii="宋体" w:hAnsi="宋体" w:eastAsia="宋体" w:cs="宋体"/>
      <w:color w:val="000000"/>
      <w:sz w:val="22"/>
      <w:szCs w:val="22"/>
      <w:u w:val="none"/>
    </w:rPr>
  </w:style>
  <w:style w:type="character" w:styleId="1079" w:customStyle="1">
    <w:name w:val="font01"/>
    <w:basedOn w:val="968"/>
    <w:uiPriority w:val="0"/>
    <w:qFormat/>
    <w:rPr>
      <w:rFonts w:hint="eastAsia" w:ascii="宋体" w:hAnsi="宋体" w:eastAsia="宋体" w:cs="宋体"/>
      <w:color w:val="000000"/>
      <w:sz w:val="22"/>
      <w:szCs w:val="22"/>
      <w:u w:val="none"/>
    </w:rPr>
  </w:style>
  <w:style w:type="character" w:styleId="1080" w:customStyle="1">
    <w:name w:val="font11"/>
    <w:basedOn w:val="968"/>
    <w:uiPriority w:val="0"/>
    <w:qFormat/>
    <w:rPr>
      <w:rFonts w:hint="eastAsia" w:ascii="宋体" w:hAnsi="宋体" w:eastAsia="宋体" w:cs="宋体"/>
      <w:color w:val="ff0000"/>
      <w:sz w:val="22"/>
      <w:szCs w:val="22"/>
      <w:u w:val="none"/>
    </w:rPr>
  </w:style>
  <w:style w:type="character" w:styleId="1081" w:customStyle="1">
    <w:name w:val="font31"/>
    <w:basedOn w:val="968"/>
    <w:uiPriority w:val="0"/>
    <w:qFormat/>
    <w:rPr>
      <w:rFonts w:hint="eastAsia" w:ascii="宋体" w:hAnsi="宋体" w:eastAsia="宋体" w:cs="宋体"/>
      <w:color w:val="ff0000"/>
      <w:sz w:val="22"/>
      <w:szCs w:val="22"/>
      <w:u w:val="none"/>
    </w:rPr>
  </w:style>
  <w:style w:type="paragraph" w:styleId="1082" w:customStyle="1">
    <w:name w:val="p2"/>
    <w:basedOn w:val="958"/>
    <w:uiPriority w:val="0"/>
    <w:qFormat/>
    <w:pPr>
      <w:spacing w:before="100" w:beforeAutospacing="1" w:after="100" w:afterAutospacing="1"/>
    </w:pPr>
    <w:rPr>
      <w:rFonts w:ascii="宋体" w:hAnsi="宋体"/>
      <w:sz w:val="24"/>
      <w:szCs w:val="24"/>
    </w:rPr>
  </w:style>
  <w:style w:type="character" w:styleId="1083" w:customStyle="1">
    <w:name w:val="批注文字 Char"/>
    <w:link w:val="976"/>
    <w:uiPriority w:val="0"/>
    <w:qFormat/>
    <w:rPr>
      <w:rFonts w:eastAsia="楷体_GB2312"/>
      <w:sz w:val="26"/>
    </w:rPr>
  </w:style>
  <w:style w:type="character" w:styleId="1084" w:customStyle="1">
    <w:name w:val="NormalCharacter"/>
    <w:link w:val="1085"/>
    <w:uiPriority w:val="0"/>
    <w:qFormat/>
    <w:rPr>
      <w:sz w:val="20"/>
      <w:szCs w:val="20"/>
    </w:rPr>
  </w:style>
  <w:style w:type="paragraph" w:styleId="1085" w:customStyle="1">
    <w:name w:val="UserStyle_4"/>
    <w:basedOn w:val="958"/>
    <w:link w:val="1084"/>
    <w:uiPriority w:val="99"/>
    <w:qFormat/>
    <w:rPr>
      <w:sz w:val="20"/>
    </w:rPr>
  </w:style>
  <w:style w:type="character" w:styleId="1086" w:customStyle="1">
    <w:name w:val="hover"/>
    <w:basedOn w:val="968"/>
    <w:uiPriority w:val="0"/>
    <w:qFormat/>
    <w:rPr>
      <w:color w:val="2590eb"/>
    </w:rPr>
  </w:style>
  <w:style w:type="character" w:styleId="1087" w:customStyle="1">
    <w:name w:val="hover1"/>
    <w:basedOn w:val="968"/>
    <w:uiPriority w:val="0"/>
    <w:qFormat/>
  </w:style>
  <w:style w:type="character" w:styleId="1088" w:customStyle="1">
    <w:name w:val="hover2"/>
    <w:basedOn w:val="968"/>
    <w:uiPriority w:val="0"/>
    <w:qFormat/>
    <w:rPr>
      <w:color w:val="2590eb"/>
    </w:rPr>
  </w:style>
  <w:style w:type="character" w:styleId="1089" w:customStyle="1">
    <w:name w:val="15"/>
    <w:basedOn w:val="968"/>
    <w:uiPriority w:val="0"/>
    <w:qFormat/>
  </w:style>
  <w:style w:type="paragraph" w:styleId="1090" w:customStyle="1">
    <w:name w:val="p"/>
    <w:basedOn w:val="958"/>
    <w:uiPriority w:val="0"/>
    <w:qFormat/>
    <w:pPr>
      <w:jc w:val="left"/>
      <w:spacing w:before="100" w:beforeAutospacing="1" w:after="100" w:afterAutospacing="1"/>
      <w:widowControl/>
    </w:pPr>
    <w:rPr>
      <w:rFonts w:ascii="宋体" w:hAnsi="宋体" w:eastAsia="宋体" w:cs="宋体"/>
      <w:sz w:val="24"/>
      <w:szCs w:val="24"/>
    </w:rPr>
  </w:style>
  <w:style w:type="character" w:styleId="1091" w:customStyle="1">
    <w:name w:val="页脚 Char"/>
    <w:basedOn w:val="968"/>
    <w:link w:val="989"/>
    <w:uiPriority w:val="99"/>
    <w:qFormat/>
    <w:rPr>
      <w:rFonts w:eastAsia="楷体_GB2312"/>
      <w:sz w:val="18"/>
    </w:rPr>
  </w:style>
  <w:style w:type="character" w:styleId="1092" w:customStyle="1">
    <w:name w:val="页眉 Char"/>
    <w:basedOn w:val="968"/>
    <w:link w:val="991"/>
    <w:uiPriority w:val="99"/>
    <w:qFormat/>
    <w:rPr>
      <w:rFonts w:eastAsia="楷体_GB2312"/>
      <w:sz w:val="18"/>
    </w:rPr>
  </w:style>
  <w:style w:type="character" w:styleId="1093" w:customStyle="1">
    <w:name w:val="标题 1 Char"/>
    <w:link w:val="959"/>
    <w:uiPriority w:val="0"/>
    <w:qFormat/>
    <w:rPr>
      <w:rFonts w:eastAsia="楷体_GB2312"/>
      <w:b/>
      <w:sz w:val="44"/>
    </w:rPr>
  </w:style>
  <w:style w:type="character" w:styleId="1094" w:customStyle="1">
    <w:name w:val="标题 Char"/>
    <w:basedOn w:val="968"/>
    <w:link w:val="1007"/>
    <w:uiPriority w:val="10"/>
    <w:qFormat/>
    <w:rPr>
      <w:rFonts w:ascii="黑体" w:hAnsi="黑体" w:eastAsia="黑体"/>
      <w:sz w:val="28"/>
      <w:szCs w:val="24"/>
    </w:rPr>
  </w:style>
  <w:style w:type="paragraph" w:styleId="1095" w:customStyle="1">
    <w:name w:val="UserStyle_780"/>
    <w:basedOn w:val="958"/>
    <w:uiPriority w:val="0"/>
    <w:qFormat/>
    <w:rPr>
      <w:rFonts w:ascii="宋体" w:hAnsi="Courier New"/>
      <w:sz w:val="28"/>
      <w:szCs w:val="24"/>
    </w:rPr>
  </w:style>
  <w:style w:type="paragraph" w:styleId="1096" w:customStyle="1">
    <w:name w:val="修订1"/>
    <w:hidden/>
    <w:uiPriority w:val="99"/>
    <w:semiHidden/>
    <w:qFormat/>
    <w:rPr>
      <w:rFonts w:ascii="Times New Roman" w:hAnsi="Times New Roman" w:eastAsia="楷体_GB2312" w:cs="Times New Roman"/>
      <w:sz w:val="26"/>
      <w:lang w:val="en-US" w:eastAsia="zh-CN" w:bidi="ar-SA"/>
    </w:rPr>
  </w:style>
  <w:style w:type="paragraph" w:styleId="1097" w:customStyle="1">
    <w:name w:val="修订2"/>
    <w:hidden/>
    <w:uiPriority w:val="99"/>
    <w:unhideWhenUsed/>
    <w:qFormat/>
    <w:rPr>
      <w:rFonts w:ascii="Times New Roman" w:hAnsi="Times New Roman" w:eastAsia="楷体_GB2312" w:cs="Times New Roman"/>
      <w:sz w:val="26"/>
      <w:lang w:val="en-US" w:eastAsia="zh-CN" w:bidi="ar-SA"/>
    </w:rPr>
  </w:style>
  <w:style w:type="character" w:styleId="1098" w:customStyle="1">
    <w:name w:val="font51"/>
    <w:basedOn w:val="968"/>
    <w:uiPriority w:val="0"/>
    <w:qFormat/>
    <w:rPr>
      <w:rFonts w:ascii="宋体" w:hAnsi="宋体" w:eastAsia="宋体" w:cs="宋体"/>
      <w:color w:val="000000"/>
      <w:sz w:val="14"/>
      <w:szCs w:val="14"/>
      <w:u w:val="none"/>
    </w:rPr>
  </w:style>
  <w:style w:type="character" w:styleId="1099" w:customStyle="1">
    <w:name w:val="font81"/>
    <w:basedOn w:val="968"/>
    <w:uiPriority w:val="0"/>
    <w:qFormat/>
    <w:rPr>
      <w:rFonts w:ascii="宋体" w:hAnsi="宋体" w:eastAsia="宋体" w:cs="宋体"/>
      <w:color w:val="000000"/>
      <w:sz w:val="18"/>
      <w:szCs w:val="18"/>
      <w:u w:val="none"/>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E1D2E2A-BFCC-4167-BB2E-482F2A2939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4</cp:revision>
  <dcterms:created xsi:type="dcterms:W3CDTF">2026-03-19T02:52:00Z</dcterms:created>
  <dcterms:modified xsi:type="dcterms:W3CDTF">2026-04-14T02:52:32Z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820026CD50784F8BAA5CEA141F08481C_13</vt:lpwstr>
  </property>
  <property fmtid="{D5CDD505-2E9C-101B-9397-08002B2CF9AE}" pid="4" name="KSOTemplateDocerSaveRecord">
    <vt:lpwstr>eyJoZGlkIjoiZTg1ZjBiYjczODk3ZDAxZTcxNzhmZTc1ZjVmOWU3NDAiLCJ1c2VySWQiOiI0MTgxMDg2MzUifQ==</vt:lpwstr>
  </property>
</Properties>
</file>