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pacing w:line="360" w:lineRule="auto"/>
        <w:shd w:val="clear" w:color="auto"/>
        <w:rPr>
          <w:rFonts w:ascii="宋体" w:hAnsi="宋体" w:cs="宋体"/>
          <w:color w:val="000000" w:themeColor="text1"/>
          <w:spacing w:val="40"/>
          <w:sz w:val="72"/>
          <w:szCs w:val="72"/>
          <w:highlight w:val="none"/>
          <w14:textFill>
            <w14:solidFill>
              <w14:schemeClr w14:val="tx1"/>
            </w14:solidFill>
          </w14:textFill>
        </w:rPr>
        <w:outlineLvl w:val="0"/>
      </w:pPr>
      <w:r>
        <w:rPr>
          <w:rFonts w:hint="eastAsia" w:ascii="宋体" w:hAnsi="宋体" w:cs="宋体"/>
          <w:color w:val="000000" w:themeColor="text1"/>
          <w:spacing w:val="40"/>
          <w:sz w:val="72"/>
          <w:szCs w:val="72"/>
          <w:highlight w:val="none"/>
          <w14:textFill>
            <w14:solidFill>
              <w14:schemeClr w14:val="tx1"/>
            </w14:solidFill>
          </w14:textFill>
        </w:rPr>
        <w:t xml:space="preserve">苏州市吴江区政府采购</w:t>
      </w:r>
      <w:r/>
    </w:p>
    <w:p>
      <w:pPr>
        <w:jc w:val="center"/>
        <w:shd w:val="clear" w:color="auto"/>
        <w:rPr>
          <w:b/>
          <w:color w:val="000000" w:themeColor="text1"/>
          <w:sz w:val="72"/>
          <w:szCs w:val="72"/>
          <w:highlight w:val="none"/>
          <w14:textFill>
            <w14:solidFill>
              <w14:schemeClr w14:val="tx1"/>
            </w14:solidFill>
          </w14:textFill>
        </w:rPr>
      </w:pPr>
      <w:r>
        <w:rPr>
          <w:rFonts w:hint="eastAsia" w:ascii="宋体" w:hAnsi="宋体" w:cs="宋体"/>
          <w:color w:val="000000" w:themeColor="text1"/>
          <w:spacing w:val="40"/>
          <w:sz w:val="72"/>
          <w:szCs w:val="72"/>
          <w:highlight w:val="none"/>
          <w14:textFill>
            <w14:solidFill>
              <w14:schemeClr w14:val="tx1"/>
            </w14:solidFill>
          </w14:textFill>
        </w:rPr>
        <w:t xml:space="preserve">竞争性磋商</w:t>
      </w:r>
      <w:r>
        <w:rPr>
          <w:rFonts w:hint="eastAsia" w:ascii="宋体" w:hAnsi="宋体" w:cs="宋体"/>
          <w:color w:val="000000" w:themeColor="text1"/>
          <w:spacing w:val="20"/>
          <w:sz w:val="72"/>
          <w:szCs w:val="72"/>
          <w:highlight w:val="none"/>
          <w14:textFill>
            <w14:solidFill>
              <w14:schemeClr w14:val="tx1"/>
            </w14:solidFill>
          </w14:textFill>
        </w:rPr>
        <w:t xml:space="preserve">文件</w:t>
      </w:r>
      <w:r/>
    </w:p>
    <w:p>
      <w:pPr>
        <w:jc w:val="left"/>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ind w:firstLine="2080"/>
        <w:shd w:val="clear" w:color="auto"/>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ind w:firstLine="2240"/>
        <w:spacing w:line="360" w:lineRule="auto"/>
        <w:shd w:val="clear" w:color="auto"/>
        <w:rPr>
          <w:rFonts w:ascii="宋体" w:hAnsi="宋体"/>
          <w:bCs/>
          <w:sz w:val="32"/>
          <w:szCs w:val="32"/>
          <w:highlight w:val="none"/>
        </w:rPr>
      </w:pPr>
      <w:r>
        <w:rPr>
          <w:rFonts w:hint="eastAsia" w:ascii="宋体" w:hAnsi="宋体"/>
          <w:bCs/>
          <w:color w:val="000000" w:themeColor="text1"/>
          <w:sz w:val="32"/>
          <w:szCs w:val="32"/>
          <w:highlight w:val="none"/>
          <w14:textFill>
            <w14:solidFill>
              <w14:schemeClr w14:val="tx1"/>
            </w14:solidFill>
          </w14:textFill>
        </w:rPr>
        <w:t xml:space="preserve">采购编号</w:t>
      </w:r>
      <w:r>
        <w:rPr>
          <w:rFonts w:hint="eastAsia" w:ascii="宋体" w:hAnsi="宋体"/>
          <w:bCs/>
          <w:sz w:val="32"/>
          <w:szCs w:val="32"/>
          <w:highlight w:val="none"/>
        </w:rPr>
        <w:t xml:space="preserve">：JSZC-320509-SZST-C2026-0019</w:t>
      </w:r>
      <w:r/>
    </w:p>
    <w:p>
      <w:pPr>
        <w:ind w:firstLine="2240"/>
        <w:spacing w:line="360" w:lineRule="auto"/>
        <w:shd w:val="clear" w:color="auto"/>
        <w:rPr>
          <w:rFonts w:ascii="Arial" w:hAnsi="宋体" w:cs="Arial"/>
          <w:bCs/>
          <w:sz w:val="32"/>
          <w:highlight w:val="none"/>
        </w:rPr>
      </w:pPr>
      <w:r>
        <w:rPr>
          <w:rFonts w:hint="eastAsia" w:ascii="宋体" w:hAnsi="宋体"/>
          <w:bCs/>
          <w:sz w:val="32"/>
          <w:szCs w:val="32"/>
          <w:highlight w:val="none"/>
        </w:rPr>
        <w:t xml:space="preserve">采购内容：平望镇2026年度第三方拆迁服务</w:t>
      </w:r>
      <w:r/>
    </w:p>
    <w:p>
      <w:pPr>
        <w:ind w:firstLine="2240"/>
        <w:spacing w:line="360" w:lineRule="auto"/>
        <w:shd w:val="clear" w:color="auto"/>
        <w:rPr>
          <w:rFonts w:ascii="宋体" w:hAnsi="宋体"/>
          <w:bCs/>
          <w:sz w:val="32"/>
          <w:szCs w:val="32"/>
          <w:highlight w:val="none"/>
        </w:rPr>
      </w:pPr>
      <w:r>
        <w:rPr>
          <w:rFonts w:hint="eastAsia" w:ascii="宋体" w:hAnsi="宋体"/>
          <w:bCs/>
          <w:sz w:val="32"/>
          <w:szCs w:val="32"/>
          <w:highlight w:val="none"/>
        </w:rPr>
        <w:t xml:space="preserve">采购单位：苏州市吴江区平望镇人民政府</w:t>
      </w:r>
      <w:r/>
    </w:p>
    <w:p>
      <w:pPr>
        <w:ind w:firstLine="2240"/>
        <w:spacing w:line="360" w:lineRule="auto"/>
        <w:shd w:val="clear" w:color="auto"/>
        <w:rPr>
          <w:rFonts w:ascii="宋体" w:hAnsi="宋体"/>
          <w:bCs/>
          <w:sz w:val="32"/>
          <w:szCs w:val="32"/>
          <w:highlight w:val="none"/>
        </w:rPr>
      </w:pPr>
      <w:r>
        <w:rPr>
          <w:rFonts w:hint="eastAsia" w:ascii="宋体" w:hAnsi="宋体"/>
          <w:bCs/>
          <w:sz w:val="32"/>
          <w:szCs w:val="32"/>
          <w:highlight w:val="none"/>
        </w:rPr>
        <w:t xml:space="preserve">采购类别：服务类</w:t>
      </w:r>
      <w:r/>
    </w:p>
    <w:p>
      <w:pPr>
        <w:jc w:val="left"/>
        <w:shd w:val="clear" w:color="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shd w:val="clear" w:color="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2388235" cy="21101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2388387" cy="21107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0pt;height:166.2pt;mso-wrap-distance-left:0.0pt;mso-wrap-distance-top:0.0pt;mso-wrap-distance-right:0.0pt;mso-wrap-distance-bottom:0.0pt;" stroked="f">
                <v:path textboxrect="0,0,0,0"/>
                <v:imagedata r:id="rId14" o:title=""/>
              </v:shape>
            </w:pict>
          </mc:Fallback>
        </mc:AlternateContent>
      </w:r>
      <w:r/>
    </w:p>
    <w:p>
      <w:pPr>
        <w:ind w:firstLine="2554"/>
        <w:jc w:val="left"/>
        <w:shd w:val="clear" w:color="auto"/>
        <w:rPr>
          <w:rFonts w:ascii="宋体" w:hAnsi="宋体"/>
          <w:b/>
          <w:color w:val="000000" w:themeColor="text1"/>
          <w:sz w:val="32"/>
          <w:szCs w:val="28"/>
          <w:highlight w:val="none"/>
          <w14:textFill>
            <w14:solidFill>
              <w14:schemeClr w14:val="tx1"/>
            </w14:solidFill>
          </w14:textFill>
        </w:rPr>
      </w:pPr>
      <w:r>
        <w:rPr>
          <w:rFonts w:ascii="宋体" w:hAnsi="宋体"/>
          <w:b/>
          <w:color w:val="000000" w:themeColor="text1"/>
          <w:sz w:val="32"/>
          <w:szCs w:val="28"/>
          <w:highlight w:val="none"/>
          <w14:textFill>
            <w14:solidFill>
              <w14:schemeClr w14:val="tx1"/>
            </w14:solidFill>
          </w14:textFill>
        </w:rPr>
      </w:r>
      <w:r/>
    </w:p>
    <w:p>
      <w:pPr>
        <w:jc w:val="left"/>
        <w:shd w:val="clear" w:color="auto"/>
        <w:rPr>
          <w:rFonts w:ascii="宋体" w:hAnsi="宋体"/>
          <w:b/>
          <w:color w:val="000000" w:themeColor="text1"/>
          <w:sz w:val="32"/>
          <w:szCs w:val="28"/>
          <w:highlight w:val="none"/>
          <w14:textFill>
            <w14:solidFill>
              <w14:schemeClr w14:val="tx1"/>
            </w14:solidFill>
          </w14:textFill>
        </w:rPr>
      </w:pPr>
      <w:r>
        <w:rPr>
          <w:rFonts w:ascii="宋体" w:hAnsi="宋体"/>
          <w:b/>
          <w:color w:val="000000" w:themeColor="text1"/>
          <w:sz w:val="32"/>
          <w:szCs w:val="28"/>
          <w:highlight w:val="none"/>
          <w14:textFill>
            <w14:solidFill>
              <w14:schemeClr w14:val="tx1"/>
            </w14:solidFill>
          </w14:textFill>
        </w:rPr>
      </w:r>
      <w:r/>
    </w:p>
    <w:p>
      <w:pPr>
        <w:jc w:val="center"/>
        <w:shd w:val="clear" w:color="auto"/>
        <w:rPr>
          <w:rFonts w:ascii="宋体" w:hAnsi="宋体"/>
          <w:b/>
          <w:color w:val="000000" w:themeColor="text1"/>
          <w:sz w:val="32"/>
          <w:szCs w:val="28"/>
          <w:highlight w:val="none"/>
          <w14:textFill>
            <w14:solidFill>
              <w14:schemeClr w14:val="tx1"/>
            </w14:solidFill>
          </w14:textFill>
        </w:rPr>
      </w:pPr>
      <w:r>
        <w:rPr>
          <w:rFonts w:ascii="宋体" w:hAnsi="宋体"/>
          <w:b/>
          <w:color w:val="000000" w:themeColor="text1"/>
          <w:sz w:val="32"/>
          <w:szCs w:val="28"/>
          <w:highlight w:val="none"/>
          <w14:textFill>
            <w14:solidFill>
              <w14:schemeClr w14:val="tx1"/>
            </w14:solidFill>
          </w14:textFill>
        </w:rPr>
      </w:r>
      <w:r/>
    </w:p>
    <w:p>
      <w:pPr>
        <w:jc w:val="center"/>
        <w:spacing w:line="360" w:lineRule="auto"/>
        <w:shd w:val="clear" w:color="auto"/>
        <w:rPr>
          <w:rFonts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苏州市天美达招投标咨询服务有限公司</w:t>
      </w:r>
      <w:r/>
    </w:p>
    <w:p>
      <w:pPr>
        <w:pStyle w:val="958"/>
        <w:jc w:val="center"/>
        <w:spacing w:line="360" w:lineRule="auto"/>
        <w:shd w:val="clear" w:color="auto"/>
        <w:rPr>
          <w:rFonts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二○二六年五月</w:t>
      </w:r>
      <w:r/>
    </w:p>
    <w:p>
      <w:pPr>
        <w:pStyle w:val="959"/>
        <w:shd w:val="clear" w:color="auto"/>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pStyle w:val="959"/>
        <w:shd w:val="clear" w:color="auto"/>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pStyle w:val="959"/>
        <w:shd w:val="clear" w:color="auto"/>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jc w:val="center"/>
        <w:spacing w:line="360" w:lineRule="auto"/>
        <w:shd w:val="clear" w:color="auto"/>
        <w:tabs>
          <w:tab w:val="left" w:pos="315" w:leader="none"/>
          <w:tab w:val="center" w:pos="4153" w:leader="none"/>
        </w:tabs>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jc w:val="center"/>
        <w:spacing w:line="360" w:lineRule="auto"/>
        <w:shd w:val="clear" w:color="auto"/>
        <w:tabs>
          <w:tab w:val="left" w:pos="315" w:leader="none"/>
          <w:tab w:val="center" w:pos="4153" w:leader="none"/>
        </w:tabs>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第一章  磋商邀请书</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0" w:name="OLE_LINK1"/>
      <w:r/>
      <w:bookmarkStart w:id="1" w:name="OLE_LINK2"/>
      <w:r/>
      <w:bookmarkStart w:id="2" w:name="OLE_LINK3"/>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80"/>
        <w:jc w:val="left"/>
        <w:spacing w:line="360" w:lineRule="auto"/>
        <w:shd w:val="clear" w:color="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rPr>
        <w:t xml:space="preserve">平望镇2026年度第三方拆迁服务</w:t>
      </w:r>
      <w:r>
        <w:rPr>
          <w:rFonts w:hint="eastAsia" w:ascii="宋体" w:hAnsi="宋体" w:cs="宋体"/>
          <w:szCs w:val="21"/>
          <w:highlight w:val="none"/>
        </w:rPr>
        <w:t xml:space="preserve">采购项目的潜在供应商应在</w:t>
      </w:r>
      <w:r>
        <w:rPr>
          <w:rFonts w:hint="eastAsia" w:ascii="宋体" w:hAnsi="宋体" w:cs="宋体"/>
          <w:szCs w:val="21"/>
          <w:highlight w:val="none"/>
          <w:u w:val="single"/>
        </w:rPr>
        <w:t xml:space="preserve">苏采云系统</w:t>
      </w:r>
      <w:r>
        <w:rPr>
          <w:rFonts w:hint="eastAsia" w:ascii="宋体" w:hAnsi="宋体" w:cs="宋体"/>
          <w:szCs w:val="21"/>
          <w:highlight w:val="none"/>
        </w:rPr>
        <w:t xml:space="preserve">获取采购文件，并于</w:t>
      </w:r>
      <w:bookmarkStart w:id="3" w:name="XMKBSJ_1"/>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22</w:t>
      </w:r>
      <w:r>
        <w:rPr>
          <w:rFonts w:hint="eastAsia" w:ascii="宋体" w:hAnsi="宋体" w:cs="宋体"/>
          <w:bCs/>
          <w:szCs w:val="21"/>
          <w:highlight w:val="none"/>
          <w:u w:val="single"/>
        </w:rPr>
        <w:t xml:space="preserve">日09点30分</w:t>
      </w:r>
      <w:bookmarkEnd w:id="3"/>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ind w:firstLine="482"/>
        <w:jc w:val="left"/>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bookmarkStart w:id="4" w:name="_Toc35393629"/>
      <w:r/>
      <w:bookmarkStart w:id="5" w:name="_Toc28359089"/>
      <w:r/>
      <w:bookmarkStart w:id="6" w:name="_Toc28359012"/>
      <w:r/>
      <w:bookmarkStart w:id="7" w:name="_Toc35393798"/>
      <w:r>
        <w:rPr>
          <w:rFonts w:hint="eastAsia" w:ascii="宋体" w:hAnsi="宋体" w:cs="宋体"/>
          <w:b/>
          <w:color w:val="000000" w:themeColor="text1"/>
          <w:szCs w:val="21"/>
          <w:highlight w:val="none"/>
          <w14:textFill>
            <w14:solidFill>
              <w14:schemeClr w14:val="tx1"/>
            </w14:solidFill>
          </w14:textFill>
        </w:rPr>
        <w:t xml:space="preserve">一、项目基本情况</w:t>
      </w:r>
      <w:bookmarkEnd w:id="4"/>
      <w:r/>
      <w:bookmarkEnd w:id="5"/>
      <w:r/>
      <w:bookmarkEnd w:id="6"/>
      <w:r/>
      <w:bookmarkEnd w:id="7"/>
      <w:r>
        <w:rPr>
          <w:rFonts w:hint="eastAsia" w:ascii="宋体" w:hAnsi="宋体" w:cs="宋体"/>
          <w:b/>
          <w:color w:val="000000" w:themeColor="text1"/>
          <w:szCs w:val="21"/>
          <w:highlight w:val="none"/>
          <w14:textFill>
            <w14:solidFill>
              <w14:schemeClr w14:val="tx1"/>
            </w14:solidFill>
          </w14:textFill>
        </w:rPr>
        <w:t xml:space="preserve">:</w:t>
      </w:r>
      <w:r/>
    </w:p>
    <w:p>
      <w:pPr>
        <w:ind w:firstLine="480"/>
        <w:jc w:val="left"/>
        <w:spacing w:line="360" w:lineRule="auto"/>
        <w:shd w:val="clear" w:color="auto"/>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项目编</w:t>
      </w:r>
      <w:r>
        <w:rPr>
          <w:rFonts w:hint="eastAsia" w:ascii="宋体" w:hAnsi="宋体" w:cs="宋体"/>
          <w:szCs w:val="21"/>
          <w:highlight w:val="none"/>
        </w:rPr>
        <w:t xml:space="preserve">号：JSZC-320509-SZST-C2026-0019</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项目名称：平望镇2026年度第三方拆迁服务</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采购方式：竞争性磋商</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预算总金额：人民币贰佰万元整（￥2000000.00）</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最高限价：人民币贰佰万元整</w:t>
      </w:r>
      <w:r>
        <w:rPr>
          <w:rFonts w:hint="eastAsia" w:ascii="宋体" w:hAnsi="宋体" w:cs="宋体"/>
          <w:color w:val="000000" w:themeColor="text1"/>
          <w:szCs w:val="21"/>
          <w:highlight w:val="none"/>
          <w14:textFill>
            <w14:solidFill>
              <w14:schemeClr w14:val="tx1"/>
            </w14:solidFill>
          </w14:textFill>
        </w:rPr>
        <w:t xml:space="preserve">（￥2000000.00）</w:t>
      </w:r>
      <w:r/>
    </w:p>
    <w:tbl>
      <w:tblPr>
        <w:tblStyle w:val="766"/>
        <w:tblW w:w="70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551"/>
        <w:gridCol w:w="2323"/>
        <w:gridCol w:w="2147"/>
      </w:tblGrid>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w:t>
            </w:r>
            <w:r/>
          </w:p>
        </w:tc>
        <w:tc>
          <w:tcPr>
            <w:tcW w:w="2323" w:type="dxa"/>
            <w:vAlign w:val="center"/>
            <w:textDirection w:val="lrTb"/>
            <w:noWrap w:val="false"/>
          </w:tcPr>
          <w:p>
            <w:pPr>
              <w:jc w:val="center"/>
              <w:shd w:val="clear" w:color="auto"/>
              <w:rPr>
                <w:highlight w:val="none"/>
              </w:rPr>
            </w:pPr>
            <w:r>
              <w:rPr>
                <w:rFonts w:hint="eastAsia"/>
                <w:highlight w:val="none"/>
              </w:rPr>
              <w:t xml:space="preserve">预算（万元）</w:t>
            </w:r>
            <w:r/>
          </w:p>
        </w:tc>
        <w:tc>
          <w:tcPr>
            <w:tcW w:w="2147" w:type="dxa"/>
            <w:vAlign w:val="center"/>
            <w:textDirection w:val="lrTb"/>
            <w:noWrap w:val="false"/>
          </w:tcPr>
          <w:p>
            <w:pPr>
              <w:jc w:val="center"/>
              <w:shd w:val="clear" w:color="auto"/>
              <w:rPr>
                <w:highlight w:val="none"/>
              </w:rPr>
            </w:pPr>
            <w:r>
              <w:rPr>
                <w:rFonts w:hint="eastAsia"/>
                <w:highlight w:val="none"/>
              </w:rPr>
              <w:t xml:space="preserve">最高限价（万元）</w:t>
            </w:r>
            <w:r/>
          </w:p>
        </w:tc>
      </w:tr>
      <w:tr>
        <w:trPr>
          <w:jc w:val="center"/>
          <w:trHeight w:val="537"/>
        </w:trPr>
        <w:tc>
          <w:tcPr>
            <w:tcW w:w="2551" w:type="dxa"/>
            <w:vAlign w:val="center"/>
            <w:textDirection w:val="lrTb"/>
            <w:noWrap w:val="false"/>
          </w:tcPr>
          <w:p>
            <w:pPr>
              <w:jc w:val="center"/>
              <w:shd w:val="clear" w:color="auto"/>
              <w:rPr>
                <w:highlight w:val="none"/>
              </w:rPr>
            </w:pPr>
            <w:r>
              <w:rPr>
                <w:rFonts w:hint="eastAsia"/>
                <w:highlight w:val="none"/>
              </w:rPr>
              <w:t xml:space="preserve">标段一</w:t>
            </w:r>
            <w:r/>
          </w:p>
        </w:tc>
        <w:tc>
          <w:tcPr>
            <w:tcW w:w="2323" w:type="dxa"/>
            <w:vAlign w:val="center"/>
            <w:textDirection w:val="lrTb"/>
            <w:noWrap w:val="false"/>
          </w:tcPr>
          <w:p>
            <w:pPr>
              <w:jc w:val="center"/>
              <w:shd w:val="clear" w:color="auto"/>
              <w:rPr>
                <w:highlight w:val="none"/>
              </w:rPr>
            </w:pPr>
            <w:r>
              <w:rPr>
                <w:rFonts w:hint="eastAsia"/>
                <w:highlight w:val="none"/>
              </w:rPr>
              <w:t xml:space="preserve">50</w:t>
            </w:r>
            <w:r/>
          </w:p>
        </w:tc>
        <w:tc>
          <w:tcPr>
            <w:shd w:val="clear" w:color="auto" w:fill="auto"/>
            <w:tcW w:w="2147" w:type="dxa"/>
            <w:vAlign w:val="center"/>
            <w:textDirection w:val="lrTb"/>
            <w:noWrap w:val="false"/>
          </w:tcPr>
          <w:p>
            <w:pPr>
              <w:jc w:val="center"/>
              <w:shd w:val="clear" w:color="auto"/>
              <w:rPr>
                <w:highlight w:val="none"/>
              </w:rPr>
            </w:pPr>
            <w:r>
              <w:rPr>
                <w:rFonts w:hint="eastAsia"/>
                <w:highlight w:val="none"/>
              </w:rPr>
              <w:t xml:space="preserve">50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标段二</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shd w:val="clear" w:color="auto" w:fill="auto"/>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标段三</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标段四</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标段五</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标段六</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bl>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r>
        <w:rPr>
          <w:rFonts w:hint="eastAsia" w:ascii="宋体" w:hAnsi="宋体" w:cs="宋体"/>
          <w:szCs w:val="21"/>
          <w:highlight w:val="none"/>
        </w:rPr>
        <w:t xml:space="preserve">平望镇2026年度第三方拆迁服务</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项目期限：合同签订之日起至2026年12月31日。合同终止条件为服务期限截止或合同签订后按实结算合同金额达到</w:t>
      </w:r>
      <w:r>
        <w:rPr>
          <w:rFonts w:hint="eastAsia" w:ascii="宋体" w:hAnsi="宋体" w:cs="宋体"/>
          <w:color w:val="000000" w:themeColor="text1"/>
          <w:szCs w:val="21"/>
          <w:highlight w:val="none"/>
          <w14:textFill>
            <w14:solidFill>
              <w14:schemeClr w14:val="tx1"/>
            </w14:solidFill>
          </w14:textFill>
        </w:rPr>
        <w:t xml:space="preserve">标段</w:t>
      </w:r>
      <w:r>
        <w:rPr>
          <w:rFonts w:hint="eastAsia" w:ascii="宋体" w:hAnsi="宋体" w:cs="宋体"/>
          <w:color w:val="000000" w:themeColor="text1"/>
          <w:szCs w:val="21"/>
          <w:highlight w:val="none"/>
          <w14:textFill>
            <w14:solidFill>
              <w14:schemeClr w14:val="tx1"/>
            </w14:solidFill>
          </w14:textFill>
        </w:rPr>
        <w:t xml:space="preserve">预算金额（二者中以先到者为准）。</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本项目不接受联合体。</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本项目不允许转包、分包。</w:t>
      </w:r>
      <w:r/>
    </w:p>
    <w:p>
      <w:pPr>
        <w:ind w:firstLine="482"/>
        <w:jc w:val="left"/>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bookmarkStart w:id="8" w:name="_Toc35393630"/>
      <w:r/>
      <w:bookmarkStart w:id="9" w:name="_Toc28359090"/>
      <w:r/>
      <w:bookmarkStart w:id="10" w:name="_Toc35393799"/>
      <w:r/>
      <w:bookmarkStart w:id="11" w:name="_Toc28359013"/>
      <w:r>
        <w:rPr>
          <w:rFonts w:hint="eastAsia" w:ascii="宋体" w:hAnsi="宋体" w:cs="宋体"/>
          <w:b/>
          <w:color w:val="000000" w:themeColor="text1"/>
          <w:szCs w:val="21"/>
          <w:highlight w:val="none"/>
          <w14:textFill>
            <w14:solidFill>
              <w14:schemeClr w14:val="tx1"/>
            </w14:solidFill>
          </w14:textFill>
        </w:rPr>
        <w:t xml:space="preserve">二、申请人的资格要求：</w:t>
      </w:r>
      <w:bookmarkEnd w:id="8"/>
      <w:r/>
      <w:bookmarkEnd w:id="9"/>
      <w:r/>
      <w:bookmarkEnd w:id="10"/>
      <w:r/>
      <w:bookmarkEnd w:id="11"/>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1.1具有独立承担民事责任的能力。</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1.2具有良好的商业信誉和健全的财务会计制度。</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1.3具有履行合同所必需的设备和专业技术能力。</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1.4有依法缴纳税收和社会保障基金的良好记录。</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1.5参加本次政府采购活动前三年内，在经营活动中没有重大违法记录。</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1.6法律、行政法规规定的其他条件。</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落实政府采购政策需满足的资格要求：</w:t>
      </w:r>
      <w:bookmarkStart w:id="12" w:name="_Toc28359014"/>
      <w:r/>
      <w:bookmarkStart w:id="13" w:name="_Toc28359091"/>
      <w:r>
        <w:rPr>
          <w:rFonts w:hint="eastAsia" w:ascii="宋体" w:hAnsi="宋体" w:cs="宋体"/>
          <w:color w:val="000000" w:themeColor="text1"/>
          <w:szCs w:val="21"/>
          <w:highlight w:val="none"/>
          <w14:textFill>
            <w14:solidFill>
              <w14:schemeClr w14:val="tx1"/>
            </w14:solidFill>
          </w14:textFill>
        </w:rPr>
        <w:t xml:space="preserve">本项目专门面向中小企业，根据《政府采购促进中小企业发展管理办法》（财库〔2020〕46号）及《中小企业划型标准规定》（工信部联企业〔2011〕300号），本采购标的对应的中小企业划分标准所属行业为：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b/>
          <w:szCs w:val="21"/>
          <w:highlight w:val="none"/>
        </w:rPr>
        <w:t xml:space="preserve">其他未列明行业</w:t>
      </w:r>
      <w:r>
        <w:rPr>
          <w:rFonts w:hint="eastAsia" w:ascii="宋体" w:hAnsi="宋体" w:cs="宋体"/>
          <w:color w:val="000000" w:themeColor="text1"/>
          <w:szCs w:val="21"/>
          <w:highlight w:val="none"/>
          <w14:textFill>
            <w14:solidFill>
              <w14:schemeClr w14:val="tx1"/>
            </w14:solidFill>
          </w14:textFill>
        </w:rPr>
        <w:t xml:space="preserve">。本项目专门面向中小企业采购,承接服务的供应商应为中小微企业、监狱企业、残疾人福利性单位。</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1.7本项目的特定资格要求：</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（2）本项目不接受联合体投标；</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bookmarkEnd w:id="12"/>
      <w:r/>
      <w:bookmarkEnd w:id="13"/>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1"/>
      </w:pPr>
      <w:r/>
      <w:bookmarkStart w:id="14" w:name="_Toc35393801"/>
      <w:r/>
      <w:bookmarkStart w:id="15" w:name="_Toc28359001"/>
      <w:r/>
      <w:bookmarkStart w:id="16" w:name="_Toc28359092"/>
      <w:r/>
      <w:bookmarkStart w:id="17" w:name="_Toc28359015"/>
      <w:r/>
      <w:bookmarkStart w:id="18" w:name="_Toc35393632"/>
      <w:r/>
      <w:bookmarkStart w:id="19" w:name="_Toc35393789"/>
      <w:r>
        <w:rPr>
          <w:rFonts w:hint="eastAsia" w:ascii="宋体" w:hAnsi="宋体" w:cs="宋体"/>
          <w:color w:val="000000" w:themeColor="text1"/>
          <w:szCs w:val="21"/>
          <w:highlight w:val="none"/>
          <w14:textFill>
            <w14:solidFill>
              <w14:schemeClr w14:val="tx1"/>
            </w14:solidFill>
          </w14:textFill>
        </w:rPr>
        <w:t xml:space="preserve">三、报名及采购文件的获取</w:t>
      </w:r>
      <w:bookmarkEnd w:id="14"/>
      <w:r/>
      <w:bookmarkEnd w:id="15"/>
      <w:r/>
      <w:bookmarkEnd w:id="16"/>
      <w:r/>
      <w:bookmarkEnd w:id="17"/>
      <w:r/>
      <w:bookmarkEnd w:id="18"/>
      <w:r/>
      <w:bookmarkEnd w:id="19"/>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bookmarkStart w:id="20" w:name="_Toc35393805"/>
      <w:r/>
      <w:bookmarkStart w:id="21" w:name="_Toc28359018"/>
      <w:r/>
      <w:bookmarkStart w:id="22" w:name="_Toc28359095"/>
      <w:r/>
      <w:bookmarkStart w:id="23" w:name="_Toc35393636"/>
      <w:r>
        <w:rPr>
          <w:rFonts w:hint="eastAsia" w:ascii="宋体" w:hAnsi="宋体" w:cs="宋体"/>
          <w:color w:val="000000" w:themeColor="text1"/>
          <w:szCs w:val="21"/>
          <w:highlight w:val="none"/>
          <w14:textFill>
            <w14:solidFill>
              <w14:schemeClr w14:val="tx1"/>
            </w14:solidFill>
          </w14:textFill>
        </w:rPr>
        <w:t xml:space="preserve">1.获取时间：自本公告发布之日起至</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18</w:t>
      </w:r>
      <w:r>
        <w:rPr>
          <w:rFonts w:hint="eastAsia" w:ascii="宋体" w:hAnsi="宋体" w:cs="宋体"/>
          <w:bCs/>
          <w:szCs w:val="21"/>
          <w:highlight w:val="none"/>
          <w:u w:val="single"/>
        </w:rPr>
        <w:t xml:space="preserve">日</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2.获取方式：网上报名</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（1）申领CA证书</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供应商进入“江苏省政府采购”官网首页―“苏采云”―进入“苏采云政府采购一体化平台”―点击“新CA办理指南”。详见《江苏省政府采购数字证书（供应商）数字证书CA及电子签章办理指南》。</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（2）登录报名</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（3）在网上报名过程中如有疑问，请及时联系：</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CA技术咨询服务电话：400-608-6099</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电子签章技术咨询服务电话：15380932027 15371015030 13675197356 13675197221</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系统使用指导与咨询：联系电话：13914088964；18261002950（不见面项目）QQ：3048755361、895706745。</w:t>
      </w:r>
      <w:r/>
    </w:p>
    <w:p>
      <w:pPr>
        <w:pStyle w:val="958"/>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（4）参与采购活动</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3.售价：无</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4.本项目采用网上投标电子评标方式。</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四、响应文件提交</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1.网上响应文件接收截止时间：</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22</w:t>
      </w:r>
      <w:r>
        <w:rPr>
          <w:rFonts w:hint="eastAsia" w:ascii="宋体" w:hAnsi="宋体" w:cs="宋体"/>
          <w:bCs/>
          <w:szCs w:val="21"/>
          <w:highlight w:val="none"/>
          <w:u w:val="single"/>
        </w:rPr>
        <w:t xml:space="preserve">日</w:t>
      </w:r>
      <w:r>
        <w:rPr>
          <w:rFonts w:hint="eastAsia" w:ascii="宋体" w:hAnsi="宋体" w:cs="宋体"/>
          <w:color w:val="000000" w:themeColor="text1"/>
          <w:szCs w:val="21"/>
          <w:highlight w:val="none"/>
          <w14:textFill>
            <w14:solidFill>
              <w14:schemeClr w14:val="tx1"/>
            </w14:solidFill>
          </w14:textFill>
        </w:rPr>
        <w:t xml:space="preserve">09:30（北京时间）</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Cs w:val="21"/>
          <w:highlight w:val="none"/>
          <w14:textFill>
            <w14:solidFill>
              <w14:schemeClr w14:val="tx1"/>
            </w14:solidFill>
          </w14:textFill>
        </w:rPr>
        <w:t xml:space="preserve">本项目为不见面开标项目，开标阶段供应商在【供应商解密】环节必须使用CA证书解密电子投标文件，如在系统规定的解密时间内未能完成解密的视为放弃投标。</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4.请供应商确保电脑、系统及其他设备（视频输入输出设备等）无误，且开标直至项目结束始终保持系统在线状态。</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五、公告期限</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自本公告发布之日起3个工作日。</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六、其他补充事宜</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1.有关本项目电子投标具体操作方法详见苏采云系统中的客户端使用说明和供应商《操作手册》。</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2.本次采购的有关信息将在江苏省政府采购网、苏州政府采购网</w:t>
      </w:r>
      <w:r>
        <w:rPr>
          <w:highlight w:val="none"/>
        </w:rPr>
        <w:fldChar w:fldCharType="begin"/>
      </w:r>
      <w:r>
        <w:rPr>
          <w:highlight w:val="none"/>
        </w:rPr>
        <w:instrText xml:space="preserve"> HYPERLINK "Http://www.szweikang.com、《中国财经报》、《城市商报》上发布" </w:instrText>
      </w:r>
      <w:r>
        <w:rPr>
          <w:highlight w:val="none"/>
        </w:rPr>
        <w:fldChar w:fldCharType="separate"/>
      </w:r>
      <w:r>
        <w:rPr>
          <w:highlight w:val="none"/>
        </w:rPr>
        <w:fldChar w:fldCharType="begin"/>
      </w:r>
      <w:r>
        <w:rPr>
          <w:highlight w:val="none"/>
        </w:rPr>
        <w:instrText xml:space="preserve"> HYPERLINK "Http://www.szweikang.com、《中国财经报》、《城市商报》上发布" </w:instrText>
      </w:r>
      <w:r>
        <w:rPr>
          <w:highlight w:val="none"/>
        </w:rPr>
        <w:fldChar w:fldCharType="separate"/>
      </w:r>
      <w:r>
        <w:rPr>
          <w:rFonts w:hint="eastAsia" w:ascii="宋体" w:hAnsi="宋体" w:cs="宋体"/>
          <w:color w:val="000000" w:themeColor="text1"/>
          <w:szCs w:val="21"/>
          <w:highlight w:val="none"/>
          <w14:textFill>
            <w14:solidFill>
              <w14:schemeClr w14:val="tx1"/>
            </w14:solidFill>
          </w14:textFill>
        </w:rPr>
        <w:t xml:space="preserve">上发布</w:t>
      </w:r>
      <w:r>
        <w:rPr>
          <w:rFonts w:hint="eastAsia" w:ascii="宋体" w:hAnsi="宋体" w:cs="宋体"/>
          <w:color w:val="000000" w:themeColor="text1"/>
          <w:szCs w:val="21"/>
          <w:highlight w:val="none"/>
          <w14:textFill>
            <w14:solidFill>
              <w14:schemeClr w14:val="tx1"/>
            </w14:solidFill>
          </w14:textFill>
        </w:rPr>
        <w:fldChar w:fldCharType="end"/>
      </w:r>
      <w:r>
        <w:rPr>
          <w:highlight w:val="none"/>
        </w:rPr>
        <w:fldChar w:fldCharType="end"/>
      </w:r>
      <w:r>
        <w:rPr>
          <w:rFonts w:hint="eastAsia" w:ascii="宋体" w:hAnsi="宋体" w:cs="宋体"/>
          <w:color w:val="000000" w:themeColor="text1"/>
          <w:szCs w:val="21"/>
          <w:highlight w:val="none"/>
          <w14:textFill>
            <w14:solidFill>
              <w14:schemeClr w14:val="tx1"/>
            </w14:solidFill>
          </w14:textFill>
        </w:rPr>
        <w:t xml:space="preserve">，敬请留意；</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3.苏州市吴江区政府采购监督电话：0512-63982395</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bCs/>
          <w:color w:val="000000" w:themeColor="text1"/>
          <w:szCs w:val="21"/>
          <w:highlight w:val="none"/>
          <w14:textFill>
            <w14:solidFill>
              <w14:schemeClr w14:val="tx1"/>
            </w14:solidFill>
          </w14:textFill>
        </w:rPr>
        <w:t xml:space="preserve">4.本项目获取招标文件截止日期之后仍可以下载招标文件，但截止日期之后下载的招标文件，视为非有效方式且不作为供应商权益受到损害的证明材料和依据。</w:t>
      </w:r>
      <w:r/>
    </w:p>
    <w:p>
      <w:pPr>
        <w:ind w:firstLine="482"/>
        <w:jc w:val="left"/>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七、凡对本次采购提出询问，请按以下方式联系。</w:t>
      </w:r>
      <w:bookmarkEnd w:id="20"/>
      <w:r/>
      <w:bookmarkEnd w:id="21"/>
      <w:r/>
      <w:bookmarkEnd w:id="22"/>
      <w:r/>
      <w:bookmarkEnd w:id="23"/>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bookmarkStart w:id="24" w:name="_Toc28359075"/>
      <w:r/>
      <w:bookmarkStart w:id="25" w:name="_Toc35393786"/>
      <w:r/>
      <w:bookmarkStart w:id="26" w:name="_Toc35393617"/>
      <w:r/>
      <w:bookmarkStart w:id="27" w:name="_Toc28358998"/>
      <w:r>
        <w:rPr>
          <w:rFonts w:hint="eastAsia" w:ascii="宋体" w:hAnsi="宋体" w:cs="宋体"/>
          <w:color w:val="000000" w:themeColor="text1"/>
          <w:szCs w:val="21"/>
          <w:highlight w:val="none"/>
          <w14:textFill>
            <w14:solidFill>
              <w14:schemeClr w14:val="tx1"/>
            </w14:solidFill>
          </w14:textFill>
        </w:rPr>
        <w:t xml:space="preserve">1.采购人信息</w:t>
      </w:r>
      <w:bookmarkEnd w:id="24"/>
      <w:r/>
      <w:bookmarkEnd w:id="25"/>
      <w:r/>
      <w:bookmarkEnd w:id="26"/>
      <w:r/>
      <w:bookmarkEnd w:id="27"/>
      <w:r>
        <w:rPr>
          <w:rFonts w:hint="eastAsia" w:ascii="宋体" w:hAnsi="宋体" w:cs="宋体"/>
          <w:color w:val="000000" w:themeColor="text1"/>
          <w:szCs w:val="21"/>
          <w:highlight w:val="none"/>
          <w14:textFill>
            <w14:solidFill>
              <w14:schemeClr w14:val="tx1"/>
            </w14:solidFill>
          </w14:textFill>
        </w:rPr>
        <w:t xml:space="preserve">：</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名称：苏州市吴江区平望镇人民政府</w:t>
      </w:r>
      <w:r/>
    </w:p>
    <w:p>
      <w:pPr>
        <w:ind w:firstLine="480"/>
        <w:jc w:val="left"/>
        <w:spacing w:line="360" w:lineRule="auto"/>
        <w:shd w:val="clear" w:color="auto"/>
        <w:rPr>
          <w:rFonts w:ascii="宋体" w:hAnsi="宋体" w:cs="宋体"/>
          <w:sz w:val="24"/>
          <w:highlight w:val="none"/>
        </w:rPr>
        <w:outlineLvl w:val="2"/>
      </w:pPr>
      <w:r>
        <w:rPr>
          <w:rFonts w:hint="eastAsia" w:ascii="宋体" w:hAnsi="宋体" w:cs="宋体"/>
          <w:color w:val="000000" w:themeColor="text1"/>
          <w:szCs w:val="21"/>
          <w:highlight w:val="none"/>
          <w14:textFill>
            <w14:solidFill>
              <w14:schemeClr w14:val="tx1"/>
            </w14:solidFill>
          </w14:textFill>
        </w:rPr>
        <w:t xml:space="preserve">联系人：姚卫忠</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联系电话：0512-63659372</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2.代理机构信息：</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bookmarkStart w:id="28" w:name="XTDLJG_1"/>
      <w:r>
        <w:rPr>
          <w:rFonts w:hint="eastAsia" w:ascii="宋体" w:hAnsi="宋体" w:cs="宋体"/>
          <w:color w:val="000000" w:themeColor="text1"/>
          <w:szCs w:val="21"/>
          <w:highlight w:val="none"/>
          <w14:textFill>
            <w14:solidFill>
              <w14:schemeClr w14:val="tx1"/>
            </w14:solidFill>
          </w14:textFill>
        </w:rPr>
        <w:t xml:space="preserve">苏州市天美达招投标咨询服务有限公司</w:t>
      </w:r>
      <w:bookmarkEnd w:id="28"/>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地址：苏州市姑苏区平泷路251号城市生活广场A座1519室</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联系人：高飞、张欣昀、叶韵、梁书方</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电话：0512-65231142-8006</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项目联系人：高飞、张欣昀、叶韵、梁书方</w:t>
      </w:r>
      <w:r/>
    </w:p>
    <w:p>
      <w:pPr>
        <w:ind w:firstLine="480"/>
        <w:jc w:val="left"/>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电话：0512-65231142-8006</w:t>
      </w:r>
      <w:bookmarkEnd w:id="0"/>
      <w:r/>
      <w:bookmarkEnd w:id="1"/>
      <w:r/>
      <w:bookmarkEnd w:id="2"/>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left"/>
        <w:shd w:val="clear" w:color="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jc w:val="center"/>
        <w:spacing w:line="360" w:lineRule="auto"/>
        <w:shd w:val="clear" w:color="auto"/>
        <w:tabs>
          <w:tab w:val="left" w:pos="315" w:leader="none"/>
          <w:tab w:val="center" w:pos="4153" w:leader="none"/>
        </w:tabs>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第二章  磋商供应商须知</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1.</w:t>
      </w:r>
      <w:bookmarkStart w:id="29" w:name="_Hlk62113034"/>
      <w:r>
        <w:rPr>
          <w:rFonts w:hint="eastAsia" w:ascii="宋体" w:hAnsi="宋体" w:cs="宋体"/>
          <w:b/>
          <w:color w:val="000000" w:themeColor="text1"/>
          <w:szCs w:val="21"/>
          <w:highlight w:val="none"/>
          <w14:textFill>
            <w14:solidFill>
              <w14:schemeClr w14:val="tx1"/>
            </w14:solidFill>
          </w14:textFill>
        </w:rPr>
        <w:t xml:space="preserve">★</w:t>
      </w:r>
      <w:bookmarkEnd w:id="29"/>
      <w:r>
        <w:rPr>
          <w:rFonts w:hint="eastAsia" w:ascii="宋体" w:hAnsi="宋体" w:cs="宋体"/>
          <w:b/>
          <w:color w:val="000000" w:themeColor="text1"/>
          <w:szCs w:val="21"/>
          <w:highlight w:val="none"/>
          <w14:textFill>
            <w14:solidFill>
              <w14:schemeClr w14:val="tx1"/>
            </w14:solidFill>
          </w14:textFill>
        </w:rPr>
        <w:t xml:space="preserve">合格磋商供应商的资格条件</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1.1.《中华人民共和国政府采购法》第二十二条规定。</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1.2对列入失信被执行人、重大税收违法案件当事人名单、政府采购严重违法失信行为记录名单的供应商，拒绝其参与政府采购活动。</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shd w:val="clear" w:color="auto"/>
        <w:rPr>
          <w:rFonts w:hint="eastAsia" w:ascii="宋体" w:hAnsi="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2.落实政府釆购政策需满足的资格要求</w:t>
      </w:r>
      <w:r>
        <w:rPr>
          <w:rFonts w:hint="eastAsia" w:ascii="宋体" w:hAnsi="宋体" w:cs="宋体"/>
          <w:b/>
          <w:bCs/>
          <w:color w:val="000000" w:themeColor="text1"/>
          <w:szCs w:val="21"/>
          <w:highlight w:val="none"/>
          <w:lang w:eastAsia="zh-CN"/>
          <w14:textFill>
            <w14:solidFill>
              <w14:schemeClr w14:val="tx1"/>
            </w14:solidFill>
          </w14:textFill>
        </w:rPr>
        <w:t xml:space="preserve">：</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lang w:val="en-US" w:eastAsia="zh-CN"/>
          <w14:textFill>
            <w14:solidFill>
              <w14:schemeClr w14:val="tx1"/>
            </w14:solidFill>
          </w14:textFill>
        </w:rPr>
        <w:t xml:space="preserve">2.1</w:t>
      </w:r>
      <w:r>
        <w:rPr>
          <w:rFonts w:hint="eastAsia" w:ascii="宋体" w:hAnsi="宋体" w:cs="宋体"/>
          <w:color w:val="000000" w:themeColor="text1"/>
          <w:szCs w:val="21"/>
          <w:highlight w:val="none"/>
          <w14:textFill>
            <w14:solidFill>
              <w14:schemeClr w14:val="tx1"/>
            </w14:solidFill>
          </w14:textFill>
        </w:rPr>
        <w:t xml:space="preserve">满足《中华人民共和国政府采购法》第二十二条规定；</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1.1具有独立承担民事责任的能力。</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1.2具有良好的商业信誉和健全的财务会计制度。</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1.3具有履行合同所必需的设备和专业技术能力。</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1.4有依法缴纳税收和社会保障基金的良好记录。</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1.5参加本次政府采购活动前三年内，在经营活动中没有重大违法记录。</w:t>
      </w:r>
      <w:r/>
    </w:p>
    <w:p>
      <w:pPr>
        <w:ind w:firstLine="480"/>
        <w:jc w:val="left"/>
        <w:spacing w:line="360" w:lineRule="auto"/>
        <w:shd w:val="clear" w:color="auto"/>
        <w:rPr>
          <w:rFonts w:hint="eastAsia" w:ascii="宋体" w:hAnsi="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1.6法律、行政法规规定的其他条件。</w:t>
      </w:r>
      <w:r/>
    </w:p>
    <w:p>
      <w:pPr>
        <w:ind w:firstLine="422"/>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本项目专门面向中小企业，所属行业为其</w:t>
      </w:r>
      <w:r>
        <w:rPr>
          <w:rFonts w:hint="eastAsia" w:ascii="宋体" w:hAnsi="宋体"/>
          <w:b/>
          <w:szCs w:val="21"/>
          <w:highlight w:val="none"/>
        </w:rPr>
        <w:t xml:space="preserve">他未列明行业</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2"/>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3.★联合体响应：</w:t>
      </w:r>
      <w:r>
        <w:rPr>
          <w:rFonts w:hint="eastAsia" w:ascii="宋体" w:hAnsi="宋体" w:cs="宋体"/>
          <w:bCs/>
          <w:color w:val="000000" w:themeColor="text1"/>
          <w:szCs w:val="21"/>
          <w:highlight w:val="none"/>
          <w14:textFill>
            <w14:solidFill>
              <w14:schemeClr w14:val="tx1"/>
            </w14:solidFill>
          </w14:textFill>
        </w:rPr>
        <w:t xml:space="preserve">不接受。</w:t>
      </w:r>
      <w:r/>
    </w:p>
    <w:p>
      <w:pPr>
        <w:ind w:firstLine="422"/>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4.★转包与分包与磋商费用</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4.1本项目不允许转包或分包。</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4.2无论磋商过程中的做法和结果如何，磋商供应商自行承担所有与参加磋商有关的全部费用。</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5.磋商文件</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5.1.磋商文件的内容如下：</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 磋商邀请书</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 磋商供应商须知</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 响应文件格式</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 采购需求</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 合同主要条款</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 评标办法及评分标准</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6.磋商文件的澄清和修改</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6.2.磋商文件的澄清、修改等内容与竞争性磋商文件在同一内容的表述上不一致时，以发出日期最接近磋商时间的公告为准。</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14:textFill>
            <w14:solidFill>
              <w14:schemeClr w14:val="tx1"/>
            </w14:solidFill>
          </w14:textFill>
        </w:rPr>
        <w:t xml:space="preserve">7.★响应文件计量单位和使用文字</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7.1.响应文件中所使用的计量单位，除竞争性磋商文件中有特殊要求外，均应使用中华人民共和国法定计量单位。</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8. 磋商响应文件的组成：</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8.1封面</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8.2磋商报价表</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8.3</w:t>
      </w:r>
      <w:r>
        <w:rPr>
          <w:rFonts w:hint="eastAsia" w:ascii="宋体" w:hAnsi="宋体" w:cs="宋体"/>
          <w:b/>
          <w:bCs/>
          <w:color w:val="000000" w:themeColor="text1"/>
          <w:szCs w:val="21"/>
          <w:highlight w:val="none"/>
          <w14:textFill>
            <w14:solidFill>
              <w14:schemeClr w14:val="tx1"/>
            </w14:solidFill>
          </w14:textFill>
        </w:rPr>
        <w:t xml:space="preserve">资格要求证明文件</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spacing w:line="360" w:lineRule="auto"/>
        <w:shd w:val="clear" w:color="auto"/>
        <w:tabs>
          <w:tab w:val="left" w:pos="851"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8.3.1具有独立承担民事责任的能力。</w:t>
      </w:r>
      <w:r>
        <w:rPr>
          <w:rFonts w:hint="eastAsia" w:ascii="宋体" w:hAnsi="宋体" w:cs="宋体"/>
          <w:color w:val="000000" w:themeColor="text1"/>
          <w:szCs w:val="21"/>
          <w:highlight w:val="none"/>
          <w:lang w:val="zh-CN"/>
          <w14:textFill>
            <w14:solidFill>
              <w14:schemeClr w14:val="tx1"/>
            </w14:solidFill>
          </w14:textFill>
        </w:rPr>
        <w:t xml:space="preserve">包括法人或者其他组织的营业执照等证明文件，自然人的身份证明。</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8.3.2具有良好的商业信誉和健全的财务会计制度证明。包括但不限于最近一期经审计的财务报告或财务报表，其他组织、自然人及成立未满一年的法人应提供银行出具的资信证明。</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8.3.3有依法缴纳税收和社会保障资金的良好记录。提供参加本次政府采购活动前依法缴纳税收和社会保障资金的相关材料； </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8.3.4提供具有履行合同所必需的设备和专业技术能力的书面声明；</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8.3.5提供参加政府采购活动前3年内在经营活动中没有重大违法记录的书面声明。</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8.3.6提供《中小企业声明函》或《残疾人福利性单位声明函》或由省级以上监狱管理局、戒毒管理局（含新疆生产建设兵团）出具的属于监狱企业的证明文件；</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8.3.7特定资格要求的证明材料。</w:t>
      </w:r>
      <w:r/>
    </w:p>
    <w:p>
      <w:pPr>
        <w:ind w:firstLine="420"/>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8.3.9关于资格文件的声明函（格式见第三章）。</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8.4</w:t>
      </w:r>
      <w:r>
        <w:rPr>
          <w:rFonts w:hint="eastAsia" w:ascii="宋体" w:hAnsi="宋体" w:cs="宋体"/>
          <w:b/>
          <w:bCs/>
          <w:color w:val="000000" w:themeColor="text1"/>
          <w:szCs w:val="21"/>
          <w:highlight w:val="none"/>
          <w14:textFill>
            <w14:solidFill>
              <w14:schemeClr w14:val="tx1"/>
            </w14:solidFill>
          </w14:textFill>
        </w:rPr>
        <w:t xml:space="preserve"> 符合性审查响应文件</w:t>
      </w:r>
      <w:r>
        <w:rPr>
          <w:rFonts w:hint="eastAsia" w:ascii="宋体" w:hAnsi="宋体" w:cs="宋体"/>
          <w:color w:val="000000" w:themeColor="text1"/>
          <w:szCs w:val="21"/>
          <w:highlight w:val="none"/>
          <w14:textFill>
            <w14:solidFill>
              <w14:schemeClr w14:val="tx1"/>
            </w14:solidFill>
          </w14:textFill>
        </w:rPr>
        <w:t xml:space="preserve">（详见响应文件格式）</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8.4.1磋商响应承诺书； </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8.4.2响应单位法定代表人身份证复印件；</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8.4.3授权委托书（如有授权）；</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8.4.4响应单位委托代理人身份证复印件（如有授权）；</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8.4.5磋商响应报价表；</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8.4.6磋商响应报价明细表；</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8.4.7偏离表（商务条款偏离表、技术条款偏离表）（格式见第三章）；</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8.4.8</w:t>
      </w:r>
      <w:r>
        <w:rPr>
          <w:rFonts w:hint="eastAsia" w:ascii="宋体" w:hAnsi="宋体" w:cs="宋体"/>
          <w:bCs/>
          <w:color w:val="000000" w:themeColor="text1"/>
          <w:szCs w:val="21"/>
          <w:highlight w:val="none"/>
          <w14:textFill>
            <w14:solidFill>
              <w14:schemeClr w14:val="tx1"/>
            </w14:solidFill>
          </w14:textFill>
        </w:rPr>
        <w:t xml:space="preserve">投标（响应）保证承诺书；</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8.4.9响应单位情况表（格式见第三章）</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8.4.10其他需响应单位对本次投标的详细说明；</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8.4.11其他可以证明响应单位资信、资质和货物、服务质量的证书、文件、推荐信等补充资料。</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8.5评分要点及技术要求</w:t>
      </w:r>
      <w:r/>
    </w:p>
    <w:p>
      <w:pPr>
        <w:ind w:firstLine="420"/>
        <w:spacing w:line="360" w:lineRule="auto"/>
        <w:shd w:val="clear" w:color="auto"/>
        <w:widowControl/>
        <w:tabs>
          <w:tab w:val="left" w:pos="0" w:leader="none"/>
        </w:tabs>
        <w:rPr>
          <w:rFonts w:ascii="宋体" w:hAnsi="宋体" w:cs="宋体"/>
          <w:bCs/>
          <w:color w:val="000000" w:themeColor="text1"/>
          <w:szCs w:val="21"/>
          <w:highlight w:val="none"/>
          <w14:textFill>
            <w14:solidFill>
              <w14:schemeClr w14:val="tx1"/>
            </w14:solidFill>
          </w14:textFill>
        </w:rPr>
        <w:outlineLvl w:val="1"/>
      </w:pPr>
      <w:r>
        <w:rPr>
          <w:rFonts w:hint="eastAsia" w:ascii="宋体" w:hAnsi="宋体" w:cs="宋体"/>
          <w:bCs/>
          <w:color w:val="000000" w:themeColor="text1"/>
          <w:szCs w:val="21"/>
          <w:highlight w:val="none"/>
          <w14:textFill>
            <w14:solidFill>
              <w14:schemeClr w14:val="tx1"/>
            </w14:solidFill>
          </w14:textFill>
        </w:rPr>
        <w:t xml:space="preserve">8.5</w:t>
      </w:r>
      <w:r>
        <w:rPr>
          <w:rFonts w:hint="eastAsia" w:ascii="宋体" w:hAnsi="宋体" w:cs="宋体"/>
          <w:bCs/>
          <w:color w:val="000000" w:themeColor="text1"/>
          <w:szCs w:val="21"/>
          <w:highlight w:val="none"/>
          <w:lang w:val="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服务方案及人员配置比较；</w:t>
      </w:r>
      <w:r/>
    </w:p>
    <w:p>
      <w:pPr>
        <w:ind w:firstLine="420"/>
        <w:spacing w:line="360" w:lineRule="auto"/>
        <w:shd w:val="clear" w:color="auto"/>
        <w:widowControl/>
        <w:tabs>
          <w:tab w:val="left" w:pos="0" w:leader="none"/>
        </w:tabs>
        <w:rPr>
          <w:rFonts w:ascii="宋体" w:hAnsi="宋体" w:cs="宋体"/>
          <w:bCs/>
          <w:color w:val="000000" w:themeColor="text1"/>
          <w:szCs w:val="21"/>
          <w:highlight w:val="none"/>
          <w14:textFill>
            <w14:solidFill>
              <w14:schemeClr w14:val="tx1"/>
            </w14:solidFill>
          </w14:textFill>
        </w:rPr>
        <w:outlineLvl w:val="1"/>
      </w:pPr>
      <w:r>
        <w:rPr>
          <w:rFonts w:hint="eastAsia" w:ascii="宋体" w:hAnsi="宋体" w:cs="宋体"/>
          <w:bCs/>
          <w:color w:val="000000" w:themeColor="text1"/>
          <w:szCs w:val="21"/>
          <w:highlight w:val="none"/>
          <w14:textFill>
            <w14:solidFill>
              <w14:schemeClr w14:val="tx1"/>
            </w14:solidFill>
          </w14:textFill>
        </w:rPr>
        <w:t xml:space="preserve">8.5</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2项目服务人员综合素质比较；</w:t>
      </w:r>
      <w:r/>
    </w:p>
    <w:p>
      <w:pPr>
        <w:ind w:firstLine="420"/>
        <w:spacing w:line="360" w:lineRule="auto"/>
        <w:shd w:val="clear" w:color="auto"/>
        <w:widowControl/>
        <w:tabs>
          <w:tab w:val="left" w:pos="0" w:leader="none"/>
        </w:tabs>
        <w:rPr>
          <w:rFonts w:ascii="宋体" w:hAnsi="宋体" w:cs="宋体"/>
          <w:bCs/>
          <w:color w:val="000000" w:themeColor="text1"/>
          <w:szCs w:val="21"/>
          <w:highlight w:val="none"/>
          <w14:textFill>
            <w14:solidFill>
              <w14:schemeClr w14:val="tx1"/>
            </w14:solidFill>
          </w14:textFill>
        </w:rPr>
        <w:outlineLvl w:val="1"/>
      </w:pPr>
      <w:r>
        <w:rPr>
          <w:rFonts w:hint="eastAsia" w:ascii="宋体" w:hAnsi="宋体" w:cs="宋体"/>
          <w:bCs/>
          <w:color w:val="000000" w:themeColor="text1"/>
          <w:szCs w:val="21"/>
          <w:highlight w:val="none"/>
          <w14:textFill>
            <w14:solidFill>
              <w14:schemeClr w14:val="tx1"/>
            </w14:solidFill>
          </w14:textFill>
        </w:rPr>
        <w:t xml:space="preserve">8.5.3响应单位综合实力比较；</w:t>
      </w:r>
      <w:r/>
    </w:p>
    <w:p>
      <w:pPr>
        <w:ind w:firstLine="422"/>
        <w:spacing w:line="360" w:lineRule="auto"/>
        <w:shd w:val="clear" w:color="auto"/>
        <w:widowControl/>
        <w:tabs>
          <w:tab w:val="left" w:pos="0" w:leader="none"/>
        </w:tabs>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备注：</w:t>
      </w:r>
      <w:r/>
    </w:p>
    <w:p>
      <w:pPr>
        <w:numPr>
          <w:ilvl w:val="0"/>
          <w:numId w:val="1"/>
        </w:numPr>
        <w:ind w:firstLine="422"/>
        <w:spacing w:line="360" w:lineRule="auto"/>
        <w:shd w:val="clear" w:color="auto"/>
        <w:widowControl/>
        <w:tabs>
          <w:tab w:val="left" w:pos="0" w:leader="none"/>
        </w:tabs>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投标文件由8.1、8.2、8.3和8.4款规定的内容共同组成。投标人必须提交上述8.1.1—8.4.7款规定的资料，并须按照“响应文件组成”将相关材料上传至相应模块。否则，响应文件将因资格性条件不符或未实质性响应采购文件而被拒绝。</w:t>
      </w:r>
      <w:r/>
    </w:p>
    <w:p>
      <w:pPr>
        <w:ind w:firstLine="422"/>
        <w:spacing w:line="360" w:lineRule="auto"/>
        <w:shd w:val="clear" w:color="auto"/>
        <w:widowControl/>
        <w:tabs>
          <w:tab w:val="left" w:pos="0" w:leader="none"/>
        </w:tabs>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9. 网上响应文件的制作</w:t>
      </w:r>
      <w:r/>
    </w:p>
    <w:p>
      <w:pPr>
        <w:ind w:firstLine="420"/>
        <w:spacing w:line="360" w:lineRule="auto"/>
        <w:shd w:val="clear" w:color="auto"/>
        <w:tabs>
          <w:tab w:val="left" w:pos="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系统中下载招标文件后，点击“客户端下载地址”，下载投标文件客户端，查看客户端使用说明。</w:t>
      </w:r>
      <w:r/>
    </w:p>
    <w:p>
      <w:pPr>
        <w:ind w:firstLine="420"/>
        <w:spacing w:line="360" w:lineRule="auto"/>
        <w:shd w:val="clear" w:color="auto"/>
        <w:tabs>
          <w:tab w:val="left" w:pos="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（2）将下载的采购文件导入投标文件客户端，按照使用说明完成投标文件的编制和加盖电子签章。</w:t>
      </w:r>
      <w:r/>
    </w:p>
    <w:p>
      <w:pPr>
        <w:ind w:firstLine="420"/>
        <w:spacing w:line="360" w:lineRule="auto"/>
        <w:shd w:val="clear" w:color="auto"/>
        <w:tabs>
          <w:tab w:val="left" w:pos="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（3）导出制作完成的投标文件，上传至苏采云系统。</w:t>
      </w:r>
      <w:r/>
    </w:p>
    <w:p>
      <w:pPr>
        <w:ind w:firstLine="420"/>
        <w:spacing w:line="360" w:lineRule="auto"/>
        <w:shd w:val="clear" w:color="auto"/>
        <w:tabs>
          <w:tab w:val="left" w:pos="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注：具体投标文件编制教程查看苏采云系统中的客户端使用说明和供应商《操作手册》。</w:t>
      </w:r>
      <w:r/>
    </w:p>
    <w:p>
      <w:pPr>
        <w:pStyle w:val="801"/>
        <w:ind w:firstLine="420"/>
        <w:shd w:val="clear" w:color="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56.3pt;mso-wrap-distance-left:0.0pt;mso-wrap-distance-top:0.0pt;mso-wrap-distance-right:0.0pt;mso-wrap-distance-bottom:0.0pt;" filled="f" stroked="f">
            <v:path textboxrect="0,0,0,0"/>
            <v:imagedata r:id="rId15" o:title=""/>
          </v:shape>
          <o:OLEObject DrawAspect="Content" r:id="rId16" ObjectID="_1525043" ProgID="Package" ShapeID="_x0000_i3" Type="Embed"/>
        </w:objec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10.报价（编制）要求的说明</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10.1.磋商报价应包括完成该标的物全部内容的一切费用。</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10.2.响应人应按《磋商响应报价明细表》中的全部项目计算单价和总价。《磋商响应报价明细表》中的每一单项均应计算并填写单价和总价，并由法定代表人或代理人签署。</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10.3.响应人应对磋商文件内所要采购的全部内容进行报价，只投其中部分内容者，其响应文件将被拒绝。</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10.4.一项响应内容只允许一个报价，采购代理机构不接受任何有选择性的响应报价。</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10.5.响应文件报价中的单价和总价全部采用人民币表示，除非合同的特殊条款另有规定。</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11.★磋商有效期</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11.1.磋商响应文件的有效期为90日历天，在此期间内，响应文件应保持有效。有效期短于这个规定期限的，将被拒绝。</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11.2.特殊情况下，磋商采购单位可与磋商供应商协商延缓磋商响应文件的有效期，这种要求和答复均以书面形式进行。</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11.3.磋商响应方可拒绝接受延期要求而放弃磋商，同意延长有效期的磋商响应方不能修改磋商响应文件。</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12.磋商响应截止时间</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12.1.响应文件必须在磋商截止时间前提交。截止时间以后送达的响应文件，采购人或采购代理机构将拒绝接收。</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12.2.采购人或者采购代理机构推迟磋商截止时间时，应以更正公告的形式，通知所有响应人。</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13.磋商响应文件修改和撤回</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13.1.投标文件的修改应在投标截止时间前进行。</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13.2.投标开始时间后至投标截止时间前，投标人可以撤回投标。</w:t>
      </w:r>
      <w:r/>
    </w:p>
    <w:p>
      <w:pPr>
        <w:ind w:firstLine="422"/>
        <w:spacing w:line="360" w:lineRule="auto"/>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14.磋商评审程序</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14.1采购代理机构按本须知规定的时间、地点主持磋商采购活动。</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14.3由磋商小组审查供应商解密的响应文件。</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shd w:val="clear" w:color="auto"/>
        <w:tabs>
          <w:tab w:val="left" w:pos="753"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themeColor="text1"/>
          <w:szCs w:val="21"/>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ind w:firstLine="422"/>
        <w:spacing w:line="360" w:lineRule="auto"/>
        <w:shd w:val="clear" w:color="auto"/>
        <w:tabs>
          <w:tab w:val="left" w:pos="753"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14.7政府采购异常低价审查：</w:t>
      </w:r>
      <w:r/>
    </w:p>
    <w:p>
      <w:pPr>
        <w:ind w:firstLine="422"/>
        <w:spacing w:line="360" w:lineRule="auto"/>
        <w:shd w:val="clear" w:color="auto"/>
        <w:tabs>
          <w:tab w:val="left" w:pos="753" w:leader="none"/>
        </w:tabs>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14.7.1</w:t>
      </w:r>
      <w:r>
        <w:rPr>
          <w:rFonts w:hint="eastAsia" w:ascii="宋体" w:hAnsi="宋体" w:cs="宋体"/>
          <w:b/>
          <w:bCs/>
          <w:color w:val="000000" w:themeColor="text1"/>
          <w:szCs w:val="21"/>
          <w:highlight w:val="none"/>
          <w:lang w:val="zh-CN"/>
          <w14:textFill>
            <w14:solidFill>
              <w14:schemeClr w14:val="tx1"/>
            </w14:solidFill>
          </w14:textFill>
        </w:rPr>
        <w:t xml:space="preserve">投标（响应）报价低于全部通过符合性审查供应商投标（响应）报价平均值50%</w:t>
      </w:r>
      <w:r>
        <w:rPr>
          <w:rFonts w:ascii="宋体" w:hAnsi="宋体" w:cs="宋体"/>
          <w:b/>
          <w:bCs/>
          <w:color w:val="000000" w:themeColor="text1"/>
          <w:szCs w:val="21"/>
          <w:highlight w:val="none"/>
          <w:lang w:val="zh-CN"/>
          <w14:textFill>
            <w14:solidFill>
              <w14:schemeClr w14:val="tx1"/>
            </w14:solidFill>
          </w14:textFill>
        </w:rPr>
        <w:t xml:space="preserve">的，即投标（响应）报价</w:t>
      </w:r>
      <w:r>
        <w:rPr>
          <w:rFonts w:hint="eastAsia" w:ascii="宋体" w:hAnsi="宋体" w:cs="宋体"/>
          <w:b/>
          <w:bCs/>
          <w:color w:val="000000" w:themeColor="text1"/>
          <w:szCs w:val="21"/>
          <w:highlight w:val="none"/>
          <w:lang w:val="zh-CN"/>
          <w14:textFill>
            <w14:solidFill>
              <w14:schemeClr w14:val="tx1"/>
            </w14:solidFill>
          </w14:textFill>
        </w:rPr>
        <w:t xml:space="preserve">&lt;</w:t>
      </w:r>
      <w:r>
        <w:rPr>
          <w:rFonts w:ascii="宋体" w:hAnsi="宋体" w:cs="宋体"/>
          <w:b/>
          <w:bCs/>
          <w:color w:val="000000" w:themeColor="text1"/>
          <w:szCs w:val="21"/>
          <w:highlight w:val="none"/>
          <w:lang w:val="zh-CN"/>
          <w14:textFill>
            <w14:solidFill>
              <w14:schemeClr w14:val="tx1"/>
            </w14:solidFill>
          </w14:textFill>
        </w:rPr>
        <w:t xml:space="preserve">全部通过符合性审查供应商投标（响应）报价平均值</w:t>
      </w:r>
      <w:r>
        <w:rPr>
          <w:rFonts w:hint="eastAsia" w:ascii="宋体" w:hAnsi="宋体" w:cs="宋体"/>
          <w:b/>
          <w:bCs/>
          <w:color w:val="000000" w:themeColor="text1"/>
          <w:szCs w:val="21"/>
          <w:highlight w:val="none"/>
          <w:lang w:val="zh-CN"/>
          <w14:textFill>
            <w14:solidFill>
              <w14:schemeClr w14:val="tx1"/>
            </w14:solidFill>
          </w14:textFill>
        </w:rPr>
        <w:t xml:space="preserve">×50%</w:t>
      </w:r>
      <w:r>
        <w:rPr>
          <w:rFonts w:ascii="宋体" w:hAnsi="宋体" w:cs="宋体"/>
          <w:b/>
          <w:bCs/>
          <w:color w:val="000000" w:themeColor="text1"/>
          <w:szCs w:val="21"/>
          <w:highlight w:val="none"/>
          <w:lang w:val="zh-CN"/>
          <w14:textFill>
            <w14:solidFill>
              <w14:schemeClr w14:val="tx1"/>
            </w14:solidFill>
          </w14:textFill>
        </w:rPr>
        <w:t xml:space="preserve">；</w:t>
      </w:r>
      <w:r/>
    </w:p>
    <w:p>
      <w:pPr>
        <w:ind w:firstLine="422"/>
        <w:spacing w:line="360" w:lineRule="auto"/>
        <w:shd w:val="clear" w:color="auto"/>
        <w:tabs>
          <w:tab w:val="left" w:pos="753" w:leader="none"/>
        </w:tabs>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14.7.</w:t>
      </w:r>
      <w:r>
        <w:rPr>
          <w:rFonts w:hint="eastAsia" w:ascii="宋体" w:hAnsi="宋体" w:cs="宋体"/>
          <w:b/>
          <w:bCs/>
          <w:color w:val="000000" w:themeColor="text1"/>
          <w:szCs w:val="21"/>
          <w:highlight w:val="none"/>
          <w:lang w:val="zh-CN"/>
          <w14:textFill>
            <w14:solidFill>
              <w14:schemeClr w14:val="tx1"/>
            </w14:solidFill>
          </w14:textFill>
        </w:rPr>
        <w:t xml:space="preserve">2</w:t>
      </w:r>
      <w:r>
        <w:rPr>
          <w:rFonts w:ascii="宋体" w:hAnsi="宋体" w:cs="宋体"/>
          <w:b/>
          <w:bCs/>
          <w:color w:val="000000" w:themeColor="text1"/>
          <w:szCs w:val="21"/>
          <w:highlight w:val="none"/>
          <w:lang w:val="zh-CN"/>
          <w14:textFill>
            <w14:solidFill>
              <w14:schemeClr w14:val="tx1"/>
            </w14:solidFill>
          </w14:textFill>
        </w:rPr>
        <w:t xml:space="preserve">投标（响应）报价低于通过符合性审查的次低报价供应商投标（响应）报价</w:t>
      </w:r>
      <w:r>
        <w:rPr>
          <w:rFonts w:hint="eastAsia" w:ascii="宋体" w:hAnsi="宋体" w:cs="宋体"/>
          <w:b/>
          <w:bCs/>
          <w:color w:val="000000" w:themeColor="text1"/>
          <w:szCs w:val="21"/>
          <w:highlight w:val="none"/>
          <w:lang w:val="zh-CN"/>
          <w14:textFill>
            <w14:solidFill>
              <w14:schemeClr w14:val="tx1"/>
            </w14:solidFill>
          </w14:textFill>
        </w:rPr>
        <w:t xml:space="preserve">50%</w:t>
      </w:r>
      <w:r>
        <w:rPr>
          <w:rFonts w:ascii="宋体" w:hAnsi="宋体" w:cs="宋体"/>
          <w:b/>
          <w:bCs/>
          <w:color w:val="000000" w:themeColor="text1"/>
          <w:szCs w:val="21"/>
          <w:highlight w:val="none"/>
          <w:lang w:val="zh-CN"/>
          <w14:textFill>
            <w14:solidFill>
              <w14:schemeClr w14:val="tx1"/>
            </w14:solidFill>
          </w14:textFill>
        </w:rPr>
        <w:t xml:space="preserve">的，即投标（响应）报价</w:t>
      </w:r>
      <w:r>
        <w:rPr>
          <w:rFonts w:hint="eastAsia" w:ascii="宋体" w:hAnsi="宋体" w:cs="宋体"/>
          <w:b/>
          <w:bCs/>
          <w:color w:val="000000" w:themeColor="text1"/>
          <w:szCs w:val="21"/>
          <w:highlight w:val="none"/>
          <w:lang w:val="zh-CN"/>
          <w14:textFill>
            <w14:solidFill>
              <w14:schemeClr w14:val="tx1"/>
            </w14:solidFill>
          </w14:textFill>
        </w:rPr>
        <w:t xml:space="preserve">&lt;</w:t>
      </w:r>
      <w:r>
        <w:rPr>
          <w:rFonts w:ascii="宋体" w:hAnsi="宋体" w:cs="宋体"/>
          <w:b/>
          <w:bCs/>
          <w:color w:val="000000" w:themeColor="text1"/>
          <w:szCs w:val="21"/>
          <w:highlight w:val="none"/>
          <w:lang w:val="zh-CN"/>
          <w14:textFill>
            <w14:solidFill>
              <w14:schemeClr w14:val="tx1"/>
            </w14:solidFill>
          </w14:textFill>
        </w:rPr>
        <w:t xml:space="preserve">通过符合性审查的次低报价供应商投标（响应）报价</w:t>
      </w:r>
      <w:r>
        <w:rPr>
          <w:rFonts w:hint="eastAsia" w:ascii="宋体" w:hAnsi="宋体" w:cs="宋体"/>
          <w:b/>
          <w:bCs/>
          <w:color w:val="000000" w:themeColor="text1"/>
          <w:szCs w:val="21"/>
          <w:highlight w:val="none"/>
          <w:lang w:val="zh-CN"/>
          <w14:textFill>
            <w14:solidFill>
              <w14:schemeClr w14:val="tx1"/>
            </w14:solidFill>
          </w14:textFill>
        </w:rPr>
        <w:t xml:space="preserve">×50%</w:t>
      </w:r>
      <w:r>
        <w:rPr>
          <w:rFonts w:ascii="宋体" w:hAnsi="宋体" w:cs="宋体"/>
          <w:b/>
          <w:bCs/>
          <w:color w:val="000000" w:themeColor="text1"/>
          <w:szCs w:val="21"/>
          <w:highlight w:val="none"/>
          <w:lang w:val="zh-CN"/>
          <w14:textFill>
            <w14:solidFill>
              <w14:schemeClr w14:val="tx1"/>
            </w14:solidFill>
          </w14:textFill>
        </w:rPr>
        <w:t xml:space="preserve">；</w:t>
      </w:r>
      <w:r/>
    </w:p>
    <w:p>
      <w:pPr>
        <w:ind w:firstLine="422"/>
        <w:spacing w:line="360" w:lineRule="auto"/>
        <w:shd w:val="clear" w:color="auto"/>
        <w:tabs>
          <w:tab w:val="left" w:pos="753" w:leader="none"/>
        </w:tabs>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14.7.</w:t>
      </w:r>
      <w:r>
        <w:rPr>
          <w:rFonts w:hint="eastAsia" w:ascii="宋体" w:hAnsi="宋体" w:cs="宋体"/>
          <w:b/>
          <w:bCs/>
          <w:color w:val="000000" w:themeColor="text1"/>
          <w:szCs w:val="21"/>
          <w:highlight w:val="none"/>
          <w:lang w:val="zh-CN"/>
          <w14:textFill>
            <w14:solidFill>
              <w14:schemeClr w14:val="tx1"/>
            </w14:solidFill>
          </w14:textFill>
        </w:rPr>
        <w:t xml:space="preserve">3</w:t>
      </w:r>
      <w:r>
        <w:rPr>
          <w:rFonts w:ascii="宋体" w:hAnsi="宋体" w:cs="宋体"/>
          <w:b/>
          <w:bCs/>
          <w:color w:val="000000" w:themeColor="text1"/>
          <w:szCs w:val="21"/>
          <w:highlight w:val="none"/>
          <w:lang w:val="zh-CN"/>
          <w14:textFill>
            <w14:solidFill>
              <w14:schemeClr w14:val="tx1"/>
            </w14:solidFill>
          </w14:textFill>
        </w:rPr>
        <w:t xml:space="preserve">投标（响应）报价低于采购项目最高限价</w:t>
      </w:r>
      <w:r>
        <w:rPr>
          <w:rFonts w:hint="eastAsia" w:ascii="宋体" w:hAnsi="宋体" w:cs="宋体"/>
          <w:b/>
          <w:bCs/>
          <w:color w:val="000000" w:themeColor="text1"/>
          <w:szCs w:val="21"/>
          <w:highlight w:val="none"/>
          <w14:textFill>
            <w14:solidFill>
              <w14:schemeClr w14:val="tx1"/>
            </w14:solidFill>
          </w14:textFill>
        </w:rPr>
        <w:t xml:space="preserve">65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ascii="宋体" w:hAnsi="宋体" w:cs="宋体"/>
          <w:b/>
          <w:bCs/>
          <w:color w:val="000000" w:themeColor="text1"/>
          <w:szCs w:val="21"/>
          <w:highlight w:val="none"/>
          <w:lang w:val="zh-CN"/>
          <w14:textFill>
            <w14:solidFill>
              <w14:schemeClr w14:val="tx1"/>
            </w14:solidFill>
          </w14:textFill>
        </w:rPr>
        <w:t xml:space="preserve">的，即投标（响应）报价</w:t>
      </w:r>
      <w:r>
        <w:rPr>
          <w:rFonts w:hint="eastAsia" w:ascii="宋体" w:hAnsi="宋体" w:cs="宋体"/>
          <w:b/>
          <w:bCs/>
          <w:color w:val="000000" w:themeColor="text1"/>
          <w:szCs w:val="21"/>
          <w:highlight w:val="none"/>
          <w:lang w:val="zh-CN"/>
          <w14:textFill>
            <w14:solidFill>
              <w14:schemeClr w14:val="tx1"/>
            </w14:solidFill>
          </w14:textFill>
        </w:rPr>
        <w:t xml:space="preserve">&lt;</w:t>
      </w:r>
      <w:r>
        <w:rPr>
          <w:rFonts w:ascii="宋体" w:hAnsi="宋体" w:cs="宋体"/>
          <w:b/>
          <w:bCs/>
          <w:color w:val="000000" w:themeColor="text1"/>
          <w:szCs w:val="21"/>
          <w:highlight w:val="none"/>
          <w:lang w:val="zh-CN"/>
          <w14:textFill>
            <w14:solidFill>
              <w14:schemeClr w14:val="tx1"/>
            </w14:solidFill>
          </w14:textFill>
        </w:rPr>
        <w:t xml:space="preserve">采购项目最高限价</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65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ascii="宋体" w:hAnsi="宋体" w:cs="宋体"/>
          <w:b/>
          <w:bCs/>
          <w:color w:val="000000" w:themeColor="text1"/>
          <w:szCs w:val="21"/>
          <w:highlight w:val="none"/>
          <w:lang w:val="zh-CN"/>
          <w14:textFill>
            <w14:solidFill>
              <w14:schemeClr w14:val="tx1"/>
            </w14:solidFill>
          </w14:textFill>
        </w:rPr>
        <w:t xml:space="preserve">；</w:t>
      </w:r>
      <w:r/>
    </w:p>
    <w:p>
      <w:pPr>
        <w:ind w:firstLine="422"/>
        <w:spacing w:line="360" w:lineRule="auto"/>
        <w:shd w:val="clear" w:color="auto"/>
        <w:tabs>
          <w:tab w:val="left" w:pos="753" w:leader="none"/>
        </w:tabs>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14.7.</w:t>
      </w:r>
      <w:r>
        <w:rPr>
          <w:rFonts w:hint="eastAsia" w:ascii="宋体" w:hAnsi="宋体" w:cs="宋体"/>
          <w:b/>
          <w:bCs/>
          <w:color w:val="000000" w:themeColor="text1"/>
          <w:szCs w:val="21"/>
          <w:highlight w:val="none"/>
          <w:lang w:val="zh-CN"/>
          <w14:textFill>
            <w14:solidFill>
              <w14:schemeClr w14:val="tx1"/>
            </w14:solidFill>
          </w14:textFill>
        </w:rPr>
        <w:t xml:space="preserve">4</w:t>
      </w:r>
      <w:r>
        <w:rPr>
          <w:rFonts w:ascii="宋体" w:hAnsi="宋体" w:cs="宋体"/>
          <w:b/>
          <w:bCs/>
          <w:color w:val="000000" w:themeColor="text1"/>
          <w:szCs w:val="21"/>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firstLine="422"/>
        <w:spacing w:line="360" w:lineRule="auto"/>
        <w:shd w:val="clear" w:color="auto"/>
        <w:tabs>
          <w:tab w:val="left" w:pos="753" w:leader="none"/>
        </w:tabs>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相关法律法规对供应商报价有规定的，从其规定。</w:t>
      </w:r>
      <w:r/>
    </w:p>
    <w:p>
      <w:pPr>
        <w:ind w:firstLine="422"/>
        <w:spacing w:line="360" w:lineRule="auto"/>
        <w:shd w:val="clear" w:color="auto"/>
        <w:tabs>
          <w:tab w:val="left" w:pos="753" w:leader="none"/>
        </w:tabs>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14.7.5</w:t>
      </w:r>
      <w:r>
        <w:rPr>
          <w:rFonts w:hint="eastAsia" w:ascii="宋体" w:hAnsi="宋体" w:cs="宋体"/>
          <w:b/>
          <w:bCs/>
          <w:color w:val="000000" w:themeColor="text1"/>
          <w:szCs w:val="21"/>
          <w:highlight w:val="none"/>
          <w:lang w:val="zh-CN"/>
          <w14:textFill>
            <w14:solidFill>
              <w14:schemeClr w14:val="tx1"/>
            </w14:solidFill>
          </w14:textFill>
        </w:rPr>
        <w:t xml:space="preserve">评审委员会启动异常低价投标（响应）审查后，属于前述第</w:t>
      </w:r>
      <w:r>
        <w:rPr>
          <w:rFonts w:ascii="宋体" w:hAnsi="宋体" w:cs="宋体"/>
          <w:b/>
          <w:bCs/>
          <w:color w:val="000000" w:themeColor="text1"/>
          <w:szCs w:val="21"/>
          <w:highlight w:val="none"/>
          <w:lang w:val="zh-CN"/>
          <w14:textFill>
            <w14:solidFill>
              <w14:schemeClr w14:val="tx1"/>
            </w14:solidFill>
          </w14:textFill>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shd w:val="clear" w:color="auto"/>
        <w:tabs>
          <w:tab w:val="left" w:pos="753"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w:t>
      </w:r>
      <w:r>
        <w:rPr>
          <w:rFonts w:ascii="宋体" w:hAnsi="宋体" w:cs="宋体"/>
          <w:b/>
          <w:bCs/>
          <w:color w:val="000000" w:themeColor="text1"/>
          <w:szCs w:val="21"/>
          <w:highlight w:val="none"/>
          <w14:textFill>
            <w14:solidFill>
              <w14:schemeClr w14:val="tx1"/>
            </w14:solidFill>
          </w14:textFill>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14.9供应商应当按照采购文件的变动情况和磋商小组的要求，各供应商应及时关注【评审】环节等待询标澄清进行回复。</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14.10磋商结束后，</w:t>
      </w:r>
      <w:r>
        <w:rPr>
          <w:rFonts w:hint="eastAsia" w:ascii="宋体" w:hAnsi="宋体" w:cs="宋体"/>
          <w:b/>
          <w:bCs/>
          <w:color w:val="000000" w:themeColor="text1"/>
          <w:szCs w:val="21"/>
          <w:highlight w:val="none"/>
          <w14:textFill>
            <w14:solidFill>
              <w14:schemeClr w14:val="tx1"/>
            </w14:solidFill>
          </w14:textFill>
        </w:rPr>
        <w:t xml:space="preserve">磋商小组将在“苏采云”系统向所有实质性响应的供应商发布“最后报价要求函”及最后报价格式表，要求所有实质性响应的供应商在规定时间内提交最后报价。</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14.11经磋商确定最终采购需求和提交最后报价的供应商后，由磋商小组采用综合评分法对提交最后报价的供应商的响应文件和最后报价进行综合评分。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14.12磋商小组根据磋商成交原则确定成交供应商，并将结果通知所有参加磋商的供应商。</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14.13如磋商过程中出现本采购文件未尽事宜，由磋商小组根据政府采购有关法律、法规讨论决定。</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14.14本项目采用线上二次报价：</w:t>
      </w:r>
      <w:r/>
    </w:p>
    <w:p>
      <w:pPr>
        <w:ind w:firstLine="420"/>
        <w:spacing w:line="360" w:lineRule="auto"/>
        <w:shd w:val="clear" w:color="auto"/>
        <w:tabs>
          <w:tab w:val="left" w:pos="75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登录苏采云系统，评审组长发起最后报价，开标大厅会显示“立即报价”界面，点击【确认报价】提交流程至签</w:t>
      </w:r>
      <w:r>
        <w:rPr>
          <w:rFonts w:hint="eastAsia" w:ascii="宋体" w:hAnsi="宋体" w:cs="宋体"/>
          <w:bCs/>
          <w:color w:val="000000" w:themeColor="text1"/>
          <w:szCs w:val="21"/>
          <w:highlight w:val="none"/>
          <w14:textFill>
            <w14:solidFill>
              <w14:schemeClr w14:val="tx1"/>
            </w14:solidFill>
          </w14:textFill>
        </w:rPr>
        <w:t xml:space="preserve">章环节，供应商点击签章按钮，签章完成后可进行提交。</w:t>
      </w:r>
      <w:r>
        <w:rPr>
          <w:rFonts w:hint="eastAsia" w:ascii="宋体" w:hAnsi="宋体" w:cs="宋体"/>
          <w:b/>
          <w:color w:val="000000" w:themeColor="text1"/>
          <w:szCs w:val="21"/>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进入项目评审流程后，建议各供应商法定代表人或授权委托人始终保持通讯顺畅，时</w:t>
      </w:r>
      <w:r>
        <w:rPr>
          <w:rFonts w:hint="eastAsia" w:ascii="宋体" w:hAnsi="宋体" w:cs="宋体"/>
          <w:b/>
          <w:color w:val="000000" w:themeColor="text1"/>
          <w:szCs w:val="21"/>
          <w:highlight w:val="none"/>
          <w14:textFill>
            <w14:solidFill>
              <w14:schemeClr w14:val="tx1"/>
            </w14:solidFill>
          </w14:textFill>
        </w:rPr>
        <w:t xml:space="preserve">刻关注不见面开标大厅，不离开不见面开标大厅。</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关于二次报价的具体操作流程，各供应商请详细阅读《操作手册》。</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15.确定成交、询问及质疑</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15.1确定成交供应商</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15.1.1采购人授权磋商小组直接确定成交供应商。</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15.1.2采购代理机构在成交供应商确定后2个工作日内在“苏州市政府采购网”公告成交结果。</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（1）发出成交通知书。在发布成交公告的同时，向成交供应商发出成交通知书。</w:t>
      </w:r>
      <w:r/>
    </w:p>
    <w:p>
      <w:pPr>
        <w:ind w:firstLine="420"/>
        <w:spacing w:line="360" w:lineRule="auto"/>
        <w:shd w:val="clear" w:color="auto"/>
        <w:rPr>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15.2询问及质疑</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15.2.1质疑要求：</w:t>
      </w:r>
      <w:r/>
    </w:p>
    <w:p>
      <w:pPr>
        <w:ind w:firstLine="420"/>
        <w:spacing w:line="360" w:lineRule="auto"/>
        <w:shd w:val="clear" w:color="auto"/>
        <w:tabs>
          <w:tab w:val="left" w:pos="8930" w:leader="none"/>
          <w:tab w:val="left" w:pos="9306"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shd w:val="clear" w:color="auto"/>
        <w:tabs>
          <w:tab w:val="left" w:pos="8930" w:leader="none"/>
          <w:tab w:val="left" w:pos="9306"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Cs w:val="21"/>
          <w:highlight w:val="none"/>
          <w14:textFill>
            <w14:solidFill>
              <w14:schemeClr w14:val="tx1"/>
            </w14:solidFill>
          </w14:textFill>
        </w:rPr>
        <w:t xml:space="preserve">投标供应商确认函</w:t>
      </w:r>
      <w:r>
        <w:rPr>
          <w:rFonts w:hint="eastAsia" w:ascii="宋体" w:hAnsi="宋体" w:cs="宋体"/>
          <w:bCs/>
          <w:color w:val="000000" w:themeColor="text1"/>
          <w:szCs w:val="21"/>
          <w:highlight w:val="none"/>
          <w14:textFill>
            <w14:solidFill>
              <w14:schemeClr w14:val="tx1"/>
            </w14:solidFill>
          </w14:textFill>
        </w:rPr>
        <w:t xml:space="preserve">》）与质疑函一起递交，否则不予受理。</w:t>
      </w:r>
      <w:r/>
    </w:p>
    <w:p>
      <w:pPr>
        <w:ind w:firstLine="420"/>
        <w:spacing w:line="360" w:lineRule="auto"/>
        <w:shd w:val="clear" w:color="auto"/>
        <w:tabs>
          <w:tab w:val="left" w:pos="8930" w:leader="none"/>
          <w:tab w:val="left" w:pos="9306"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15.2.1.3本次采购文件要求供应商在法定质疑期内一次性提出针对同一采购程序环节的质疑。</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15.2.1.4</w:t>
      </w:r>
      <w:r>
        <w:rPr>
          <w:rFonts w:hint="eastAsia" w:ascii="宋体" w:hAnsi="宋体" w:cs="宋体"/>
          <w:color w:val="000000" w:themeColor="text1"/>
          <w:szCs w:val="21"/>
          <w:highlight w:val="none"/>
          <w14:textFill>
            <w14:solidFill>
              <w14:schemeClr w14:val="tx1"/>
            </w14:solidFill>
          </w14:textFill>
        </w:rPr>
        <w:t xml:space="preserve">供应商提出质疑应当提交质疑函和必要的证明材料。质疑函应当包括下列内容：</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（1）供应商的姓名或者名称（以营业执照副本复印件为准）、地址、邮编、联系人及联系电话；</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（2）质疑项目的名称、编号；</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（3）具体、明确的质疑事项和与质疑事项相关的请求；</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（4）事实依据；</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（5）必要的法律依据；</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（6）提出质疑的日期。</w:t>
      </w:r>
      <w:r/>
    </w:p>
    <w:p>
      <w:pPr>
        <w:ind w:firstLine="420"/>
        <w:spacing w:line="360" w:lineRule="auto"/>
        <w:shd w:val="clear" w:color="auto"/>
        <w:tabs>
          <w:tab w:val="left" w:pos="8930" w:leader="none"/>
          <w:tab w:val="left" w:pos="930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供应商参加投标确认函</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tabs>
          <w:tab w:val="left" w:pos="8930" w:leader="none"/>
          <w:tab w:val="left" w:pos="9306"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15.2.1.2接受质疑函的方式为现场接收或邮寄。</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质疑联系部门:业务部</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联系电话：0512-65231142-8006</w:t>
      </w:r>
      <w:r/>
    </w:p>
    <w:p>
      <w:pPr>
        <w:ind w:firstLine="420"/>
        <w:jc w:val="left"/>
        <w:spacing w:line="360" w:lineRule="auto"/>
        <w:shd w:val="clear" w:color="auto"/>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通讯地址：苏州市平泷路251号城市生活广场A座1519。</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16.合同的签订</w:t>
      </w:r>
      <w:r/>
    </w:p>
    <w:p>
      <w:pPr>
        <w:ind w:firstLine="420"/>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16.1.成交供应商应按成交通知书中规定的时间和地点，与采购人签订合同。</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16.2.签订合同及合同条款应以磋商文件和成交供应商的磋商响应文件及其澄清承诺文件为依据。</w:t>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17.磋商保证金：</w:t>
      </w:r>
      <w:r>
        <w:rPr>
          <w:rFonts w:hint="eastAsia" w:ascii="宋体" w:hAnsi="宋体" w:cs="宋体"/>
          <w:b/>
          <w:color w:val="000000" w:themeColor="text1"/>
          <w:szCs w:val="21"/>
          <w:highlight w:val="none"/>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18.代理服务费：由成交单位支付，按预算金额100万元以内1.5%、100万元～500万元以内1.1%差额定率累进法计算并支付成交服务费，不足3000元按3000元支付，该费用应在领取成交通知书时付清。</w:t>
      </w:r>
      <w:r>
        <w:rPr>
          <w:rFonts w:hint="eastAsia" w:ascii="宋体" w:hAnsi="宋体" w:cs="宋体"/>
          <w:b/>
          <w:bCs/>
          <w:color w:val="000000" w:themeColor="text1"/>
          <w:szCs w:val="21"/>
          <w:highlight w:val="none"/>
          <w14:textFill>
            <w14:solidFill>
              <w14:schemeClr w14:val="tx1"/>
            </w14:solidFill>
          </w14:textFill>
        </w:rPr>
        <w:t xml:space="preserve">本项目成交服务费标段一为7500元，标段二为4500元，标段三为4500元，标段四为4500元，标段五为4500元，标段六为4500元。</w:t>
      </w:r>
      <w:r/>
    </w:p>
    <w:p>
      <w:pPr>
        <w:ind w:firstLine="422"/>
        <w:jc w:val="left"/>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19.磋商说明：</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（1）不符合供应商资格要求，资格审查未通过的，响应无效；</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（2）参加磋商的供应商必须提供磋商代表的身份证明原件扫描件和法人授权委托书原件扫描件（法定代表人为磋商代表的可不提供），否则响应无效；</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（3）最终报价超过采购预算的，响应无效；</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（4）不实质性响应磋商文件的，响应无效；</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（5）实质性响应磋商文件不满三家或进入二次报价的不满三家或二次报价在采购预算内不满三家的，磋商采购失败。</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（6）响应文件密封和签署不符合要求的，响应文件将被拒绝；</w:t>
      </w:r>
      <w:r/>
    </w:p>
    <w:p>
      <w:pPr>
        <w:ind w:firstLine="422"/>
        <w:jc w:val="left"/>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（7）不同供应商标书制作客户端识别码一致的，作为无效投标。</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20.未尽事宜：按《中华人民共和国政府采购法》及其他有关的法律法规的规定执行。</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21.凡涉及磋商采购文件的补充说明和修改，均以江苏政府采购网、苏州政府采购网上发布的通知为准。</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22.备注：本文件打“★”为实质性条款，不可偏离，如偏离响应文件无效</w:t>
      </w:r>
      <w:r/>
    </w:p>
    <w:p>
      <w:pPr>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jc w:val="center"/>
        <w:spacing w:line="360" w:lineRule="auto"/>
        <w:shd w:val="clear" w:color="auto"/>
        <w:tabs>
          <w:tab w:val="left" w:pos="315" w:leader="none"/>
          <w:tab w:val="center" w:pos="4153" w:leader="none"/>
        </w:tabs>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第</w:t>
      </w:r>
      <w:r>
        <w:rPr>
          <w:rFonts w:hint="eastAsia" w:ascii="宋体" w:hAnsi="宋体" w:cs="宋体"/>
          <w:b/>
          <w:bCs/>
          <w:color w:val="000000" w:themeColor="text1"/>
          <w:sz w:val="32"/>
          <w:szCs w:val="32"/>
          <w:highlight w:val="none"/>
          <w14:textFill>
            <w14:solidFill>
              <w14:schemeClr w14:val="tx1"/>
            </w14:solidFill>
          </w14:textFill>
        </w:rPr>
        <w:t xml:space="preserve">三</w:t>
      </w:r>
      <w:r>
        <w:rPr>
          <w:rFonts w:hint="eastAsia" w:ascii="宋体" w:hAnsi="宋体" w:cs="宋体"/>
          <w:b/>
          <w:bCs/>
          <w:color w:val="000000" w:themeColor="text1"/>
          <w:sz w:val="32"/>
          <w:szCs w:val="32"/>
          <w:highlight w:val="none"/>
          <w:lang w:val="zh-CN"/>
          <w14:textFill>
            <w14:solidFill>
              <w14:schemeClr w14:val="tx1"/>
            </w14:solidFill>
          </w14:textFill>
        </w:rPr>
        <w:t xml:space="preserve">章 响应文件格式</w:t>
      </w:r>
      <w:r/>
    </w:p>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w:t>
      </w:r>
      <w:r/>
    </w:p>
    <w:p>
      <w:pPr>
        <w:ind w:firstLine="530"/>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对本章所有的响应文件格式 ，响应人可根据自身情况进行补充和修改，但补充和修改不得造成与本格式内容有实质性的违背。</w:t>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格式1</w:t>
      </w:r>
      <w:r/>
    </w:p>
    <w:p>
      <w:pPr>
        <w:jc w:val="left"/>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授权委托书</w:t>
      </w:r>
      <w:r/>
    </w:p>
    <w:p>
      <w:pPr>
        <w:jc w:val="left"/>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80"/>
        <w:jc w:val="left"/>
        <w:spacing w:line="52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本授权委托书声明：  我（姓名）系</w:t>
      </w:r>
      <w:r>
        <w:rPr>
          <w:rFonts w:hint="eastAsia" w:ascii="宋体" w:hAnsi="宋体" w:cs="宋体"/>
          <w:color w:val="000000" w:themeColor="text1"/>
          <w:szCs w:val="21"/>
          <w:highlight w:val="none"/>
          <w:u w:val="single"/>
          <w14:textFill>
            <w14:solidFill>
              <w14:schemeClr w14:val="tx1"/>
            </w14:solidFill>
          </w14:textFill>
        </w:rPr>
        <w:t xml:space="preserve">     （供应商名称）  </w:t>
      </w:r>
      <w:r>
        <w:rPr>
          <w:rFonts w:hint="eastAsia" w:ascii="宋体" w:hAnsi="宋体" w:cs="宋体"/>
          <w:color w:val="000000" w:themeColor="text1"/>
          <w:szCs w:val="21"/>
          <w:highlight w:val="none"/>
          <w14:textFill>
            <w14:solidFill>
              <w14:schemeClr w14:val="tx1"/>
            </w14:solidFill>
          </w14:textFill>
        </w:rPr>
        <w:t xml:space="preserve">的法定代表人（负责人），现授权委托（姓名）为我公司授权代表（即代理人），以本公司的名义参加</w:t>
      </w:r>
      <w:r>
        <w:rPr>
          <w:rFonts w:hint="eastAsia" w:ascii="宋体" w:hAnsi="宋体" w:cs="宋体"/>
          <w:color w:val="000000" w:themeColor="text1"/>
          <w:szCs w:val="21"/>
          <w:highlight w:val="none"/>
          <w:u w:val="single"/>
          <w14:textFill>
            <w14:solidFill>
              <w14:schemeClr w14:val="tx1"/>
            </w14:solidFill>
          </w14:textFill>
        </w:rPr>
        <w:t xml:space="preserve">苏州市天美达招投标咨询服务有限公司</w:t>
      </w:r>
      <w:r>
        <w:rPr>
          <w:rFonts w:hint="eastAsia" w:ascii="宋体" w:hAnsi="宋体" w:cs="宋体"/>
          <w:color w:val="000000" w:themeColor="text1"/>
          <w:szCs w:val="21"/>
          <w:highlight w:val="none"/>
          <w14:textFill>
            <w14:solidFill>
              <w14:schemeClr w14:val="tx1"/>
            </w14:solidFill>
          </w14:textFill>
        </w:rPr>
        <w:t xml:space="preserve">组织实施的编号为</w:t>
      </w:r>
      <w:r>
        <w:rPr>
          <w:rFonts w:hint="eastAsia" w:ascii="宋体" w:hAnsi="宋体" w:cs="宋体"/>
          <w:color w:val="000000" w:themeColor="text1"/>
          <w:szCs w:val="21"/>
          <w:highlight w:val="none"/>
          <w:u w:val="single"/>
          <w14:textFill>
            <w14:solidFill>
              <w14:schemeClr w14:val="tx1"/>
            </w14:solidFill>
          </w14:textFill>
        </w:rPr>
        <w:t xml:space="preserve">JSZC-320509-SZST-C2026-0019</w:t>
      </w:r>
      <w:r>
        <w:rPr>
          <w:rFonts w:hint="eastAsia" w:ascii="宋体" w:hAnsi="宋体" w:cs="宋体"/>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80"/>
        <w:jc w:val="left"/>
        <w:spacing w:line="52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52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授权代表无转委托权。特此委托。</w:t>
      </w:r>
      <w:r/>
    </w:p>
    <w:p>
      <w:pPr>
        <w:ind w:firstLine="96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法定代表人（负责人）：（签字或盖章）</w:t>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代理人：（签字或盖章）</w:t>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　　  月　　  日</w:t>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96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格式2</w:t>
      </w:r>
      <w:r/>
    </w:p>
    <w:p>
      <w:pPr>
        <w:jc w:val="center"/>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shd w:val="clear" w:color="auto"/>
        <w:rPr>
          <w:rFonts w:ascii="宋体" w:hAnsi="宋体" w:cs="宋体"/>
          <w:b/>
          <w:bCs/>
          <w:color w:val="000000" w:themeColor="text1"/>
          <w:spacing w:val="2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磋商响应承诺书</w:t>
      </w:r>
      <w:r/>
    </w:p>
    <w:p>
      <w:pPr>
        <w:jc w:val="left"/>
        <w:spacing w:line="460" w:lineRule="exact"/>
        <w:shd w:val="clear" w:color="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jc w:val="left"/>
        <w:spacing w:line="4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苏州市天美达招投标咨询服务有限公司</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46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60" w:lineRule="exact"/>
        <w:shd w:val="clear" w:color="auto"/>
        <w:tabs>
          <w:tab w:val="left" w:pos="37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我们收到贵公司</w:t>
      </w:r>
      <w:r>
        <w:rPr>
          <w:rFonts w:hint="eastAsia" w:ascii="宋体" w:hAnsi="宋体" w:cs="宋体"/>
          <w:color w:val="000000" w:themeColor="text1"/>
          <w:szCs w:val="21"/>
          <w:highlight w:val="none"/>
          <w:u w:val="single"/>
          <w14:textFill>
            <w14:solidFill>
              <w14:schemeClr w14:val="tx1"/>
            </w14:solidFill>
          </w14:textFill>
        </w:rPr>
        <w:t xml:space="preserve">JSZC-320509-SZST-C2026-0019</w:t>
      </w:r>
      <w:r>
        <w:rPr>
          <w:rFonts w:hint="eastAsia" w:ascii="宋体" w:hAnsi="宋体" w:cs="宋体"/>
          <w:color w:val="000000" w:themeColor="text1"/>
          <w:szCs w:val="21"/>
          <w:highlight w:val="none"/>
          <w14:textFill>
            <w14:solidFill>
              <w14:schemeClr w14:val="tx1"/>
            </w14:solidFill>
          </w14:textFill>
        </w:rPr>
        <w:t xml:space="preserve">号磋商文件，经仔细阅读和研究，我们决定参加磋商活动。</w:t>
      </w:r>
      <w:r/>
    </w:p>
    <w:p>
      <w:pPr>
        <w:ind w:firstLine="420"/>
        <w:jc w:val="left"/>
        <w:spacing w:line="440" w:lineRule="exact"/>
        <w:shd w:val="clear" w:color="auto"/>
        <w:widowControl/>
        <w:rPr>
          <w:rFonts w:ascii="宋体" w:hAnsi="宋体" w:cs="宋体"/>
          <w:szCs w:val="21"/>
          <w:highlight w:val="none"/>
          <w:lang w:val="zh-CN"/>
        </w:rPr>
      </w:pPr>
      <w:r>
        <w:rPr>
          <w:rFonts w:hint="eastAsia" w:ascii="宋体" w:hAnsi="宋体" w:cs="宋体"/>
          <w:szCs w:val="21"/>
          <w:highlight w:val="none"/>
          <w:lang w:val="zh-CN"/>
        </w:rPr>
        <w:t xml:space="preserve">1、我方愿意按照采购文件的一切要求，提供本项目的所有内容，我方的报价包括完成本项工作所需的一切应有费用。</w:t>
      </w:r>
      <w:r/>
    </w:p>
    <w:p>
      <w:pPr>
        <w:ind w:firstLine="420"/>
        <w:jc w:val="left"/>
        <w:spacing w:line="440" w:lineRule="exact"/>
        <w:shd w:val="clear" w:color="auto"/>
        <w:widowControl/>
        <w:rPr>
          <w:rFonts w:ascii="宋体" w:hAnsi="宋体" w:cs="宋体"/>
          <w:szCs w:val="21"/>
          <w:highlight w:val="none"/>
          <w:lang w:val="zh-CN"/>
        </w:rPr>
      </w:pPr>
      <w:r>
        <w:rPr>
          <w:rFonts w:hint="eastAsia" w:ascii="宋体" w:hAnsi="宋体" w:cs="宋体"/>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shd w:val="clear" w:color="auto"/>
        <w:widowControl/>
        <w:rPr>
          <w:rFonts w:ascii="宋体" w:hAnsi="宋体" w:cs="宋体"/>
          <w:szCs w:val="21"/>
          <w:highlight w:val="none"/>
          <w:lang w:val="zh-CN"/>
        </w:rPr>
      </w:pPr>
      <w:r>
        <w:rPr>
          <w:rFonts w:hint="eastAsia" w:ascii="宋体" w:hAnsi="宋体" w:cs="宋体"/>
          <w:szCs w:val="21"/>
          <w:highlight w:val="none"/>
          <w:lang w:val="zh-CN"/>
        </w:rPr>
        <w:t xml:space="preserve">3、我方已详细审查并同意采购文件及更正文件（若有）中的规定。我方完全理解并同意放弃对这方面有不明及误解的权利。</w:t>
      </w:r>
      <w:r/>
    </w:p>
    <w:p>
      <w:pPr>
        <w:ind w:firstLine="420"/>
        <w:jc w:val="left"/>
        <w:spacing w:line="440" w:lineRule="exact"/>
        <w:shd w:val="clear" w:color="auto"/>
        <w:widowControl/>
        <w:rPr>
          <w:rFonts w:ascii="宋体" w:hAnsi="宋体" w:cs="宋体"/>
          <w:szCs w:val="21"/>
          <w:highlight w:val="none"/>
          <w:lang w:val="zh-CN"/>
        </w:rPr>
      </w:pPr>
      <w:r>
        <w:rPr>
          <w:rFonts w:hint="eastAsia" w:ascii="宋体" w:hAnsi="宋体" w:cs="宋体"/>
          <w:szCs w:val="21"/>
          <w:highlight w:val="none"/>
          <w:lang w:val="zh-CN"/>
        </w:rPr>
        <w:t xml:space="preserve">4、本磋商响应文件的有效期限为</w:t>
      </w:r>
      <w:r>
        <w:rPr>
          <w:rFonts w:hint="eastAsia" w:ascii="宋体" w:hAnsi="宋体"/>
          <w:szCs w:val="21"/>
          <w:highlight w:val="none"/>
        </w:rPr>
        <w:t xml:space="preserve">响应文件接收</w:t>
      </w:r>
      <w:r>
        <w:rPr>
          <w:rFonts w:hint="eastAsia" w:ascii="宋体" w:hAnsi="宋体" w:cs="宋体"/>
          <w:szCs w:val="21"/>
          <w:highlight w:val="none"/>
          <w:lang w:val="zh-CN"/>
        </w:rPr>
        <w:t xml:space="preserve">截止时间之日起</w:t>
      </w:r>
      <w:r>
        <w:rPr>
          <w:rFonts w:hint="eastAsia" w:ascii="宋体" w:hAnsi="宋体" w:cs="宋体"/>
          <w:szCs w:val="21"/>
          <w:highlight w:val="none"/>
        </w:rPr>
        <w:t xml:space="preserve">90</w:t>
      </w:r>
      <w:r>
        <w:rPr>
          <w:rFonts w:hint="eastAsia" w:ascii="宋体" w:hAnsi="宋体" w:cs="宋体"/>
          <w:szCs w:val="21"/>
          <w:highlight w:val="none"/>
          <w:lang w:val="zh-CN"/>
        </w:rPr>
        <w:t xml:space="preserve">天。</w:t>
      </w:r>
      <w:r/>
    </w:p>
    <w:p>
      <w:pPr>
        <w:ind w:firstLine="420"/>
        <w:jc w:val="left"/>
        <w:spacing w:line="360" w:lineRule="auto"/>
        <w:shd w:val="clear" w:color="auto"/>
        <w:widowControl/>
        <w:rPr>
          <w:rFonts w:ascii="宋体" w:hAnsi="宋体" w:cs="宋体"/>
          <w:szCs w:val="21"/>
          <w:highlight w:val="none"/>
          <w:lang w:val="zh-CN"/>
        </w:rPr>
      </w:pPr>
      <w:r>
        <w:rPr>
          <w:rFonts w:hint="eastAsia" w:ascii="宋体" w:hAnsi="宋体" w:cs="宋体"/>
          <w:szCs w:val="21"/>
          <w:highlight w:val="none"/>
          <w:lang w:val="zh-CN"/>
        </w:rPr>
        <w:t xml:space="preserve">5、我方保证所提交的响应文件中所有资料均是真实的、准确的。若与真实情况不符，我方愿意承担由此而产生的一切后果。</w:t>
      </w:r>
      <w:r/>
    </w:p>
    <w:p>
      <w:pPr>
        <w:ind w:firstLine="420"/>
        <w:jc w:val="left"/>
        <w:spacing w:line="360" w:lineRule="auto"/>
        <w:shd w:val="clear" w:color="auto"/>
        <w:widowControl/>
        <w:rPr>
          <w:rFonts w:ascii="宋体" w:hAnsi="宋体" w:cs="宋体"/>
          <w:szCs w:val="21"/>
          <w:highlight w:val="none"/>
          <w:lang w:val="zh-CN"/>
        </w:rPr>
      </w:pPr>
      <w:r>
        <w:rPr>
          <w:rFonts w:hint="eastAsia" w:ascii="宋体" w:hAnsi="宋体" w:cs="宋体"/>
          <w:szCs w:val="21"/>
          <w:highlight w:val="none"/>
          <w:lang w:val="zh-CN"/>
        </w:rPr>
        <w:t xml:space="preserve">6、我方承诺磋商响应文件在磋商开始后的全过程中保持有效，不作任何更改和变动。</w:t>
      </w:r>
      <w:r/>
    </w:p>
    <w:p>
      <w:pPr>
        <w:ind w:firstLine="420"/>
        <w:jc w:val="left"/>
        <w:spacing w:line="360" w:lineRule="auto"/>
        <w:shd w:val="clear" w:color="auto"/>
        <w:widowControl/>
        <w:rPr>
          <w:rFonts w:ascii="宋体" w:hAnsi="宋体" w:cs="宋体"/>
          <w:szCs w:val="21"/>
          <w:highlight w:val="none"/>
          <w:lang w:val="zh-CN"/>
        </w:rPr>
      </w:pPr>
      <w:r>
        <w:rPr>
          <w:rFonts w:hint="eastAsia" w:ascii="宋体" w:hAnsi="宋体" w:cs="宋体"/>
          <w:szCs w:val="21"/>
          <w:highlight w:val="none"/>
          <w:lang w:val="zh-CN"/>
        </w:rPr>
        <w:t xml:space="preserve">7、我方承诺满足《中华人民共和国政府采购法》第二十二条规定的所有条件。</w:t>
      </w:r>
      <w:r/>
    </w:p>
    <w:p>
      <w:pPr>
        <w:ind w:firstLine="422"/>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8、我们与参与本次采购活动的其他供应商的负责人不是同一人，也不存在直接控股、管理关系。</w:t>
      </w:r>
      <w:r/>
    </w:p>
    <w:p>
      <w:pPr>
        <w:ind w:firstLine="422"/>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供应商</w:t>
      </w:r>
      <w:r>
        <w:rPr>
          <w:rFonts w:hint="eastAsia" w:ascii="宋体" w:hAnsi="宋体" w:cs="宋体"/>
          <w:b/>
          <w:bCs/>
          <w:szCs w:val="21"/>
          <w:highlight w:val="none"/>
          <w:lang w:val="zh-CN"/>
        </w:rPr>
        <w:t xml:space="preserve">与其他单位存在控股、管理关系情况表</w:t>
      </w:r>
      <w:r/>
    </w:p>
    <w:tbl>
      <w:tblPr>
        <w:tblStyle w:val="766"/>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shd w:val="clear" w:color="auto"/>
              <w:widowControl/>
              <w:rPr>
                <w:rFonts w:ascii="宋体" w:hAnsi="宋体" w:cs="宋体"/>
                <w:b/>
                <w:bCs/>
                <w:szCs w:val="21"/>
                <w:highlight w:val="none"/>
              </w:rPr>
            </w:pPr>
            <w:r>
              <w:rPr>
                <w:rFonts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shd w:val="clear" w:color="auto"/>
              <w:widowControl/>
              <w:rPr>
                <w:rFonts w:ascii="宋体" w:hAnsi="宋体" w:cs="宋体"/>
                <w:b/>
                <w:bCs/>
                <w:szCs w:val="21"/>
                <w:highlight w:val="none"/>
              </w:rPr>
            </w:pPr>
            <w:r>
              <w:rPr>
                <w:rFonts w:ascii="宋体" w:hAnsi="宋体" w:cs="宋体"/>
                <w:b/>
                <w:bCs/>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shd w:val="clear" w:color="auto"/>
              <w:widowControl/>
              <w:rPr>
                <w:rFonts w:ascii="宋体" w:hAnsi="宋体" w:cs="宋体"/>
                <w:b/>
                <w:bCs/>
                <w:szCs w:val="21"/>
                <w:highlight w:val="none"/>
              </w:rPr>
            </w:pPr>
            <w:r>
              <w:rPr>
                <w:rFonts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shd w:val="clear" w:color="auto"/>
              <w:widowControl/>
              <w:rPr>
                <w:rFonts w:ascii="宋体" w:hAnsi="宋体" w:cs="宋体"/>
                <w:b/>
                <w:bCs/>
                <w:szCs w:val="21"/>
                <w:highlight w:val="none"/>
              </w:rPr>
            </w:pPr>
            <w:r>
              <w:rPr>
                <w:rFonts w:ascii="宋体" w:hAnsi="宋体" w:cs="宋体"/>
                <w:b/>
                <w:bCs/>
                <w:szCs w:val="21"/>
                <w:highlight w:val="none"/>
              </w:rPr>
            </w:r>
            <w:r/>
          </w:p>
        </w:tc>
      </w:tr>
    </w:tbl>
    <w:p>
      <w:pPr>
        <w:ind w:firstLine="422"/>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注：响应单位应当按实填写所有与之有控股、管理关系的情况。</w:t>
      </w:r>
      <w:r/>
    </w:p>
    <w:p>
      <w:pPr>
        <w:ind w:firstLine="422"/>
        <w:spacing w:line="360" w:lineRule="auto"/>
        <w:shd w:val="clear" w:color="auto"/>
        <w:rPr>
          <w:rFonts w:ascii="宋体" w:hAnsi="宋体" w:cs="宋体"/>
          <w:szCs w:val="21"/>
          <w:highlight w:val="none"/>
          <w:lang w:val="zh-CN"/>
        </w:rPr>
      </w:pPr>
      <w:r>
        <w:rPr>
          <w:rFonts w:hint="eastAsia" w:ascii="宋体" w:hAnsi="宋体" w:cs="宋体"/>
          <w:b/>
          <w:bCs/>
          <w:szCs w:val="21"/>
          <w:highlight w:val="none"/>
        </w:rPr>
        <w:t xml:space="preserve">9、我们没有为本采购项目提供整体设计、规范编</w:t>
      </w:r>
      <w:r>
        <w:rPr>
          <w:rFonts w:hint="eastAsia" w:ascii="宋体" w:hAnsi="宋体" w:cs="宋体"/>
          <w:b/>
          <w:szCs w:val="21"/>
          <w:highlight w:val="none"/>
        </w:rPr>
        <w:t xml:space="preserve">制，以及项目管理、监理、检测等服务。</w:t>
      </w:r>
      <w:r/>
    </w:p>
    <w:p>
      <w:pPr>
        <w:ind w:firstLine="420"/>
        <w:jc w:val="left"/>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10</w:t>
      </w:r>
      <w:r>
        <w:rPr>
          <w:rFonts w:hint="eastAsia" w:ascii="宋体" w:hAnsi="宋体" w:cs="宋体"/>
          <w:szCs w:val="21"/>
          <w:highlight w:val="none"/>
          <w:lang w:val="zh-CN"/>
        </w:rPr>
        <w:t xml:space="preserve">、与本磋商相应文件有关的通讯地址：</w:t>
      </w:r>
      <w:r/>
    </w:p>
    <w:p>
      <w:pPr>
        <w:ind w:firstLine="480"/>
        <w:jc w:val="left"/>
        <w:spacing w:line="4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                             联系人：</w:t>
      </w:r>
      <w:r/>
    </w:p>
    <w:p>
      <w:pPr>
        <w:ind w:firstLine="480"/>
        <w:jc w:val="left"/>
        <w:spacing w:line="4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邮政编码：</w:t>
      </w:r>
      <w:r/>
    </w:p>
    <w:p>
      <w:pPr>
        <w:ind w:firstLine="480"/>
        <w:jc w:val="left"/>
        <w:spacing w:line="4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                         传真：</w:t>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right="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响应单位：（单位盖章）             响应单位法定代表人或委托代理人：（签字或盖章）</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w:t>
      </w:r>
      <w:r/>
    </w:p>
    <w:p>
      <w:pPr>
        <w:jc w:val="left"/>
        <w:spacing w:line="440" w:lineRule="exact"/>
        <w:shd w:val="clear" w:color="auto"/>
        <w:rPr>
          <w:rFonts w:ascii="宋体" w:hAnsi="宋体" w:cs="宋体"/>
          <w:b/>
          <w:bCs/>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rPr>
          <w:rFonts w:hint="eastAsia" w:ascii="宋体" w:hAnsi="宋体" w:cs="宋体"/>
          <w:b/>
          <w:color w:val="000000" w:themeColor="text1"/>
          <w:szCs w:val="21"/>
          <w:highlight w:val="none"/>
          <w14:textFill>
            <w14:solidFill>
              <w14:schemeClr w14:val="tx1"/>
            </w14:solidFill>
          </w14:textFill>
        </w:rPr>
      </w:r>
      <w:r/>
    </w:p>
    <w:p>
      <w:pPr>
        <w:jc w:val="left"/>
        <w:spacing w:line="440" w:lineRule="exact"/>
        <w:shd w:val="clear" w:color="auto"/>
        <w:rPr>
          <w:rFonts w:hint="eastAsia" w:ascii="宋体" w:hAnsi="宋体" w:cs="宋体"/>
          <w:b/>
          <w:bCs/>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rPr>
          <w:rFonts w:hint="eastAsia" w:ascii="宋体" w:hAnsi="宋体" w:cs="宋体"/>
          <w:b/>
          <w:color w:val="000000" w:themeColor="text1"/>
          <w:szCs w:val="21"/>
          <w:highlight w:val="none"/>
          <w14:textFill>
            <w14:solidFill>
              <w14:schemeClr w14:val="tx1"/>
            </w14:solidFill>
          </w14:textFill>
        </w:rPr>
      </w:r>
      <w:r/>
    </w:p>
    <w:p>
      <w:pPr>
        <w:jc w:val="left"/>
        <w:spacing w:line="440" w:lineRule="exact"/>
        <w:shd w:val="clear" w:color="auto"/>
        <w:rPr>
          <w:rFonts w:hint="eastAsia" w:ascii="宋体" w:hAnsi="宋体" w:cs="宋体"/>
          <w:b/>
          <w:bCs/>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rPr>
          <w:rFonts w:hint="eastAsia" w:ascii="宋体" w:hAnsi="宋体" w:cs="宋体"/>
          <w:b/>
          <w:color w:val="000000" w:themeColor="text1"/>
          <w:szCs w:val="21"/>
          <w:highlight w:val="none"/>
          <w14:textFill>
            <w14:solidFill>
              <w14:schemeClr w14:val="tx1"/>
            </w14:solidFill>
          </w14:textFill>
        </w:rPr>
      </w:r>
      <w:r/>
    </w:p>
    <w:p>
      <w:pPr>
        <w:jc w:val="left"/>
        <w:spacing w:line="440" w:lineRule="exact"/>
        <w:shd w:val="clear" w:color="auto"/>
        <w:rPr>
          <w:rFonts w:hint="eastAsia" w:ascii="宋体" w:hAnsi="宋体" w:cs="宋体"/>
          <w:b/>
          <w:bCs/>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附件3、磋商响应报价表</w:t>
      </w:r>
      <w:r/>
    </w:p>
    <w:p>
      <w:pPr>
        <w:jc w:val="cente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磋商响应报价表</w:t>
      </w:r>
      <w:r/>
    </w:p>
    <w:p>
      <w:pPr>
        <w:spacing w:line="360" w:lineRule="auto"/>
        <w:shd w:val="clear" w:color="auto"/>
        <w:rPr>
          <w:rFonts w:ascii="宋体" w:hAnsi="宋体"/>
          <w:sz w:val="24"/>
          <w:highlight w:val="none"/>
        </w:rPr>
      </w:pPr>
      <w:r>
        <w:rPr>
          <w:rFonts w:hint="eastAsia" w:ascii="宋体" w:hAnsi="宋体"/>
          <w:sz w:val="24"/>
          <w:highlight w:val="none"/>
        </w:rPr>
        <w:t xml:space="preserve">采购编号：                                 </w:t>
      </w:r>
      <w:r/>
    </w:p>
    <w:p>
      <w:pPr>
        <w:spacing w:line="360" w:lineRule="auto"/>
        <w:shd w:val="clear" w:color="auto"/>
        <w:rPr>
          <w:rFonts w:ascii="宋体" w:hAnsi="宋体"/>
          <w:sz w:val="24"/>
          <w:highlight w:val="none"/>
        </w:rPr>
      </w:pPr>
      <w:r>
        <w:rPr>
          <w:rFonts w:hint="eastAsia" w:ascii="宋体" w:hAnsi="宋体"/>
          <w:sz w:val="24"/>
          <w:highlight w:val="none"/>
        </w:rPr>
        <w:t xml:space="preserve">标段号：</w:t>
      </w:r>
      <w:r/>
    </w:p>
    <w:tbl>
      <w:tblPr>
        <w:tblStyle w:val="76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12"/>
        <w:gridCol w:w="8"/>
        <w:gridCol w:w="2137"/>
        <w:gridCol w:w="3669"/>
        <w:gridCol w:w="2465"/>
      </w:tblGrid>
      <w:tr>
        <w:trPr/>
        <w:tc>
          <w:tcPr>
            <w:gridSpan w:val="2"/>
            <w:shd w:val="clear" w:color="auto" w:fill="f0f0f0"/>
            <w:tcBorders>
              <w:top w:val="single" w:color="000000" w:sz="6" w:space="0"/>
              <w:left w:val="single" w:color="000000" w:sz="6" w:space="0"/>
              <w:right w:val="single" w:color="000000" w:sz="6" w:space="0"/>
            </w:tcBorders>
            <w:tcMar>
              <w:left w:w="160" w:type="dxa"/>
              <w:top w:w="160" w:type="dxa"/>
              <w:right w:w="160" w:type="dxa"/>
              <w:bottom w:w="160" w:type="dxa"/>
            </w:tcMar>
            <w:tcW w:w="1020" w:type="pct"/>
            <w:vAlign w:val="center"/>
            <w:vMerge w:val="restart"/>
            <w:textDirection w:val="lrTb"/>
            <w:noWrap w:val="false"/>
          </w:tcPr>
          <w:p>
            <w:pPr>
              <w:shd w:val="clear" w:color="auto"/>
              <w:rPr>
                <w:highlight w:val="none"/>
              </w:rPr>
            </w:pPr>
            <w:r>
              <w:rPr>
                <w:highlight w:val="none"/>
              </w:rPr>
              <w:t xml:space="preserve">一、商住用房收费标准</w:t>
            </w:r>
            <w:r/>
          </w:p>
          <w:p>
            <w:pPr>
              <w:shd w:val="clear" w:color="auto"/>
              <w:rPr>
                <w:highlight w:val="none"/>
              </w:rPr>
            </w:pPr>
            <w:r>
              <w:rPr>
                <w:highlight w:val="none"/>
              </w:rPr>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28" w:type="pct"/>
            <w:vAlign w:val="center"/>
            <w:textDirection w:val="lrTb"/>
            <w:noWrap w:val="false"/>
          </w:tcPr>
          <w:p>
            <w:pPr>
              <w:shd w:val="clear" w:color="auto"/>
              <w:rPr>
                <w:highlight w:val="none"/>
              </w:rPr>
            </w:pPr>
            <w:r>
              <w:rPr>
                <w:highlight w:val="none"/>
              </w:rPr>
              <w:t xml:space="preserve">房屋类型</w:t>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收费标准</w:t>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186" w:type="pct"/>
            <w:vAlign w:val="center"/>
            <w:textDirection w:val="lrTb"/>
            <w:noWrap w:val="false"/>
          </w:tcPr>
          <w:p>
            <w:pPr>
              <w:jc w:val="center"/>
              <w:shd w:val="clear" w:color="auto"/>
              <w:rPr>
                <w:highlight w:val="none"/>
              </w:rPr>
            </w:pPr>
            <w:r>
              <w:rPr>
                <w:rFonts w:hint="eastAsia"/>
                <w:highlight w:val="none"/>
              </w:rPr>
              <w:t xml:space="preserve">优惠率报价（%）</w:t>
            </w:r>
            <w:r/>
          </w:p>
        </w:tc>
      </w:tr>
      <w:tr>
        <w:trPr/>
        <w:tc>
          <w:tcPr>
            <w:gridSpan w:val="2"/>
            <w:tcBorders>
              <w:left w:val="single" w:color="000000" w:sz="6" w:space="0"/>
              <w:right w:val="single" w:color="000000" w:sz="6" w:space="0"/>
            </w:tcBorders>
            <w:tcMar>
              <w:left w:w="160" w:type="dxa"/>
              <w:top w:w="160" w:type="dxa"/>
              <w:right w:w="160" w:type="dxa"/>
              <w:bottom w:w="160" w:type="dxa"/>
            </w:tcMar>
            <w:tcW w:w="1020" w:type="pct"/>
            <w:vAlign w:val="center"/>
            <w:vMerge w:val="continue"/>
            <w:textDirection w:val="lrTb"/>
            <w:noWrap w:val="false"/>
          </w:tcPr>
          <w:p>
            <w:pPr>
              <w:shd w:val="clear" w:color="auto"/>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28" w:type="pct"/>
            <w:vAlign w:val="center"/>
            <w:textDirection w:val="lrTb"/>
            <w:noWrap w:val="false"/>
          </w:tcPr>
          <w:p>
            <w:pPr>
              <w:shd w:val="clear" w:color="auto"/>
              <w:rPr>
                <w:highlight w:val="none"/>
              </w:rPr>
            </w:pPr>
            <w:r>
              <w:rPr>
                <w:highlight w:val="none"/>
              </w:rPr>
              <w:t xml:space="preserve">集体土地房屋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按建筑面积35元/㎡计费</w:t>
            </w:r>
            <w:r/>
          </w:p>
        </w:tc>
        <w:tc>
          <w:tcPr>
            <w:tcBorders>
              <w:top w:val="single" w:color="000000" w:sz="6" w:space="0"/>
              <w:left w:val="single" w:color="000000" w:sz="6" w:space="0"/>
              <w:right w:val="single" w:color="000000" w:sz="6" w:space="0"/>
            </w:tcBorders>
            <w:tcMar>
              <w:left w:w="160" w:type="dxa"/>
              <w:top w:w="160" w:type="dxa"/>
              <w:right w:w="160" w:type="dxa"/>
              <w:bottom w:w="160" w:type="dxa"/>
            </w:tcMar>
            <w:tcW w:w="1186" w:type="pct"/>
            <w:vAlign w:val="center"/>
            <w:vMerge w:val="restart"/>
            <w:textDirection w:val="lrTb"/>
            <w:noWrap w:val="false"/>
          </w:tcPr>
          <w:p>
            <w:pPr>
              <w:jc w:val="center"/>
              <w:shd w:val="clear" w:color="auto"/>
              <w:rPr>
                <w:highlight w:val="none"/>
              </w:rPr>
            </w:pPr>
            <w:r>
              <w:rPr>
                <w:highlight w:val="none"/>
              </w:rPr>
            </w:r>
            <w:r/>
          </w:p>
        </w:tc>
      </w:tr>
      <w:tr>
        <w:trPr/>
        <w:tc>
          <w:tcPr>
            <w:gridSpan w:val="2"/>
            <w:tcBorders>
              <w:left w:val="single" w:color="000000" w:sz="6" w:space="0"/>
              <w:right w:val="single" w:color="000000" w:sz="6" w:space="0"/>
            </w:tcBorders>
            <w:tcMar>
              <w:left w:w="160" w:type="dxa"/>
              <w:top w:w="160" w:type="dxa"/>
              <w:right w:w="160" w:type="dxa"/>
              <w:bottom w:w="160" w:type="dxa"/>
            </w:tcMar>
            <w:tcW w:w="1020" w:type="pct"/>
            <w:vAlign w:val="center"/>
            <w:vMerge w:val="continue"/>
            <w:textDirection w:val="lrTb"/>
            <w:noWrap w:val="false"/>
          </w:tcPr>
          <w:p>
            <w:pPr>
              <w:shd w:val="clear" w:color="auto"/>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28" w:type="pct"/>
            <w:vAlign w:val="center"/>
            <w:textDirection w:val="lrTb"/>
            <w:noWrap w:val="false"/>
          </w:tcPr>
          <w:p>
            <w:pPr>
              <w:shd w:val="clear" w:color="auto"/>
              <w:rPr>
                <w:highlight w:val="none"/>
              </w:rPr>
            </w:pPr>
            <w:r>
              <w:rPr>
                <w:highlight w:val="none"/>
              </w:rPr>
              <w:t xml:space="preserve">零星预拆迁项目房屋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按建筑面积20元/㎡计费</w:t>
            </w:r>
            <w:r/>
          </w:p>
        </w:tc>
        <w:tc>
          <w:tcPr>
            <w:tcBorders>
              <w:left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shd w:val="clear" w:color="auto"/>
              <w:rPr>
                <w:highlight w:val="none"/>
              </w:rPr>
            </w:pPr>
            <w:r>
              <w:rPr>
                <w:highlight w:val="none"/>
              </w:rPr>
            </w:r>
            <w:r/>
          </w:p>
        </w:tc>
      </w:tr>
      <w:tr>
        <w:trPr/>
        <w:tc>
          <w:tcPr>
            <w:gridSpan w:val="2"/>
            <w:tcBorders>
              <w:left w:val="single" w:color="000000" w:sz="6" w:space="0"/>
              <w:bottom w:val="single" w:color="000000" w:sz="6" w:space="0"/>
              <w:right w:val="single" w:color="000000" w:sz="6" w:space="0"/>
            </w:tcBorders>
            <w:tcMar>
              <w:left w:w="160" w:type="dxa"/>
              <w:top w:w="160" w:type="dxa"/>
              <w:right w:w="160" w:type="dxa"/>
              <w:bottom w:w="160" w:type="dxa"/>
            </w:tcMar>
            <w:tcW w:w="1020" w:type="pct"/>
            <w:vAlign w:val="center"/>
            <w:vMerge w:val="continue"/>
            <w:textDirection w:val="lrTb"/>
            <w:noWrap w:val="false"/>
          </w:tcPr>
          <w:p>
            <w:pPr>
              <w:shd w:val="clear" w:color="auto"/>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28" w:type="pct"/>
            <w:vAlign w:val="center"/>
            <w:textDirection w:val="lrTb"/>
            <w:noWrap w:val="false"/>
          </w:tcPr>
          <w:p>
            <w:pPr>
              <w:shd w:val="clear" w:color="auto"/>
              <w:rPr>
                <w:highlight w:val="none"/>
              </w:rPr>
            </w:pPr>
            <w:r>
              <w:rPr>
                <w:highlight w:val="none"/>
              </w:rPr>
              <w:t xml:space="preserve">国有土地住宅房屋（含商用房等其它房屋）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按建筑面积45元/㎡计费</w:t>
            </w:r>
            <w:r/>
          </w:p>
        </w:tc>
        <w:tc>
          <w:tcPr>
            <w:tcBorders>
              <w:left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shd w:val="clear" w:color="auto"/>
              <w:rPr>
                <w:highlight w:val="none"/>
              </w:rPr>
            </w:pPr>
            <w:r>
              <w:rPr>
                <w:highlight w:val="none"/>
              </w:rPr>
            </w:r>
            <w:r/>
          </w:p>
        </w:tc>
      </w:tr>
      <w:tr>
        <w:trPr/>
        <w:tc>
          <w:tcPr>
            <w:shd w:val="clear" w:color="auto" w:fill="f0f0f0"/>
            <w:tcBorders>
              <w:top w:val="single" w:color="000000" w:sz="6" w:space="0"/>
              <w:left w:val="single" w:color="000000" w:sz="6" w:space="0"/>
              <w:right w:val="single" w:color="000000" w:sz="6" w:space="0"/>
            </w:tcBorders>
            <w:tcMar>
              <w:left w:w="160" w:type="dxa"/>
              <w:top w:w="160" w:type="dxa"/>
              <w:right w:w="160" w:type="dxa"/>
              <w:bottom w:w="160" w:type="dxa"/>
            </w:tcMar>
            <w:tcW w:w="1016" w:type="pct"/>
            <w:vAlign w:val="center"/>
            <w:vMerge w:val="restart"/>
            <w:textDirection w:val="lrTb"/>
            <w:noWrap w:val="false"/>
          </w:tcPr>
          <w:p>
            <w:pPr>
              <w:shd w:val="clear" w:color="auto"/>
              <w:rPr>
                <w:highlight w:val="none"/>
              </w:rPr>
            </w:pPr>
            <w:r>
              <w:rPr>
                <w:highlight w:val="none"/>
              </w:rPr>
              <w:t xml:space="preserve">二、企业收费标准</w:t>
            </w:r>
            <w:r/>
          </w:p>
          <w:p>
            <w:pPr>
              <w:shd w:val="clear" w:color="auto"/>
              <w:rPr>
                <w:highlight w:val="none"/>
              </w:rPr>
            </w:pPr>
            <w:r>
              <w:rPr>
                <w:highlight w:val="none"/>
              </w:rPr>
            </w:r>
            <w:r/>
          </w:p>
        </w:tc>
        <w:tc>
          <w:tcPr>
            <w:gridSpan w:val="2"/>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32" w:type="pct"/>
            <w:vAlign w:val="center"/>
            <w:textDirection w:val="lrTb"/>
            <w:noWrap w:val="false"/>
          </w:tcPr>
          <w:p>
            <w:pPr>
              <w:shd w:val="clear" w:color="auto"/>
              <w:rPr>
                <w:highlight w:val="none"/>
              </w:rPr>
            </w:pPr>
            <w:r>
              <w:rPr>
                <w:highlight w:val="none"/>
              </w:rPr>
              <w:t xml:space="preserve">项目类型</w:t>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收费标准及相关规定</w:t>
            </w:r>
            <w:r/>
          </w:p>
        </w:tc>
        <w:tc>
          <w:tcPr>
            <w:shd w:val="clear" w:color="auto" w:fill="f0f0f0"/>
            <w:tcBorders>
              <w:left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jc w:val="center"/>
              <w:shd w:val="clear" w:color="auto"/>
              <w:rPr>
                <w:highlight w:val="none"/>
              </w:rPr>
            </w:pPr>
            <w:r>
              <w:rPr>
                <w:highlight w:val="none"/>
              </w:rPr>
            </w:r>
            <w:r/>
          </w:p>
        </w:tc>
      </w:tr>
      <w:tr>
        <w:trPr/>
        <w:tc>
          <w:tcPr>
            <w:tcBorders>
              <w:left w:val="single" w:color="000000" w:sz="6" w:space="0"/>
              <w:right w:val="single" w:color="000000" w:sz="6" w:space="0"/>
            </w:tcBorders>
            <w:tcMar>
              <w:left w:w="160" w:type="dxa"/>
              <w:top w:w="160" w:type="dxa"/>
              <w:right w:w="160" w:type="dxa"/>
              <w:bottom w:w="160" w:type="dxa"/>
            </w:tcMar>
            <w:tcW w:w="1016" w:type="pct"/>
            <w:vAlign w:val="center"/>
            <w:vMerge w:val="continue"/>
            <w:textDirection w:val="lrTb"/>
            <w:noWrap w:val="false"/>
          </w:tcPr>
          <w:p>
            <w:pPr>
              <w:shd w:val="clear" w:color="auto"/>
              <w:rPr>
                <w:highlight w:val="none"/>
              </w:rPr>
            </w:pPr>
            <w:r>
              <w:rPr>
                <w:highlight w:val="none"/>
              </w:rPr>
            </w:r>
            <w:r/>
          </w:p>
        </w:tc>
        <w:tc>
          <w:tcPr>
            <w:gridSpan w:val="2"/>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32" w:type="pct"/>
            <w:vAlign w:val="center"/>
            <w:textDirection w:val="lrTb"/>
            <w:noWrap w:val="false"/>
          </w:tcPr>
          <w:p>
            <w:pPr>
              <w:shd w:val="clear" w:color="auto"/>
              <w:rPr>
                <w:highlight w:val="none"/>
              </w:rPr>
            </w:pPr>
            <w:r>
              <w:rPr>
                <w:highlight w:val="none"/>
              </w:rPr>
              <w:t xml:space="preserve">建筑面积100平方米（含100平方米）以下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按1500元一个点位计费</w:t>
            </w:r>
            <w:r/>
          </w:p>
        </w:tc>
        <w:tc>
          <w:tcPr>
            <w:tcBorders>
              <w:left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jc w:val="center"/>
              <w:shd w:val="clear" w:color="auto"/>
              <w:rPr>
                <w:highlight w:val="none"/>
              </w:rPr>
            </w:pPr>
            <w:r>
              <w:rPr>
                <w:highlight w:val="none"/>
              </w:rPr>
            </w:r>
            <w:r/>
          </w:p>
        </w:tc>
      </w:tr>
      <w:tr>
        <w:trPr/>
        <w:tc>
          <w:tcPr>
            <w:tcBorders>
              <w:left w:val="single" w:color="000000" w:sz="6" w:space="0"/>
              <w:right w:val="single" w:color="000000" w:sz="6" w:space="0"/>
            </w:tcBorders>
            <w:tcMar>
              <w:left w:w="160" w:type="dxa"/>
              <w:top w:w="160" w:type="dxa"/>
              <w:right w:w="160" w:type="dxa"/>
              <w:bottom w:w="160" w:type="dxa"/>
            </w:tcMar>
            <w:tcW w:w="1016" w:type="pct"/>
            <w:vAlign w:val="center"/>
            <w:vMerge w:val="continue"/>
            <w:textDirection w:val="lrTb"/>
            <w:noWrap w:val="false"/>
          </w:tcPr>
          <w:p>
            <w:pPr>
              <w:shd w:val="clear" w:color="auto"/>
              <w:rPr>
                <w:highlight w:val="none"/>
              </w:rPr>
            </w:pPr>
            <w:r>
              <w:rPr>
                <w:highlight w:val="none"/>
              </w:rPr>
            </w:r>
            <w:r/>
          </w:p>
        </w:tc>
        <w:tc>
          <w:tcPr>
            <w:gridSpan w:val="2"/>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32" w:type="pct"/>
            <w:vAlign w:val="center"/>
            <w:textDirection w:val="lrTb"/>
            <w:noWrap w:val="false"/>
          </w:tcPr>
          <w:p>
            <w:pPr>
              <w:shd w:val="clear" w:color="auto"/>
              <w:rPr>
                <w:highlight w:val="none"/>
              </w:rPr>
            </w:pPr>
            <w:r>
              <w:rPr>
                <w:highlight w:val="none"/>
              </w:rPr>
              <w:t xml:space="preserve">建筑面积100平方米以上项目</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按15元/㎡计费</w:t>
            </w:r>
            <w:r/>
          </w:p>
        </w:tc>
        <w:tc>
          <w:tcPr>
            <w:tcBorders>
              <w:left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shd w:val="clear" w:color="auto"/>
              <w:rPr>
                <w:highlight w:val="none"/>
              </w:rPr>
            </w:pPr>
            <w:r>
              <w:rPr>
                <w:highlight w:val="none"/>
              </w:rPr>
            </w:r>
            <w:r/>
          </w:p>
        </w:tc>
      </w:tr>
      <w:tr>
        <w:trPr/>
        <w:tc>
          <w:tcPr>
            <w:tcBorders>
              <w:left w:val="single" w:color="000000" w:sz="6" w:space="0"/>
              <w:bottom w:val="single" w:color="000000" w:sz="6" w:space="0"/>
              <w:right w:val="single" w:color="000000" w:sz="6" w:space="0"/>
            </w:tcBorders>
            <w:tcMar>
              <w:left w:w="160" w:type="dxa"/>
              <w:top w:w="160" w:type="dxa"/>
              <w:right w:w="160" w:type="dxa"/>
              <w:bottom w:w="160" w:type="dxa"/>
            </w:tcMar>
            <w:tcW w:w="1016" w:type="pct"/>
            <w:vAlign w:val="center"/>
            <w:vMerge w:val="continue"/>
            <w:textDirection w:val="lrTb"/>
            <w:noWrap w:val="false"/>
          </w:tcPr>
          <w:p>
            <w:pPr>
              <w:shd w:val="clear" w:color="auto"/>
              <w:rPr>
                <w:highlight w:val="none"/>
              </w:rPr>
            </w:pPr>
            <w:r>
              <w:rPr>
                <w:highlight w:val="none"/>
              </w:rPr>
            </w:r>
            <w:r/>
          </w:p>
        </w:tc>
        <w:tc>
          <w:tcPr>
            <w:gridSpan w:val="2"/>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32" w:type="pct"/>
            <w:vAlign w:val="center"/>
            <w:textDirection w:val="lrTb"/>
            <w:noWrap w:val="false"/>
          </w:tcPr>
          <w:p>
            <w:pPr>
              <w:shd w:val="clear" w:color="auto"/>
              <w:rPr>
                <w:highlight w:val="none"/>
              </w:rPr>
            </w:pPr>
            <w:r>
              <w:rPr>
                <w:highlight w:val="none"/>
              </w:rPr>
              <w:t xml:space="preserve">房产和资产设备处理</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1.一律进行残值评估，并走拍卖流程；2.若遇关键拆迁任务，经镇党政联席会议讨论，可直接按残值评估价与中标拆迁公司（建筑公司）结算</w:t>
            </w:r>
            <w:r/>
          </w:p>
        </w:tc>
        <w:tc>
          <w:tcPr>
            <w:tcBorders>
              <w:left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shd w:val="clear" w:color="auto"/>
              <w:rPr>
                <w:highlight w:val="none"/>
              </w:rPr>
            </w:pPr>
            <w:r>
              <w:rPr>
                <w:highlight w:val="none"/>
              </w:rPr>
            </w:r>
            <w:r/>
          </w:p>
        </w:tc>
      </w:tr>
      <w:tr>
        <w:trPr/>
        <w:tc>
          <w:tcPr>
            <w:shd w:val="clear" w:color="auto" w:fill="f0f0f0"/>
            <w:tcBorders>
              <w:top w:val="single" w:color="000000" w:sz="6" w:space="0"/>
              <w:left w:val="single" w:color="000000" w:sz="6" w:space="0"/>
              <w:right w:val="single" w:color="000000" w:sz="6" w:space="0"/>
            </w:tcBorders>
            <w:tcMar>
              <w:left w:w="160" w:type="dxa"/>
              <w:top w:w="160" w:type="dxa"/>
              <w:right w:w="160" w:type="dxa"/>
              <w:bottom w:w="160" w:type="dxa"/>
            </w:tcMar>
            <w:tcW w:w="1016" w:type="pct"/>
            <w:vAlign w:val="center"/>
            <w:vMerge w:val="restart"/>
            <w:textDirection w:val="lrTb"/>
            <w:noWrap w:val="false"/>
          </w:tcPr>
          <w:p>
            <w:pPr>
              <w:shd w:val="clear" w:color="auto"/>
              <w:rPr>
                <w:highlight w:val="none"/>
              </w:rPr>
            </w:pPr>
            <w:r>
              <w:rPr>
                <w:highlight w:val="none"/>
              </w:rPr>
              <w:t xml:space="preserve">三、攻坚奖励费</w:t>
            </w:r>
            <w:r/>
          </w:p>
          <w:p>
            <w:pPr>
              <w:shd w:val="clear" w:color="auto"/>
              <w:rPr>
                <w:highlight w:val="none"/>
              </w:rPr>
            </w:pPr>
            <w:r>
              <w:rPr>
                <w:highlight w:val="none"/>
              </w:rPr>
            </w:r>
            <w:r/>
          </w:p>
        </w:tc>
        <w:tc>
          <w:tcPr>
            <w:gridSpan w:val="2"/>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32" w:type="pct"/>
            <w:vAlign w:val="center"/>
            <w:textDirection w:val="lrTb"/>
            <w:noWrap w:val="false"/>
          </w:tcPr>
          <w:p>
            <w:pPr>
              <w:shd w:val="clear" w:color="auto"/>
              <w:rPr>
                <w:highlight w:val="none"/>
              </w:rPr>
            </w:pPr>
            <w:r>
              <w:rPr>
                <w:highlight w:val="none"/>
              </w:rPr>
              <w:t xml:space="preserve">奖励对象</w:t>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奖励标准</w:t>
            </w:r>
            <w:r/>
          </w:p>
        </w:tc>
        <w:tc>
          <w:tcPr>
            <w:shd w:val="clear" w:color="auto" w:fill="f0f0f0"/>
            <w:tcBorders>
              <w:left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jc w:val="center"/>
              <w:shd w:val="clear" w:color="auto"/>
              <w:rPr>
                <w:highlight w:val="none"/>
              </w:rPr>
            </w:pPr>
            <w:r>
              <w:rPr>
                <w:highlight w:val="none"/>
              </w:rPr>
            </w:r>
            <w:r/>
          </w:p>
        </w:tc>
      </w:tr>
      <w:tr>
        <w:trPr/>
        <w:tc>
          <w:tcPr>
            <w:tcBorders>
              <w:left w:val="single" w:color="000000" w:sz="6" w:space="0"/>
              <w:bottom w:val="single" w:color="000000" w:sz="6" w:space="0"/>
              <w:right w:val="single" w:color="000000" w:sz="6" w:space="0"/>
            </w:tcBorders>
            <w:tcMar>
              <w:left w:w="160" w:type="dxa"/>
              <w:top w:w="160" w:type="dxa"/>
              <w:right w:w="160" w:type="dxa"/>
              <w:bottom w:w="160" w:type="dxa"/>
            </w:tcMar>
            <w:tcW w:w="1016" w:type="pct"/>
            <w:vAlign w:val="center"/>
            <w:vMerge w:val="continue"/>
            <w:textDirection w:val="lrTb"/>
            <w:noWrap w:val="false"/>
          </w:tcPr>
          <w:p>
            <w:pPr>
              <w:shd w:val="clear" w:color="auto"/>
              <w:rPr>
                <w:highlight w:val="none"/>
              </w:rPr>
            </w:pPr>
            <w:r>
              <w:rPr>
                <w:highlight w:val="none"/>
              </w:rPr>
            </w:r>
            <w:r/>
          </w:p>
        </w:tc>
        <w:tc>
          <w:tcPr>
            <w:gridSpan w:val="2"/>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032" w:type="pct"/>
            <w:vAlign w:val="center"/>
            <w:textDirection w:val="lrTb"/>
            <w:noWrap w:val="false"/>
          </w:tcPr>
          <w:p>
            <w:pPr>
              <w:shd w:val="clear" w:color="auto"/>
              <w:rPr>
                <w:highlight w:val="none"/>
              </w:rPr>
            </w:pPr>
            <w:r>
              <w:rPr>
                <w:highlight w:val="none"/>
              </w:rPr>
              <w:t xml:space="preserve">农户</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1765" w:type="pct"/>
            <w:vAlign w:val="center"/>
            <w:textDirection w:val="lrTb"/>
            <w:noWrap w:val="false"/>
          </w:tcPr>
          <w:p>
            <w:pPr>
              <w:shd w:val="clear" w:color="auto"/>
              <w:rPr>
                <w:highlight w:val="none"/>
              </w:rPr>
            </w:pPr>
            <w:r>
              <w:rPr>
                <w:highlight w:val="none"/>
              </w:rPr>
              <w:t xml:space="preserve">原则上按10万元/户标准进行奖励</w:t>
            </w:r>
            <w:r/>
          </w:p>
        </w:tc>
        <w:tc>
          <w:tcPr>
            <w:tcBorders>
              <w:left w:val="single" w:color="000000" w:sz="6" w:space="0"/>
              <w:bottom w:val="single" w:color="000000" w:sz="6" w:space="0"/>
              <w:right w:val="single" w:color="000000" w:sz="6" w:space="0"/>
            </w:tcBorders>
            <w:tcMar>
              <w:left w:w="160" w:type="dxa"/>
              <w:top w:w="160" w:type="dxa"/>
              <w:right w:w="160" w:type="dxa"/>
              <w:bottom w:w="160" w:type="dxa"/>
            </w:tcMar>
            <w:tcW w:w="1186" w:type="pct"/>
            <w:vAlign w:val="center"/>
            <w:vMerge w:val="continue"/>
            <w:textDirection w:val="lrTb"/>
            <w:noWrap w:val="false"/>
          </w:tcPr>
          <w:p>
            <w:pPr>
              <w:jc w:val="center"/>
              <w:shd w:val="clear" w:color="auto"/>
              <w:rPr>
                <w:highlight w:val="none"/>
              </w:rPr>
            </w:pPr>
            <w:r>
              <w:rPr>
                <w:highlight w:val="none"/>
              </w:rPr>
            </w:r>
            <w:r/>
          </w:p>
        </w:tc>
      </w:tr>
    </w:tbl>
    <w:p>
      <w:pPr>
        <w:ind w:firstLine="442"/>
        <w:spacing w:line="360" w:lineRule="auto"/>
        <w:shd w:val="clear" w:color="auto"/>
        <w:rPr>
          <w:rFonts w:ascii="宋体" w:hAnsi="宋体"/>
          <w:sz w:val="22"/>
          <w:szCs w:val="22"/>
          <w:highlight w:val="none"/>
        </w:rPr>
      </w:pPr>
      <w:r>
        <w:rPr>
          <w:rFonts w:hint="eastAsia" w:ascii="宋体" w:hAnsi="宋体" w:cs="宋体"/>
          <w:b/>
          <w:sz w:val="22"/>
          <w:szCs w:val="22"/>
          <w:highlight w:val="none"/>
          <w:lang w:val="zh-CN"/>
        </w:rPr>
        <w:t xml:space="preserve">最终以实际发生工作量为准。</w:t>
      </w:r>
      <w:r>
        <w:rPr>
          <w:rFonts w:hint="eastAsia" w:ascii="宋体" w:hAnsi="宋体" w:cs="宋体"/>
          <w:sz w:val="22"/>
          <w:szCs w:val="22"/>
          <w:highlight w:val="none"/>
        </w:rPr>
        <w:t xml:space="preserve">上述单价为综合单价，包含为完成对应工程内容所产生的一切费用，包括但不限于人工、措施费、差旅、管理、利润、规费、税金、风险、责任等各项应有费用，以及其他辅助费用。最终</w:t>
      </w:r>
      <w:r>
        <w:rPr>
          <w:rFonts w:hint="eastAsia" w:ascii="宋体" w:hAnsi="宋体" w:cs="宋体"/>
          <w:sz w:val="22"/>
          <w:szCs w:val="22"/>
          <w:highlight w:val="none"/>
          <w:lang w:val="zh-CN"/>
        </w:rPr>
        <w:t xml:space="preserve">按照（</w:t>
      </w:r>
      <w:r>
        <w:rPr>
          <w:rFonts w:hint="eastAsia" w:ascii="宋体" w:hAnsi="宋体" w:cs="宋体"/>
          <w:sz w:val="22"/>
          <w:szCs w:val="22"/>
          <w:highlight w:val="none"/>
        </w:rPr>
        <w:t xml:space="preserve">1-成交优惠率</w:t>
      </w: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*收费标准*</w:t>
      </w:r>
      <w:r>
        <w:rPr>
          <w:rFonts w:hint="eastAsia" w:ascii="宋体" w:hAnsi="宋体" w:cs="宋体"/>
          <w:sz w:val="22"/>
          <w:szCs w:val="22"/>
          <w:highlight w:val="none"/>
          <w:lang w:val="zh-CN"/>
        </w:rPr>
        <w:t xml:space="preserve">实际完成的工程量结算。按照上述标准结算时，</w:t>
      </w:r>
      <w:r>
        <w:rPr>
          <w:rFonts w:hint="eastAsia" w:ascii="宋体" w:hAnsi="宋体" w:cs="宋体"/>
          <w:sz w:val="22"/>
          <w:szCs w:val="22"/>
          <w:highlight w:val="none"/>
        </w:rPr>
        <w:t xml:space="preserve">服务期内</w:t>
      </w:r>
      <w:r>
        <w:rPr>
          <w:rFonts w:hint="eastAsia" w:ascii="宋体" w:hAnsi="宋体" w:cs="宋体"/>
          <w:sz w:val="22"/>
          <w:szCs w:val="22"/>
          <w:highlight w:val="none"/>
          <w:lang w:val="zh-CN"/>
        </w:rPr>
        <w:t xml:space="preserve">实际结算金额</w:t>
      </w:r>
      <w:r>
        <w:rPr>
          <w:rFonts w:hint="eastAsia" w:ascii="宋体" w:hAnsi="宋体" w:cs="宋体"/>
          <w:sz w:val="22"/>
          <w:szCs w:val="22"/>
          <w:highlight w:val="none"/>
        </w:rPr>
        <w:t xml:space="preserve">未超过</w:t>
      </w:r>
      <w:r>
        <w:rPr>
          <w:rFonts w:hint="eastAsia" w:ascii="宋体" w:hAnsi="宋体" w:cs="宋体"/>
          <w:sz w:val="22"/>
          <w:szCs w:val="22"/>
          <w:highlight w:val="none"/>
          <w:lang w:val="zh-CN"/>
        </w:rPr>
        <w:t xml:space="preserve">预算金额的，按照实际金额结算；</w:t>
      </w:r>
      <w:r>
        <w:rPr>
          <w:rFonts w:hint="eastAsia" w:ascii="宋体" w:hAnsi="宋体" w:cs="宋体"/>
          <w:sz w:val="22"/>
          <w:szCs w:val="22"/>
          <w:highlight w:val="none"/>
        </w:rPr>
        <w:t xml:space="preserve">服务期内</w:t>
      </w:r>
      <w:r>
        <w:rPr>
          <w:rFonts w:hint="eastAsia" w:ascii="宋体" w:hAnsi="宋体" w:cs="宋体"/>
          <w:sz w:val="22"/>
          <w:szCs w:val="22"/>
          <w:highlight w:val="none"/>
          <w:lang w:val="zh-CN"/>
        </w:rPr>
        <w:t xml:space="preserve">结算总额超过预算金额的，按照预算金额结算。</w:t>
      </w:r>
      <w:r/>
    </w:p>
    <w:p>
      <w:pPr>
        <w:ind w:firstLine="480"/>
        <w:jc w:val="left"/>
        <w:spacing w:line="360" w:lineRule="auto"/>
        <w:shd w:val="clear" w:color="auto"/>
        <w:rPr>
          <w:rFonts w:ascii="宋体" w:hAnsi="宋体" w:cs="宋体"/>
          <w:bCs/>
          <w:color w:val="000000"/>
          <w:sz w:val="22"/>
          <w:szCs w:val="22"/>
          <w:highlight w:val="none"/>
        </w:rPr>
      </w:pPr>
      <w:r>
        <w:rPr>
          <w:rFonts w:hint="eastAsia" w:ascii="宋体" w:hAnsi="宋体"/>
          <w:bCs/>
          <w:sz w:val="22"/>
          <w:szCs w:val="22"/>
          <w:highlight w:val="none"/>
        </w:rPr>
        <w:t xml:space="preserve">注：</w:t>
      </w:r>
      <w:r>
        <w:rPr>
          <w:rFonts w:hint="eastAsia" w:ascii="宋体" w:hAnsi="宋体" w:cs="宋体"/>
          <w:bCs/>
          <w:color w:val="000000"/>
          <w:sz w:val="22"/>
          <w:szCs w:val="22"/>
          <w:highlight w:val="none"/>
        </w:rPr>
        <w:t xml:space="preserve">本项目报价以上述表格标准为报价依据。各响应单位报价在上述表格标准的基础上进行优惠报价。</w:t>
      </w:r>
      <w:r/>
    </w:p>
    <w:p>
      <w:pPr>
        <w:ind w:firstLine="442"/>
        <w:jc w:val="left"/>
        <w:spacing w:line="360" w:lineRule="auto"/>
        <w:shd w:val="clear" w:color="auto"/>
        <w:rPr>
          <w:rFonts w:ascii="宋体" w:hAnsi="宋体"/>
          <w:sz w:val="24"/>
          <w:highlight w:val="none"/>
        </w:rPr>
      </w:pPr>
      <w:r>
        <w:rPr>
          <w:rFonts w:hint="eastAsia" w:ascii="宋体" w:hAnsi="宋体"/>
          <w:b/>
          <w:bCs/>
          <w:color w:val="000000"/>
          <w:sz w:val="22"/>
          <w:szCs w:val="22"/>
          <w:highlight w:val="none"/>
        </w:rPr>
        <w:t xml:space="preserve">例如：投标所报优惠率填写10%的，则表示在</w:t>
      </w:r>
      <w:r>
        <w:rPr>
          <w:rFonts w:hint="eastAsia" w:ascii="宋体" w:hAnsi="宋体" w:cs="宋体"/>
          <w:b/>
          <w:bCs/>
          <w:color w:val="000000"/>
          <w:sz w:val="22"/>
          <w:szCs w:val="22"/>
          <w:highlight w:val="none"/>
        </w:rPr>
        <w:t xml:space="preserve">上述表格标准的基础上</w:t>
      </w:r>
      <w:r>
        <w:rPr>
          <w:rFonts w:hint="eastAsia" w:ascii="宋体" w:hAnsi="宋体"/>
          <w:b/>
          <w:bCs/>
          <w:color w:val="000000"/>
          <w:sz w:val="22"/>
          <w:szCs w:val="22"/>
          <w:highlight w:val="none"/>
        </w:rPr>
        <w:t xml:space="preserve">打九折，以此类推。</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法定代表人（负责人）或代理人：（签字或盖章）</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spacing w:line="360" w:lineRule="auto"/>
        <w:shd w:val="clear" w:color="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附件4、</w:t>
      </w:r>
      <w:r>
        <w:rPr>
          <w:rFonts w:hint="eastAsia" w:ascii="宋体" w:hAnsi="宋体" w:cs="宋体"/>
          <w:b/>
          <w:bCs/>
          <w:color w:val="000000" w:themeColor="text1"/>
          <w:szCs w:val="21"/>
          <w:highlight w:val="none"/>
          <w14:textFill>
            <w14:solidFill>
              <w14:schemeClr w14:val="tx1"/>
            </w14:solidFill>
          </w14:textFill>
        </w:rPr>
        <w:t xml:space="preserve">技术条款偏离表、商务条款偏离表</w:t>
      </w:r>
      <w:r/>
    </w:p>
    <w:p>
      <w:pPr>
        <w:jc w:val="center"/>
        <w:spacing w:before="156" w:after="468" w:line="360" w:lineRule="auto"/>
        <w:shd w:val="clear" w:color="auto"/>
        <w:rPr>
          <w:rFonts w:ascii="宋体" w:hAnsi="宋体" w:cs="宋体"/>
          <w:b/>
          <w:bCs/>
          <w:color w:val="000000" w:themeColor="text1"/>
          <w:spacing w:val="20"/>
          <w:szCs w:val="21"/>
          <w:highlight w:val="none"/>
          <w14:textFill>
            <w14:solidFill>
              <w14:schemeClr w14:val="tx1"/>
            </w14:solidFill>
          </w14:textFill>
        </w:rPr>
      </w:pPr>
      <w:r>
        <w:rPr>
          <w:rFonts w:hint="eastAsia" w:ascii="宋体" w:hAnsi="宋体" w:cs="宋体"/>
          <w:b/>
          <w:bCs/>
          <w:color w:val="000000" w:themeColor="text1"/>
          <w:spacing w:val="20"/>
          <w:szCs w:val="21"/>
          <w:highlight w:val="none"/>
          <w14:textFill>
            <w14:solidFill>
              <w14:schemeClr w14:val="tx1"/>
            </w14:solidFill>
          </w14:textFill>
        </w:rPr>
        <w:t xml:space="preserve">技术条款偏离表</w:t>
      </w:r>
      <w:r/>
    </w:p>
    <w:p>
      <w:pPr>
        <w:ind w:firstLine="72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p>
      <w:pPr>
        <w:ind w:firstLine="720"/>
        <w:jc w:val="left"/>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586"/>
        <w:gridCol w:w="1533"/>
      </w:tblGrid>
      <w:tr>
        <w:trPr>
          <w:cantSplit/>
          <w:jc w:val="center"/>
          <w:trHeight w:val="902"/>
        </w:trPr>
        <w:tc>
          <w:tcPr>
            <w:tcW w:w="828"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1690"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W w:w="2727"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磋商文件服务要求</w:t>
            </w:r>
            <w:r/>
          </w:p>
        </w:tc>
        <w:tc>
          <w:tcPr>
            <w:tcW w:w="1586"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响应文件</w:t>
            </w:r>
            <w:r/>
          </w:p>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响应情况</w:t>
            </w:r>
            <w:r/>
          </w:p>
        </w:tc>
        <w:tc>
          <w:tcPr>
            <w:tcW w:w="1533"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tc>
      </w:tr>
      <w:tr>
        <w:trPr>
          <w:cantSplit/>
          <w:jc w:val="center"/>
          <w:trHeight w:val="680" w:hRule="exact"/>
        </w:trPr>
        <w:tc>
          <w:tcPr>
            <w:tcW w:w="828"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27"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6"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33" w:type="dxa"/>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27"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6"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33" w:type="dxa"/>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27"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6"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33" w:type="dxa"/>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27"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6"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33" w:type="dxa"/>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27"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6"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33" w:type="dxa"/>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27"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6"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33" w:type="dxa"/>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27"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6" w:type="dxa"/>
            <w:vAlign w:val="center"/>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33" w:type="dxa"/>
            <w:textDirection w:val="lrTb"/>
            <w:noWrap/>
          </w:tcPr>
          <w:p>
            <w:pPr>
              <w:jc w:val="lef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说明：</w:t>
      </w:r>
      <w:r/>
    </w:p>
    <w:p>
      <w:pPr>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1、服务条款内容主要是针对响应文件有关的服务要求等内容。</w:t>
      </w:r>
      <w:r/>
    </w:p>
    <w:p>
      <w:pPr>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2、无偏离应在本表“响应文件响应情况”栏注明“无服务条款偏离”的字样。</w:t>
      </w:r>
      <w:r/>
    </w:p>
    <w:p>
      <w:pPr>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         （单位盖章）</w:t>
      </w:r>
      <w:r/>
    </w:p>
    <w:p>
      <w:pPr>
        <w:jc w:val="lef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         （签字或盖章）</w:t>
      </w:r>
      <w:r/>
    </w:p>
    <w:p>
      <w:pPr>
        <w:jc w:val="left"/>
        <w:spacing w:line="315" w:lineRule="atLeas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before="156" w:after="468" w:line="360" w:lineRule="auto"/>
        <w:shd w:val="clear" w:color="auto"/>
        <w:rPr>
          <w:rFonts w:ascii="宋体" w:hAnsi="宋体" w:cs="宋体"/>
          <w:b/>
          <w:bCs/>
          <w:color w:val="000000" w:themeColor="text1"/>
          <w:spacing w:val="20"/>
          <w:szCs w:val="21"/>
          <w:highlight w:val="none"/>
          <w14:textFill>
            <w14:solidFill>
              <w14:schemeClr w14:val="tx1"/>
            </w14:solidFill>
          </w14:textFill>
        </w:rPr>
      </w:pPr>
      <w:r>
        <w:rPr>
          <w:rFonts w:hint="eastAsia" w:ascii="宋体" w:hAnsi="宋体" w:cs="宋体"/>
          <w:b/>
          <w:bCs/>
          <w:color w:val="000000" w:themeColor="text1"/>
          <w:spacing w:val="20"/>
          <w:szCs w:val="21"/>
          <w:highlight w:val="none"/>
          <w14:textFill>
            <w14:solidFill>
              <w14:schemeClr w14:val="tx1"/>
            </w14:solidFill>
          </w14:textFill>
        </w:rPr>
        <w:t xml:space="preserve">商务条款偏离表</w:t>
      </w:r>
      <w:r/>
    </w:p>
    <w:p>
      <w:pPr>
        <w:ind w:firstLine="7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p>
      <w:pPr>
        <w:ind w:firstLine="720"/>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jc w:val="center"/>
          <w:trHeight w:val="902"/>
        </w:trPr>
        <w:tc>
          <w:tcPr>
            <w:tcW w:w="828"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1690"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W w:w="2155"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磋商文件商务要求</w:t>
            </w:r>
            <w:r/>
          </w:p>
        </w:tc>
        <w:tc>
          <w:tcPr>
            <w:tcW w:w="1559"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响应文件</w:t>
            </w:r>
            <w:r/>
          </w:p>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响应情况</w:t>
            </w:r>
            <w:r/>
          </w:p>
        </w:tc>
        <w:tc>
          <w:tcPr>
            <w:tcW w:w="2127" w:type="dxa"/>
            <w:vAlign w:val="center"/>
            <w:textDirection w:val="lrTb"/>
            <w:noWrap/>
          </w:tcPr>
          <w:p>
            <w:pPr>
              <w:jc w:val="center"/>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tc>
      </w:tr>
      <w:tr>
        <w:trPr>
          <w:cantSplit/>
          <w:jc w:val="center"/>
          <w:trHeight w:val="680" w:hRule="exact"/>
        </w:trPr>
        <w:tc>
          <w:tcPr>
            <w:tcW w:w="828"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690"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服务时间</w:t>
            </w:r>
            <w:r/>
          </w:p>
        </w:tc>
        <w:tc>
          <w:tcPr>
            <w:tcW w:w="2155"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690"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w:t>
            </w:r>
            <w:r>
              <w:rPr>
                <w:rFonts w:hint="eastAsia" w:ascii="宋体" w:hAnsi="宋体" w:cs="宋体"/>
                <w:color w:val="000000" w:themeColor="text1"/>
                <w:szCs w:val="21"/>
                <w:highlight w:val="none"/>
                <w:lang w:val="zh-CN"/>
                <w14:textFill>
                  <w14:solidFill>
                    <w14:schemeClr w14:val="tx1"/>
                  </w14:solidFill>
                </w14:textFill>
              </w:rPr>
              <w:t xml:space="preserve">方式</w:t>
            </w:r>
            <w:r/>
          </w:p>
        </w:tc>
        <w:tc>
          <w:tcPr>
            <w:tcW w:w="2155"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690"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155"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55"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55"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55"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680" w:hRule="exact"/>
        </w:trPr>
        <w:tc>
          <w:tcPr>
            <w:tcW w:w="828"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jc w:val="cente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55"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tcPr>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1、商务条款内容主要是针对响应文件有关的付款条件、服务期、合同主要条款等内容。</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2、无偏离应在本表“响应文件响应情况”栏注明“无商务条款偏离”的字样。</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         （单位盖章）</w:t>
      </w:r>
      <w:r/>
    </w:p>
    <w:p>
      <w:pP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         （签字或盖章）</w:t>
      </w:r>
      <w:r/>
    </w:p>
    <w:p>
      <w:pPr>
        <w:jc w:val="left"/>
        <w:spacing w:line="315" w:lineRule="atLeas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after="120"/>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0"/>
        <w:shd w:val="clear" w:color="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9"/>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70"/>
        <w:shd w:val="clear" w:color="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附件5、服务人员一览表</w:t>
      </w:r>
      <w:r/>
    </w:p>
    <w:p>
      <w:pPr>
        <w:jc w:val="center"/>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项目组人员一览表</w:t>
      </w:r>
      <w:r/>
    </w:p>
    <w:tbl>
      <w:tblPr>
        <w:tblStyle w:val="76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286"/>
        <w:gridCol w:w="1155"/>
        <w:gridCol w:w="823"/>
        <w:gridCol w:w="873"/>
        <w:gridCol w:w="825"/>
        <w:gridCol w:w="1515"/>
        <w:gridCol w:w="1363"/>
        <w:gridCol w:w="1634"/>
      </w:tblGrid>
      <w:tr>
        <w:trPr>
          <w:jc w:val="center"/>
          <w:trHeight w:val="851"/>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项目组所任职务</w:t>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w:t>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性别</w:t>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年龄</w:t>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职称</w:t>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专业/资格</w:t>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从事本工作时间</w:t>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典型业务</w:t>
            </w:r>
            <w:r/>
          </w:p>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与技术专长</w:t>
            </w:r>
            <w:r/>
          </w:p>
        </w:tc>
      </w:tr>
      <w:tr>
        <w:trPr>
          <w:jc w:val="center"/>
          <w:trHeight w:val="567"/>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W w:w="817"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1286"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5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7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82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15"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363"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34" w:type="dxa"/>
            <w:vAlign w:val="center"/>
            <w:textDirection w:val="lrTb"/>
            <w:noWrap/>
          </w:tcPr>
          <w:p>
            <w:pPr>
              <w:pStyle w:val="964"/>
              <w:jc w:val="center"/>
              <w:shd w:val="clear" w:color="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注：表格不够填写可添加。</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响应单位：（单位盖章）</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   </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61"/>
        <w:jc w:val="left"/>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61"/>
        <w:jc w:val="left"/>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附件6、</w:t>
      </w:r>
      <w:r>
        <w:rPr>
          <w:rFonts w:hint="eastAsia" w:ascii="宋体" w:hAnsi="宋体" w:cs="宋体"/>
          <w:b/>
          <w:color w:val="000000" w:themeColor="text1"/>
          <w:szCs w:val="21"/>
          <w:highlight w:val="none"/>
          <w14:textFill>
            <w14:solidFill>
              <w14:schemeClr w14:val="tx1"/>
            </w14:solidFill>
          </w14:textFill>
        </w:rPr>
        <w:t xml:space="preserve">企业类似业绩一览表</w:t>
      </w:r>
      <w:r/>
    </w:p>
    <w:p>
      <w:pPr>
        <w:jc w:val="center"/>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企业类似业绩一览表</w:t>
      </w:r>
      <w:r/>
    </w:p>
    <w:tbl>
      <w:tblPr>
        <w:tblStyle w:val="766"/>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296"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项目时间</w:t>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w:t>
            </w:r>
            <w:r/>
          </w:p>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c>
          <w:tcPr>
            <w:tcW w:w="1604" w:type="dxa"/>
            <w:vAlign w:val="center"/>
            <w:textDirection w:val="lrTb"/>
            <w:noWrap/>
          </w:tcPr>
          <w:p>
            <w:pPr>
              <w:jc w:val="center"/>
              <w:spacing w:line="360" w:lineRule="auto"/>
              <w:shd w:val="clear" w:color="auto"/>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业主单位</w:t>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6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65"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96" w:type="dxa"/>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2"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4"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11"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89" w:type="dxa"/>
            <w:vAlign w:val="center"/>
            <w:textDirection w:val="lrTb"/>
            <w:noWrap/>
          </w:tcPr>
          <w:p>
            <w:pPr>
              <w:jc w:val="center"/>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40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spacing w:line="40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58"/>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服务方案</w:t>
      </w:r>
      <w:r/>
    </w:p>
    <w:p>
      <w:pPr>
        <w:jc w:val="center"/>
        <w:spacing w:before="156" w:after="156" w:line="440" w:lineRule="exac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服务方案</w:t>
      </w:r>
      <w:r/>
    </w:p>
    <w:tbl>
      <w:tblPr>
        <w:tblStyle w:val="766"/>
        <w:tblpPr w:horzAnchor="page" w:tblpX="1412" w:vertAnchor="text" w:tblpY="59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textDirection w:val="lrTb"/>
            <w:noWrap/>
          </w:tcPr>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提示：</w:t>
            </w:r>
            <w:r/>
          </w:p>
          <w:p>
            <w:pPr>
              <w:ind w:left="360" w:hanging="360"/>
              <w:jc w:val="left"/>
              <w:spacing w:line="440" w:lineRule="exact"/>
              <w:shd w:val="clear" w:color="auto"/>
              <w:tabs>
                <w:tab w:val="left" w:pos="36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1、磋商供应商应针对本项目特点编写成交后拟采取的方案。</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textDirection w:val="lrTb"/>
            <w:noWrap/>
          </w:tcPr>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单位名称（盖章）：</w:t>
            </w:r>
            <w:r/>
          </w:p>
          <w:p>
            <w:pPr>
              <w:ind w:firstLine="210"/>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440" w:lineRule="exact"/>
              <w:shd w:val="clear" w:color="auto"/>
              <w:tabs>
                <w:tab w:val="left" w:pos="132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58"/>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58"/>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附件8、资格证明文件</w:t>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（1）关于资格文件的声明函</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关于资格文件的声明函</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愿就由贵公司组织实施的编号为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96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（响应单位）法定代表人（负责人）：（签字或盖章）</w:t>
      </w:r>
      <w:r/>
    </w:p>
    <w:p>
      <w:pPr>
        <w:ind w:firstLine="312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96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ind w:firstLine="312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12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76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（2）投标（响应）保证承诺书</w:t>
      </w:r>
      <w:r/>
    </w:p>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投标（响应）保证承诺书（参考格式）</w:t>
      </w:r>
      <w:r/>
    </w:p>
    <w:p>
      <w:pPr>
        <w:jc w:val="left"/>
        <w:spacing w:before="602" w:after="150"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致：</w:t>
      </w:r>
      <w:r>
        <w:rPr>
          <w:rFonts w:hint="eastAsia" w:ascii="宋体" w:hAnsi="宋体" w:cs="宋体"/>
          <w:color w:val="000000" w:themeColor="text1"/>
          <w:szCs w:val="21"/>
          <w:highlight w:val="none"/>
          <w:u w:val="single"/>
          <w:lang w:val="zh-CN"/>
          <w14:textFill>
            <w14:solidFill>
              <w14:schemeClr w14:val="tx1"/>
            </w14:solidFill>
          </w14:textFill>
        </w:rPr>
        <w:t xml:space="preserve">（采购代理机构名称）</w:t>
      </w:r>
      <w:r/>
    </w:p>
    <w:p>
      <w:pPr>
        <w:ind w:firstLine="480"/>
        <w:jc w:val="left"/>
        <w:spacing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lang w:val="zh-CN"/>
          <w14:textFill>
            <w14:solidFill>
              <w14:schemeClr w14:val="tx1"/>
            </w14:solidFill>
          </w14:textFill>
        </w:rPr>
        <w:t xml:space="preserve">（项目名称和采购编号）</w:t>
      </w:r>
      <w:r>
        <w:rPr>
          <w:rFonts w:hint="eastAsia" w:ascii="宋体" w:hAnsi="宋体" w:cs="宋体"/>
          <w:color w:val="000000" w:themeColor="text1"/>
          <w:szCs w:val="21"/>
          <w:highlight w:val="none"/>
          <w:lang w:val="zh-CN"/>
          <w14:textFill>
            <w14:solidFill>
              <w14:schemeClr w14:val="tx1"/>
            </w14:solidFill>
          </w14:textFill>
        </w:rPr>
        <w:t xml:space="preserve">的投标（响应）,并做出如下承诺：</w:t>
      </w:r>
      <w:r/>
    </w:p>
    <w:p>
      <w:pPr>
        <w:ind w:firstLine="480"/>
        <w:jc w:val="left"/>
        <w:spacing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lang w:val="zh-CN"/>
          <w14:textFill>
            <w14:solidFill>
              <w14:schemeClr w14:val="tx1"/>
            </w14:solidFill>
          </w14:textFill>
        </w:rPr>
        <w:t xml:space="preserve">（或采购人）</w:t>
      </w:r>
      <w:r>
        <w:rPr>
          <w:rFonts w:hint="eastAsia" w:ascii="宋体" w:hAnsi="宋体" w:cs="宋体"/>
          <w:color w:val="000000" w:themeColor="text1"/>
          <w:szCs w:val="21"/>
          <w:highlight w:val="none"/>
          <w:lang w:val="zh-CN"/>
          <w14:textFill>
            <w14:solidFill>
              <w14:schemeClr w14:val="tx1"/>
            </w14:solidFill>
          </w14:textFill>
        </w:rPr>
        <w:t xml:space="preserve">支付本采购文件公布的预算金额（或最高限价）的2%作为违约赔偿金（数量不确定的单价采购须约定具体金额）。</w:t>
      </w:r>
      <w:r/>
    </w:p>
    <w:p>
      <w:pPr>
        <w:ind w:firstLine="480"/>
        <w:jc w:val="left"/>
        <w:spacing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1.自投标（响应）截止时间至本项目发布中标（成交）公告为止，撤销投标（响应）；</w:t>
      </w:r>
      <w:r/>
    </w:p>
    <w:p>
      <w:pPr>
        <w:ind w:firstLine="480"/>
        <w:jc w:val="left"/>
        <w:spacing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2.中标（成交）后不依法与采购人签订合同；</w:t>
      </w:r>
      <w:r/>
    </w:p>
    <w:p>
      <w:pPr>
        <w:ind w:firstLine="480"/>
        <w:jc w:val="left"/>
        <w:spacing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3.中标（成交）后不按本采购文件规定向采购人提交履约保证金；</w:t>
      </w:r>
      <w:r/>
    </w:p>
    <w:p>
      <w:pPr>
        <w:ind w:firstLine="480"/>
        <w:jc w:val="left"/>
        <w:spacing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4.中标（成交）后不按本采购文件规定向贵方缴纳采购代理费。</w:t>
      </w:r>
      <w:r/>
    </w:p>
    <w:p>
      <w:pPr>
        <w:ind w:firstLine="480"/>
        <w:jc w:val="left"/>
        <w:spacing w:line="480" w:lineRule="atLeas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highlight w:val="none"/>
          <w:u w:val="single"/>
          <w:lang w:val="zh-CN"/>
          <w14:textFill>
            <w14:solidFill>
              <w14:schemeClr w14:val="tx1"/>
            </w14:solidFill>
          </w14:textFill>
        </w:rPr>
        <w:t xml:space="preserve">（或采购人）</w:t>
      </w:r>
      <w:r>
        <w:rPr>
          <w:rFonts w:hint="eastAsia" w:ascii="宋体" w:hAnsi="宋体" w:cs="宋体"/>
          <w:color w:val="000000" w:themeColor="text1"/>
          <w:szCs w:val="21"/>
          <w:highlight w:val="none"/>
          <w:lang w:val="zh-CN"/>
          <w14:textFill>
            <w14:solidFill>
              <w14:schemeClr w14:val="tx1"/>
            </w14:solidFill>
          </w14:textFill>
        </w:rPr>
        <w:t xml:space="preserve">要求我单位履行违约赔偿义务的依据作用。</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（盖公章）</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36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61"/>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58"/>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58"/>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hd w:val="clear" w:color="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61"/>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361"/>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(3)供应商情况表</w:t>
      </w:r>
      <w:r/>
    </w:p>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供应商情况表</w:t>
      </w:r>
      <w:r/>
    </w:p>
    <w:p>
      <w:pPr>
        <w:ind w:firstLine="420"/>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单位名称：（盖章）</w:t>
      </w:r>
      <w:r/>
    </w:p>
    <w:tbl>
      <w:tblPr>
        <w:tblStyle w:val="766"/>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667"/>
        <w:gridCol w:w="2653"/>
      </w:tblGrid>
      <w:tr>
        <w:trPr>
          <w:cantSplit/>
          <w:trHeight w:val="482"/>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w:t>
            </w:r>
            <w:r/>
          </w:p>
        </w:tc>
        <w:tc>
          <w:tcPr>
            <w:tcW w:w="180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67"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成立日期</w:t>
            </w:r>
            <w:r/>
          </w:p>
        </w:tc>
        <w:tc>
          <w:tcPr>
            <w:tcW w:w="2653"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73"/>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企业地址</w:t>
            </w:r>
            <w:r/>
          </w:p>
        </w:tc>
        <w:tc>
          <w:tcPr>
            <w:tcW w:w="180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67"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注册资本</w:t>
            </w:r>
            <w:r/>
          </w:p>
        </w:tc>
        <w:tc>
          <w:tcPr>
            <w:tcW w:w="2653"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_________</w:t>
            </w: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trHeight w:val="463"/>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经营范围</w:t>
            </w:r>
            <w:r/>
          </w:p>
        </w:tc>
        <w:tc>
          <w:tcPr>
            <w:gridSpan w:val="3"/>
            <w:tcW w:w="612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职工人数</w:t>
            </w:r>
            <w:r/>
          </w:p>
        </w:tc>
        <w:tc>
          <w:tcPr>
            <w:tcW w:w="180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67"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其中：中高级</w:t>
            </w:r>
            <w:r/>
          </w:p>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以上职称的人数</w:t>
            </w:r>
            <w:r/>
          </w:p>
        </w:tc>
        <w:tc>
          <w:tcPr>
            <w:tcW w:w="2653"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资产总计</w:t>
            </w:r>
            <w:r/>
          </w:p>
        </w:tc>
        <w:tc>
          <w:tcPr>
            <w:tcW w:w="180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万元</w:t>
            </w:r>
            <w:r/>
          </w:p>
        </w:tc>
        <w:tc>
          <w:tcPr>
            <w:tcW w:w="1667"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净资产</w:t>
            </w:r>
            <w:r/>
          </w:p>
        </w:tc>
        <w:tc>
          <w:tcPr>
            <w:tcW w:w="2653"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trHeight w:val="445"/>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股东权益</w:t>
            </w:r>
            <w:r/>
          </w:p>
        </w:tc>
        <w:tc>
          <w:tcPr>
            <w:tcW w:w="180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万元</w:t>
            </w:r>
            <w:r/>
          </w:p>
        </w:tc>
        <w:tc>
          <w:tcPr>
            <w:tcW w:w="1667"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销售收入</w:t>
            </w:r>
            <w:r/>
          </w:p>
        </w:tc>
        <w:tc>
          <w:tcPr>
            <w:tcW w:w="2653"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年万元</w:t>
            </w:r>
            <w:r/>
          </w:p>
        </w:tc>
      </w:tr>
      <w:tr>
        <w:trPr>
          <w:cantSplit/>
          <w:trHeight w:val="666"/>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实现利润</w:t>
            </w:r>
            <w:r/>
          </w:p>
        </w:tc>
        <w:tc>
          <w:tcPr>
            <w:gridSpan w:val="3"/>
            <w:tcW w:w="612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年万元</w:t>
            </w:r>
            <w:r/>
          </w:p>
        </w:tc>
      </w:tr>
      <w:tr>
        <w:trPr>
          <w:cantSplit/>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营业面积(含厂房面积)</w:t>
            </w:r>
            <w:r/>
          </w:p>
        </w:tc>
        <w:tc>
          <w:tcPr>
            <w:tcW w:w="180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平方米</w:t>
            </w:r>
            <w:r/>
          </w:p>
        </w:tc>
        <w:tc>
          <w:tcPr>
            <w:tcW w:w="1667"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w:t>
            </w:r>
            <w:r/>
          </w:p>
        </w:tc>
        <w:tc>
          <w:tcPr>
            <w:tcW w:w="2653"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自有面积平方米</w:t>
            </w:r>
            <w:r/>
          </w:p>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承租面积平方米</w:t>
            </w:r>
            <w:r/>
          </w:p>
        </w:tc>
      </w:tr>
      <w:tr>
        <w:trPr>
          <w:cantSplit/>
          <w:trHeight w:val="765"/>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单位简历及内设机构情况</w:t>
            </w:r>
            <w:r/>
          </w:p>
        </w:tc>
        <w:tc>
          <w:tcPr>
            <w:gridSpan w:val="3"/>
            <w:tcW w:w="612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782"/>
        </w:trPr>
        <w:tc>
          <w:tcPr>
            <w:tcW w:w="2988"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单位优势及特长</w:t>
            </w:r>
            <w:r/>
          </w:p>
        </w:tc>
        <w:tc>
          <w:tcPr>
            <w:gridSpan w:val="3"/>
            <w:tcW w:w="612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Pr>
        <w:tc>
          <w:tcPr>
            <w:tcW w:w="2988" w:type="dxa"/>
            <w:textDirection w:val="lrTb"/>
            <w:noWrap/>
          </w:tcPr>
          <w:p>
            <w:pP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近三年来完成或正在履行的重大合同情况</w:t>
            </w:r>
            <w:r/>
          </w:p>
        </w:tc>
        <w:tc>
          <w:tcPr>
            <w:gridSpan w:val="3"/>
            <w:tcW w:w="6120" w:type="dxa"/>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Pr>
        <w:tc>
          <w:tcPr>
            <w:tcW w:w="2988" w:type="dxa"/>
            <w:textDirection w:val="lrTb"/>
            <w:noWrap/>
          </w:tcPr>
          <w:p>
            <w:pP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最近2年内在经营过程中受到何种奖励或处分</w:t>
            </w:r>
            <w:r/>
          </w:p>
        </w:tc>
        <w:tc>
          <w:tcPr>
            <w:gridSpan w:val="3"/>
            <w:tcW w:w="612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（包括财政、工商、税务、物价、技监部门稽查情况、结果）</w:t>
            </w:r>
            <w:r/>
          </w:p>
        </w:tc>
      </w:tr>
      <w:tr>
        <w:trPr>
          <w:cantSplit/>
        </w:trPr>
        <w:tc>
          <w:tcPr>
            <w:tcW w:w="2988" w:type="dxa"/>
            <w:textDirection w:val="lrTb"/>
            <w:noWrap/>
          </w:tcPr>
          <w:p>
            <w:pP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最近3年内有无因售假、售劣或是其他原因被消费者投诉或起诉的情况及说明</w:t>
            </w:r>
            <w:r/>
          </w:p>
        </w:tc>
        <w:tc>
          <w:tcPr>
            <w:gridSpan w:val="3"/>
            <w:tcW w:w="6120" w:type="dxa"/>
            <w:vAlign w:val="center"/>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（包括解决方式和结果）</w:t>
            </w:r>
            <w:r/>
          </w:p>
        </w:tc>
      </w:tr>
      <w:tr>
        <w:trPr>
          <w:cantSplit/>
        </w:trPr>
        <w:tc>
          <w:tcPr>
            <w:tcW w:w="2988" w:type="dxa"/>
            <w:textDirection w:val="lrTb"/>
            <w:noWrap/>
          </w:tcPr>
          <w:p>
            <w:pP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最近3年内主要负责人有无经济犯罪被司法机关追究的情况及说明</w:t>
            </w:r>
            <w:r/>
          </w:p>
        </w:tc>
        <w:tc>
          <w:tcPr>
            <w:gridSpan w:val="3"/>
            <w:tcW w:w="6120" w:type="dxa"/>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05"/>
        </w:trPr>
        <w:tc>
          <w:tcPr>
            <w:tcW w:w="2988" w:type="dxa"/>
            <w:textDirection w:val="lrTb"/>
            <w:noWrap/>
          </w:tcPr>
          <w:p>
            <w:pP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获得技术认证的工程师及简介</w:t>
            </w:r>
            <w:r/>
          </w:p>
        </w:tc>
        <w:tc>
          <w:tcPr>
            <w:gridSpan w:val="3"/>
            <w:tcW w:w="6120" w:type="dxa"/>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737"/>
        </w:trPr>
        <w:tc>
          <w:tcPr>
            <w:tcW w:w="2988" w:type="dxa"/>
            <w:vAlign w:val="center"/>
            <w:textDirection w:val="lrTb"/>
            <w:noWrap/>
          </w:tcPr>
          <w:p>
            <w:pP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其他需要说明的情况</w:t>
            </w:r>
            <w:r/>
          </w:p>
        </w:tc>
        <w:tc>
          <w:tcPr>
            <w:gridSpan w:val="3"/>
            <w:tcW w:w="6120" w:type="dxa"/>
            <w:textDirection w:val="lrTb"/>
            <w:noWrap/>
          </w:tcPr>
          <w:p>
            <w:pPr>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（4）中小企业声明函</w:t>
      </w:r>
      <w:r/>
    </w:p>
    <w:p>
      <w:pPr>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中小企业声明函（服务）</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（单位名称）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（项目名称）</w:t>
      </w:r>
      <w:r>
        <w:rPr>
          <w:rFonts w:hint="eastAsia" w:ascii="宋体" w:hAnsi="宋体" w:cs="宋体"/>
          <w:color w:val="000000" w:themeColor="text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80"/>
        <w:jc w:val="left"/>
        <w:spacing w:line="440" w:lineRule="exact"/>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（标的名称） </w:t>
      </w:r>
      <w:r>
        <w:rPr>
          <w:rFonts w:hint="eastAsia" w:ascii="宋体" w:hAnsi="宋体" w:cs="宋体"/>
          <w:color w:val="000000" w:themeColor="text1"/>
          <w:szCs w:val="21"/>
          <w:highlight w:val="none"/>
          <w14:textFill>
            <w14:solidFill>
              <w14:schemeClr w14:val="tx1"/>
            </w14:solidFill>
          </w14:textFill>
        </w:rPr>
        <w:t xml:space="preserve">，属于</w:t>
      </w:r>
      <w:r>
        <w:rPr>
          <w:rFonts w:hint="eastAsia" w:ascii="宋体" w:hAnsi="宋体"/>
          <w:b/>
          <w:szCs w:val="21"/>
          <w:highlight w:val="none"/>
          <w:u w:val="single"/>
        </w:rPr>
        <w:t xml:space="preserve">其他未列明行业</w:t>
      </w:r>
      <w:r>
        <w:rPr>
          <w:rFonts w:hint="eastAsia" w:ascii="宋体" w:hAnsi="宋体" w:cs="宋体"/>
          <w:color w:val="000000" w:themeColor="text1"/>
          <w:szCs w:val="21"/>
          <w:highlight w:val="none"/>
          <w14:textFill>
            <w14:solidFill>
              <w14:schemeClr w14:val="tx1"/>
            </w14:solidFill>
          </w14:textFill>
        </w:rPr>
        <w:t xml:space="preserve">； 承建（承接）企业为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（企业名称）</w:t>
      </w:r>
      <w:r>
        <w:rPr>
          <w:rFonts w:hint="eastAsia" w:ascii="宋体" w:hAnsi="宋体" w:cs="宋体"/>
          <w:color w:val="000000" w:themeColor="text1"/>
          <w:szCs w:val="21"/>
          <w:highlight w:val="none"/>
          <w14:textFill>
            <w14:solidFill>
              <w14:schemeClr w14:val="tx1"/>
            </w14:solidFill>
          </w14:textFill>
        </w:rPr>
        <w:t xml:space="preserve">，从业人员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人，营业收入为</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万元，属于</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（中型企业、小型企业、微型企业）； </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以上企业，不属于大企业的分支机构，不存在控股股东为大企业的情形，也不存在与大企业的负责人为同一人的情形。 </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本企业对上述声明内容的真实性负责。如有虚假，将依法承担相应责任。 </w:t>
      </w:r>
      <w:r/>
    </w:p>
    <w:p>
      <w:pPr>
        <w:ind w:firstLine="480"/>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企业名称（盖章）：</w:t>
      </w:r>
      <w:r/>
    </w:p>
    <w:p>
      <w:pPr>
        <w:ind w:firstLine="480"/>
        <w:jc w:val="center"/>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日 期：</w:t>
      </w:r>
      <w:r/>
    </w:p>
    <w:p>
      <w:pPr>
        <w:ind w:firstLine="480"/>
        <w:jc w:val="left"/>
        <w:spacing w:line="44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备注：¹从业人员、营业收入、资产总额填报上一年度数据，无上一年度数据的新成立企业可不填报。</w:t>
      </w:r>
      <w:r/>
    </w:p>
    <w:p>
      <w:pPr>
        <w:pStyle w:val="958"/>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958"/>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958"/>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szCs w:val="21"/>
          <w:highlight w:val="none"/>
        </w:rPr>
      </w:pPr>
      <w:r>
        <w:rPr>
          <w:rFonts w:ascii="宋体" w:hAnsi="宋体" w:cs="宋体"/>
          <w:szCs w:val="21"/>
          <w:highlight w:val="none"/>
        </w:rPr>
      </w:r>
      <w:r/>
    </w:p>
    <w:p>
      <w:pPr>
        <w:pStyle w:val="958"/>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958"/>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958"/>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958"/>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772"/>
        <w:ind w:firstLine="420"/>
        <w:shd w:val="clear" w:color="auto"/>
        <w:rPr>
          <w:rFonts w:ascii="宋体" w:hAnsi="宋体" w:cs="宋体"/>
          <w:sz w:val="21"/>
          <w:szCs w:val="21"/>
          <w:highlight w:val="none"/>
        </w:rPr>
      </w:pPr>
      <w:r>
        <w:rPr>
          <w:rFonts w:ascii="宋体" w:hAnsi="宋体" w:cs="宋体"/>
          <w:sz w:val="21"/>
          <w:szCs w:val="21"/>
          <w:highlight w:val="none"/>
        </w:rPr>
      </w:r>
      <w:r/>
    </w:p>
    <w:p>
      <w:pPr>
        <w:pStyle w:val="772"/>
        <w:ind w:firstLine="420"/>
        <w:shd w:val="clear" w:color="auto"/>
        <w:rPr>
          <w:rFonts w:ascii="宋体" w:hAnsi="宋体" w:cs="宋体"/>
          <w:sz w:val="21"/>
          <w:szCs w:val="21"/>
          <w:highlight w:val="none"/>
        </w:rPr>
      </w:pPr>
      <w:r>
        <w:rPr>
          <w:rFonts w:ascii="宋体" w:hAnsi="宋体" w:cs="宋体"/>
          <w:sz w:val="21"/>
          <w:szCs w:val="21"/>
          <w:highlight w:val="none"/>
        </w:rPr>
      </w:r>
      <w:r/>
    </w:p>
    <w:p>
      <w:pPr>
        <w:spacing w:line="360" w:lineRule="auto"/>
        <w:shd w:val="clear" w:color="auto"/>
        <w:widowControl/>
        <w:rPr>
          <w:rFonts w:ascii="宋体" w:hAnsi="宋体"/>
          <w:b/>
          <w:szCs w:val="21"/>
          <w:highlight w:val="none"/>
        </w:rPr>
      </w:pPr>
      <w:r>
        <w:rPr>
          <w:rFonts w:hint="eastAsia" w:ascii="宋体" w:hAnsi="宋体"/>
          <w:b/>
          <w:szCs w:val="21"/>
          <w:highlight w:val="none"/>
        </w:rPr>
        <w:t xml:space="preserve">附：中小企业划型标准规定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（一）农、林、牧、渔业。</w:t>
      </w:r>
      <w:r>
        <w:rPr>
          <w:rFonts w:hint="eastAsia" w:ascii="宋体" w:hAnsi="宋体"/>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（二）工业。</w:t>
      </w:r>
      <w:r>
        <w:rPr>
          <w:rFonts w:hint="eastAsia" w:ascii="宋体" w:hAnsi="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（三）建筑业。</w:t>
      </w:r>
      <w:r>
        <w:rPr>
          <w:rFonts w:hint="eastAsia" w:ascii="宋体" w:hAnsi="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（四）批发业。</w:t>
      </w:r>
      <w:r>
        <w:rPr>
          <w:rFonts w:hint="eastAsia" w:ascii="宋体" w:hAnsi="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（五）零售业。</w:t>
      </w:r>
      <w:r>
        <w:rPr>
          <w:rFonts w:hint="eastAsia" w:ascii="宋体" w:hAnsi="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（六）交通运输业。</w:t>
      </w:r>
      <w:r>
        <w:rPr>
          <w:rFonts w:hint="eastAsia" w:ascii="宋体" w:hAnsi="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（七）仓储业。</w:t>
      </w:r>
      <w:r>
        <w:rPr>
          <w:rFonts w:hint="eastAsia" w:ascii="宋体" w:hAnsi="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（八）邮政业。</w:t>
      </w:r>
      <w:r>
        <w:rPr>
          <w:rFonts w:hint="eastAsia" w:ascii="宋体" w:hAnsi="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（九）住宿业。</w:t>
      </w:r>
      <w:r>
        <w:rPr>
          <w:rFonts w:hint="eastAsia" w:ascii="宋体" w:hAnsi="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（十）餐饮业。</w:t>
      </w:r>
      <w:r>
        <w:rPr>
          <w:rFonts w:hint="eastAsia" w:ascii="宋体" w:hAnsi="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（十一）信息传输业。</w:t>
      </w:r>
      <w:r>
        <w:rPr>
          <w:rFonts w:hint="eastAsia" w:ascii="宋体" w:hAnsi="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（十二）软件和信息技术服务业。</w:t>
      </w:r>
      <w:r>
        <w:rPr>
          <w:rFonts w:hint="eastAsia" w:ascii="宋体" w:hAnsi="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（十三）房地产开发经营。</w:t>
      </w:r>
      <w:r>
        <w:rPr>
          <w:rFonts w:hint="eastAsia" w:ascii="宋体" w:hAnsi="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widowControl/>
        <w:rPr>
          <w:rFonts w:ascii="宋体" w:hAnsi="宋体"/>
          <w:szCs w:val="21"/>
          <w:highlight w:val="none"/>
        </w:rPr>
      </w:pPr>
      <w:r>
        <w:rPr>
          <w:rFonts w:hint="eastAsia" w:ascii="宋体" w:hAnsi="宋体"/>
          <w:b/>
          <w:szCs w:val="21"/>
          <w:highlight w:val="none"/>
        </w:rPr>
        <w:t xml:space="preserve">（十四）物业管理。</w:t>
      </w:r>
      <w:r>
        <w:rPr>
          <w:rFonts w:hint="eastAsia" w:ascii="宋体" w:hAnsi="宋体"/>
          <w:szCs w:val="21"/>
          <w:highlight w:val="none"/>
        </w:rPr>
        <w:t xml:space="preserve">从业人员1000人以下或营业收入5000万元以下的为中小微型企业。其中，从业人员</w:t>
      </w:r>
      <w:r/>
    </w:p>
    <w:p>
      <w:pPr>
        <w:spacing w:line="360" w:lineRule="auto"/>
        <w:shd w:val="clear" w:color="auto"/>
        <w:widowControl/>
        <w:rPr>
          <w:rFonts w:ascii="宋体" w:hAnsi="宋体"/>
          <w:szCs w:val="21"/>
          <w:highlight w:val="none"/>
        </w:rPr>
      </w:pPr>
      <w:r>
        <w:rPr>
          <w:rFonts w:hint="eastAsia" w:ascii="宋体" w:hAnsi="宋体"/>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widowControl/>
        <w:rPr>
          <w:rFonts w:ascii="宋体" w:hAnsi="宋体"/>
          <w:bCs/>
          <w:szCs w:val="21"/>
          <w:highlight w:val="none"/>
        </w:rPr>
      </w:pPr>
      <w:r>
        <w:rPr>
          <w:rFonts w:hint="eastAsia" w:ascii="宋体" w:hAnsi="宋体"/>
          <w:b/>
          <w:szCs w:val="21"/>
          <w:highlight w:val="none"/>
        </w:rPr>
        <w:t xml:space="preserve">（十五）租赁和商务服务业</w:t>
      </w:r>
      <w:r>
        <w:rPr>
          <w:rFonts w:hint="eastAsia" w:ascii="宋体" w:hAnsi="宋体"/>
          <w:bCs/>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widowControl/>
        <w:rPr>
          <w:rFonts w:ascii="宋体" w:hAnsi="宋体"/>
          <w:bCs/>
          <w:szCs w:val="21"/>
          <w:highlight w:val="none"/>
        </w:rPr>
      </w:pPr>
      <w:r>
        <w:rPr>
          <w:rFonts w:hint="eastAsia" w:ascii="宋体" w:hAnsi="宋体"/>
          <w:b/>
          <w:szCs w:val="21"/>
          <w:highlight w:val="none"/>
        </w:rPr>
        <w:t xml:space="preserve">（十六）其他未列明行业。</w:t>
      </w:r>
      <w:r>
        <w:rPr>
          <w:rFonts w:hint="eastAsia" w:ascii="宋体" w:hAnsi="宋体"/>
          <w:bCs/>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ind w:firstLine="420"/>
        <w:spacing w:line="360" w:lineRule="auto"/>
        <w:shd w:val="clear" w:color="auto"/>
        <w:widowControl/>
        <w:rPr>
          <w:rFonts w:ascii="宋体" w:hAnsi="宋体"/>
          <w:bCs/>
          <w:szCs w:val="21"/>
          <w:highlight w:val="none"/>
        </w:rPr>
      </w:pPr>
      <w:r>
        <w:rPr>
          <w:rFonts w:ascii="宋体" w:hAnsi="宋体"/>
          <w:bCs/>
          <w:szCs w:val="21"/>
          <w:highlight w:val="none"/>
        </w:rPr>
      </w:r>
      <w:r/>
    </w:p>
    <w:p>
      <w:pPr>
        <w:jc w:val="left"/>
        <w:spacing w:line="44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（5）残疾人福利性单位声明函</w:t>
      </w:r>
      <w:r/>
    </w:p>
    <w:p>
      <w:pPr>
        <w:jc w:val="center"/>
        <w:spacing w:before="602" w:line="480" w:lineRule="atLeast"/>
        <w:shd w:val="clear" w:color="auto"/>
        <w:widowControl/>
        <w:rPr>
          <w:rFonts w:ascii="宋体" w:hAnsi="宋体" w:cs="宋体"/>
          <w:b/>
          <w:bCs/>
          <w:szCs w:val="21"/>
          <w:highlight w:val="none"/>
        </w:rPr>
      </w:pPr>
      <w:r>
        <w:rPr>
          <w:rFonts w:hint="eastAsia" w:ascii="宋体" w:hAnsi="宋体" w:cs="宋体"/>
          <w:b/>
          <w:bCs/>
          <w:szCs w:val="21"/>
          <w:highlight w:val="none"/>
        </w:rPr>
        <w:t xml:space="preserve">残疾人福利性单位声明函</w:t>
      </w:r>
      <w:r/>
    </w:p>
    <w:p>
      <w:pPr>
        <w:ind w:firstLine="480"/>
        <w:jc w:val="left"/>
        <w:spacing w:before="602" w:line="480" w:lineRule="atLeast"/>
        <w:shd w:val="clear" w:color="auto"/>
        <w:widowControl/>
        <w:rPr>
          <w:rFonts w:ascii="宋体" w:hAnsi="宋体" w:cs="宋体"/>
          <w:szCs w:val="21"/>
          <w:highlight w:val="none"/>
        </w:rPr>
      </w:pPr>
      <w:r>
        <w:rPr>
          <w:rFonts w:hint="eastAsia" w:ascii="宋体" w:hAnsi="宋体" w:cs="宋体"/>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480" w:lineRule="atLeast"/>
        <w:shd w:val="clear" w:color="auto"/>
        <w:widowControl/>
        <w:rPr>
          <w:rFonts w:ascii="宋体" w:hAnsi="宋体" w:cs="宋体"/>
          <w:szCs w:val="21"/>
          <w:highlight w:val="none"/>
        </w:rPr>
      </w:pPr>
      <w:r>
        <w:rPr>
          <w:rFonts w:hint="eastAsia" w:ascii="宋体" w:hAnsi="宋体" w:cs="宋体"/>
          <w:szCs w:val="21"/>
          <w:highlight w:val="none"/>
          <w:lang w:val="zh-CN"/>
        </w:rPr>
        <w:t xml:space="preserve">本单位对上述声明的真实性负责。如有虚假，将依法承担相应责任。</w:t>
      </w:r>
      <w:r/>
    </w:p>
    <w:p>
      <w:pPr>
        <w:jc w:val="left"/>
        <w:spacing w:before="602" w:line="480" w:lineRule="atLeast"/>
        <w:shd w:val="clear" w:color="auto"/>
        <w:widowControl/>
        <w:rPr>
          <w:rFonts w:ascii="宋体" w:hAnsi="宋体" w:cs="宋体"/>
          <w:szCs w:val="21"/>
          <w:highlight w:val="none"/>
        </w:rPr>
      </w:pPr>
      <w:r>
        <w:rPr>
          <w:rFonts w:ascii="宋体" w:hAnsi="宋体" w:cs="宋体"/>
          <w:szCs w:val="21"/>
          <w:highlight w:val="none"/>
        </w:rPr>
      </w:r>
      <w:r/>
    </w:p>
    <w:p>
      <w:pPr>
        <w:jc w:val="left"/>
        <w:spacing w:before="602" w:line="480" w:lineRule="atLeast"/>
        <w:shd w:val="clear" w:color="auto"/>
        <w:widowControl/>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zh-CN"/>
        </w:rPr>
        <w:t xml:space="preserve">单位名称（盖章）：</w:t>
      </w:r>
      <w:r/>
    </w:p>
    <w:p>
      <w:pPr>
        <w:jc w:val="left"/>
        <w:spacing w:before="602" w:line="480" w:lineRule="atLeast"/>
        <w:shd w:val="clear" w:color="auto"/>
        <w:widowControl/>
        <w:rPr>
          <w:rFonts w:ascii="宋体" w:hAnsi="宋体" w:cs="宋体"/>
          <w:szCs w:val="21"/>
          <w:highlight w:val="none"/>
        </w:rPr>
      </w:pPr>
      <w:r>
        <w:rPr>
          <w:rFonts w:hint="eastAsia" w:ascii="宋体" w:hAnsi="宋体" w:cs="宋体"/>
          <w:szCs w:val="21"/>
          <w:highlight w:val="none"/>
          <w:lang w:val="zh-CN"/>
        </w:rPr>
        <w:t xml:space="preserve">                    日  期：</w:t>
      </w:r>
      <w:r/>
    </w:p>
    <w:p>
      <w:pPr>
        <w:jc w:val="left"/>
        <w:spacing w:before="602" w:line="480" w:lineRule="atLeast"/>
        <w:shd w:val="clear" w:color="auto"/>
        <w:widowControl/>
        <w:rPr>
          <w:rFonts w:ascii="宋体" w:hAnsi="宋体" w:cs="宋体"/>
          <w:b/>
          <w:bCs/>
          <w:szCs w:val="21"/>
          <w:highlight w:val="none"/>
        </w:rPr>
      </w:pPr>
      <w:r>
        <w:rPr>
          <w:rFonts w:ascii="宋体" w:hAnsi="宋体" w:cs="宋体"/>
          <w:b/>
          <w:bCs/>
          <w:szCs w:val="21"/>
          <w:highlight w:val="none"/>
        </w:rPr>
      </w:r>
      <w:r/>
    </w:p>
    <w:p>
      <w:pPr>
        <w:ind w:firstLine="482"/>
        <w:jc w:val="left"/>
        <w:spacing w:before="602" w:line="480" w:lineRule="atLeast"/>
        <w:shd w:val="clear" w:color="auto"/>
        <w:widowControl/>
        <w:rPr>
          <w:rFonts w:ascii="宋体" w:hAnsi="宋体" w:cs="宋体"/>
          <w:b/>
          <w:bCs/>
          <w:szCs w:val="21"/>
          <w:highlight w:val="none"/>
        </w:rPr>
      </w:pPr>
      <w:r>
        <w:rPr>
          <w:rFonts w:ascii="宋体" w:hAnsi="宋体" w:cs="宋体"/>
          <w:b/>
          <w:bCs/>
          <w:szCs w:val="21"/>
          <w:highlight w:val="none"/>
        </w:rPr>
      </w:r>
      <w:r/>
    </w:p>
    <w:p>
      <w:pPr>
        <w:jc w:val="left"/>
        <w:spacing w:line="440" w:lineRule="exact"/>
        <w:shd w:val="clear" w:color="auto"/>
        <w:rPr>
          <w:rFonts w:ascii="宋体" w:hAnsi="宋体" w:cs="宋体"/>
          <w:szCs w:val="21"/>
          <w:highlight w:val="none"/>
        </w:rPr>
      </w:pPr>
      <w:r>
        <w:rPr>
          <w:rFonts w:ascii="宋体" w:hAnsi="宋体" w:cs="宋体"/>
          <w:szCs w:val="21"/>
          <w:highlight w:val="none"/>
        </w:rPr>
      </w:r>
      <w:r/>
    </w:p>
    <w:p>
      <w:pPr>
        <w:pStyle w:val="958"/>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958"/>
        <w:shd w:val="clear" w:color="auto"/>
        <w:rPr>
          <w:szCs w:val="21"/>
          <w:highlight w:val="none"/>
        </w:rPr>
      </w:pPr>
      <w:r>
        <w:rPr>
          <w:szCs w:val="21"/>
          <w:highlight w:val="none"/>
        </w:rPr>
      </w:r>
      <w:r/>
    </w:p>
    <w:p>
      <w:pPr>
        <w:shd w:val="clear" w:color="auto"/>
        <w:rPr>
          <w:szCs w:val="21"/>
          <w:highlight w:val="none"/>
        </w:rPr>
      </w:pPr>
      <w:r>
        <w:rPr>
          <w:szCs w:val="21"/>
          <w:highlight w:val="none"/>
        </w:rPr>
      </w:r>
      <w:r/>
    </w:p>
    <w:p>
      <w:pPr>
        <w:shd w:val="clear" w:color="auto"/>
        <w:rPr>
          <w:szCs w:val="21"/>
          <w:highlight w:val="none"/>
        </w:rPr>
      </w:pPr>
      <w:r>
        <w:rPr>
          <w:szCs w:val="21"/>
          <w:highlight w:val="none"/>
        </w:rPr>
      </w:r>
      <w:r/>
    </w:p>
    <w:p>
      <w:pPr>
        <w:jc w:val="left"/>
        <w:spacing w:line="440" w:lineRule="exact"/>
        <w:shd w:val="clear" w:color="auto"/>
        <w:rPr>
          <w:rFonts w:ascii="宋体" w:hAnsi="宋体" w:cs="宋体"/>
          <w:szCs w:val="21"/>
          <w:highlight w:val="none"/>
        </w:rPr>
      </w:pPr>
      <w:r>
        <w:rPr>
          <w:rFonts w:ascii="宋体" w:hAnsi="宋体" w:cs="宋体"/>
          <w:szCs w:val="21"/>
          <w:highlight w:val="none"/>
        </w:rPr>
      </w:r>
      <w:r/>
    </w:p>
    <w:p>
      <w:pPr>
        <w:jc w:val="left"/>
        <w:spacing w:line="440" w:lineRule="exact"/>
        <w:shd w:val="clear" w:color="auto"/>
        <w:rPr>
          <w:rFonts w:ascii="宋体" w:hAnsi="宋体" w:cs="宋体"/>
          <w:szCs w:val="21"/>
          <w:highlight w:val="none"/>
        </w:rPr>
      </w:pPr>
      <w:r>
        <w:rPr>
          <w:rFonts w:ascii="宋体" w:hAnsi="宋体" w:cs="宋体"/>
          <w:szCs w:val="21"/>
          <w:highlight w:val="none"/>
        </w:rPr>
      </w:r>
      <w:r/>
    </w:p>
    <w:p>
      <w:pPr>
        <w:jc w:val="left"/>
        <w:spacing w:line="440" w:lineRule="exact"/>
        <w:shd w:val="clear" w:color="auto"/>
        <w:rPr>
          <w:rFonts w:ascii="宋体" w:hAnsi="宋体" w:cs="宋体"/>
          <w:szCs w:val="21"/>
          <w:highlight w:val="none"/>
        </w:rPr>
      </w:pPr>
      <w:r>
        <w:rPr>
          <w:rFonts w:ascii="宋体" w:hAnsi="宋体" w:cs="宋体"/>
          <w:szCs w:val="21"/>
          <w:highlight w:val="none"/>
        </w:rPr>
      </w:r>
      <w:r/>
    </w:p>
    <w:p>
      <w:pPr>
        <w:jc w:val="left"/>
        <w:spacing w:line="440" w:lineRule="exact"/>
        <w:shd w:val="clear" w:color="auto"/>
        <w:rPr>
          <w:rFonts w:ascii="宋体" w:hAnsi="宋体" w:cs="宋体"/>
          <w:b/>
          <w:bCs/>
          <w:szCs w:val="21"/>
          <w:highlight w:val="none"/>
        </w:rPr>
      </w:pPr>
      <w:r>
        <w:rPr>
          <w:rFonts w:ascii="宋体" w:hAnsi="宋体" w:cs="宋体"/>
          <w:b/>
          <w:bCs/>
          <w:szCs w:val="21"/>
          <w:highlight w:val="none"/>
        </w:rPr>
      </w:r>
      <w:r/>
    </w:p>
    <w:p>
      <w:pPr>
        <w:jc w:val="left"/>
        <w:spacing w:line="440" w:lineRule="exact"/>
        <w:shd w:val="clear" w:color="auto"/>
        <w:rPr>
          <w:rFonts w:ascii="宋体" w:hAnsi="宋体" w:cs="宋体"/>
          <w:b/>
          <w:bCs/>
          <w:szCs w:val="21"/>
          <w:highlight w:val="none"/>
        </w:rPr>
      </w:pPr>
      <w:r>
        <w:rPr>
          <w:rFonts w:ascii="宋体" w:hAnsi="宋体" w:cs="宋体"/>
          <w:b/>
          <w:bCs/>
          <w:szCs w:val="21"/>
          <w:highlight w:val="none"/>
        </w:rPr>
      </w:r>
      <w:r/>
    </w:p>
    <w:p>
      <w:pPr>
        <w:jc w:val="left"/>
        <w:spacing w:line="440" w:lineRule="exact"/>
        <w:shd w:val="clear" w:color="auto"/>
        <w:rPr>
          <w:rFonts w:ascii="宋体" w:hAnsi="宋体" w:cs="宋体"/>
          <w:b/>
          <w:bCs/>
          <w:szCs w:val="21"/>
          <w:highlight w:val="none"/>
        </w:rPr>
      </w:pPr>
      <w:r>
        <w:rPr>
          <w:rFonts w:hint="eastAsia" w:ascii="宋体" w:hAnsi="宋体" w:cs="宋体"/>
          <w:b/>
          <w:bCs/>
          <w:szCs w:val="21"/>
          <w:highlight w:val="none"/>
        </w:rPr>
        <w:t xml:space="preserve">（6）监狱企业声明函</w:t>
      </w:r>
      <w:r/>
    </w:p>
    <w:p>
      <w:pPr>
        <w:jc w:val="center"/>
        <w:shd w:val="clear" w:color="auto"/>
        <w:rPr>
          <w:rFonts w:ascii="宋体" w:hAnsi="宋体" w:cs="宋体"/>
          <w:szCs w:val="21"/>
          <w:highlight w:val="none"/>
        </w:rPr>
      </w:pPr>
      <w:r>
        <w:rPr>
          <w:rFonts w:ascii="宋体" w:hAnsi="宋体" w:cs="宋体"/>
          <w:szCs w:val="21"/>
          <w:highlight w:val="none"/>
        </w:rPr>
      </w:r>
      <w:r/>
    </w:p>
    <w:p>
      <w:pPr>
        <w:jc w:val="center"/>
        <w:shd w:val="clear" w:color="auto"/>
        <w:rPr>
          <w:rFonts w:ascii="宋体" w:hAnsi="宋体" w:cs="宋体"/>
          <w:b/>
          <w:szCs w:val="21"/>
          <w:highlight w:val="none"/>
        </w:rPr>
      </w:pPr>
      <w:r>
        <w:rPr>
          <w:rFonts w:hint="eastAsia" w:ascii="宋体" w:hAnsi="宋体" w:cs="宋体"/>
          <w:b/>
          <w:bCs/>
          <w:szCs w:val="21"/>
          <w:highlight w:val="none"/>
        </w:rPr>
        <w:t xml:space="preserve">监狱企业声明函</w:t>
      </w:r>
      <w:r/>
    </w:p>
    <w:p>
      <w:pPr>
        <w:ind w:firstLine="480"/>
        <w:jc w:val="left"/>
        <w:spacing w:before="75" w:after="75" w:line="435" w:lineRule="atLeast"/>
        <w:shd w:val="clear" w:color="auto"/>
        <w:widowControl/>
        <w:rPr>
          <w:rFonts w:ascii="宋体" w:hAnsi="宋体" w:cs="宋体"/>
          <w:szCs w:val="21"/>
          <w:highlight w:val="none"/>
        </w:rPr>
      </w:pPr>
      <w:r>
        <w:rPr>
          <w:rFonts w:ascii="宋体" w:hAnsi="宋体" w:cs="宋体"/>
          <w:szCs w:val="21"/>
          <w:highlight w:val="none"/>
        </w:rPr>
      </w:r>
      <w:r/>
    </w:p>
    <w:p>
      <w:pPr>
        <w:ind w:firstLine="480"/>
        <w:jc w:val="left"/>
        <w:spacing w:before="75" w:after="75" w:line="435" w:lineRule="atLeast"/>
        <w:shd w:val="clear" w:color="auto"/>
        <w:widowControl/>
        <w:rPr>
          <w:rFonts w:ascii="宋体" w:hAnsi="宋体" w:cs="宋体"/>
          <w:szCs w:val="21"/>
          <w:highlight w:val="none"/>
        </w:rPr>
      </w:pPr>
      <w:r>
        <w:rPr>
          <w:rFonts w:hint="eastAsia" w:ascii="宋体" w:hAnsi="宋体" w:cs="宋体"/>
          <w:szCs w:val="21"/>
          <w:highlight w:val="none"/>
        </w:rPr>
        <w:t xml:space="preserve">本企业（单位）郑重声明下列事项（按照实际情况勾选或填空）：</w:t>
      </w:r>
      <w:r/>
    </w:p>
    <w:p>
      <w:pPr>
        <w:ind w:firstLine="480"/>
        <w:jc w:val="left"/>
        <w:spacing w:before="75" w:after="75" w:line="435" w:lineRule="atLeast"/>
        <w:shd w:val="clear" w:color="auto"/>
        <w:widowControl/>
        <w:rPr>
          <w:rFonts w:ascii="宋体" w:hAnsi="宋体" w:cs="宋体"/>
          <w:szCs w:val="21"/>
          <w:highlight w:val="none"/>
        </w:rPr>
      </w:pPr>
      <w:r>
        <w:rPr>
          <w:rFonts w:hint="eastAsia" w:ascii="宋体" w:hAnsi="宋体" w:cs="宋体"/>
          <w:szCs w:val="21"/>
          <w:highlight w:val="none"/>
        </w:rPr>
        <w:t xml:space="preserve">本企业（单位）为直接投标人提供本企业（单位）的服务。</w:t>
      </w:r>
      <w:r/>
    </w:p>
    <w:p>
      <w:pPr>
        <w:ind w:firstLine="480"/>
        <w:jc w:val="left"/>
        <w:spacing w:before="75" w:after="75" w:line="435" w:lineRule="atLeast"/>
        <w:shd w:val="clear" w:color="auto"/>
        <w:widowControl/>
        <w:rPr>
          <w:rFonts w:ascii="宋体" w:hAnsi="宋体" w:cs="宋体"/>
          <w:szCs w:val="21"/>
          <w:highlight w:val="none"/>
        </w:rPr>
      </w:pPr>
      <w:r>
        <w:rPr>
          <w:rFonts w:hint="eastAsia" w:ascii="宋体" w:hAnsi="宋体" w:cs="宋体"/>
          <w:szCs w:val="21"/>
          <w:highlight w:val="none"/>
        </w:rPr>
        <w:t xml:space="preserve">（1）本企业（单位）（请填写：是、不是）监狱企业。后附省级以上监狱管理局、戒毒管理局（含新疆生产建设兵团）出具的属于监狱企业的证明文件。</w:t>
      </w:r>
      <w:r/>
    </w:p>
    <w:p>
      <w:pPr>
        <w:ind w:firstLine="480"/>
        <w:jc w:val="left"/>
        <w:spacing w:before="75" w:after="75" w:line="435" w:lineRule="atLeast"/>
        <w:shd w:val="clear" w:color="auto"/>
        <w:widowControl/>
        <w:rPr>
          <w:rFonts w:ascii="宋体" w:hAnsi="宋体" w:cs="宋体"/>
          <w:szCs w:val="21"/>
          <w:highlight w:val="none"/>
        </w:rPr>
      </w:pPr>
      <w:r>
        <w:rPr>
          <w:rFonts w:hint="eastAsia" w:ascii="宋体" w:hAnsi="宋体" w:cs="宋体"/>
          <w:szCs w:val="21"/>
          <w:highlight w:val="none"/>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435" w:lineRule="atLeast"/>
        <w:shd w:val="clear" w:color="auto"/>
        <w:widowControl/>
        <w:rPr>
          <w:rFonts w:ascii="宋体" w:hAnsi="宋体" w:cs="宋体"/>
          <w:szCs w:val="21"/>
          <w:highlight w:val="none"/>
        </w:rPr>
      </w:pPr>
      <w:r>
        <w:rPr>
          <w:rFonts w:hint="eastAsia" w:ascii="宋体" w:hAnsi="宋体" w:cs="宋体"/>
          <w:szCs w:val="21"/>
          <w:highlight w:val="none"/>
        </w:rPr>
        <w:t xml:space="preserve">　　本企业（单位）对上述声明的真实性负责。如有虚假，将依法承担相应责任。</w:t>
      </w:r>
      <w:r/>
    </w:p>
    <w:p>
      <w:pPr>
        <w:ind w:firstLine="480"/>
        <w:jc w:val="left"/>
        <w:spacing w:before="75" w:after="75" w:line="435" w:lineRule="atLeast"/>
        <w:shd w:val="clear" w:color="auto"/>
        <w:widowControl/>
        <w:rPr>
          <w:rFonts w:ascii="宋体" w:hAnsi="宋体" w:cs="宋体"/>
          <w:szCs w:val="21"/>
          <w:highlight w:val="none"/>
        </w:rPr>
      </w:pPr>
      <w:r>
        <w:rPr>
          <w:rFonts w:ascii="宋体" w:hAnsi="宋体" w:cs="宋体"/>
          <w:szCs w:val="21"/>
          <w:highlight w:val="none"/>
        </w:rPr>
      </w:r>
      <w:r/>
    </w:p>
    <w:p>
      <w:pPr>
        <w:ind w:firstLine="480"/>
        <w:jc w:val="left"/>
        <w:spacing w:before="75" w:after="75" w:line="435" w:lineRule="atLeast"/>
        <w:shd w:val="clear" w:color="auto"/>
        <w:widowControl/>
        <w:rPr>
          <w:rFonts w:ascii="宋体" w:hAnsi="宋体" w:cs="宋体"/>
          <w:szCs w:val="21"/>
          <w:highlight w:val="none"/>
        </w:rPr>
      </w:pPr>
      <w:r>
        <w:rPr>
          <w:rFonts w:ascii="宋体" w:hAnsi="宋体" w:cs="宋体"/>
          <w:szCs w:val="21"/>
          <w:highlight w:val="none"/>
        </w:rPr>
      </w:r>
      <w:r/>
    </w:p>
    <w:p>
      <w:pPr>
        <w:ind w:right="1560" w:firstLine="504"/>
        <w:jc w:val="center"/>
        <w:spacing w:line="360" w:lineRule="auto"/>
        <w:shd w:val="clear" w:color="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p>
    <w:p>
      <w:pPr>
        <w:ind w:firstLine="444"/>
        <w:shd w:val="clear" w:color="auto"/>
        <w:rPr>
          <w:rFonts w:ascii="宋体" w:hAnsi="宋体" w:cs="宋体"/>
          <w:szCs w:val="21"/>
          <w:highlight w:val="none"/>
        </w:rPr>
      </w:pPr>
      <w:r>
        <w:rPr>
          <w:rFonts w:hint="eastAsia" w:ascii="宋体" w:hAnsi="宋体" w:cs="宋体"/>
          <w:spacing w:val="6"/>
          <w:szCs w:val="21"/>
          <w:highlight w:val="none"/>
        </w:rPr>
        <w:t xml:space="preserve">                                       日  期：</w:t>
      </w:r>
      <w:r/>
    </w:p>
    <w:p>
      <w:pPr>
        <w:jc w:val="left"/>
        <w:spacing w:line="440" w:lineRule="exact"/>
        <w:shd w:val="clear" w:color="auto"/>
        <w:rPr>
          <w:rFonts w:ascii="宋体" w:hAnsi="宋体" w:cs="宋体"/>
          <w:b/>
          <w:bCs/>
          <w:szCs w:val="21"/>
          <w:highlight w:val="none"/>
        </w:rPr>
      </w:pPr>
      <w:r>
        <w:rPr>
          <w:rFonts w:ascii="宋体" w:hAnsi="宋体" w:cs="宋体"/>
          <w:b/>
          <w:bCs/>
          <w:szCs w:val="21"/>
          <w:highlight w:val="none"/>
        </w:rPr>
      </w:r>
      <w:r/>
    </w:p>
    <w:p>
      <w:pPr>
        <w:shd w:val="clear" w:color="auto"/>
        <w:rPr>
          <w:rFonts w:ascii="宋体" w:hAnsi="宋体" w:cs="宋体"/>
          <w:szCs w:val="21"/>
          <w:highlight w:val="none"/>
        </w:rPr>
        <w:sectPr>
          <w:headerReference w:type="default" r:id="rId9"/>
          <w:footerReference w:type="default" r:id="rId10"/>
          <w:footerReference w:type="first" r:id="rId11"/>
          <w:footnotePr/>
          <w:endnotePr/>
          <w:type w:val="nextPage"/>
          <w:pgSz w:w="11906" w:h="16838" w:orient="portrait"/>
          <w:pgMar w:top="907" w:right="748" w:bottom="907" w:left="970" w:header="624" w:footer="510" w:gutter="113"/>
          <w:cols w:num="1" w:sep="0" w:space="1701" w:equalWidth="1"/>
          <w:docGrid w:linePitch="360"/>
          <w:titlePg/>
        </w:sectPr>
      </w:pPr>
      <w:r>
        <w:rPr>
          <w:rFonts w:ascii="宋体" w:hAnsi="宋体" w:cs="宋体"/>
          <w:szCs w:val="21"/>
          <w:highlight w:val="none"/>
        </w:rPr>
      </w:r>
      <w:r/>
    </w:p>
    <w:p>
      <w:pPr>
        <w:pStyle w:val="790"/>
        <w:spacing w:before="30" w:after="30"/>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（7）关于符合本国产品标准的声明函</w:t>
      </w:r>
      <w:r/>
    </w:p>
    <w:p>
      <w:pPr>
        <w:pStyle w:val="790"/>
        <w:jc w:val="center"/>
        <w:spacing w:before="30" w:after="30" w:line="360" w:lineRule="auto"/>
        <w:shd w:val="clear" w:color="auto"/>
        <w:rPr>
          <w:rFonts w:ascii="宋体" w:hAnsi="宋体" w:cs="宋体"/>
          <w:color w:val="333333"/>
          <w:sz w:val="21"/>
          <w:szCs w:val="21"/>
          <w:highlight w:val="none"/>
        </w:rPr>
      </w:pPr>
      <w:r>
        <w:rPr>
          <w:rStyle w:val="795"/>
          <w:rFonts w:hint="eastAsia" w:ascii="宋体" w:hAnsi="宋体" w:cs="宋体"/>
          <w:color w:val="333333"/>
          <w:sz w:val="21"/>
          <w:szCs w:val="21"/>
          <w:highlight w:val="none"/>
          <w:shd w:val="clear" w:color="auto" w:fill="ffffff"/>
        </w:rPr>
        <w:t xml:space="preserve">关于符合本国产品标准的声明函</w:t>
      </w:r>
      <w:r/>
    </w:p>
    <w:p>
      <w:pPr>
        <w:pStyle w:val="790"/>
        <w:ind w:firstLine="420"/>
        <w:spacing w:before="30" w:after="30" w:line="360" w:lineRule="auto"/>
        <w:shd w:val="clear" w:color="auto"/>
        <w:rPr>
          <w:rFonts w:ascii="宋体" w:hAnsi="宋体" w:cs="宋体"/>
          <w:color w:val="333333"/>
          <w:sz w:val="21"/>
          <w:szCs w:val="21"/>
          <w:highlight w:val="none"/>
        </w:rPr>
      </w:pPr>
      <w:r>
        <w:rPr>
          <w:rFonts w:ascii="宋体" w:hAnsi="宋体" w:cs="宋体"/>
          <w:color w:val="333333"/>
          <w:sz w:val="21"/>
          <w:szCs w:val="21"/>
          <w:highlight w:val="none"/>
        </w:rPr>
      </w:r>
      <w:r/>
    </w:p>
    <w:p>
      <w:pPr>
        <w:pStyle w:val="790"/>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1.</w:t>
      </w:r>
      <w:r>
        <w:rPr>
          <w:rStyle w:val="797"/>
          <w:rFonts w:hint="eastAsia" w:ascii="宋体" w:hAnsi="宋体" w:cs="宋体"/>
          <w:i w:val="0"/>
          <w:color w:val="333333"/>
          <w:sz w:val="21"/>
          <w:szCs w:val="21"/>
          <w:highlight w:val="none"/>
          <w:u w:val="single"/>
          <w:shd w:val="clear" w:color="auto" w:fill="ffffff"/>
        </w:rPr>
        <w:t xml:space="preserve">（产品名称1）</w:t>
      </w:r>
      <w:r>
        <w:rPr>
          <w:rStyle w:val="797"/>
          <w:rFonts w:hint="eastAsia" w:ascii="宋体" w:hAnsi="宋体" w:cs="宋体"/>
          <w:i w:val="0"/>
          <w:color w:val="333333"/>
          <w:sz w:val="21"/>
          <w:szCs w:val="21"/>
          <w:highlight w:val="none"/>
          <w:shd w:val="clear" w:color="auto" w:fill="ffffff"/>
          <w:vertAlign w:val="superscript"/>
        </w:rPr>
        <w:t xml:space="preserve">1</w:t>
      </w:r>
      <w:r>
        <w:rPr>
          <w:rFonts w:hint="eastAsia" w:ascii="宋体" w:hAnsi="宋体" w:cs="宋体"/>
          <w:color w:val="333333"/>
          <w:sz w:val="21"/>
          <w:szCs w:val="21"/>
          <w:highlight w:val="none"/>
          <w:shd w:val="clear" w:color="auto" w:fill="ffffff"/>
        </w:rPr>
        <w:t xml:space="preserve">，生产厂为</w:t>
      </w:r>
      <w:r>
        <w:rPr>
          <w:rStyle w:val="797"/>
          <w:rFonts w:hint="eastAsia" w:ascii="宋体" w:hAnsi="宋体" w:cs="宋体"/>
          <w:i w:val="0"/>
          <w:color w:val="333333"/>
          <w:sz w:val="21"/>
          <w:szCs w:val="21"/>
          <w:highlight w:val="none"/>
          <w:u w:val="single"/>
          <w:shd w:val="clear" w:color="auto" w:fill="ffffff"/>
        </w:rPr>
        <w:t xml:space="preserve">（厂名）</w:t>
      </w:r>
      <w:r>
        <w:rPr>
          <w:rStyle w:val="797"/>
          <w:rFonts w:hint="eastAsia" w:ascii="宋体" w:hAnsi="宋体" w:cs="宋体"/>
          <w:i w:val="0"/>
          <w:color w:val="333333"/>
          <w:sz w:val="21"/>
          <w:szCs w:val="21"/>
          <w:highlight w:val="none"/>
          <w:shd w:val="clear" w:color="auto" w:fill="ffffff"/>
          <w:vertAlign w:val="superscript"/>
        </w:rPr>
        <w:t xml:space="preserve">2</w:t>
      </w:r>
      <w:r>
        <w:rPr>
          <w:rFonts w:hint="eastAsia" w:ascii="宋体" w:hAnsi="宋体" w:cs="宋体"/>
          <w:color w:val="333333"/>
          <w:sz w:val="21"/>
          <w:szCs w:val="21"/>
          <w:highlight w:val="none"/>
          <w:shd w:val="clear" w:color="auto" w:fill="ffffff"/>
        </w:rPr>
        <w:t xml:space="preserve">，厂址为</w:t>
      </w:r>
      <w:r>
        <w:rPr>
          <w:rStyle w:val="797"/>
          <w:rFonts w:hint="eastAsia" w:ascii="宋体" w:hAnsi="宋体" w:cs="宋体"/>
          <w:i w:val="0"/>
          <w:color w:val="333333"/>
          <w:sz w:val="21"/>
          <w:szCs w:val="21"/>
          <w:highlight w:val="none"/>
          <w:u w:val="single"/>
          <w:shd w:val="clear" w:color="auto" w:fill="ffffff"/>
        </w:rPr>
        <w:t xml:space="preserve">（生产厂址）</w:t>
      </w:r>
      <w:r>
        <w:rPr>
          <w:rFonts w:hint="eastAsia" w:ascii="宋体" w:hAnsi="宋体" w:cs="宋体"/>
          <w:color w:val="333333"/>
          <w:sz w:val="21"/>
          <w:szCs w:val="21"/>
          <w:highlight w:val="none"/>
          <w:shd w:val="clear" w:color="auto" w:fill="ffffff"/>
        </w:rPr>
        <w:t xml:space="preserve">。</w:t>
      </w:r>
      <w:r>
        <w:rPr>
          <w:rStyle w:val="797"/>
          <w:rFonts w:hint="eastAsia" w:ascii="宋体" w:hAnsi="宋体" w:cs="宋体"/>
          <w:i w:val="0"/>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的中国境内生产的组件成本占比≥</w:t>
      </w:r>
      <w:r>
        <w:rPr>
          <w:rStyle w:val="797"/>
          <w:rFonts w:hint="eastAsia" w:ascii="宋体" w:hAnsi="宋体" w:cs="宋体"/>
          <w:i w:val="0"/>
          <w:color w:val="333333"/>
          <w:sz w:val="21"/>
          <w:szCs w:val="21"/>
          <w:highlight w:val="none"/>
          <w:u w:val="single"/>
          <w:shd w:val="clear" w:color="auto" w:fill="ffffff"/>
        </w:rPr>
        <w:t xml:space="preserve">（规定比例）</w:t>
      </w:r>
      <w:r>
        <w:rPr>
          <w:rStyle w:val="797"/>
          <w:rFonts w:hint="eastAsia" w:ascii="宋体" w:hAnsi="宋体" w:cs="宋体"/>
          <w:i w:val="0"/>
          <w:color w:val="333333"/>
          <w:sz w:val="21"/>
          <w:szCs w:val="21"/>
          <w:highlight w:val="none"/>
          <w:shd w:val="clear" w:color="auto" w:fill="ffffff"/>
          <w:vertAlign w:val="superscript"/>
        </w:rPr>
        <w:t xml:space="preserve">3</w:t>
      </w:r>
      <w:r>
        <w:rPr>
          <w:rFonts w:hint="eastAsia" w:ascii="宋体" w:hAnsi="宋体" w:cs="宋体"/>
          <w:color w:val="333333"/>
          <w:sz w:val="21"/>
          <w:szCs w:val="21"/>
          <w:highlight w:val="none"/>
          <w:shd w:val="clear" w:color="auto" w:fill="ffffff"/>
        </w:rPr>
        <w:t xml:space="preserve">。</w:t>
      </w:r>
      <w:r>
        <w:rPr>
          <w:rStyle w:val="797"/>
          <w:rFonts w:hint="eastAsia" w:ascii="宋体" w:hAnsi="宋体" w:cs="宋体"/>
          <w:i w:val="0"/>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w:t>
      </w:r>
      <w:r>
        <w:rPr>
          <w:rStyle w:val="797"/>
          <w:rFonts w:hint="eastAsia" w:ascii="宋体" w:hAnsi="宋体" w:cs="宋体"/>
          <w:i w:val="0"/>
          <w:color w:val="333333"/>
          <w:sz w:val="21"/>
          <w:szCs w:val="21"/>
          <w:highlight w:val="none"/>
          <w:u w:val="single"/>
          <w:shd w:val="clear" w:color="auto" w:fill="ffffff"/>
        </w:rPr>
        <w:t xml:space="preserve">（关键组件）</w:t>
      </w:r>
      <w:r>
        <w:rPr>
          <w:rStyle w:val="797"/>
          <w:rFonts w:hint="eastAsia" w:ascii="宋体" w:hAnsi="宋体" w:cs="宋体"/>
          <w:i w:val="0"/>
          <w:color w:val="333333"/>
          <w:sz w:val="21"/>
          <w:szCs w:val="21"/>
          <w:highlight w:val="none"/>
          <w:shd w:val="clear" w:color="auto" w:fill="ffffff"/>
          <w:vertAlign w:val="superscript"/>
        </w:rPr>
        <w:t xml:space="preserve">4</w:t>
      </w:r>
      <w:r>
        <w:rPr>
          <w:rFonts w:hint="eastAsia" w:ascii="宋体" w:hAnsi="宋体" w:cs="宋体"/>
          <w:color w:val="333333"/>
          <w:sz w:val="21"/>
          <w:szCs w:val="21"/>
          <w:highlight w:val="none"/>
          <w:shd w:val="clear" w:color="auto" w:fill="ffffff"/>
        </w:rPr>
        <w:t xml:space="preserve">在中国境内生产。</w:t>
      </w:r>
      <w:r>
        <w:rPr>
          <w:rStyle w:val="797"/>
          <w:rFonts w:hint="eastAsia" w:ascii="宋体" w:hAnsi="宋体" w:cs="宋体"/>
          <w:i w:val="0"/>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w:t>
      </w:r>
      <w:r>
        <w:rPr>
          <w:rStyle w:val="797"/>
          <w:rFonts w:hint="eastAsia" w:ascii="宋体" w:hAnsi="宋体" w:cs="宋体"/>
          <w:i w:val="0"/>
          <w:color w:val="333333"/>
          <w:sz w:val="21"/>
          <w:szCs w:val="21"/>
          <w:highlight w:val="none"/>
          <w:u w:val="single"/>
          <w:shd w:val="clear" w:color="auto" w:fill="ffffff"/>
        </w:rPr>
        <w:t xml:space="preserve">（关键工序）</w:t>
      </w:r>
      <w:r>
        <w:rPr>
          <w:rStyle w:val="797"/>
          <w:rFonts w:hint="eastAsia" w:ascii="宋体" w:hAnsi="宋体" w:cs="宋体"/>
          <w:i w:val="0"/>
          <w:color w:val="333333"/>
          <w:sz w:val="21"/>
          <w:szCs w:val="21"/>
          <w:highlight w:val="none"/>
          <w:shd w:val="clear" w:color="auto" w:fill="ffffff"/>
          <w:vertAlign w:val="superscript"/>
        </w:rPr>
        <w:t xml:space="preserve">5</w:t>
      </w:r>
      <w:r>
        <w:rPr>
          <w:rFonts w:hint="eastAsia" w:ascii="宋体" w:hAnsi="宋体" w:cs="宋体"/>
          <w:color w:val="333333"/>
          <w:sz w:val="21"/>
          <w:szCs w:val="21"/>
          <w:highlight w:val="none"/>
          <w:shd w:val="clear" w:color="auto" w:fill="ffffff"/>
        </w:rPr>
        <w:t xml:space="preserve">在中国境内完成。</w:t>
      </w:r>
      <w:r/>
    </w:p>
    <w:p>
      <w:pPr>
        <w:pStyle w:val="790"/>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2.</w:t>
      </w:r>
      <w:r>
        <w:rPr>
          <w:rStyle w:val="797"/>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，生产厂为</w:t>
      </w:r>
      <w:r>
        <w:rPr>
          <w:rStyle w:val="797"/>
          <w:rFonts w:hint="eastAsia" w:ascii="宋体" w:hAnsi="宋体" w:cs="宋体"/>
          <w:i w:val="0"/>
          <w:color w:val="333333"/>
          <w:sz w:val="21"/>
          <w:szCs w:val="21"/>
          <w:highlight w:val="none"/>
          <w:u w:val="single"/>
          <w:shd w:val="clear" w:color="auto" w:fill="ffffff"/>
        </w:rPr>
        <w:t xml:space="preserve">（厂名）</w:t>
      </w:r>
      <w:r>
        <w:rPr>
          <w:rFonts w:hint="eastAsia" w:ascii="宋体" w:hAnsi="宋体" w:cs="宋体"/>
          <w:color w:val="333333"/>
          <w:sz w:val="21"/>
          <w:szCs w:val="21"/>
          <w:highlight w:val="none"/>
          <w:shd w:val="clear" w:color="auto" w:fill="ffffff"/>
        </w:rPr>
        <w:t xml:space="preserve">，厂址为</w:t>
      </w:r>
      <w:r>
        <w:rPr>
          <w:rStyle w:val="797"/>
          <w:rFonts w:hint="eastAsia" w:ascii="宋体" w:hAnsi="宋体" w:cs="宋体"/>
          <w:i w:val="0"/>
          <w:color w:val="333333"/>
          <w:sz w:val="21"/>
          <w:szCs w:val="21"/>
          <w:highlight w:val="none"/>
          <w:u w:val="single"/>
          <w:shd w:val="clear" w:color="auto" w:fill="ffffff"/>
        </w:rPr>
        <w:t xml:space="preserve">（生产厂址）</w:t>
      </w:r>
      <w:r>
        <w:rPr>
          <w:rFonts w:hint="eastAsia" w:ascii="宋体" w:hAnsi="宋体" w:cs="宋体"/>
          <w:color w:val="333333"/>
          <w:sz w:val="21"/>
          <w:szCs w:val="21"/>
          <w:highlight w:val="none"/>
          <w:shd w:val="clear" w:color="auto" w:fill="ffffff"/>
        </w:rPr>
        <w:t xml:space="preserve">。</w:t>
      </w:r>
      <w:r>
        <w:rPr>
          <w:rStyle w:val="797"/>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的中国境内生产的组件成本占比≥</w:t>
      </w:r>
      <w:r>
        <w:rPr>
          <w:rStyle w:val="797"/>
          <w:rFonts w:hint="eastAsia" w:ascii="宋体" w:hAnsi="宋体" w:cs="宋体"/>
          <w:i w:val="0"/>
          <w:color w:val="333333"/>
          <w:sz w:val="21"/>
          <w:szCs w:val="21"/>
          <w:highlight w:val="none"/>
          <w:u w:val="single"/>
          <w:shd w:val="clear" w:color="auto" w:fill="ffffff"/>
        </w:rPr>
        <w:t xml:space="preserve">（规定比例）</w:t>
      </w:r>
      <w:r>
        <w:rPr>
          <w:rFonts w:hint="eastAsia" w:ascii="宋体" w:hAnsi="宋体" w:cs="宋体"/>
          <w:color w:val="333333"/>
          <w:sz w:val="21"/>
          <w:szCs w:val="21"/>
          <w:highlight w:val="none"/>
          <w:shd w:val="clear" w:color="auto" w:fill="ffffff"/>
        </w:rPr>
        <w:t xml:space="preserve">。</w:t>
      </w:r>
      <w:r>
        <w:rPr>
          <w:rStyle w:val="797"/>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w:t>
      </w:r>
      <w:r>
        <w:rPr>
          <w:rStyle w:val="797"/>
          <w:rFonts w:hint="eastAsia" w:ascii="宋体" w:hAnsi="宋体" w:cs="宋体"/>
          <w:i w:val="0"/>
          <w:color w:val="333333"/>
          <w:sz w:val="21"/>
          <w:szCs w:val="21"/>
          <w:highlight w:val="none"/>
          <w:u w:val="single"/>
          <w:shd w:val="clear" w:color="auto" w:fill="ffffff"/>
        </w:rPr>
        <w:t xml:space="preserve">（关键组件）</w:t>
      </w:r>
      <w:r>
        <w:rPr>
          <w:rFonts w:hint="eastAsia" w:ascii="宋体" w:hAnsi="宋体" w:cs="宋体"/>
          <w:color w:val="333333"/>
          <w:sz w:val="21"/>
          <w:szCs w:val="21"/>
          <w:highlight w:val="none"/>
          <w:shd w:val="clear" w:color="auto" w:fill="ffffff"/>
        </w:rPr>
        <w:t xml:space="preserve">在中国境内生产。</w:t>
      </w:r>
      <w:r>
        <w:rPr>
          <w:rStyle w:val="797"/>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w:t>
      </w:r>
      <w:r>
        <w:rPr>
          <w:rStyle w:val="797"/>
          <w:rFonts w:hint="eastAsia" w:ascii="宋体" w:hAnsi="宋体" w:cs="宋体"/>
          <w:i w:val="0"/>
          <w:color w:val="333333"/>
          <w:sz w:val="21"/>
          <w:szCs w:val="21"/>
          <w:highlight w:val="none"/>
          <w:u w:val="single"/>
          <w:shd w:val="clear" w:color="auto" w:fill="ffffff"/>
        </w:rPr>
        <w:t xml:space="preserve">（关键工序）</w:t>
      </w:r>
      <w:r>
        <w:rPr>
          <w:rFonts w:hint="eastAsia" w:ascii="宋体" w:hAnsi="宋体" w:cs="宋体"/>
          <w:color w:val="333333"/>
          <w:sz w:val="21"/>
          <w:szCs w:val="21"/>
          <w:highlight w:val="none"/>
          <w:shd w:val="clear" w:color="auto" w:fill="ffffff"/>
        </w:rPr>
        <w:t xml:space="preserve">在中国境内完成。</w:t>
      </w:r>
      <w:r/>
    </w:p>
    <w:p>
      <w:pPr>
        <w:pStyle w:val="790"/>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w:t>
      </w:r>
      <w:r/>
    </w:p>
    <w:p>
      <w:pPr>
        <w:pStyle w:val="790"/>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本公司（单位）对上述声明内容的真实性负责。如有虚假，愿承担相应法律责任。</w:t>
      </w:r>
      <w:r/>
    </w:p>
    <w:p>
      <w:pPr>
        <w:pStyle w:val="790"/>
        <w:spacing w:before="30" w:after="30" w:line="360" w:lineRule="auto"/>
        <w:shd w:val="clear" w:color="auto"/>
        <w:rPr>
          <w:rFonts w:ascii="宋体" w:hAnsi="宋体" w:cs="宋体"/>
          <w:color w:val="333333"/>
          <w:sz w:val="21"/>
          <w:szCs w:val="21"/>
          <w:highlight w:val="none"/>
        </w:rPr>
      </w:pPr>
      <w:r>
        <w:rPr>
          <w:rFonts w:ascii="宋体" w:hAnsi="宋体" w:cs="宋体"/>
          <w:color w:val="333333"/>
          <w:sz w:val="21"/>
          <w:szCs w:val="21"/>
          <w:highlight w:val="none"/>
        </w:rPr>
      </w:r>
      <w:r/>
    </w:p>
    <w:p>
      <w:pPr>
        <w:pStyle w:val="790"/>
        <w:jc w:val="right"/>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公司（单位）名称（盖章）：　        </w:t>
      </w:r>
      <w:r/>
    </w:p>
    <w:p>
      <w:pPr>
        <w:pStyle w:val="790"/>
        <w:jc w:val="right"/>
        <w:spacing w:before="30" w:after="30" w:line="360" w:lineRule="auto"/>
        <w:shd w:val="clear" w:color="auto"/>
        <w:rPr>
          <w:rFonts w:ascii="宋体" w:hAnsi="宋体" w:cs="宋体"/>
          <w:color w:val="333333"/>
          <w:highlight w:val="none"/>
        </w:rPr>
      </w:pPr>
      <w:r>
        <w:rPr>
          <w:rFonts w:hint="eastAsia" w:ascii="宋体" w:hAnsi="宋体" w:cs="宋体"/>
          <w:color w:val="333333"/>
          <w:sz w:val="21"/>
          <w:szCs w:val="21"/>
          <w:highlight w:val="none"/>
          <w:shd w:val="clear" w:color="auto" w:fill="ffffff"/>
        </w:rPr>
        <w:t xml:space="preserve">日期：　     年　  月　  日      </w:t>
      </w:r>
      <w:r/>
    </w:p>
    <w:p>
      <w:pPr>
        <w:shd w:val="clear" w:color="auto"/>
        <w:rPr>
          <w:rFonts w:ascii="宋体" w:hAnsi="宋体" w:cs="宋体"/>
          <w:szCs w:val="21"/>
          <w:highlight w:val="none"/>
        </w:rPr>
        <w:sectPr>
          <w:footnotePr/>
          <w:endnotePr/>
          <w:type w:val="nextPage"/>
          <w:pgSz w:w="11906" w:h="16838" w:orient="portrait"/>
          <w:pgMar w:top="907" w:right="748" w:bottom="907" w:left="970" w:header="624" w:footer="510" w:gutter="113"/>
          <w:cols w:num="1" w:sep="0" w:space="1701" w:equalWidth="1"/>
          <w:docGrid w:linePitch="360"/>
          <w:titlePg/>
        </w:sectPr>
      </w:pPr>
      <w:r>
        <w:rPr>
          <w:rFonts w:ascii="宋体" w:hAnsi="宋体" w:cs="宋体"/>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jc w:val="center"/>
        <w:spacing w:line="360" w:lineRule="auto"/>
        <w:shd w:val="clear" w:color="auto"/>
        <w:tabs>
          <w:tab w:val="left" w:pos="315" w:leader="none"/>
          <w:tab w:val="center" w:pos="4153" w:leader="none"/>
        </w:tabs>
        <w:rPr>
          <w:highlight w:val="none"/>
        </w:rPr>
      </w:pPr>
      <w:r>
        <w:rPr>
          <w:rFonts w:hint="eastAsia" w:ascii="宋体" w:hAnsi="宋体" w:cs="宋体"/>
          <w:b/>
          <w:bCs/>
          <w:color w:val="000000" w:themeColor="text1"/>
          <w:sz w:val="32"/>
          <w:szCs w:val="32"/>
          <w:highlight w:val="none"/>
          <w:lang w:val="zh-CN"/>
          <w14:textFill>
            <w14:solidFill>
              <w14:schemeClr w14:val="tx1"/>
            </w14:solidFill>
          </w14:textFill>
        </w:rPr>
        <w:t xml:space="preserve">第四章 采购需求</w:t>
      </w:r>
      <w:r/>
    </w:p>
    <w:p>
      <w:pPr>
        <w:ind w:firstLine="480"/>
        <w:jc w:val="left"/>
        <w:spacing w:line="360" w:lineRule="auto"/>
        <w:shd w:val="clear" w:color="auto"/>
        <w:rPr>
          <w:rFonts w:ascii="宋体" w:hAnsi="宋体" w:cs="宋体"/>
          <w:bCs/>
          <w:szCs w:val="21"/>
          <w:highlight w:val="none"/>
        </w:rPr>
      </w:pPr>
      <w:r>
        <w:rPr>
          <w:rFonts w:hint="eastAsia" w:ascii="宋体" w:hAnsi="宋体" w:cs="宋体"/>
          <w:szCs w:val="21"/>
          <w:highlight w:val="none"/>
        </w:rPr>
        <w:t xml:space="preserve">苏州市天美达招投标咨询服务有限公司受</w:t>
      </w:r>
      <w:r>
        <w:rPr>
          <w:rFonts w:hint="eastAsia" w:ascii="宋体" w:hAnsi="宋体"/>
          <w:szCs w:val="21"/>
          <w:highlight w:val="none"/>
        </w:rPr>
        <w:t xml:space="preserve">苏州市吴江区平望镇人民政府</w:t>
      </w:r>
      <w:r>
        <w:rPr>
          <w:rFonts w:hint="eastAsia" w:ascii="宋体" w:hAnsi="宋体" w:cs="宋体"/>
          <w:szCs w:val="21"/>
          <w:highlight w:val="none"/>
        </w:rPr>
        <w:t xml:space="preserve">的委托，就其所需要采购的</w:t>
      </w:r>
      <w:r>
        <w:rPr>
          <w:rFonts w:hint="eastAsia" w:ascii="宋体" w:hAnsi="宋体"/>
          <w:szCs w:val="21"/>
          <w:highlight w:val="none"/>
        </w:rPr>
        <w:t xml:space="preserve">平望镇2026年度第三方拆迁服务</w:t>
      </w:r>
      <w:r>
        <w:rPr>
          <w:rFonts w:hint="eastAsia"/>
          <w:szCs w:val="21"/>
          <w:highlight w:val="none"/>
        </w:rPr>
        <w:t xml:space="preserve">项目</w:t>
      </w:r>
      <w:r>
        <w:rPr>
          <w:rFonts w:hint="eastAsia" w:ascii="宋体" w:hAnsi="宋体" w:cs="宋体"/>
          <w:szCs w:val="21"/>
          <w:highlight w:val="none"/>
        </w:rPr>
        <w:t xml:space="preserve">在国内组织竞争性磋商采购。欢迎符合磋商采购文件资格条件的供应商前来参加</w:t>
      </w:r>
      <w:r>
        <w:rPr>
          <w:rFonts w:hint="eastAsia" w:ascii="宋体" w:hAnsi="宋体" w:cs="宋体"/>
          <w:bCs/>
          <w:szCs w:val="21"/>
          <w:highlight w:val="none"/>
        </w:rPr>
        <w:t xml:space="preserve">磋商。</w:t>
      </w:r>
      <w:r/>
    </w:p>
    <w:p>
      <w:pPr>
        <w:ind w:firstLine="480"/>
        <w:jc w:val="left"/>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一、采购编号：JSZC-320509-SZST-C2026-0019</w:t>
      </w:r>
      <w:r/>
    </w:p>
    <w:p>
      <w:pPr>
        <w:ind w:firstLine="480"/>
        <w:jc w:val="left"/>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二、项目名称：平望镇2026年度第三方拆迁服务</w:t>
      </w:r>
      <w:r/>
    </w:p>
    <w:p>
      <w:pPr>
        <w:ind w:firstLine="480"/>
        <w:jc w:val="left"/>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三、预算金额：</w:t>
      </w:r>
      <w:r>
        <w:rPr>
          <w:rFonts w:hint="eastAsia" w:ascii="宋体" w:hAnsi="宋体" w:cs="宋体"/>
          <w:bCs/>
          <w:szCs w:val="21"/>
          <w:highlight w:val="none"/>
          <w:lang w:val="zh-CN"/>
        </w:rPr>
        <w:t xml:space="preserve">人民币贰佰万元整（￥2000000.00）</w:t>
      </w:r>
      <w:r/>
    </w:p>
    <w:p>
      <w:pPr>
        <w:ind w:firstLine="480"/>
        <w:jc w:val="left"/>
        <w:spacing w:line="360" w:lineRule="auto"/>
        <w:shd w:val="clear" w:color="auto"/>
        <w:rPr>
          <w:rFonts w:ascii="宋体" w:hAnsi="宋体" w:cs="宋体"/>
          <w:bCs/>
          <w:szCs w:val="21"/>
          <w:highlight w:val="none"/>
          <w:lang w:val="zh-CN"/>
        </w:rPr>
      </w:pPr>
      <w:r>
        <w:rPr>
          <w:rFonts w:hint="eastAsia" w:ascii="宋体" w:hAnsi="宋体" w:cs="宋体"/>
          <w:bCs/>
          <w:szCs w:val="21"/>
          <w:highlight w:val="none"/>
        </w:rPr>
        <w:t xml:space="preserve">最高限价：</w:t>
      </w:r>
      <w:r>
        <w:rPr>
          <w:rFonts w:hint="eastAsia" w:ascii="宋体" w:hAnsi="宋体" w:cs="宋体"/>
          <w:bCs/>
          <w:szCs w:val="21"/>
          <w:highlight w:val="none"/>
          <w:lang w:val="zh-CN"/>
        </w:rPr>
        <w:t xml:space="preserve">人民币贰佰万元整（￥2000000.00）</w:t>
      </w:r>
      <w:r/>
    </w:p>
    <w:tbl>
      <w:tblPr>
        <w:tblStyle w:val="766"/>
        <w:tblW w:w="70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551"/>
        <w:gridCol w:w="2323"/>
        <w:gridCol w:w="2147"/>
      </w:tblGrid>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w:t>
            </w:r>
            <w:r/>
          </w:p>
        </w:tc>
        <w:tc>
          <w:tcPr>
            <w:tcW w:w="2323" w:type="dxa"/>
            <w:vAlign w:val="center"/>
            <w:textDirection w:val="lrTb"/>
            <w:noWrap w:val="false"/>
          </w:tcPr>
          <w:p>
            <w:pPr>
              <w:jc w:val="center"/>
              <w:shd w:val="clear" w:color="auto"/>
              <w:rPr>
                <w:highlight w:val="none"/>
              </w:rPr>
            </w:pPr>
            <w:r>
              <w:rPr>
                <w:rFonts w:hint="eastAsia"/>
                <w:highlight w:val="none"/>
              </w:rPr>
              <w:t xml:space="preserve">预算（万元）</w:t>
            </w:r>
            <w:r/>
          </w:p>
        </w:tc>
        <w:tc>
          <w:tcPr>
            <w:tcW w:w="2147" w:type="dxa"/>
            <w:vAlign w:val="center"/>
            <w:textDirection w:val="lrTb"/>
            <w:noWrap w:val="false"/>
          </w:tcPr>
          <w:p>
            <w:pPr>
              <w:jc w:val="center"/>
              <w:shd w:val="clear" w:color="auto"/>
              <w:rPr>
                <w:highlight w:val="none"/>
              </w:rPr>
            </w:pPr>
            <w:r>
              <w:rPr>
                <w:rFonts w:hint="eastAsia"/>
                <w:highlight w:val="none"/>
              </w:rPr>
              <w:t xml:space="preserve">最高限价（万元）</w:t>
            </w:r>
            <w:r/>
          </w:p>
        </w:tc>
      </w:tr>
      <w:tr>
        <w:trPr>
          <w:jc w:val="center"/>
          <w:trHeight w:val="537"/>
        </w:trPr>
        <w:tc>
          <w:tcPr>
            <w:tcW w:w="2551" w:type="dxa"/>
            <w:vAlign w:val="center"/>
            <w:textDirection w:val="lrTb"/>
            <w:noWrap w:val="false"/>
          </w:tcPr>
          <w:p>
            <w:pPr>
              <w:jc w:val="center"/>
              <w:shd w:val="clear" w:color="auto"/>
              <w:rPr>
                <w:highlight w:val="none"/>
              </w:rPr>
            </w:pPr>
            <w:r>
              <w:rPr>
                <w:rFonts w:hint="eastAsia"/>
                <w:highlight w:val="none"/>
              </w:rPr>
              <w:t xml:space="preserve">标段一</w:t>
            </w:r>
            <w:r/>
          </w:p>
        </w:tc>
        <w:tc>
          <w:tcPr>
            <w:tcW w:w="2323" w:type="dxa"/>
            <w:vAlign w:val="center"/>
            <w:textDirection w:val="lrTb"/>
            <w:noWrap w:val="false"/>
          </w:tcPr>
          <w:p>
            <w:pPr>
              <w:jc w:val="center"/>
              <w:shd w:val="clear" w:color="auto"/>
              <w:rPr>
                <w:highlight w:val="none"/>
              </w:rPr>
            </w:pPr>
            <w:r>
              <w:rPr>
                <w:rFonts w:hint="eastAsia"/>
                <w:highlight w:val="none"/>
              </w:rPr>
              <w:t xml:space="preserve">50</w:t>
            </w:r>
            <w:r/>
          </w:p>
        </w:tc>
        <w:tc>
          <w:tcPr>
            <w:shd w:val="clear" w:color="auto" w:fill="auto"/>
            <w:tcW w:w="2147" w:type="dxa"/>
            <w:vAlign w:val="center"/>
            <w:textDirection w:val="lrTb"/>
            <w:noWrap w:val="false"/>
          </w:tcPr>
          <w:p>
            <w:pPr>
              <w:jc w:val="center"/>
              <w:shd w:val="clear" w:color="auto"/>
              <w:rPr>
                <w:highlight w:val="none"/>
              </w:rPr>
            </w:pPr>
            <w:r>
              <w:rPr>
                <w:rFonts w:hint="eastAsia"/>
                <w:highlight w:val="none"/>
              </w:rPr>
              <w:t xml:space="preserve">50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标段二</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shd w:val="clear" w:color="auto" w:fill="auto"/>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标段三</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标段四</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标段五</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r>
        <w:trPr>
          <w:jc w:val="center"/>
          <w:trHeight w:val="567"/>
        </w:trPr>
        <w:tc>
          <w:tcPr>
            <w:tcW w:w="2551" w:type="dxa"/>
            <w:vAlign w:val="center"/>
            <w:textDirection w:val="lrTb"/>
            <w:noWrap w:val="false"/>
          </w:tcPr>
          <w:p>
            <w:pPr>
              <w:jc w:val="center"/>
              <w:shd w:val="clear" w:color="auto"/>
              <w:rPr>
                <w:highlight w:val="none"/>
              </w:rPr>
            </w:pPr>
            <w:r>
              <w:rPr>
                <w:rFonts w:hint="eastAsia"/>
                <w:highlight w:val="none"/>
              </w:rPr>
              <w:t xml:space="preserve">标段六</w:t>
            </w:r>
            <w:r/>
          </w:p>
        </w:tc>
        <w:tc>
          <w:tcPr>
            <w:tcW w:w="2323" w:type="dxa"/>
            <w:vAlign w:val="center"/>
            <w:textDirection w:val="lrTb"/>
            <w:noWrap w:val="false"/>
          </w:tcPr>
          <w:p>
            <w:pPr>
              <w:jc w:val="center"/>
              <w:shd w:val="clear" w:color="auto"/>
              <w:rPr>
                <w:highlight w:val="none"/>
              </w:rPr>
            </w:pPr>
            <w:r>
              <w:rPr>
                <w:rFonts w:hint="eastAsia"/>
                <w:highlight w:val="none"/>
              </w:rPr>
              <w:t xml:space="preserve">30</w:t>
            </w:r>
            <w:r/>
          </w:p>
        </w:tc>
        <w:tc>
          <w:tcPr>
            <w:tcW w:w="2147" w:type="dxa"/>
            <w:vAlign w:val="center"/>
            <w:textDirection w:val="lrTb"/>
            <w:noWrap w:val="false"/>
          </w:tcPr>
          <w:p>
            <w:pPr>
              <w:jc w:val="center"/>
              <w:shd w:val="clear" w:color="auto"/>
              <w:rPr>
                <w:highlight w:val="none"/>
              </w:rPr>
            </w:pPr>
            <w:r>
              <w:rPr>
                <w:rFonts w:hint="eastAsia"/>
                <w:highlight w:val="none"/>
              </w:rPr>
              <w:t xml:space="preserve">30</w:t>
            </w:r>
            <w:r/>
          </w:p>
        </w:tc>
      </w:tr>
    </w:tbl>
    <w:p>
      <w:pPr>
        <w:ind w:firstLine="480"/>
        <w:jc w:val="left"/>
        <w:spacing w:line="360" w:lineRule="auto"/>
        <w:shd w:val="clear" w:color="auto"/>
        <w:rPr>
          <w:rFonts w:ascii="宋体" w:hAnsi="宋体" w:cs="宋体"/>
          <w:bCs/>
          <w:szCs w:val="21"/>
          <w:highlight w:val="none"/>
        </w:rPr>
      </w:pPr>
      <w:r>
        <w:rPr>
          <w:rFonts w:ascii="宋体" w:hAnsi="宋体" w:cs="宋体"/>
          <w:bCs/>
          <w:szCs w:val="21"/>
          <w:highlight w:val="none"/>
        </w:rPr>
      </w:r>
      <w:r/>
    </w:p>
    <w:p>
      <w:pPr>
        <w:ind w:firstLine="480"/>
        <w:jc w:val="left"/>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四、采购内容：</w:t>
      </w:r>
      <w:r/>
    </w:p>
    <w:p>
      <w:pPr>
        <w:ind w:firstLine="440"/>
        <w:spacing w:line="360" w:lineRule="auto"/>
        <w:shd w:val="clear" w:color="auto"/>
        <w:tabs>
          <w:tab w:val="left" w:pos="420" w:leader="none"/>
          <w:tab w:val="left" w:pos="540" w:leader="none"/>
        </w:tabs>
        <w:rPr>
          <w:rFonts w:ascii="宋体" w:hAnsi="宋体" w:cs="宋体"/>
          <w:sz w:val="22"/>
          <w:szCs w:val="22"/>
          <w:highlight w:val="none"/>
        </w:rPr>
      </w:pPr>
      <w:r>
        <w:rPr>
          <w:rFonts w:hint="eastAsia" w:ascii="宋体" w:hAnsi="宋体" w:cs="宋体"/>
          <w:sz w:val="22"/>
          <w:szCs w:val="22"/>
          <w:highlight w:val="none"/>
        </w:rPr>
        <w:t xml:space="preserve">（一）服务范围</w:t>
      </w:r>
      <w:r/>
    </w:p>
    <w:p>
      <w:pPr>
        <w:ind w:firstLine="440"/>
        <w:spacing w:line="360" w:lineRule="auto"/>
        <w:shd w:val="clear" w:color="auto"/>
        <w:tabs>
          <w:tab w:val="left" w:pos="420" w:leader="none"/>
          <w:tab w:val="left" w:pos="540" w:leader="none"/>
        </w:tabs>
        <w:rPr>
          <w:rFonts w:ascii="宋体" w:hAnsi="宋体" w:cs="宋体"/>
          <w:sz w:val="22"/>
          <w:szCs w:val="22"/>
          <w:highlight w:val="none"/>
        </w:rPr>
      </w:pPr>
      <w:r>
        <w:rPr>
          <w:rFonts w:hint="eastAsia" w:ascii="宋体" w:hAnsi="宋体" w:cs="宋体"/>
          <w:sz w:val="22"/>
          <w:szCs w:val="22"/>
          <w:highlight w:val="none"/>
        </w:rPr>
        <w:t xml:space="preserve">本项目服务范围为吴江平望镇，具体数量以实际为准。</w:t>
      </w:r>
      <w:r/>
    </w:p>
    <w:p>
      <w:pPr>
        <w:ind w:firstLine="440"/>
        <w:spacing w:line="360" w:lineRule="auto"/>
        <w:shd w:val="clear" w:color="auto"/>
        <w:tabs>
          <w:tab w:val="left" w:pos="420" w:leader="none"/>
          <w:tab w:val="left" w:pos="540" w:leader="none"/>
        </w:tabs>
        <w:rPr>
          <w:rFonts w:ascii="宋体" w:hAnsi="宋体" w:cs="宋体"/>
          <w:sz w:val="22"/>
          <w:szCs w:val="22"/>
          <w:highlight w:val="none"/>
        </w:rPr>
      </w:pPr>
      <w:r>
        <w:rPr>
          <w:rFonts w:hint="eastAsia" w:ascii="宋体" w:hAnsi="宋体" w:cs="宋体"/>
          <w:sz w:val="22"/>
          <w:szCs w:val="22"/>
          <w:highlight w:val="none"/>
        </w:rPr>
        <w:t xml:space="preserve">（二）项目实施要求</w:t>
      </w:r>
      <w:r/>
    </w:p>
    <w:p>
      <w:pPr>
        <w:ind w:firstLine="442"/>
        <w:spacing w:line="360" w:lineRule="auto"/>
        <w:shd w:val="clear" w:color="auto"/>
        <w:rPr>
          <w:rFonts w:ascii="宋体" w:hAnsi="宋体" w:cs="宋体"/>
          <w:b/>
          <w:sz w:val="22"/>
          <w:szCs w:val="22"/>
          <w:highlight w:val="none"/>
          <w:lang w:val="zh-CN"/>
        </w:rPr>
      </w:pPr>
      <w:r>
        <w:rPr>
          <w:rFonts w:hint="eastAsia" w:ascii="宋体" w:hAnsi="宋体" w:cs="宋体"/>
          <w:b/>
          <w:sz w:val="22"/>
          <w:szCs w:val="22"/>
          <w:highlight w:val="none"/>
        </w:rPr>
        <w:t xml:space="preserve">1、</w:t>
      </w:r>
      <w:r>
        <w:rPr>
          <w:rFonts w:hint="eastAsia" w:ascii="宋体" w:hAnsi="宋体" w:cs="宋体"/>
          <w:b/>
          <w:sz w:val="22"/>
          <w:szCs w:val="22"/>
          <w:highlight w:val="none"/>
          <w:lang w:val="zh-CN"/>
        </w:rPr>
        <w:t xml:space="preserve">工作内容：</w:t>
      </w:r>
      <w:r/>
    </w:p>
    <w:p>
      <w:pPr>
        <w:ind w:firstLine="440"/>
        <w:spacing w:line="360" w:lineRule="auto"/>
        <w:shd w:val="clear" w:color="auto"/>
        <w:rPr>
          <w:rFonts w:ascii="宋体" w:hAnsi="宋体" w:cs="宋体"/>
          <w:sz w:val="22"/>
          <w:szCs w:val="22"/>
          <w:highlight w:val="none"/>
        </w:rPr>
      </w:pPr>
      <w:r>
        <w:rPr>
          <w:rFonts w:hint="eastAsia" w:ascii="宋体" w:hAnsi="宋体" w:cs="宋体"/>
          <w:sz w:val="22"/>
          <w:szCs w:val="22"/>
          <w:highlight w:val="none"/>
        </w:rPr>
        <w:t xml:space="preserve">（1）成交单位负责做好调查摸底情况工作，对涉迁单位进行动员，具体负责签订拆迁补偿协议，待具备安置条件后，对拆迁人进行公寓房安置或公寓房回购工作。</w:t>
      </w:r>
      <w:r/>
    </w:p>
    <w:p>
      <w:pPr>
        <w:ind w:firstLine="440"/>
        <w:spacing w:line="360" w:lineRule="auto"/>
        <w:shd w:val="clear" w:color="auto"/>
        <w:rPr>
          <w:rFonts w:ascii="宋体" w:hAnsi="宋体" w:cs="宋体"/>
          <w:sz w:val="22"/>
          <w:szCs w:val="22"/>
          <w:highlight w:val="none"/>
        </w:rPr>
      </w:pPr>
      <w:r>
        <w:rPr>
          <w:rFonts w:hint="eastAsia" w:ascii="宋体" w:hAnsi="宋体" w:cs="宋体"/>
          <w:sz w:val="22"/>
          <w:szCs w:val="22"/>
          <w:highlight w:val="none"/>
        </w:rPr>
        <w:t xml:space="preserve">（2）拆迁安置补偿方案：由成交单位派员对拆迁范围内的房屋进行逐户调查核实，报采购人编制安置补偿方案后，成交单位方可进行洽谈。</w:t>
      </w:r>
      <w:r/>
    </w:p>
    <w:p>
      <w:pPr>
        <w:ind w:firstLine="440"/>
        <w:spacing w:line="360" w:lineRule="auto"/>
        <w:shd w:val="clear" w:color="auto"/>
        <w:rPr>
          <w:rFonts w:ascii="宋体" w:hAnsi="宋体" w:cs="宋体"/>
          <w:sz w:val="22"/>
          <w:szCs w:val="22"/>
          <w:highlight w:val="none"/>
        </w:rPr>
      </w:pPr>
      <w:r>
        <w:rPr>
          <w:rFonts w:hint="eastAsia" w:ascii="宋体" w:hAnsi="宋体" w:cs="宋体"/>
          <w:sz w:val="22"/>
          <w:szCs w:val="22"/>
          <w:highlight w:val="none"/>
        </w:rPr>
        <w:t xml:space="preserve">（3）成交单位负责做通搬迁户的思想工作，进行洽谈、签约及交旧房钥匙。同时成交单位负责对签约后房屋的看护工作，如房屋别侵占，由成交单位负责清退。</w:t>
      </w:r>
      <w:r/>
    </w:p>
    <w:p>
      <w:pPr>
        <w:ind w:firstLine="442"/>
        <w:spacing w:line="360" w:lineRule="auto"/>
        <w:shd w:val="clear" w:color="auto"/>
        <w:rPr>
          <w:rFonts w:ascii="宋体" w:hAnsi="宋体" w:cs="宋体"/>
          <w:b/>
          <w:szCs w:val="21"/>
          <w:highlight w:val="none"/>
        </w:rPr>
      </w:pPr>
      <w:r>
        <w:rPr>
          <w:rFonts w:hint="eastAsia" w:ascii="宋体" w:hAnsi="宋体" w:cs="宋体"/>
          <w:b/>
          <w:sz w:val="22"/>
          <w:szCs w:val="22"/>
          <w:highlight w:val="none"/>
        </w:rPr>
        <w:t xml:space="preserve">2、项目采用优惠率报价，采用</w:t>
      </w:r>
      <w:r>
        <w:rPr>
          <w:rFonts w:hint="eastAsia" w:ascii="宋体" w:hAnsi="宋体" w:cs="宋体"/>
          <w:b/>
          <w:sz w:val="22"/>
          <w:szCs w:val="22"/>
          <w:highlight w:val="none"/>
          <w:lang w:val="zh-CN"/>
        </w:rPr>
        <w:t xml:space="preserve">（</w:t>
      </w:r>
      <w:r>
        <w:rPr>
          <w:rFonts w:hint="eastAsia" w:ascii="宋体" w:hAnsi="宋体" w:cs="宋体"/>
          <w:b/>
          <w:sz w:val="22"/>
          <w:szCs w:val="22"/>
          <w:highlight w:val="none"/>
        </w:rPr>
        <w:t xml:space="preserve">1-成交优惠率</w:t>
      </w:r>
      <w:r>
        <w:rPr>
          <w:rFonts w:hint="eastAsia" w:ascii="宋体" w:hAnsi="宋体" w:cs="宋体"/>
          <w:b/>
          <w:sz w:val="22"/>
          <w:szCs w:val="22"/>
          <w:highlight w:val="none"/>
          <w:lang w:val="zh-CN"/>
        </w:rPr>
        <w:t xml:space="preserve">）</w:t>
      </w:r>
      <w:r>
        <w:rPr>
          <w:rFonts w:hint="eastAsia" w:ascii="宋体" w:hAnsi="宋体" w:cs="宋体"/>
          <w:b/>
          <w:sz w:val="22"/>
          <w:szCs w:val="22"/>
          <w:highlight w:val="none"/>
        </w:rPr>
        <w:t xml:space="preserve">*收费标准*</w:t>
      </w:r>
      <w:r>
        <w:rPr>
          <w:rFonts w:hint="eastAsia" w:ascii="宋体" w:hAnsi="宋体" w:cs="宋体"/>
          <w:b/>
          <w:sz w:val="22"/>
          <w:szCs w:val="22"/>
          <w:highlight w:val="none"/>
          <w:lang w:val="zh-CN"/>
        </w:rPr>
        <w:t xml:space="preserve">实际完成的工程量结算</w:t>
      </w:r>
      <w:r>
        <w:rPr>
          <w:rFonts w:hint="eastAsia" w:ascii="宋体" w:hAnsi="宋体" w:cs="宋体"/>
          <w:b/>
          <w:sz w:val="22"/>
          <w:szCs w:val="22"/>
          <w:highlight w:val="none"/>
        </w:rPr>
        <w:t xml:space="preserve">计费。拆迁服务收费及奖励标准按以下表格标准执行结算，具体如</w:t>
      </w:r>
      <w:r>
        <w:rPr>
          <w:rFonts w:hint="eastAsia" w:ascii="宋体" w:hAnsi="宋体" w:cs="宋体"/>
          <w:b/>
          <w:szCs w:val="21"/>
          <w:highlight w:val="none"/>
        </w:rPr>
        <w:t xml:space="preserve">下：</w:t>
      </w:r>
      <w:r>
        <w:rPr>
          <w:rFonts w:ascii="宋体" w:hAnsi="宋体" w:cs="宋体"/>
          <w:b/>
          <w:szCs w:val="21"/>
          <w:highlight w:val="none"/>
        </w:rPr>
        <w:t xml:space="preserve"> </w:t>
      </w:r>
      <w:r/>
    </w:p>
    <w:p>
      <w:pPr>
        <w:jc w:val="center"/>
        <w:shd w:val="clear" w:color="auto"/>
        <w:rPr>
          <w:sz w:val="24"/>
          <w:szCs w:val="32"/>
          <w:highlight w:val="none"/>
        </w:rPr>
      </w:pPr>
      <w:r>
        <w:rPr>
          <w:szCs w:val="21"/>
          <w:highlight w:val="none"/>
        </w:rPr>
        <w:t xml:space="preserve">拆迁服务收费及奖励标准</w:t>
      </w:r>
      <w:r/>
    </w:p>
    <w:p>
      <w:pPr>
        <w:shd w:val="clear" w:color="auto"/>
        <w:rPr>
          <w:highlight w:val="none"/>
        </w:rPr>
      </w:pPr>
      <w:r>
        <w:rPr>
          <w:highlight w:val="none"/>
        </w:rPr>
        <w:t xml:space="preserve">一、商住用房收费标准</w:t>
      </w:r>
      <w:r/>
    </w:p>
    <w:tbl>
      <w:tblPr>
        <w:tblStyle w:val="76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241"/>
        <w:gridCol w:w="6142"/>
      </w:tblGrid>
      <w:tr>
        <w:trPr/>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42" w:type="pct"/>
            <w:vAlign w:val="center"/>
            <w:textDirection w:val="lrTb"/>
            <w:noWrap w:val="false"/>
          </w:tcPr>
          <w:p>
            <w:pPr>
              <w:shd w:val="clear" w:color="auto"/>
              <w:rPr>
                <w:highlight w:val="none"/>
              </w:rPr>
            </w:pPr>
            <w:r>
              <w:rPr>
                <w:highlight w:val="none"/>
              </w:rPr>
              <w:t xml:space="preserve">房屋类型</w:t>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57" w:type="pct"/>
            <w:vAlign w:val="center"/>
            <w:textDirection w:val="lrTb"/>
            <w:noWrap w:val="false"/>
          </w:tcPr>
          <w:p>
            <w:pPr>
              <w:shd w:val="clear" w:color="auto"/>
              <w:rPr>
                <w:highlight w:val="none"/>
              </w:rPr>
            </w:pPr>
            <w:r>
              <w:rPr>
                <w:highlight w:val="none"/>
              </w:rPr>
              <w:t xml:space="preserve">收费标准</w:t>
            </w:r>
            <w:r/>
          </w:p>
        </w:tc>
      </w:tr>
      <w:tr>
        <w:trPr/>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42" w:type="pct"/>
            <w:vAlign w:val="center"/>
            <w:textDirection w:val="lrTb"/>
            <w:noWrap w:val="false"/>
          </w:tcPr>
          <w:p>
            <w:pPr>
              <w:shd w:val="clear" w:color="auto"/>
              <w:rPr>
                <w:highlight w:val="none"/>
              </w:rPr>
            </w:pPr>
            <w:r>
              <w:rPr>
                <w:highlight w:val="none"/>
              </w:rPr>
              <w:t xml:space="preserve">集体土地房屋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57" w:type="pct"/>
            <w:vAlign w:val="center"/>
            <w:textDirection w:val="lrTb"/>
            <w:noWrap w:val="false"/>
          </w:tcPr>
          <w:p>
            <w:pPr>
              <w:shd w:val="clear" w:color="auto"/>
              <w:rPr>
                <w:highlight w:val="none"/>
              </w:rPr>
            </w:pPr>
            <w:r>
              <w:rPr>
                <w:highlight w:val="none"/>
              </w:rPr>
              <w:t xml:space="preserve">按建筑面积35元/㎡计费</w:t>
            </w:r>
            <w:r/>
          </w:p>
        </w:tc>
      </w:tr>
      <w:tr>
        <w:trPr/>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42" w:type="pct"/>
            <w:vAlign w:val="center"/>
            <w:textDirection w:val="lrTb"/>
            <w:noWrap w:val="false"/>
          </w:tcPr>
          <w:p>
            <w:pPr>
              <w:shd w:val="clear" w:color="auto"/>
              <w:rPr>
                <w:highlight w:val="none"/>
              </w:rPr>
            </w:pPr>
            <w:r>
              <w:rPr>
                <w:highlight w:val="none"/>
              </w:rPr>
              <w:t xml:space="preserve">零星预拆迁项目房屋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57" w:type="pct"/>
            <w:vAlign w:val="center"/>
            <w:textDirection w:val="lrTb"/>
            <w:noWrap w:val="false"/>
          </w:tcPr>
          <w:p>
            <w:pPr>
              <w:shd w:val="clear" w:color="auto"/>
              <w:rPr>
                <w:highlight w:val="none"/>
              </w:rPr>
            </w:pPr>
            <w:r>
              <w:rPr>
                <w:highlight w:val="none"/>
              </w:rPr>
              <w:t xml:space="preserve">按建筑面积20元/㎡计费</w:t>
            </w:r>
            <w:r/>
          </w:p>
        </w:tc>
      </w:tr>
      <w:tr>
        <w:trPr/>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42" w:type="pct"/>
            <w:vAlign w:val="center"/>
            <w:textDirection w:val="lrTb"/>
            <w:noWrap w:val="false"/>
          </w:tcPr>
          <w:p>
            <w:pPr>
              <w:shd w:val="clear" w:color="auto"/>
              <w:rPr>
                <w:highlight w:val="none"/>
              </w:rPr>
            </w:pPr>
            <w:r>
              <w:rPr>
                <w:highlight w:val="none"/>
              </w:rPr>
              <w:t xml:space="preserve">国有土地住宅房屋（含商用房等其它房屋）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57" w:type="pct"/>
            <w:vAlign w:val="center"/>
            <w:textDirection w:val="lrTb"/>
            <w:noWrap w:val="false"/>
          </w:tcPr>
          <w:p>
            <w:pPr>
              <w:shd w:val="clear" w:color="auto"/>
              <w:rPr>
                <w:highlight w:val="none"/>
              </w:rPr>
            </w:pPr>
            <w:r>
              <w:rPr>
                <w:highlight w:val="none"/>
              </w:rPr>
              <w:t xml:space="preserve">按建筑面积45元/㎡计费</w:t>
            </w:r>
            <w:r/>
          </w:p>
        </w:tc>
      </w:tr>
    </w:tbl>
    <w:p>
      <w:pPr>
        <w:shd w:val="clear" w:color="auto"/>
        <w:rPr>
          <w:highlight w:val="none"/>
        </w:rPr>
      </w:pPr>
      <w:r>
        <w:rPr>
          <w:highlight w:val="none"/>
        </w:rPr>
        <w:t xml:space="preserve">二、企业收费标准</w:t>
      </w:r>
      <w:r/>
    </w:p>
    <w:tbl>
      <w:tblPr>
        <w:tblStyle w:val="7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229"/>
        <w:gridCol w:w="6166"/>
      </w:tblGrid>
      <w:tr>
        <w:trPr/>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34" w:type="pct"/>
            <w:vAlign w:val="center"/>
            <w:textDirection w:val="lrTb"/>
            <w:noWrap w:val="false"/>
          </w:tcPr>
          <w:p>
            <w:pPr>
              <w:shd w:val="clear" w:color="auto"/>
              <w:rPr>
                <w:highlight w:val="none"/>
              </w:rPr>
            </w:pPr>
            <w:r>
              <w:rPr>
                <w:highlight w:val="none"/>
              </w:rPr>
              <w:t xml:space="preserve">项目类型</w:t>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65" w:type="pct"/>
            <w:vAlign w:val="center"/>
            <w:textDirection w:val="lrTb"/>
            <w:noWrap w:val="false"/>
          </w:tcPr>
          <w:p>
            <w:pPr>
              <w:shd w:val="clear" w:color="auto"/>
              <w:rPr>
                <w:highlight w:val="none"/>
              </w:rPr>
            </w:pPr>
            <w:r>
              <w:rPr>
                <w:highlight w:val="none"/>
              </w:rPr>
              <w:t xml:space="preserve">收费标准及相关规定</w:t>
            </w:r>
            <w:r/>
          </w:p>
        </w:tc>
      </w:tr>
      <w:tr>
        <w:trPr/>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34" w:type="pct"/>
            <w:vAlign w:val="center"/>
            <w:textDirection w:val="lrTb"/>
            <w:noWrap w:val="false"/>
          </w:tcPr>
          <w:p>
            <w:pPr>
              <w:shd w:val="clear" w:color="auto"/>
              <w:rPr>
                <w:highlight w:val="none"/>
              </w:rPr>
            </w:pPr>
            <w:r>
              <w:rPr>
                <w:highlight w:val="none"/>
              </w:rPr>
              <w:t xml:space="preserve">建筑面积100平方米（含100平方米）以下</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65" w:type="pct"/>
            <w:vAlign w:val="center"/>
            <w:textDirection w:val="lrTb"/>
            <w:noWrap w:val="false"/>
          </w:tcPr>
          <w:p>
            <w:pPr>
              <w:shd w:val="clear" w:color="auto"/>
              <w:rPr>
                <w:highlight w:val="none"/>
              </w:rPr>
            </w:pPr>
            <w:r>
              <w:rPr>
                <w:highlight w:val="none"/>
              </w:rPr>
              <w:t xml:space="preserve">按1500元一个点位计费</w:t>
            </w:r>
            <w:r/>
          </w:p>
        </w:tc>
      </w:tr>
      <w:tr>
        <w:trPr/>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34" w:type="pct"/>
            <w:vAlign w:val="center"/>
            <w:textDirection w:val="lrTb"/>
            <w:noWrap w:val="false"/>
          </w:tcPr>
          <w:p>
            <w:pPr>
              <w:shd w:val="clear" w:color="auto"/>
              <w:rPr>
                <w:highlight w:val="none"/>
              </w:rPr>
            </w:pPr>
            <w:r>
              <w:rPr>
                <w:highlight w:val="none"/>
              </w:rPr>
              <w:t xml:space="preserve">建筑面积100平方米以上项目</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65" w:type="pct"/>
            <w:vAlign w:val="center"/>
            <w:textDirection w:val="lrTb"/>
            <w:noWrap w:val="false"/>
          </w:tcPr>
          <w:p>
            <w:pPr>
              <w:shd w:val="clear" w:color="auto"/>
              <w:rPr>
                <w:highlight w:val="none"/>
              </w:rPr>
            </w:pPr>
            <w:r>
              <w:rPr>
                <w:highlight w:val="none"/>
              </w:rPr>
              <w:t xml:space="preserve">按15元/㎡计费</w:t>
            </w:r>
            <w:r/>
          </w:p>
        </w:tc>
      </w:tr>
      <w:tr>
        <w:trPr/>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034" w:type="pct"/>
            <w:vAlign w:val="center"/>
            <w:textDirection w:val="lrTb"/>
            <w:noWrap w:val="false"/>
          </w:tcPr>
          <w:p>
            <w:pPr>
              <w:shd w:val="clear" w:color="auto"/>
              <w:rPr>
                <w:highlight w:val="none"/>
              </w:rPr>
            </w:pPr>
            <w:r>
              <w:rPr>
                <w:highlight w:val="none"/>
              </w:rPr>
              <w:t xml:space="preserve">房产和资产设备处理</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2965" w:type="pct"/>
            <w:vAlign w:val="center"/>
            <w:textDirection w:val="lrTb"/>
            <w:noWrap w:val="false"/>
          </w:tcPr>
          <w:p>
            <w:pPr>
              <w:shd w:val="clear" w:color="auto"/>
              <w:rPr>
                <w:highlight w:val="none"/>
              </w:rPr>
            </w:pPr>
            <w:r>
              <w:rPr>
                <w:highlight w:val="none"/>
              </w:rPr>
              <w:t xml:space="preserve">1.一律进行残值评估，并走拍卖流程；2.若遇关键拆迁任务，经镇党政联席会议讨论，可直接按残值评估价与中标拆迁公司（建筑公司）结算</w:t>
            </w:r>
            <w:r/>
          </w:p>
        </w:tc>
      </w:tr>
    </w:tbl>
    <w:p>
      <w:pPr>
        <w:shd w:val="clear" w:color="auto"/>
        <w:rPr>
          <w:highlight w:val="none"/>
        </w:rPr>
      </w:pPr>
      <w:r>
        <w:rPr>
          <w:highlight w:val="none"/>
        </w:rPr>
        <w:t xml:space="preserve">三、攻坚奖励费</w:t>
      </w:r>
      <w:r/>
    </w:p>
    <w:tbl>
      <w:tblPr>
        <w:tblStyle w:val="7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630"/>
        <w:gridCol w:w="7765"/>
      </w:tblGrid>
      <w:tr>
        <w:trPr/>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0" w:type="auto"/>
            <w:vAlign w:val="center"/>
            <w:textDirection w:val="lrTb"/>
            <w:noWrap w:val="false"/>
          </w:tcPr>
          <w:p>
            <w:pPr>
              <w:shd w:val="clear" w:color="auto"/>
              <w:rPr>
                <w:highlight w:val="none"/>
              </w:rPr>
            </w:pPr>
            <w:r>
              <w:rPr>
                <w:highlight w:val="none"/>
              </w:rPr>
              <w:t xml:space="preserve">奖励对象</w:t>
            </w:r>
            <w:r/>
          </w:p>
        </w:tc>
        <w:tc>
          <w:tcPr>
            <w:shd w:val="clear" w:color="auto" w:fill="f0f0f0"/>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0" w:type="auto"/>
            <w:vAlign w:val="center"/>
            <w:textDirection w:val="lrTb"/>
            <w:noWrap w:val="false"/>
          </w:tcPr>
          <w:p>
            <w:pPr>
              <w:shd w:val="clear" w:color="auto"/>
              <w:rPr>
                <w:highlight w:val="none"/>
              </w:rPr>
            </w:pPr>
            <w:r>
              <w:rPr>
                <w:highlight w:val="none"/>
              </w:rPr>
              <w:t xml:space="preserve">奖励标准</w:t>
            </w:r>
            <w:r/>
          </w:p>
        </w:tc>
      </w:tr>
      <w:tr>
        <w:trPr/>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0" w:type="auto"/>
            <w:vAlign w:val="center"/>
            <w:textDirection w:val="lrTb"/>
            <w:noWrap w:val="false"/>
          </w:tcPr>
          <w:p>
            <w:pPr>
              <w:shd w:val="clear" w:color="auto"/>
              <w:rPr>
                <w:highlight w:val="none"/>
              </w:rPr>
            </w:pPr>
            <w:r>
              <w:rPr>
                <w:highlight w:val="none"/>
              </w:rPr>
              <w:t xml:space="preserve">农户</w:t>
            </w:r>
            <w:r/>
          </w:p>
        </w:tc>
        <w:tc>
          <w:tcPr>
            <w:tcBorders>
              <w:top w:val="single" w:color="000000" w:sz="6" w:space="0"/>
              <w:left w:val="single" w:color="000000" w:sz="6" w:space="0"/>
              <w:bottom w:val="single" w:color="000000" w:sz="6" w:space="0"/>
              <w:right w:val="single" w:color="000000" w:sz="6" w:space="0"/>
            </w:tcBorders>
            <w:tcMar>
              <w:left w:w="160" w:type="dxa"/>
              <w:top w:w="160" w:type="dxa"/>
              <w:right w:w="160" w:type="dxa"/>
              <w:bottom w:w="160" w:type="dxa"/>
            </w:tcMar>
            <w:tcW w:w="0" w:type="auto"/>
            <w:vAlign w:val="center"/>
            <w:textDirection w:val="lrTb"/>
            <w:noWrap w:val="false"/>
          </w:tcPr>
          <w:p>
            <w:pPr>
              <w:shd w:val="clear" w:color="auto"/>
              <w:rPr>
                <w:highlight w:val="none"/>
              </w:rPr>
            </w:pPr>
            <w:r>
              <w:rPr>
                <w:highlight w:val="none"/>
              </w:rPr>
              <w:t xml:space="preserve">原则上按10万元/户标准进行奖励</w:t>
            </w:r>
            <w:r/>
          </w:p>
        </w:tc>
      </w:tr>
    </w:tbl>
    <w:p>
      <w:pPr>
        <w:ind w:firstLine="422"/>
        <w:spacing w:line="360" w:lineRule="auto"/>
        <w:shd w:val="clear" w:color="auto"/>
        <w:rPr>
          <w:rFonts w:ascii="宋体" w:hAnsi="宋体" w:cs="宋体"/>
          <w:b/>
          <w:bCs/>
          <w:szCs w:val="21"/>
          <w:highlight w:val="none"/>
        </w:rPr>
      </w:pPr>
      <w:r>
        <w:rPr>
          <w:rFonts w:hint="eastAsia" w:ascii="宋体" w:hAnsi="宋体" w:cs="宋体"/>
          <w:b/>
          <w:szCs w:val="21"/>
          <w:highlight w:val="none"/>
          <w:lang w:val="zh-CN"/>
        </w:rPr>
        <w:t xml:space="preserve">最终以实际发生工作量为准。</w:t>
      </w:r>
      <w:r>
        <w:rPr>
          <w:rFonts w:hint="eastAsia" w:ascii="宋体" w:hAnsi="宋体" w:cs="宋体"/>
          <w:szCs w:val="21"/>
          <w:highlight w:val="none"/>
        </w:rPr>
        <w:t xml:space="preserve">上述单价为综合单价，包含为完成对应工程内容所产生的一切费用，包括但不限于人工、措施费、</w:t>
      </w:r>
      <w:r>
        <w:rPr>
          <w:rFonts w:hint="eastAsia" w:ascii="宋体" w:hAnsi="宋体" w:cs="宋体"/>
          <w:szCs w:val="21"/>
          <w:highlight w:val="none"/>
        </w:rPr>
        <w:t xml:space="preserve">设备</w:t>
      </w:r>
      <w:r>
        <w:rPr>
          <w:rFonts w:hint="eastAsia" w:ascii="宋体" w:hAnsi="宋体" w:cs="宋体"/>
          <w:szCs w:val="21"/>
          <w:highlight w:val="none"/>
        </w:rPr>
        <w:t xml:space="preserve">机器</w:t>
      </w:r>
      <w:r>
        <w:rPr>
          <w:rFonts w:hint="eastAsia" w:ascii="宋体" w:hAnsi="宋体" w:cs="宋体"/>
          <w:szCs w:val="21"/>
          <w:highlight w:val="none"/>
        </w:rPr>
        <w:t xml:space="preserve">费、</w:t>
      </w:r>
      <w:r>
        <w:rPr>
          <w:rFonts w:hint="eastAsia" w:ascii="宋体" w:hAnsi="宋体" w:cs="宋体"/>
          <w:szCs w:val="21"/>
          <w:highlight w:val="none"/>
        </w:rPr>
        <w:t xml:space="preserve">差旅、管理、</w:t>
      </w:r>
      <w:r>
        <w:rPr>
          <w:rFonts w:hint="eastAsia" w:ascii="宋体" w:hAnsi="宋体" w:cs="宋体"/>
          <w:szCs w:val="21"/>
          <w:highlight w:val="none"/>
        </w:rPr>
        <w:t xml:space="preserve">服务费、</w:t>
      </w:r>
      <w:r>
        <w:rPr>
          <w:rFonts w:hint="eastAsia" w:ascii="宋体" w:hAnsi="宋体" w:cs="宋体"/>
          <w:szCs w:val="21"/>
          <w:highlight w:val="none"/>
        </w:rPr>
        <w:t xml:space="preserve">利润、规费、税金、风险、责任等各项应有费用，以及其他辅助费用。最终</w:t>
      </w:r>
      <w:r>
        <w:rPr>
          <w:rFonts w:hint="eastAsia" w:ascii="宋体" w:hAnsi="宋体" w:cs="宋体"/>
          <w:szCs w:val="21"/>
          <w:highlight w:val="none"/>
          <w:lang w:val="zh-CN"/>
        </w:rPr>
        <w:t xml:space="preserve">按照（</w:t>
      </w:r>
      <w:r>
        <w:rPr>
          <w:rFonts w:hint="eastAsia" w:ascii="宋体" w:hAnsi="宋体" w:cs="宋体"/>
          <w:szCs w:val="21"/>
          <w:highlight w:val="none"/>
        </w:rPr>
        <w:t xml:space="preserve">1-成交优惠率</w:t>
      </w:r>
      <w:r>
        <w:rPr>
          <w:rFonts w:hint="eastAsia" w:ascii="宋体" w:hAnsi="宋体" w:cs="宋体"/>
          <w:szCs w:val="21"/>
          <w:highlight w:val="none"/>
          <w:lang w:val="zh-CN"/>
        </w:rPr>
        <w:t xml:space="preserve">）</w:t>
      </w:r>
      <w:r>
        <w:rPr>
          <w:rFonts w:hint="eastAsia" w:ascii="宋体" w:hAnsi="宋体" w:cs="宋体"/>
          <w:szCs w:val="21"/>
          <w:highlight w:val="none"/>
        </w:rPr>
        <w:t xml:space="preserve">*收费标准*</w:t>
      </w:r>
      <w:r>
        <w:rPr>
          <w:rFonts w:hint="eastAsia" w:ascii="宋体" w:hAnsi="宋体" w:cs="宋体"/>
          <w:szCs w:val="21"/>
          <w:highlight w:val="none"/>
          <w:lang w:val="zh-CN"/>
        </w:rPr>
        <w:t xml:space="preserve">实际完成的工程量结算。</w:t>
      </w:r>
      <w:r>
        <w:rPr>
          <w:rFonts w:hint="eastAsia" w:ascii="宋体" w:hAnsi="宋体" w:cs="宋体"/>
          <w:b/>
          <w:szCs w:val="21"/>
          <w:highlight w:val="none"/>
          <w:lang w:val="zh-CN"/>
        </w:rPr>
        <w:t xml:space="preserve">按照上述标准结算时，</w:t>
      </w:r>
      <w:r>
        <w:rPr>
          <w:rFonts w:hint="eastAsia" w:ascii="宋体" w:hAnsi="宋体" w:cs="宋体"/>
          <w:b/>
          <w:szCs w:val="21"/>
          <w:highlight w:val="none"/>
        </w:rPr>
        <w:t xml:space="preserve">服务期内</w:t>
      </w:r>
      <w:r>
        <w:rPr>
          <w:rFonts w:hint="eastAsia" w:ascii="宋体" w:hAnsi="宋体" w:cs="宋体"/>
          <w:b/>
          <w:szCs w:val="21"/>
          <w:highlight w:val="none"/>
          <w:lang w:val="zh-CN"/>
        </w:rPr>
        <w:t xml:space="preserve">实际结算金额</w:t>
      </w:r>
      <w:r>
        <w:rPr>
          <w:rFonts w:hint="eastAsia" w:ascii="宋体" w:hAnsi="宋体" w:cs="宋体"/>
          <w:b/>
          <w:szCs w:val="21"/>
          <w:highlight w:val="none"/>
        </w:rPr>
        <w:t xml:space="preserve">未超过</w:t>
      </w:r>
      <w:r>
        <w:rPr>
          <w:rFonts w:hint="eastAsia" w:ascii="宋体" w:hAnsi="宋体" w:cs="宋体"/>
          <w:b/>
          <w:szCs w:val="21"/>
          <w:highlight w:val="none"/>
          <w:lang w:val="zh-CN"/>
        </w:rPr>
        <w:t xml:space="preserve">预算金额的，按照实际金额结算；</w:t>
      </w:r>
      <w:r>
        <w:rPr>
          <w:rFonts w:hint="eastAsia" w:ascii="宋体" w:hAnsi="宋体" w:cs="宋体"/>
          <w:b/>
          <w:szCs w:val="21"/>
          <w:highlight w:val="none"/>
        </w:rPr>
        <w:t xml:space="preserve">服务期内</w:t>
      </w:r>
      <w:r>
        <w:rPr>
          <w:rFonts w:hint="eastAsia" w:ascii="宋体" w:hAnsi="宋体" w:cs="宋体"/>
          <w:b/>
          <w:szCs w:val="21"/>
          <w:highlight w:val="none"/>
          <w:lang w:val="zh-CN"/>
        </w:rPr>
        <w:t xml:space="preserve">结算总额超过预算金额的，按照预算金额结算。</w:t>
      </w:r>
      <w:r/>
    </w:p>
    <w:p>
      <w:pPr>
        <w:ind w:firstLine="422"/>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3、服务要求</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成交单位服务队伍必须严格加强管理，遵守作业现场的一切规章制度，持证上岗，并确保人员的人身安全；成交单位自行承担服务期间设备和人员的安全责任，成交单位服务过程中所造成的任何安全事故、人身伤亡事故全部由成交单位自行承担。成交单位在服务管理过程中造成的人员伤害、财产损失或与第三者发生争议时，全部由成交单位负责处理，并负责赔偿。</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2）成交单位实施拆迁工作中，须严格遵守相关规定，严禁出现违规行为，如在拆迁中应及时将评估表、补偿方案交采购方备案，如有特殊情况需报采购方会办，成交单位不得擅自提高补偿标准，如成交单位擅自提高补偿给采购方造成损失的,由成交单位予以全额赔偿，如成交单位工作失误,导致给采购方造成损失的,由成交单位予以全额赔偿，情节严重的甲方有权立即终止协议并解除协议,另选其他公司实施本次拆迁。成交单位未经采购方同意出卖、转让或部分出卖、转让拆迁业务，采购方有权立即终止并解除协议，另行选择其他拆迁公司实施。</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成交单位在本项目服务期间内工作人员应注意安全，不得出现安全事故和群众上访事件，如发生安全意外和群众上访事件而造成的一切后果由成交单位负责。采购方有权立即终止并解除协议，另行选择其他拆迁公司。</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（4）成交单位必须遵守法律、法规，文明搬迁，平安搬迁，如违反法律法规而造成的一切后果由成交单位负责。</w:t>
      </w:r>
      <w:r/>
    </w:p>
    <w:p>
      <w:pPr>
        <w:ind w:firstLine="440"/>
        <w:spacing w:line="360" w:lineRule="auto"/>
        <w:shd w:val="clear" w:color="auto"/>
        <w:tabs>
          <w:tab w:val="left" w:pos="0" w:leader="none"/>
        </w:tabs>
        <w:rPr>
          <w:rFonts w:ascii="宋体" w:hAnsi="宋体" w:cs="宋体"/>
          <w:b/>
          <w:szCs w:val="21"/>
          <w:highlight w:val="none"/>
        </w:rPr>
      </w:pPr>
      <w:r>
        <w:rPr>
          <w:rFonts w:hint="eastAsia" w:ascii="宋体" w:hAnsi="宋体" w:cs="宋体"/>
          <w:sz w:val="22"/>
          <w:szCs w:val="22"/>
          <w:highlight w:val="none"/>
        </w:rPr>
        <w:t xml:space="preserve">（三）</w:t>
      </w:r>
      <w:r>
        <w:rPr>
          <w:rFonts w:hint="eastAsia" w:ascii="宋体" w:hAnsi="宋体" w:cs="宋体"/>
          <w:b/>
          <w:bCs/>
          <w:szCs w:val="21"/>
          <w:highlight w:val="none"/>
        </w:rPr>
        <w:t xml:space="preserve">服务期限：</w:t>
      </w:r>
      <w:r>
        <w:rPr>
          <w:rFonts w:hint="eastAsia" w:ascii="宋体" w:hAnsi="宋体" w:cs="宋体"/>
          <w:color w:val="0d0d0d"/>
          <w:szCs w:val="21"/>
          <w:highlight w:val="none"/>
        </w:rPr>
        <w:t xml:space="preserve">合同签订之日起至2026年12月31日</w:t>
      </w:r>
      <w:r>
        <w:rPr>
          <w:rFonts w:hint="eastAsia" w:ascii="宋体" w:hAnsi="宋体" w:cs="宋体"/>
          <w:color w:val="000000"/>
          <w:szCs w:val="21"/>
          <w:highlight w:val="none"/>
        </w:rPr>
        <w:t xml:space="preserve">。合同终止条件为服务期限截止或合同签订后按实结算合同金额达到</w:t>
      </w:r>
      <w:r>
        <w:t xml:space="preserve">标段</w:t>
      </w:r>
      <w:r>
        <w:rPr>
          <w:rFonts w:hint="eastAsia" w:ascii="宋体" w:hAnsi="宋体" w:cs="宋体"/>
          <w:color w:val="000000"/>
          <w:szCs w:val="21"/>
          <w:highlight w:val="none"/>
        </w:rPr>
        <w:t xml:space="preserve">预算金额（二者中以先到者为准）。</w:t>
      </w:r>
      <w:r/>
    </w:p>
    <w:p>
      <w:pPr>
        <w:ind w:firstLine="422"/>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五、</w:t>
      </w:r>
      <w:r>
        <w:rPr>
          <w:rFonts w:hint="eastAsia" w:ascii="宋体" w:hAnsi="宋体" w:cs="宋体"/>
          <w:b/>
          <w:bCs/>
          <w:color w:val="000000" w:themeColor="text1"/>
          <w:highlight w:val="none"/>
          <w14:textFill>
            <w14:solidFill>
              <w14:schemeClr w14:val="tx1"/>
            </w14:solidFill>
          </w14:textFill>
        </w:rPr>
        <w:t xml:space="preserve">其它要求</w:t>
      </w:r>
      <w:r>
        <w:rPr>
          <w:rFonts w:hint="eastAsia" w:ascii="宋体" w:hAnsi="宋体" w:cs="宋体"/>
          <w:b/>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1、响应单位所投服务应能够达到或优于以上全部要求，同时明确所投服务的详细方案和细节。</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color w:val="000000" w:themeColor="text1"/>
          <w:highlight w:val="none"/>
          <w:lang w:val="zh-CN"/>
          <w14:textFill>
            <w14:solidFill>
              <w14:schemeClr w14:val="tx1"/>
            </w14:solidFill>
          </w14:textFill>
        </w:rPr>
        <w:t xml:space="preserve">供应商在</w:t>
      </w:r>
      <w:r>
        <w:rPr>
          <w:rFonts w:hint="eastAsia" w:ascii="宋体" w:hAnsi="宋体" w:cs="宋体"/>
          <w:color w:val="000000" w:themeColor="text1"/>
          <w:highlight w:val="none"/>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文件中必须对所有</w:t>
      </w:r>
      <w:r>
        <w:rPr>
          <w:rFonts w:hint="eastAsia" w:ascii="宋体" w:hAnsi="宋体" w:cs="宋体"/>
          <w:color w:val="000000" w:themeColor="text1"/>
          <w:highlight w:val="none"/>
          <w14:textFill>
            <w14:solidFill>
              <w14:schemeClr w14:val="tx1"/>
            </w14:solidFill>
          </w14:textFill>
        </w:rPr>
        <w:t xml:space="preserve">采购</w:t>
      </w:r>
      <w:r>
        <w:rPr>
          <w:rFonts w:hint="eastAsia" w:ascii="宋体" w:hAnsi="宋体" w:cs="宋体"/>
          <w:color w:val="000000" w:themeColor="text1"/>
          <w:highlight w:val="none"/>
          <w:lang w:val="zh-CN"/>
          <w14:textFill>
            <w14:solidFill>
              <w14:schemeClr w14:val="tx1"/>
            </w14:solidFill>
          </w14:textFill>
        </w:rPr>
        <w:t xml:space="preserve">技术要求逐一做出技术应答，如果有其中某些条款不响应时，应在</w:t>
      </w:r>
      <w:r>
        <w:rPr>
          <w:rFonts w:hint="eastAsia" w:ascii="宋体" w:hAnsi="宋体" w:cs="宋体"/>
          <w:color w:val="000000" w:themeColor="text1"/>
          <w:highlight w:val="none"/>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文件中明确列出，未列出的视同响应。对供应商的技术应答中的负偏离，如经评标小组一致判定为实质性负偏离的，则该</w:t>
      </w:r>
      <w:r>
        <w:rPr>
          <w:rFonts w:hint="eastAsia" w:ascii="宋体" w:hAnsi="宋体" w:cs="宋体"/>
          <w:color w:val="000000" w:themeColor="text1"/>
          <w:highlight w:val="none"/>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文件为无效投标文件，无效投标文件不进行评审也不得中标。</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3、报价包括所需全部服务所需的包括但不限于</w:t>
      </w:r>
      <w:r>
        <w:rPr>
          <w:rFonts w:hint="eastAsia" w:ascii="宋体" w:hAnsi="宋体" w:cs="宋体"/>
          <w:szCs w:val="21"/>
          <w:highlight w:val="none"/>
        </w:rPr>
        <w:t xml:space="preserve">人工、措施费、</w:t>
      </w:r>
      <w:r>
        <w:rPr>
          <w:rFonts w:hint="eastAsia" w:ascii="宋体" w:hAnsi="宋体" w:cs="宋体"/>
          <w:szCs w:val="21"/>
          <w:highlight w:val="none"/>
        </w:rPr>
        <w:t xml:space="preserve">设备</w:t>
      </w:r>
      <w:r>
        <w:rPr>
          <w:rFonts w:hint="eastAsia" w:ascii="宋体" w:hAnsi="宋体" w:cs="宋体"/>
          <w:szCs w:val="21"/>
          <w:highlight w:val="none"/>
        </w:rPr>
        <w:t xml:space="preserve">机器</w:t>
      </w:r>
      <w:r>
        <w:rPr>
          <w:rFonts w:hint="eastAsia" w:ascii="宋体" w:hAnsi="宋体" w:cs="宋体"/>
          <w:szCs w:val="21"/>
          <w:highlight w:val="none"/>
        </w:rPr>
        <w:t xml:space="preserve">费、</w:t>
      </w:r>
      <w:r>
        <w:rPr>
          <w:rFonts w:hint="eastAsia" w:ascii="宋体" w:hAnsi="宋体" w:cs="宋体"/>
          <w:szCs w:val="21"/>
          <w:highlight w:val="none"/>
        </w:rPr>
        <w:t xml:space="preserve">差旅、管理、</w:t>
      </w:r>
      <w:r>
        <w:rPr>
          <w:rFonts w:hint="eastAsia" w:ascii="宋体" w:hAnsi="宋体" w:cs="宋体"/>
          <w:szCs w:val="21"/>
          <w:highlight w:val="none"/>
        </w:rPr>
        <w:t xml:space="preserve">服务费、</w:t>
      </w:r>
      <w:r>
        <w:rPr>
          <w:rFonts w:hint="eastAsia" w:ascii="宋体" w:hAnsi="宋体" w:cs="宋体"/>
          <w:szCs w:val="21"/>
          <w:highlight w:val="none"/>
        </w:rPr>
        <w:t xml:space="preserve">利润、规费、税金、风险、责任等各项应有费用，以及其他辅助费用</w:t>
      </w:r>
      <w:r>
        <w:rPr>
          <w:rFonts w:hint="eastAsia" w:ascii="宋体" w:hAnsi="宋体" w:cs="宋体"/>
          <w:szCs w:val="21"/>
          <w:highlight w:val="none"/>
        </w:rPr>
        <w:t xml:space="preserve">。</w:t>
      </w:r>
      <w:r/>
    </w:p>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b/>
          <w:szCs w:val="21"/>
          <w:highlight w:val="none"/>
        </w:rPr>
        <w:t xml:space="preserve">付款步骤：采购单位于年度末，根据该年度内所有已经完成签约、交付旧房钥匙并经所在村委及现场确认、资料齐全且核算无误的拆迁项目，统一结算该年度的合同价款支付手续。</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5、合同履行期间由于成交单位的责任造成社会不良影响的，采购方有权根据情节轻重采取以下一项或多项措施：</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（1）解除与成交单位的合同；</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（2）限制其在以后项目中的投标；</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（3）涉及违约金、赔偿金或其他应付费用的，采购方有权从应支付成交单位的费用、已缴付的履约保证金（如有）等可扣款项中扣除（若上述款项不足或没有可扣除款项，成交单位应另行向采购方支付）。</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6、工作过程中因成交单位责任所造成的经济损失由成交单位按实际金额赔偿。成交单位需要做好保密措施，未经采购人同意，不得将通过项目获取的相关数据或信息对外发布或者公开。</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7、响应单位的用工必须符合国家的有关法律法规的规定，合同期内所产生的劳动纠纷等都由成交单位负责，与招标采购单位无关。</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8、</w:t>
      </w:r>
      <w:r>
        <w:rPr>
          <w:rFonts w:hint="eastAsia" w:ascii="宋体" w:hAnsi="宋体" w:cs="宋体"/>
          <w:szCs w:val="21"/>
          <w:highlight w:val="none"/>
          <w:lang w:val="zh-CN"/>
        </w:rPr>
        <w:t xml:space="preserve">成交单位工作人员</w:t>
      </w:r>
      <w:r>
        <w:rPr>
          <w:rFonts w:hint="eastAsia" w:ascii="宋体" w:hAnsi="宋体" w:cs="宋体"/>
          <w:szCs w:val="21"/>
          <w:highlight w:val="none"/>
        </w:rPr>
        <w:t xml:space="preserve">必须持证上岗（如有规定），</w:t>
      </w:r>
      <w:r>
        <w:rPr>
          <w:rFonts w:hint="eastAsia" w:ascii="宋体" w:hAnsi="宋体" w:cs="宋体"/>
          <w:szCs w:val="21"/>
          <w:highlight w:val="none"/>
          <w:lang w:val="zh-CN"/>
        </w:rPr>
        <w:t xml:space="preserve">在岗履行职责期间（包括上下班途中），发生自身的人身伤害、伤亡，均由成交单位负责处理并承担经济和道义上的责任，招标采购单位不承担任何责任</w:t>
      </w:r>
      <w:r>
        <w:rPr>
          <w:rFonts w:hint="eastAsia" w:ascii="宋体" w:hAnsi="宋体" w:cs="宋体"/>
          <w:szCs w:val="21"/>
          <w:highlight w:val="none"/>
        </w:rPr>
        <w:t xml:space="preserve">。</w:t>
      </w:r>
      <w:r/>
    </w:p>
    <w:p>
      <w:pPr>
        <w:ind w:firstLine="482"/>
        <w:jc w:val="left"/>
        <w:spacing w:line="400" w:lineRule="exact"/>
        <w:shd w:val="clear" w:color="auto"/>
        <w:tabs>
          <w:tab w:val="left" w:pos="420" w:leader="none"/>
          <w:tab w:val="left" w:pos="525" w:leader="none"/>
          <w:tab w:val="left" w:pos="3840" w:leader="none"/>
        </w:tabs>
        <w:rPr>
          <w:rFonts w:ascii="宋体" w:hAnsi="宋体" w:cs="宋体"/>
          <w:b/>
          <w:szCs w:val="21"/>
          <w:highlight w:val="none"/>
        </w:rPr>
      </w:pPr>
      <w:r>
        <w:rPr>
          <w:rFonts w:hint="eastAsia" w:ascii="宋体" w:hAnsi="宋体" w:cs="宋体"/>
          <w:b/>
          <w:szCs w:val="21"/>
          <w:highlight w:val="none"/>
        </w:rPr>
        <w:t xml:space="preserve">七、综合说明</w:t>
      </w:r>
      <w:r/>
    </w:p>
    <w:p>
      <w:pPr>
        <w:ind w:firstLine="480"/>
        <w:spacing w:line="440" w:lineRule="exact"/>
        <w:shd w:val="clear" w:color="auto"/>
        <w:rPr>
          <w:rFonts w:ascii="宋体" w:hAnsi="宋体" w:cs="宋体"/>
          <w:szCs w:val="21"/>
          <w:highlight w:val="none"/>
        </w:rPr>
      </w:pPr>
      <w:r>
        <w:rPr>
          <w:rFonts w:hint="eastAsia" w:ascii="宋体" w:hAnsi="宋体" w:cs="宋体"/>
          <w:szCs w:val="21"/>
          <w:highlight w:val="none"/>
        </w:rPr>
        <w:t xml:space="preserve">1.报价的编制依据：</w:t>
      </w:r>
      <w:r/>
    </w:p>
    <w:p>
      <w:pPr>
        <w:ind w:firstLine="480"/>
        <w:spacing w:line="360" w:lineRule="auto"/>
        <w:shd w:val="clear" w:color="auto"/>
        <w:rPr>
          <w:rFonts w:ascii="宋体" w:hAnsi="宋体" w:cs="宋体"/>
          <w:szCs w:val="21"/>
          <w:highlight w:val="none"/>
        </w:rPr>
      </w:pPr>
      <w:r>
        <w:rPr>
          <w:rFonts w:hint="eastAsia" w:ascii="宋体" w:hAnsi="宋体" w:cs="宋体"/>
          <w:szCs w:val="21"/>
          <w:highlight w:val="none"/>
        </w:rPr>
        <w:t xml:space="preserve">（1）报价严格按照采购方提供的服务要求及采购文件要求进行。响应单位应对所投项目的全部内容进行报价，只投其中部分内容者，其标书将被拒绝。</w:t>
      </w:r>
      <w:r/>
    </w:p>
    <w:p>
      <w:pPr>
        <w:ind w:firstLine="480"/>
        <w:spacing w:line="360" w:lineRule="auto"/>
        <w:shd w:val="clear" w:color="auto"/>
        <w:rPr>
          <w:rFonts w:ascii="宋体" w:hAnsi="宋体" w:cs="宋体"/>
          <w:szCs w:val="21"/>
          <w:highlight w:val="none"/>
        </w:rPr>
      </w:pPr>
      <w:r>
        <w:rPr>
          <w:rFonts w:hint="eastAsia" w:ascii="宋体" w:hAnsi="宋体" w:cs="宋体"/>
          <w:szCs w:val="21"/>
          <w:highlight w:val="none"/>
        </w:rPr>
        <w:t xml:space="preserve">（2）市场风险：响应单位在报价时应充分考虑服务期内的市场因素和成本变化状况的风险，一旦成交，所报的报价，即为每个项目的成交价格。</w:t>
      </w:r>
      <w:r/>
    </w:p>
    <w:p>
      <w:pPr>
        <w:ind w:firstLine="480"/>
        <w:spacing w:line="360" w:lineRule="auto"/>
        <w:shd w:val="clear" w:color="auto"/>
        <w:rPr>
          <w:rFonts w:ascii="宋体" w:hAnsi="宋体" w:cs="宋体"/>
          <w:szCs w:val="21"/>
          <w:highlight w:val="none"/>
        </w:rPr>
      </w:pPr>
      <w:r>
        <w:rPr>
          <w:rFonts w:hint="eastAsia" w:ascii="宋体" w:hAnsi="宋体" w:cs="宋体"/>
          <w:szCs w:val="21"/>
          <w:highlight w:val="none"/>
        </w:rPr>
        <w:t xml:space="preserve">2.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r/>
    </w:p>
    <w:p>
      <w:pPr>
        <w:pStyle w:val="801"/>
        <w:ind w:firstLine="480"/>
        <w:shd w:val="clear" w:color="auto"/>
        <w:rPr>
          <w:rFonts w:hAnsi="宋体" w:cs="宋体"/>
          <w:sz w:val="21"/>
          <w:szCs w:val="21"/>
          <w:highlight w:val="none"/>
        </w:rPr>
      </w:pPr>
      <w:r>
        <w:rPr>
          <w:rFonts w:hint="eastAsia" w:hAnsi="宋体" w:cs="宋体"/>
          <w:sz w:val="21"/>
          <w:szCs w:val="21"/>
          <w:highlight w:val="none"/>
        </w:rPr>
        <w:t xml:space="preserve">3.根据政府采购法及相关法规，将对供应商进行信用查询，凡经评审小组确认不符合政府采购相关法律法规规定的，将拒绝其参与政府采购活动。</w:t>
      </w:r>
      <w:r/>
    </w:p>
    <w:p>
      <w:pPr>
        <w:pStyle w:val="801"/>
        <w:ind w:firstLine="480"/>
        <w:shd w:val="clear" w:color="auto"/>
        <w:rPr>
          <w:rFonts w:hAnsi="宋体" w:cs="宋体"/>
          <w:sz w:val="21"/>
          <w:szCs w:val="21"/>
          <w:highlight w:val="none"/>
        </w:rPr>
      </w:pPr>
      <w:r>
        <w:rPr>
          <w:rFonts w:hint="eastAsia" w:hAnsi="宋体" w:cs="宋体"/>
          <w:sz w:val="21"/>
          <w:szCs w:val="21"/>
          <w:highlight w:val="none"/>
        </w:rPr>
        <w:t xml:space="preserve">（1）查询时间：响应文件递交截止时间。</w:t>
      </w:r>
      <w:r/>
    </w:p>
    <w:p>
      <w:pPr>
        <w:pStyle w:val="801"/>
        <w:ind w:firstLine="480"/>
        <w:shd w:val="clear" w:color="auto"/>
        <w:rPr>
          <w:rFonts w:hAnsi="宋体" w:cs="宋体"/>
          <w:sz w:val="21"/>
          <w:szCs w:val="21"/>
          <w:highlight w:val="none"/>
        </w:rPr>
      </w:pPr>
      <w:r>
        <w:rPr>
          <w:rFonts w:hint="eastAsia" w:hAnsi="宋体" w:cs="宋体"/>
          <w:sz w:val="21"/>
          <w:szCs w:val="21"/>
          <w:highlight w:val="none"/>
        </w:rPr>
        <w:t xml:space="preserve">（2）查询渠道：来自中国政府采购网、信用中国的相关主体信用记录。</w:t>
      </w:r>
      <w:r/>
    </w:p>
    <w:p>
      <w:pPr>
        <w:pStyle w:val="801"/>
        <w:ind w:firstLine="480"/>
        <w:shd w:val="clear" w:color="auto"/>
        <w:rPr>
          <w:rFonts w:hAnsi="宋体" w:cs="宋体"/>
          <w:sz w:val="21"/>
          <w:szCs w:val="21"/>
          <w:highlight w:val="none"/>
        </w:rPr>
      </w:pPr>
      <w:r>
        <w:rPr>
          <w:rFonts w:hint="eastAsia" w:hAnsi="宋体" w:cs="宋体"/>
          <w:sz w:val="21"/>
          <w:szCs w:val="21"/>
          <w:highlight w:val="none"/>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p>
    <w:p>
      <w:pPr>
        <w:pStyle w:val="801"/>
        <w:ind w:firstLine="480"/>
        <w:shd w:val="clear" w:color="auto"/>
        <w:rPr>
          <w:rFonts w:hAnsi="宋体" w:cs="宋体"/>
          <w:sz w:val="21"/>
          <w:szCs w:val="21"/>
          <w:highlight w:val="none"/>
        </w:rPr>
      </w:pPr>
      <w:r>
        <w:rPr>
          <w:rFonts w:hint="eastAsia" w:hAnsi="宋体" w:cs="宋体"/>
          <w:sz w:val="21"/>
          <w:szCs w:val="21"/>
          <w:highlight w:val="none"/>
        </w:rPr>
        <w:t xml:space="preserve">（4）信用记录使用规则：评审小组在对供应商进行资格性审查时，应根据查询结果对供应商的不良信用记录逐项甄别确认。</w:t>
      </w:r>
      <w:r/>
    </w:p>
    <w:p>
      <w:pPr>
        <w:pStyle w:val="801"/>
        <w:ind w:firstLine="480"/>
        <w:shd w:val="clear" w:color="auto"/>
        <w:rPr>
          <w:rFonts w:hAnsi="宋体" w:cs="宋体"/>
          <w:sz w:val="21"/>
          <w:szCs w:val="21"/>
          <w:highlight w:val="none"/>
        </w:rPr>
      </w:pPr>
      <w:r>
        <w:rPr>
          <w:rFonts w:hint="eastAsia" w:hAnsi="宋体" w:cs="宋体"/>
          <w:sz w:val="21"/>
          <w:szCs w:val="21"/>
          <w:highlight w:val="none"/>
        </w:rPr>
        <w:t xml:space="preserve">4.关于政府采购促进中小企业发展政策要求：</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（1）本采购标的对应的中小企业划分标准所属行业为：</w:t>
      </w:r>
      <w:r>
        <w:rPr>
          <w:rFonts w:hint="eastAsia" w:ascii="宋体" w:hAnsi="宋体"/>
          <w:b/>
          <w:szCs w:val="21"/>
          <w:highlight w:val="none"/>
        </w:rPr>
        <w:t xml:space="preserve">其他未列明行业</w:t>
      </w:r>
      <w:r>
        <w:rPr>
          <w:rFonts w:hint="eastAsia" w:ascii="宋体" w:hAnsi="宋体" w:cs="宋体"/>
          <w:szCs w:val="21"/>
          <w:highlight w:val="none"/>
        </w:rPr>
        <w:t xml:space="preserve">。</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根据《政府采购促进中小企业发展管理办法》</w:t>
      </w:r>
      <w:r>
        <w:rPr>
          <w:rFonts w:hint="eastAsia" w:ascii="宋体" w:hAnsi="宋体" w:cs="宋体"/>
          <w:szCs w:val="21"/>
          <w:highlight w:val="none"/>
        </w:rPr>
        <w:t xml:space="preserve">、</w:t>
      </w:r>
      <w:r>
        <w:rPr>
          <w:rFonts w:hint="eastAsia" w:ascii="宋体" w:hAnsi="宋体" w:cs="宋体"/>
          <w:szCs w:val="21"/>
          <w:highlight w:val="none"/>
          <w:lang w:val="zh-CN"/>
        </w:rPr>
        <w:t xml:space="preserve">《关于做好政府采购支持企业发展有关事项的通知》（苏财购〔2020〕52号）、</w:t>
      </w:r>
      <w:r>
        <w:rPr>
          <w:rFonts w:hint="eastAsia" w:ascii="宋体" w:hAnsi="宋体" w:cs="宋体"/>
          <w:szCs w:val="21"/>
          <w:highlight w:val="none"/>
        </w:rPr>
        <w:t xml:space="preserve">《关于促进残疾人就业政府采购政策的通知》（财库〔2017〕141号）、《关于政府采购支持监狱企业发展有关问题的通知》（财库〔2014〕68号）等文件的精神。</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视为未实质性响应。</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5.政府采购中实施本国产品标准及相关政策</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5.1本项目对采购本国产品给予政策支持。</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5.4本项目政府采购活动中既有本国产品又有非本国产品参与竞争的，依法对本国产品给予价格评审优惠，对本国产品的报价给予20%的价格扣除，用扣除后的价格参与评审。（本项目不涉及）</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6.磋商保证金：本项目不设置。</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7.成交服务费：</w:t>
      </w:r>
      <w:r>
        <w:rPr>
          <w:rFonts w:hint="eastAsia" w:ascii="宋体" w:hAnsi="宋体" w:cs="宋体"/>
          <w:szCs w:val="21"/>
          <w:highlight w:val="none"/>
        </w:rPr>
        <w:t xml:space="preserve">本项目</w:t>
      </w:r>
      <w:r>
        <w:rPr>
          <w:rFonts w:hint="eastAsia" w:ascii="宋体" w:hAnsi="宋体" w:cs="宋体"/>
          <w:szCs w:val="21"/>
          <w:highlight w:val="none"/>
        </w:rPr>
        <w:t xml:space="preserve">服务</w:t>
      </w:r>
      <w:r>
        <w:rPr>
          <w:rFonts w:hint="eastAsia" w:ascii="宋体" w:hAnsi="宋体" w:cs="宋体"/>
          <w:szCs w:val="21"/>
          <w:highlight w:val="none"/>
        </w:rPr>
        <w:t xml:space="preserve">费</w:t>
      </w:r>
      <w:r>
        <w:rPr>
          <w:rFonts w:hint="eastAsia" w:ascii="宋体" w:hAnsi="宋体" w:cs="宋体"/>
          <w:szCs w:val="21"/>
          <w:highlight w:val="none"/>
        </w:rPr>
        <w:t xml:space="preserve">由</w:t>
      </w:r>
      <w:r>
        <w:rPr>
          <w:rFonts w:hint="eastAsia" w:ascii="宋体" w:hAnsi="宋体" w:cs="宋体"/>
          <w:szCs w:val="21"/>
          <w:highlight w:val="none"/>
        </w:rPr>
        <w:t xml:space="preserve">成交</w:t>
      </w:r>
      <w:r>
        <w:rPr>
          <w:rFonts w:hint="eastAsia" w:ascii="宋体" w:hAnsi="宋体" w:cs="宋体"/>
          <w:szCs w:val="21"/>
          <w:highlight w:val="none"/>
        </w:rPr>
        <w:t xml:space="preserve">供应商</w:t>
      </w:r>
      <w:r>
        <w:rPr>
          <w:rFonts w:hint="eastAsia" w:ascii="宋体" w:hAnsi="宋体" w:cs="宋体"/>
          <w:szCs w:val="21"/>
          <w:highlight w:val="none"/>
        </w:rPr>
        <w:t xml:space="preserve">进行</w:t>
      </w:r>
      <w:r>
        <w:rPr>
          <w:rFonts w:hint="eastAsia" w:ascii="宋体" w:hAnsi="宋体" w:cs="宋体"/>
          <w:szCs w:val="21"/>
          <w:highlight w:val="none"/>
        </w:rPr>
        <w:t xml:space="preserve">支付。</w:t>
      </w:r>
      <w:r>
        <w:rPr>
          <w:rFonts w:hint="eastAsia" w:ascii="宋体" w:hAnsi="宋体" w:cs="宋体"/>
          <w:szCs w:val="21"/>
          <w:highlight w:val="none"/>
        </w:rPr>
        <w:t xml:space="preserve">根据苏财购告【2016】31号文件的规定收取成交服务费，</w:t>
      </w:r>
      <w:r>
        <w:rPr>
          <w:rFonts w:hint="eastAsia" w:ascii="宋体" w:hAnsi="宋体" w:cs="宋体"/>
          <w:szCs w:val="21"/>
          <w:highlight w:val="none"/>
        </w:rPr>
        <w:t xml:space="preserve">成交</w:t>
      </w:r>
      <w:r>
        <w:rPr>
          <w:rFonts w:hint="eastAsia" w:ascii="宋体" w:hAnsi="宋体" w:cs="宋体"/>
          <w:szCs w:val="21"/>
          <w:highlight w:val="none"/>
        </w:rPr>
        <w:t xml:space="preserve">供应商</w:t>
      </w:r>
      <w:r>
        <w:rPr>
          <w:rFonts w:hint="eastAsia" w:ascii="宋体" w:hAnsi="宋体" w:cs="宋体"/>
          <w:szCs w:val="21"/>
          <w:highlight w:val="none"/>
        </w:rPr>
        <w:t xml:space="preserve">领取成交通知书时向招标代理机构一次付清。其收取标准为：100万元（含）以下费率为预算金额的1.5%，100万元-500万元（含）费率为预算金额的1.1%，差额累计计算，本项目</w:t>
      </w:r>
      <w:r>
        <w:rPr>
          <w:rFonts w:hint="eastAsia" w:ascii="宋体" w:hAnsi="宋体" w:cs="宋体"/>
          <w:b/>
          <w:bCs/>
          <w:color w:val="000000" w:themeColor="text1"/>
          <w:szCs w:val="21"/>
          <w:highlight w:val="none"/>
          <w14:textFill>
            <w14:solidFill>
              <w14:schemeClr w14:val="tx1"/>
            </w14:solidFill>
          </w14:textFill>
        </w:rPr>
        <w:t xml:space="preserve">本项目成交服务费标段一为7500元，标段二为4500元，标段三为4500元，标段四为4500元，标段五为4500元，标段六为4500元。</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lang w:val="zh-CN"/>
        </w:rPr>
        <w:t xml:space="preserve">无论磋商过程中的做法和结果如何，供应商自行承担所有与参加磋商有关的全部费用。</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9.政策执行（如涉及）</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p>
    <w:p>
      <w:pPr>
        <w:ind w:firstLine="48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10.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ind w:firstLine="480"/>
        <w:jc w:val="left"/>
        <w:spacing w:line="360" w:lineRule="auto"/>
        <w:shd w:val="clear" w:color="auto"/>
        <w:rPr>
          <w:rFonts w:ascii="宋体" w:hAnsi="宋体" w:cs="宋体"/>
          <w:bCs/>
          <w:sz w:val="24"/>
          <w:highlight w:val="none"/>
        </w:rPr>
      </w:pPr>
      <w:r>
        <w:rPr>
          <w:rFonts w:hint="eastAsia" w:ascii="宋体" w:hAnsi="宋体" w:cs="宋体"/>
          <w:szCs w:val="21"/>
          <w:highlight w:val="none"/>
        </w:rPr>
        <w:t xml:space="preserve">11.凡涉及磋商采购文件的补充说明和修改，均以</w:t>
      </w:r>
      <w:r>
        <w:rPr>
          <w:rFonts w:hint="eastAsia" w:ascii="宋体" w:hAnsi="宋体" w:cs="宋体"/>
          <w:color w:val="000000" w:themeColor="text1"/>
          <w:szCs w:val="21"/>
          <w:highlight w:val="none"/>
          <w14:textFill>
            <w14:solidFill>
              <w14:schemeClr w14:val="tx1"/>
            </w14:solidFill>
          </w14:textFill>
        </w:rPr>
        <w:t xml:space="preserve">江苏政府采购网、</w:t>
      </w:r>
      <w:r>
        <w:rPr>
          <w:rFonts w:hint="eastAsia" w:ascii="宋体" w:hAnsi="宋体" w:cs="宋体"/>
          <w:szCs w:val="21"/>
          <w:highlight w:val="none"/>
        </w:rPr>
        <w:t xml:space="preserve">苏州政府采购网上发布的通知为准。</w:t>
      </w:r>
      <w:r>
        <w:rPr>
          <w:rFonts w:hint="eastAsia" w:ascii="宋体" w:hAnsi="宋体" w:cs="宋体"/>
          <w:bCs/>
          <w:sz w:val="24"/>
          <w:highlight w:val="none"/>
        </w:rPr>
        <w:t xml:space="preserve">  </w:t>
      </w:r>
      <w:r/>
    </w:p>
    <w:p>
      <w:pPr>
        <w:pStyle w:val="958"/>
        <w:jc w:val="center"/>
        <w:shd w:val="clear" w:color="auto"/>
        <w:rPr>
          <w:rFonts w:ascii="宋体" w:hAnsi="宋体" w:cs="宋体"/>
          <w:b/>
          <w:sz w:val="44"/>
          <w:szCs w:val="44"/>
          <w:highlight w:val="none"/>
        </w:rPr>
      </w:pPr>
      <w:r>
        <w:rPr>
          <w:rFonts w:ascii="宋体" w:hAnsi="宋体" w:cs="宋体"/>
          <w:b/>
          <w:sz w:val="44"/>
          <w:szCs w:val="44"/>
          <w:highlight w:val="none"/>
        </w:rPr>
      </w:r>
      <w:r/>
    </w:p>
    <w:p>
      <w:pPr>
        <w:pStyle w:val="958"/>
        <w:jc w:val="center"/>
        <w:shd w:val="clear" w:color="auto"/>
        <w:rPr>
          <w:rFonts w:ascii="宋体" w:hAnsi="宋体" w:cs="宋体"/>
          <w:b/>
          <w:sz w:val="44"/>
          <w:szCs w:val="44"/>
          <w:highlight w:val="none"/>
        </w:rPr>
      </w:pPr>
      <w:r>
        <w:rPr>
          <w:rFonts w:ascii="宋体" w:hAnsi="宋体" w:cs="宋体"/>
          <w:b/>
          <w:sz w:val="44"/>
          <w:szCs w:val="44"/>
          <w:highlight w:val="none"/>
        </w:rPr>
      </w:r>
      <w:r/>
    </w:p>
    <w:p>
      <w:pPr>
        <w:pStyle w:val="959"/>
        <w:shd w:val="clear" w:color="auto"/>
        <w:rPr>
          <w:rFonts w:ascii="宋体" w:hAnsi="宋体" w:cs="宋体"/>
          <w:b/>
          <w:sz w:val="44"/>
          <w:szCs w:val="44"/>
          <w:highlight w:val="none"/>
        </w:rPr>
      </w:pPr>
      <w:r>
        <w:rPr>
          <w:rFonts w:ascii="宋体" w:hAnsi="宋体" w:cs="宋体"/>
          <w:b/>
          <w:sz w:val="44"/>
          <w:szCs w:val="44"/>
          <w:highlight w:val="none"/>
        </w:rPr>
      </w:r>
      <w:r/>
    </w:p>
    <w:p>
      <w:pPr>
        <w:jc w:val="center"/>
        <w:spacing w:line="360" w:lineRule="auto"/>
        <w:shd w:val="clear" w:color="auto"/>
        <w:tabs>
          <w:tab w:val="left" w:pos="315" w:leader="none"/>
          <w:tab w:val="center" w:pos="4153" w:leader="none"/>
        </w:tabs>
        <w:rPr>
          <w:rFonts w:ascii="宋体" w:hAnsi="宋体" w:cs="宋体"/>
          <w:b/>
          <w:sz w:val="44"/>
          <w:szCs w:val="44"/>
          <w:highlight w:val="none"/>
        </w:rPr>
      </w:pPr>
      <w:r>
        <w:rPr>
          <w:rFonts w:hint="eastAsia" w:ascii="宋体" w:hAnsi="宋体" w:cs="宋体"/>
          <w:b/>
          <w:bCs/>
          <w:color w:val="000000" w:themeColor="text1"/>
          <w:sz w:val="32"/>
          <w:szCs w:val="32"/>
          <w:highlight w:val="none"/>
          <w:lang w:val="zh-CN"/>
          <w14:textFill>
            <w14:solidFill>
              <w14:schemeClr w14:val="tx1"/>
            </w14:solidFill>
          </w14:textFill>
        </w:rPr>
        <w:t xml:space="preserve">第五章 合同主要条款（草稿）</w:t>
      </w:r>
      <w:r/>
    </w:p>
    <w:p>
      <w:pPr>
        <w:jc w:val="center"/>
        <w:spacing w:line="440" w:lineRule="exact"/>
        <w:shd w:val="clear" w:color="auto"/>
        <w:tabs>
          <w:tab w:val="left" w:pos="8277" w:leader="none"/>
        </w:tabs>
        <w:rPr>
          <w:b/>
          <w:bCs/>
          <w:sz w:val="44"/>
          <w:szCs w:val="44"/>
          <w:highlight w:val="none"/>
        </w:rPr>
      </w:pPr>
      <w:r>
        <w:rPr>
          <w:b/>
          <w:bCs/>
          <w:sz w:val="44"/>
          <w:szCs w:val="44"/>
          <w:highlight w:val="none"/>
        </w:rPr>
      </w:r>
      <w:r/>
    </w:p>
    <w:p>
      <w:pPr>
        <w:jc w:val="left"/>
        <w:spacing w:line="360" w:lineRule="auto"/>
        <w:shd w:val="clear" w:color="auto"/>
        <w:rPr>
          <w:rFonts w:ascii="宋体" w:hAnsi="宋体"/>
          <w:szCs w:val="21"/>
          <w:highlight w:val="none"/>
        </w:rPr>
      </w:pPr>
      <w:r>
        <w:rPr>
          <w:rFonts w:hint="eastAsia" w:ascii="宋体" w:hAnsi="宋体"/>
          <w:szCs w:val="21"/>
          <w:highlight w:val="none"/>
        </w:rPr>
        <w:t xml:space="preserve">甲方（采购人）：</w:t>
      </w:r>
      <w:r/>
    </w:p>
    <w:p>
      <w:pPr>
        <w:jc w:val="left"/>
        <w:spacing w:line="360" w:lineRule="auto"/>
        <w:shd w:val="clear" w:color="auto"/>
        <w:rPr>
          <w:rFonts w:ascii="宋体" w:hAnsi="宋体"/>
          <w:szCs w:val="21"/>
          <w:highlight w:val="none"/>
        </w:rPr>
      </w:pPr>
      <w:r>
        <w:rPr>
          <w:rFonts w:hint="eastAsia" w:ascii="宋体" w:hAnsi="宋体"/>
          <w:szCs w:val="21"/>
          <w:highlight w:val="none"/>
        </w:rPr>
        <w:t xml:space="preserve">单位地址：</w:t>
      </w:r>
      <w:r/>
    </w:p>
    <w:p>
      <w:pPr>
        <w:jc w:val="left"/>
        <w:spacing w:line="360" w:lineRule="auto"/>
        <w:shd w:val="clear" w:color="auto"/>
        <w:rPr>
          <w:rFonts w:ascii="宋体" w:hAnsi="宋体"/>
          <w:szCs w:val="21"/>
          <w:highlight w:val="none"/>
        </w:rPr>
      </w:pPr>
      <w:r>
        <w:rPr>
          <w:rFonts w:hint="eastAsia" w:ascii="宋体" w:hAnsi="宋体"/>
          <w:szCs w:val="21"/>
          <w:highlight w:val="none"/>
        </w:rPr>
        <w:t xml:space="preserve">联系人：</w:t>
      </w:r>
      <w:r/>
    </w:p>
    <w:p>
      <w:pPr>
        <w:jc w:val="left"/>
        <w:spacing w:line="360" w:lineRule="auto"/>
        <w:shd w:val="clear" w:color="auto"/>
        <w:rPr>
          <w:rFonts w:ascii="宋体" w:hAnsi="宋体"/>
          <w:szCs w:val="21"/>
          <w:highlight w:val="none"/>
        </w:rPr>
      </w:pPr>
      <w:r>
        <w:rPr>
          <w:rFonts w:hint="eastAsia" w:ascii="宋体" w:hAnsi="宋体"/>
          <w:szCs w:val="21"/>
          <w:highlight w:val="none"/>
        </w:rPr>
        <w:t xml:space="preserve">联系电话：</w:t>
      </w:r>
      <w:r/>
    </w:p>
    <w:p>
      <w:pPr>
        <w:jc w:val="left"/>
        <w:spacing w:line="360" w:lineRule="auto"/>
        <w:shd w:val="clear" w:color="auto"/>
        <w:rPr>
          <w:rFonts w:ascii="宋体" w:hAnsi="宋体"/>
          <w:szCs w:val="21"/>
          <w:highlight w:val="none"/>
        </w:rPr>
      </w:pPr>
      <w:r>
        <w:rPr>
          <w:rFonts w:ascii="宋体" w:hAnsi="宋体"/>
          <w:szCs w:val="21"/>
          <w:highlight w:val="none"/>
        </w:rPr>
      </w:r>
      <w:r/>
    </w:p>
    <w:p>
      <w:pPr>
        <w:jc w:val="left"/>
        <w:spacing w:line="360" w:lineRule="auto"/>
        <w:shd w:val="clear" w:color="auto"/>
        <w:rPr>
          <w:rFonts w:ascii="宋体" w:hAnsi="宋体"/>
          <w:szCs w:val="21"/>
          <w:highlight w:val="none"/>
        </w:rPr>
      </w:pPr>
      <w:r>
        <w:rPr>
          <w:rFonts w:hint="eastAsia" w:ascii="宋体" w:hAnsi="宋体"/>
          <w:szCs w:val="21"/>
          <w:highlight w:val="none"/>
        </w:rPr>
        <w:t xml:space="preserve">乙方（供应商）：</w:t>
      </w:r>
      <w:r/>
    </w:p>
    <w:p>
      <w:pPr>
        <w:jc w:val="left"/>
        <w:spacing w:line="360" w:lineRule="auto"/>
        <w:shd w:val="clear" w:color="auto"/>
        <w:rPr>
          <w:rFonts w:ascii="宋体" w:hAnsi="宋体"/>
          <w:szCs w:val="21"/>
          <w:highlight w:val="none"/>
        </w:rPr>
      </w:pPr>
      <w:r>
        <w:rPr>
          <w:rFonts w:hint="eastAsia" w:ascii="宋体" w:hAnsi="宋体"/>
          <w:szCs w:val="21"/>
          <w:highlight w:val="none"/>
        </w:rPr>
        <w:t xml:space="preserve">单位地址：</w:t>
      </w:r>
      <w:r/>
    </w:p>
    <w:p>
      <w:pPr>
        <w:jc w:val="left"/>
        <w:spacing w:line="360" w:lineRule="auto"/>
        <w:shd w:val="clear" w:color="auto"/>
        <w:rPr>
          <w:rFonts w:ascii="宋体" w:hAnsi="宋体"/>
          <w:szCs w:val="21"/>
          <w:highlight w:val="none"/>
        </w:rPr>
      </w:pPr>
      <w:r>
        <w:rPr>
          <w:rFonts w:hint="eastAsia" w:ascii="宋体" w:hAnsi="宋体"/>
          <w:szCs w:val="21"/>
          <w:highlight w:val="none"/>
        </w:rPr>
        <w:t xml:space="preserve">联系人：</w:t>
      </w:r>
      <w:r/>
    </w:p>
    <w:p>
      <w:pPr>
        <w:jc w:val="left"/>
        <w:spacing w:line="360" w:lineRule="auto"/>
        <w:shd w:val="clear" w:color="auto"/>
        <w:rPr>
          <w:rFonts w:ascii="宋体" w:hAnsi="宋体" w:cs="仿宋_GB2312"/>
          <w:szCs w:val="21"/>
          <w:highlight w:val="none"/>
        </w:rPr>
      </w:pPr>
      <w:r>
        <w:rPr>
          <w:rFonts w:hint="eastAsia" w:ascii="宋体" w:hAnsi="宋体"/>
          <w:szCs w:val="21"/>
          <w:highlight w:val="none"/>
        </w:rPr>
        <w:t xml:space="preserve">联系电话：</w:t>
      </w:r>
      <w:r/>
    </w:p>
    <w:p>
      <w:pPr>
        <w:ind w:firstLine="480"/>
        <w:spacing w:line="360" w:lineRule="auto"/>
        <w:shd w:val="clear" w:color="auto"/>
        <w:rPr>
          <w:rFonts w:ascii="宋体" w:hAnsi="宋体" w:cs="宋体"/>
          <w:szCs w:val="21"/>
          <w:highlight w:val="none"/>
        </w:rPr>
      </w:pPr>
      <w:r>
        <w:rPr>
          <w:rFonts w:hint="eastAsia" w:ascii="宋体" w:hAnsi="宋体" w:cs="宋体"/>
          <w:szCs w:val="21"/>
          <w:highlight w:val="none"/>
        </w:rPr>
        <w:t xml:space="preserve">根据苏州市天美达招投标咨询服务有限公司采购编号</w:t>
      </w:r>
      <w:r>
        <w:rPr>
          <w:rFonts w:hint="eastAsia" w:ascii="宋体" w:hAnsi="宋体" w:cs="宋体"/>
          <w:szCs w:val="21"/>
          <w:highlight w:val="none"/>
          <w:u w:val="single"/>
        </w:rPr>
        <w:t xml:space="preserve">JSZC-320509-SZST-C2026-0019号</w:t>
      </w:r>
      <w:r>
        <w:rPr>
          <w:rFonts w:hint="eastAsia" w:ascii="宋体" w:hAnsi="宋体" w:cs="宋体"/>
          <w:szCs w:val="21"/>
          <w:highlight w:val="none"/>
        </w:rPr>
        <w:t xml:space="preserve">政府采购文件及成交单位的响应文件和成交通知书，甲乙双方就此次成交的</w:t>
      </w:r>
      <w:r>
        <w:rPr>
          <w:rFonts w:hint="eastAsia" w:ascii="宋体" w:hAnsi="宋体" w:cs="宋体"/>
          <w:szCs w:val="21"/>
          <w:highlight w:val="none"/>
          <w:u w:val="single"/>
        </w:rPr>
        <w:t xml:space="preserve">平望镇2026年度第三方拆迁服务</w:t>
      </w:r>
      <w:r>
        <w:rPr>
          <w:rFonts w:hint="eastAsia" w:ascii="宋体" w:hAnsi="宋体" w:cs="宋体"/>
          <w:szCs w:val="21"/>
          <w:highlight w:val="none"/>
        </w:rPr>
        <w:t xml:space="preserve">签订本合同。</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一、定义</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以下术语有特定的含义：</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服务是指根据合同约定乙方应承担</w:t>
      </w:r>
      <w:r>
        <w:rPr>
          <w:rFonts w:hint="eastAsia" w:ascii="宋体" w:hAnsi="宋体" w:cs="宋体"/>
          <w:szCs w:val="21"/>
          <w:highlight w:val="none"/>
          <w:u w:val="single"/>
        </w:rPr>
        <w:t xml:space="preserve">                          </w:t>
      </w:r>
      <w:r>
        <w:rPr>
          <w:rFonts w:hint="eastAsia" w:ascii="宋体" w:hAnsi="宋体" w:cs="宋体"/>
          <w:szCs w:val="21"/>
          <w:highlight w:val="none"/>
        </w:rPr>
        <w:t xml:space="preserve">等工作和合同中约定乙方应承担的其他义务。</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合同价款是指根据成交供应商的响应文件和合同约定，乙方在全面履行合同义务后甲方应支付给乙方的价款。</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甲方是指合同中明确约定的实际购买和接受服务的单位。</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乙方是指合同中约定的提供服务的单位。</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二、合同项目及期限</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1.1乙方负责</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360" w:lineRule="auto"/>
        <w:shd w:val="clear" w:color="auto"/>
        <w:tabs>
          <w:tab w:val="left" w:pos="420" w:leader="none"/>
          <w:tab w:val="left" w:pos="525" w:leader="none"/>
        </w:tabs>
        <w:rPr>
          <w:rFonts w:ascii="宋体" w:hAnsi="宋体" w:cs="宋体"/>
          <w:szCs w:val="21"/>
          <w:highlight w:val="none"/>
        </w:rPr>
      </w:pPr>
      <w:r>
        <w:rPr>
          <w:rFonts w:hint="eastAsia" w:ascii="宋体" w:hAnsi="宋体" w:cs="宋体"/>
          <w:szCs w:val="21"/>
          <w:highlight w:val="none"/>
        </w:rPr>
        <w:t xml:space="preserve">1.2</w:t>
      </w:r>
      <w:r>
        <w:rPr>
          <w:rFonts w:hint="eastAsia" w:ascii="宋体" w:hAnsi="宋体" w:cs="宋体"/>
          <w:bCs/>
          <w:szCs w:val="21"/>
          <w:highlight w:val="none"/>
        </w:rPr>
        <w:t xml:space="preserve">服务期限：</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1.3服务地点：根据甲方指定地点。</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1.4服务内容和要求：</w:t>
      </w:r>
      <w:r>
        <w:rPr>
          <w:rFonts w:hint="eastAsia" w:ascii="宋体" w:hAnsi="宋体" w:cs="宋体"/>
          <w:szCs w:val="21"/>
          <w:highlight w:val="none"/>
          <w:u w:val="single"/>
        </w:rPr>
        <w:t xml:space="preserve">详见磋商文件</w:t>
      </w:r>
      <w:r>
        <w:rPr>
          <w:rFonts w:hint="eastAsia" w:ascii="宋体" w:hAnsi="宋体" w:cs="宋体"/>
          <w:szCs w:val="21"/>
          <w:highlight w:val="none"/>
        </w:rPr>
        <w:t xml:space="preserve">。</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三、合同总价款</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1.11.合同总价款：大写人民币           元整，小写￥                  。</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1.2合同总价款包括</w:t>
      </w:r>
      <w:r>
        <w:rPr>
          <w:rFonts w:hint="eastAsia" w:ascii="宋体" w:hAnsi="宋体" w:cs="宋体"/>
          <w:szCs w:val="21"/>
          <w:highlight w:val="none"/>
        </w:rPr>
        <w:t xml:space="preserve">但不限于</w:t>
      </w:r>
      <w:r>
        <w:rPr>
          <w:rFonts w:hint="eastAsia" w:ascii="宋体" w:hAnsi="宋体" w:cs="宋体"/>
          <w:szCs w:val="21"/>
          <w:highlight w:val="none"/>
        </w:rPr>
        <w:t xml:space="preserve">人工、措施费、</w:t>
      </w:r>
      <w:r>
        <w:rPr>
          <w:rFonts w:hint="eastAsia" w:ascii="宋体" w:hAnsi="宋体" w:cs="宋体"/>
          <w:szCs w:val="21"/>
          <w:highlight w:val="none"/>
        </w:rPr>
        <w:t xml:space="preserve">设备</w:t>
      </w:r>
      <w:r>
        <w:rPr>
          <w:rFonts w:hint="eastAsia" w:ascii="宋体" w:hAnsi="宋体" w:cs="宋体"/>
          <w:szCs w:val="21"/>
          <w:highlight w:val="none"/>
        </w:rPr>
        <w:t xml:space="preserve">机器</w:t>
      </w:r>
      <w:r>
        <w:rPr>
          <w:rFonts w:hint="eastAsia" w:ascii="宋体" w:hAnsi="宋体" w:cs="宋体"/>
          <w:szCs w:val="21"/>
          <w:highlight w:val="none"/>
        </w:rPr>
        <w:t xml:space="preserve">费、</w:t>
      </w:r>
      <w:r>
        <w:rPr>
          <w:rFonts w:hint="eastAsia" w:ascii="宋体" w:hAnsi="宋体" w:cs="宋体"/>
          <w:szCs w:val="21"/>
          <w:highlight w:val="none"/>
        </w:rPr>
        <w:t xml:space="preserve">差旅、管理、</w:t>
      </w:r>
      <w:r>
        <w:rPr>
          <w:rFonts w:hint="eastAsia" w:ascii="宋体" w:hAnsi="宋体" w:cs="宋体"/>
          <w:szCs w:val="21"/>
          <w:highlight w:val="none"/>
        </w:rPr>
        <w:t xml:space="preserve">服务费、</w:t>
      </w:r>
      <w:r>
        <w:rPr>
          <w:rFonts w:hint="eastAsia" w:ascii="宋体" w:hAnsi="宋体" w:cs="宋体"/>
          <w:szCs w:val="21"/>
          <w:highlight w:val="none"/>
        </w:rPr>
        <w:t xml:space="preserve">利润、规费、税金、风险、责任等各项应有费用，以及其他辅助费用</w:t>
      </w:r>
      <w:r>
        <w:rPr>
          <w:rFonts w:hint="eastAsia" w:ascii="宋体" w:hAnsi="宋体" w:cs="宋体"/>
          <w:sz w:val="22"/>
          <w:szCs w:val="22"/>
          <w:highlight w:val="none"/>
        </w:rPr>
        <w:t xml:space="preserve">。</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1.3根据国家现行税法对甲方征收的与本合同有关的税费均由甲方承担；根据国家现行税法对乙方征收的与本合同有关的一切税费均由乙方承担。如乙方在履约过程中产生额外的收益，归甲方所有。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四、付款方式</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1.1付款步骤：</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1.2支付方式：银行电汇或转账。</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五、甲、乙双方的责任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1.甲方责任：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1.1依本合同约定支付合同款项；</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1.2依本合同约定及时组织验收；</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1.3协助乙方进行项目的相关协调工作及约定期限内提供相关资料以利于开展项目。</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2.乙方责任：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乙方负责完成本次采购要求的全部服务工作，乙方应按磋商文件以及合同约定的技术规范、标准进行实施，并保证按期、保质保量完成项目的实施工作，对提交的项目质量负责。</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六、违约责任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1.甲方违约责任：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1.1在合同生效后，甲方无故要求解除合同的，应向乙方偿付合同总价款5%的违约金，违约金不足以补偿损失的，乙方有权要求甲方补足。</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1.2甲方逾期付款的应按照逾期付款金额的每天万分之四支付逾期付款违约金，总额不超总价款的5%。</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2.乙方的违约责任：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2.1在合同生效后，乙方无故要求解除合同的，应向甲方偿付合同总价款5%的违约金，违约金不足以补偿损失的，甲方有权要求乙方补足。</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2.2乙方未按合同约定的质量要求提供服务，不能完成合同时，甲方有权解除合同，乙方向甲方偿付合同总价款5%的违约金，违约金不足以补偿损失的甲方有权要求乙方补足。</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2.3乙方必须自己完成合同内容，不得自行转包、分包，否则甲方有权解除合同并要求乙方偿付合同总价款5%的违约金。乙方必须按照合同约定配置服务人员，未经甲方同意，不得擅自更换服务人员，否则甲方有权解除合同并要求乙方偿付合同总价款5%的违约金。</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2.4乙方应执行国家有关规定（如苏州最低工资标准和其他规定），负责乙方员工的生病、事故、伤残、死亡和劳务纠纷，甲方不承担任何相关责任。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2.5乙方负有对自己员工的安全责任，甲方不承担任何相关责任。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七、不可抗力</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1.如因不可抗力而导致合同实施延误或不能履行合同义务，双方均不承担误期赔偿或不能履行合同义务的责任。因乙方或甲方先延误或不能履行合同而后遇不可抗力的情形除外。</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2.本条所述“不可抗力”系指双方不能预见、不能避免、不能克服的客观情况，不包括双方的违约或疏忽。这些情况包括但不限于：战争、严重火灾、洪水、台风、地震以及其它双方商定的事件。</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八、争端的解决</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1.甲方和乙方应通过友好协商，解决在执行本合同过程中所发生的或与本合同有关的一切争端。</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2.如协商不成，双方中的任何一方可向人民法院提起诉讼，诉讼由合同签订地人民法院管辖。</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3.诉讼费由败诉方负担。</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4.因合同部分履行引发诉讼的，在诉讼期间，除正在进行诉讼的部分外，本合同的其它部分应继续执行。</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九、违约终止合同</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1.在甲方因乙方违约而按合同约定采取的任何补救措施不受影响的情况下，甲方有权在下列情况下向乙方发出书面通知，提前解除部分或全部合同并要求乙方偿付合同总价款5%的违约金：</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1.1如果乙方未能在合同约定的期限或甲方同意延长的期限内提供部分或全部服务。</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1.2如果乙方未能履行合同约定的其他任何义务。</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1.3如果乙方在本合同的招投标竞争或项目实施过程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如果甲方根据以上的规定，解除全部或部分合同，甲方可以依其认为适当的条件和方法购买与未提供服务类似的服务，乙方应承担甲方购买类似服务所超出本合同约定的费用。并且，乙方应继续履行合同中未终止的部分。</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3.如果甲方违约，应承担相应的违约责任。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十、破产终止合同：如果乙方进入破产程序或丧失清偿能力，甲方可在任何时候以书面形式通知乙方终止合同而不给乙方补偿。该终止合同将不损害或影响甲方已经采取或将要采取任何补救措施的权利。</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十一、采购合同的双方当事人（指甲乙双方）不得擅自变更、中止或者终止合同。合同继续履行将损害国家利益和社会公共利益的，双方当事人应当变更、中止或者终止合同。有过错的一方应当承担赔偿责任，双方都有过错的，各自承担相应的责任。</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十二、合同转让和分包：本项目不得转让、转包和分包。</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十三、需要补充的合同条款：（根据评审过程中或者商务谈判时商定的条款和条件在订立合同时标明）。</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十四、合同生效</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1.双方签约人为各自法定代表人或被授权代表。</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2.本合同系指本文件及其附件中的所有部分，磋商文件、成交供应商的响应文件、成交通知书、成交供应商在采购过程中的澄清和承诺等为本合同不可缺少的组成部分。</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3.本合同自甲乙双方签字盖章之日起生效。</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4.本合同壹式伍份，甲乙双方各执贰份，采购代理机构执壹份，各份具有同等法律效力。</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5.本合同应按照中华人民共和国的现行法律进行解释。</w:t>
      </w:r>
      <w:r/>
    </w:p>
    <w:p>
      <w:pPr>
        <w:ind w:firstLine="420"/>
        <w:jc w:val="left"/>
        <w:spacing w:line="360" w:lineRule="auto"/>
        <w:shd w:val="clear" w:color="auto"/>
        <w:tabs>
          <w:tab w:val="left" w:pos="2880" w:leader="none"/>
        </w:tabs>
        <w:rPr>
          <w:rFonts w:ascii="宋体" w:hAnsi="宋体" w:cs="宋体"/>
          <w:szCs w:val="21"/>
          <w:highlight w:val="none"/>
        </w:rPr>
      </w:pPr>
      <w:r>
        <w:rPr>
          <w:rFonts w:hint="eastAsia" w:ascii="宋体" w:hAnsi="宋体" w:cs="宋体"/>
          <w:szCs w:val="21"/>
          <w:highlight w:val="none"/>
        </w:rPr>
        <w:t xml:space="preserve">6.合同修改：除甲乙双方签署书面修改、补充协议，并成为本合同不可分割的一部分之外，本合同条件不得有任何变化或修改。</w:t>
      </w:r>
      <w:r/>
    </w:p>
    <w:p>
      <w:pPr>
        <w:ind w:firstLine="422"/>
        <w:spacing w:line="360" w:lineRule="auto"/>
        <w:shd w:val="clear" w:color="auto"/>
        <w:rPr>
          <w:rFonts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十五、未尽事宜</w:t>
      </w:r>
      <w:r/>
    </w:p>
    <w:p>
      <w:pPr>
        <w:ind w:firstLine="420"/>
        <w:spacing w:line="360" w:lineRule="auto"/>
        <w:shd w:val="clear" w:color="auto"/>
        <w:rPr>
          <w:rFonts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1、应按照《中华人民共和国民法典》《中华人民共和国政府采购法》等相关法律法规之规定解释。</w:t>
      </w:r>
      <w:r/>
    </w:p>
    <w:p>
      <w:pPr>
        <w:ind w:firstLine="420"/>
        <w:spacing w:line="360" w:lineRule="auto"/>
        <w:shd w:val="clear" w:color="auto"/>
        <w:rPr>
          <w:rFonts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2、本合同一式伍份，甲方执贰份，乙方、招标代理机构和政府采购管理机构各壹份。</w:t>
      </w:r>
      <w:r/>
    </w:p>
    <w:tbl>
      <w:tblPr>
        <w:tblStyle w:val="766"/>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甲方（盖章）：</w:t>
            </w:r>
            <w:r/>
          </w:p>
        </w:tc>
        <w:tc>
          <w:tcPr>
            <w:tcW w:w="4220" w:type="dxa"/>
            <w:vAlign w:val="center"/>
            <w:textDirection w:val="lrTb"/>
            <w:noWrap w:val="false"/>
          </w:tcPr>
          <w:p>
            <w:pPr>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乙方（盖章）：</w:t>
            </w:r>
            <w:r/>
          </w:p>
        </w:tc>
      </w:tr>
      <w:tr>
        <w:trPr>
          <w:jc w:val="center"/>
          <w:trHeight w:val="474"/>
        </w:trPr>
        <w:tc>
          <w:tcPr>
            <w:tcW w:w="4340" w:type="dxa"/>
            <w:vAlign w:val="center"/>
            <w:textDirection w:val="lrTb"/>
            <w:noWrap w:val="false"/>
          </w:tcPr>
          <w:p>
            <w:pPr>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法定代表人（或授权代表）</w:t>
            </w:r>
            <w:r>
              <w:rPr>
                <w:rFonts w:hint="eastAsia" w:ascii="宋体" w:hAnsi="宋体" w:cs="宋体"/>
                <w:bCs/>
                <w:color w:val="000000" w:themeColor="text1"/>
                <w:szCs w:val="21"/>
                <w:highlight w:val="none"/>
                <w14:textFill>
                  <w14:solidFill>
                    <w14:schemeClr w14:val="tx1"/>
                  </w14:solidFill>
                </w14:textFill>
              </w:rPr>
              <w:t xml:space="preserve">（签字）：</w:t>
            </w:r>
            <w:r/>
          </w:p>
        </w:tc>
        <w:tc>
          <w:tcPr>
            <w:tcW w:w="4220" w:type="dxa"/>
            <w:vAlign w:val="center"/>
            <w:textDirection w:val="lrTb"/>
            <w:noWrap w:val="false"/>
          </w:tcPr>
          <w:p>
            <w:pPr>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法定代表人（或授权代表）</w:t>
            </w:r>
            <w:r>
              <w:rPr>
                <w:rFonts w:hint="eastAsia" w:ascii="宋体" w:hAnsi="宋体" w:cs="宋体"/>
                <w:bCs/>
                <w:color w:val="000000" w:themeColor="text1"/>
                <w:szCs w:val="21"/>
                <w:highlight w:val="none"/>
                <w14:textFill>
                  <w14:solidFill>
                    <w14:schemeClr w14:val="tx1"/>
                  </w14:solidFill>
                </w14:textFill>
              </w:rPr>
              <w:t xml:space="preserve">（签字）：</w:t>
            </w:r>
            <w:r/>
          </w:p>
        </w:tc>
      </w:tr>
      <w:tr>
        <w:trPr>
          <w:jc w:val="center"/>
          <w:trHeight w:val="524"/>
        </w:trPr>
        <w:tc>
          <w:tcPr>
            <w:tcW w:w="4340" w:type="dxa"/>
            <w:vAlign w:val="center"/>
            <w:textDirection w:val="lrTb"/>
            <w:noWrap w:val="false"/>
          </w:tcPr>
          <w:p>
            <w:pPr>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签订日期：</w:t>
            </w:r>
            <w:r/>
          </w:p>
        </w:tc>
        <w:tc>
          <w:tcPr>
            <w:tcW w:w="4220" w:type="dxa"/>
            <w:vAlign w:val="center"/>
            <w:textDirection w:val="lrTb"/>
            <w:noWrap w:val="false"/>
          </w:tcPr>
          <w:p>
            <w:pPr>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签订日期：</w:t>
            </w:r>
            <w:r/>
          </w:p>
        </w:tc>
      </w:tr>
      <w:tr>
        <w:trPr>
          <w:jc w:val="center"/>
          <w:trHeight w:val="539"/>
        </w:trPr>
        <w:tc>
          <w:tcPr>
            <w:tcW w:w="4340" w:type="dxa"/>
            <w:vAlign w:val="center"/>
            <w:textDirection w:val="lrTb"/>
            <w:noWrap w:val="false"/>
          </w:tcPr>
          <w:p>
            <w:pPr>
              <w:shd w:val="clear" w:color="auto"/>
              <w:rPr>
                <w:rFonts w:ascii="宋体" w:hAnsi="宋体" w:cs="宋体"/>
                <w:bCs/>
                <w:color w:val="000000" w:themeColor="text1"/>
                <w:szCs w:val="32"/>
                <w:highlight w:val="none"/>
                <w14:textFill>
                  <w14:solidFill>
                    <w14:schemeClr w14:val="tx1"/>
                  </w14:solidFill>
                </w14:textFill>
              </w:rPr>
            </w:pPr>
            <w:r>
              <w:rPr>
                <w:rFonts w:ascii="宋体" w:hAnsi="宋体" w:cs="宋体"/>
                <w:bCs/>
                <w:color w:val="000000" w:themeColor="text1"/>
                <w:szCs w:val="32"/>
                <w:highlight w:val="none"/>
                <w14:textFill>
                  <w14:solidFill>
                    <w14:schemeClr w14:val="tx1"/>
                  </w14:solidFill>
                </w14:textFill>
              </w:rPr>
            </w:r>
            <w:r/>
          </w:p>
        </w:tc>
        <w:tc>
          <w:tcPr>
            <w:tcW w:w="4220" w:type="dxa"/>
            <w:vAlign w:val="center"/>
            <w:textDirection w:val="lrTb"/>
            <w:noWrap w:val="false"/>
          </w:tcPr>
          <w:p>
            <w:pPr>
              <w:shd w:val="clear" w:color="auto"/>
              <w:rPr>
                <w:rFonts w:ascii="宋体" w:hAnsi="宋体" w:cs="宋体"/>
                <w:bCs/>
                <w:color w:val="000000" w:themeColor="text1"/>
                <w:szCs w:val="32"/>
                <w:highlight w:val="none"/>
                <w14:textFill>
                  <w14:solidFill>
                    <w14:schemeClr w14:val="tx1"/>
                  </w14:solidFill>
                </w14:textFill>
              </w:rPr>
            </w:pPr>
            <w:r>
              <w:rPr>
                <w:rFonts w:ascii="宋体" w:hAnsi="宋体" w:cs="宋体"/>
                <w:bCs/>
                <w:color w:val="000000" w:themeColor="text1"/>
                <w:szCs w:val="32"/>
                <w:highlight w:val="none"/>
                <w14:textFill>
                  <w14:solidFill>
                    <w14:schemeClr w14:val="tx1"/>
                  </w14:solidFill>
                </w14:textFill>
              </w:rPr>
            </w:r>
            <w:r/>
          </w:p>
        </w:tc>
      </w:tr>
    </w:tbl>
    <w:p>
      <w:pPr>
        <w:ind w:left="420"/>
        <w:spacing w:after="120"/>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hd w:val="clear" w:color="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480"/>
        <w:spacing w:line="360" w:lineRule="auto"/>
        <w:shd w:val="clear" w:color="auto"/>
        <w:rPr>
          <w:rFonts w:ascii="宋体" w:hAnsi="宋体" w:cs="宋体"/>
          <w:sz w:val="24"/>
          <w:highlight w:val="none"/>
          <w:lang w:val="zh-CN"/>
        </w:rPr>
      </w:pPr>
      <w:r>
        <w:rPr>
          <w:rFonts w:ascii="宋体" w:hAnsi="宋体" w:cs="宋体"/>
          <w:sz w:val="24"/>
          <w:highlight w:val="none"/>
          <w:lang w:val="zh-CN"/>
        </w:rPr>
      </w:r>
      <w:r/>
    </w:p>
    <w:p>
      <w:pPr>
        <w:shd w:val="clear" w:color="auto"/>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br w:type="page" w:clear="all"/>
      </w:r>
      <w:r/>
    </w:p>
    <w:p>
      <w:pPr>
        <w:jc w:val="center"/>
        <w:spacing w:line="360" w:lineRule="auto"/>
        <w:shd w:val="clear" w:color="auto"/>
        <w:tabs>
          <w:tab w:val="left" w:pos="315" w:leader="none"/>
          <w:tab w:val="center" w:pos="4153" w:leader="none"/>
        </w:tabs>
        <w:rPr>
          <w:rFonts w:ascii="宋体" w:hAnsi="宋体" w:cs="宋体"/>
          <w:b/>
          <w:sz w:val="32"/>
          <w:szCs w:val="32"/>
          <w:highlight w:val="none"/>
        </w:rPr>
      </w:pPr>
      <w:r>
        <w:rPr>
          <w:rFonts w:hint="eastAsia" w:ascii="宋体" w:hAnsi="宋体" w:cs="宋体"/>
          <w:b/>
          <w:bCs/>
          <w:color w:val="000000" w:themeColor="text1"/>
          <w:sz w:val="32"/>
          <w:szCs w:val="32"/>
          <w:highlight w:val="none"/>
          <w:lang w:val="zh-CN"/>
          <w14:textFill>
            <w14:solidFill>
              <w14:schemeClr w14:val="tx1"/>
            </w14:solidFill>
          </w14:textFill>
        </w:rPr>
        <w:t xml:space="preserve">第六章</w:t>
      </w:r>
      <w:r>
        <w:rPr>
          <w:rFonts w:hint="eastAsia" w:ascii="宋体" w:hAnsi="宋体" w:cs="宋体"/>
          <w:b/>
          <w:bCs/>
          <w:color w:val="000000" w:themeColor="text1"/>
          <w:sz w:val="32"/>
          <w:szCs w:val="32"/>
          <w:highlight w:val="none"/>
          <w14:textFill>
            <w14:solidFill>
              <w14:schemeClr w14:val="tx1"/>
            </w14:solidFill>
          </w14:textFill>
        </w:rPr>
        <w:t xml:space="preserve"> </w:t>
      </w:r>
      <w:r>
        <w:rPr>
          <w:rFonts w:hint="eastAsia" w:ascii="宋体" w:hAnsi="宋体" w:cs="宋体"/>
          <w:b/>
          <w:bCs/>
          <w:color w:val="000000" w:themeColor="text1"/>
          <w:sz w:val="32"/>
          <w:szCs w:val="32"/>
          <w:highlight w:val="none"/>
          <w:lang w:val="zh-CN"/>
          <w14:textFill>
            <w14:solidFill>
              <w14:schemeClr w14:val="tx1"/>
            </w14:solidFill>
          </w14:textFill>
        </w:rPr>
        <w:t xml:space="preserve">评标办法及评分标准</w:t>
      </w:r>
      <w:r/>
    </w:p>
    <w:p>
      <w:pPr>
        <w:ind w:firstLine="422"/>
        <w:spacing w:line="360" w:lineRule="auto"/>
        <w:shd w:val="clear" w:color="auto"/>
        <w:tabs>
          <w:tab w:val="left" w:pos="287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一、评审方法</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、本次磋商采用综合评分法，即在响应文件满足采购文件全部实质性要求且按评审因素的量化指标评审得分最高的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为成交单位。采购单位书面授权磋商小组直接确定成交单位。</w:t>
      </w:r>
      <w:r/>
    </w:p>
    <w:p>
      <w:pPr>
        <w:ind w:firstLine="420"/>
        <w:jc w:val="left"/>
        <w:spacing w:line="360" w:lineRule="auto"/>
        <w:shd w:val="clear" w:color="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时，磋商小组各成员独立对每个有效</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的响应文件进行评价、打分，按算术平均方法，计算出每个</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的技术得分</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；报价得分通过计算直接取得（</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）；报价得分加评委</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TW" w:eastAsia="zh-TW"/>
          <w14:textFill>
            <w14:solidFill>
              <w14:schemeClr w14:val="tx1"/>
            </w14:solidFill>
          </w14:textFill>
        </w:rPr>
        <w:t xml:space="preserve">算术平均得分，为</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的总得分。如出现评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总得分最高的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有两个或两个以上的，以响应报价较低者优先作为该</w:t>
      </w:r>
      <w:r>
        <w:rPr>
          <w:rFonts w:hint="eastAsia" w:ascii="宋体" w:hAnsi="宋体" w:cs="宋体"/>
          <w:color w:val="000000" w:themeColor="text1"/>
          <w:szCs w:val="21"/>
          <w:highlight w:val="none"/>
          <w14:textFill>
            <w14:solidFill>
              <w14:schemeClr w14:val="tx1"/>
            </w14:solidFill>
          </w14:textFill>
        </w:rPr>
        <w:t xml:space="preserve">项目</w:t>
      </w:r>
      <w:r>
        <w:rPr>
          <w:rFonts w:hint="eastAsia" w:ascii="宋体" w:hAnsi="宋体" w:cs="宋体"/>
          <w:color w:val="000000" w:themeColor="text1"/>
          <w:szCs w:val="21"/>
          <w:highlight w:val="none"/>
          <w:lang w:val="zh-TW" w:eastAsia="zh-TW"/>
          <w14:textFill>
            <w14:solidFill>
              <w14:schemeClr w14:val="tx1"/>
            </w14:solidFill>
          </w14:textFill>
        </w:rPr>
        <w:t xml:space="preserve">成交单位，如果响应报价也相同的，则由磋商小组以抽签的方式来确定成交单位。</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3、针对小型、微型企业的价格评审办法：</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zh-CN"/>
          <w14:textFill>
            <w14:solidFill>
              <w14:schemeClr w14:val="tx1"/>
            </w14:solidFill>
          </w14:textFill>
        </w:rPr>
        <w:t xml:space="preserve">《关于印发〈苏州市政府采购促进中小企业发展实施意见〉的通知》（苏财购〔2022〕16号）的相关规定</w:t>
      </w:r>
      <w:r>
        <w:rPr>
          <w:rFonts w:hint="eastAsia" w:ascii="宋体" w:hAnsi="宋体" w:cs="宋体"/>
          <w:color w:val="000000" w:themeColor="text1"/>
          <w:szCs w:val="21"/>
          <w:highlight w:val="none"/>
          <w14:textFill>
            <w14:solidFill>
              <w14:schemeClr w14:val="tx1"/>
            </w14:solidFill>
          </w14:textFill>
        </w:rPr>
        <w:t xml:space="preserve">，采用综合评分法的采购项目对属于小型、微型企业的供应商给予评审优惠：</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（1）如供应商属于小型或微型企业且提供自有服务的，对其报价给予20%的扣除；扣除后的价格参与价格评审。</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（2）中小企业划分标准详见“工信部联企业〔2011〕300号通知”</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（3）中小微企业在响应文件中提供签署的《中小企业声明函》。未按采购文件的规定在响应文件中提供《中小企业声明函》的，不享受促进中小微企业发展的相关政府采购政策。</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（4）以上规定未尽事项，按《政府采购促进中小企业发展暂行办法》等有关制度规定执行。</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注：①填报“中小企业声明函”需严格按“工信部联企业〔2011〕300号通知”中的《中小企业划型标准规定》进行。</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②若供应商提供的 “中小企业声明函”（见第六章格式）为虚假声明则视同提供虚假材料，按“政府采购法”相关规定处理并报请政府监管部门给予行政处罚。</w:t>
      </w:r>
      <w:r/>
    </w:p>
    <w:p>
      <w:pPr>
        <w:ind w:firstLine="422"/>
        <w:spacing w:line="360" w:lineRule="auto"/>
        <w:shd w:val="clear" w:color="auto"/>
        <w:tabs>
          <w:tab w:val="left" w:pos="287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③专门面向中小企业采购的项目或者采购包，不再执行价格评审优惠的扶持政策。</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4、针对残疾人福利性单位的评审：</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根据《关于促进残疾人就业政府采购政策的通知》（财库〔2017〕141号）的通知规定，对属于残疾人福利性单位的供应商给予评审加分：</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5、针对监狱企业的评审加分：</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根据《关于政府采购支持监狱企业发展有关问题的通知》（财库〔2014〕68号）的通知规定，对属于监狱企业的供应商给予评审加分：</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监狱企业视同小型、微型企业，享受评审中价格扣除等政府采购促进中小企业发展的政府采购政策。</w:t>
      </w:r>
      <w:r/>
    </w:p>
    <w:p>
      <w:p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符合条件的监狱企业参加磋商时，应当提供由省级以上监狱管理局、戒毒管理局（含新疆生产建设兵团）出具的属于监狱企业的证明文件，未提交则不享受相关价格扣除政策。</w:t>
      </w:r>
      <w:r/>
    </w:p>
    <w:p>
      <w:pPr>
        <w:pStyle w:val="1011"/>
        <w:ind w:firstLine="422"/>
        <w:spacing w:line="360" w:lineRule="auto"/>
        <w:shd w:val="clear" w:color="auto"/>
        <w:rPr>
          <w:rFonts w:ascii="宋体" w:hAnsi="宋体" w:cs="宋体"/>
          <w:b/>
          <w:bCs/>
          <w:color w:val="000000" w:themeColor="text1"/>
          <w:sz w:val="21"/>
          <w:szCs w:val="21"/>
          <w:highlight w:val="none"/>
          <w:lang w:val="en-US"/>
          <w14:textFill>
            <w14:solidFill>
              <w14:schemeClr w14:val="tx1"/>
            </w14:solidFill>
          </w14:textFill>
        </w:rPr>
      </w:pPr>
      <w:r>
        <w:rPr>
          <w:rFonts w:hint="eastAsia" w:ascii="宋体" w:hAnsi="宋体" w:cs="宋体"/>
          <w:b/>
          <w:bCs/>
          <w:color w:val="000000" w:themeColor="text1"/>
          <w:sz w:val="21"/>
          <w:szCs w:val="21"/>
          <w:highlight w:val="none"/>
          <w:lang w:val="en-US"/>
          <w14:textFill>
            <w14:solidFill>
              <w14:schemeClr w14:val="tx1"/>
            </w14:solidFill>
          </w14:textFill>
        </w:rPr>
        <w:t xml:space="preserve">注：上述优惠政策不重复享受。</w:t>
      </w:r>
      <w:r/>
    </w:p>
    <w:p>
      <w:pPr>
        <w:numPr>
          <w:ilvl w:val="0"/>
          <w:numId w:val="2"/>
        </w:num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提供的制造商的认定证明负有核实义务及责任。若供应商提供的“中小企业声明函”或认定证明（包括制造商）为虚假声明则视同提供虚假材料，供应商将按“政府采购法”相关规定处理并报请政府监管部门给予相应处罚。</w:t>
      </w:r>
      <w:r/>
    </w:p>
    <w:p>
      <w:pPr>
        <w:numPr>
          <w:ilvl w:val="0"/>
          <w:numId w:val="2"/>
        </w:numPr>
        <w:ind w:firstLine="420"/>
        <w:spacing w:line="360" w:lineRule="auto"/>
        <w:shd w:val="clear" w:color="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目分六个标段。本项目投标人可以任意选择标段进行投标；评标时，依标段顺序依次开标。按先开先中的原则，确定该响应单位的中标标段，其余标段将自动失去中标资格并且由该标段的其余响应单位的综合评分由高到低排序确定中标候选人。本项目投标人的累计成交标段数不得超过1个。若投标人按评标方法被确定为成交候选人的标段数超过上述规定的成交数量限定原则，其余标段参与评审（如投），但不得中标，此时先评标段的第一中标人若为后评标段的第一中标人，则后评标段的第二中标人替补至该标段的第一中标人，以此类推。</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二、评分标准（一至六标段）</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本次招标的评标方法采用综合评估方法，并以评分方法进行评估，总分值为100分，评审因素及各比重如下：价格分值占总分值的比重为10%（权重），服务方案及其它占90%（权重）。</w:t>
      </w:r>
      <w:r>
        <w:rPr>
          <w:rFonts w:ascii="宋体" w:hAnsi="宋体" w:cs="宋体"/>
          <w:color w:val="000000" w:themeColor="text1"/>
          <w:szCs w:val="21"/>
          <w:highlight w:val="none"/>
          <w14:textFill>
            <w14:solidFill>
              <w14:schemeClr w14:val="tx1"/>
            </w14:solidFill>
          </w14:textFill>
        </w:rPr>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（一）</w:t>
      </w:r>
      <w:r>
        <w:rPr>
          <w:rFonts w:hint="eastAsia" w:ascii="宋体" w:hAnsi="宋体" w:cs="宋体"/>
          <w:b/>
          <w:color w:val="000000" w:themeColor="text1"/>
          <w:szCs w:val="21"/>
          <w:highlight w:val="none"/>
          <w14:textFill>
            <w14:solidFill>
              <w14:schemeClr w14:val="tx1"/>
            </w14:solidFill>
          </w14:textFill>
        </w:rPr>
        <w:t xml:space="preserve">价格分（10分）</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第一步：投标报价低于或等于财政预算价的，为有效报价。超财政预算的投标报价为无效报价。无效报价的投标文件不进行评审，也不得标。</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第二步：在所有有效投标报价中满足招标文件要求，且投标优惠率最高的投标报价为评标基准价，其价格分为10分，其他投标人的价格分按照下列公式计算（计算结果四舍五入保留两位小数）：</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投标报价得分=[（1-评标基准价）/（1-其他优惠率）]×10%×100。</w:t>
      </w:r>
      <w:r/>
    </w:p>
    <w:p>
      <w:pPr>
        <w:ind w:firstLine="422"/>
        <w:spacing w:line="360" w:lineRule="auto"/>
        <w:shd w:val="clear" w:color="auto"/>
        <w:rPr>
          <w:rFonts w:ascii="宋体" w:hAnsi="宋体" w:cs="宋体"/>
          <w:b/>
          <w:bCs/>
          <w:szCs w:val="21"/>
          <w:highlight w:val="none"/>
        </w:rPr>
        <w:outlineLvl w:val="0"/>
      </w:pPr>
      <w:r>
        <w:rPr>
          <w:rFonts w:hint="eastAsia" w:ascii="宋体" w:hAnsi="宋体" w:cs="宋体"/>
          <w:b/>
          <w:szCs w:val="21"/>
          <w:highlight w:val="none"/>
        </w:rPr>
        <w:t xml:space="preserve">（二）项目整体实施方案（76分）</w:t>
      </w:r>
      <w:r/>
    </w:p>
    <w:p>
      <w:pPr>
        <w:ind w:firstLine="420"/>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1、针对本项目的服务总体模式与项目管理运作方案（12分）</w:t>
      </w:r>
      <w:r/>
    </w:p>
    <w:p>
      <w:pPr>
        <w:ind w:firstLine="420"/>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服务总体模式清晰，配套措施周全，运作方案科学合理、可靠性高的得12分，服务总体模式较清晰，配套措施较周全，运作方案较合理的得9分；服务总体模式基本，配套措施基本全面，运作方案基本合理的得6分；服务总体模式及配套措施简略，运作方案一般的得3分；未提供方案的此项不得分。未提供不得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2、针对本项目的实际情况的理解、难点及相应的解决方案比较（12分）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综合评定优秀，方案详细，切合实际，流程安排合理清晰，可行性强，考虑周全等得12分；综合评定良好，方案较为详细，考虑到实际，流程安排较为合理，可行性较强，能满足项目实施需要的得9分；综合评定一般，方案不甚详细，可行性及针对性一般，基本能满足项目实施需要的得6分；服务方案内容不全面过于简单的得3分；未提供不得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3、针对本项目的</w:t>
      </w:r>
      <w:r>
        <w:rPr>
          <w:rFonts w:hint="eastAsia" w:ascii="宋体" w:hAnsi="宋体" w:cs="宋体"/>
          <w:szCs w:val="21"/>
          <w:highlight w:val="none"/>
          <w:lang w:val="en-US" w:eastAsia="zh-CN"/>
        </w:rPr>
        <w:t xml:space="preserve">具体</w:t>
      </w:r>
      <w:r>
        <w:rPr>
          <w:rFonts w:hint="eastAsia" w:ascii="宋体" w:hAnsi="宋体" w:cs="宋体"/>
          <w:szCs w:val="21"/>
          <w:highlight w:val="none"/>
        </w:rPr>
        <w:t xml:space="preserve">服务方案（12分）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服务方案内容详细具体，完全覆盖需求内容，且具有详细的服务体系完整的得12分；服务方案内容较为详细，能基本覆盖需求内容，且具有详细的服务体系较为完整的得9分；服务方案内容不够详尽，覆盖面不全，但服务需求能基本匹配的得6分；服务方案内容不全面过于简单的得3分；未提供不得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4、针对本项目组织结构及工作计划（10分）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组织机构完善，管理责任清晰，工作</w:t>
      </w:r>
      <w:r>
        <w:rPr>
          <w:rFonts w:hint="eastAsia" w:ascii="宋体" w:hAnsi="宋体" w:cs="宋体"/>
          <w:szCs w:val="21"/>
          <w:highlight w:val="none"/>
          <w:lang w:val="en-US" w:eastAsia="zh-CN"/>
        </w:rPr>
        <w:t xml:space="preserve">计划</w:t>
      </w:r>
      <w:r>
        <w:rPr>
          <w:rFonts w:hint="eastAsia" w:ascii="宋体" w:hAnsi="宋体" w:cs="宋体"/>
          <w:szCs w:val="21"/>
          <w:highlight w:val="none"/>
        </w:rPr>
        <w:t xml:space="preserve">及流程规范，措施有效扎实的得10分；组织机构完较整，管理责任较清晰，工作</w:t>
      </w:r>
      <w:r>
        <w:rPr>
          <w:rFonts w:hint="eastAsia" w:ascii="宋体" w:hAnsi="宋体" w:cs="宋体"/>
          <w:szCs w:val="21"/>
          <w:highlight w:val="none"/>
          <w:lang w:val="en-US" w:eastAsia="zh-CN"/>
        </w:rPr>
        <w:t xml:space="preserve">计划</w:t>
      </w:r>
      <w:r>
        <w:rPr>
          <w:rFonts w:hint="eastAsia" w:ascii="宋体" w:hAnsi="宋体" w:cs="宋体"/>
          <w:szCs w:val="21"/>
          <w:highlight w:val="none"/>
        </w:rPr>
        <w:t xml:space="preserve">及流程较规范的得7分；组织机构基本完整，管理责任基本清楚，工作</w:t>
      </w:r>
      <w:r>
        <w:rPr>
          <w:rFonts w:hint="eastAsia" w:ascii="宋体" w:hAnsi="宋体" w:cs="宋体"/>
          <w:szCs w:val="21"/>
          <w:highlight w:val="none"/>
          <w:lang w:val="en-US" w:eastAsia="zh-CN"/>
        </w:rPr>
        <w:t xml:space="preserve">计划</w:t>
      </w:r>
      <w:r>
        <w:rPr>
          <w:rFonts w:hint="eastAsia" w:ascii="宋体" w:hAnsi="宋体" w:cs="宋体"/>
          <w:szCs w:val="21"/>
          <w:highlight w:val="none"/>
        </w:rPr>
        <w:t xml:space="preserve">及流程基本规范的得4分；组织结构及计划操作标准简略的得2分；未提供方案的此项不得分。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5、与其他单位、各职能部门的综合协调方案比较（8分）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概述详细，方案考虑周全等得8分；概述较为详细，方案考虑比较细致，能较好满足项目实施需要的得6分；概述基本完整、较可行的得4分；方案简单，可行性一般的得2分；未提供方案的此项不得分。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6、突发事件的应急措施（8分）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方案概述详细，切实可行且高效率，方案考虑周全的得8分；概述较为详细，较为切实，能较好满足项目实施需要的得6分；概述基本完整、较可行的得4分；方案简单，可行性一般的得2分；未提供方案的此项不得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7、安全文明预案、安全文明保障措施（7分）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方案概述详细，切实可行且高效率，方案考虑周全的得7分；概述较为详细，较为切实，能较好满足项目实施需要的得5分；概述基本完整、较可行的得3分；方案简单，可行性一般的得1分；未提供方案的此项不得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8、服务人员的培训方案（7分）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概述详细，培训有针对性到位的得7分；概述较为详细，培训考虑比较细致，能较好满足项目实施需要的得5分；概述基本详细、培训方案基本可行的得3分；培训方案简单一般的得1分；未按上述要求提供的，此项不得分。</w:t>
      </w:r>
      <w:r/>
    </w:p>
    <w:p>
      <w:pPr>
        <w:ind w:firstLine="422"/>
        <w:spacing w:line="360" w:lineRule="auto"/>
        <w:shd w:val="clear" w:color="auto"/>
        <w:rPr>
          <w:rFonts w:ascii="宋体" w:hAnsi="宋体" w:cs="宋体"/>
          <w:b/>
          <w:bCs/>
          <w:szCs w:val="21"/>
          <w:highlight w:val="none"/>
        </w:rPr>
      </w:pPr>
      <w:r>
        <w:rPr>
          <w:rFonts w:hint="eastAsia" w:ascii="宋体" w:hAnsi="宋体" w:cs="宋体"/>
          <w:b/>
          <w:szCs w:val="21"/>
          <w:highlight w:val="none"/>
        </w:rPr>
        <w:t xml:space="preserve">（三）</w:t>
      </w:r>
      <w:r>
        <w:rPr>
          <w:rFonts w:hint="eastAsia" w:ascii="宋体" w:hAnsi="宋体" w:cs="宋体"/>
          <w:b/>
          <w:bCs/>
          <w:szCs w:val="21"/>
          <w:highlight w:val="none"/>
        </w:rPr>
        <w:t xml:space="preserve">针对本项目的人员配置</w:t>
      </w:r>
      <w:r>
        <w:rPr>
          <w:rFonts w:hint="eastAsia" w:ascii="宋体" w:hAnsi="宋体" w:cs="宋体"/>
          <w:b/>
          <w:szCs w:val="21"/>
          <w:highlight w:val="none"/>
        </w:rPr>
        <w:t xml:space="preserve">（4分）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w:t>
      </w:r>
      <w:bookmarkStart w:id="30" w:name="_GoBack"/>
      <w:r>
        <w:rPr>
          <w:rFonts w:hint="eastAsia" w:ascii="宋体" w:hAnsi="宋体" w:cs="宋体"/>
          <w:szCs w:val="21"/>
          <w:highlight w:val="none"/>
        </w:rPr>
        <w:t xml:space="preserve">针对本项目配置的人员具有征收人员培训</w:t>
      </w:r>
      <w:r>
        <w:rPr>
          <w:rFonts w:hint="eastAsia" w:ascii="宋体" w:hAnsi="宋体" w:cs="宋体"/>
          <w:szCs w:val="21"/>
          <w:highlight w:val="none"/>
          <w:lang w:val="en-US" w:eastAsia="zh-CN"/>
        </w:rPr>
        <w:t xml:space="preserve">考核合格</w:t>
      </w:r>
      <w:r>
        <w:rPr>
          <w:rFonts w:hint="eastAsia" w:ascii="宋体" w:hAnsi="宋体" w:cs="宋体"/>
          <w:szCs w:val="21"/>
          <w:highlight w:val="none"/>
        </w:rPr>
        <w:t xml:space="preserve">证</w:t>
      </w:r>
      <w:r>
        <w:rPr>
          <w:rFonts w:hint="eastAsia" w:ascii="宋体" w:hAnsi="宋体" w:cs="宋体"/>
          <w:szCs w:val="21"/>
          <w:highlight w:val="none"/>
          <w:lang w:val="en-US" w:eastAsia="zh-CN"/>
        </w:rPr>
        <w:t xml:space="preserve">或</w:t>
      </w:r>
      <w:r>
        <w:rPr>
          <w:rFonts w:hint="eastAsia" w:ascii="宋体" w:hAnsi="宋体" w:cs="宋体"/>
          <w:color w:val="000000" w:themeColor="text1"/>
          <w:szCs w:val="21"/>
          <w14:textFill>
            <w14:solidFill>
              <w14:schemeClr w14:val="tx1"/>
            </w14:solidFill>
          </w14:textFill>
        </w:rPr>
        <w:t xml:space="preserve">征收人员培训上岗证</w:t>
      </w:r>
      <w:r>
        <w:rPr>
          <w:rFonts w:hint="eastAsia" w:ascii="宋体" w:hAnsi="宋体" w:cs="宋体"/>
          <w:color w:val="000000" w:themeColor="text1"/>
          <w:szCs w:val="21"/>
          <w:lang w:val="en-US" w:eastAsia="zh-CN"/>
          <w14:textFill>
            <w14:solidFill>
              <w14:schemeClr w14:val="tx1"/>
            </w14:solidFill>
          </w14:textFill>
        </w:rPr>
        <w:t xml:space="preserve">的</w:t>
      </w:r>
      <w:r>
        <w:rPr>
          <w:rFonts w:hint="eastAsia" w:ascii="宋体" w:hAnsi="宋体" w:cs="宋体"/>
          <w:szCs w:val="21"/>
          <w:highlight w:val="none"/>
        </w:rPr>
        <w:t xml:space="preserve">，每人得1分，最高得4分。</w:t>
      </w:r>
      <w:r/>
    </w:p>
    <w:p>
      <w:pPr>
        <w:ind w:firstLine="420"/>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注：请在响应文件中提供人员的证书扫描件加盖公章，</w:t>
      </w:r>
      <w:r>
        <w:rPr>
          <w:rFonts w:hint="eastAsia" w:ascii="宋体" w:hAnsi="宋体" w:cs="宋体"/>
          <w:szCs w:val="21"/>
          <w:highlight w:val="none"/>
          <w:lang w:val="en-US" w:eastAsia="zh-CN"/>
        </w:rPr>
        <w:t xml:space="preserve">未提供不得分</w:t>
      </w:r>
      <w:r>
        <w:rPr>
          <w:rFonts w:hint="eastAsia" w:ascii="宋体" w:hAnsi="宋体" w:cs="宋体"/>
          <w:szCs w:val="21"/>
          <w:highlight w:val="none"/>
        </w:rPr>
        <w:t xml:space="preserve">。</w:t>
      </w:r>
      <w:bookmarkEnd w:id="30"/>
      <w:r/>
      <w:r/>
    </w:p>
    <w:p>
      <w:pPr>
        <w:ind w:firstLine="422"/>
        <w:spacing w:line="360" w:lineRule="auto"/>
        <w:shd w:val="clear" w:color="auto"/>
        <w:rPr>
          <w:rFonts w:ascii="宋体" w:hAnsi="宋体" w:cs="宋体"/>
          <w:b/>
          <w:szCs w:val="21"/>
          <w:highlight w:val="none"/>
        </w:rPr>
      </w:pPr>
      <w:r>
        <w:rPr>
          <w:rFonts w:hint="eastAsia" w:ascii="宋体" w:hAnsi="宋体" w:cs="宋体"/>
          <w:b/>
          <w:bCs/>
          <w:szCs w:val="21"/>
          <w:highlight w:val="none"/>
        </w:rPr>
        <w:t xml:space="preserve">（四）响应单位履约能力</w:t>
      </w:r>
      <w:r>
        <w:rPr>
          <w:rFonts w:hint="eastAsia" w:ascii="宋体" w:hAnsi="宋体" w:cs="宋体"/>
          <w:b/>
          <w:szCs w:val="21"/>
          <w:highlight w:val="none"/>
        </w:rPr>
        <w:t xml:space="preserve">（10分）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1、响应单位提供承担的类似项目业绩的，每提供一个得2分，最高为10分。</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注：响应文件中须提供项目合同扫描件加盖公章，资料提供不全或未提供的不得分。</w:t>
      </w:r>
      <w:r/>
    </w:p>
    <w:p>
      <w:pPr>
        <w:ind w:firstLine="422"/>
        <w:spacing w:line="360" w:lineRule="auto"/>
        <w:shd w:val="clear" w:color="auto"/>
        <w:widowControl/>
        <w:rPr>
          <w:rFonts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备注：</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1、磋商总报价超过采购预算的将不进入综合评审程序，也不得成交。</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2、合同履行期限、付款步骤如有负偏离的不得成交。</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3、对评分标准中评分的每一条，供应商均应提供相关资料并作出相应说明供评委评判。</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4.响应文件中复印件或扫描件须清晰可辨，如因复印件或扫描件模糊，造成无法辨认，该项不得分。</w:t>
      </w:r>
      <w:r/>
    </w:p>
    <w:p>
      <w:pPr>
        <w:ind w:firstLine="420"/>
        <w:spacing w:line="360" w:lineRule="auto"/>
        <w:shd w:val="clear" w:color="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5、响应文件中如出现前后不一致时，评委有权请供应商澄清说明，澄清说明事项涉及评分时，评委有权酌情扣分。</w:t>
      </w:r>
      <w:r/>
    </w:p>
    <w:sectPr>
      <w:footnotePr/>
      <w:endnotePr/>
      <w:type w:val="nextPage"/>
      <w:pgSz w:w="11906" w:h="16838" w:orient="portrait"/>
      <w:pgMar w:top="907" w:right="748" w:bottom="907" w:left="97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shd w:val="nil" w:color="auto"/>
      <w:tabs>
        <w:tab w:val="clear" w:pos="7143" w:leader="none"/>
        <w:tab w:val="clear" w:pos="14287" w:leader="none"/>
      </w:tabs>
      <w:rPr>
        <w14:ligatures w14: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14:ligatures w14:val="non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32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left"/>
      <w:rPr>
        <w:rFonts w:ascii="宋体" w:hAnsi="宋体"/>
        <w:b/>
        <w:bCs/>
      </w:rPr>
    </w:pPr>
    <w:r>
      <w:rPr>
        <w:rFonts w:hint="eastAsia" w:ascii="宋体" w:hAnsi="宋体"/>
        <w:b/>
        <w:bCs/>
      </w:rPr>
      <w:t xml:space="preserve">苏州市天美达招投标咨询服务有限公司                                                 JSZC-320509-SZST-C2026-0019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5"/>
    <w:link w:val="756"/>
    <w:uiPriority w:val="9"/>
    <w:rPr>
      <w:rFonts w:ascii="Arial" w:hAnsi="Arial" w:eastAsia="Arial" w:cs="Arial"/>
      <w:sz w:val="40"/>
      <w:szCs w:val="40"/>
    </w:rPr>
  </w:style>
  <w:style w:type="character" w:styleId="719">
    <w:name w:val="Heading 2 Char"/>
    <w:basedOn w:val="765"/>
    <w:link w:val="757"/>
    <w:uiPriority w:val="9"/>
    <w:rPr>
      <w:rFonts w:ascii="Arial" w:hAnsi="Arial" w:eastAsia="Arial" w:cs="Arial"/>
      <w:sz w:val="34"/>
    </w:rPr>
  </w:style>
  <w:style w:type="character" w:styleId="720">
    <w:name w:val="Heading 3 Char"/>
    <w:basedOn w:val="765"/>
    <w:link w:val="758"/>
    <w:uiPriority w:val="9"/>
    <w:rPr>
      <w:rFonts w:ascii="Arial" w:hAnsi="Arial" w:eastAsia="Arial" w:cs="Arial"/>
      <w:sz w:val="30"/>
      <w:szCs w:val="30"/>
    </w:rPr>
  </w:style>
  <w:style w:type="character" w:styleId="721">
    <w:name w:val="Heading 4 Char"/>
    <w:basedOn w:val="765"/>
    <w:link w:val="759"/>
    <w:uiPriority w:val="9"/>
    <w:rPr>
      <w:rFonts w:ascii="Arial" w:hAnsi="Arial" w:eastAsia="Arial" w:cs="Arial"/>
      <w:b/>
      <w:bCs/>
      <w:sz w:val="26"/>
      <w:szCs w:val="26"/>
    </w:rPr>
  </w:style>
  <w:style w:type="character" w:styleId="722">
    <w:name w:val="Heading 5 Char"/>
    <w:basedOn w:val="765"/>
    <w:link w:val="760"/>
    <w:uiPriority w:val="9"/>
    <w:rPr>
      <w:rFonts w:ascii="Arial" w:hAnsi="Arial" w:eastAsia="Arial" w:cs="Arial"/>
      <w:b/>
      <w:bCs/>
      <w:sz w:val="24"/>
      <w:szCs w:val="24"/>
    </w:rPr>
  </w:style>
  <w:style w:type="character" w:styleId="723">
    <w:name w:val="Heading 6 Char"/>
    <w:basedOn w:val="765"/>
    <w:link w:val="761"/>
    <w:uiPriority w:val="9"/>
    <w:rPr>
      <w:rFonts w:ascii="Arial" w:hAnsi="Arial" w:eastAsia="Arial" w:cs="Arial"/>
      <w:b/>
      <w:bCs/>
      <w:sz w:val="22"/>
      <w:szCs w:val="22"/>
    </w:rPr>
  </w:style>
  <w:style w:type="character" w:styleId="724">
    <w:name w:val="Heading 7 Char"/>
    <w:basedOn w:val="765"/>
    <w:link w:val="762"/>
    <w:uiPriority w:val="9"/>
    <w:rPr>
      <w:rFonts w:ascii="Arial" w:hAnsi="Arial" w:eastAsia="Arial" w:cs="Arial"/>
      <w:b/>
      <w:bCs/>
      <w:i/>
      <w:iCs/>
      <w:sz w:val="22"/>
      <w:szCs w:val="22"/>
    </w:rPr>
  </w:style>
  <w:style w:type="character" w:styleId="725">
    <w:name w:val="Heading 8 Char"/>
    <w:basedOn w:val="765"/>
    <w:link w:val="763"/>
    <w:uiPriority w:val="9"/>
    <w:rPr>
      <w:rFonts w:ascii="Arial" w:hAnsi="Arial" w:eastAsia="Arial" w:cs="Arial"/>
      <w:i/>
      <w:iCs/>
      <w:sz w:val="22"/>
      <w:szCs w:val="22"/>
    </w:rPr>
  </w:style>
  <w:style w:type="character" w:styleId="726">
    <w:name w:val="Heading 9 Char"/>
    <w:basedOn w:val="765"/>
    <w:link w:val="764"/>
    <w:uiPriority w:val="9"/>
    <w:rPr>
      <w:rFonts w:ascii="Arial" w:hAnsi="Arial" w:eastAsia="Arial" w:cs="Arial"/>
      <w:i/>
      <w:iCs/>
      <w:sz w:val="21"/>
      <w:szCs w:val="21"/>
    </w:rPr>
  </w:style>
  <w:style w:type="character" w:styleId="727">
    <w:name w:val="Title Char"/>
    <w:basedOn w:val="765"/>
    <w:link w:val="791"/>
    <w:uiPriority w:val="10"/>
    <w:rPr>
      <w:sz w:val="48"/>
      <w:szCs w:val="48"/>
    </w:rPr>
  </w:style>
  <w:style w:type="character" w:styleId="728">
    <w:name w:val="Subtitle Char"/>
    <w:basedOn w:val="765"/>
    <w:link w:val="784"/>
    <w:uiPriority w:val="11"/>
    <w:rPr>
      <w:sz w:val="24"/>
      <w:szCs w:val="24"/>
    </w:rPr>
  </w:style>
  <w:style w:type="character" w:styleId="729">
    <w:name w:val="Quote Char"/>
    <w:link w:val="814"/>
    <w:uiPriority w:val="29"/>
    <w:rPr>
      <w:i/>
    </w:rPr>
  </w:style>
  <w:style w:type="character" w:styleId="730">
    <w:name w:val="Intense Quote Char"/>
    <w:link w:val="816"/>
    <w:uiPriority w:val="30"/>
    <w:rPr>
      <w:i/>
    </w:rPr>
  </w:style>
  <w:style w:type="character" w:styleId="731">
    <w:name w:val="Header Char"/>
    <w:basedOn w:val="765"/>
    <w:link w:val="781"/>
    <w:uiPriority w:val="99"/>
  </w:style>
  <w:style w:type="character" w:styleId="732">
    <w:name w:val="Caption Char"/>
    <w:basedOn w:val="769"/>
    <w:link w:val="780"/>
    <w:uiPriority w:val="99"/>
  </w:style>
  <w:style w:type="table" w:styleId="733">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1">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2">
    <w:name w:val="Footnote Text Char"/>
    <w:link w:val="785"/>
    <w:uiPriority w:val="99"/>
    <w:rPr>
      <w:sz w:val="18"/>
    </w:rPr>
  </w:style>
  <w:style w:type="character" w:styleId="753">
    <w:name w:val="Endnote Text Char"/>
    <w:link w:val="778"/>
    <w:uiPriority w:val="99"/>
    <w:rPr>
      <w:sz w:val="20"/>
    </w:rPr>
  </w:style>
  <w:style w:type="paragraph" w:styleId="754">
    <w:name w:val="TOC Heading"/>
    <w:uiPriority w:val="39"/>
    <w:unhideWhenUsed/>
  </w:style>
  <w:style w:type="paragraph" w:styleId="7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link w:val="802"/>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803"/>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804"/>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805"/>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06"/>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807"/>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9"/>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10"/>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style>
  <w:style w:type="table" w:styleId="766" w:default="1">
    <w:name w:val="Normal Table"/>
    <w:uiPriority w:val="99"/>
    <w:semiHidden/>
    <w:unhideWhenUsed/>
    <w:tblPr>
      <w:tblCellMar>
        <w:left w:w="108" w:type="dxa"/>
        <w:top w:w="0" w:type="dxa"/>
        <w:right w:w="108" w:type="dxa"/>
        <w:bottom w:w="0" w:type="dxa"/>
      </w:tblCellMar>
    </w:tblPr>
  </w:style>
  <w:style w:type="paragraph" w:styleId="767">
    <w:name w:val="toc 7"/>
    <w:basedOn w:val="755"/>
    <w:next w:val="755"/>
    <w:uiPriority w:val="39"/>
    <w:unhideWhenUsed/>
    <w:qFormat/>
    <w:pPr>
      <w:ind w:left="1701"/>
      <w:spacing w:after="57"/>
    </w:pPr>
  </w:style>
  <w:style w:type="paragraph" w:styleId="768">
    <w:name w:val="Normal Indent"/>
    <w:basedOn w:val="755"/>
    <w:next w:val="755"/>
    <w:uiPriority w:val="0"/>
    <w:qFormat/>
    <w:pPr>
      <w:ind w:firstLine="420"/>
      <w:jc w:val="left"/>
    </w:pPr>
    <w:rPr>
      <w:rFonts w:eastAsia="楷体_GB2312"/>
      <w:sz w:val="24"/>
      <w:szCs w:val="20"/>
    </w:rPr>
  </w:style>
  <w:style w:type="paragraph" w:styleId="769">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annotation text"/>
    <w:basedOn w:val="755"/>
    <w:link w:val="1023"/>
    <w:uiPriority w:val="99"/>
    <w:semiHidden/>
    <w:unhideWhenUsed/>
    <w:qFormat/>
    <w:pPr>
      <w:jc w:val="left"/>
    </w:pPr>
  </w:style>
  <w:style w:type="paragraph" w:styleId="771">
    <w:name w:val="Body Text"/>
    <w:basedOn w:val="755"/>
    <w:uiPriority w:val="0"/>
    <w:semiHidden/>
    <w:qFormat/>
    <w:rPr>
      <w:rFonts w:ascii="宋体" w:hAnsi="宋体" w:cs="宋体"/>
      <w:sz w:val="24"/>
      <w:lang w:eastAsia="en-US"/>
    </w:rPr>
  </w:style>
  <w:style w:type="paragraph" w:styleId="772">
    <w:name w:val="Body Text Indent"/>
    <w:basedOn w:val="755"/>
    <w:next w:val="773"/>
    <w:uiPriority w:val="99"/>
    <w:qFormat/>
    <w:pPr>
      <w:ind w:firstLine="560"/>
      <w:jc w:val="left"/>
      <w:spacing w:line="300" w:lineRule="auto"/>
    </w:pPr>
    <w:rPr>
      <w:sz w:val="28"/>
    </w:rPr>
  </w:style>
  <w:style w:type="paragraph" w:styleId="773">
    <w:name w:val="envelope return"/>
    <w:basedOn w:val="755"/>
    <w:uiPriority w:val="0"/>
    <w:qFormat/>
    <w:rPr>
      <w:rFonts w:ascii="Arial" w:hAnsi="Arial"/>
    </w:rPr>
  </w:style>
  <w:style w:type="paragraph" w:styleId="774">
    <w:name w:val="toc 5"/>
    <w:basedOn w:val="755"/>
    <w:next w:val="755"/>
    <w:uiPriority w:val="39"/>
    <w:unhideWhenUsed/>
    <w:qFormat/>
    <w:pPr>
      <w:ind w:left="1134"/>
      <w:spacing w:after="57"/>
    </w:pPr>
  </w:style>
  <w:style w:type="paragraph" w:styleId="775">
    <w:name w:val="toc 3"/>
    <w:basedOn w:val="755"/>
    <w:next w:val="755"/>
    <w:uiPriority w:val="39"/>
    <w:unhideWhenUsed/>
    <w:qFormat/>
    <w:pPr>
      <w:ind w:left="567"/>
      <w:spacing w:after="57"/>
    </w:pPr>
  </w:style>
  <w:style w:type="paragraph" w:styleId="776">
    <w:name w:val="Plain Text"/>
    <w:basedOn w:val="755"/>
    <w:link w:val="994"/>
    <w:uiPriority w:val="0"/>
    <w:qFormat/>
    <w:rPr>
      <w:rFonts w:ascii="宋体" w:hAnsi="Courier New" w:eastAsia="楷体_GB2312"/>
      <w:sz w:val="28"/>
      <w:szCs w:val="20"/>
    </w:rPr>
  </w:style>
  <w:style w:type="paragraph" w:styleId="777">
    <w:name w:val="toc 8"/>
    <w:basedOn w:val="755"/>
    <w:next w:val="755"/>
    <w:uiPriority w:val="39"/>
    <w:unhideWhenUsed/>
    <w:qFormat/>
    <w:pPr>
      <w:ind w:left="1984"/>
      <w:spacing w:after="57"/>
    </w:pPr>
  </w:style>
  <w:style w:type="paragraph" w:styleId="778">
    <w:name w:val="endnote text"/>
    <w:basedOn w:val="755"/>
    <w:link w:val="947"/>
    <w:uiPriority w:val="99"/>
    <w:semiHidden/>
    <w:unhideWhenUsed/>
    <w:qFormat/>
    <w:rPr>
      <w:sz w:val="20"/>
    </w:rPr>
  </w:style>
  <w:style w:type="paragraph" w:styleId="779">
    <w:name w:val="Balloon Text"/>
    <w:basedOn w:val="755"/>
    <w:link w:val="1019"/>
    <w:uiPriority w:val="99"/>
    <w:semiHidden/>
    <w:unhideWhenUsed/>
    <w:qFormat/>
    <w:rPr>
      <w:sz w:val="18"/>
      <w:szCs w:val="18"/>
    </w:rPr>
  </w:style>
  <w:style w:type="paragraph" w:styleId="780">
    <w:name w:val="Footer"/>
    <w:basedOn w:val="755"/>
    <w:link w:val="820"/>
    <w:uiPriority w:val="99"/>
    <w:unhideWhenUsed/>
    <w:qFormat/>
    <w:pPr>
      <w:tabs>
        <w:tab w:val="center" w:pos="7143" w:leader="none"/>
        <w:tab w:val="right" w:pos="14287" w:leader="none"/>
      </w:tabs>
    </w:pPr>
  </w:style>
  <w:style w:type="paragraph" w:styleId="781">
    <w:name w:val="Header"/>
    <w:basedOn w:val="755"/>
    <w:link w:val="818"/>
    <w:uiPriority w:val="99"/>
    <w:unhideWhenUsed/>
    <w:qFormat/>
    <w:pPr>
      <w:tabs>
        <w:tab w:val="center" w:pos="7143" w:leader="none"/>
        <w:tab w:val="right" w:pos="14287" w:leader="none"/>
      </w:tabs>
    </w:pPr>
  </w:style>
  <w:style w:type="paragraph" w:styleId="782">
    <w:name w:val="toc 1"/>
    <w:basedOn w:val="755"/>
    <w:next w:val="755"/>
    <w:uiPriority w:val="39"/>
    <w:unhideWhenUsed/>
    <w:qFormat/>
    <w:pPr>
      <w:spacing w:after="57"/>
    </w:pPr>
  </w:style>
  <w:style w:type="paragraph" w:styleId="783">
    <w:name w:val="toc 4"/>
    <w:basedOn w:val="755"/>
    <w:next w:val="755"/>
    <w:uiPriority w:val="39"/>
    <w:unhideWhenUsed/>
    <w:qFormat/>
    <w:pPr>
      <w:ind w:left="850"/>
      <w:spacing w:after="57"/>
    </w:pPr>
  </w:style>
  <w:style w:type="paragraph" w:styleId="784">
    <w:name w:val="Subtitle"/>
    <w:basedOn w:val="755"/>
    <w:next w:val="755"/>
    <w:link w:val="813"/>
    <w:uiPriority w:val="11"/>
    <w:qFormat/>
    <w:pPr>
      <w:spacing w:before="200" w:after="200"/>
    </w:pPr>
    <w:rPr>
      <w:sz w:val="24"/>
    </w:rPr>
  </w:style>
  <w:style w:type="paragraph" w:styleId="785">
    <w:name w:val="footnote text"/>
    <w:basedOn w:val="755"/>
    <w:link w:val="946"/>
    <w:uiPriority w:val="99"/>
    <w:semiHidden/>
    <w:unhideWhenUsed/>
    <w:qFormat/>
    <w:pPr>
      <w:spacing w:after="40"/>
    </w:pPr>
    <w:rPr>
      <w:sz w:val="18"/>
    </w:rPr>
  </w:style>
  <w:style w:type="paragraph" w:styleId="786">
    <w:name w:val="toc 6"/>
    <w:basedOn w:val="755"/>
    <w:next w:val="755"/>
    <w:uiPriority w:val="39"/>
    <w:unhideWhenUsed/>
    <w:qFormat/>
    <w:pPr>
      <w:ind w:left="1417"/>
      <w:spacing w:after="57"/>
    </w:pPr>
  </w:style>
  <w:style w:type="paragraph" w:styleId="787">
    <w:name w:val="table of figures"/>
    <w:basedOn w:val="755"/>
    <w:next w:val="755"/>
    <w:uiPriority w:val="99"/>
    <w:unhideWhenUsed/>
    <w:qFormat/>
  </w:style>
  <w:style w:type="paragraph" w:styleId="788">
    <w:name w:val="toc 2"/>
    <w:basedOn w:val="755"/>
    <w:next w:val="755"/>
    <w:uiPriority w:val="39"/>
    <w:unhideWhenUsed/>
    <w:qFormat/>
    <w:pPr>
      <w:ind w:left="283"/>
      <w:spacing w:after="57"/>
    </w:pPr>
  </w:style>
  <w:style w:type="paragraph" w:styleId="789">
    <w:name w:val="toc 9"/>
    <w:basedOn w:val="755"/>
    <w:next w:val="755"/>
    <w:uiPriority w:val="39"/>
    <w:unhideWhenUsed/>
    <w:qFormat/>
    <w:pPr>
      <w:ind w:left="2268"/>
      <w:spacing w:after="57"/>
    </w:pPr>
  </w:style>
  <w:style w:type="paragraph" w:styleId="790">
    <w:name w:val="Normal (Web)"/>
    <w:basedOn w:val="755"/>
    <w:uiPriority w:val="0"/>
    <w:qFormat/>
    <w:pPr>
      <w:jc w:val="left"/>
      <w:widowControl/>
    </w:pPr>
    <w:rPr>
      <w:sz w:val="24"/>
    </w:rPr>
  </w:style>
  <w:style w:type="paragraph" w:styleId="791">
    <w:name w:val="Title"/>
    <w:basedOn w:val="755"/>
    <w:next w:val="755"/>
    <w:link w:val="812"/>
    <w:uiPriority w:val="10"/>
    <w:qFormat/>
    <w:pPr>
      <w:contextualSpacing/>
      <w:spacing w:before="300" w:after="200"/>
    </w:pPr>
    <w:rPr>
      <w:sz w:val="48"/>
      <w:szCs w:val="48"/>
    </w:rPr>
  </w:style>
  <w:style w:type="paragraph" w:styleId="792">
    <w:name w:val="annotation subject"/>
    <w:basedOn w:val="770"/>
    <w:next w:val="770"/>
    <w:link w:val="1024"/>
    <w:uiPriority w:val="99"/>
    <w:semiHidden/>
    <w:unhideWhenUsed/>
    <w:qFormat/>
    <w:rPr>
      <w:b/>
      <w:bCs/>
    </w:rPr>
  </w:style>
  <w:style w:type="paragraph" w:styleId="793">
    <w:name w:val="Body Text First Indent 2"/>
    <w:basedOn w:val="772"/>
    <w:uiPriority w:val="99"/>
    <w:unhideWhenUsed/>
    <w:qFormat/>
    <w:pPr>
      <w:ind w:firstLine="420"/>
    </w:p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65"/>
    <w:uiPriority w:val="22"/>
    <w:qFormat/>
    <w:rPr>
      <w:b/>
    </w:rPr>
  </w:style>
  <w:style w:type="character" w:styleId="796">
    <w:name w:val="endnote reference"/>
    <w:uiPriority w:val="99"/>
    <w:semiHidden/>
    <w:unhideWhenUsed/>
    <w:qFormat/>
    <w:rPr>
      <w:vertAlign w:val="superscript"/>
    </w:rPr>
  </w:style>
  <w:style w:type="character" w:styleId="797">
    <w:name w:val="Emphasis"/>
    <w:basedOn w:val="765"/>
    <w:uiPriority w:val="20"/>
    <w:qFormat/>
    <w:rPr>
      <w:i/>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annotation reference"/>
    <w:basedOn w:val="765"/>
    <w:uiPriority w:val="99"/>
    <w:semiHidden/>
    <w:unhideWhenUsed/>
    <w:qFormat/>
    <w:rPr>
      <w:sz w:val="21"/>
      <w:szCs w:val="21"/>
    </w:rPr>
  </w:style>
  <w:style w:type="character" w:styleId="800">
    <w:name w:val="footnote reference"/>
    <w:uiPriority w:val="99"/>
    <w:unhideWhenUsed/>
    <w:qFormat/>
    <w:rPr>
      <w:vertAlign w:val="superscript"/>
    </w:rPr>
  </w:style>
  <w:style w:type="paragraph" w:styleId="801" w:customStyle="1">
    <w:name w:val="段"/>
    <w:next w:val="75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02" w:customStyle="1">
    <w:name w:val="标题 1 Char"/>
    <w:link w:val="756"/>
    <w:uiPriority w:val="9"/>
    <w:qFormat/>
    <w:rPr>
      <w:rFonts w:ascii="Arial" w:hAnsi="Arial" w:eastAsia="Arial" w:cs="Arial"/>
      <w:sz w:val="40"/>
      <w:szCs w:val="40"/>
    </w:rPr>
  </w:style>
  <w:style w:type="character" w:styleId="803" w:customStyle="1">
    <w:name w:val="标题 2 Char"/>
    <w:link w:val="757"/>
    <w:uiPriority w:val="9"/>
    <w:qFormat/>
    <w:rPr>
      <w:rFonts w:ascii="Arial" w:hAnsi="Arial" w:eastAsia="Arial" w:cs="Arial"/>
      <w:sz w:val="34"/>
    </w:rPr>
  </w:style>
  <w:style w:type="character" w:styleId="804" w:customStyle="1">
    <w:name w:val="标题 3 Char"/>
    <w:link w:val="758"/>
    <w:uiPriority w:val="9"/>
    <w:qFormat/>
    <w:rPr>
      <w:rFonts w:ascii="Arial" w:hAnsi="Arial" w:eastAsia="Arial" w:cs="Arial"/>
      <w:sz w:val="30"/>
      <w:szCs w:val="30"/>
    </w:rPr>
  </w:style>
  <w:style w:type="character" w:styleId="805" w:customStyle="1">
    <w:name w:val="标题 4 Char"/>
    <w:link w:val="759"/>
    <w:uiPriority w:val="9"/>
    <w:qFormat/>
    <w:rPr>
      <w:rFonts w:ascii="Arial" w:hAnsi="Arial" w:eastAsia="Arial" w:cs="Arial"/>
      <w:b/>
      <w:bCs/>
      <w:sz w:val="26"/>
      <w:szCs w:val="26"/>
    </w:rPr>
  </w:style>
  <w:style w:type="character" w:styleId="806" w:customStyle="1">
    <w:name w:val="标题 5 Char"/>
    <w:link w:val="760"/>
    <w:uiPriority w:val="9"/>
    <w:qFormat/>
    <w:rPr>
      <w:rFonts w:ascii="Arial" w:hAnsi="Arial" w:eastAsia="Arial" w:cs="Arial"/>
      <w:b/>
      <w:bCs/>
      <w:sz w:val="24"/>
      <w:szCs w:val="24"/>
    </w:rPr>
  </w:style>
  <w:style w:type="character" w:styleId="807" w:customStyle="1">
    <w:name w:val="标题 6 Char"/>
    <w:link w:val="761"/>
    <w:uiPriority w:val="9"/>
    <w:qFormat/>
    <w:rPr>
      <w:rFonts w:ascii="Arial" w:hAnsi="Arial" w:eastAsia="Arial" w:cs="Arial"/>
      <w:b/>
      <w:bCs/>
      <w:sz w:val="22"/>
      <w:szCs w:val="22"/>
    </w:rPr>
  </w:style>
  <w:style w:type="character" w:styleId="808" w:customStyle="1">
    <w:name w:val="标题 7 Char"/>
    <w:link w:val="762"/>
    <w:uiPriority w:val="9"/>
    <w:qFormat/>
    <w:rPr>
      <w:rFonts w:ascii="Arial" w:hAnsi="Arial" w:eastAsia="Arial" w:cs="Arial"/>
      <w:b/>
      <w:bCs/>
      <w:i/>
      <w:iCs/>
      <w:sz w:val="22"/>
      <w:szCs w:val="22"/>
    </w:rPr>
  </w:style>
  <w:style w:type="character" w:styleId="809" w:customStyle="1">
    <w:name w:val="标题 8 Char"/>
    <w:link w:val="763"/>
    <w:uiPriority w:val="9"/>
    <w:qFormat/>
    <w:rPr>
      <w:rFonts w:ascii="Arial" w:hAnsi="Arial" w:eastAsia="Arial" w:cs="Arial"/>
      <w:i/>
      <w:iCs/>
      <w:sz w:val="22"/>
      <w:szCs w:val="22"/>
    </w:rPr>
  </w:style>
  <w:style w:type="character" w:styleId="810" w:customStyle="1">
    <w:name w:val="标题 9 Char"/>
    <w:link w:val="764"/>
    <w:uiPriority w:val="9"/>
    <w:qFormat/>
    <w:rPr>
      <w:rFonts w:ascii="Arial" w:hAnsi="Arial" w:eastAsia="Arial" w:cs="Arial"/>
      <w:i/>
      <w:iCs/>
      <w:sz w:val="21"/>
      <w:szCs w:val="21"/>
    </w:rPr>
  </w:style>
  <w:style w:type="paragraph" w:styleId="811">
    <w:name w:val="No Spacing"/>
    <w:uiPriority w:val="1"/>
    <w:qFormat/>
    <w:rPr>
      <w:rFonts w:ascii="Times New Roman" w:hAnsi="Times New Roman" w:eastAsia="宋体" w:cs="Times New Roman"/>
      <w:lang w:val="en-US" w:eastAsia="zh-CN" w:bidi="ar-SA"/>
    </w:rPr>
  </w:style>
  <w:style w:type="character" w:styleId="812" w:customStyle="1">
    <w:name w:val="标题 Char"/>
    <w:link w:val="791"/>
    <w:uiPriority w:val="10"/>
    <w:qFormat/>
    <w:rPr>
      <w:sz w:val="48"/>
      <w:szCs w:val="48"/>
    </w:rPr>
  </w:style>
  <w:style w:type="character" w:styleId="813" w:customStyle="1">
    <w:name w:val="副标题 Char"/>
    <w:link w:val="784"/>
    <w:uiPriority w:val="11"/>
    <w:qFormat/>
    <w:rPr>
      <w:sz w:val="24"/>
      <w:szCs w:val="24"/>
    </w:rPr>
  </w:style>
  <w:style w:type="paragraph" w:styleId="814">
    <w:name w:val="Quote"/>
    <w:basedOn w:val="755"/>
    <w:next w:val="755"/>
    <w:link w:val="815"/>
    <w:uiPriority w:val="29"/>
    <w:qFormat/>
    <w:pPr>
      <w:ind w:left="720" w:right="720"/>
    </w:pPr>
    <w:rPr>
      <w:i/>
    </w:rPr>
  </w:style>
  <w:style w:type="character" w:styleId="815" w:customStyle="1">
    <w:name w:val="引用 Char"/>
    <w:link w:val="814"/>
    <w:uiPriority w:val="29"/>
    <w:qFormat/>
    <w:rPr>
      <w:i/>
    </w:rPr>
  </w:style>
  <w:style w:type="paragraph" w:styleId="816">
    <w:name w:val="Intense Quote"/>
    <w:basedOn w:val="755"/>
    <w:next w:val="755"/>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页眉 Char"/>
    <w:link w:val="781"/>
    <w:uiPriority w:val="99"/>
    <w:qFormat/>
  </w:style>
  <w:style w:type="character" w:styleId="819" w:customStyle="1">
    <w:name w:val="Footer Char"/>
    <w:uiPriority w:val="99"/>
    <w:qFormat/>
  </w:style>
  <w:style w:type="character" w:styleId="820" w:customStyle="1">
    <w:name w:val="页脚 Char"/>
    <w:link w:val="780"/>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Char"/>
    <w:link w:val="785"/>
    <w:uiPriority w:val="99"/>
    <w:qFormat/>
    <w:rPr>
      <w:sz w:val="18"/>
    </w:rPr>
  </w:style>
  <w:style w:type="character" w:styleId="947" w:customStyle="1">
    <w:name w:val="尾注文本 Char"/>
    <w:link w:val="778"/>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paragraph" w:styleId="949" w:customStyle="1">
    <w:name w:val="标题 21"/>
    <w:basedOn w:val="755"/>
    <w:next w:val="755"/>
    <w:link w:val="953"/>
    <w:uiPriority w:val="0"/>
    <w:qFormat/>
    <w:pPr>
      <w:keepLines/>
      <w:keepNext/>
      <w:spacing w:before="260" w:after="260" w:line="413" w:lineRule="auto"/>
      <w:outlineLvl w:val="1"/>
    </w:pPr>
    <w:rPr>
      <w:rFonts w:ascii="Arial" w:hAnsi="Arial" w:eastAsia="黑体"/>
      <w:b/>
      <w:bCs/>
      <w:sz w:val="32"/>
      <w:szCs w:val="32"/>
    </w:rPr>
  </w:style>
  <w:style w:type="character" w:styleId="950" w:customStyle="1">
    <w:name w:val="默认段落字体1"/>
    <w:uiPriority w:val="0"/>
    <w:semiHidden/>
    <w:qFormat/>
  </w:style>
  <w:style w:type="table" w:styleId="951" w:customStyle="1">
    <w:name w:val="普通表格1"/>
    <w:uiPriority w:val="0"/>
    <w:semiHidden/>
    <w:qFormat/>
    <w:tblPr>
      <w:tblCellMar>
        <w:left w:w="0" w:type="dxa"/>
        <w:top w:w="0" w:type="dxa"/>
        <w:right w:w="0" w:type="dxa"/>
        <w:bottom w:w="0" w:type="dxa"/>
      </w:tblCellMar>
    </w:tblPr>
  </w:style>
  <w:style w:type="paragraph" w:styleId="952" w:customStyle="1">
    <w:name w:val="正文文本1"/>
    <w:basedOn w:val="755"/>
    <w:next w:val="755"/>
    <w:uiPriority w:val="0"/>
    <w:qFormat/>
    <w:pPr>
      <w:tabs>
        <w:tab w:val="left" w:pos="5250" w:leader="none"/>
      </w:tabs>
    </w:pPr>
    <w:rPr>
      <w:sz w:val="28"/>
    </w:rPr>
  </w:style>
  <w:style w:type="character" w:styleId="953" w:customStyle="1">
    <w:name w:val="标题 2 字符"/>
    <w:link w:val="949"/>
    <w:uiPriority w:val="0"/>
    <w:qFormat/>
    <w:rPr>
      <w:rFonts w:ascii="Arial" w:hAnsi="Arial" w:eastAsia="黑体" w:cs="Arial"/>
      <w:b/>
      <w:bCs/>
      <w:sz w:val="32"/>
      <w:szCs w:val="32"/>
    </w:rPr>
  </w:style>
  <w:style w:type="paragraph" w:styleId="954" w:customStyle="1">
    <w:name w:val="正文缩进1"/>
    <w:basedOn w:val="755"/>
    <w:next w:val="755"/>
    <w:link w:val="955"/>
    <w:uiPriority w:val="0"/>
    <w:qFormat/>
    <w:pPr>
      <w:ind w:firstLine="420"/>
      <w:jc w:val="left"/>
    </w:pPr>
    <w:rPr>
      <w:rFonts w:eastAsia="楷体_GB2312"/>
      <w:sz w:val="24"/>
      <w:szCs w:val="20"/>
    </w:rPr>
  </w:style>
  <w:style w:type="character" w:styleId="955" w:customStyle="1">
    <w:name w:val="正文缩进 字符"/>
    <w:link w:val="954"/>
    <w:uiPriority w:val="0"/>
    <w:qFormat/>
    <w:rPr>
      <w:rFonts w:eastAsia="楷体_GB2312"/>
      <w:sz w:val="24"/>
      <w:lang w:bidi="ar-SA"/>
    </w:rPr>
  </w:style>
  <w:style w:type="paragraph" w:styleId="956" w:customStyle="1">
    <w:name w:val="批注文字1"/>
    <w:basedOn w:val="755"/>
    <w:link w:val="957"/>
    <w:uiPriority w:val="0"/>
    <w:qFormat/>
    <w:pPr>
      <w:jc w:val="left"/>
    </w:pPr>
  </w:style>
  <w:style w:type="character" w:styleId="957" w:customStyle="1">
    <w:name w:val="批注文字 字符"/>
    <w:link w:val="956"/>
    <w:uiPriority w:val="0"/>
    <w:qFormat/>
    <w:rPr>
      <w:sz w:val="21"/>
      <w:szCs w:val="24"/>
    </w:rPr>
  </w:style>
  <w:style w:type="paragraph" w:styleId="958" w:customStyle="1">
    <w:name w:val="正文文本缩进11"/>
    <w:basedOn w:val="755"/>
    <w:next w:val="959"/>
    <w:link w:val="960"/>
    <w:uiPriority w:val="0"/>
    <w:qFormat/>
    <w:pPr>
      <w:ind w:left="420"/>
      <w:spacing w:after="120"/>
    </w:pPr>
  </w:style>
  <w:style w:type="paragraph" w:styleId="959" w:customStyle="1">
    <w:name w:val="寄信人地址11"/>
    <w:basedOn w:val="755"/>
    <w:uiPriority w:val="0"/>
    <w:qFormat/>
    <w:rPr>
      <w:rFonts w:ascii="Arial" w:hAnsi="Arial"/>
    </w:rPr>
  </w:style>
  <w:style w:type="character" w:styleId="960" w:customStyle="1">
    <w:name w:val="正文文本缩进 字符"/>
    <w:link w:val="958"/>
    <w:uiPriority w:val="0"/>
    <w:qFormat/>
    <w:rPr>
      <w:sz w:val="21"/>
      <w:szCs w:val="24"/>
    </w:rPr>
  </w:style>
  <w:style w:type="paragraph" w:styleId="961" w:customStyle="1">
    <w:name w:val="文本块1"/>
    <w:basedOn w:val="755"/>
    <w:uiPriority w:val="0"/>
    <w:qFormat/>
    <w:pPr>
      <w:ind w:left="630" w:right="-609" w:firstLine="420"/>
      <w:spacing w:line="360" w:lineRule="auto"/>
    </w:pPr>
    <w:rPr>
      <w:rFonts w:hint="eastAsia" w:ascii="仿宋_GB2312" w:eastAsia="仿宋_GB2312"/>
      <w:szCs w:val="20"/>
    </w:rPr>
  </w:style>
  <w:style w:type="paragraph" w:styleId="962" w:customStyle="1">
    <w:name w:val="纯文本11"/>
    <w:basedOn w:val="755"/>
    <w:link w:val="963"/>
    <w:uiPriority w:val="0"/>
    <w:qFormat/>
    <w:rPr>
      <w:rFonts w:ascii="宋体" w:hAnsi="Courier New" w:eastAsia="楷体_GB2312"/>
      <w:sz w:val="28"/>
      <w:szCs w:val="20"/>
    </w:rPr>
  </w:style>
  <w:style w:type="character" w:styleId="963" w:customStyle="1">
    <w:name w:val="纯文本 字符"/>
    <w:link w:val="962"/>
    <w:uiPriority w:val="0"/>
    <w:qFormat/>
    <w:rPr>
      <w:rFonts w:ascii="宋体" w:hAnsi="Courier New" w:eastAsia="楷体_GB2312"/>
      <w:sz w:val="28"/>
      <w:lang w:val="en-US" w:eastAsia="zh-CN" w:bidi="ar-SA"/>
    </w:rPr>
  </w:style>
  <w:style w:type="paragraph" w:styleId="964" w:customStyle="1">
    <w:name w:val="批注框文本1"/>
    <w:basedOn w:val="755"/>
    <w:link w:val="965"/>
    <w:uiPriority w:val="0"/>
    <w:qFormat/>
    <w:rPr>
      <w:sz w:val="18"/>
      <w:szCs w:val="18"/>
    </w:rPr>
  </w:style>
  <w:style w:type="character" w:styleId="965" w:customStyle="1">
    <w:name w:val="批注框文本 字符"/>
    <w:link w:val="964"/>
    <w:uiPriority w:val="0"/>
    <w:qFormat/>
    <w:rPr>
      <w:sz w:val="18"/>
      <w:szCs w:val="18"/>
      <w:lang w:bidi="ar-SA"/>
    </w:rPr>
  </w:style>
  <w:style w:type="paragraph" w:styleId="966" w:customStyle="1">
    <w:name w:val="页脚1"/>
    <w:basedOn w:val="755"/>
    <w:link w:val="967"/>
    <w:uiPriority w:val="0"/>
    <w:qFormat/>
    <w:pPr>
      <w:jc w:val="left"/>
      <w:tabs>
        <w:tab w:val="center" w:pos="4153" w:leader="none"/>
        <w:tab w:val="right" w:pos="8306" w:leader="none"/>
      </w:tabs>
    </w:pPr>
    <w:rPr>
      <w:sz w:val="18"/>
      <w:szCs w:val="18"/>
    </w:rPr>
  </w:style>
  <w:style w:type="character" w:styleId="967" w:customStyle="1">
    <w:name w:val="页脚 字符"/>
    <w:link w:val="966"/>
    <w:uiPriority w:val="0"/>
    <w:qFormat/>
    <w:rPr>
      <w:sz w:val="18"/>
      <w:szCs w:val="18"/>
    </w:rPr>
  </w:style>
  <w:style w:type="paragraph" w:styleId="968" w:customStyle="1">
    <w:name w:val="页眉1"/>
    <w:basedOn w:val="755"/>
    <w:link w:val="969"/>
    <w:uiPriority w:val="0"/>
    <w:qFormat/>
    <w:pPr>
      <w:jc w:val="center"/>
      <w:tabs>
        <w:tab w:val="center" w:pos="4153" w:leader="none"/>
        <w:tab w:val="right" w:pos="8306" w:leader="none"/>
      </w:tabs>
      <w:pBdr>
        <w:bottom w:val="single" w:color="000000" w:sz="6" w:space="1"/>
      </w:pBdr>
    </w:pPr>
    <w:rPr>
      <w:sz w:val="18"/>
      <w:szCs w:val="18"/>
    </w:rPr>
  </w:style>
  <w:style w:type="character" w:styleId="969" w:customStyle="1">
    <w:name w:val="页眉 字符"/>
    <w:link w:val="968"/>
    <w:uiPriority w:val="0"/>
    <w:qFormat/>
    <w:rPr>
      <w:sz w:val="18"/>
      <w:szCs w:val="18"/>
    </w:rPr>
  </w:style>
  <w:style w:type="paragraph" w:styleId="970" w:customStyle="1">
    <w:name w:val="列表1"/>
    <w:basedOn w:val="755"/>
    <w:next w:val="755"/>
    <w:uiPriority w:val="0"/>
    <w:qFormat/>
    <w:pPr>
      <w:ind w:left="420" w:hanging="420"/>
    </w:pPr>
    <w:rPr>
      <w:rFonts w:ascii="Arial" w:hAnsi="Arial" w:eastAsia="楷体_GB2312"/>
      <w:color w:val="000000"/>
      <w:sz w:val="28"/>
    </w:rPr>
  </w:style>
  <w:style w:type="paragraph" w:styleId="971" w:customStyle="1">
    <w:name w:val="正文文本缩进 311"/>
    <w:basedOn w:val="755"/>
    <w:link w:val="972"/>
    <w:uiPriority w:val="99"/>
    <w:qFormat/>
    <w:pPr>
      <w:ind w:firstLine="480"/>
      <w:spacing w:line="360" w:lineRule="auto"/>
      <w:widowControl/>
    </w:pPr>
    <w:rPr>
      <w:sz w:val="24"/>
    </w:rPr>
  </w:style>
  <w:style w:type="character" w:styleId="972" w:customStyle="1">
    <w:name w:val="正文文本缩进 3 字符"/>
    <w:link w:val="971"/>
    <w:uiPriority w:val="99"/>
    <w:qFormat/>
    <w:rPr>
      <w:sz w:val="24"/>
      <w:szCs w:val="24"/>
    </w:rPr>
  </w:style>
  <w:style w:type="paragraph" w:styleId="973" w:customStyle="1">
    <w:name w:val="普通(网站)11"/>
    <w:basedOn w:val="755"/>
    <w:uiPriority w:val="99"/>
    <w:unhideWhenUsed/>
    <w:qFormat/>
    <w:pPr>
      <w:jc w:val="left"/>
      <w:spacing w:after="150"/>
      <w:widowControl/>
    </w:pPr>
    <w:rPr>
      <w:rFonts w:ascii="宋体" w:hAnsi="宋体" w:cs="宋体"/>
      <w:sz w:val="24"/>
    </w:rPr>
  </w:style>
  <w:style w:type="paragraph" w:styleId="974" w:customStyle="1">
    <w:name w:val="标题1"/>
    <w:basedOn w:val="755"/>
    <w:next w:val="755"/>
    <w:link w:val="975"/>
    <w:uiPriority w:val="0"/>
    <w:qFormat/>
    <w:pPr>
      <w:jc w:val="center"/>
      <w:spacing w:before="240" w:after="60"/>
      <w:outlineLvl w:val="0"/>
    </w:pPr>
    <w:rPr>
      <w:rFonts w:ascii="Cambria" w:hAnsi="Cambria"/>
      <w:b/>
      <w:bCs/>
      <w:sz w:val="32"/>
      <w:szCs w:val="32"/>
    </w:rPr>
  </w:style>
  <w:style w:type="character" w:styleId="975" w:customStyle="1">
    <w:name w:val="标题 字符"/>
    <w:link w:val="974"/>
    <w:uiPriority w:val="0"/>
    <w:qFormat/>
    <w:rPr>
      <w:rFonts w:ascii="Cambria" w:hAnsi="Cambria"/>
      <w:b/>
      <w:bCs/>
      <w:sz w:val="32"/>
      <w:szCs w:val="32"/>
    </w:rPr>
  </w:style>
  <w:style w:type="paragraph" w:styleId="976" w:customStyle="1">
    <w:name w:val="批注主题1"/>
    <w:basedOn w:val="956"/>
    <w:next w:val="956"/>
    <w:link w:val="977"/>
    <w:uiPriority w:val="0"/>
    <w:qFormat/>
    <w:rPr>
      <w:b/>
      <w:bCs/>
    </w:rPr>
  </w:style>
  <w:style w:type="character" w:styleId="977" w:customStyle="1">
    <w:name w:val="批注主题 字符"/>
    <w:link w:val="976"/>
    <w:uiPriority w:val="0"/>
    <w:qFormat/>
    <w:rPr>
      <w:b/>
      <w:bCs/>
      <w:sz w:val="21"/>
      <w:szCs w:val="24"/>
    </w:rPr>
  </w:style>
  <w:style w:type="paragraph" w:styleId="978" w:customStyle="1">
    <w:name w:val="正文首行缩进1"/>
    <w:basedOn w:val="952"/>
    <w:uiPriority w:val="0"/>
    <w:qFormat/>
    <w:pPr>
      <w:ind w:firstLine="420"/>
    </w:pPr>
  </w:style>
  <w:style w:type="paragraph" w:styleId="979" w:customStyle="1">
    <w:name w:val="正文首行缩进 21"/>
    <w:basedOn w:val="958"/>
    <w:uiPriority w:val="99"/>
    <w:qFormat/>
    <w:pPr>
      <w:ind w:firstLine="420"/>
    </w:pPr>
  </w:style>
  <w:style w:type="table" w:styleId="980" w:customStyle="1">
    <w:name w:val="网格型1"/>
    <w:basedOn w:val="951"/>
    <w:uiPriority w:val="39"/>
    <w:qFormat/>
    <w:tblPr>
      <w:tblCellMar>
        <w:left w:w="0" w:type="dxa"/>
        <w:top w:w="0" w:type="dxa"/>
        <w:right w:w="0" w:type="dxa"/>
        <w:bottom w:w="0" w:type="dxa"/>
      </w:tblCellMar>
    </w:tblPr>
  </w:style>
  <w:style w:type="character" w:styleId="981" w:customStyle="1">
    <w:name w:val="强调1"/>
    <w:uiPriority w:val="20"/>
    <w:qFormat/>
    <w:rPr>
      <w:i/>
      <w:iCs/>
    </w:rPr>
  </w:style>
  <w:style w:type="character" w:styleId="982" w:customStyle="1">
    <w:name w:val="批注引用1"/>
    <w:uiPriority w:val="0"/>
    <w:qFormat/>
    <w:rPr>
      <w:sz w:val="21"/>
      <w:szCs w:val="21"/>
    </w:rPr>
  </w:style>
  <w:style w:type="paragraph" w:styleId="983" w:customStyle="1">
    <w:name w:val="PlainText1"/>
    <w:basedOn w:val="755"/>
    <w:uiPriority w:val="99"/>
    <w:qFormat/>
    <w:rPr>
      <w:rFonts w:ascii="宋体" w:hAnsi="Courier New" w:eastAsia="楷体_GB2312"/>
      <w:sz w:val="28"/>
      <w:szCs w:val="20"/>
    </w:rPr>
  </w:style>
  <w:style w:type="paragraph" w:styleId="984" w:customStyle="1">
    <w:name w:val="目录 51"/>
    <w:next w:val="755"/>
    <w:uiPriority w:val="0"/>
    <w:qFormat/>
    <w:pPr>
      <w:ind w:left="1275"/>
      <w:jc w:val="both"/>
    </w:pPr>
    <w:rPr>
      <w:rFonts w:ascii="Times New Roman" w:hAnsi="Times New Roman" w:eastAsia="宋体" w:cs="Times New Roman"/>
      <w:sz w:val="21"/>
      <w:lang w:val="en-US" w:eastAsia="zh-CN" w:bidi="ar-SA"/>
    </w:rPr>
  </w:style>
  <w:style w:type="character" w:styleId="985" w:customStyle="1">
    <w:name w:val="正文文本缩进 Char1"/>
    <w:uiPriority w:val="0"/>
    <w:qFormat/>
    <w:rPr>
      <w:sz w:val="21"/>
      <w:szCs w:val="24"/>
    </w:rPr>
  </w:style>
  <w:style w:type="character" w:styleId="986" w:customStyle="1">
    <w:name w:val="标题 Char1"/>
    <w:uiPriority w:val="0"/>
    <w:qFormat/>
    <w:rPr>
      <w:rFonts w:ascii="Cambria" w:hAnsi="Cambria" w:cs="Times New Roman"/>
      <w:b/>
      <w:bCs/>
      <w:sz w:val="32"/>
      <w:szCs w:val="32"/>
    </w:rPr>
  </w:style>
  <w:style w:type="character" w:styleId="987" w:customStyle="1">
    <w:name w:val="p141"/>
    <w:uiPriority w:val="0"/>
    <w:qFormat/>
    <w:rPr>
      <w:color w:val="000000"/>
      <w:sz w:val="28"/>
      <w:szCs w:val="28"/>
      <w:u w:val="none"/>
    </w:rPr>
  </w:style>
  <w:style w:type="character" w:styleId="988" w:customStyle="1">
    <w:name w:val="列出段落 Char"/>
    <w:link w:val="989"/>
    <w:uiPriority w:val="0"/>
    <w:qFormat/>
    <w:rPr>
      <w:rFonts w:ascii="Calibri" w:hAnsi="Calibri" w:eastAsia="宋体"/>
      <w:sz w:val="22"/>
      <w:lang w:bidi="ar-SA"/>
    </w:rPr>
  </w:style>
  <w:style w:type="paragraph" w:styleId="989" w:customStyle="1">
    <w:name w:val="列出段落1"/>
    <w:basedOn w:val="755"/>
    <w:link w:val="988"/>
    <w:uiPriority w:val="0"/>
    <w:qFormat/>
    <w:pPr>
      <w:ind w:firstLine="200"/>
      <w:spacing w:line="360" w:lineRule="auto"/>
    </w:pPr>
    <w:rPr>
      <w:sz w:val="22"/>
      <w:szCs w:val="20"/>
    </w:rPr>
  </w:style>
  <w:style w:type="character" w:styleId="990" w:customStyle="1">
    <w:name w:val="样式 首行缩进:  2 字符 Char"/>
    <w:link w:val="991"/>
    <w:uiPriority w:val="0"/>
    <w:qFormat/>
    <w:rPr>
      <w:rFonts w:eastAsia="仿宋_GB2312"/>
      <w:sz w:val="24"/>
    </w:rPr>
  </w:style>
  <w:style w:type="paragraph" w:styleId="991" w:customStyle="1">
    <w:name w:val="样式 首行缩进:  2 字符"/>
    <w:basedOn w:val="755"/>
    <w:link w:val="990"/>
    <w:uiPriority w:val="0"/>
    <w:qFormat/>
    <w:pPr>
      <w:ind w:firstLine="560"/>
      <w:spacing w:line="360" w:lineRule="auto"/>
    </w:pPr>
    <w:rPr>
      <w:rFonts w:eastAsia="仿宋_GB2312"/>
      <w:sz w:val="24"/>
      <w:szCs w:val="20"/>
    </w:rPr>
  </w:style>
  <w:style w:type="character" w:styleId="992" w:customStyle="1">
    <w:name w:val="标准文本 Char"/>
    <w:link w:val="993"/>
    <w:uiPriority w:val="0"/>
    <w:qFormat/>
    <w:rPr>
      <w:rFonts w:ascii="Times New Roman" w:hAnsi="Times New Roman" w:eastAsia="宋体" w:cs="宋体"/>
      <w:sz w:val="24"/>
    </w:rPr>
  </w:style>
  <w:style w:type="paragraph" w:styleId="993" w:customStyle="1">
    <w:name w:val="标准文本"/>
    <w:basedOn w:val="755"/>
    <w:link w:val="992"/>
    <w:uiPriority w:val="0"/>
    <w:qFormat/>
    <w:pPr>
      <w:ind w:firstLine="480"/>
      <w:spacing w:line="360" w:lineRule="auto"/>
    </w:pPr>
    <w:rPr>
      <w:sz w:val="24"/>
      <w:szCs w:val="20"/>
    </w:rPr>
  </w:style>
  <w:style w:type="character" w:styleId="994" w:customStyle="1">
    <w:name w:val="纯文本 Char"/>
    <w:link w:val="776"/>
    <w:uiPriority w:val="0"/>
    <w:qFormat/>
    <w:rPr>
      <w:rFonts w:ascii="宋体" w:hAnsi="Courier New" w:eastAsia="楷体_GB2312"/>
      <w:sz w:val="28"/>
    </w:rPr>
  </w:style>
  <w:style w:type="character" w:styleId="995" w:customStyle="1">
    <w:name w:val="val"/>
    <w:uiPriority w:val="0"/>
    <w:qFormat/>
  </w:style>
  <w:style w:type="paragraph" w:styleId="996" w:customStyle="1">
    <w:name w:val="列表段落1"/>
    <w:basedOn w:val="755"/>
    <w:uiPriority w:val="0"/>
    <w:qFormat/>
    <w:pPr>
      <w:ind w:firstLine="420"/>
    </w:pPr>
    <w:rPr>
      <w:rFonts w:ascii="Calibri" w:hAnsi="Calibri"/>
      <w:szCs w:val="22"/>
    </w:rPr>
  </w:style>
  <w:style w:type="paragraph" w:styleId="997" w:customStyle="1">
    <w:name w:val="Char Char Char Char"/>
    <w:basedOn w:val="755"/>
    <w:uiPriority w:val="0"/>
    <w:qFormat/>
    <w:rPr>
      <w:szCs w:val="20"/>
    </w:rPr>
  </w:style>
  <w:style w:type="paragraph" w:styleId="998" w:customStyle="1">
    <w:name w:val="列出段落5"/>
    <w:basedOn w:val="755"/>
    <w:uiPriority w:val="34"/>
    <w:qFormat/>
    <w:pPr>
      <w:ind w:firstLine="420"/>
    </w:pPr>
    <w:rPr>
      <w:rFonts w:ascii="Calibri" w:hAnsi="Calibri"/>
      <w:sz w:val="24"/>
    </w:rPr>
  </w:style>
  <w:style w:type="paragraph" w:styleId="999" w:customStyle="1">
    <w:name w:val="列出段落11"/>
    <w:basedOn w:val="755"/>
    <w:uiPriority w:val="0"/>
    <w:qFormat/>
    <w:pPr>
      <w:ind w:firstLine="420"/>
    </w:pPr>
    <w:rPr>
      <w:rFonts w:ascii="Calibri" w:hAnsi="Calibri"/>
    </w:rPr>
  </w:style>
  <w:style w:type="paragraph" w:styleId="1000" w:customStyle="1">
    <w:name w:val="列出段落2"/>
    <w:basedOn w:val="755"/>
    <w:uiPriority w:val="99"/>
    <w:qFormat/>
    <w:pPr>
      <w:ind w:firstLine="420"/>
    </w:pPr>
    <w:rPr>
      <w:rFonts w:ascii="Calibri" w:hAnsi="Calibri"/>
      <w:sz w:val="24"/>
    </w:rPr>
  </w:style>
  <w:style w:type="paragraph" w:styleId="1001" w:customStyle="1">
    <w:name w:val="纯文本1"/>
    <w:basedOn w:val="755"/>
    <w:uiPriority w:val="0"/>
    <w:qFormat/>
    <w:rPr>
      <w:rFonts w:ascii="宋体" w:hAnsi="Courier New" w:eastAsia="楷体_GB2312"/>
      <w:sz w:val="26"/>
    </w:rPr>
  </w:style>
  <w:style w:type="paragraph" w:styleId="1002" w:customStyle="1">
    <w:name w:val="普通正文"/>
    <w:basedOn w:val="755"/>
    <w:uiPriority w:val="0"/>
    <w:qFormat/>
    <w:pPr>
      <w:ind w:firstLine="480"/>
      <w:jc w:val="left"/>
      <w:spacing w:before="120" w:after="120" w:line="360" w:lineRule="auto"/>
    </w:pPr>
    <w:rPr>
      <w:rFonts w:ascii="Arial" w:hAnsi="Arial"/>
      <w:sz w:val="24"/>
    </w:rPr>
  </w:style>
  <w:style w:type="paragraph" w:styleId="1003" w:customStyle="1">
    <w:name w:val="Plain Text1"/>
    <w:basedOn w:val="755"/>
    <w:uiPriority w:val="99"/>
    <w:qFormat/>
    <w:rPr>
      <w:rFonts w:ascii="宋体" w:hAnsi="Courier New" w:eastAsia="楷体_GB2312"/>
      <w:sz w:val="26"/>
      <w:szCs w:val="20"/>
    </w:rPr>
  </w:style>
  <w:style w:type="paragraph" w:styleId="1004" w:customStyle="1">
    <w:name w:val="纯文本3"/>
    <w:basedOn w:val="755"/>
    <w:uiPriority w:val="0"/>
    <w:qFormat/>
    <w:rPr>
      <w:rFonts w:ascii="宋体" w:hAnsi="Courier New"/>
    </w:rPr>
  </w:style>
  <w:style w:type="paragraph" w:styleId="1005" w:customStyle="1">
    <w:name w:val="Char Char Char"/>
    <w:basedOn w:val="755"/>
    <w:uiPriority w:val="0"/>
    <w:qFormat/>
    <w:pPr>
      <w:spacing w:line="360" w:lineRule="auto"/>
    </w:pPr>
    <w:rPr>
      <w:sz w:val="28"/>
      <w:szCs w:val="20"/>
    </w:rPr>
  </w:style>
  <w:style w:type="paragraph" w:styleId="1006" w:customStyle="1">
    <w:name w:val="列表段落11"/>
    <w:basedOn w:val="755"/>
    <w:uiPriority w:val="34"/>
    <w:qFormat/>
    <w:pPr>
      <w:ind w:firstLine="420"/>
    </w:pPr>
    <w:rPr>
      <w:rFonts w:ascii="Calibri" w:hAnsi="Calibri"/>
      <w:szCs w:val="20"/>
    </w:rPr>
  </w:style>
  <w:style w:type="paragraph" w:styleId="1007" w:customStyle="1">
    <w:name w:val="_正文段落"/>
    <w:basedOn w:val="755"/>
    <w:uiPriority w:val="0"/>
    <w:qFormat/>
    <w:pPr>
      <w:ind w:firstLine="480"/>
      <w:spacing w:line="360" w:lineRule="auto"/>
    </w:pPr>
    <w:rPr>
      <w:rFonts w:ascii="宋体" w:hAnsi="宋体"/>
      <w:sz w:val="24"/>
    </w:rPr>
  </w:style>
  <w:style w:type="paragraph" w:styleId="1008" w:customStyle="1">
    <w:name w:val="正文 A"/>
    <w:uiPriority w:val="99"/>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09" w:customStyle="1">
    <w:name w:val="正文文本缩进 31"/>
    <w:uiPriority w:val="0"/>
    <w:qFormat/>
    <w:pPr>
      <w:ind w:firstLine="480"/>
      <w:spacing w:line="440" w:lineRule="atLeast"/>
      <w:widowControl w:val="off"/>
    </w:pPr>
    <w:rPr>
      <w:rFonts w:ascii="Times New Roman" w:hAnsi="Times New Roman" w:eastAsia="宋体" w:cs="Times New Roman"/>
      <w:sz w:val="24"/>
      <w:szCs w:val="24"/>
      <w:lang w:val="en-US" w:eastAsia="zh-CN" w:bidi="ar-SA"/>
    </w:rPr>
  </w:style>
  <w:style w:type="paragraph" w:styleId="1010" w:customStyle="1">
    <w:name w:val="普通(网站)1"/>
    <w:basedOn w:val="755"/>
    <w:uiPriority w:val="0"/>
    <w:qFormat/>
    <w:pPr>
      <w:jc w:val="left"/>
      <w:spacing w:before="100" w:beforeAutospacing="1" w:after="100" w:afterAutospacing="1"/>
      <w:widowControl/>
    </w:pPr>
    <w:rPr>
      <w:rFonts w:ascii="宋体" w:hAnsi="宋体" w:cs="宋体"/>
      <w:sz w:val="24"/>
    </w:rPr>
  </w:style>
  <w:style w:type="paragraph" w:styleId="1011" w:customStyle="1">
    <w:name w:val="首行缩进"/>
    <w:basedOn w:val="755"/>
    <w:uiPriority w:val="0"/>
    <w:qFormat/>
    <w:pPr>
      <w:ind w:firstLine="480"/>
      <w:jc w:val="left"/>
      <w:widowControl/>
    </w:pPr>
    <w:rPr>
      <w:sz w:val="24"/>
      <w:szCs w:val="20"/>
      <w:lang w:val="zh-CN"/>
    </w:rPr>
  </w:style>
  <w:style w:type="paragraph" w:styleId="1012" w:customStyle="1">
    <w:name w:val="正文文本缩进1"/>
    <w:next w:val="1013"/>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013"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14"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15">
    <w:name w:val="List Paragraph"/>
    <w:basedOn w:val="755"/>
    <w:uiPriority w:val="0"/>
    <w:qFormat/>
    <w:pPr>
      <w:ind w:firstLine="420"/>
    </w:pPr>
    <w:rPr>
      <w:rFonts w:ascii="Calibri" w:hAnsi="Calibri"/>
      <w:sz w:val="20"/>
      <w:szCs w:val="20"/>
    </w:rPr>
  </w:style>
  <w:style w:type="paragraph" w:styleId="1016" w:customStyle="1">
    <w:name w:val="纯文本2"/>
    <w:basedOn w:val="755"/>
    <w:uiPriority w:val="0"/>
    <w:qFormat/>
    <w:rPr>
      <w:rFonts w:hint="eastAsia" w:ascii="宋体" w:hAnsi="Courier New" w:eastAsia="楷体_GB2312"/>
      <w:sz w:val="28"/>
    </w:rPr>
  </w:style>
  <w:style w:type="paragraph" w:styleId="1017" w:customStyle="1">
    <w:name w:val="纯文本5"/>
    <w:basedOn w:val="755"/>
    <w:uiPriority w:val="0"/>
    <w:qFormat/>
    <w:rPr>
      <w:rFonts w:ascii="宋体" w:hAnsi="Courier New" w:eastAsia="楷体_GB2312"/>
      <w:sz w:val="26"/>
    </w:rPr>
  </w:style>
  <w:style w:type="paragraph" w:styleId="1018"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1019" w:customStyle="1">
    <w:name w:val="批注框文本 Char"/>
    <w:basedOn w:val="765"/>
    <w:link w:val="779"/>
    <w:uiPriority w:val="99"/>
    <w:semiHidden/>
    <w:qFormat/>
    <w:rPr>
      <w:sz w:val="18"/>
      <w:szCs w:val="18"/>
    </w:rPr>
  </w:style>
  <w:style w:type="paragraph" w:styleId="1020" w:customStyle="1">
    <w:name w:val="Table Text"/>
    <w:basedOn w:val="755"/>
    <w:uiPriority w:val="0"/>
    <w:semiHidden/>
    <w:qFormat/>
    <w:rPr>
      <w:rFonts w:ascii="宋体" w:hAnsi="宋体" w:cs="宋体"/>
      <w:sz w:val="24"/>
      <w:lang w:eastAsia="en-US"/>
    </w:rPr>
  </w:style>
  <w:style w:type="table" w:styleId="1021" w:customStyle="1">
    <w:name w:val="Table Normal"/>
    <w:uiPriority w:val="0"/>
    <w:semiHidden/>
    <w:unhideWhenUsed/>
    <w:qFormat/>
    <w:tblPr>
      <w:tblCellMar>
        <w:left w:w="0" w:type="dxa"/>
        <w:top w:w="0" w:type="dxa"/>
        <w:right w:w="0" w:type="dxa"/>
        <w:bottom w:w="0" w:type="dxa"/>
      </w:tblCellMar>
    </w:tblPr>
  </w:style>
  <w:style w:type="paragraph" w:styleId="1022"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23" w:customStyle="1">
    <w:name w:val="批注文字 Char"/>
    <w:basedOn w:val="765"/>
    <w:link w:val="770"/>
    <w:uiPriority w:val="99"/>
    <w:semiHidden/>
    <w:qFormat/>
    <w:rPr>
      <w:sz w:val="21"/>
      <w:szCs w:val="24"/>
    </w:rPr>
  </w:style>
  <w:style w:type="character" w:styleId="1024" w:customStyle="1">
    <w:name w:val="批注主题 Char"/>
    <w:basedOn w:val="1023"/>
    <w:link w:val="792"/>
    <w:uiPriority w:val="99"/>
    <w:semiHidden/>
    <w:qFormat/>
    <w:rPr>
      <w:b/>
      <w:bCs/>
      <w:sz w:val="21"/>
      <w:szCs w:val="24"/>
    </w:rPr>
  </w:style>
  <w:style w:type="paragraph" w:styleId="1025" w:customStyle="1">
    <w:name w:val="Andy_正文"/>
    <w:basedOn w:val="755"/>
    <w:uiPriority w:val="0"/>
    <w:qFormat/>
    <w:rPr>
      <w:spacing w:val="-4"/>
      <w:sz w:val="28"/>
      <w:szCs w:val="32"/>
    </w:rPr>
  </w:style>
  <w:style w:type="paragraph" w:styleId="1026" w:customStyle="1">
    <w:name w:val="Table Paragraph"/>
    <w:basedOn w:val="755"/>
    <w:uiPriority w:val="1"/>
    <w:qFormat/>
    <w:pPr>
      <w:jc w:val="left"/>
    </w:pPr>
    <w:rPr>
      <w:rFonts w:ascii="宋体" w:hAnsi="宋体" w:cs="宋体"/>
      <w:sz w:val="22"/>
      <w:szCs w:val="22"/>
      <w:lang w:val="zh-CN" w:bidi="zh-CN"/>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15E5030-7CE6-4E96-ABD6-EA95B8B36A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张欣昀</cp:lastModifiedBy>
  <cp:revision>48</cp:revision>
  <dcterms:created xsi:type="dcterms:W3CDTF">2021-08-19T12:17:00Z</dcterms:created>
  <dcterms:modified xsi:type="dcterms:W3CDTF">2026-05-09T03:21:51Z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eyJoZGlkIjoiMmQzZDk4MDI5ZTVhZWJhZDc5MDNjMmI2NGI1OTMxMGEiLCJ1c2VySWQiOiIxMTM2NDg5MDQ5In0=</vt:lpwstr>
  </property>
  <property fmtid="{D5CDD505-2E9C-101B-9397-08002B2CF9AE}" pid="3" name="KSOProductBuildVer">
    <vt:lpwstr>2052-12.1.0.25865</vt:lpwstr>
  </property>
  <property fmtid="{D5CDD505-2E9C-101B-9397-08002B2CF9AE}" pid="4" name="ICV">
    <vt:lpwstr>3EE583285AE44F77B03E1A9E3B2B6327_13</vt:lpwstr>
  </property>
</Properties>
</file>